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rect w14:anchorId="18D39C5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2829569F" w:rsidR="00245356" w:rsidRDefault="0024535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2829569F" w:rsidR="00245356" w:rsidRDefault="0024535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2DBDC08" w:rsidR="00245356" w:rsidRPr="004E2649" w:rsidRDefault="0024535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C3F10">
                              <w:rPr>
                                <w:rFonts w:asciiTheme="majorHAnsi" w:hAnsiTheme="majorHAnsi" w:cs="Arial"/>
                                <w:b/>
                                <w:bCs/>
                                <w:color w:val="0D0D0D" w:themeColor="text1" w:themeTint="F2"/>
                                <w:sz w:val="36"/>
                                <w:szCs w:val="22"/>
                                <w:lang w:val="es-ES_tradnl"/>
                              </w:rPr>
                              <w:t>1</w:t>
                            </w:r>
                            <w:r>
                              <w:rPr>
                                <w:rFonts w:asciiTheme="majorHAnsi" w:hAnsiTheme="majorHAnsi" w:cs="Arial"/>
                                <w:b/>
                                <w:bCs/>
                                <w:color w:val="0D0D0D" w:themeColor="text1" w:themeTint="F2"/>
                                <w:sz w:val="36"/>
                                <w:szCs w:val="22"/>
                                <w:lang w:val="es-ES_tradnl"/>
                              </w:rPr>
                              <w:t>/18</w:t>
                            </w:r>
                          </w:p>
                          <w:p w14:paraId="09C54AB3" w14:textId="458EB057" w:rsidR="00245356" w:rsidRDefault="0024535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137-07</w:t>
                            </w:r>
                            <w:r w:rsidRPr="004E2649">
                              <w:rPr>
                                <w:rFonts w:asciiTheme="majorHAnsi" w:hAnsiTheme="majorHAnsi" w:cs="Arial"/>
                                <w:b/>
                                <w:color w:val="0D0D0D" w:themeColor="text1" w:themeTint="F2"/>
                                <w:sz w:val="36"/>
                                <w:szCs w:val="22"/>
                                <w:lang w:val="es-ES_tradnl"/>
                              </w:rPr>
                              <w:t xml:space="preserve"> </w:t>
                            </w:r>
                          </w:p>
                          <w:p w14:paraId="70CF6833" w14:textId="499BB4ED" w:rsidR="00245356" w:rsidRPr="0010736F" w:rsidRDefault="0024535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245356" w:rsidRPr="0010736F" w:rsidRDefault="00245356"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36ABFD1" w:rsidR="00245356" w:rsidRPr="0010736F" w:rsidRDefault="0024535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MIRTA ELIZABETH CANELO CASTAÑO Y FAMILIA</w:t>
                            </w:r>
                          </w:p>
                          <w:bookmarkEnd w:id="1"/>
                          <w:p w14:paraId="35068D0D" w14:textId="17628B25" w:rsidR="00245356" w:rsidRPr="0010736F" w:rsidRDefault="0024535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245356" w:rsidRPr="00AE5488" w:rsidRDefault="0024535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2DBDC08" w:rsidR="00245356" w:rsidRPr="004E2649" w:rsidRDefault="0024535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C3F10">
                        <w:rPr>
                          <w:rFonts w:asciiTheme="majorHAnsi" w:hAnsiTheme="majorHAnsi" w:cs="Arial"/>
                          <w:b/>
                          <w:bCs/>
                          <w:color w:val="0D0D0D" w:themeColor="text1" w:themeTint="F2"/>
                          <w:sz w:val="36"/>
                          <w:szCs w:val="22"/>
                          <w:lang w:val="es-ES_tradnl"/>
                        </w:rPr>
                        <w:t>1</w:t>
                      </w:r>
                      <w:r>
                        <w:rPr>
                          <w:rFonts w:asciiTheme="majorHAnsi" w:hAnsiTheme="majorHAnsi" w:cs="Arial"/>
                          <w:b/>
                          <w:bCs/>
                          <w:color w:val="0D0D0D" w:themeColor="text1" w:themeTint="F2"/>
                          <w:sz w:val="36"/>
                          <w:szCs w:val="22"/>
                          <w:lang w:val="es-ES_tradnl"/>
                        </w:rPr>
                        <w:t>/18</w:t>
                      </w:r>
                    </w:p>
                    <w:p w14:paraId="09C54AB3" w14:textId="458EB057" w:rsidR="00245356" w:rsidRDefault="0024535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137-07</w:t>
                      </w:r>
                      <w:r w:rsidRPr="004E2649">
                        <w:rPr>
                          <w:rFonts w:asciiTheme="majorHAnsi" w:hAnsiTheme="majorHAnsi" w:cs="Arial"/>
                          <w:b/>
                          <w:color w:val="0D0D0D" w:themeColor="text1" w:themeTint="F2"/>
                          <w:sz w:val="36"/>
                          <w:szCs w:val="22"/>
                          <w:lang w:val="es-ES_tradnl"/>
                        </w:rPr>
                        <w:t xml:space="preserve"> </w:t>
                      </w:r>
                    </w:p>
                    <w:p w14:paraId="70CF6833" w14:textId="499BB4ED" w:rsidR="00245356" w:rsidRPr="0010736F" w:rsidRDefault="0024535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245356" w:rsidRPr="0010736F" w:rsidRDefault="00245356"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36ABFD1" w:rsidR="00245356" w:rsidRPr="0010736F" w:rsidRDefault="0024535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MIRTA ELIZABETH CANELO CASTAÑO Y FAMILIA</w:t>
                      </w:r>
                    </w:p>
                    <w:bookmarkEnd w:id="1"/>
                    <w:p w14:paraId="35068D0D" w14:textId="17628B25" w:rsidR="00245356" w:rsidRPr="0010736F" w:rsidRDefault="0024535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245356" w:rsidRPr="00AE5488" w:rsidRDefault="00245356"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21D85AC" w:rsidR="00245356" w:rsidRPr="004E2649" w:rsidRDefault="0024535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w:t>
                            </w:r>
                            <w:r w:rsidR="002C3F10">
                              <w:rPr>
                                <w:rFonts w:asciiTheme="minorHAnsi" w:hAnsiTheme="minorHAnsi"/>
                                <w:color w:val="FFFFFF" w:themeColor="background1"/>
                                <w:sz w:val="22"/>
                                <w:lang w:val="pt-BR"/>
                              </w:rPr>
                              <w:t>67</w:t>
                            </w:r>
                          </w:p>
                          <w:p w14:paraId="6A41611B" w14:textId="437F0BFB" w:rsidR="00245356" w:rsidRPr="004E2649" w:rsidRDefault="0024535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C3F10">
                              <w:rPr>
                                <w:rFonts w:asciiTheme="minorHAnsi" w:hAnsiTheme="minorHAnsi"/>
                                <w:color w:val="FFFFFF" w:themeColor="background1"/>
                                <w:sz w:val="22"/>
                                <w:lang w:val="pt-BR"/>
                              </w:rPr>
                              <w:t>5</w:t>
                            </w:r>
                          </w:p>
                          <w:p w14:paraId="69373ED2" w14:textId="2F7CDC6A" w:rsidR="00245356" w:rsidRPr="001A212B" w:rsidRDefault="002C3F10"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w:t>
                            </w:r>
                            <w:r w:rsidR="00245356" w:rsidRPr="001A212B">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febrero</w:t>
                            </w:r>
                            <w:r w:rsidR="00245356" w:rsidRPr="001A212B">
                              <w:rPr>
                                <w:rFonts w:asciiTheme="minorHAnsi" w:hAnsiTheme="minorHAnsi"/>
                                <w:color w:val="FFFFFF" w:themeColor="background1"/>
                                <w:sz w:val="22"/>
                                <w:lang w:val="es-ES"/>
                              </w:rPr>
                              <w:t xml:space="preserve"> 2018</w:t>
                            </w:r>
                          </w:p>
                          <w:p w14:paraId="0771DB5B" w14:textId="77777777" w:rsidR="00245356" w:rsidRPr="001A212B" w:rsidRDefault="00245356" w:rsidP="007A5817">
                            <w:pPr>
                              <w:spacing w:line="276" w:lineRule="auto"/>
                              <w:jc w:val="right"/>
                              <w:rPr>
                                <w:rFonts w:asciiTheme="minorHAnsi" w:hAnsiTheme="minorHAnsi"/>
                                <w:color w:val="FFFFFF" w:themeColor="background1"/>
                                <w:sz w:val="22"/>
                                <w:lang w:val="es-ES"/>
                              </w:rPr>
                            </w:pPr>
                            <w:r w:rsidRPr="001A212B">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21D85AC" w:rsidR="00245356" w:rsidRPr="004E2649" w:rsidRDefault="0024535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w:t>
                      </w:r>
                      <w:r w:rsidR="002C3F10">
                        <w:rPr>
                          <w:rFonts w:asciiTheme="minorHAnsi" w:hAnsiTheme="minorHAnsi"/>
                          <w:color w:val="FFFFFF" w:themeColor="background1"/>
                          <w:sz w:val="22"/>
                          <w:lang w:val="pt-BR"/>
                        </w:rPr>
                        <w:t>67</w:t>
                      </w:r>
                    </w:p>
                    <w:p w14:paraId="6A41611B" w14:textId="437F0BFB" w:rsidR="00245356" w:rsidRPr="004E2649" w:rsidRDefault="0024535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C3F10">
                        <w:rPr>
                          <w:rFonts w:asciiTheme="minorHAnsi" w:hAnsiTheme="minorHAnsi"/>
                          <w:color w:val="FFFFFF" w:themeColor="background1"/>
                          <w:sz w:val="22"/>
                          <w:lang w:val="pt-BR"/>
                        </w:rPr>
                        <w:t>5</w:t>
                      </w:r>
                    </w:p>
                    <w:p w14:paraId="69373ED2" w14:textId="2F7CDC6A" w:rsidR="00245356" w:rsidRPr="001A212B" w:rsidRDefault="002C3F10"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w:t>
                      </w:r>
                      <w:r w:rsidR="00245356" w:rsidRPr="001A212B">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febrero</w:t>
                      </w:r>
                      <w:r w:rsidR="00245356" w:rsidRPr="001A212B">
                        <w:rPr>
                          <w:rFonts w:asciiTheme="minorHAnsi" w:hAnsiTheme="minorHAnsi"/>
                          <w:color w:val="FFFFFF" w:themeColor="background1"/>
                          <w:sz w:val="22"/>
                          <w:lang w:val="es-ES"/>
                        </w:rPr>
                        <w:t xml:space="preserve"> 2018</w:t>
                      </w:r>
                    </w:p>
                    <w:p w14:paraId="0771DB5B" w14:textId="77777777" w:rsidR="00245356" w:rsidRPr="001A212B" w:rsidRDefault="00245356" w:rsidP="007A5817">
                      <w:pPr>
                        <w:spacing w:line="276" w:lineRule="auto"/>
                        <w:jc w:val="right"/>
                        <w:rPr>
                          <w:rFonts w:asciiTheme="minorHAnsi" w:hAnsiTheme="minorHAnsi"/>
                          <w:color w:val="FFFFFF" w:themeColor="background1"/>
                          <w:sz w:val="22"/>
                          <w:lang w:val="es-ES"/>
                        </w:rPr>
                      </w:pPr>
                      <w:r w:rsidRPr="001A212B">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34D2B3F8" w:rsidR="00245356" w:rsidRPr="00890650" w:rsidRDefault="00245356"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C3F10">
                              <w:rPr>
                                <w:rFonts w:asciiTheme="majorHAnsi" w:hAnsiTheme="majorHAnsi"/>
                                <w:color w:val="0D0D0D" w:themeColor="text1" w:themeTint="F2"/>
                                <w:sz w:val="18"/>
                                <w:szCs w:val="20"/>
                                <w:lang w:val="es-ES"/>
                              </w:rPr>
                              <w:t>2115</w:t>
                            </w:r>
                            <w:r w:rsidRPr="00890650">
                              <w:rPr>
                                <w:rFonts w:asciiTheme="majorHAnsi" w:hAnsiTheme="majorHAnsi"/>
                                <w:color w:val="0D0D0D" w:themeColor="text1" w:themeTint="F2"/>
                                <w:sz w:val="18"/>
                                <w:szCs w:val="20"/>
                                <w:lang w:val="es-ES"/>
                              </w:rPr>
                              <w:t xml:space="preserve"> celebrada el </w:t>
                            </w:r>
                            <w:r w:rsidR="002C3F10">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2C3F10">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8D6162">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2C3F10">
                              <w:rPr>
                                <w:rFonts w:asciiTheme="majorHAnsi" w:hAnsiTheme="majorHAnsi" w:cs="Univers"/>
                                <w:color w:val="0D0D0D" w:themeColor="text1" w:themeTint="F2"/>
                                <w:sz w:val="18"/>
                                <w:szCs w:val="20"/>
                                <w:lang w:val="es-ES_tradnl"/>
                              </w:rPr>
                              <w:t>167</w:t>
                            </w:r>
                            <w:r w:rsidRPr="00890650">
                              <w:rPr>
                                <w:rFonts w:asciiTheme="majorHAnsi" w:hAnsiTheme="majorHAnsi" w:cs="Univers"/>
                                <w:color w:val="0D0D0D" w:themeColor="text1" w:themeTint="F2"/>
                                <w:sz w:val="18"/>
                                <w:szCs w:val="20"/>
                                <w:lang w:val="es-ES_tradnl"/>
                              </w:rPr>
                              <w:t xml:space="preserve"> período </w:t>
                            </w:r>
                            <w:r w:rsidR="002C3F10">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8D6162">
                              <w:rPr>
                                <w:rFonts w:asciiTheme="majorHAnsi" w:hAnsiTheme="majorHAnsi" w:cs="Univers"/>
                                <w:color w:val="0D0D0D" w:themeColor="text1" w:themeTint="F2"/>
                                <w:sz w:val="18"/>
                                <w:szCs w:val="20"/>
                                <w:lang w:val="es-ES_tradnl"/>
                              </w:rPr>
                              <w:t>.</w:t>
                            </w:r>
                          </w:p>
                          <w:p w14:paraId="4BDF3581" w14:textId="77777777" w:rsidR="00245356" w:rsidRPr="007A5817" w:rsidRDefault="0024535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245356" w:rsidRPr="00167A34" w:rsidRDefault="0024535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34D2B3F8" w:rsidR="00245356" w:rsidRPr="00890650" w:rsidRDefault="00245356"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C3F10">
                        <w:rPr>
                          <w:rFonts w:asciiTheme="majorHAnsi" w:hAnsiTheme="majorHAnsi"/>
                          <w:color w:val="0D0D0D" w:themeColor="text1" w:themeTint="F2"/>
                          <w:sz w:val="18"/>
                          <w:szCs w:val="20"/>
                          <w:lang w:val="es-ES"/>
                        </w:rPr>
                        <w:t>2115</w:t>
                      </w:r>
                      <w:r w:rsidRPr="00890650">
                        <w:rPr>
                          <w:rFonts w:asciiTheme="majorHAnsi" w:hAnsiTheme="majorHAnsi"/>
                          <w:color w:val="0D0D0D" w:themeColor="text1" w:themeTint="F2"/>
                          <w:sz w:val="18"/>
                          <w:szCs w:val="20"/>
                          <w:lang w:val="es-ES"/>
                        </w:rPr>
                        <w:t xml:space="preserve"> celebrada el </w:t>
                      </w:r>
                      <w:r w:rsidR="002C3F10">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2C3F10">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8D6162">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2C3F10">
                        <w:rPr>
                          <w:rFonts w:asciiTheme="majorHAnsi" w:hAnsiTheme="majorHAnsi" w:cs="Univers"/>
                          <w:color w:val="0D0D0D" w:themeColor="text1" w:themeTint="F2"/>
                          <w:sz w:val="18"/>
                          <w:szCs w:val="20"/>
                          <w:lang w:val="es-ES_tradnl"/>
                        </w:rPr>
                        <w:t>167</w:t>
                      </w:r>
                      <w:r w:rsidRPr="00890650">
                        <w:rPr>
                          <w:rFonts w:asciiTheme="majorHAnsi" w:hAnsiTheme="majorHAnsi" w:cs="Univers"/>
                          <w:color w:val="0D0D0D" w:themeColor="text1" w:themeTint="F2"/>
                          <w:sz w:val="18"/>
                          <w:szCs w:val="20"/>
                          <w:lang w:val="es-ES_tradnl"/>
                        </w:rPr>
                        <w:t xml:space="preserve"> período </w:t>
                      </w:r>
                      <w:r w:rsidR="002C3F10">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8D6162">
                        <w:rPr>
                          <w:rFonts w:asciiTheme="majorHAnsi" w:hAnsiTheme="majorHAnsi" w:cs="Univers"/>
                          <w:color w:val="0D0D0D" w:themeColor="text1" w:themeTint="F2"/>
                          <w:sz w:val="18"/>
                          <w:szCs w:val="20"/>
                          <w:lang w:val="es-ES_tradnl"/>
                        </w:rPr>
                        <w:t>.</w:t>
                      </w:r>
                    </w:p>
                    <w:p w14:paraId="4BDF3581" w14:textId="77777777" w:rsidR="00245356" w:rsidRPr="007A5817" w:rsidRDefault="0024535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245356" w:rsidRPr="00167A34" w:rsidRDefault="0024535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255657F" w:rsidR="00245356" w:rsidRPr="007B05C4" w:rsidRDefault="0024535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C3F10" w:rsidRPr="002C3F10">
                              <w:rPr>
                                <w:rFonts w:asciiTheme="majorHAnsi" w:hAnsiTheme="majorHAnsi"/>
                                <w:color w:val="595959" w:themeColor="text1" w:themeTint="A6"/>
                                <w:sz w:val="18"/>
                                <w:szCs w:val="18"/>
                                <w:lang w:val="pt-BR"/>
                              </w:rPr>
                              <w:t>1</w:t>
                            </w:r>
                            <w:r w:rsidRPr="002C3F10">
                              <w:rPr>
                                <w:rFonts w:asciiTheme="majorHAnsi" w:hAnsiTheme="majorHAnsi"/>
                                <w:color w:val="595959" w:themeColor="text1" w:themeTint="A6"/>
                                <w:sz w:val="18"/>
                                <w:szCs w:val="18"/>
                                <w:lang w:val="pt-BR"/>
                              </w:rPr>
                              <w:t xml:space="preserve">/18. </w:t>
                            </w:r>
                            <w:r>
                              <w:rPr>
                                <w:rFonts w:asciiTheme="majorHAnsi" w:hAnsiTheme="majorHAnsi"/>
                                <w:color w:val="595959" w:themeColor="text1" w:themeTint="A6"/>
                                <w:sz w:val="18"/>
                                <w:szCs w:val="18"/>
                                <w:lang w:val="es-ES_tradnl"/>
                              </w:rPr>
                              <w:t>Admisibilidad. Mirta Elizabeth Canelo Castaño y Carla Paola Canelo. Argentina</w:t>
                            </w:r>
                            <w:r w:rsidRPr="00890650">
                              <w:rPr>
                                <w:rFonts w:asciiTheme="majorHAnsi" w:hAnsiTheme="majorHAnsi"/>
                                <w:color w:val="595959" w:themeColor="text1" w:themeTint="A6"/>
                                <w:sz w:val="18"/>
                                <w:szCs w:val="18"/>
                                <w:lang w:val="es-ES_tradnl"/>
                              </w:rPr>
                              <w:t xml:space="preserve">. </w:t>
                            </w:r>
                            <w:r w:rsidR="002C3F10">
                              <w:rPr>
                                <w:rFonts w:asciiTheme="majorHAnsi" w:hAnsiTheme="majorHAnsi"/>
                                <w:color w:val="595959" w:themeColor="text1" w:themeTint="A6"/>
                                <w:sz w:val="18"/>
                                <w:szCs w:val="18"/>
                                <w:lang w:val="es-ES"/>
                              </w:rPr>
                              <w:t>24 de febrero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255657F" w:rsidR="00245356" w:rsidRPr="007B05C4" w:rsidRDefault="0024535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C3F10" w:rsidRPr="002C3F10">
                        <w:rPr>
                          <w:rFonts w:asciiTheme="majorHAnsi" w:hAnsiTheme="majorHAnsi"/>
                          <w:color w:val="595959" w:themeColor="text1" w:themeTint="A6"/>
                          <w:sz w:val="18"/>
                          <w:szCs w:val="18"/>
                          <w:lang w:val="pt-BR"/>
                        </w:rPr>
                        <w:t>1</w:t>
                      </w:r>
                      <w:r w:rsidRPr="002C3F10">
                        <w:rPr>
                          <w:rFonts w:asciiTheme="majorHAnsi" w:hAnsiTheme="majorHAnsi"/>
                          <w:color w:val="595959" w:themeColor="text1" w:themeTint="A6"/>
                          <w:sz w:val="18"/>
                          <w:szCs w:val="18"/>
                          <w:lang w:val="pt-BR"/>
                        </w:rPr>
                        <w:t xml:space="preserve">/18. </w:t>
                      </w:r>
                      <w:r>
                        <w:rPr>
                          <w:rFonts w:asciiTheme="majorHAnsi" w:hAnsiTheme="majorHAnsi"/>
                          <w:color w:val="595959" w:themeColor="text1" w:themeTint="A6"/>
                          <w:sz w:val="18"/>
                          <w:szCs w:val="18"/>
                          <w:lang w:val="es-ES_tradnl"/>
                        </w:rPr>
                        <w:t>Admisibilidad. Mirta Elizabeth Canelo Castaño y Carla Paola Canelo. Argentina</w:t>
                      </w:r>
                      <w:r w:rsidRPr="00890650">
                        <w:rPr>
                          <w:rFonts w:asciiTheme="majorHAnsi" w:hAnsiTheme="majorHAnsi"/>
                          <w:color w:val="595959" w:themeColor="text1" w:themeTint="A6"/>
                          <w:sz w:val="18"/>
                          <w:szCs w:val="18"/>
                          <w:lang w:val="es-ES_tradnl"/>
                        </w:rPr>
                        <w:t xml:space="preserve">. </w:t>
                      </w:r>
                      <w:r w:rsidR="002C3F10">
                        <w:rPr>
                          <w:rFonts w:asciiTheme="majorHAnsi" w:hAnsiTheme="majorHAnsi"/>
                          <w:color w:val="595959" w:themeColor="text1" w:themeTint="A6"/>
                          <w:sz w:val="18"/>
                          <w:szCs w:val="18"/>
                          <w:lang w:val="es-ES"/>
                        </w:rPr>
                        <w:t>24 de febrero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FE1B253" w14:textId="7BE69200" w:rsidR="0070697F" w:rsidRDefault="00D306D1" w:rsidP="002148C4">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245356" w:rsidRPr="00D72DC6" w:rsidRDefault="0024535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245356" w:rsidRPr="00D72DC6" w:rsidRDefault="0024535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245356" w:rsidRPr="004B7EB6" w:rsidRDefault="0024535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245356" w:rsidRPr="004B7EB6" w:rsidRDefault="0024535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BE5D782" w14:textId="77777777" w:rsidR="0050055F" w:rsidRDefault="0050055F" w:rsidP="002148C4">
      <w:pPr>
        <w:spacing w:after="240"/>
        <w:ind w:firstLine="720"/>
        <w:jc w:val="both"/>
        <w:rPr>
          <w:rFonts w:asciiTheme="majorHAnsi" w:hAnsiTheme="majorHAnsi"/>
          <w:b/>
          <w:bCs/>
          <w:sz w:val="20"/>
          <w:szCs w:val="20"/>
          <w:lang w:val="es-ES"/>
        </w:rPr>
      </w:pPr>
    </w:p>
    <w:p w14:paraId="0B893D91" w14:textId="77777777" w:rsidR="0050055F" w:rsidRDefault="0050055F" w:rsidP="002148C4">
      <w:pPr>
        <w:spacing w:after="240"/>
        <w:ind w:firstLine="720"/>
        <w:jc w:val="both"/>
        <w:rPr>
          <w:rFonts w:asciiTheme="majorHAnsi" w:hAnsiTheme="majorHAnsi"/>
          <w:b/>
          <w:bCs/>
          <w:sz w:val="20"/>
          <w:szCs w:val="20"/>
          <w:lang w:val="es-ES"/>
        </w:rPr>
      </w:pPr>
    </w:p>
    <w:p w14:paraId="376DDC8B" w14:textId="77777777" w:rsidR="003239B8" w:rsidRPr="000419AD" w:rsidRDefault="003239B8" w:rsidP="002148C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148C4" w:rsidRPr="00955FDB" w14:paraId="5A79D1F7" w14:textId="77777777" w:rsidTr="002148C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245356">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14:paraId="3C5315D8" w14:textId="28AB3D32" w:rsidR="003239B8" w:rsidRPr="00244B34" w:rsidRDefault="00244B34" w:rsidP="00245356">
            <w:pPr>
              <w:jc w:val="both"/>
              <w:rPr>
                <w:rFonts w:ascii="Cambria" w:hAnsi="Cambria"/>
                <w:bCs/>
                <w:sz w:val="20"/>
                <w:szCs w:val="20"/>
                <w:lang w:val="es-US"/>
              </w:rPr>
            </w:pPr>
            <w:r>
              <w:rPr>
                <w:rFonts w:ascii="Cambria" w:hAnsi="Cambria"/>
                <w:bCs/>
                <w:sz w:val="20"/>
                <w:szCs w:val="20"/>
                <w:lang w:val="es-US"/>
              </w:rPr>
              <w:t xml:space="preserve">Grupo de Mujeres de la Argentina – Foro de VIH Mujeres y Familia </w:t>
            </w:r>
          </w:p>
        </w:tc>
      </w:tr>
      <w:tr w:rsidR="002148C4" w:rsidRPr="00955FDB" w14:paraId="593A7E45" w14:textId="77777777" w:rsidTr="002148C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8304FC" w:rsidP="0024535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7C98C321" w:rsidR="003239B8" w:rsidRPr="004C2312" w:rsidRDefault="0085219C" w:rsidP="00875B00">
            <w:pPr>
              <w:jc w:val="both"/>
              <w:rPr>
                <w:rFonts w:ascii="Cambria" w:hAnsi="Cambria"/>
                <w:bCs/>
                <w:sz w:val="20"/>
                <w:szCs w:val="20"/>
                <w:lang w:val="es-ES"/>
              </w:rPr>
            </w:pPr>
            <w:r>
              <w:rPr>
                <w:rFonts w:ascii="Cambria" w:hAnsi="Cambria"/>
                <w:bCs/>
                <w:sz w:val="20"/>
                <w:szCs w:val="20"/>
                <w:lang w:val="es-ES"/>
              </w:rPr>
              <w:t xml:space="preserve">Mirta </w:t>
            </w:r>
            <w:r w:rsidR="00D15BC3">
              <w:rPr>
                <w:rFonts w:ascii="Cambria" w:hAnsi="Cambria"/>
                <w:bCs/>
                <w:sz w:val="20"/>
                <w:szCs w:val="20"/>
                <w:lang w:val="es-ES"/>
              </w:rPr>
              <w:t xml:space="preserve">Elizabeth </w:t>
            </w:r>
            <w:r w:rsidR="00B456BC" w:rsidRPr="0085219C">
              <w:rPr>
                <w:rFonts w:ascii="Cambria" w:hAnsi="Cambria"/>
                <w:bCs/>
                <w:sz w:val="20"/>
                <w:szCs w:val="20"/>
                <w:lang w:val="es-ES"/>
              </w:rPr>
              <w:t>Can</w:t>
            </w:r>
            <w:r w:rsidR="00244B34" w:rsidRPr="0085219C">
              <w:rPr>
                <w:rFonts w:ascii="Cambria" w:hAnsi="Cambria"/>
                <w:bCs/>
                <w:sz w:val="20"/>
                <w:szCs w:val="20"/>
                <w:lang w:val="es-ES"/>
              </w:rPr>
              <w:t>elo</w:t>
            </w:r>
            <w:r w:rsidR="00244B34" w:rsidRPr="009C2800">
              <w:rPr>
                <w:rFonts w:ascii="Cambria" w:hAnsi="Cambria"/>
                <w:bCs/>
                <w:sz w:val="20"/>
                <w:szCs w:val="20"/>
                <w:lang w:val="es-ES"/>
              </w:rPr>
              <w:t xml:space="preserve"> </w:t>
            </w:r>
            <w:r w:rsidR="00244B34">
              <w:rPr>
                <w:rFonts w:ascii="Cambria" w:hAnsi="Cambria"/>
                <w:bCs/>
                <w:sz w:val="20"/>
                <w:szCs w:val="20"/>
                <w:lang w:val="es-ES"/>
              </w:rPr>
              <w:t xml:space="preserve">Castaño </w:t>
            </w:r>
            <w:r w:rsidR="00B456BC">
              <w:rPr>
                <w:rFonts w:ascii="Cambria" w:hAnsi="Cambria"/>
                <w:bCs/>
                <w:sz w:val="20"/>
                <w:szCs w:val="20"/>
                <w:lang w:val="es-ES"/>
              </w:rPr>
              <w:t xml:space="preserve">y </w:t>
            </w:r>
            <w:r w:rsidR="008F3714">
              <w:rPr>
                <w:rFonts w:ascii="Cambria" w:hAnsi="Cambria"/>
                <w:bCs/>
                <w:sz w:val="20"/>
                <w:szCs w:val="20"/>
                <w:lang w:val="es-ES"/>
              </w:rPr>
              <w:t>familia</w:t>
            </w:r>
          </w:p>
        </w:tc>
      </w:tr>
      <w:tr w:rsidR="002148C4" w14:paraId="3E62E1D3" w14:textId="77777777" w:rsidTr="002148C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245356">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5760" w:type="dxa"/>
            <w:vAlign w:val="center"/>
          </w:tcPr>
          <w:p w14:paraId="274C8A50" w14:textId="1AC4E5F8" w:rsidR="003239B8" w:rsidRPr="004B3C14" w:rsidRDefault="00FC78DF" w:rsidP="00245356">
            <w:pPr>
              <w:jc w:val="both"/>
              <w:rPr>
                <w:rFonts w:ascii="Cambria" w:hAnsi="Cambria"/>
                <w:bCs/>
                <w:sz w:val="20"/>
                <w:szCs w:val="20"/>
              </w:rPr>
            </w:pPr>
            <w:r>
              <w:rPr>
                <w:rFonts w:ascii="Cambria" w:hAnsi="Cambria"/>
                <w:bCs/>
                <w:sz w:val="20"/>
                <w:szCs w:val="20"/>
              </w:rPr>
              <w:t>Argentina</w:t>
            </w:r>
          </w:p>
        </w:tc>
      </w:tr>
      <w:tr w:rsidR="002148C4" w:rsidRPr="00955FDB" w14:paraId="632511BC" w14:textId="77777777" w:rsidTr="002148C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14:paraId="6DEE1EEB" w14:textId="785F35D5" w:rsidR="00831969" w:rsidRPr="00B92168" w:rsidRDefault="00831969" w:rsidP="00767501">
            <w:pPr>
              <w:jc w:val="both"/>
              <w:rPr>
                <w:rFonts w:ascii="Cambria" w:hAnsi="Cambria"/>
                <w:bCs/>
                <w:sz w:val="20"/>
                <w:szCs w:val="20"/>
                <w:lang w:val="es-US"/>
              </w:rPr>
            </w:pPr>
            <w:r w:rsidRPr="00E46CF9">
              <w:rPr>
                <w:rFonts w:ascii="Cambria" w:hAnsi="Cambria"/>
                <w:bCs/>
                <w:sz w:val="20"/>
                <w:szCs w:val="20"/>
                <w:lang w:val="es-ES"/>
              </w:rPr>
              <w:t>Artículos 4 (vida), 5 (integridad personal),</w:t>
            </w:r>
            <w:r>
              <w:rPr>
                <w:rFonts w:ascii="Cambria" w:hAnsi="Cambria"/>
                <w:bCs/>
                <w:sz w:val="20"/>
                <w:szCs w:val="20"/>
                <w:lang w:val="es-ES"/>
              </w:rPr>
              <w:t xml:space="preserve"> 7 (libertad personal),</w:t>
            </w:r>
            <w:r w:rsidRPr="00E46CF9">
              <w:rPr>
                <w:rFonts w:ascii="Cambria" w:hAnsi="Cambria"/>
                <w:bCs/>
                <w:sz w:val="20"/>
                <w:szCs w:val="20"/>
                <w:lang w:val="es-ES"/>
              </w:rPr>
              <w:t xml:space="preserve"> 8 (garantías judiciales), </w:t>
            </w:r>
            <w:r>
              <w:rPr>
                <w:rFonts w:ascii="Cambria" w:hAnsi="Cambria"/>
                <w:bCs/>
                <w:sz w:val="20"/>
                <w:szCs w:val="20"/>
                <w:lang w:val="es-ES"/>
              </w:rPr>
              <w:t>11 (protección de la honra y de la d</w:t>
            </w:r>
            <w:r w:rsidRPr="00831969">
              <w:rPr>
                <w:rFonts w:ascii="Cambria" w:hAnsi="Cambria"/>
                <w:bCs/>
                <w:sz w:val="20"/>
                <w:szCs w:val="20"/>
                <w:lang w:val="es-ES"/>
              </w:rPr>
              <w:t>ignidad</w:t>
            </w:r>
            <w:r>
              <w:rPr>
                <w:rFonts w:ascii="Cambria" w:hAnsi="Cambria"/>
                <w:bCs/>
                <w:sz w:val="20"/>
                <w:szCs w:val="20"/>
                <w:lang w:val="es-ES"/>
              </w:rPr>
              <w:t xml:space="preserve">) </w:t>
            </w:r>
            <w:r w:rsidRPr="00E46CF9">
              <w:rPr>
                <w:rFonts w:ascii="Cambria" w:hAnsi="Cambria"/>
                <w:bCs/>
                <w:sz w:val="20"/>
                <w:szCs w:val="20"/>
                <w:lang w:val="es-ES"/>
              </w:rPr>
              <w:t xml:space="preserve">y </w:t>
            </w:r>
            <w:r w:rsidRPr="00E46CF9">
              <w:rPr>
                <w:rFonts w:asciiTheme="majorHAnsi" w:hAnsiTheme="majorHAnsi"/>
                <w:sz w:val="20"/>
                <w:szCs w:val="20"/>
                <w:lang w:val="es-ES"/>
              </w:rPr>
              <w:t xml:space="preserve">25 (protección judicial) </w:t>
            </w:r>
            <w:r w:rsidR="00C71263" w:rsidRPr="00831969">
              <w:rPr>
                <w:rFonts w:ascii="Cambria" w:hAnsi="Cambria"/>
                <w:bCs/>
                <w:sz w:val="20"/>
                <w:szCs w:val="20"/>
                <w:lang w:val="es-ES"/>
              </w:rPr>
              <w:t>de la Convención Americana sobre Derechos Humanos</w:t>
            </w:r>
            <w:r w:rsidR="00C71263">
              <w:rPr>
                <w:rStyle w:val="FootnoteReference"/>
                <w:rFonts w:ascii="Cambria" w:hAnsi="Cambria"/>
                <w:bCs/>
                <w:sz w:val="20"/>
                <w:szCs w:val="20"/>
                <w:lang w:val="es-ES"/>
              </w:rPr>
              <w:footnoteReference w:id="2"/>
            </w:r>
            <w:r w:rsidR="00C71263">
              <w:rPr>
                <w:rFonts w:ascii="Cambria" w:hAnsi="Cambria"/>
                <w:bCs/>
                <w:sz w:val="20"/>
                <w:szCs w:val="20"/>
                <w:lang w:val="es-ES"/>
              </w:rPr>
              <w:t xml:space="preserve">, </w:t>
            </w:r>
            <w:r w:rsidRPr="00E46CF9">
              <w:rPr>
                <w:rFonts w:ascii="Cambria" w:hAnsi="Cambria"/>
                <w:bCs/>
                <w:sz w:val="20"/>
                <w:szCs w:val="20"/>
                <w:lang w:val="es-ES"/>
              </w:rPr>
              <w:t xml:space="preserve">en relación con </w:t>
            </w:r>
            <w:r w:rsidR="00A37A2A">
              <w:rPr>
                <w:rFonts w:ascii="Cambria" w:hAnsi="Cambria"/>
                <w:bCs/>
                <w:sz w:val="20"/>
                <w:szCs w:val="20"/>
                <w:lang w:val="es-ES"/>
              </w:rPr>
              <w:t xml:space="preserve">sus </w:t>
            </w:r>
            <w:r w:rsidRPr="00E46CF9">
              <w:rPr>
                <w:rFonts w:ascii="Cambria" w:hAnsi="Cambria"/>
                <w:bCs/>
                <w:sz w:val="20"/>
                <w:szCs w:val="20"/>
                <w:lang w:val="es-ES"/>
              </w:rPr>
              <w:t xml:space="preserve">artículos 1.1 (obligación de respetar los derechos) y 2 (deber de adoptar disposiciones de derecho interno)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148C4" w:rsidRPr="00BE184D" w14:paraId="306EFCB0" w14:textId="77777777" w:rsidTr="002148C4">
        <w:tc>
          <w:tcPr>
            <w:tcW w:w="3600" w:type="dxa"/>
            <w:tcBorders>
              <w:top w:val="single" w:sz="6" w:space="0" w:color="auto"/>
              <w:bottom w:val="single" w:sz="6" w:space="0" w:color="auto"/>
            </w:tcBorders>
            <w:shd w:val="clear" w:color="auto" w:fill="386294"/>
            <w:vAlign w:val="center"/>
          </w:tcPr>
          <w:p w14:paraId="7508D16F" w14:textId="5DCB5D53" w:rsidR="004C2312" w:rsidRPr="003239B8" w:rsidRDefault="00AA0D52" w:rsidP="00AA0D5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20A884E" w:rsidR="004C2312" w:rsidRPr="003239B8" w:rsidRDefault="00FC78DF" w:rsidP="00245356">
            <w:pPr>
              <w:jc w:val="both"/>
              <w:rPr>
                <w:rFonts w:ascii="Cambria" w:hAnsi="Cambria"/>
                <w:bCs/>
                <w:sz w:val="20"/>
                <w:szCs w:val="20"/>
                <w:lang w:val="es-ES"/>
              </w:rPr>
            </w:pPr>
            <w:r>
              <w:rPr>
                <w:rFonts w:ascii="Cambria" w:hAnsi="Cambria"/>
                <w:bCs/>
                <w:sz w:val="20"/>
                <w:szCs w:val="20"/>
                <w:lang w:val="es-ES"/>
              </w:rPr>
              <w:t>7 de febrero de 2007</w:t>
            </w:r>
          </w:p>
        </w:tc>
      </w:tr>
      <w:tr w:rsidR="002148C4" w:rsidRPr="00EB01A1" w14:paraId="5D96B7DC" w14:textId="77777777" w:rsidTr="002148C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00ACB9B2" w:rsidR="001E49E7" w:rsidRPr="00732050" w:rsidRDefault="004A53F6" w:rsidP="00156DE6">
            <w:pPr>
              <w:jc w:val="both"/>
              <w:rPr>
                <w:rFonts w:ascii="Cambria" w:hAnsi="Cambria"/>
                <w:bCs/>
                <w:sz w:val="20"/>
                <w:szCs w:val="20"/>
                <w:lang w:val="es-AR"/>
              </w:rPr>
            </w:pPr>
            <w:r>
              <w:rPr>
                <w:rFonts w:ascii="Cambria" w:hAnsi="Cambria"/>
                <w:bCs/>
                <w:sz w:val="20"/>
                <w:szCs w:val="20"/>
                <w:lang w:val="es-AR"/>
              </w:rPr>
              <w:t>2 de abril de 2011;</w:t>
            </w:r>
            <w:r w:rsidR="008611D0">
              <w:rPr>
                <w:rFonts w:ascii="Cambria" w:hAnsi="Cambria"/>
                <w:bCs/>
                <w:sz w:val="20"/>
                <w:szCs w:val="20"/>
                <w:lang w:val="es-AR"/>
              </w:rPr>
              <w:t xml:space="preserve"> 30 de abril de 2012</w:t>
            </w:r>
          </w:p>
        </w:tc>
      </w:tr>
      <w:tr w:rsidR="002148C4" w:rsidRPr="00FC78DF" w14:paraId="1BDCD5C6" w14:textId="77777777" w:rsidTr="002148C4">
        <w:tc>
          <w:tcPr>
            <w:tcW w:w="3600" w:type="dxa"/>
            <w:tcBorders>
              <w:top w:val="single" w:sz="6" w:space="0" w:color="auto"/>
              <w:bottom w:val="single" w:sz="6" w:space="0" w:color="auto"/>
            </w:tcBorders>
            <w:shd w:val="clear" w:color="auto" w:fill="386294"/>
            <w:vAlign w:val="center"/>
          </w:tcPr>
          <w:p w14:paraId="7A18664F" w14:textId="71E8D89C" w:rsidR="004C2312" w:rsidRPr="003239B8" w:rsidRDefault="00DF7D23" w:rsidP="00245356">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11A37FD0" w:rsidR="004C2312" w:rsidRPr="003239B8" w:rsidRDefault="008611D0" w:rsidP="00245356">
            <w:pPr>
              <w:jc w:val="both"/>
              <w:rPr>
                <w:rFonts w:ascii="Cambria" w:hAnsi="Cambria"/>
                <w:bCs/>
                <w:sz w:val="20"/>
                <w:szCs w:val="20"/>
                <w:lang w:val="es-ES"/>
              </w:rPr>
            </w:pPr>
            <w:r>
              <w:rPr>
                <w:rFonts w:ascii="Cambria" w:hAnsi="Cambria"/>
                <w:bCs/>
                <w:sz w:val="20"/>
                <w:szCs w:val="20"/>
                <w:lang w:val="es-ES"/>
              </w:rPr>
              <w:t>28 de junio de 2013</w:t>
            </w:r>
          </w:p>
        </w:tc>
      </w:tr>
      <w:tr w:rsidR="002148C4" w:rsidRPr="00FC78DF" w14:paraId="6147A8D5" w14:textId="77777777" w:rsidTr="002148C4">
        <w:tc>
          <w:tcPr>
            <w:tcW w:w="3600" w:type="dxa"/>
            <w:tcBorders>
              <w:top w:val="single" w:sz="6" w:space="0" w:color="auto"/>
              <w:bottom w:val="single" w:sz="6" w:space="0" w:color="auto"/>
            </w:tcBorders>
            <w:shd w:val="clear" w:color="auto" w:fill="386294"/>
            <w:vAlign w:val="center"/>
          </w:tcPr>
          <w:p w14:paraId="0201C86D" w14:textId="0CCAC193" w:rsidR="004C2312" w:rsidRPr="003239B8" w:rsidRDefault="00DF7D23" w:rsidP="00245356">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320637E3" w:rsidR="004C2312" w:rsidRPr="003239B8" w:rsidRDefault="004A53F6" w:rsidP="00245356">
            <w:pPr>
              <w:jc w:val="both"/>
              <w:rPr>
                <w:rFonts w:ascii="Cambria" w:hAnsi="Cambria"/>
                <w:bCs/>
                <w:sz w:val="20"/>
                <w:szCs w:val="20"/>
                <w:lang w:val="es-ES"/>
              </w:rPr>
            </w:pPr>
            <w:r>
              <w:rPr>
                <w:rFonts w:ascii="Cambria" w:hAnsi="Cambria"/>
                <w:bCs/>
                <w:sz w:val="20"/>
                <w:szCs w:val="20"/>
                <w:lang w:val="es-ES"/>
              </w:rPr>
              <w:t>6 de febrero de 2014</w:t>
            </w:r>
          </w:p>
        </w:tc>
      </w:tr>
      <w:tr w:rsidR="002148C4" w:rsidRPr="009C1C20" w14:paraId="1DE2855A" w14:textId="77777777" w:rsidTr="002148C4">
        <w:tc>
          <w:tcPr>
            <w:tcW w:w="3600" w:type="dxa"/>
            <w:tcBorders>
              <w:top w:val="single" w:sz="6" w:space="0" w:color="auto"/>
              <w:bottom w:val="single" w:sz="6" w:space="0" w:color="auto"/>
            </w:tcBorders>
            <w:shd w:val="clear" w:color="auto" w:fill="386294"/>
            <w:vAlign w:val="center"/>
          </w:tcPr>
          <w:p w14:paraId="4F9DC3C0" w14:textId="35BD5261" w:rsidR="005F5901" w:rsidRPr="003239B8" w:rsidRDefault="005F5901" w:rsidP="00061F11">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760" w:type="dxa"/>
            <w:vAlign w:val="center"/>
          </w:tcPr>
          <w:p w14:paraId="726B6A86" w14:textId="0DCE130B" w:rsidR="005F5901" w:rsidRDefault="00156DE6" w:rsidP="00061F11">
            <w:pPr>
              <w:jc w:val="both"/>
              <w:rPr>
                <w:rFonts w:ascii="Cambria" w:hAnsi="Cambria"/>
                <w:bCs/>
                <w:sz w:val="20"/>
                <w:szCs w:val="20"/>
                <w:lang w:val="es-ES"/>
              </w:rPr>
            </w:pPr>
            <w:r>
              <w:rPr>
                <w:rFonts w:ascii="Cambria" w:hAnsi="Cambria"/>
                <w:bCs/>
                <w:sz w:val="20"/>
                <w:szCs w:val="20"/>
                <w:lang w:val="es-ES"/>
              </w:rPr>
              <w:t xml:space="preserve">4, 6, </w:t>
            </w:r>
            <w:r w:rsidR="008F3714">
              <w:rPr>
                <w:rFonts w:ascii="Cambria" w:hAnsi="Cambria"/>
                <w:bCs/>
                <w:sz w:val="20"/>
                <w:szCs w:val="20"/>
                <w:lang w:val="es-ES"/>
              </w:rPr>
              <w:t xml:space="preserve">27 </w:t>
            </w:r>
            <w:r>
              <w:rPr>
                <w:rFonts w:ascii="Cambria" w:hAnsi="Cambria"/>
                <w:bCs/>
                <w:sz w:val="20"/>
                <w:szCs w:val="20"/>
                <w:lang w:val="es-ES"/>
              </w:rPr>
              <w:t xml:space="preserve">y 28 </w:t>
            </w:r>
            <w:r w:rsidR="008F3714">
              <w:rPr>
                <w:rFonts w:ascii="Cambria" w:hAnsi="Cambria"/>
                <w:bCs/>
                <w:sz w:val="20"/>
                <w:szCs w:val="20"/>
                <w:lang w:val="es-ES"/>
              </w:rPr>
              <w:t>de febrero de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148C4" w:rsidRPr="00540F17" w14:paraId="072532AD" w14:textId="77777777" w:rsidTr="002148C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245356">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14:paraId="7707F3E9" w14:textId="1BDD69E5" w:rsidR="003239B8" w:rsidRPr="004B3C14" w:rsidRDefault="00FE68AB" w:rsidP="00245356">
            <w:pPr>
              <w:rPr>
                <w:rFonts w:ascii="Cambria" w:hAnsi="Cambria"/>
                <w:bCs/>
                <w:sz w:val="20"/>
                <w:szCs w:val="20"/>
              </w:rPr>
            </w:pPr>
            <w:r>
              <w:rPr>
                <w:rFonts w:ascii="Cambria" w:hAnsi="Cambria"/>
                <w:bCs/>
                <w:sz w:val="20"/>
                <w:szCs w:val="20"/>
              </w:rPr>
              <w:t>Sí</w:t>
            </w:r>
          </w:p>
        </w:tc>
      </w:tr>
      <w:tr w:rsidR="002148C4" w:rsidRPr="00540F17" w14:paraId="4B8802DA" w14:textId="77777777" w:rsidTr="002148C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245356">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14:paraId="12C931CB" w14:textId="25576979" w:rsidR="003239B8" w:rsidRPr="004B3C14" w:rsidRDefault="00FE68AB" w:rsidP="00245356">
            <w:pPr>
              <w:rPr>
                <w:rFonts w:ascii="Cambria" w:hAnsi="Cambria"/>
                <w:bCs/>
                <w:sz w:val="20"/>
                <w:szCs w:val="20"/>
              </w:rPr>
            </w:pPr>
            <w:r>
              <w:rPr>
                <w:rFonts w:ascii="Cambria" w:hAnsi="Cambria"/>
                <w:bCs/>
                <w:sz w:val="20"/>
                <w:szCs w:val="20"/>
              </w:rPr>
              <w:t>Sí</w:t>
            </w:r>
          </w:p>
        </w:tc>
      </w:tr>
      <w:tr w:rsidR="002148C4" w:rsidRPr="00540F17" w14:paraId="4362FDF3" w14:textId="77777777" w:rsidTr="002148C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245356">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14:paraId="6F8B059B" w14:textId="3F64E8D3" w:rsidR="003239B8" w:rsidRPr="00153E77" w:rsidRDefault="00FE68AB" w:rsidP="00245356">
            <w:pPr>
              <w:rPr>
                <w:bCs/>
                <w:sz w:val="20"/>
                <w:szCs w:val="20"/>
              </w:rPr>
            </w:pPr>
            <w:r w:rsidRPr="003A49CB">
              <w:rPr>
                <w:rFonts w:ascii="Cambria" w:hAnsi="Cambria"/>
                <w:bCs/>
                <w:sz w:val="20"/>
                <w:szCs w:val="20"/>
              </w:rPr>
              <w:t>Sí</w:t>
            </w:r>
          </w:p>
        </w:tc>
      </w:tr>
      <w:tr w:rsidR="002148C4" w:rsidRPr="00955FDB" w14:paraId="30ABEC3E" w14:textId="77777777" w:rsidTr="002148C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245356">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14:paraId="0C122F44" w14:textId="76C92E44" w:rsidR="003239B8" w:rsidRPr="00BA46D0" w:rsidRDefault="00FE68AB" w:rsidP="00BA46D0">
            <w:pPr>
              <w:pStyle w:val="HTMLPreformatted"/>
              <w:shd w:val="clear" w:color="auto" w:fill="FFFFFF"/>
              <w:jc w:val="both"/>
              <w:rPr>
                <w:color w:val="000000"/>
                <w:lang w:val="es-ES"/>
              </w:rPr>
            </w:pPr>
            <w:r>
              <w:rPr>
                <w:rFonts w:ascii="Cambria" w:hAnsi="Cambria"/>
                <w:bCs/>
                <w:lang w:val="es-ES"/>
              </w:rPr>
              <w:t>Sí</w:t>
            </w:r>
            <w:r w:rsidR="00BE184D">
              <w:rPr>
                <w:rFonts w:ascii="Cambria" w:hAnsi="Cambria"/>
                <w:bCs/>
                <w:lang w:val="es-ES"/>
              </w:rPr>
              <w:t>, Convenció</w:t>
            </w:r>
            <w:r w:rsidR="00DC099E">
              <w:rPr>
                <w:rFonts w:ascii="Cambria" w:hAnsi="Cambria"/>
                <w:bCs/>
                <w:lang w:val="es-ES"/>
              </w:rPr>
              <w:t>n</w:t>
            </w:r>
            <w:r w:rsidR="00BE184D">
              <w:rPr>
                <w:rFonts w:ascii="Cambria" w:hAnsi="Cambria"/>
                <w:bCs/>
                <w:lang w:val="es-ES"/>
              </w:rPr>
              <w:t xml:space="preserve"> Americana (depósito de </w:t>
            </w:r>
            <w:r w:rsidR="00E854BB">
              <w:rPr>
                <w:rFonts w:ascii="Cambria" w:hAnsi="Cambria"/>
                <w:bCs/>
                <w:lang w:val="es-ES"/>
              </w:rPr>
              <w:t>instrumento realizado</w:t>
            </w:r>
            <w:r w:rsidR="00BE184D">
              <w:rPr>
                <w:rFonts w:ascii="Cambria" w:hAnsi="Cambria"/>
                <w:bCs/>
                <w:lang w:val="es-ES"/>
              </w:rPr>
              <w:t xml:space="preserve"> el 5 de septiembre de 1984)</w:t>
            </w:r>
            <w:r w:rsidR="00D100A6">
              <w:rPr>
                <w:rFonts w:ascii="Cambria" w:hAnsi="Cambria"/>
                <w:bCs/>
                <w:lang w:val="es-ES"/>
              </w:rPr>
              <w:t>, Convención Interam</w:t>
            </w:r>
            <w:r w:rsidR="0005176A">
              <w:rPr>
                <w:rFonts w:ascii="Cambria" w:hAnsi="Cambria"/>
                <w:bCs/>
                <w:lang w:val="es-ES"/>
              </w:rPr>
              <w:t>ericana para Prevenir, Sancionar y Erradicar la Violencia contra la Mujer</w:t>
            </w:r>
            <w:r w:rsidR="00BA46D0">
              <w:rPr>
                <w:rFonts w:ascii="Cambria" w:hAnsi="Cambria"/>
                <w:bCs/>
                <w:lang w:val="es-ES"/>
              </w:rPr>
              <w:t xml:space="preserve"> (depósito de instrumento realizado el 5 de julio de 1996)</w:t>
            </w:r>
            <w:r w:rsidR="00D921DF">
              <w:rPr>
                <w:rStyle w:val="FootnoteReference"/>
                <w:rFonts w:ascii="Cambria" w:hAnsi="Cambria"/>
                <w:bCs/>
                <w:lang w:val="es-ES"/>
              </w:rPr>
              <w:footnoteReference w:id="4"/>
            </w:r>
            <w:r w:rsidR="00D100A6">
              <w:rPr>
                <w:rFonts w:ascii="Cambria" w:hAnsi="Cambria"/>
                <w:bCs/>
                <w:lang w:val="es-ES"/>
              </w:rPr>
              <w:t xml:space="preserve"> </w:t>
            </w:r>
            <w:r w:rsidR="00862430">
              <w:rPr>
                <w:rFonts w:ascii="Cambria" w:hAnsi="Cambria"/>
                <w:bCs/>
                <w:lang w:val="es-ES"/>
              </w:rPr>
              <w:t xml:space="preserve">y </w:t>
            </w:r>
            <w:r w:rsidR="00BA46D0" w:rsidRPr="00BA46D0">
              <w:rPr>
                <w:rFonts w:ascii="Cambria" w:hAnsi="Cambria"/>
                <w:bCs/>
                <w:lang w:val="es-ES"/>
              </w:rPr>
              <w:t>Convención Interamericana para Prevenir y Sancionar la Tortura</w:t>
            </w:r>
            <w:r w:rsidR="00B119C9">
              <w:rPr>
                <w:rStyle w:val="FootnoteReference"/>
                <w:rFonts w:ascii="Cambria" w:hAnsi="Cambria"/>
                <w:bCs/>
                <w:lang w:val="es-ES"/>
              </w:rPr>
              <w:footnoteReference w:id="5"/>
            </w:r>
            <w:r w:rsidR="00862430">
              <w:rPr>
                <w:rFonts w:ascii="Cambria" w:hAnsi="Cambria"/>
                <w:bCs/>
                <w:lang w:val="es-ES"/>
              </w:rPr>
              <w:t xml:space="preserve"> (depósito de </w:t>
            </w:r>
            <w:r w:rsidR="00E854BB">
              <w:rPr>
                <w:rFonts w:ascii="Cambria" w:hAnsi="Cambria"/>
                <w:bCs/>
                <w:lang w:val="es-ES"/>
              </w:rPr>
              <w:t>instrumento realizado</w:t>
            </w:r>
            <w:r w:rsidR="00862430">
              <w:rPr>
                <w:rFonts w:ascii="Cambria" w:hAnsi="Cambria"/>
                <w:bCs/>
                <w:lang w:val="es-ES"/>
              </w:rPr>
              <w:t xml:space="preserve"> el 31 de marzo de 1989)</w:t>
            </w:r>
            <w:r w:rsidR="00BA46D0">
              <w:rPr>
                <w:rFonts w:ascii="Cambria" w:hAnsi="Cambria"/>
                <w:bCs/>
                <w:lang w:val="es-ES"/>
              </w:rPr>
              <w:t xml:space="preserve"> </w:t>
            </w:r>
          </w:p>
        </w:tc>
      </w:tr>
    </w:tbl>
    <w:p w14:paraId="2B0BA504" w14:textId="77777777" w:rsidR="0050055F" w:rsidRDefault="0050055F" w:rsidP="003239B8">
      <w:pPr>
        <w:spacing w:before="240" w:after="240"/>
        <w:ind w:firstLine="720"/>
        <w:jc w:val="both"/>
        <w:rPr>
          <w:rFonts w:asciiTheme="majorHAnsi" w:hAnsiTheme="majorHAnsi"/>
          <w:b/>
          <w:bCs/>
          <w:sz w:val="20"/>
          <w:szCs w:val="20"/>
          <w:lang w:val="es-ES"/>
        </w:rPr>
      </w:pPr>
    </w:p>
    <w:p w14:paraId="78C64CE9" w14:textId="77777777" w:rsidR="0050055F" w:rsidRDefault="0050055F" w:rsidP="003239B8">
      <w:pPr>
        <w:spacing w:before="240" w:after="240"/>
        <w:ind w:firstLine="720"/>
        <w:jc w:val="both"/>
        <w:rPr>
          <w:rFonts w:asciiTheme="majorHAnsi" w:hAnsiTheme="majorHAnsi"/>
          <w:b/>
          <w:bCs/>
          <w:sz w:val="20"/>
          <w:szCs w:val="20"/>
          <w:lang w:val="es-ES"/>
        </w:rPr>
      </w:pPr>
    </w:p>
    <w:p w14:paraId="6A818B44" w14:textId="77777777" w:rsidR="0050055F" w:rsidRDefault="0050055F" w:rsidP="003239B8">
      <w:pPr>
        <w:spacing w:before="240" w:after="240"/>
        <w:ind w:firstLine="720"/>
        <w:jc w:val="both"/>
        <w:rPr>
          <w:rFonts w:asciiTheme="majorHAnsi" w:hAnsiTheme="majorHAnsi"/>
          <w:b/>
          <w:bCs/>
          <w:sz w:val="20"/>
          <w:szCs w:val="20"/>
          <w:lang w:val="es-ES"/>
        </w:rPr>
      </w:pPr>
    </w:p>
    <w:p w14:paraId="06C89CE1" w14:textId="77777777" w:rsidR="0050055F" w:rsidRDefault="0050055F" w:rsidP="003239B8">
      <w:pPr>
        <w:spacing w:before="240" w:after="240"/>
        <w:ind w:firstLine="720"/>
        <w:jc w:val="both"/>
        <w:rPr>
          <w:rFonts w:asciiTheme="majorHAnsi" w:hAnsiTheme="majorHAnsi"/>
          <w:b/>
          <w:bCs/>
          <w:sz w:val="20"/>
          <w:szCs w:val="20"/>
          <w:lang w:val="es-ES"/>
        </w:rPr>
      </w:pPr>
    </w:p>
    <w:p w14:paraId="4E92C444" w14:textId="48CC393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F071C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148C4" w:rsidRPr="00FC78DF" w14:paraId="1231C988" w14:textId="77777777" w:rsidTr="002148C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245356">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59F659DA" w:rsidR="00EE00E9" w:rsidRPr="00EE00E9" w:rsidRDefault="00FE68AB" w:rsidP="00245356">
            <w:pPr>
              <w:jc w:val="both"/>
              <w:rPr>
                <w:rFonts w:ascii="Cambria" w:hAnsi="Cambria"/>
                <w:bCs/>
                <w:sz w:val="20"/>
                <w:szCs w:val="20"/>
                <w:lang w:val="es-ES"/>
              </w:rPr>
            </w:pPr>
            <w:r>
              <w:rPr>
                <w:rFonts w:ascii="Cambria" w:hAnsi="Cambria"/>
                <w:bCs/>
                <w:sz w:val="20"/>
                <w:szCs w:val="20"/>
                <w:lang w:val="es-ES"/>
              </w:rPr>
              <w:t>No</w:t>
            </w:r>
          </w:p>
        </w:tc>
      </w:tr>
      <w:tr w:rsidR="003239B8" w:rsidRPr="00955FDB" w14:paraId="15FAA7D1" w14:textId="77777777" w:rsidTr="003A49CB">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245356">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5760" w:type="dxa"/>
            <w:vAlign w:val="center"/>
          </w:tcPr>
          <w:p w14:paraId="6310C8F7" w14:textId="3F42A4DE" w:rsidR="003239B8" w:rsidRPr="002A7914" w:rsidRDefault="00BE184D" w:rsidP="00F37CD6">
            <w:pPr>
              <w:jc w:val="both"/>
              <w:rPr>
                <w:rFonts w:ascii="Cambria" w:hAnsi="Cambria"/>
                <w:bCs/>
                <w:sz w:val="20"/>
                <w:szCs w:val="20"/>
                <w:lang w:val="es-US"/>
              </w:rPr>
            </w:pPr>
            <w:r w:rsidRPr="002A7914">
              <w:rPr>
                <w:rFonts w:ascii="Cambria" w:hAnsi="Cambria"/>
                <w:bCs/>
                <w:sz w:val="20"/>
                <w:szCs w:val="20"/>
                <w:lang w:val="es-US"/>
              </w:rPr>
              <w:t xml:space="preserve">Artículos </w:t>
            </w:r>
            <w:r w:rsidR="002A7914" w:rsidRPr="002A7914">
              <w:rPr>
                <w:rFonts w:ascii="Cambria" w:hAnsi="Cambria"/>
                <w:bCs/>
                <w:sz w:val="20"/>
                <w:szCs w:val="20"/>
                <w:lang w:val="es-US"/>
              </w:rPr>
              <w:t>4 (vida), 5 (integridad personal),</w:t>
            </w:r>
            <w:r w:rsidR="00F37CD6">
              <w:rPr>
                <w:rFonts w:ascii="Cambria" w:hAnsi="Cambria"/>
                <w:bCs/>
                <w:sz w:val="20"/>
                <w:szCs w:val="20"/>
                <w:lang w:val="es-US"/>
              </w:rPr>
              <w:t xml:space="preserve"> 7 (libertad personal),</w:t>
            </w:r>
            <w:r w:rsidR="002A7914" w:rsidRPr="002A7914">
              <w:rPr>
                <w:rFonts w:ascii="Cambria" w:hAnsi="Cambria"/>
                <w:bCs/>
                <w:sz w:val="20"/>
                <w:szCs w:val="20"/>
                <w:lang w:val="es-US"/>
              </w:rPr>
              <w:t xml:space="preserve"> 8 (garant</w:t>
            </w:r>
            <w:r w:rsidR="002A7914">
              <w:rPr>
                <w:rFonts w:ascii="Cambria" w:hAnsi="Cambria"/>
                <w:bCs/>
                <w:sz w:val="20"/>
                <w:szCs w:val="20"/>
                <w:lang w:val="es-US"/>
              </w:rPr>
              <w:t>ías judiciales)</w:t>
            </w:r>
            <w:r w:rsidR="00F37CD6">
              <w:rPr>
                <w:rFonts w:ascii="Cambria" w:hAnsi="Cambria"/>
                <w:bCs/>
                <w:sz w:val="20"/>
                <w:szCs w:val="20"/>
                <w:lang w:val="es-US"/>
              </w:rPr>
              <w:t>,</w:t>
            </w:r>
            <w:r w:rsidR="00F37CD6">
              <w:rPr>
                <w:rFonts w:ascii="Cambria" w:hAnsi="Cambria"/>
                <w:bCs/>
                <w:sz w:val="20"/>
                <w:szCs w:val="20"/>
                <w:lang w:val="es-ES"/>
              </w:rPr>
              <w:t xml:space="preserve"> 11 (protección de la honra y de la d</w:t>
            </w:r>
            <w:r w:rsidR="00F37CD6" w:rsidRPr="00831969">
              <w:rPr>
                <w:rFonts w:ascii="Cambria" w:hAnsi="Cambria"/>
                <w:bCs/>
                <w:sz w:val="20"/>
                <w:szCs w:val="20"/>
                <w:lang w:val="es-ES"/>
              </w:rPr>
              <w:t>ignidad</w:t>
            </w:r>
            <w:r w:rsidR="00F37CD6">
              <w:rPr>
                <w:rFonts w:ascii="Cambria" w:hAnsi="Cambria"/>
                <w:bCs/>
                <w:sz w:val="20"/>
                <w:szCs w:val="20"/>
                <w:lang w:val="es-ES"/>
              </w:rPr>
              <w:t xml:space="preserve">), </w:t>
            </w:r>
            <w:r w:rsidR="00786391">
              <w:rPr>
                <w:rFonts w:ascii="Cambria" w:hAnsi="Cambria"/>
                <w:bCs/>
                <w:sz w:val="20"/>
                <w:szCs w:val="20"/>
                <w:lang w:val="es-ES"/>
              </w:rPr>
              <w:t xml:space="preserve">19 (derechos del niño), </w:t>
            </w:r>
            <w:r w:rsidR="00F37CD6">
              <w:rPr>
                <w:rFonts w:ascii="Cambria" w:hAnsi="Cambria"/>
                <w:bCs/>
                <w:sz w:val="20"/>
                <w:szCs w:val="20"/>
                <w:lang w:val="es-ES"/>
              </w:rPr>
              <w:t>24 (igualdad)</w:t>
            </w:r>
            <w:r w:rsidR="002A7914">
              <w:rPr>
                <w:rFonts w:ascii="Cambria" w:hAnsi="Cambria"/>
                <w:bCs/>
                <w:sz w:val="20"/>
                <w:szCs w:val="20"/>
                <w:lang w:val="es-US"/>
              </w:rPr>
              <w:t xml:space="preserve"> y 25 (protección judicial) </w:t>
            </w:r>
            <w:r w:rsidR="00637F39" w:rsidRPr="009639F4">
              <w:rPr>
                <w:rFonts w:asciiTheme="majorHAnsi" w:eastAsia="Times New Roman" w:hAnsiTheme="majorHAnsi"/>
                <w:sz w:val="20"/>
                <w:szCs w:val="20"/>
                <w:bdr w:val="none" w:sz="0" w:space="0" w:color="auto"/>
                <w:lang w:val="es-ES" w:eastAsia="es-ES"/>
              </w:rPr>
              <w:t xml:space="preserve">en relación con </w:t>
            </w:r>
            <w:r w:rsidR="00A37A2A">
              <w:rPr>
                <w:rFonts w:asciiTheme="majorHAnsi" w:eastAsia="Times New Roman" w:hAnsiTheme="majorHAnsi"/>
                <w:sz w:val="20"/>
                <w:szCs w:val="20"/>
                <w:bdr w:val="none" w:sz="0" w:space="0" w:color="auto"/>
                <w:lang w:val="es-ES" w:eastAsia="es-ES"/>
              </w:rPr>
              <w:t>el</w:t>
            </w:r>
            <w:r w:rsidR="00637F39" w:rsidRPr="009639F4">
              <w:rPr>
                <w:rFonts w:asciiTheme="majorHAnsi" w:eastAsia="Times New Roman" w:hAnsiTheme="majorHAnsi"/>
                <w:sz w:val="20"/>
                <w:szCs w:val="20"/>
                <w:bdr w:val="none" w:sz="0" w:space="0" w:color="auto"/>
                <w:lang w:val="es-ES" w:eastAsia="es-ES"/>
              </w:rPr>
              <w:t xml:space="preserve"> artículo 1.1 </w:t>
            </w:r>
            <w:r w:rsidR="00637F39" w:rsidRPr="009639F4">
              <w:rPr>
                <w:rFonts w:ascii="Cambria" w:hAnsi="Cambria"/>
                <w:bCs/>
                <w:sz w:val="20"/>
                <w:szCs w:val="20"/>
                <w:lang w:val="es-PE"/>
              </w:rPr>
              <w:t>de la Convención Americana</w:t>
            </w:r>
            <w:r w:rsidR="00DF7D23">
              <w:rPr>
                <w:rFonts w:ascii="Cambria" w:hAnsi="Cambria"/>
                <w:bCs/>
                <w:sz w:val="20"/>
                <w:szCs w:val="20"/>
                <w:lang w:val="es-PE"/>
              </w:rPr>
              <w:t>;</w:t>
            </w:r>
            <w:r w:rsidR="00F37CD6">
              <w:rPr>
                <w:rFonts w:ascii="Cambria" w:hAnsi="Cambria"/>
                <w:bCs/>
                <w:sz w:val="20"/>
                <w:szCs w:val="20"/>
                <w:lang w:val="es-PE"/>
              </w:rPr>
              <w:t xml:space="preserve"> </w:t>
            </w:r>
            <w:r w:rsidR="00F37CD6" w:rsidRPr="00F57635">
              <w:rPr>
                <w:rFonts w:asciiTheme="majorHAnsi" w:hAnsiTheme="majorHAnsi"/>
                <w:sz w:val="20"/>
                <w:szCs w:val="20"/>
                <w:lang w:val="es-ES"/>
              </w:rPr>
              <w:t>artículo 7 de la Convención de Belém do Pará</w:t>
            </w:r>
            <w:r w:rsidR="00DF7D23">
              <w:rPr>
                <w:rFonts w:asciiTheme="majorHAnsi" w:hAnsiTheme="majorHAnsi"/>
                <w:sz w:val="20"/>
                <w:szCs w:val="20"/>
                <w:lang w:val="es-ES"/>
              </w:rPr>
              <w:t>;</w:t>
            </w:r>
            <w:r w:rsidR="00F37CD6">
              <w:rPr>
                <w:rFonts w:asciiTheme="majorHAnsi" w:hAnsiTheme="majorHAnsi"/>
                <w:sz w:val="20"/>
                <w:szCs w:val="20"/>
                <w:lang w:val="es-ES"/>
              </w:rPr>
              <w:t xml:space="preserve"> y </w:t>
            </w:r>
            <w:r w:rsidR="00F37CD6" w:rsidRPr="001C7EB1">
              <w:rPr>
                <w:rFonts w:asciiTheme="majorHAnsi" w:hAnsiTheme="majorHAnsi"/>
                <w:sz w:val="20"/>
                <w:szCs w:val="20"/>
                <w:lang w:val="es-ES"/>
              </w:rPr>
              <w:t>artículos 1, 6 y 8 de la C</w:t>
            </w:r>
            <w:r w:rsidR="00DB51EC">
              <w:rPr>
                <w:rFonts w:asciiTheme="majorHAnsi" w:hAnsiTheme="majorHAnsi"/>
                <w:sz w:val="20"/>
                <w:szCs w:val="20"/>
                <w:lang w:val="es-ES"/>
              </w:rPr>
              <w:t>IPST</w:t>
            </w:r>
          </w:p>
        </w:tc>
      </w:tr>
      <w:tr w:rsidR="003239B8" w:rsidRPr="00955FDB" w14:paraId="4EFD141E" w14:textId="77777777" w:rsidTr="003A49CB">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245356">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21E21DD5" w:rsidR="003239B8" w:rsidRPr="00EE00E9" w:rsidRDefault="00BE184D" w:rsidP="00245356">
            <w:pPr>
              <w:rPr>
                <w:rFonts w:ascii="Cambria" w:hAnsi="Cambria"/>
                <w:bCs/>
                <w:sz w:val="20"/>
                <w:szCs w:val="20"/>
                <w:lang w:val="es-ES"/>
              </w:rPr>
            </w:pPr>
            <w:r>
              <w:rPr>
                <w:rFonts w:ascii="Cambria" w:hAnsi="Cambria"/>
                <w:bCs/>
                <w:sz w:val="20"/>
                <w:szCs w:val="20"/>
                <w:lang w:val="es-ES"/>
              </w:rPr>
              <w:t xml:space="preserve">Sí, </w:t>
            </w:r>
            <w:r w:rsidR="00FB5355" w:rsidRPr="00C35BB1">
              <w:rPr>
                <w:rFonts w:ascii="Cambria" w:hAnsi="Cambria"/>
                <w:bCs/>
                <w:sz w:val="20"/>
                <w:szCs w:val="20"/>
                <w:lang w:val="es-ES"/>
              </w:rPr>
              <w:t>en los términos de la sección VI</w:t>
            </w:r>
          </w:p>
        </w:tc>
      </w:tr>
      <w:tr w:rsidR="003239B8" w:rsidRPr="00955FDB" w14:paraId="52B5BA17" w14:textId="77777777" w:rsidTr="003A49CB">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245356">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5760" w:type="dxa"/>
            <w:vAlign w:val="center"/>
          </w:tcPr>
          <w:p w14:paraId="4A2A4569" w14:textId="3DC7B8BF" w:rsidR="003239B8" w:rsidRPr="004834B5" w:rsidRDefault="00BE184D" w:rsidP="004834B5">
            <w:pPr>
              <w:rPr>
                <w:bCs/>
                <w:sz w:val="20"/>
                <w:szCs w:val="20"/>
                <w:lang w:val="es-ES"/>
              </w:rPr>
            </w:pPr>
            <w:r w:rsidRPr="003A49CB">
              <w:rPr>
                <w:rFonts w:ascii="Cambria" w:hAnsi="Cambria"/>
                <w:bCs/>
                <w:sz w:val="20"/>
                <w:szCs w:val="20"/>
                <w:lang w:val="es-ES"/>
              </w:rPr>
              <w:t xml:space="preserve">Sí, </w:t>
            </w:r>
            <w:r w:rsidR="004834B5" w:rsidRPr="003A49CB">
              <w:rPr>
                <w:rFonts w:ascii="Cambria" w:hAnsi="Cambria"/>
                <w:bCs/>
                <w:sz w:val="20"/>
                <w:szCs w:val="20"/>
                <w:lang w:val="es-ES"/>
              </w:rPr>
              <w:t>en los términos de la sección VI</w:t>
            </w:r>
            <w:r w:rsidRPr="004834B5">
              <w:rPr>
                <w:bCs/>
                <w:sz w:val="20"/>
                <w:szCs w:val="20"/>
                <w:lang w:val="es-ES"/>
              </w:rPr>
              <w:t xml:space="preserve"> </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6BE4E3D7" w14:textId="78253023" w:rsidR="00F2376E" w:rsidRPr="00C3750C" w:rsidRDefault="00EE2438" w:rsidP="004312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A421D4">
        <w:rPr>
          <w:rFonts w:ascii="Cambria" w:hAnsi="Cambria"/>
          <w:sz w:val="20"/>
          <w:szCs w:val="20"/>
          <w:lang w:val="es-UY"/>
        </w:rPr>
        <w:t xml:space="preserve">Las peticionarias refieren </w:t>
      </w:r>
      <w:r w:rsidR="00DE7A71" w:rsidRPr="00A421D4">
        <w:rPr>
          <w:rFonts w:ascii="Cambria" w:hAnsi="Cambria"/>
          <w:sz w:val="20"/>
          <w:szCs w:val="20"/>
          <w:lang w:val="es-US"/>
        </w:rPr>
        <w:t>que la presunta víctima</w:t>
      </w:r>
      <w:r w:rsidR="0085219C" w:rsidRPr="00A421D4">
        <w:rPr>
          <w:rFonts w:ascii="Cambria" w:hAnsi="Cambria"/>
          <w:sz w:val="20"/>
          <w:szCs w:val="20"/>
          <w:lang w:val="es-US"/>
        </w:rPr>
        <w:t>, Mirta Elizabeth Canelo Castaño</w:t>
      </w:r>
      <w:r w:rsidR="00DF7D23">
        <w:rPr>
          <w:rFonts w:ascii="Cambria" w:hAnsi="Cambria"/>
          <w:sz w:val="20"/>
          <w:szCs w:val="20"/>
          <w:lang w:val="es-US"/>
        </w:rPr>
        <w:t>,</w:t>
      </w:r>
      <w:r w:rsidR="00DE7A71" w:rsidRPr="00A421D4">
        <w:rPr>
          <w:rFonts w:ascii="Cambria" w:hAnsi="Cambria"/>
          <w:sz w:val="20"/>
          <w:szCs w:val="20"/>
          <w:lang w:val="es-US"/>
        </w:rPr>
        <w:t xml:space="preserve"> se encontraba privada de libertad en la Unidad </w:t>
      </w:r>
      <w:r w:rsidR="0085219C" w:rsidRPr="00A421D4">
        <w:rPr>
          <w:rFonts w:ascii="Cambria" w:hAnsi="Cambria"/>
          <w:sz w:val="20"/>
          <w:szCs w:val="20"/>
          <w:lang w:val="es-US"/>
        </w:rPr>
        <w:t xml:space="preserve">8, </w:t>
      </w:r>
      <w:r w:rsidR="00DE7A71" w:rsidRPr="00A421D4">
        <w:rPr>
          <w:rFonts w:ascii="Cambria" w:hAnsi="Cambria"/>
          <w:sz w:val="20"/>
          <w:szCs w:val="20"/>
          <w:lang w:val="es-US"/>
        </w:rPr>
        <w:t>sector aislamiento,</w:t>
      </w:r>
      <w:r w:rsidR="0085219C" w:rsidRPr="00A421D4">
        <w:rPr>
          <w:rFonts w:ascii="Cambria" w:hAnsi="Cambria"/>
          <w:sz w:val="20"/>
          <w:szCs w:val="20"/>
          <w:lang w:val="es-US"/>
        </w:rPr>
        <w:t xml:space="preserve"> del Servicio Penitenciario</w:t>
      </w:r>
      <w:r w:rsidR="003619A9">
        <w:rPr>
          <w:rFonts w:ascii="Cambria" w:hAnsi="Cambria"/>
          <w:sz w:val="20"/>
          <w:szCs w:val="20"/>
          <w:lang w:val="es-US"/>
        </w:rPr>
        <w:t xml:space="preserve"> </w:t>
      </w:r>
      <w:r w:rsidR="0085219C" w:rsidRPr="00A421D4">
        <w:rPr>
          <w:rFonts w:ascii="Cambria" w:hAnsi="Cambria"/>
          <w:sz w:val="20"/>
          <w:szCs w:val="20"/>
          <w:lang w:val="es-US"/>
        </w:rPr>
        <w:t xml:space="preserve">bonaerense, </w:t>
      </w:r>
      <w:r w:rsidR="009C1C20" w:rsidRPr="00A421D4">
        <w:rPr>
          <w:rFonts w:ascii="Cambria" w:hAnsi="Cambria"/>
          <w:sz w:val="20"/>
          <w:szCs w:val="20"/>
          <w:lang w:val="es-US"/>
        </w:rPr>
        <w:t xml:space="preserve">en la localidad </w:t>
      </w:r>
      <w:r w:rsidR="00DE7A71" w:rsidRPr="00A421D4">
        <w:rPr>
          <w:rFonts w:ascii="Cambria" w:hAnsi="Cambria"/>
          <w:sz w:val="20"/>
          <w:szCs w:val="20"/>
          <w:lang w:val="es-US"/>
        </w:rPr>
        <w:t xml:space="preserve">de Los Hornos, </w:t>
      </w:r>
      <w:r w:rsidR="0085219C" w:rsidRPr="00A421D4">
        <w:rPr>
          <w:rFonts w:ascii="Cambria" w:hAnsi="Cambria"/>
          <w:sz w:val="20"/>
          <w:szCs w:val="20"/>
          <w:lang w:val="es-US"/>
        </w:rPr>
        <w:t>Provincia de Buenos Aires, por</w:t>
      </w:r>
      <w:r w:rsidR="00DE7A71" w:rsidRPr="00A421D4">
        <w:rPr>
          <w:rFonts w:ascii="Cambria" w:hAnsi="Cambria"/>
          <w:sz w:val="20"/>
          <w:szCs w:val="20"/>
          <w:lang w:val="es-US"/>
        </w:rPr>
        <w:t xml:space="preserve"> disposición del Tribunal Oral Criminal N° 7 de Lomas de Zamora</w:t>
      </w:r>
      <w:r w:rsidR="0085219C" w:rsidRPr="00A421D4">
        <w:rPr>
          <w:rFonts w:ascii="Cambria" w:hAnsi="Cambria"/>
          <w:sz w:val="20"/>
          <w:szCs w:val="20"/>
          <w:lang w:val="es-US"/>
        </w:rPr>
        <w:t>, por</w:t>
      </w:r>
      <w:r w:rsidR="009C1C20" w:rsidRPr="00A421D4">
        <w:rPr>
          <w:rFonts w:ascii="Cambria" w:hAnsi="Cambria"/>
          <w:sz w:val="20"/>
          <w:szCs w:val="20"/>
          <w:lang w:val="es-US"/>
        </w:rPr>
        <w:t xml:space="preserve"> delito de</w:t>
      </w:r>
      <w:r w:rsidR="00DE7A71" w:rsidRPr="00A421D4">
        <w:rPr>
          <w:rFonts w:ascii="Cambria" w:hAnsi="Cambria"/>
          <w:sz w:val="20"/>
          <w:szCs w:val="20"/>
          <w:lang w:val="es-US"/>
        </w:rPr>
        <w:t xml:space="preserve"> homicidio simple.</w:t>
      </w:r>
      <w:r w:rsidR="0085219C" w:rsidRPr="00A421D4">
        <w:rPr>
          <w:rFonts w:ascii="Cambria" w:hAnsi="Cambria"/>
          <w:sz w:val="20"/>
          <w:szCs w:val="20"/>
          <w:lang w:val="es-US"/>
        </w:rPr>
        <w:t xml:space="preserve"> Refiere</w:t>
      </w:r>
      <w:r w:rsidRPr="00A421D4">
        <w:rPr>
          <w:rFonts w:ascii="Cambria" w:hAnsi="Cambria"/>
          <w:sz w:val="20"/>
          <w:szCs w:val="20"/>
          <w:lang w:val="es-US"/>
        </w:rPr>
        <w:t>n</w:t>
      </w:r>
      <w:r w:rsidR="0085219C" w:rsidRPr="00A421D4">
        <w:rPr>
          <w:rFonts w:ascii="Cambria" w:hAnsi="Cambria"/>
          <w:sz w:val="20"/>
          <w:szCs w:val="20"/>
          <w:lang w:val="es-US"/>
        </w:rPr>
        <w:t xml:space="preserve"> que su </w:t>
      </w:r>
      <w:r w:rsidR="003800FA" w:rsidRPr="00A421D4">
        <w:rPr>
          <w:rFonts w:ascii="Cambria" w:hAnsi="Cambria"/>
          <w:sz w:val="20"/>
          <w:szCs w:val="20"/>
          <w:lang w:val="es-US"/>
        </w:rPr>
        <w:t>causa se encontraba en casa</w:t>
      </w:r>
      <w:r w:rsidR="0085219C" w:rsidRPr="00A421D4">
        <w:rPr>
          <w:rFonts w:ascii="Cambria" w:hAnsi="Cambria"/>
          <w:sz w:val="20"/>
          <w:szCs w:val="20"/>
          <w:lang w:val="es-US"/>
        </w:rPr>
        <w:t>ción de se</w:t>
      </w:r>
      <w:r w:rsidRPr="00A421D4">
        <w:rPr>
          <w:rFonts w:ascii="Cambria" w:hAnsi="Cambria"/>
          <w:sz w:val="20"/>
          <w:szCs w:val="20"/>
          <w:lang w:val="es-US"/>
        </w:rPr>
        <w:t>ntencia.</w:t>
      </w:r>
      <w:r w:rsidR="00DE7A71" w:rsidRPr="00A421D4">
        <w:rPr>
          <w:rFonts w:ascii="Cambria" w:hAnsi="Cambria"/>
          <w:sz w:val="20"/>
          <w:szCs w:val="20"/>
          <w:lang w:val="es-US"/>
        </w:rPr>
        <w:t xml:space="preserve"> </w:t>
      </w:r>
      <w:r w:rsidRPr="00A421D4">
        <w:rPr>
          <w:rFonts w:ascii="Cambria" w:hAnsi="Cambria"/>
          <w:sz w:val="20"/>
          <w:szCs w:val="20"/>
          <w:lang w:val="es-US"/>
        </w:rPr>
        <w:t xml:space="preserve">Aducen </w:t>
      </w:r>
      <w:r w:rsidR="00510CF1" w:rsidRPr="00A421D4">
        <w:rPr>
          <w:rFonts w:ascii="Cambria" w:hAnsi="Cambria"/>
          <w:sz w:val="20"/>
          <w:szCs w:val="20"/>
          <w:lang w:val="es-US"/>
        </w:rPr>
        <w:t>que</w:t>
      </w:r>
      <w:r w:rsidR="009C1C20" w:rsidRPr="00A421D4">
        <w:rPr>
          <w:rFonts w:ascii="Cambria" w:hAnsi="Cambria"/>
          <w:sz w:val="20"/>
          <w:szCs w:val="20"/>
          <w:lang w:val="es-US"/>
        </w:rPr>
        <w:t xml:space="preserve"> durante </w:t>
      </w:r>
      <w:r w:rsidR="009C1C20" w:rsidRPr="00C3750C">
        <w:rPr>
          <w:rFonts w:ascii="Cambria" w:hAnsi="Cambria"/>
          <w:sz w:val="20"/>
          <w:szCs w:val="20"/>
          <w:lang w:val="es-US"/>
        </w:rPr>
        <w:t>su detención sufr</w:t>
      </w:r>
      <w:r w:rsidR="0085219C" w:rsidRPr="00C3750C">
        <w:rPr>
          <w:rFonts w:ascii="Cambria" w:hAnsi="Cambria"/>
          <w:sz w:val="20"/>
          <w:szCs w:val="20"/>
          <w:lang w:val="es-US"/>
        </w:rPr>
        <w:t>ió</w:t>
      </w:r>
      <w:r w:rsidR="009C1C20" w:rsidRPr="00C3750C">
        <w:rPr>
          <w:rFonts w:ascii="Cambria" w:hAnsi="Cambria"/>
          <w:sz w:val="20"/>
          <w:szCs w:val="20"/>
          <w:lang w:val="es-US"/>
        </w:rPr>
        <w:t xml:space="preserve"> </w:t>
      </w:r>
      <w:r w:rsidR="00EC00B0" w:rsidRPr="00C3750C">
        <w:rPr>
          <w:rFonts w:ascii="Cambria" w:hAnsi="Cambria"/>
          <w:sz w:val="20"/>
          <w:szCs w:val="20"/>
          <w:lang w:val="es-US"/>
        </w:rPr>
        <w:t>tratos degradantes</w:t>
      </w:r>
      <w:r w:rsidR="009C1C20" w:rsidRPr="00C3750C">
        <w:rPr>
          <w:rFonts w:ascii="Cambria" w:hAnsi="Cambria"/>
          <w:sz w:val="20"/>
          <w:szCs w:val="20"/>
          <w:lang w:val="es-US"/>
        </w:rPr>
        <w:t xml:space="preserve">, </w:t>
      </w:r>
      <w:r w:rsidR="00EC00B0" w:rsidRPr="00C3750C">
        <w:rPr>
          <w:rFonts w:ascii="Cambria" w:hAnsi="Cambria"/>
          <w:sz w:val="20"/>
          <w:szCs w:val="20"/>
          <w:lang w:val="es-US"/>
        </w:rPr>
        <w:t>persecución y falta de atención médica</w:t>
      </w:r>
      <w:r w:rsidR="00F7706F" w:rsidRPr="00C3750C">
        <w:rPr>
          <w:rFonts w:ascii="Cambria" w:hAnsi="Cambria"/>
          <w:sz w:val="20"/>
          <w:szCs w:val="20"/>
          <w:lang w:val="es-US"/>
        </w:rPr>
        <w:t xml:space="preserve"> y tratamiento psiquiátrico</w:t>
      </w:r>
      <w:r w:rsidR="009C1C20" w:rsidRPr="00C3750C">
        <w:rPr>
          <w:rFonts w:ascii="Cambria" w:hAnsi="Cambria"/>
          <w:sz w:val="20"/>
          <w:szCs w:val="20"/>
          <w:lang w:val="es-US"/>
        </w:rPr>
        <w:t xml:space="preserve">. </w:t>
      </w:r>
      <w:r w:rsidR="00C70193" w:rsidRPr="00C3750C">
        <w:rPr>
          <w:rFonts w:ascii="Cambria" w:hAnsi="Cambria"/>
          <w:sz w:val="20"/>
          <w:szCs w:val="20"/>
          <w:lang w:val="es-US"/>
        </w:rPr>
        <w:t>Además, s</w:t>
      </w:r>
      <w:r w:rsidR="009C1C20" w:rsidRPr="00C3750C">
        <w:rPr>
          <w:rFonts w:ascii="Cambria" w:hAnsi="Cambria"/>
          <w:sz w:val="20"/>
          <w:szCs w:val="20"/>
          <w:lang w:val="es-US"/>
        </w:rPr>
        <w:t xml:space="preserve">e alega que </w:t>
      </w:r>
      <w:r w:rsidR="00EC00B0" w:rsidRPr="00C3750C">
        <w:rPr>
          <w:rFonts w:ascii="Cambria" w:hAnsi="Cambria"/>
          <w:sz w:val="20"/>
          <w:szCs w:val="20"/>
          <w:lang w:val="es-US"/>
        </w:rPr>
        <w:t>su hij</w:t>
      </w:r>
      <w:r w:rsidR="00C70193" w:rsidRPr="00C3750C">
        <w:rPr>
          <w:rFonts w:ascii="Cambria" w:hAnsi="Cambria"/>
          <w:sz w:val="20"/>
          <w:szCs w:val="20"/>
          <w:lang w:val="es-US"/>
        </w:rPr>
        <w:t>a</w:t>
      </w:r>
      <w:r w:rsidR="00EC00B0" w:rsidRPr="00C3750C">
        <w:rPr>
          <w:rFonts w:ascii="Cambria" w:hAnsi="Cambria"/>
          <w:sz w:val="20"/>
          <w:szCs w:val="20"/>
          <w:lang w:val="es-US"/>
        </w:rPr>
        <w:t xml:space="preserve"> de 11 años</w:t>
      </w:r>
      <w:r w:rsidR="0085219C" w:rsidRPr="00C3750C">
        <w:rPr>
          <w:rFonts w:ascii="Cambria" w:hAnsi="Cambria"/>
          <w:sz w:val="20"/>
          <w:szCs w:val="20"/>
          <w:lang w:val="es-US"/>
        </w:rPr>
        <w:t xml:space="preserve"> en esa época,</w:t>
      </w:r>
      <w:r w:rsidR="009C1C20" w:rsidRPr="00C3750C">
        <w:rPr>
          <w:rFonts w:ascii="Cambria" w:hAnsi="Cambria"/>
          <w:sz w:val="20"/>
          <w:szCs w:val="20"/>
          <w:lang w:val="es-US"/>
        </w:rPr>
        <w:t xml:space="preserve"> también recib</w:t>
      </w:r>
      <w:r w:rsidR="0085219C" w:rsidRPr="00C3750C">
        <w:rPr>
          <w:rFonts w:ascii="Cambria" w:hAnsi="Cambria"/>
          <w:sz w:val="20"/>
          <w:szCs w:val="20"/>
          <w:lang w:val="es-US"/>
        </w:rPr>
        <w:t>ió</w:t>
      </w:r>
      <w:r w:rsidR="009C1C20" w:rsidRPr="00C3750C">
        <w:rPr>
          <w:rFonts w:ascii="Cambria" w:hAnsi="Cambria"/>
          <w:sz w:val="20"/>
          <w:szCs w:val="20"/>
          <w:lang w:val="es-US"/>
        </w:rPr>
        <w:t xml:space="preserve"> tratos degradantes </w:t>
      </w:r>
      <w:r w:rsidR="00CE499E" w:rsidRPr="00C3750C">
        <w:rPr>
          <w:rFonts w:ascii="Cambria" w:hAnsi="Cambria"/>
          <w:sz w:val="20"/>
          <w:szCs w:val="20"/>
          <w:lang w:val="es-US"/>
        </w:rPr>
        <w:t>durante sus visitas familiares</w:t>
      </w:r>
      <w:r w:rsidR="009C1C20" w:rsidRPr="00C3750C">
        <w:rPr>
          <w:rFonts w:ascii="Cambria" w:hAnsi="Cambria"/>
          <w:sz w:val="20"/>
          <w:szCs w:val="20"/>
          <w:lang w:val="es-US"/>
        </w:rPr>
        <w:t>. Indica</w:t>
      </w:r>
      <w:r w:rsidRPr="00C3750C">
        <w:rPr>
          <w:rFonts w:ascii="Cambria" w:hAnsi="Cambria"/>
          <w:sz w:val="20"/>
          <w:szCs w:val="20"/>
          <w:lang w:val="es-US"/>
        </w:rPr>
        <w:t>n</w:t>
      </w:r>
      <w:r w:rsidR="009C1C20" w:rsidRPr="00C3750C">
        <w:rPr>
          <w:rFonts w:ascii="Cambria" w:hAnsi="Cambria"/>
          <w:sz w:val="20"/>
          <w:szCs w:val="20"/>
          <w:lang w:val="es-US"/>
        </w:rPr>
        <w:t xml:space="preserve"> que</w:t>
      </w:r>
      <w:r w:rsidR="00411EF0" w:rsidRPr="00C3750C">
        <w:rPr>
          <w:rFonts w:ascii="Cambria" w:hAnsi="Cambria"/>
          <w:sz w:val="20"/>
          <w:szCs w:val="20"/>
          <w:lang w:val="es-US"/>
        </w:rPr>
        <w:t>,</w:t>
      </w:r>
      <w:r w:rsidR="003800FA" w:rsidRPr="00C3750C">
        <w:rPr>
          <w:rFonts w:ascii="Cambria" w:hAnsi="Cambria"/>
          <w:sz w:val="20"/>
          <w:szCs w:val="20"/>
          <w:lang w:val="es-US"/>
        </w:rPr>
        <w:t xml:space="preserve"> por </w:t>
      </w:r>
      <w:r w:rsidR="00411EF0" w:rsidRPr="00C3750C">
        <w:rPr>
          <w:rFonts w:ascii="Cambria" w:hAnsi="Cambria"/>
          <w:sz w:val="20"/>
          <w:szCs w:val="20"/>
          <w:lang w:val="es-US"/>
        </w:rPr>
        <w:t xml:space="preserve">todo </w:t>
      </w:r>
      <w:r w:rsidR="003800FA" w:rsidRPr="00C3750C">
        <w:rPr>
          <w:rFonts w:ascii="Cambria" w:hAnsi="Cambria"/>
          <w:sz w:val="20"/>
          <w:szCs w:val="20"/>
          <w:lang w:val="es-US"/>
        </w:rPr>
        <w:t>lo anterior,</w:t>
      </w:r>
      <w:r w:rsidR="009C1C20" w:rsidRPr="00C3750C">
        <w:rPr>
          <w:rFonts w:ascii="Cambria" w:hAnsi="Cambria"/>
          <w:sz w:val="20"/>
          <w:szCs w:val="20"/>
          <w:lang w:val="es-US"/>
        </w:rPr>
        <w:t xml:space="preserve"> </w:t>
      </w:r>
      <w:r w:rsidRPr="00C3750C">
        <w:rPr>
          <w:rFonts w:ascii="Cambria" w:hAnsi="Cambria"/>
          <w:sz w:val="20"/>
          <w:szCs w:val="20"/>
          <w:lang w:val="es-US"/>
        </w:rPr>
        <w:t xml:space="preserve">se </w:t>
      </w:r>
      <w:r w:rsidR="00510CF1" w:rsidRPr="00C3750C">
        <w:rPr>
          <w:rFonts w:ascii="Cambria" w:hAnsi="Cambria"/>
          <w:sz w:val="20"/>
          <w:szCs w:val="20"/>
          <w:lang w:val="es-US"/>
        </w:rPr>
        <w:t>present</w:t>
      </w:r>
      <w:r w:rsidRPr="00C3750C">
        <w:rPr>
          <w:rFonts w:ascii="Cambria" w:hAnsi="Cambria"/>
          <w:sz w:val="20"/>
          <w:szCs w:val="20"/>
          <w:lang w:val="es-US"/>
        </w:rPr>
        <w:t>aron</w:t>
      </w:r>
      <w:r w:rsidR="00510CF1" w:rsidRPr="00C3750C">
        <w:rPr>
          <w:rFonts w:ascii="Cambria" w:hAnsi="Cambria"/>
          <w:sz w:val="20"/>
          <w:szCs w:val="20"/>
          <w:lang w:val="es-US"/>
        </w:rPr>
        <w:t xml:space="preserve"> diversos reclamos ante el Tribunal Oral Criminal</w:t>
      </w:r>
      <w:r w:rsidR="00511A71" w:rsidRPr="00C3750C">
        <w:rPr>
          <w:rFonts w:ascii="Cambria" w:hAnsi="Cambria"/>
          <w:sz w:val="20"/>
          <w:szCs w:val="20"/>
          <w:lang w:val="es-US"/>
        </w:rPr>
        <w:t xml:space="preserve"> No.7</w:t>
      </w:r>
      <w:r w:rsidR="00404284" w:rsidRPr="00C3750C">
        <w:rPr>
          <w:rFonts w:ascii="Cambria" w:hAnsi="Cambria"/>
          <w:sz w:val="20"/>
          <w:szCs w:val="20"/>
          <w:lang w:val="es-US"/>
        </w:rPr>
        <w:t xml:space="preserve"> a cargo de su causa</w:t>
      </w:r>
      <w:r w:rsidR="00510CF1" w:rsidRPr="00C3750C">
        <w:rPr>
          <w:rFonts w:ascii="Cambria" w:hAnsi="Cambria"/>
          <w:sz w:val="20"/>
          <w:szCs w:val="20"/>
          <w:lang w:val="es-US"/>
        </w:rPr>
        <w:t>, la Defensoría</w:t>
      </w:r>
      <w:r w:rsidR="00C56203" w:rsidRPr="00C3750C">
        <w:rPr>
          <w:rFonts w:ascii="Cambria" w:hAnsi="Cambria"/>
          <w:sz w:val="20"/>
          <w:szCs w:val="20"/>
          <w:lang w:val="es-US"/>
        </w:rPr>
        <w:t xml:space="preserve"> No. 4 de Lomas de Zamora,</w:t>
      </w:r>
      <w:r w:rsidR="00510CF1" w:rsidRPr="00C3750C">
        <w:rPr>
          <w:rFonts w:ascii="Cambria" w:hAnsi="Cambria"/>
          <w:sz w:val="20"/>
          <w:szCs w:val="20"/>
          <w:lang w:val="es-US"/>
        </w:rPr>
        <w:t xml:space="preserve"> la Defensoría de Ejecución </w:t>
      </w:r>
      <w:r w:rsidR="00CE499E" w:rsidRPr="00C3750C">
        <w:rPr>
          <w:rFonts w:ascii="Cambria" w:hAnsi="Cambria"/>
          <w:sz w:val="20"/>
          <w:szCs w:val="20"/>
          <w:lang w:val="es-US"/>
        </w:rPr>
        <w:t>Penal</w:t>
      </w:r>
      <w:r w:rsidR="00510CF1" w:rsidRPr="00C3750C">
        <w:rPr>
          <w:rFonts w:ascii="Cambria" w:hAnsi="Cambria"/>
          <w:sz w:val="20"/>
          <w:szCs w:val="20"/>
          <w:lang w:val="es-US"/>
        </w:rPr>
        <w:t xml:space="preserve"> y la Secret</w:t>
      </w:r>
      <w:r w:rsidR="00511A71" w:rsidRPr="00C3750C">
        <w:rPr>
          <w:rFonts w:ascii="Cambria" w:hAnsi="Cambria"/>
          <w:sz w:val="20"/>
          <w:szCs w:val="20"/>
          <w:lang w:val="es-US"/>
        </w:rPr>
        <w:t>aría de Derechos Humanos de la P</w:t>
      </w:r>
      <w:r w:rsidR="00510CF1" w:rsidRPr="00C3750C">
        <w:rPr>
          <w:rFonts w:ascii="Cambria" w:hAnsi="Cambria"/>
          <w:sz w:val="20"/>
          <w:szCs w:val="20"/>
          <w:lang w:val="es-US"/>
        </w:rPr>
        <w:t>rovincia de Buenos Aires</w:t>
      </w:r>
      <w:r w:rsidR="00411EF0" w:rsidRPr="00C3750C">
        <w:rPr>
          <w:rFonts w:ascii="Cambria" w:hAnsi="Cambria"/>
          <w:sz w:val="20"/>
          <w:szCs w:val="20"/>
          <w:lang w:val="es-US"/>
        </w:rPr>
        <w:t>,</w:t>
      </w:r>
      <w:r w:rsidR="00CE499E" w:rsidRPr="00C3750C">
        <w:rPr>
          <w:rFonts w:ascii="Cambria" w:hAnsi="Cambria"/>
          <w:sz w:val="20"/>
          <w:szCs w:val="20"/>
          <w:lang w:val="es-US"/>
        </w:rPr>
        <w:t xml:space="preserve"> sin haber recibido respuesta. </w:t>
      </w:r>
    </w:p>
    <w:p w14:paraId="1D377EA2" w14:textId="142B1539" w:rsidR="00A421D4" w:rsidRPr="00C3750C" w:rsidRDefault="00F2376E" w:rsidP="004312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C3750C">
        <w:rPr>
          <w:rFonts w:ascii="Cambria" w:hAnsi="Cambria"/>
          <w:sz w:val="20"/>
          <w:szCs w:val="20"/>
          <w:lang w:val="es-US"/>
        </w:rPr>
        <w:t xml:space="preserve">Sostienen que </w:t>
      </w:r>
      <w:r w:rsidR="00FC4CE1" w:rsidRPr="00C3750C">
        <w:rPr>
          <w:rFonts w:ascii="Cambria" w:hAnsi="Cambria"/>
          <w:sz w:val="20"/>
          <w:szCs w:val="20"/>
          <w:lang w:val="es-US"/>
        </w:rPr>
        <w:t xml:space="preserve">el 8 de enero de 2006 la presunta víctima fue </w:t>
      </w:r>
      <w:r w:rsidRPr="00C3750C">
        <w:rPr>
          <w:rFonts w:ascii="Cambria" w:hAnsi="Cambria"/>
          <w:sz w:val="20"/>
          <w:szCs w:val="20"/>
          <w:lang w:val="es-US"/>
        </w:rPr>
        <w:t>trasladada a una celda de castigo, separada de las otras reclusas</w:t>
      </w:r>
      <w:r w:rsidR="00AC3EE6" w:rsidRPr="00C3750C">
        <w:rPr>
          <w:rFonts w:ascii="Cambria" w:hAnsi="Cambria"/>
          <w:sz w:val="20"/>
          <w:szCs w:val="20"/>
          <w:lang w:val="es-US"/>
        </w:rPr>
        <w:t>,</w:t>
      </w:r>
      <w:r w:rsidRPr="00C3750C">
        <w:rPr>
          <w:rFonts w:ascii="Cambria" w:hAnsi="Cambria"/>
          <w:sz w:val="20"/>
          <w:szCs w:val="20"/>
          <w:lang w:val="es-US"/>
        </w:rPr>
        <w:t xml:space="preserve"> siendo </w:t>
      </w:r>
      <w:r w:rsidR="00FC4CE1" w:rsidRPr="00C3750C">
        <w:rPr>
          <w:rFonts w:ascii="Cambria" w:hAnsi="Cambria"/>
          <w:sz w:val="20"/>
          <w:szCs w:val="20"/>
          <w:lang w:val="es-US"/>
        </w:rPr>
        <w:t>encontrada sin vida</w:t>
      </w:r>
      <w:r w:rsidR="00AC3EE6" w:rsidRPr="00C3750C">
        <w:rPr>
          <w:rFonts w:ascii="Cambria" w:hAnsi="Cambria"/>
          <w:sz w:val="20"/>
          <w:szCs w:val="20"/>
          <w:lang w:val="es-US"/>
        </w:rPr>
        <w:t xml:space="preserve"> horas más tarde</w:t>
      </w:r>
      <w:r w:rsidRPr="00C3750C">
        <w:rPr>
          <w:rFonts w:ascii="Cambria" w:hAnsi="Cambria"/>
          <w:sz w:val="20"/>
          <w:szCs w:val="20"/>
          <w:lang w:val="es-US"/>
        </w:rPr>
        <w:t xml:space="preserve">, </w:t>
      </w:r>
      <w:r w:rsidR="00FC4CE1" w:rsidRPr="00C3750C">
        <w:rPr>
          <w:rFonts w:ascii="Cambria" w:hAnsi="Cambria"/>
          <w:sz w:val="20"/>
          <w:szCs w:val="20"/>
          <w:lang w:val="es-US"/>
        </w:rPr>
        <w:t>suspendida de una sábana atada a su cuello</w:t>
      </w:r>
      <w:r w:rsidR="009E4795" w:rsidRPr="00C3750C">
        <w:rPr>
          <w:rFonts w:ascii="Cambria" w:hAnsi="Cambria"/>
          <w:sz w:val="20"/>
          <w:szCs w:val="20"/>
          <w:lang w:val="es-US"/>
        </w:rPr>
        <w:t>.</w:t>
      </w:r>
      <w:r w:rsidR="00FB7812" w:rsidRPr="00C3750C">
        <w:rPr>
          <w:rFonts w:ascii="Cambria" w:hAnsi="Cambria"/>
          <w:sz w:val="20"/>
          <w:szCs w:val="20"/>
          <w:lang w:val="es-US"/>
        </w:rPr>
        <w:t xml:space="preserve"> </w:t>
      </w:r>
      <w:r w:rsidR="00AC3EE6" w:rsidRPr="00C3750C">
        <w:rPr>
          <w:rFonts w:ascii="Cambria" w:hAnsi="Cambria"/>
          <w:sz w:val="20"/>
          <w:szCs w:val="20"/>
          <w:lang w:val="es-US"/>
        </w:rPr>
        <w:t xml:space="preserve">Las peticionarias denuncian falta de atención médica de la presunta víctima dado su estado depresivo. </w:t>
      </w:r>
      <w:r w:rsidR="00305382" w:rsidRPr="00C3750C">
        <w:rPr>
          <w:rFonts w:ascii="Cambria" w:hAnsi="Cambria"/>
          <w:sz w:val="20"/>
          <w:szCs w:val="20"/>
          <w:lang w:val="es-US"/>
        </w:rPr>
        <w:t xml:space="preserve">Indican </w:t>
      </w:r>
      <w:r w:rsidR="00411EF0" w:rsidRPr="00C3750C">
        <w:rPr>
          <w:rFonts w:ascii="Cambria" w:hAnsi="Cambria"/>
          <w:sz w:val="20"/>
          <w:szCs w:val="20"/>
          <w:lang w:val="es-US"/>
        </w:rPr>
        <w:t xml:space="preserve">que </w:t>
      </w:r>
      <w:r w:rsidR="00DD0028" w:rsidRPr="00C3750C">
        <w:rPr>
          <w:rFonts w:ascii="Cambria" w:hAnsi="Cambria"/>
          <w:sz w:val="20"/>
          <w:szCs w:val="20"/>
          <w:lang w:val="es-US"/>
        </w:rPr>
        <w:t xml:space="preserve">los hechos se enmarcan en el contexto de una huelga de hambre realizada por las internas </w:t>
      </w:r>
      <w:r w:rsidR="00305382" w:rsidRPr="00C3750C">
        <w:rPr>
          <w:rFonts w:ascii="Cambria" w:hAnsi="Cambria"/>
          <w:sz w:val="20"/>
          <w:szCs w:val="20"/>
          <w:lang w:val="es-US"/>
        </w:rPr>
        <w:t xml:space="preserve">por las acciones de las autoridades de dicha unidad, así como por la falta de atención médica de la señora Castaño y por “las coacciones y torturas”. </w:t>
      </w:r>
      <w:r w:rsidR="00AC3EE6" w:rsidRPr="00C3750C">
        <w:rPr>
          <w:rFonts w:ascii="Cambria" w:hAnsi="Cambria"/>
          <w:sz w:val="20"/>
          <w:szCs w:val="20"/>
          <w:lang w:val="es-US"/>
        </w:rPr>
        <w:t xml:space="preserve">Agregan que la familia no fue notificada </w:t>
      </w:r>
      <w:r w:rsidR="00EB43A7" w:rsidRPr="00C3750C">
        <w:rPr>
          <w:rFonts w:ascii="Cambria" w:hAnsi="Cambria"/>
          <w:sz w:val="20"/>
          <w:szCs w:val="20"/>
          <w:lang w:val="es-US"/>
        </w:rPr>
        <w:t xml:space="preserve">de forma inmediata </w:t>
      </w:r>
      <w:r w:rsidR="00AC3EE6" w:rsidRPr="00C3750C">
        <w:rPr>
          <w:rFonts w:ascii="Cambria" w:hAnsi="Cambria"/>
          <w:sz w:val="20"/>
          <w:szCs w:val="20"/>
          <w:lang w:val="es-US"/>
        </w:rPr>
        <w:t>sobre el fallecimiento de la presunta víctima</w:t>
      </w:r>
      <w:r w:rsidR="004545B3" w:rsidRPr="00C3750C">
        <w:rPr>
          <w:rFonts w:ascii="Cambria" w:hAnsi="Cambria"/>
          <w:sz w:val="20"/>
          <w:szCs w:val="20"/>
          <w:lang w:val="es-US"/>
        </w:rPr>
        <w:t>. Señalan, sin dar mayores detalles que</w:t>
      </w:r>
      <w:r w:rsidR="000B3035" w:rsidRPr="00C3750C">
        <w:rPr>
          <w:rFonts w:ascii="Cambria" w:hAnsi="Cambria"/>
          <w:sz w:val="20"/>
          <w:szCs w:val="20"/>
          <w:lang w:val="es-US"/>
        </w:rPr>
        <w:t>,</w:t>
      </w:r>
      <w:r w:rsidR="004545B3" w:rsidRPr="00C3750C">
        <w:rPr>
          <w:rFonts w:ascii="Cambria" w:hAnsi="Cambria"/>
          <w:sz w:val="20"/>
          <w:szCs w:val="20"/>
          <w:lang w:val="es-US"/>
        </w:rPr>
        <w:t xml:space="preserve"> en una reunión </w:t>
      </w:r>
      <w:r w:rsidR="004A5888" w:rsidRPr="00C3750C">
        <w:rPr>
          <w:rFonts w:ascii="Cambria" w:hAnsi="Cambria"/>
          <w:sz w:val="20"/>
          <w:szCs w:val="20"/>
          <w:lang w:val="es-US"/>
        </w:rPr>
        <w:t xml:space="preserve">sostenida con las peticionarias, </w:t>
      </w:r>
      <w:r w:rsidR="004545B3" w:rsidRPr="00C3750C">
        <w:rPr>
          <w:rFonts w:ascii="Cambria" w:hAnsi="Cambria"/>
          <w:sz w:val="20"/>
          <w:szCs w:val="20"/>
          <w:lang w:val="es-US"/>
        </w:rPr>
        <w:t>el entonces director de la población penal del Ministerio de Justicia de la Provincia Buenos Aires</w:t>
      </w:r>
      <w:r w:rsidR="00303D06" w:rsidRPr="00C3750C">
        <w:rPr>
          <w:rFonts w:ascii="Cambria" w:hAnsi="Cambria"/>
          <w:sz w:val="20"/>
          <w:szCs w:val="20"/>
          <w:lang w:val="es-US"/>
        </w:rPr>
        <w:t>,</w:t>
      </w:r>
      <w:r w:rsidR="004545B3" w:rsidRPr="00C3750C">
        <w:rPr>
          <w:rFonts w:ascii="Cambria" w:hAnsi="Cambria"/>
          <w:sz w:val="20"/>
          <w:szCs w:val="20"/>
          <w:lang w:val="es-US"/>
        </w:rPr>
        <w:t xml:space="preserve"> tergiversó los hechos alegando que la muerte fue “por problemas de pareja homosexual”.</w:t>
      </w:r>
      <w:r w:rsidR="00AC3EE6" w:rsidRPr="00C3750C">
        <w:rPr>
          <w:rFonts w:ascii="Cambria" w:hAnsi="Cambria"/>
          <w:sz w:val="20"/>
          <w:szCs w:val="20"/>
          <w:lang w:val="es-US"/>
        </w:rPr>
        <w:t xml:space="preserve"> Aducen </w:t>
      </w:r>
      <w:r w:rsidR="004545B3" w:rsidRPr="00C3750C">
        <w:rPr>
          <w:rFonts w:ascii="Cambria" w:hAnsi="Cambria"/>
          <w:sz w:val="20"/>
          <w:szCs w:val="20"/>
          <w:lang w:val="es-US"/>
        </w:rPr>
        <w:t xml:space="preserve">por otra parte </w:t>
      </w:r>
      <w:r w:rsidR="00AC3EE6" w:rsidRPr="00C3750C">
        <w:rPr>
          <w:rFonts w:ascii="Cambria" w:hAnsi="Cambria"/>
          <w:sz w:val="20"/>
          <w:szCs w:val="20"/>
          <w:lang w:val="es-US"/>
        </w:rPr>
        <w:t>persecución ideológica, tortura y tratos degradantes.</w:t>
      </w:r>
    </w:p>
    <w:p w14:paraId="4584BCCE" w14:textId="24066B19" w:rsidR="009C15F2" w:rsidRPr="00C3750C" w:rsidRDefault="00A421D4" w:rsidP="00C562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C3750C">
        <w:rPr>
          <w:rFonts w:ascii="Cambria" w:hAnsi="Cambria"/>
          <w:sz w:val="20"/>
          <w:szCs w:val="20"/>
          <w:lang w:val="es-US"/>
        </w:rPr>
        <w:t>Indican</w:t>
      </w:r>
      <w:r w:rsidR="005D686D" w:rsidRPr="00C3750C">
        <w:rPr>
          <w:rFonts w:ascii="Cambria" w:hAnsi="Cambria"/>
          <w:sz w:val="20"/>
          <w:szCs w:val="20"/>
          <w:lang w:val="es-US"/>
        </w:rPr>
        <w:t xml:space="preserve"> q</w:t>
      </w:r>
      <w:r w:rsidR="00431204" w:rsidRPr="00C3750C">
        <w:rPr>
          <w:rFonts w:ascii="Cambria" w:hAnsi="Cambria"/>
          <w:sz w:val="20"/>
          <w:szCs w:val="20"/>
          <w:lang w:val="es-US"/>
        </w:rPr>
        <w:t xml:space="preserve">ue </w:t>
      </w:r>
      <w:r w:rsidR="00511A71" w:rsidRPr="00C3750C">
        <w:rPr>
          <w:rFonts w:ascii="Cambria" w:hAnsi="Cambria"/>
          <w:sz w:val="20"/>
          <w:szCs w:val="20"/>
          <w:lang w:val="es-US"/>
        </w:rPr>
        <w:t>la Fiscalía</w:t>
      </w:r>
      <w:r w:rsidR="00102CA5" w:rsidRPr="00C3750C">
        <w:rPr>
          <w:rFonts w:ascii="Cambria" w:hAnsi="Cambria"/>
          <w:sz w:val="20"/>
          <w:szCs w:val="20"/>
          <w:lang w:val="es-US"/>
        </w:rPr>
        <w:t xml:space="preserve"> </w:t>
      </w:r>
      <w:r w:rsidR="00C70193" w:rsidRPr="00C3750C">
        <w:rPr>
          <w:rFonts w:ascii="Cambria" w:hAnsi="Cambria"/>
          <w:sz w:val="20"/>
          <w:szCs w:val="20"/>
          <w:lang w:val="es-US"/>
        </w:rPr>
        <w:t xml:space="preserve">No. 2 </w:t>
      </w:r>
      <w:r w:rsidR="00102CA5" w:rsidRPr="00C3750C">
        <w:rPr>
          <w:rFonts w:ascii="Cambria" w:hAnsi="Cambria"/>
          <w:sz w:val="20"/>
          <w:szCs w:val="20"/>
          <w:lang w:val="es-US"/>
        </w:rPr>
        <w:t>de La Plata</w:t>
      </w:r>
      <w:r w:rsidR="002E680D" w:rsidRPr="00C3750C">
        <w:rPr>
          <w:rFonts w:ascii="Cambria" w:hAnsi="Cambria"/>
          <w:sz w:val="20"/>
          <w:szCs w:val="20"/>
          <w:lang w:val="es-US"/>
        </w:rPr>
        <w:t xml:space="preserve">, con intervención del Juzgado de Garantías N° 4, </w:t>
      </w:r>
      <w:r w:rsidR="00102CA5" w:rsidRPr="00C3750C">
        <w:rPr>
          <w:rFonts w:ascii="Cambria" w:hAnsi="Cambria"/>
          <w:sz w:val="20"/>
          <w:szCs w:val="20"/>
          <w:lang w:val="es-US"/>
        </w:rPr>
        <w:t>inició la investigación penal preparatoria</w:t>
      </w:r>
      <w:r w:rsidR="00411EF0" w:rsidRPr="00C3750C">
        <w:rPr>
          <w:rFonts w:ascii="Cambria" w:hAnsi="Cambria"/>
          <w:sz w:val="20"/>
          <w:szCs w:val="20"/>
          <w:lang w:val="es-US"/>
        </w:rPr>
        <w:t xml:space="preserve"> por la muerte de la presunta víctima</w:t>
      </w:r>
      <w:r w:rsidR="009D6E12" w:rsidRPr="00C3750C">
        <w:rPr>
          <w:rFonts w:ascii="Cambria" w:hAnsi="Cambria"/>
          <w:sz w:val="20"/>
          <w:szCs w:val="20"/>
          <w:lang w:val="es-US"/>
        </w:rPr>
        <w:t xml:space="preserve">. Refieren </w:t>
      </w:r>
      <w:r w:rsidR="00173699" w:rsidRPr="00C3750C">
        <w:rPr>
          <w:rFonts w:ascii="Cambria" w:hAnsi="Cambria"/>
          <w:sz w:val="20"/>
          <w:szCs w:val="20"/>
          <w:lang w:val="es-US"/>
        </w:rPr>
        <w:t xml:space="preserve">que </w:t>
      </w:r>
      <w:r w:rsidR="00102CA5" w:rsidRPr="00C3750C">
        <w:rPr>
          <w:rFonts w:ascii="Cambria" w:hAnsi="Cambria"/>
          <w:sz w:val="20"/>
          <w:szCs w:val="20"/>
          <w:lang w:val="es-US"/>
        </w:rPr>
        <w:t>el</w:t>
      </w:r>
      <w:r w:rsidR="00431204" w:rsidRPr="00C3750C">
        <w:rPr>
          <w:rFonts w:ascii="Cambria" w:hAnsi="Cambria"/>
          <w:sz w:val="20"/>
          <w:szCs w:val="20"/>
          <w:lang w:val="es-US"/>
        </w:rPr>
        <w:t xml:space="preserve"> </w:t>
      </w:r>
      <w:r w:rsidR="00173699" w:rsidRPr="00C3750C">
        <w:rPr>
          <w:rFonts w:ascii="Cambria" w:hAnsi="Cambria"/>
          <w:sz w:val="20"/>
          <w:szCs w:val="20"/>
          <w:lang w:val="es-US"/>
        </w:rPr>
        <w:t xml:space="preserve">7 de julio de 2008 </w:t>
      </w:r>
      <w:r w:rsidR="009D6E12" w:rsidRPr="00C3750C">
        <w:rPr>
          <w:rFonts w:ascii="Cambria" w:hAnsi="Cambria"/>
          <w:sz w:val="20"/>
          <w:szCs w:val="20"/>
          <w:lang w:val="es-US"/>
        </w:rPr>
        <w:t>se</w:t>
      </w:r>
      <w:r w:rsidR="00102CA5" w:rsidRPr="00C3750C">
        <w:rPr>
          <w:rFonts w:ascii="Cambria" w:hAnsi="Cambria"/>
          <w:sz w:val="20"/>
          <w:szCs w:val="20"/>
          <w:lang w:val="es-US"/>
        </w:rPr>
        <w:t xml:space="preserve"> archivó</w:t>
      </w:r>
      <w:r w:rsidR="009D6E12" w:rsidRPr="00C3750C">
        <w:rPr>
          <w:rFonts w:ascii="Cambria" w:hAnsi="Cambria"/>
          <w:sz w:val="20"/>
          <w:szCs w:val="20"/>
          <w:lang w:val="es-US"/>
        </w:rPr>
        <w:t xml:space="preserve"> la investigación</w:t>
      </w:r>
      <w:r w:rsidR="00431204" w:rsidRPr="00C3750C">
        <w:rPr>
          <w:rFonts w:ascii="Cambria" w:hAnsi="Cambria"/>
          <w:sz w:val="20"/>
          <w:szCs w:val="20"/>
          <w:lang w:val="es-US"/>
        </w:rPr>
        <w:t xml:space="preserve"> fundado en que no se pudo precisar las causales de </w:t>
      </w:r>
      <w:r w:rsidR="00411EF0" w:rsidRPr="00C3750C">
        <w:rPr>
          <w:rFonts w:ascii="Cambria" w:hAnsi="Cambria"/>
          <w:sz w:val="20"/>
          <w:szCs w:val="20"/>
          <w:lang w:val="es-US"/>
        </w:rPr>
        <w:t xml:space="preserve">la </w:t>
      </w:r>
      <w:r w:rsidR="00431204" w:rsidRPr="00C3750C">
        <w:rPr>
          <w:rFonts w:ascii="Cambria" w:hAnsi="Cambria"/>
          <w:sz w:val="20"/>
          <w:szCs w:val="20"/>
          <w:lang w:val="es-US"/>
        </w:rPr>
        <w:t>muerte. Manifiesta</w:t>
      </w:r>
      <w:r w:rsidR="00173699" w:rsidRPr="00C3750C">
        <w:rPr>
          <w:rFonts w:ascii="Cambria" w:hAnsi="Cambria"/>
          <w:sz w:val="20"/>
          <w:szCs w:val="20"/>
          <w:lang w:val="es-US"/>
        </w:rPr>
        <w:t>n que</w:t>
      </w:r>
      <w:r w:rsidR="00431204" w:rsidRPr="00C3750C">
        <w:rPr>
          <w:rFonts w:ascii="Cambria" w:hAnsi="Cambria"/>
          <w:sz w:val="20"/>
          <w:szCs w:val="20"/>
          <w:lang w:val="es-US"/>
        </w:rPr>
        <w:t xml:space="preserve"> no hubo voluntad de investigar</w:t>
      </w:r>
      <w:r w:rsidR="003248A6" w:rsidRPr="00C3750C">
        <w:rPr>
          <w:rFonts w:ascii="Cambria" w:hAnsi="Cambria"/>
          <w:sz w:val="20"/>
          <w:szCs w:val="20"/>
          <w:lang w:val="es-US"/>
        </w:rPr>
        <w:t xml:space="preserve">, pues varias pericias propuestas fueron </w:t>
      </w:r>
      <w:r w:rsidR="005B0045" w:rsidRPr="00C3750C">
        <w:rPr>
          <w:rFonts w:ascii="Cambria" w:hAnsi="Cambria"/>
          <w:sz w:val="20"/>
          <w:szCs w:val="20"/>
          <w:lang w:val="es-US"/>
        </w:rPr>
        <w:t xml:space="preserve">denegadas por los instructores. </w:t>
      </w:r>
      <w:r w:rsidR="00360B4F" w:rsidRPr="00C3750C">
        <w:rPr>
          <w:rFonts w:ascii="Cambria" w:hAnsi="Cambria"/>
          <w:sz w:val="20"/>
          <w:szCs w:val="20"/>
          <w:lang w:val="es-US"/>
        </w:rPr>
        <w:t xml:space="preserve">Indican </w:t>
      </w:r>
      <w:r w:rsidR="009C15F2" w:rsidRPr="00C3750C">
        <w:rPr>
          <w:rFonts w:ascii="Cambria" w:hAnsi="Cambria"/>
          <w:sz w:val="20"/>
          <w:szCs w:val="20"/>
          <w:lang w:val="es-US"/>
        </w:rPr>
        <w:t>que el Tribunal Superior de la Provincia de Buenos Aires dispuso el archivo de las a</w:t>
      </w:r>
      <w:r w:rsidR="00360B4F" w:rsidRPr="00C3750C">
        <w:rPr>
          <w:rFonts w:ascii="Cambria" w:hAnsi="Cambria"/>
          <w:sz w:val="20"/>
          <w:szCs w:val="20"/>
          <w:lang w:val="es-US"/>
        </w:rPr>
        <w:t>ctuaciones administrativas por</w:t>
      </w:r>
      <w:r w:rsidR="009C15F2" w:rsidRPr="00C3750C">
        <w:rPr>
          <w:rFonts w:ascii="Cambria" w:hAnsi="Cambria"/>
          <w:sz w:val="20"/>
          <w:szCs w:val="20"/>
          <w:lang w:val="es-US"/>
        </w:rPr>
        <w:t xml:space="preserve"> no encontrar acreditadas las omisiones o irregularidades denunciadas. </w:t>
      </w:r>
      <w:r w:rsidR="00C56203" w:rsidRPr="00C3750C">
        <w:rPr>
          <w:rFonts w:ascii="Cambria" w:hAnsi="Cambria"/>
          <w:sz w:val="20"/>
          <w:szCs w:val="20"/>
          <w:lang w:val="es-US"/>
        </w:rPr>
        <w:t>A</w:t>
      </w:r>
      <w:r w:rsidR="00EC0586" w:rsidRPr="00C3750C">
        <w:rPr>
          <w:rFonts w:ascii="Cambria" w:hAnsi="Cambria"/>
          <w:sz w:val="20"/>
          <w:szCs w:val="20"/>
          <w:lang w:val="es-US"/>
        </w:rPr>
        <w:t xml:space="preserve">demás, </w:t>
      </w:r>
      <w:r w:rsidR="00BF6ABD" w:rsidRPr="00C3750C">
        <w:rPr>
          <w:rFonts w:ascii="Cambria" w:hAnsi="Cambria"/>
          <w:sz w:val="20"/>
          <w:szCs w:val="20"/>
          <w:lang w:val="es-US"/>
        </w:rPr>
        <w:t>sostienen que interpusieron una denuncia ante la Secretaría de Control Judicial de la Corte Suprema de Justicia de la Provincia de Buenos Aires por el cierre de la investigación. A</w:t>
      </w:r>
      <w:r w:rsidR="00C56203" w:rsidRPr="00C3750C">
        <w:rPr>
          <w:rFonts w:ascii="Cambria" w:hAnsi="Cambria"/>
          <w:sz w:val="20"/>
          <w:szCs w:val="20"/>
          <w:lang w:val="es-US"/>
        </w:rPr>
        <w:t>firma</w:t>
      </w:r>
      <w:r w:rsidR="00BF6ABD" w:rsidRPr="00C3750C">
        <w:rPr>
          <w:rFonts w:ascii="Cambria" w:hAnsi="Cambria"/>
          <w:sz w:val="20"/>
          <w:szCs w:val="20"/>
          <w:lang w:val="es-US"/>
        </w:rPr>
        <w:t>n</w:t>
      </w:r>
      <w:r w:rsidR="00C56203" w:rsidRPr="00C3750C">
        <w:rPr>
          <w:rFonts w:ascii="Cambria" w:hAnsi="Cambria"/>
          <w:sz w:val="20"/>
          <w:szCs w:val="20"/>
          <w:lang w:val="es-US"/>
        </w:rPr>
        <w:t xml:space="preserve"> que</w:t>
      </w:r>
      <w:r w:rsidR="000846B5" w:rsidRPr="00C3750C">
        <w:rPr>
          <w:rFonts w:ascii="Cambria" w:hAnsi="Cambria"/>
          <w:sz w:val="20"/>
          <w:szCs w:val="20"/>
          <w:lang w:val="es-US"/>
        </w:rPr>
        <w:t xml:space="preserve"> </w:t>
      </w:r>
      <w:r w:rsidR="00C56203" w:rsidRPr="00C3750C">
        <w:rPr>
          <w:rFonts w:ascii="Cambria" w:hAnsi="Cambria"/>
          <w:sz w:val="20"/>
          <w:szCs w:val="20"/>
          <w:lang w:val="es-US"/>
        </w:rPr>
        <w:t>la Suprema Corte de Justicia de la Provincia de Buenos Aires, mediante resolución del 25 de septiembre de 2009, señaló que e</w:t>
      </w:r>
      <w:r w:rsidR="00764A99" w:rsidRPr="00C3750C">
        <w:rPr>
          <w:rFonts w:ascii="Cambria" w:hAnsi="Cambria"/>
          <w:sz w:val="20"/>
          <w:szCs w:val="20"/>
          <w:lang w:val="es-US"/>
        </w:rPr>
        <w:t>l Ministerio Público no encuentra</w:t>
      </w:r>
      <w:r w:rsidR="00C56203" w:rsidRPr="00C3750C">
        <w:rPr>
          <w:rFonts w:ascii="Cambria" w:hAnsi="Cambria"/>
          <w:sz w:val="20"/>
          <w:szCs w:val="20"/>
          <w:lang w:val="es-US"/>
        </w:rPr>
        <w:t xml:space="preserve"> acreditadas las omisiones o irregularidades por parte del Tribunal Oral en lo Criminal N° 7 del Departamento Judicial de Zamora. </w:t>
      </w:r>
      <w:r w:rsidR="0086533F" w:rsidRPr="00C3750C">
        <w:rPr>
          <w:rFonts w:ascii="Cambria" w:hAnsi="Cambria"/>
          <w:sz w:val="20"/>
          <w:szCs w:val="20"/>
          <w:lang w:val="es-US"/>
        </w:rPr>
        <w:t xml:space="preserve">Asimismo, indican que </w:t>
      </w:r>
      <w:r w:rsidR="000846B5" w:rsidRPr="00C3750C">
        <w:rPr>
          <w:rFonts w:ascii="Cambria" w:hAnsi="Cambria"/>
          <w:sz w:val="20"/>
          <w:szCs w:val="20"/>
          <w:lang w:val="es-US"/>
        </w:rPr>
        <w:t xml:space="preserve">la Auditoría de Asuntos Internos Penitenciarios dependiente de la Subsecretaría de Política Criminal de la Provincia de Buenos Aires inició una </w:t>
      </w:r>
      <w:r w:rsidR="0086533F" w:rsidRPr="00C3750C">
        <w:rPr>
          <w:rFonts w:ascii="Cambria" w:hAnsi="Cambria"/>
          <w:sz w:val="20"/>
          <w:szCs w:val="20"/>
          <w:lang w:val="es-US"/>
        </w:rPr>
        <w:t>instrucción sumarial</w:t>
      </w:r>
      <w:r w:rsidR="000846B5" w:rsidRPr="00C3750C">
        <w:rPr>
          <w:rFonts w:ascii="Cambria" w:hAnsi="Cambria"/>
          <w:sz w:val="20"/>
          <w:szCs w:val="20"/>
          <w:lang w:val="es-US"/>
        </w:rPr>
        <w:t xml:space="preserve">. </w:t>
      </w:r>
      <w:r w:rsidR="00E25232" w:rsidRPr="00C3750C">
        <w:rPr>
          <w:rFonts w:ascii="Cambria" w:hAnsi="Cambria"/>
          <w:sz w:val="20"/>
          <w:szCs w:val="20"/>
          <w:lang w:val="es-US"/>
        </w:rPr>
        <w:t>Al respecto</w:t>
      </w:r>
      <w:r w:rsidR="000846B5" w:rsidRPr="00C3750C">
        <w:rPr>
          <w:rFonts w:ascii="Cambria" w:hAnsi="Cambria"/>
          <w:sz w:val="20"/>
          <w:szCs w:val="20"/>
          <w:lang w:val="es-US"/>
        </w:rPr>
        <w:t>, alegan que</w:t>
      </w:r>
      <w:r w:rsidR="0086533F" w:rsidRPr="00C3750C">
        <w:rPr>
          <w:rFonts w:ascii="Cambria" w:hAnsi="Cambria"/>
          <w:sz w:val="20"/>
          <w:szCs w:val="20"/>
          <w:lang w:val="es-US"/>
        </w:rPr>
        <w:t xml:space="preserve"> en 2016</w:t>
      </w:r>
      <w:r w:rsidR="000846B5" w:rsidRPr="00C3750C">
        <w:rPr>
          <w:rFonts w:ascii="Cambria" w:hAnsi="Cambria"/>
          <w:sz w:val="20"/>
          <w:szCs w:val="20"/>
          <w:lang w:val="es-US"/>
        </w:rPr>
        <w:t xml:space="preserve"> las peticionarias</w:t>
      </w:r>
      <w:r w:rsidR="0086533F" w:rsidRPr="00C3750C">
        <w:rPr>
          <w:rFonts w:ascii="Cambria" w:hAnsi="Cambria"/>
          <w:sz w:val="20"/>
          <w:szCs w:val="20"/>
          <w:lang w:val="es-US"/>
        </w:rPr>
        <w:t xml:space="preserve"> solicitaron al Secretario de Derechos Humanos de la Provincia de Buenos Aires un informe sobre ese proceso, sin obtener respuesta. </w:t>
      </w:r>
    </w:p>
    <w:p w14:paraId="0BF1ACA1" w14:textId="0348D061" w:rsidR="002400E5" w:rsidRPr="00C3750C" w:rsidRDefault="00EB43A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C3750C">
        <w:rPr>
          <w:rFonts w:ascii="Cambria" w:hAnsi="Cambria"/>
          <w:sz w:val="20"/>
          <w:szCs w:val="20"/>
          <w:lang w:val="es-US"/>
        </w:rPr>
        <w:lastRenderedPageBreak/>
        <w:t>Las peticionarias a</w:t>
      </w:r>
      <w:r w:rsidR="006013EF" w:rsidRPr="00C3750C">
        <w:rPr>
          <w:rFonts w:ascii="Cambria" w:hAnsi="Cambria"/>
          <w:sz w:val="20"/>
          <w:szCs w:val="20"/>
          <w:lang w:val="es-US"/>
        </w:rPr>
        <w:t>legan diversas irregularidades en el proces</w:t>
      </w:r>
      <w:r w:rsidR="009C3B24" w:rsidRPr="00C3750C">
        <w:rPr>
          <w:rFonts w:ascii="Cambria" w:hAnsi="Cambria"/>
          <w:sz w:val="20"/>
          <w:szCs w:val="20"/>
          <w:lang w:val="es-US"/>
        </w:rPr>
        <w:t xml:space="preserve">o iniciado por </w:t>
      </w:r>
      <w:r w:rsidR="00C71263" w:rsidRPr="00C3750C">
        <w:rPr>
          <w:rFonts w:ascii="Cambria" w:hAnsi="Cambria"/>
          <w:sz w:val="20"/>
          <w:szCs w:val="20"/>
          <w:lang w:val="es-US"/>
        </w:rPr>
        <w:t xml:space="preserve">el </w:t>
      </w:r>
      <w:r w:rsidR="009C3B24" w:rsidRPr="00C3750C">
        <w:rPr>
          <w:rFonts w:ascii="Cambria" w:hAnsi="Cambria"/>
          <w:sz w:val="20"/>
          <w:szCs w:val="20"/>
          <w:lang w:val="es-US"/>
        </w:rPr>
        <w:t xml:space="preserve">fallecimiento. </w:t>
      </w:r>
      <w:r w:rsidRPr="00C3750C">
        <w:rPr>
          <w:rFonts w:ascii="Cambria" w:hAnsi="Cambria"/>
          <w:sz w:val="20"/>
          <w:szCs w:val="20"/>
          <w:lang w:val="es-US"/>
        </w:rPr>
        <w:t>S</w:t>
      </w:r>
      <w:r w:rsidR="00285C66" w:rsidRPr="00C3750C">
        <w:rPr>
          <w:rFonts w:ascii="Cambria" w:hAnsi="Cambria"/>
          <w:sz w:val="20"/>
          <w:szCs w:val="20"/>
          <w:lang w:val="es-US"/>
        </w:rPr>
        <w:t xml:space="preserve">eñalan que hubo </w:t>
      </w:r>
      <w:r w:rsidR="00671FFE" w:rsidRPr="00C3750C">
        <w:rPr>
          <w:rFonts w:ascii="Cambria" w:hAnsi="Cambria"/>
          <w:sz w:val="20"/>
          <w:szCs w:val="20"/>
          <w:lang w:val="es-US"/>
        </w:rPr>
        <w:t>contradicciones probatorias</w:t>
      </w:r>
      <w:r w:rsidR="00DA485B" w:rsidRPr="00C3750C">
        <w:rPr>
          <w:rFonts w:ascii="Cambria" w:hAnsi="Cambria"/>
          <w:sz w:val="20"/>
          <w:szCs w:val="20"/>
          <w:lang w:val="es-US"/>
        </w:rPr>
        <w:t xml:space="preserve">, </w:t>
      </w:r>
      <w:r w:rsidR="006013EF" w:rsidRPr="00C3750C">
        <w:rPr>
          <w:rFonts w:ascii="Cambria" w:hAnsi="Cambria"/>
          <w:sz w:val="20"/>
          <w:szCs w:val="20"/>
          <w:lang w:val="es-US"/>
        </w:rPr>
        <w:t>como el hecho que</w:t>
      </w:r>
      <w:r w:rsidR="00DA485B" w:rsidRPr="00C3750C">
        <w:rPr>
          <w:rFonts w:ascii="Cambria" w:hAnsi="Cambria"/>
          <w:sz w:val="20"/>
          <w:szCs w:val="20"/>
          <w:lang w:val="es-US"/>
        </w:rPr>
        <w:t xml:space="preserve"> el médico</w:t>
      </w:r>
      <w:r w:rsidR="00671FFE" w:rsidRPr="00C3750C">
        <w:rPr>
          <w:rFonts w:ascii="Cambria" w:hAnsi="Cambria"/>
          <w:sz w:val="20"/>
          <w:szCs w:val="20"/>
          <w:lang w:val="es-US"/>
        </w:rPr>
        <w:t xml:space="preserve"> de la cárcel </w:t>
      </w:r>
      <w:r w:rsidR="009F7837" w:rsidRPr="00C3750C">
        <w:rPr>
          <w:rFonts w:ascii="Cambria" w:hAnsi="Cambria"/>
          <w:sz w:val="20"/>
          <w:szCs w:val="20"/>
          <w:lang w:val="es-US"/>
        </w:rPr>
        <w:t>en su testimonio señaló haber inyectado ansiolítico para dormir a la presunta víctima pero la pericia química concluyó que no se encontraron restos de sustancias químicas en el cuerpo</w:t>
      </w:r>
      <w:r w:rsidR="001B6672" w:rsidRPr="00C3750C">
        <w:rPr>
          <w:rFonts w:ascii="Cambria" w:hAnsi="Cambria"/>
          <w:sz w:val="20"/>
          <w:szCs w:val="20"/>
          <w:lang w:val="es-US"/>
        </w:rPr>
        <w:t>, y</w:t>
      </w:r>
      <w:r w:rsidR="004E51A9" w:rsidRPr="00C3750C">
        <w:rPr>
          <w:rFonts w:ascii="Cambria" w:hAnsi="Cambria"/>
          <w:sz w:val="20"/>
          <w:szCs w:val="20"/>
          <w:lang w:val="es-US"/>
        </w:rPr>
        <w:t xml:space="preserve"> que</w:t>
      </w:r>
      <w:r w:rsidR="001B6672" w:rsidRPr="00C3750C">
        <w:rPr>
          <w:rFonts w:ascii="Cambria" w:hAnsi="Cambria"/>
          <w:sz w:val="20"/>
          <w:szCs w:val="20"/>
          <w:lang w:val="es-US"/>
        </w:rPr>
        <w:t xml:space="preserve"> se declaró que </w:t>
      </w:r>
      <w:r w:rsidR="00DA485B" w:rsidRPr="00C3750C">
        <w:rPr>
          <w:rFonts w:ascii="Cambria" w:hAnsi="Cambria"/>
          <w:sz w:val="20"/>
          <w:szCs w:val="20"/>
          <w:lang w:val="es-US"/>
        </w:rPr>
        <w:t>le dieron masajes card</w:t>
      </w:r>
      <w:r w:rsidR="001E30D5" w:rsidRPr="00C3750C">
        <w:rPr>
          <w:rFonts w:ascii="Cambria" w:hAnsi="Cambria"/>
          <w:sz w:val="20"/>
          <w:szCs w:val="20"/>
          <w:lang w:val="es-US"/>
        </w:rPr>
        <w:t>í</w:t>
      </w:r>
      <w:r w:rsidR="00DA485B" w:rsidRPr="00C3750C">
        <w:rPr>
          <w:rFonts w:ascii="Cambria" w:hAnsi="Cambria"/>
          <w:sz w:val="20"/>
          <w:szCs w:val="20"/>
          <w:lang w:val="es-US"/>
        </w:rPr>
        <w:t xml:space="preserve">acos </w:t>
      </w:r>
      <w:r w:rsidR="006013EF" w:rsidRPr="00C3750C">
        <w:rPr>
          <w:rFonts w:ascii="Cambria" w:hAnsi="Cambria"/>
          <w:sz w:val="20"/>
          <w:szCs w:val="20"/>
          <w:lang w:val="es-US"/>
        </w:rPr>
        <w:t xml:space="preserve">tras encontrarla, </w:t>
      </w:r>
      <w:r w:rsidR="00DA485B" w:rsidRPr="00C3750C">
        <w:rPr>
          <w:rFonts w:ascii="Cambria" w:hAnsi="Cambria"/>
          <w:sz w:val="20"/>
          <w:szCs w:val="20"/>
          <w:lang w:val="es-US"/>
        </w:rPr>
        <w:t>aunque</w:t>
      </w:r>
      <w:r w:rsidR="001B6672" w:rsidRPr="00C3750C">
        <w:rPr>
          <w:rFonts w:ascii="Cambria" w:hAnsi="Cambria"/>
          <w:sz w:val="20"/>
          <w:szCs w:val="20"/>
          <w:lang w:val="es-US"/>
        </w:rPr>
        <w:t xml:space="preserve"> la pericia no mostró indicios</w:t>
      </w:r>
      <w:r w:rsidR="006013EF" w:rsidRPr="00C3750C">
        <w:rPr>
          <w:rFonts w:ascii="Cambria" w:hAnsi="Cambria"/>
          <w:sz w:val="20"/>
          <w:szCs w:val="20"/>
          <w:lang w:val="es-US"/>
        </w:rPr>
        <w:t xml:space="preserve"> de ello</w:t>
      </w:r>
      <w:r w:rsidR="009F7837" w:rsidRPr="00C3750C">
        <w:rPr>
          <w:rFonts w:ascii="Cambria" w:hAnsi="Cambria"/>
          <w:sz w:val="20"/>
          <w:szCs w:val="20"/>
          <w:lang w:val="es-US"/>
        </w:rPr>
        <w:t>. Agrega</w:t>
      </w:r>
      <w:r w:rsidR="009C3B24" w:rsidRPr="00C3750C">
        <w:rPr>
          <w:rFonts w:ascii="Cambria" w:hAnsi="Cambria"/>
          <w:sz w:val="20"/>
          <w:szCs w:val="20"/>
          <w:lang w:val="es-US"/>
        </w:rPr>
        <w:t>n</w:t>
      </w:r>
      <w:r w:rsidR="009F7837" w:rsidRPr="00C3750C">
        <w:rPr>
          <w:rFonts w:ascii="Cambria" w:hAnsi="Cambria"/>
          <w:sz w:val="20"/>
          <w:szCs w:val="20"/>
          <w:lang w:val="es-US"/>
        </w:rPr>
        <w:t xml:space="preserve"> que </w:t>
      </w:r>
      <w:r w:rsidR="00E935FE" w:rsidRPr="00C3750C">
        <w:rPr>
          <w:rFonts w:ascii="Cambria" w:hAnsi="Cambria"/>
          <w:sz w:val="20"/>
          <w:szCs w:val="20"/>
          <w:lang w:val="es-US"/>
        </w:rPr>
        <w:t>las pru</w:t>
      </w:r>
      <w:r w:rsidR="00DA485B" w:rsidRPr="00C3750C">
        <w:rPr>
          <w:rFonts w:ascii="Cambria" w:hAnsi="Cambria"/>
          <w:sz w:val="20"/>
          <w:szCs w:val="20"/>
          <w:lang w:val="es-US"/>
        </w:rPr>
        <w:t>ebas químicas forenses determinaron</w:t>
      </w:r>
      <w:r w:rsidR="00E935FE" w:rsidRPr="00C3750C">
        <w:rPr>
          <w:rFonts w:ascii="Cambria" w:hAnsi="Cambria"/>
          <w:sz w:val="20"/>
          <w:szCs w:val="20"/>
          <w:lang w:val="es-US"/>
        </w:rPr>
        <w:t xml:space="preserve"> presencia de semen en</w:t>
      </w:r>
      <w:r w:rsidR="006013EF" w:rsidRPr="00C3750C">
        <w:rPr>
          <w:rFonts w:ascii="Cambria" w:hAnsi="Cambria"/>
          <w:sz w:val="20"/>
          <w:szCs w:val="20"/>
          <w:lang w:val="es-US"/>
        </w:rPr>
        <w:t xml:space="preserve"> una</w:t>
      </w:r>
      <w:r w:rsidR="00E935FE" w:rsidRPr="00C3750C">
        <w:rPr>
          <w:rFonts w:ascii="Cambria" w:hAnsi="Cambria"/>
          <w:sz w:val="20"/>
          <w:szCs w:val="20"/>
          <w:lang w:val="es-US"/>
        </w:rPr>
        <w:t xml:space="preserve"> prenda íntima de la presunta víctima</w:t>
      </w:r>
      <w:r w:rsidR="006013EF" w:rsidRPr="00C3750C">
        <w:rPr>
          <w:rFonts w:ascii="Cambria" w:hAnsi="Cambria"/>
          <w:sz w:val="20"/>
          <w:szCs w:val="20"/>
          <w:lang w:val="es-US"/>
        </w:rPr>
        <w:t>,</w:t>
      </w:r>
      <w:r w:rsidR="00E935FE" w:rsidRPr="00C3750C">
        <w:rPr>
          <w:rFonts w:ascii="Cambria" w:hAnsi="Cambria"/>
          <w:sz w:val="20"/>
          <w:szCs w:val="20"/>
          <w:lang w:val="es-US"/>
        </w:rPr>
        <w:t xml:space="preserve"> pero</w:t>
      </w:r>
      <w:r w:rsidR="004E51A9" w:rsidRPr="00C3750C">
        <w:rPr>
          <w:rFonts w:ascii="Cambria" w:hAnsi="Cambria"/>
          <w:sz w:val="20"/>
          <w:szCs w:val="20"/>
          <w:lang w:val="es-US"/>
        </w:rPr>
        <w:t xml:space="preserve"> que</w:t>
      </w:r>
      <w:r w:rsidR="00E935FE" w:rsidRPr="00C3750C">
        <w:rPr>
          <w:rFonts w:ascii="Cambria" w:hAnsi="Cambria"/>
          <w:sz w:val="20"/>
          <w:szCs w:val="20"/>
          <w:lang w:val="es-US"/>
        </w:rPr>
        <w:t xml:space="preserve"> </w:t>
      </w:r>
      <w:r w:rsidR="009F7837" w:rsidRPr="00C3750C">
        <w:rPr>
          <w:rFonts w:ascii="Cambria" w:hAnsi="Cambria"/>
          <w:sz w:val="20"/>
          <w:szCs w:val="20"/>
          <w:lang w:val="es-US"/>
        </w:rPr>
        <w:t xml:space="preserve">se descartó cualquier posibilidad de delito sexual contra la interna, pues </w:t>
      </w:r>
      <w:r w:rsidR="006013EF" w:rsidRPr="00C3750C">
        <w:rPr>
          <w:rFonts w:ascii="Cambria" w:hAnsi="Cambria"/>
          <w:sz w:val="20"/>
          <w:szCs w:val="20"/>
          <w:lang w:val="es-US"/>
        </w:rPr>
        <w:t>l</w:t>
      </w:r>
      <w:r w:rsidR="009F7837" w:rsidRPr="00C3750C">
        <w:rPr>
          <w:rFonts w:ascii="Cambria" w:hAnsi="Cambria"/>
          <w:sz w:val="20"/>
          <w:szCs w:val="20"/>
          <w:lang w:val="es-US"/>
        </w:rPr>
        <w:t xml:space="preserve">a presunta víctima contaba con “régimen de salidas” </w:t>
      </w:r>
      <w:r w:rsidR="006C7BFD" w:rsidRPr="00C3750C">
        <w:rPr>
          <w:rFonts w:ascii="Cambria" w:hAnsi="Cambria"/>
          <w:sz w:val="20"/>
          <w:szCs w:val="20"/>
          <w:lang w:val="es-US"/>
        </w:rPr>
        <w:t xml:space="preserve">por lo que no se consideró </w:t>
      </w:r>
      <w:r w:rsidR="009F7837" w:rsidRPr="00C3750C">
        <w:rPr>
          <w:rFonts w:ascii="Cambria" w:hAnsi="Cambria"/>
          <w:sz w:val="20"/>
          <w:szCs w:val="20"/>
          <w:lang w:val="es-US"/>
        </w:rPr>
        <w:t>pertinente u</w:t>
      </w:r>
      <w:r w:rsidR="00E132A4" w:rsidRPr="00C3750C">
        <w:rPr>
          <w:rFonts w:ascii="Cambria" w:hAnsi="Cambria"/>
          <w:sz w:val="20"/>
          <w:szCs w:val="20"/>
          <w:lang w:val="es-US"/>
        </w:rPr>
        <w:t>n cotejo de ADN</w:t>
      </w:r>
      <w:r w:rsidR="009F7837" w:rsidRPr="00C3750C">
        <w:rPr>
          <w:rFonts w:ascii="Cambria" w:hAnsi="Cambria"/>
          <w:sz w:val="20"/>
          <w:szCs w:val="20"/>
          <w:lang w:val="es-US"/>
        </w:rPr>
        <w:t xml:space="preserve"> con el personal masculino de la c</w:t>
      </w:r>
      <w:r w:rsidR="007B5834" w:rsidRPr="00C3750C">
        <w:rPr>
          <w:rFonts w:ascii="Cambria" w:hAnsi="Cambria"/>
          <w:sz w:val="20"/>
          <w:szCs w:val="20"/>
          <w:lang w:val="es-US"/>
        </w:rPr>
        <w:t xml:space="preserve">árcel. </w:t>
      </w:r>
      <w:r w:rsidR="009C3B24" w:rsidRPr="00C3750C">
        <w:rPr>
          <w:rFonts w:ascii="Cambria" w:hAnsi="Cambria"/>
          <w:sz w:val="20"/>
          <w:szCs w:val="20"/>
          <w:lang w:val="es-US"/>
        </w:rPr>
        <w:t>Aducen</w:t>
      </w:r>
      <w:r w:rsidR="000619FF" w:rsidRPr="00C3750C">
        <w:rPr>
          <w:rFonts w:ascii="Cambria" w:hAnsi="Cambria"/>
          <w:sz w:val="20"/>
          <w:szCs w:val="20"/>
          <w:lang w:val="es-US"/>
        </w:rPr>
        <w:t xml:space="preserve"> que hay pruebas que no se decretaron y que hubieran permitido el esclarecimiento de los hechos. </w:t>
      </w:r>
      <w:r w:rsidR="00A01825" w:rsidRPr="00C3750C">
        <w:rPr>
          <w:rFonts w:ascii="Cambria" w:hAnsi="Cambria"/>
          <w:sz w:val="20"/>
          <w:szCs w:val="20"/>
          <w:lang w:val="es-US"/>
        </w:rPr>
        <w:t>Agregan que se solicitó copia de la investigación y</w:t>
      </w:r>
      <w:r w:rsidR="001E30D5" w:rsidRPr="00C3750C">
        <w:rPr>
          <w:rFonts w:ascii="Cambria" w:hAnsi="Cambria"/>
          <w:sz w:val="20"/>
          <w:szCs w:val="20"/>
          <w:lang w:val="es-US"/>
        </w:rPr>
        <w:t>,</w:t>
      </w:r>
      <w:r w:rsidR="00A01825" w:rsidRPr="00C3750C">
        <w:rPr>
          <w:rFonts w:ascii="Cambria" w:hAnsi="Cambria"/>
          <w:sz w:val="20"/>
          <w:szCs w:val="20"/>
          <w:lang w:val="es-US"/>
        </w:rPr>
        <w:t xml:space="preserve"> por cuestiones administrativas</w:t>
      </w:r>
      <w:r w:rsidR="001E30D5" w:rsidRPr="00C3750C">
        <w:rPr>
          <w:rFonts w:ascii="Cambria" w:hAnsi="Cambria"/>
          <w:sz w:val="20"/>
          <w:szCs w:val="20"/>
          <w:lang w:val="es-US"/>
        </w:rPr>
        <w:t>,</w:t>
      </w:r>
      <w:r w:rsidR="00A01825" w:rsidRPr="00C3750C">
        <w:rPr>
          <w:rFonts w:ascii="Cambria" w:hAnsi="Cambria"/>
          <w:sz w:val="20"/>
          <w:szCs w:val="20"/>
          <w:lang w:val="es-US"/>
        </w:rPr>
        <w:t xml:space="preserve"> dilataron su entrega. </w:t>
      </w:r>
      <w:r w:rsidR="009C3B24" w:rsidRPr="00C3750C">
        <w:rPr>
          <w:rFonts w:ascii="Cambria" w:hAnsi="Cambria"/>
          <w:sz w:val="20"/>
          <w:szCs w:val="20"/>
          <w:lang w:val="es-US"/>
        </w:rPr>
        <w:t xml:space="preserve">Asimismo, refieren </w:t>
      </w:r>
      <w:r w:rsidR="002400E5" w:rsidRPr="00C3750C">
        <w:rPr>
          <w:rFonts w:ascii="Cambria" w:hAnsi="Cambria"/>
          <w:sz w:val="20"/>
          <w:szCs w:val="20"/>
          <w:lang w:val="es-US"/>
        </w:rPr>
        <w:t xml:space="preserve">que el Estado </w:t>
      </w:r>
      <w:r w:rsidR="00875B00" w:rsidRPr="00C3750C">
        <w:rPr>
          <w:rFonts w:ascii="Cambria" w:hAnsi="Cambria"/>
          <w:sz w:val="20"/>
          <w:szCs w:val="20"/>
          <w:lang w:val="es-US"/>
        </w:rPr>
        <w:t>“</w:t>
      </w:r>
      <w:r w:rsidR="002400E5" w:rsidRPr="00C3750C">
        <w:rPr>
          <w:rFonts w:ascii="Cambria" w:hAnsi="Cambria"/>
          <w:sz w:val="20"/>
          <w:szCs w:val="20"/>
          <w:lang w:val="es-US"/>
        </w:rPr>
        <w:t>no le dio a la familia las herramientas necesarias para solicitar la revisión del caso</w:t>
      </w:r>
      <w:r w:rsidR="00875B00" w:rsidRPr="00C3750C">
        <w:rPr>
          <w:rFonts w:ascii="Cambria" w:hAnsi="Cambria"/>
          <w:sz w:val="20"/>
          <w:szCs w:val="20"/>
          <w:lang w:val="es-US"/>
        </w:rPr>
        <w:t>”</w:t>
      </w:r>
      <w:r w:rsidR="001E30D5" w:rsidRPr="00C3750C">
        <w:rPr>
          <w:rFonts w:ascii="Cambria" w:hAnsi="Cambria"/>
          <w:sz w:val="20"/>
          <w:szCs w:val="20"/>
          <w:lang w:val="es-US"/>
        </w:rPr>
        <w:t>. Alegan que se cumplen con</w:t>
      </w:r>
      <w:r w:rsidR="00EC790A" w:rsidRPr="00C3750C">
        <w:rPr>
          <w:rFonts w:ascii="Cambria" w:hAnsi="Cambria"/>
          <w:sz w:val="20"/>
          <w:szCs w:val="20"/>
          <w:lang w:val="es-US"/>
        </w:rPr>
        <w:t xml:space="preserve"> los requisitos del artículo 46.1.a de la </w:t>
      </w:r>
      <w:r w:rsidR="009E0734" w:rsidRPr="00C3750C">
        <w:rPr>
          <w:rFonts w:ascii="Cambria" w:hAnsi="Cambria"/>
          <w:sz w:val="20"/>
          <w:szCs w:val="20"/>
          <w:lang w:val="es-US"/>
        </w:rPr>
        <w:t>Convención</w:t>
      </w:r>
      <w:r w:rsidR="004E51A9" w:rsidRPr="00C3750C">
        <w:rPr>
          <w:rFonts w:ascii="Cambria" w:hAnsi="Cambria"/>
          <w:sz w:val="20"/>
          <w:szCs w:val="20"/>
          <w:lang w:val="es-US"/>
        </w:rPr>
        <w:t>,</w:t>
      </w:r>
      <w:r w:rsidR="00EC790A" w:rsidRPr="00C3750C">
        <w:rPr>
          <w:rFonts w:ascii="Cambria" w:hAnsi="Cambria"/>
          <w:sz w:val="20"/>
          <w:szCs w:val="20"/>
          <w:lang w:val="es-US"/>
        </w:rPr>
        <w:t xml:space="preserve"> pues se trata de un caso de responsabilidad del Estado por la tutela de los derechos de </w:t>
      </w:r>
      <w:r w:rsidR="004E51A9" w:rsidRPr="00C3750C">
        <w:rPr>
          <w:rFonts w:ascii="Cambria" w:hAnsi="Cambria"/>
          <w:sz w:val="20"/>
          <w:szCs w:val="20"/>
          <w:lang w:val="es-US"/>
        </w:rPr>
        <w:t>una persona privada de libertad</w:t>
      </w:r>
      <w:r w:rsidR="009C3B24" w:rsidRPr="00C3750C">
        <w:rPr>
          <w:rFonts w:ascii="Cambria" w:hAnsi="Cambria"/>
          <w:sz w:val="20"/>
          <w:szCs w:val="20"/>
          <w:lang w:val="es-US"/>
        </w:rPr>
        <w:t>.</w:t>
      </w:r>
      <w:r w:rsidR="00FB2DFB" w:rsidRPr="00C3750C" w:rsidDel="00FB2DFB">
        <w:rPr>
          <w:rStyle w:val="FootnoteReference"/>
          <w:rFonts w:ascii="Cambria" w:hAnsi="Cambria"/>
          <w:sz w:val="20"/>
          <w:szCs w:val="20"/>
          <w:lang w:val="es-US"/>
        </w:rPr>
        <w:t xml:space="preserve"> </w:t>
      </w:r>
      <w:r w:rsidR="009C3B24" w:rsidRPr="00C3750C">
        <w:rPr>
          <w:rFonts w:ascii="Cambria" w:hAnsi="Cambria"/>
          <w:sz w:val="20"/>
          <w:szCs w:val="20"/>
          <w:lang w:val="es-US"/>
        </w:rPr>
        <w:t xml:space="preserve"> </w:t>
      </w:r>
    </w:p>
    <w:p w14:paraId="13444486" w14:textId="1B6ECB71" w:rsidR="007B53E0" w:rsidRPr="00C3750C" w:rsidRDefault="006C1D47" w:rsidP="0034497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US"/>
        </w:rPr>
      </w:pPr>
      <w:r w:rsidRPr="00C3750C">
        <w:rPr>
          <w:sz w:val="20"/>
          <w:szCs w:val="20"/>
          <w:lang w:val="es-US"/>
        </w:rPr>
        <w:t xml:space="preserve">Por su parte, el Estado </w:t>
      </w:r>
      <w:r w:rsidR="00D16DAE" w:rsidRPr="00C3750C">
        <w:rPr>
          <w:rFonts w:eastAsia="Arial Unicode MS" w:cs="Times New Roman"/>
          <w:color w:val="auto"/>
          <w:sz w:val="20"/>
          <w:szCs w:val="20"/>
          <w:lang w:val="es-US" w:eastAsia="en-US"/>
        </w:rPr>
        <w:t xml:space="preserve">plantea que el traslado de la petición se realizó de forma extemporánea, dado que transcurrieron más de 6 años entre la presentación de la denuncia y su traslado al Estado. Asimismo, </w:t>
      </w:r>
      <w:r w:rsidRPr="00C3750C">
        <w:rPr>
          <w:sz w:val="20"/>
          <w:szCs w:val="20"/>
          <w:lang w:val="es-US"/>
        </w:rPr>
        <w:t>alega que la petición es inadmisible. Re</w:t>
      </w:r>
      <w:r w:rsidR="00611E28" w:rsidRPr="00C3750C">
        <w:rPr>
          <w:sz w:val="20"/>
          <w:szCs w:val="20"/>
          <w:lang w:val="es-US"/>
        </w:rPr>
        <w:t xml:space="preserve">fiere que </w:t>
      </w:r>
      <w:r w:rsidR="001E30D5" w:rsidRPr="00C3750C">
        <w:rPr>
          <w:sz w:val="20"/>
          <w:szCs w:val="20"/>
          <w:lang w:val="es-US"/>
        </w:rPr>
        <w:t xml:space="preserve">las </w:t>
      </w:r>
      <w:r w:rsidR="00611E28" w:rsidRPr="00C3750C">
        <w:rPr>
          <w:sz w:val="20"/>
          <w:szCs w:val="20"/>
          <w:lang w:val="es-US"/>
        </w:rPr>
        <w:t>peticionari</w:t>
      </w:r>
      <w:r w:rsidR="001E30D5" w:rsidRPr="00C3750C">
        <w:rPr>
          <w:sz w:val="20"/>
          <w:szCs w:val="20"/>
          <w:lang w:val="es-US"/>
        </w:rPr>
        <w:t>as</w:t>
      </w:r>
      <w:r w:rsidR="00611E28" w:rsidRPr="00C3750C">
        <w:rPr>
          <w:sz w:val="20"/>
          <w:szCs w:val="20"/>
          <w:lang w:val="es-US"/>
        </w:rPr>
        <w:t xml:space="preserve"> no ha</w:t>
      </w:r>
      <w:r w:rsidR="001E30D5" w:rsidRPr="00C3750C">
        <w:rPr>
          <w:sz w:val="20"/>
          <w:szCs w:val="20"/>
          <w:lang w:val="es-US"/>
        </w:rPr>
        <w:t>n</w:t>
      </w:r>
      <w:r w:rsidR="00611E28" w:rsidRPr="00C3750C">
        <w:rPr>
          <w:sz w:val="20"/>
          <w:szCs w:val="20"/>
          <w:lang w:val="es-US"/>
        </w:rPr>
        <w:t xml:space="preserve"> cumplido con interponer y agotar los recursos intern</w:t>
      </w:r>
      <w:r w:rsidR="001E30D5" w:rsidRPr="00C3750C">
        <w:rPr>
          <w:sz w:val="20"/>
          <w:szCs w:val="20"/>
          <w:lang w:val="es-US"/>
        </w:rPr>
        <w:t>os</w:t>
      </w:r>
      <w:r w:rsidR="00611E28" w:rsidRPr="00C3750C">
        <w:rPr>
          <w:sz w:val="20"/>
          <w:szCs w:val="20"/>
          <w:lang w:val="es-US"/>
        </w:rPr>
        <w:t xml:space="preserve"> </w:t>
      </w:r>
      <w:r w:rsidR="00D8360D" w:rsidRPr="00C3750C">
        <w:rPr>
          <w:sz w:val="20"/>
          <w:szCs w:val="20"/>
          <w:lang w:val="es-US"/>
        </w:rPr>
        <w:t>conforme lo previsto en el artículo 46.1.a de la Convención puesto que</w:t>
      </w:r>
      <w:r w:rsidR="001D4E53" w:rsidRPr="00C3750C">
        <w:rPr>
          <w:sz w:val="20"/>
          <w:szCs w:val="20"/>
          <w:lang w:val="es-US"/>
        </w:rPr>
        <w:t>,</w:t>
      </w:r>
      <w:r w:rsidR="00A34E86" w:rsidRPr="00C3750C">
        <w:rPr>
          <w:sz w:val="20"/>
          <w:szCs w:val="20"/>
          <w:lang w:val="es-US"/>
        </w:rPr>
        <w:t xml:space="preserve"> de la lectura de la causa ante el Tribunal Oral Crimina</w:t>
      </w:r>
      <w:r w:rsidR="009926A7" w:rsidRPr="00C3750C">
        <w:rPr>
          <w:sz w:val="20"/>
          <w:szCs w:val="20"/>
          <w:lang w:val="es-US"/>
        </w:rPr>
        <w:t>l</w:t>
      </w:r>
      <w:r w:rsidR="00A34E86" w:rsidRPr="00C3750C">
        <w:rPr>
          <w:sz w:val="20"/>
          <w:szCs w:val="20"/>
          <w:lang w:val="es-US"/>
        </w:rPr>
        <w:t xml:space="preserve"> No. 7 de Lomas de Zamorano</w:t>
      </w:r>
      <w:r w:rsidR="009926A7" w:rsidRPr="00C3750C">
        <w:rPr>
          <w:sz w:val="20"/>
          <w:szCs w:val="20"/>
          <w:lang w:val="es-US"/>
        </w:rPr>
        <w:t>,</w:t>
      </w:r>
      <w:r w:rsidR="00A34E86" w:rsidRPr="00C3750C">
        <w:rPr>
          <w:sz w:val="20"/>
          <w:szCs w:val="20"/>
          <w:lang w:val="es-US"/>
        </w:rPr>
        <w:t xml:space="preserve"> </w:t>
      </w:r>
      <w:r w:rsidR="00D8360D" w:rsidRPr="00C3750C">
        <w:rPr>
          <w:sz w:val="20"/>
          <w:szCs w:val="20"/>
          <w:lang w:val="es-US"/>
        </w:rPr>
        <w:t>no</w:t>
      </w:r>
      <w:r w:rsidR="00A34E86" w:rsidRPr="00C3750C">
        <w:rPr>
          <w:sz w:val="20"/>
          <w:szCs w:val="20"/>
          <w:lang w:val="es-US"/>
        </w:rPr>
        <w:t xml:space="preserve"> se desprende que</w:t>
      </w:r>
      <w:r w:rsidR="00D8360D" w:rsidRPr="00C3750C">
        <w:rPr>
          <w:sz w:val="20"/>
          <w:szCs w:val="20"/>
          <w:lang w:val="es-US"/>
        </w:rPr>
        <w:t xml:space="preserve"> se denunció judicialmente </w:t>
      </w:r>
      <w:r w:rsidR="00A34E86" w:rsidRPr="00C3750C">
        <w:rPr>
          <w:sz w:val="20"/>
          <w:szCs w:val="20"/>
          <w:lang w:val="es-US"/>
        </w:rPr>
        <w:t xml:space="preserve">los tratos degradantes sufridos por la presunta víctima durante su encarcelamiento ni los sufridos por su hija durante las visitas. Refiere que lo que </w:t>
      </w:r>
      <w:r w:rsidR="00CE6BED" w:rsidRPr="00C3750C">
        <w:rPr>
          <w:sz w:val="20"/>
          <w:szCs w:val="20"/>
          <w:lang w:val="es-US"/>
        </w:rPr>
        <w:t>existió</w:t>
      </w:r>
      <w:r w:rsidR="00A34E86" w:rsidRPr="00C3750C">
        <w:rPr>
          <w:sz w:val="20"/>
          <w:szCs w:val="20"/>
          <w:lang w:val="es-US"/>
        </w:rPr>
        <w:t xml:space="preserve"> fue una denuncia</w:t>
      </w:r>
      <w:r w:rsidR="007B53E0" w:rsidRPr="00C3750C">
        <w:rPr>
          <w:sz w:val="20"/>
          <w:szCs w:val="20"/>
          <w:lang w:val="es-US"/>
        </w:rPr>
        <w:t xml:space="preserve"> admini</w:t>
      </w:r>
      <w:r w:rsidR="009926A7" w:rsidRPr="00C3750C">
        <w:rPr>
          <w:sz w:val="20"/>
          <w:szCs w:val="20"/>
          <w:lang w:val="es-US"/>
        </w:rPr>
        <w:t>strativa ante la Secretaría de C</w:t>
      </w:r>
      <w:r w:rsidR="007B53E0" w:rsidRPr="00C3750C">
        <w:rPr>
          <w:sz w:val="20"/>
          <w:szCs w:val="20"/>
          <w:lang w:val="es-US"/>
        </w:rPr>
        <w:t>ontrol Judicial de la Suprema Corte de Justicia de la Provincia de Buenos Aires,</w:t>
      </w:r>
      <w:r w:rsidR="00A34E86" w:rsidRPr="00C3750C">
        <w:rPr>
          <w:sz w:val="20"/>
          <w:szCs w:val="20"/>
          <w:lang w:val="es-US"/>
        </w:rPr>
        <w:t xml:space="preserve"> tras el fallecimiento de la presunta víctima</w:t>
      </w:r>
      <w:r w:rsidR="007B53E0" w:rsidRPr="00C3750C">
        <w:rPr>
          <w:sz w:val="20"/>
          <w:szCs w:val="20"/>
          <w:lang w:val="es-US"/>
        </w:rPr>
        <w:t>. Agrega que el Procurador General de la referida Corte</w:t>
      </w:r>
      <w:r w:rsidR="009926A7" w:rsidRPr="00C3750C">
        <w:rPr>
          <w:sz w:val="20"/>
          <w:szCs w:val="20"/>
          <w:lang w:val="es-US"/>
        </w:rPr>
        <w:t>,</w:t>
      </w:r>
      <w:r w:rsidR="007B53E0" w:rsidRPr="00C3750C">
        <w:rPr>
          <w:sz w:val="20"/>
          <w:szCs w:val="20"/>
          <w:lang w:val="es-US"/>
        </w:rPr>
        <w:t xml:space="preserve"> concluyó en su dictamen que no obraban presentaciones denunciando la persecución, torturas u otro trato. Así, agrega que </w:t>
      </w:r>
      <w:r w:rsidR="004B1571" w:rsidRPr="00C3750C">
        <w:rPr>
          <w:sz w:val="20"/>
          <w:szCs w:val="20"/>
          <w:lang w:val="es-US"/>
        </w:rPr>
        <w:t>la Suprema Corte de</w:t>
      </w:r>
      <w:r w:rsidR="00FF5B97" w:rsidRPr="00C3750C">
        <w:rPr>
          <w:sz w:val="20"/>
          <w:szCs w:val="20"/>
          <w:lang w:val="es-US"/>
        </w:rPr>
        <w:t xml:space="preserve"> Justicia</w:t>
      </w:r>
      <w:r w:rsidR="001D4E53" w:rsidRPr="00C3750C">
        <w:rPr>
          <w:sz w:val="20"/>
          <w:szCs w:val="20"/>
          <w:lang w:val="es-US"/>
        </w:rPr>
        <w:t>,</w:t>
      </w:r>
      <w:r w:rsidR="00FF5B97" w:rsidRPr="00C3750C">
        <w:rPr>
          <w:sz w:val="20"/>
          <w:szCs w:val="20"/>
          <w:lang w:val="es-US"/>
        </w:rPr>
        <w:t xml:space="preserve"> al no acreditarse las omisiones o </w:t>
      </w:r>
      <w:r w:rsidR="004B1571" w:rsidRPr="00C3750C">
        <w:rPr>
          <w:sz w:val="20"/>
          <w:szCs w:val="20"/>
          <w:lang w:val="es-US"/>
        </w:rPr>
        <w:t>irregularid</w:t>
      </w:r>
      <w:r w:rsidR="00FF5B97" w:rsidRPr="00C3750C">
        <w:rPr>
          <w:sz w:val="20"/>
          <w:szCs w:val="20"/>
          <w:lang w:val="es-US"/>
        </w:rPr>
        <w:t>ades denunciadas</w:t>
      </w:r>
      <w:r w:rsidR="001D4E53" w:rsidRPr="00C3750C">
        <w:rPr>
          <w:sz w:val="20"/>
          <w:szCs w:val="20"/>
          <w:lang w:val="es-US"/>
        </w:rPr>
        <w:t>,</w:t>
      </w:r>
      <w:r w:rsidR="007B53E0" w:rsidRPr="00C3750C">
        <w:rPr>
          <w:sz w:val="20"/>
          <w:szCs w:val="20"/>
          <w:lang w:val="es-US"/>
        </w:rPr>
        <w:t xml:space="preserve"> dispuso el archivo el 16 de septiembre de 2009</w:t>
      </w:r>
      <w:r w:rsidR="00070F17" w:rsidRPr="00C3750C">
        <w:rPr>
          <w:sz w:val="20"/>
          <w:szCs w:val="20"/>
          <w:lang w:val="es-US"/>
        </w:rPr>
        <w:t xml:space="preserve">. </w:t>
      </w:r>
      <w:r w:rsidR="00637DC4" w:rsidRPr="00C3750C">
        <w:rPr>
          <w:sz w:val="20"/>
          <w:szCs w:val="20"/>
          <w:lang w:val="es-US"/>
        </w:rPr>
        <w:t>Además, a</w:t>
      </w:r>
      <w:r w:rsidR="007B53E0" w:rsidRPr="00C3750C">
        <w:rPr>
          <w:sz w:val="20"/>
          <w:szCs w:val="20"/>
          <w:lang w:val="es-US"/>
        </w:rPr>
        <w:t>firma que</w:t>
      </w:r>
      <w:r w:rsidR="001D4E53" w:rsidRPr="00C3750C">
        <w:rPr>
          <w:sz w:val="20"/>
          <w:szCs w:val="20"/>
          <w:lang w:val="es-US"/>
        </w:rPr>
        <w:t>,</w:t>
      </w:r>
      <w:r w:rsidR="007B53E0" w:rsidRPr="00C3750C">
        <w:rPr>
          <w:sz w:val="20"/>
          <w:szCs w:val="20"/>
          <w:lang w:val="es-US"/>
        </w:rPr>
        <w:t xml:space="preserve"> sobre la investigación penal preparatoria </w:t>
      </w:r>
      <w:r w:rsidR="00637DC4" w:rsidRPr="00C3750C">
        <w:rPr>
          <w:sz w:val="20"/>
          <w:szCs w:val="20"/>
          <w:lang w:val="es-US"/>
        </w:rPr>
        <w:t xml:space="preserve">promovida por el fallecimiento de la presunta víctima, el fiscal dispuso el archivo dejando abierta la posibilidad de reapertura en caso de que surjan nuevos antecedentes, y que los familiares no ejercieron la revisión del archivo ante el superior inmediato. </w:t>
      </w:r>
      <w:r w:rsidR="000C46FA" w:rsidRPr="00C3750C">
        <w:rPr>
          <w:sz w:val="20"/>
          <w:szCs w:val="20"/>
          <w:lang w:val="es-US"/>
        </w:rPr>
        <w:t>Agrega que tampoco se atacó la resolución que</w:t>
      </w:r>
      <w:r w:rsidR="00637DC4" w:rsidRPr="00C3750C">
        <w:rPr>
          <w:sz w:val="20"/>
          <w:szCs w:val="20"/>
          <w:lang w:val="es-US"/>
        </w:rPr>
        <w:t xml:space="preserve"> desechó la so</w:t>
      </w:r>
      <w:r w:rsidR="00903B3E" w:rsidRPr="00C3750C">
        <w:rPr>
          <w:sz w:val="20"/>
          <w:szCs w:val="20"/>
          <w:lang w:val="es-US"/>
        </w:rPr>
        <w:t xml:space="preserve">licitud de la presidenta del </w:t>
      </w:r>
      <w:r w:rsidR="0041444C" w:rsidRPr="00C3750C">
        <w:rPr>
          <w:sz w:val="20"/>
          <w:szCs w:val="20"/>
          <w:lang w:val="es-US"/>
        </w:rPr>
        <w:t>G</w:t>
      </w:r>
      <w:r w:rsidR="00903B3E" w:rsidRPr="00C3750C">
        <w:rPr>
          <w:sz w:val="20"/>
          <w:szCs w:val="20"/>
          <w:lang w:val="es-US"/>
        </w:rPr>
        <w:t>ru</w:t>
      </w:r>
      <w:r w:rsidR="00637DC4" w:rsidRPr="00C3750C">
        <w:rPr>
          <w:sz w:val="20"/>
          <w:szCs w:val="20"/>
          <w:lang w:val="es-US"/>
        </w:rPr>
        <w:t xml:space="preserve">po de </w:t>
      </w:r>
      <w:r w:rsidR="0041444C" w:rsidRPr="00C3750C">
        <w:rPr>
          <w:sz w:val="20"/>
          <w:szCs w:val="20"/>
          <w:lang w:val="es-US"/>
        </w:rPr>
        <w:t>M</w:t>
      </w:r>
      <w:r w:rsidR="00637DC4" w:rsidRPr="00C3750C">
        <w:rPr>
          <w:sz w:val="20"/>
          <w:szCs w:val="20"/>
          <w:lang w:val="es-US"/>
        </w:rPr>
        <w:t xml:space="preserve">ujeres </w:t>
      </w:r>
      <w:r w:rsidR="0041444C" w:rsidRPr="00C3750C">
        <w:rPr>
          <w:sz w:val="20"/>
          <w:szCs w:val="20"/>
          <w:lang w:val="es-US"/>
        </w:rPr>
        <w:t>de la A</w:t>
      </w:r>
      <w:r w:rsidR="00637DC4" w:rsidRPr="00C3750C">
        <w:rPr>
          <w:sz w:val="20"/>
          <w:szCs w:val="20"/>
          <w:lang w:val="es-US"/>
        </w:rPr>
        <w:t>rgentina de ser tenida como particular damnificada, mediante apelación ante la Cámara de Apelación y Garantías competente.</w:t>
      </w:r>
    </w:p>
    <w:p w14:paraId="2B6BBA34" w14:textId="3A66B7BB" w:rsidR="00C47AF9" w:rsidRPr="00C3750C" w:rsidRDefault="00C47AF9" w:rsidP="00D16D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3750C">
        <w:rPr>
          <w:rFonts w:ascii="Cambria" w:hAnsi="Cambria"/>
          <w:sz w:val="20"/>
          <w:szCs w:val="20"/>
          <w:lang w:val="es-US"/>
        </w:rPr>
        <w:t xml:space="preserve">Asimismo, en cuanto a las alegadas irregularidades en el trámite de la investigación penal preparatoria, afirma que </w:t>
      </w:r>
      <w:r w:rsidRPr="00C3750C">
        <w:rPr>
          <w:rFonts w:ascii="Cambria" w:hAnsi="Cambria"/>
          <w:sz w:val="20"/>
          <w:szCs w:val="20"/>
          <w:lang w:val="es-ES_tradnl"/>
        </w:rPr>
        <w:t xml:space="preserve">los tribunales nacionales </w:t>
      </w:r>
      <w:r w:rsidR="001D4E53" w:rsidRPr="00C3750C">
        <w:rPr>
          <w:rFonts w:ascii="Cambria" w:hAnsi="Cambria"/>
          <w:sz w:val="20"/>
          <w:szCs w:val="20"/>
          <w:lang w:val="es-ES_tradnl"/>
        </w:rPr>
        <w:t>han respetado</w:t>
      </w:r>
      <w:r w:rsidRPr="00C3750C">
        <w:rPr>
          <w:rFonts w:ascii="Cambria" w:hAnsi="Cambria"/>
          <w:sz w:val="20"/>
          <w:szCs w:val="20"/>
          <w:lang w:val="es-ES_tradnl"/>
        </w:rPr>
        <w:t xml:space="preserve"> las garantías judiciales y </w:t>
      </w:r>
      <w:r w:rsidR="001D4E53" w:rsidRPr="00C3750C">
        <w:rPr>
          <w:rFonts w:ascii="Cambria" w:hAnsi="Cambria"/>
          <w:sz w:val="20"/>
          <w:szCs w:val="20"/>
          <w:lang w:val="es-ES_tradnl"/>
        </w:rPr>
        <w:t xml:space="preserve">sus resoluciones </w:t>
      </w:r>
      <w:r w:rsidRPr="00C3750C">
        <w:rPr>
          <w:rFonts w:ascii="Cambria" w:hAnsi="Cambria"/>
          <w:sz w:val="20"/>
          <w:szCs w:val="20"/>
          <w:lang w:val="es-ES_tradnl"/>
        </w:rPr>
        <w:t xml:space="preserve">no han sido dictadas al margen del debido proceso o vulnerando derechos convencionales. Agrega que el fiscal a cargo solicitó la producción de diversas pruebas </w:t>
      </w:r>
      <w:r w:rsidR="006C685C" w:rsidRPr="00C3750C">
        <w:rPr>
          <w:rFonts w:ascii="Cambria" w:hAnsi="Cambria"/>
          <w:sz w:val="20"/>
          <w:szCs w:val="20"/>
          <w:lang w:val="es-ES_tradnl"/>
        </w:rPr>
        <w:t xml:space="preserve">y que el 7 de julio de 2008 </w:t>
      </w:r>
      <w:r w:rsidR="00903B3E" w:rsidRPr="00C3750C">
        <w:rPr>
          <w:rFonts w:ascii="Cambria" w:hAnsi="Cambria"/>
          <w:sz w:val="20"/>
          <w:szCs w:val="20"/>
          <w:lang w:val="es-ES_tradnl"/>
        </w:rPr>
        <w:t>resolvió dictar el archivo de la causa en el entendimiento que</w:t>
      </w:r>
      <w:r w:rsidR="005B20C3" w:rsidRPr="00C3750C">
        <w:rPr>
          <w:rFonts w:ascii="Cambria" w:hAnsi="Cambria"/>
          <w:sz w:val="20"/>
          <w:szCs w:val="20"/>
          <w:lang w:val="es-ES_tradnl"/>
        </w:rPr>
        <w:t>,</w:t>
      </w:r>
      <w:r w:rsidR="00903B3E" w:rsidRPr="00C3750C">
        <w:rPr>
          <w:rFonts w:ascii="Cambria" w:hAnsi="Cambria"/>
          <w:sz w:val="20"/>
          <w:szCs w:val="20"/>
          <w:lang w:val="es-ES_tradnl"/>
        </w:rPr>
        <w:t xml:space="preserve"> de </w:t>
      </w:r>
      <w:r w:rsidR="005B20C3" w:rsidRPr="00C3750C">
        <w:rPr>
          <w:rFonts w:ascii="Cambria" w:hAnsi="Cambria"/>
          <w:sz w:val="20"/>
          <w:szCs w:val="20"/>
          <w:lang w:val="es-ES_tradnl"/>
        </w:rPr>
        <w:t xml:space="preserve">las declaraciones, historial clínico de la presunta víctima, informe de autopsia, así como de otras pericias, </w:t>
      </w:r>
      <w:r w:rsidR="00903B3E" w:rsidRPr="00C3750C">
        <w:rPr>
          <w:rFonts w:ascii="Cambria" w:hAnsi="Cambria"/>
          <w:sz w:val="20"/>
          <w:szCs w:val="20"/>
          <w:lang w:val="es-ES_tradnl"/>
        </w:rPr>
        <w:t>no surgían pruebas suficientes para determinar la existencia de hecho delictivo</w:t>
      </w:r>
      <w:r w:rsidR="004E387B" w:rsidRPr="00C3750C">
        <w:rPr>
          <w:rFonts w:ascii="Cambria" w:hAnsi="Cambria"/>
          <w:sz w:val="20"/>
          <w:szCs w:val="20"/>
          <w:lang w:val="es-ES_tradnl"/>
        </w:rPr>
        <w:t>.</w:t>
      </w:r>
      <w:r w:rsidR="00903B3E" w:rsidRPr="00C3750C">
        <w:rPr>
          <w:rFonts w:ascii="Cambria" w:hAnsi="Cambria"/>
          <w:sz w:val="20"/>
          <w:szCs w:val="20"/>
          <w:lang w:val="es-ES_tradnl"/>
        </w:rPr>
        <w:t xml:space="preserve"> </w:t>
      </w:r>
      <w:r w:rsidRPr="00C3750C">
        <w:rPr>
          <w:rFonts w:ascii="Cambria" w:hAnsi="Cambria"/>
          <w:sz w:val="20"/>
          <w:szCs w:val="20"/>
          <w:lang w:val="es-ES_tradnl"/>
        </w:rPr>
        <w:t>Agrega que</w:t>
      </w:r>
      <w:r w:rsidR="005B20C3" w:rsidRPr="00C3750C">
        <w:rPr>
          <w:rFonts w:ascii="Cambria" w:hAnsi="Cambria"/>
          <w:sz w:val="20"/>
          <w:szCs w:val="20"/>
          <w:lang w:val="es-ES_tradnl"/>
        </w:rPr>
        <w:t>,</w:t>
      </w:r>
      <w:r w:rsidRPr="00C3750C">
        <w:rPr>
          <w:rFonts w:ascii="Cambria" w:hAnsi="Cambria"/>
          <w:sz w:val="20"/>
          <w:szCs w:val="20"/>
          <w:lang w:val="es-ES_tradnl"/>
        </w:rPr>
        <w:t xml:space="preserve"> aun cuando el </w:t>
      </w:r>
      <w:r w:rsidR="008F012F" w:rsidRPr="00C3750C">
        <w:rPr>
          <w:rFonts w:ascii="Cambria" w:hAnsi="Cambria"/>
          <w:sz w:val="20"/>
          <w:szCs w:val="20"/>
          <w:lang w:val="es-ES_tradnl"/>
        </w:rPr>
        <w:t>G</w:t>
      </w:r>
      <w:r w:rsidRPr="00C3750C">
        <w:rPr>
          <w:rFonts w:ascii="Cambria" w:hAnsi="Cambria"/>
          <w:sz w:val="20"/>
          <w:szCs w:val="20"/>
          <w:lang w:val="es-ES_tradnl"/>
        </w:rPr>
        <w:t xml:space="preserve">rupo de </w:t>
      </w:r>
      <w:r w:rsidR="008F012F" w:rsidRPr="00C3750C">
        <w:rPr>
          <w:rFonts w:ascii="Cambria" w:hAnsi="Cambria"/>
          <w:sz w:val="20"/>
          <w:szCs w:val="20"/>
          <w:lang w:val="es-ES_tradnl"/>
        </w:rPr>
        <w:t>M</w:t>
      </w:r>
      <w:r w:rsidRPr="00C3750C">
        <w:rPr>
          <w:rFonts w:ascii="Cambria" w:hAnsi="Cambria"/>
          <w:sz w:val="20"/>
          <w:szCs w:val="20"/>
          <w:lang w:val="es-ES_tradnl"/>
        </w:rPr>
        <w:t xml:space="preserve">ujeres </w:t>
      </w:r>
      <w:r w:rsidR="008F012F" w:rsidRPr="00C3750C">
        <w:rPr>
          <w:rFonts w:ascii="Cambria" w:hAnsi="Cambria"/>
          <w:sz w:val="20"/>
          <w:szCs w:val="20"/>
          <w:lang w:val="es-ES_tradnl"/>
        </w:rPr>
        <w:t xml:space="preserve">de la </w:t>
      </w:r>
      <w:r w:rsidRPr="00C3750C">
        <w:rPr>
          <w:rFonts w:ascii="Cambria" w:hAnsi="Cambria"/>
          <w:sz w:val="20"/>
          <w:szCs w:val="20"/>
          <w:lang w:val="es-ES_tradnl"/>
        </w:rPr>
        <w:t>Argentina no era parte legitimada</w:t>
      </w:r>
      <w:r w:rsidR="005B20C3" w:rsidRPr="00C3750C">
        <w:rPr>
          <w:rFonts w:ascii="Cambria" w:hAnsi="Cambria"/>
          <w:sz w:val="20"/>
          <w:szCs w:val="20"/>
          <w:lang w:val="es-ES_tradnl"/>
        </w:rPr>
        <w:t>,</w:t>
      </w:r>
      <w:r w:rsidRPr="00C3750C">
        <w:rPr>
          <w:rFonts w:ascii="Cambria" w:hAnsi="Cambria"/>
          <w:sz w:val="20"/>
          <w:szCs w:val="20"/>
          <w:lang w:val="es-ES_tradnl"/>
        </w:rPr>
        <w:t xml:space="preserve"> el fiscal evaluó la pertinencia de medidas solicitadas y concedió unas y denegó otras. </w:t>
      </w:r>
      <w:r w:rsidR="00D46FD5" w:rsidRPr="00C3750C">
        <w:rPr>
          <w:rFonts w:ascii="Cambria" w:hAnsi="Cambria"/>
          <w:sz w:val="20"/>
          <w:szCs w:val="20"/>
          <w:lang w:val="es-ES_tradnl"/>
        </w:rPr>
        <w:t>Afirma que las decision</w:t>
      </w:r>
      <w:r w:rsidR="00D16DAE" w:rsidRPr="00C3750C">
        <w:rPr>
          <w:rFonts w:ascii="Cambria" w:hAnsi="Cambria"/>
          <w:sz w:val="20"/>
          <w:szCs w:val="20"/>
          <w:lang w:val="es-ES_tradnl"/>
        </w:rPr>
        <w:t>es adoptadas se respal</w:t>
      </w:r>
      <w:r w:rsidR="00D46FD5" w:rsidRPr="00C3750C">
        <w:rPr>
          <w:rFonts w:ascii="Cambria" w:hAnsi="Cambria"/>
          <w:sz w:val="20"/>
          <w:szCs w:val="20"/>
          <w:lang w:val="es-ES_tradnl"/>
        </w:rPr>
        <w:t xml:space="preserve">dan en una serie de pruebas en el marco de un debido proceso legal. Por ello, sostiene </w:t>
      </w:r>
      <w:r w:rsidR="00D46FD5" w:rsidRPr="00C3750C">
        <w:rPr>
          <w:rFonts w:ascii="Cambria" w:hAnsi="Cambria"/>
          <w:sz w:val="20"/>
          <w:szCs w:val="20"/>
          <w:lang w:val="es-US"/>
        </w:rPr>
        <w:t>que</w:t>
      </w:r>
      <w:r w:rsidR="00D16DAE" w:rsidRPr="00C3750C">
        <w:rPr>
          <w:rFonts w:ascii="Cambria" w:hAnsi="Cambria"/>
          <w:sz w:val="20"/>
          <w:szCs w:val="20"/>
          <w:lang w:val="es-US"/>
        </w:rPr>
        <w:t xml:space="preserve"> no es atribución de los órganos internacionales de protección de derechos humanos revisar decisiones de los tribunales nacionales y actuar como un tribunal de cuarta instancia. </w:t>
      </w:r>
    </w:p>
    <w:p w14:paraId="7254F27D" w14:textId="77777777" w:rsidR="00CD06D8" w:rsidRPr="00C3750C" w:rsidRDefault="004A4146" w:rsidP="00CD06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3750C">
        <w:rPr>
          <w:rFonts w:ascii="Cambria" w:hAnsi="Cambria"/>
          <w:sz w:val="20"/>
          <w:szCs w:val="20"/>
          <w:lang w:val="es-US"/>
        </w:rPr>
        <w:t>Adicionalmente, a</w:t>
      </w:r>
      <w:r w:rsidR="004E387B" w:rsidRPr="00C3750C">
        <w:rPr>
          <w:rFonts w:ascii="Cambria" w:hAnsi="Cambria"/>
          <w:sz w:val="20"/>
          <w:szCs w:val="20"/>
          <w:lang w:val="es-US"/>
        </w:rPr>
        <w:t>greg</w:t>
      </w:r>
      <w:r w:rsidRPr="00C3750C">
        <w:rPr>
          <w:rFonts w:ascii="Cambria" w:hAnsi="Cambria"/>
          <w:sz w:val="20"/>
          <w:szCs w:val="20"/>
          <w:lang w:val="es-US"/>
        </w:rPr>
        <w:t>a</w:t>
      </w:r>
      <w:r w:rsidR="004E387B" w:rsidRPr="00C3750C">
        <w:rPr>
          <w:rFonts w:ascii="Cambria" w:hAnsi="Cambria"/>
          <w:sz w:val="20"/>
          <w:szCs w:val="20"/>
          <w:lang w:val="es-US"/>
        </w:rPr>
        <w:t xml:space="preserve"> que se encontra</w:t>
      </w:r>
      <w:r w:rsidRPr="00C3750C">
        <w:rPr>
          <w:rFonts w:ascii="Cambria" w:hAnsi="Cambria"/>
          <w:sz w:val="20"/>
          <w:szCs w:val="20"/>
          <w:lang w:val="es-US"/>
        </w:rPr>
        <w:t>ría</w:t>
      </w:r>
      <w:r w:rsidR="004E387B" w:rsidRPr="00C3750C">
        <w:rPr>
          <w:rFonts w:ascii="Cambria" w:hAnsi="Cambria"/>
          <w:sz w:val="20"/>
          <w:szCs w:val="20"/>
          <w:lang w:val="es-US"/>
        </w:rPr>
        <w:t xml:space="preserve"> en trámite la instrucción de actuaciones sumariales relativas al fallecimiento de la presunta v</w:t>
      </w:r>
      <w:r w:rsidR="00165FB5" w:rsidRPr="00C3750C">
        <w:rPr>
          <w:rFonts w:ascii="Cambria" w:hAnsi="Cambria"/>
          <w:sz w:val="20"/>
          <w:szCs w:val="20"/>
          <w:lang w:val="es-US"/>
        </w:rPr>
        <w:t>íctima, encomendándose a la Auditoria de Asuntos Internos Penitenciarios el tratamiento del caso a fin de determina</w:t>
      </w:r>
      <w:r w:rsidR="00CD06D8" w:rsidRPr="00C3750C">
        <w:rPr>
          <w:rFonts w:ascii="Cambria" w:hAnsi="Cambria"/>
          <w:sz w:val="20"/>
          <w:szCs w:val="20"/>
          <w:lang w:val="es-US"/>
        </w:rPr>
        <w:t>r eventuales responsabilidades.</w:t>
      </w:r>
    </w:p>
    <w:p w14:paraId="6F4D4171" w14:textId="58D3DC13" w:rsidR="003239B8" w:rsidRPr="00C3750C" w:rsidRDefault="003239B8" w:rsidP="003239B8">
      <w:pPr>
        <w:spacing w:before="240" w:after="240"/>
        <w:ind w:firstLine="720"/>
        <w:jc w:val="both"/>
        <w:rPr>
          <w:rFonts w:ascii="Cambria" w:hAnsi="Cambria"/>
          <w:sz w:val="20"/>
          <w:szCs w:val="20"/>
          <w:lang w:val="es-UY"/>
        </w:rPr>
      </w:pPr>
      <w:r w:rsidRPr="00C3750C">
        <w:rPr>
          <w:rFonts w:asciiTheme="majorHAnsi" w:eastAsia="Cambria" w:hAnsiTheme="majorHAnsi" w:cs="Cambria"/>
          <w:b/>
          <w:bCs/>
          <w:color w:val="000000"/>
          <w:sz w:val="20"/>
          <w:szCs w:val="20"/>
          <w:u w:color="000000"/>
          <w:lang w:val="es-ES" w:eastAsia="es-ES"/>
        </w:rPr>
        <w:t>VI.</w:t>
      </w:r>
      <w:r w:rsidRPr="00C3750C">
        <w:rPr>
          <w:rFonts w:asciiTheme="majorHAnsi" w:eastAsia="Cambria" w:hAnsiTheme="majorHAnsi" w:cs="Cambria"/>
          <w:b/>
          <w:bCs/>
          <w:color w:val="000000"/>
          <w:sz w:val="20"/>
          <w:szCs w:val="20"/>
          <w:u w:color="000000"/>
          <w:lang w:val="es-ES" w:eastAsia="es-ES"/>
        </w:rPr>
        <w:tab/>
      </w:r>
      <w:r w:rsidR="001C7EB1" w:rsidRPr="00C3750C">
        <w:rPr>
          <w:rFonts w:asciiTheme="majorHAnsi" w:hAnsiTheme="majorHAnsi"/>
          <w:b/>
          <w:sz w:val="20"/>
          <w:szCs w:val="20"/>
          <w:lang w:val="es-ES"/>
        </w:rPr>
        <w:t>ANÁLISIS DE</w:t>
      </w:r>
      <w:r w:rsidR="001C7EB1" w:rsidRPr="00C3750C">
        <w:rPr>
          <w:rFonts w:asciiTheme="majorHAnsi" w:eastAsia="Cambria" w:hAnsiTheme="majorHAnsi" w:cs="Cambria"/>
          <w:b/>
          <w:bCs/>
          <w:color w:val="000000"/>
          <w:sz w:val="20"/>
          <w:szCs w:val="20"/>
          <w:u w:color="000000"/>
          <w:lang w:val="es-ES" w:eastAsia="es-ES"/>
        </w:rPr>
        <w:t xml:space="preserve"> </w:t>
      </w:r>
      <w:r w:rsidR="00C21FEF" w:rsidRPr="00C3750C">
        <w:rPr>
          <w:rFonts w:asciiTheme="majorHAnsi" w:hAnsiTheme="majorHAnsi"/>
          <w:b/>
          <w:sz w:val="20"/>
          <w:szCs w:val="20"/>
          <w:lang w:val="es-ES"/>
        </w:rPr>
        <w:t>AGOTAMIENTO DE LOS RECURSOS INTERNOS Y PLAZO DE PRESENTACIÓN</w:t>
      </w:r>
      <w:r w:rsidR="00C21FEF" w:rsidRPr="00C3750C">
        <w:rPr>
          <w:rFonts w:asciiTheme="majorHAnsi" w:eastAsia="Cambria" w:hAnsiTheme="majorHAnsi" w:cs="Cambria"/>
          <w:b/>
          <w:bCs/>
          <w:color w:val="000000"/>
          <w:sz w:val="20"/>
          <w:szCs w:val="20"/>
          <w:u w:color="000000"/>
          <w:lang w:val="es-ES" w:eastAsia="es-ES"/>
        </w:rPr>
        <w:t xml:space="preserve"> </w:t>
      </w:r>
    </w:p>
    <w:p w14:paraId="35155FD4" w14:textId="3F01D8C2" w:rsidR="008B0745" w:rsidRPr="00C3750C" w:rsidRDefault="000A70ED" w:rsidP="004C67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C3750C">
        <w:rPr>
          <w:rFonts w:ascii="Cambria" w:hAnsi="Cambria"/>
          <w:sz w:val="20"/>
          <w:szCs w:val="20"/>
          <w:lang w:val="es-US"/>
        </w:rPr>
        <w:t>Las peticionarias</w:t>
      </w:r>
      <w:r w:rsidR="00434C23" w:rsidRPr="00C3750C">
        <w:rPr>
          <w:rFonts w:ascii="Cambria" w:hAnsi="Cambria"/>
          <w:sz w:val="20"/>
          <w:szCs w:val="20"/>
          <w:lang w:val="es-US"/>
        </w:rPr>
        <w:t xml:space="preserve"> refiere</w:t>
      </w:r>
      <w:r w:rsidRPr="00C3750C">
        <w:rPr>
          <w:rFonts w:ascii="Cambria" w:hAnsi="Cambria"/>
          <w:sz w:val="20"/>
          <w:szCs w:val="20"/>
          <w:lang w:val="es-US"/>
        </w:rPr>
        <w:t>n</w:t>
      </w:r>
      <w:r w:rsidR="004C6731" w:rsidRPr="00C3750C">
        <w:rPr>
          <w:rFonts w:ascii="Cambria" w:hAnsi="Cambria"/>
          <w:sz w:val="20"/>
          <w:szCs w:val="20"/>
          <w:lang w:val="es-US"/>
        </w:rPr>
        <w:t xml:space="preserve"> que los reclamos respecto de las alegadas torturas y malos tratos durante la detención de la señora Canelo y los malos tratos de su hija durante las visitas, fueron presentados ante el Tribunal Oral Criminal No.7, la Defensoría No. 4 de Lomas de Zamora, la Defensoría de Ejecución Penal y la Secretaría de Derechos Humanos de la Provincia de Buenos Aires, sin haber recibido respuesta. En </w:t>
      </w:r>
      <w:r w:rsidR="004C6731" w:rsidRPr="00C3750C">
        <w:rPr>
          <w:rFonts w:ascii="Cambria" w:hAnsi="Cambria"/>
          <w:sz w:val="20"/>
          <w:szCs w:val="20"/>
          <w:lang w:val="es-US"/>
        </w:rPr>
        <w:lastRenderedPageBreak/>
        <w:t xml:space="preserve">relación con </w:t>
      </w:r>
      <w:r w:rsidR="004A4146" w:rsidRPr="00C3750C">
        <w:rPr>
          <w:rFonts w:ascii="Cambria" w:hAnsi="Cambria"/>
          <w:sz w:val="20"/>
          <w:szCs w:val="20"/>
          <w:lang w:val="es-US"/>
        </w:rPr>
        <w:t xml:space="preserve"> el proceso penal iniciado por el fallecimiento de la presunta víctima</w:t>
      </w:r>
      <w:r w:rsidR="00245356" w:rsidRPr="00C3750C">
        <w:rPr>
          <w:rFonts w:ascii="Cambria" w:hAnsi="Cambria"/>
          <w:sz w:val="20"/>
          <w:szCs w:val="20"/>
          <w:lang w:val="es-US"/>
        </w:rPr>
        <w:t>,</w:t>
      </w:r>
      <w:r w:rsidR="004A4146" w:rsidRPr="00C3750C">
        <w:rPr>
          <w:rFonts w:ascii="Cambria" w:hAnsi="Cambria"/>
          <w:sz w:val="20"/>
          <w:szCs w:val="20"/>
          <w:lang w:val="es-US"/>
        </w:rPr>
        <w:t xml:space="preserve"> </w:t>
      </w:r>
      <w:r w:rsidR="004C6731" w:rsidRPr="00C3750C">
        <w:rPr>
          <w:rFonts w:ascii="Cambria" w:hAnsi="Cambria"/>
          <w:sz w:val="20"/>
          <w:szCs w:val="20"/>
          <w:lang w:val="es-US"/>
        </w:rPr>
        <w:t>indican que fue</w:t>
      </w:r>
      <w:r w:rsidR="004A4146" w:rsidRPr="00C3750C">
        <w:rPr>
          <w:rFonts w:ascii="Cambria" w:hAnsi="Cambria"/>
          <w:sz w:val="20"/>
          <w:szCs w:val="20"/>
          <w:lang w:val="es-US"/>
        </w:rPr>
        <w:t xml:space="preserve"> archivado sin que se </w:t>
      </w:r>
      <w:r w:rsidR="004C6731" w:rsidRPr="00C3750C">
        <w:rPr>
          <w:rFonts w:ascii="Cambria" w:hAnsi="Cambria"/>
          <w:sz w:val="20"/>
          <w:szCs w:val="20"/>
          <w:lang w:val="es-US"/>
        </w:rPr>
        <w:t>hayan precisado las causas de la muerte</w:t>
      </w:r>
      <w:r w:rsidR="004A4146" w:rsidRPr="00C3750C">
        <w:rPr>
          <w:rFonts w:ascii="Cambria" w:hAnsi="Cambria"/>
          <w:sz w:val="20"/>
          <w:szCs w:val="20"/>
          <w:lang w:val="es-US"/>
        </w:rPr>
        <w:t xml:space="preserve">. </w:t>
      </w:r>
      <w:r w:rsidR="00434C23" w:rsidRPr="00C3750C">
        <w:rPr>
          <w:rFonts w:ascii="Cambria" w:hAnsi="Cambria"/>
          <w:sz w:val="20"/>
          <w:szCs w:val="20"/>
          <w:lang w:val="es-US"/>
        </w:rPr>
        <w:t>Por su parte, el Estado alega falta de agotamiento de recursos internos respecto a</w:t>
      </w:r>
      <w:r w:rsidR="00BD0ACB" w:rsidRPr="00C3750C">
        <w:rPr>
          <w:rFonts w:ascii="Cambria" w:hAnsi="Cambria"/>
          <w:sz w:val="20"/>
          <w:szCs w:val="20"/>
          <w:lang w:val="es-US"/>
        </w:rPr>
        <w:t xml:space="preserve"> los alegados malos tratos denunciados por las peticionarias</w:t>
      </w:r>
      <w:r w:rsidR="004A4146" w:rsidRPr="00C3750C">
        <w:rPr>
          <w:rFonts w:ascii="Cambria" w:hAnsi="Cambria"/>
          <w:sz w:val="20"/>
          <w:szCs w:val="20"/>
          <w:lang w:val="es-US"/>
        </w:rPr>
        <w:t xml:space="preserve"> </w:t>
      </w:r>
      <w:r w:rsidR="0033089C" w:rsidRPr="00C3750C">
        <w:rPr>
          <w:rFonts w:ascii="Cambria" w:hAnsi="Cambria"/>
          <w:sz w:val="20"/>
          <w:szCs w:val="20"/>
          <w:lang w:val="es-US"/>
        </w:rPr>
        <w:t>en perjuicio de la presunta víctima y de su hija. E</w:t>
      </w:r>
      <w:r w:rsidR="004A4146" w:rsidRPr="00C3750C">
        <w:rPr>
          <w:rFonts w:ascii="Cambria" w:hAnsi="Cambria"/>
          <w:sz w:val="20"/>
          <w:szCs w:val="20"/>
          <w:lang w:val="es-US"/>
        </w:rPr>
        <w:t xml:space="preserve">n cuanto a la investigación por la muerte de la presunta víctima, </w:t>
      </w:r>
      <w:r w:rsidR="005E3588" w:rsidRPr="00C3750C">
        <w:rPr>
          <w:rFonts w:ascii="Cambria" w:hAnsi="Cambria"/>
          <w:sz w:val="20"/>
          <w:szCs w:val="20"/>
          <w:lang w:val="es-US"/>
        </w:rPr>
        <w:t xml:space="preserve">aduce que </w:t>
      </w:r>
      <w:r w:rsidR="004A4146" w:rsidRPr="00C3750C">
        <w:rPr>
          <w:rFonts w:ascii="Cambria" w:hAnsi="Cambria"/>
          <w:sz w:val="20"/>
          <w:szCs w:val="20"/>
          <w:lang w:val="es-US"/>
        </w:rPr>
        <w:t>la misma se enmarcó en el debido proceso</w:t>
      </w:r>
      <w:r w:rsidR="0033089C" w:rsidRPr="00C3750C">
        <w:rPr>
          <w:rFonts w:ascii="Cambria" w:hAnsi="Cambria"/>
          <w:sz w:val="20"/>
          <w:szCs w:val="20"/>
          <w:lang w:val="es-US"/>
        </w:rPr>
        <w:t xml:space="preserve"> y que los familiares no recurrieron el archivo de la investigación ante el superior inmediato</w:t>
      </w:r>
      <w:r w:rsidR="00434C23" w:rsidRPr="00C3750C">
        <w:rPr>
          <w:rFonts w:ascii="Cambria" w:hAnsi="Cambria"/>
          <w:sz w:val="20"/>
          <w:szCs w:val="20"/>
          <w:lang w:val="es-US"/>
        </w:rPr>
        <w:t xml:space="preserve">. </w:t>
      </w:r>
    </w:p>
    <w:p w14:paraId="5987840D" w14:textId="25EB78A4" w:rsidR="000A04F4" w:rsidRPr="00C35BB1" w:rsidRDefault="00434C23" w:rsidP="000A04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eastAsia="Times New Roman"/>
          <w:bdr w:val="none" w:sz="0" w:space="0" w:color="auto"/>
          <w:lang w:val="es-ES"/>
        </w:rPr>
      </w:pPr>
      <w:r w:rsidRPr="00C3750C">
        <w:rPr>
          <w:rFonts w:ascii="Cambria" w:hAnsi="Cambria"/>
          <w:sz w:val="20"/>
          <w:szCs w:val="20"/>
          <w:lang w:val="es-US"/>
        </w:rPr>
        <w:t>Al respecto, la CIDH identifica que</w:t>
      </w:r>
      <w:r w:rsidR="00691560" w:rsidRPr="00C3750C">
        <w:rPr>
          <w:rFonts w:ascii="Cambria" w:hAnsi="Cambria"/>
          <w:sz w:val="20"/>
          <w:szCs w:val="20"/>
          <w:lang w:val="es-US"/>
        </w:rPr>
        <w:t>,</w:t>
      </w:r>
      <w:r w:rsidRPr="00C3750C">
        <w:rPr>
          <w:rFonts w:ascii="Cambria" w:hAnsi="Cambria"/>
          <w:sz w:val="20"/>
          <w:szCs w:val="20"/>
          <w:lang w:val="es-US"/>
        </w:rPr>
        <w:t xml:space="preserve"> </w:t>
      </w:r>
      <w:r w:rsidR="008E71B5" w:rsidRPr="00C3750C">
        <w:rPr>
          <w:rFonts w:ascii="Cambria" w:hAnsi="Cambria"/>
          <w:sz w:val="20"/>
          <w:szCs w:val="20"/>
          <w:lang w:val="es-US"/>
        </w:rPr>
        <w:t xml:space="preserve">sobre el extremo de la denuncia </w:t>
      </w:r>
      <w:r w:rsidR="00525E33" w:rsidRPr="00C3750C">
        <w:rPr>
          <w:rFonts w:ascii="Cambria" w:hAnsi="Cambria"/>
          <w:sz w:val="20"/>
          <w:szCs w:val="20"/>
          <w:lang w:val="es-US"/>
        </w:rPr>
        <w:t>relativa</w:t>
      </w:r>
      <w:r w:rsidR="008E71B5" w:rsidRPr="00C3750C">
        <w:rPr>
          <w:rFonts w:ascii="Cambria" w:hAnsi="Cambria"/>
          <w:sz w:val="20"/>
          <w:szCs w:val="20"/>
          <w:lang w:val="es-US"/>
        </w:rPr>
        <w:t xml:space="preserve"> a los hechos ocurridos con anterioridad </w:t>
      </w:r>
      <w:r w:rsidR="00525E33" w:rsidRPr="00C3750C">
        <w:rPr>
          <w:rFonts w:ascii="Cambria" w:hAnsi="Cambria"/>
          <w:sz w:val="20"/>
          <w:szCs w:val="20"/>
          <w:lang w:val="es-US"/>
        </w:rPr>
        <w:t>al fallecimiento de la presunta víctima, la parte peticionaria afirma haber emprendido diversas gestiones para poner</w:t>
      </w:r>
      <w:r w:rsidR="00B429C6" w:rsidRPr="00C3750C">
        <w:rPr>
          <w:rFonts w:ascii="Cambria" w:hAnsi="Cambria"/>
          <w:sz w:val="20"/>
          <w:szCs w:val="20"/>
          <w:lang w:val="es-US"/>
        </w:rPr>
        <w:t>los</w:t>
      </w:r>
      <w:r w:rsidR="00525E33" w:rsidRPr="00C3750C">
        <w:rPr>
          <w:rFonts w:ascii="Cambria" w:hAnsi="Cambria"/>
          <w:sz w:val="20"/>
          <w:szCs w:val="20"/>
          <w:lang w:val="es-US"/>
        </w:rPr>
        <w:t xml:space="preserve"> en conocimiento </w:t>
      </w:r>
      <w:r w:rsidR="00B863FF" w:rsidRPr="00C3750C">
        <w:rPr>
          <w:rFonts w:ascii="Cambria" w:hAnsi="Cambria"/>
          <w:sz w:val="20"/>
          <w:szCs w:val="20"/>
          <w:lang w:val="es-US"/>
        </w:rPr>
        <w:t>de</w:t>
      </w:r>
      <w:r w:rsidR="00525E33" w:rsidRPr="00C3750C">
        <w:rPr>
          <w:rFonts w:ascii="Cambria" w:hAnsi="Cambria"/>
          <w:sz w:val="20"/>
          <w:szCs w:val="20"/>
          <w:lang w:val="es-US"/>
        </w:rPr>
        <w:t xml:space="preserve"> las autoridades</w:t>
      </w:r>
      <w:r w:rsidR="00A36C85" w:rsidRPr="00C3750C">
        <w:rPr>
          <w:rFonts w:ascii="Cambria" w:hAnsi="Cambria"/>
          <w:sz w:val="20"/>
          <w:szCs w:val="20"/>
          <w:lang w:val="es-US"/>
        </w:rPr>
        <w:t xml:space="preserve">. Si bien </w:t>
      </w:r>
      <w:r w:rsidR="007E079C" w:rsidRPr="00C3750C">
        <w:rPr>
          <w:rFonts w:ascii="Cambria" w:hAnsi="Cambria"/>
          <w:sz w:val="20"/>
          <w:szCs w:val="20"/>
          <w:lang w:val="es-US"/>
        </w:rPr>
        <w:t xml:space="preserve">existe controversia entre las partes respecto a que se hayan alegado estos aspectos </w:t>
      </w:r>
      <w:r w:rsidR="00A36C85" w:rsidRPr="00C3750C">
        <w:rPr>
          <w:rFonts w:ascii="Cambria" w:hAnsi="Cambria"/>
          <w:sz w:val="20"/>
          <w:szCs w:val="20"/>
          <w:lang w:val="es-US"/>
        </w:rPr>
        <w:t xml:space="preserve">en el marco del proceso </w:t>
      </w:r>
      <w:r w:rsidR="000529DC" w:rsidRPr="00C3750C">
        <w:rPr>
          <w:rFonts w:ascii="Cambria" w:hAnsi="Cambria"/>
          <w:sz w:val="20"/>
          <w:szCs w:val="20"/>
          <w:lang w:val="es-US"/>
        </w:rPr>
        <w:t>que conocía</w:t>
      </w:r>
      <w:r w:rsidR="00A36C85" w:rsidRPr="00C3750C">
        <w:rPr>
          <w:rFonts w:ascii="Cambria" w:hAnsi="Cambria"/>
          <w:sz w:val="20"/>
          <w:szCs w:val="20"/>
          <w:lang w:val="es-US"/>
        </w:rPr>
        <w:t xml:space="preserve"> el Tribunal Oral Criminal No.7</w:t>
      </w:r>
      <w:r w:rsidR="000529DC" w:rsidRPr="00C3750C">
        <w:rPr>
          <w:rFonts w:ascii="Cambria" w:hAnsi="Cambria"/>
          <w:sz w:val="20"/>
          <w:szCs w:val="20"/>
          <w:lang w:val="es-US"/>
        </w:rPr>
        <w:t xml:space="preserve"> seguido contra la presunta víctima</w:t>
      </w:r>
      <w:r w:rsidR="00A36C85" w:rsidRPr="00C3750C">
        <w:rPr>
          <w:rFonts w:ascii="Cambria" w:hAnsi="Cambria"/>
          <w:sz w:val="20"/>
          <w:szCs w:val="20"/>
          <w:lang w:val="es-US"/>
        </w:rPr>
        <w:t xml:space="preserve">, </w:t>
      </w:r>
      <w:r w:rsidR="00B863FF" w:rsidRPr="00C3750C">
        <w:rPr>
          <w:rFonts w:ascii="Cambria" w:hAnsi="Cambria"/>
          <w:sz w:val="20"/>
          <w:szCs w:val="20"/>
          <w:lang w:val="es-US"/>
        </w:rPr>
        <w:t xml:space="preserve">la parte peticionaria alega que los hechos </w:t>
      </w:r>
      <w:r w:rsidR="00716A9C" w:rsidRPr="00C3750C">
        <w:rPr>
          <w:rFonts w:ascii="Cambria" w:hAnsi="Cambria"/>
          <w:sz w:val="20"/>
          <w:szCs w:val="20"/>
          <w:lang w:val="es-US"/>
        </w:rPr>
        <w:t>también</w:t>
      </w:r>
      <w:r w:rsidR="00B863FF" w:rsidRPr="00C3750C">
        <w:rPr>
          <w:rFonts w:ascii="Cambria" w:hAnsi="Cambria"/>
          <w:sz w:val="20"/>
          <w:szCs w:val="20"/>
          <w:lang w:val="es-US"/>
        </w:rPr>
        <w:t xml:space="preserve"> fueron puestos en conocimiento de </w:t>
      </w:r>
      <w:r w:rsidR="00A36C85" w:rsidRPr="00C3750C">
        <w:rPr>
          <w:rFonts w:ascii="Cambria" w:hAnsi="Cambria"/>
          <w:sz w:val="20"/>
          <w:szCs w:val="20"/>
          <w:lang w:val="es-US"/>
        </w:rPr>
        <w:t>la Defensoría No. 4 de Lomas de Zamora, la Defensoría de Ejecución Penal y la Secretaría de Derechos Humanos de la Provincia de Buenos Aires, sin haber recibido respuesta.</w:t>
      </w:r>
      <w:r w:rsidR="00B863FF" w:rsidRPr="00C3750C">
        <w:rPr>
          <w:rFonts w:ascii="Cambria" w:hAnsi="Cambria"/>
          <w:sz w:val="20"/>
          <w:szCs w:val="20"/>
          <w:lang w:val="es-US"/>
        </w:rPr>
        <w:t xml:space="preserve"> Adicionalmente, indica que la muerte de la presunta víctima se produjo en </w:t>
      </w:r>
      <w:r w:rsidR="00B863FF" w:rsidRPr="00C35BB1">
        <w:rPr>
          <w:rFonts w:ascii="Cambria" w:hAnsi="Cambria"/>
          <w:sz w:val="20"/>
          <w:szCs w:val="20"/>
          <w:lang w:val="es-US"/>
        </w:rPr>
        <w:t>el contexto de una huelga de hambre realizada por las internas, atendidas las acciones de las autoridades de dicha unidad, así como por la falta de atención médica de la señora Castaño y por “las coacciones y torturas”.</w:t>
      </w:r>
      <w:r w:rsidR="00A36C85" w:rsidRPr="00C35BB1">
        <w:rPr>
          <w:rFonts w:ascii="Cambria" w:hAnsi="Cambria"/>
          <w:sz w:val="20"/>
          <w:szCs w:val="20"/>
          <w:lang w:val="es-US"/>
        </w:rPr>
        <w:t xml:space="preserve"> </w:t>
      </w:r>
      <w:r w:rsidR="0072201C" w:rsidRPr="00C35BB1">
        <w:rPr>
          <w:rFonts w:ascii="Cambria" w:hAnsi="Cambria"/>
          <w:sz w:val="20"/>
          <w:szCs w:val="20"/>
          <w:lang w:val="es-US"/>
        </w:rPr>
        <w:t xml:space="preserve">De lo anterior se desprende que </w:t>
      </w:r>
      <w:r w:rsidR="000A04F4" w:rsidRPr="00C35BB1">
        <w:rPr>
          <w:rFonts w:ascii="Cambria" w:hAnsi="Cambria"/>
          <w:sz w:val="20"/>
          <w:szCs w:val="20"/>
          <w:lang w:val="es-US"/>
        </w:rPr>
        <w:t>los hechos previos al fallecimiento de la presunta víctima habrían sido denunciados ante diversas autoridades, sin obtener respuesta</w:t>
      </w:r>
      <w:r w:rsidR="00E15F69" w:rsidRPr="00C35BB1">
        <w:rPr>
          <w:rFonts w:ascii="Cambria" w:hAnsi="Cambria"/>
          <w:sz w:val="20"/>
          <w:szCs w:val="20"/>
          <w:lang w:val="es-US"/>
        </w:rPr>
        <w:t xml:space="preserve"> por parte de éstas</w:t>
      </w:r>
      <w:r w:rsidR="000A04F4" w:rsidRPr="00C35BB1">
        <w:rPr>
          <w:rFonts w:ascii="Cambria" w:hAnsi="Cambria"/>
          <w:sz w:val="20"/>
          <w:szCs w:val="20"/>
          <w:lang w:val="es-US"/>
        </w:rPr>
        <w:t xml:space="preserve">. </w:t>
      </w:r>
      <w:r w:rsidR="0072201C" w:rsidRPr="00C35BB1">
        <w:rPr>
          <w:rFonts w:ascii="Cambria" w:hAnsi="Cambria"/>
          <w:sz w:val="20"/>
          <w:szCs w:val="20"/>
          <w:lang w:val="es-US"/>
        </w:rPr>
        <w:t>Por lo tanto, la Comisión concluye que, respecto de este extremo, ap</w:t>
      </w:r>
      <w:r w:rsidR="000A04F4" w:rsidRPr="00C35BB1">
        <w:rPr>
          <w:rFonts w:ascii="Cambria" w:hAnsi="Cambria"/>
          <w:sz w:val="20"/>
          <w:szCs w:val="20"/>
          <w:lang w:val="es-US"/>
        </w:rPr>
        <w:t>lica la excepción del art</w:t>
      </w:r>
      <w:r w:rsidR="00DC0CFB" w:rsidRPr="00C35BB1">
        <w:rPr>
          <w:rFonts w:ascii="Cambria" w:hAnsi="Cambria"/>
          <w:sz w:val="20"/>
          <w:szCs w:val="20"/>
          <w:lang w:val="es-US"/>
        </w:rPr>
        <w:t>ículo</w:t>
      </w:r>
      <w:r w:rsidR="009F628F" w:rsidRPr="00C35BB1">
        <w:rPr>
          <w:rFonts w:ascii="Cambria" w:hAnsi="Cambria"/>
          <w:sz w:val="20"/>
          <w:szCs w:val="20"/>
          <w:lang w:val="es-US"/>
        </w:rPr>
        <w:t xml:space="preserve"> 46.</w:t>
      </w:r>
      <w:r w:rsidR="00956309" w:rsidRPr="00C35BB1">
        <w:rPr>
          <w:rFonts w:ascii="Cambria" w:hAnsi="Cambria"/>
          <w:sz w:val="20"/>
          <w:szCs w:val="20"/>
          <w:lang w:val="es-US"/>
        </w:rPr>
        <w:t>2.</w:t>
      </w:r>
      <w:r w:rsidR="000A04F4" w:rsidRPr="00C35BB1">
        <w:rPr>
          <w:rFonts w:ascii="Cambria" w:hAnsi="Cambria"/>
          <w:sz w:val="20"/>
          <w:szCs w:val="20"/>
          <w:lang w:val="es-US"/>
        </w:rPr>
        <w:t>b</w:t>
      </w:r>
      <w:r w:rsidR="0072201C" w:rsidRPr="00C35BB1">
        <w:rPr>
          <w:rFonts w:ascii="Cambria" w:hAnsi="Cambria"/>
          <w:sz w:val="20"/>
          <w:szCs w:val="20"/>
          <w:lang w:val="es-US"/>
        </w:rPr>
        <w:t xml:space="preserve"> de la Convención.</w:t>
      </w:r>
    </w:p>
    <w:p w14:paraId="01D47E3F" w14:textId="080AA82B" w:rsidR="003239B8" w:rsidRDefault="00B863FF" w:rsidP="004174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EB01A1">
        <w:rPr>
          <w:rFonts w:ascii="Cambria" w:hAnsi="Cambria"/>
          <w:sz w:val="20"/>
          <w:szCs w:val="20"/>
          <w:lang w:val="es-US"/>
        </w:rPr>
        <w:t>Adicionalmente</w:t>
      </w:r>
      <w:r w:rsidR="003C1C30" w:rsidRPr="00EB01A1">
        <w:rPr>
          <w:rFonts w:ascii="Cambria" w:hAnsi="Cambria"/>
          <w:sz w:val="20"/>
          <w:szCs w:val="20"/>
          <w:lang w:val="es-US"/>
        </w:rPr>
        <w:t xml:space="preserve">, </w:t>
      </w:r>
      <w:r w:rsidR="006A0CA0" w:rsidRPr="00EB01A1">
        <w:rPr>
          <w:rFonts w:ascii="Cambria" w:hAnsi="Cambria"/>
          <w:sz w:val="20"/>
          <w:szCs w:val="20"/>
          <w:lang w:val="es-US"/>
        </w:rPr>
        <w:t>atendid</w:t>
      </w:r>
      <w:r w:rsidR="005E3588" w:rsidRPr="00EB01A1">
        <w:rPr>
          <w:rFonts w:ascii="Cambria" w:hAnsi="Cambria"/>
          <w:sz w:val="20"/>
          <w:szCs w:val="20"/>
          <w:lang w:val="es-US"/>
        </w:rPr>
        <w:t xml:space="preserve">o </w:t>
      </w:r>
      <w:r w:rsidR="003C1C30" w:rsidRPr="00EB01A1">
        <w:rPr>
          <w:rFonts w:ascii="Cambria" w:hAnsi="Cambria"/>
          <w:sz w:val="20"/>
          <w:szCs w:val="20"/>
          <w:lang w:val="es-US"/>
        </w:rPr>
        <w:t xml:space="preserve">que </w:t>
      </w:r>
      <w:r w:rsidR="005B2707" w:rsidRPr="00EB01A1">
        <w:rPr>
          <w:rFonts w:ascii="Cambria" w:hAnsi="Cambria"/>
          <w:sz w:val="20"/>
          <w:szCs w:val="20"/>
          <w:lang w:val="es-US"/>
        </w:rPr>
        <w:t>el</w:t>
      </w:r>
      <w:r w:rsidR="005E3588" w:rsidRPr="00EB01A1">
        <w:rPr>
          <w:rFonts w:ascii="Cambria" w:hAnsi="Cambria"/>
          <w:sz w:val="20"/>
          <w:szCs w:val="20"/>
          <w:lang w:val="es-US"/>
        </w:rPr>
        <w:t xml:space="preserve"> fallecimiento </w:t>
      </w:r>
      <w:r w:rsidR="005B2707" w:rsidRPr="00EB01A1">
        <w:rPr>
          <w:rFonts w:ascii="Cambria" w:hAnsi="Cambria"/>
          <w:sz w:val="20"/>
          <w:szCs w:val="20"/>
          <w:lang w:val="es-US"/>
        </w:rPr>
        <w:t xml:space="preserve">de la presunta víctima </w:t>
      </w:r>
      <w:r w:rsidR="00716A9C" w:rsidRPr="00EB01A1">
        <w:rPr>
          <w:rFonts w:ascii="Cambria" w:hAnsi="Cambria"/>
          <w:sz w:val="20"/>
          <w:szCs w:val="20"/>
          <w:lang w:val="es-US"/>
        </w:rPr>
        <w:t>ocurrió</w:t>
      </w:r>
      <w:r w:rsidR="003C1C30" w:rsidRPr="00EB01A1">
        <w:rPr>
          <w:rFonts w:ascii="Cambria" w:hAnsi="Cambria"/>
          <w:sz w:val="20"/>
          <w:szCs w:val="20"/>
          <w:lang w:val="es-US"/>
        </w:rPr>
        <w:t xml:space="preserve"> </w:t>
      </w:r>
      <w:r w:rsidR="005E3588" w:rsidRPr="00EB01A1">
        <w:rPr>
          <w:rFonts w:ascii="Cambria" w:hAnsi="Cambria"/>
          <w:sz w:val="20"/>
          <w:szCs w:val="20"/>
          <w:lang w:val="es-US"/>
        </w:rPr>
        <w:t>durante su privaci</w:t>
      </w:r>
      <w:r w:rsidR="00DD18C5" w:rsidRPr="00EB01A1">
        <w:rPr>
          <w:rFonts w:ascii="Cambria" w:hAnsi="Cambria"/>
          <w:sz w:val="20"/>
          <w:szCs w:val="20"/>
          <w:lang w:val="es-US"/>
        </w:rPr>
        <w:t>ón de libertad</w:t>
      </w:r>
      <w:r w:rsidR="005E3588" w:rsidRPr="00EB01A1">
        <w:rPr>
          <w:rFonts w:ascii="Cambria" w:hAnsi="Cambria"/>
          <w:sz w:val="20"/>
          <w:szCs w:val="20"/>
          <w:lang w:val="es-US"/>
        </w:rPr>
        <w:t xml:space="preserve">, </w:t>
      </w:r>
      <w:r w:rsidR="004B374B" w:rsidRPr="00EB01A1">
        <w:rPr>
          <w:rFonts w:ascii="Cambria" w:hAnsi="Cambria"/>
          <w:sz w:val="20"/>
          <w:szCs w:val="20"/>
          <w:lang w:val="es-US"/>
        </w:rPr>
        <w:t>es deber del</w:t>
      </w:r>
      <w:r w:rsidR="005E3588" w:rsidRPr="00EB01A1">
        <w:rPr>
          <w:rFonts w:ascii="Cambria" w:hAnsi="Cambria"/>
          <w:sz w:val="20"/>
          <w:szCs w:val="20"/>
          <w:lang w:val="es-US"/>
        </w:rPr>
        <w:t xml:space="preserve"> Estado iniciar </w:t>
      </w:r>
      <w:r w:rsidR="000A70ED" w:rsidRPr="00EB01A1">
        <w:rPr>
          <w:rFonts w:ascii="Cambria" w:hAnsi="Cambria"/>
          <w:sz w:val="20"/>
          <w:szCs w:val="20"/>
          <w:lang w:val="es-US"/>
        </w:rPr>
        <w:t xml:space="preserve">una investigación </w:t>
      </w:r>
      <w:r w:rsidR="005E3588" w:rsidRPr="00EB01A1">
        <w:rPr>
          <w:rFonts w:ascii="Cambria" w:hAnsi="Cambria"/>
          <w:sz w:val="20"/>
          <w:szCs w:val="20"/>
          <w:lang w:val="es-US"/>
        </w:rPr>
        <w:t>se</w:t>
      </w:r>
      <w:r w:rsidR="000A70ED" w:rsidRPr="00EB01A1">
        <w:rPr>
          <w:rFonts w:ascii="Cambria" w:hAnsi="Cambria"/>
          <w:sz w:val="20"/>
          <w:szCs w:val="20"/>
          <w:lang w:val="es-US"/>
        </w:rPr>
        <w:t>ria e imparcial</w:t>
      </w:r>
      <w:r w:rsidR="005E3588" w:rsidRPr="00EB01A1">
        <w:rPr>
          <w:rFonts w:ascii="Cambria" w:hAnsi="Cambria"/>
          <w:sz w:val="20"/>
          <w:szCs w:val="20"/>
          <w:lang w:val="es-US"/>
        </w:rPr>
        <w:t xml:space="preserve"> en la que se sigan </w:t>
      </w:r>
      <w:r w:rsidR="00C3750C" w:rsidRPr="00C35BB1">
        <w:rPr>
          <w:rFonts w:ascii="Cambria" w:hAnsi="Cambria"/>
          <w:sz w:val="20"/>
          <w:szCs w:val="20"/>
          <w:lang w:val="es-US"/>
        </w:rPr>
        <w:t>las línea</w:t>
      </w:r>
      <w:r w:rsidR="005E3588" w:rsidRPr="00C35BB1">
        <w:rPr>
          <w:rFonts w:ascii="Cambria" w:hAnsi="Cambria"/>
          <w:sz w:val="20"/>
          <w:szCs w:val="20"/>
          <w:lang w:val="es-US"/>
        </w:rPr>
        <w:t>s</w:t>
      </w:r>
      <w:r w:rsidR="005E3588" w:rsidRPr="00EB01A1">
        <w:rPr>
          <w:rFonts w:ascii="Cambria" w:hAnsi="Cambria"/>
          <w:sz w:val="20"/>
          <w:szCs w:val="20"/>
          <w:lang w:val="es-US"/>
        </w:rPr>
        <w:t xml:space="preserve"> de investigación tendientes a esclarecer si fue la reclusa la que atent</w:t>
      </w:r>
      <w:r w:rsidR="005A3D48" w:rsidRPr="00EB01A1">
        <w:rPr>
          <w:rFonts w:ascii="Cambria" w:hAnsi="Cambria"/>
          <w:sz w:val="20"/>
          <w:szCs w:val="20"/>
          <w:lang w:val="es-US"/>
        </w:rPr>
        <w:t>ó</w:t>
      </w:r>
      <w:r w:rsidR="005E3588" w:rsidRPr="00EB01A1">
        <w:rPr>
          <w:rFonts w:ascii="Cambria" w:hAnsi="Cambria"/>
          <w:sz w:val="20"/>
          <w:szCs w:val="20"/>
          <w:lang w:val="es-US"/>
        </w:rPr>
        <w:t xml:space="preserve"> efectivamente contra su vida</w:t>
      </w:r>
      <w:r w:rsidR="000A04F4" w:rsidRPr="00EB01A1">
        <w:rPr>
          <w:rFonts w:ascii="Cambria" w:hAnsi="Cambria"/>
          <w:sz w:val="20"/>
          <w:szCs w:val="20"/>
          <w:lang w:val="es-US"/>
        </w:rPr>
        <w:t xml:space="preserve"> </w:t>
      </w:r>
      <w:r w:rsidR="000A04F4" w:rsidRPr="00C35BB1">
        <w:rPr>
          <w:rFonts w:ascii="Cambria" w:hAnsi="Cambria"/>
          <w:sz w:val="20"/>
          <w:szCs w:val="20"/>
          <w:lang w:val="es-US"/>
        </w:rPr>
        <w:t>o si habrían incidido otros factores</w:t>
      </w:r>
      <w:r w:rsidR="005E3588" w:rsidRPr="00EB01A1">
        <w:rPr>
          <w:rFonts w:ascii="Cambria" w:hAnsi="Cambria"/>
          <w:sz w:val="20"/>
          <w:szCs w:val="20"/>
          <w:lang w:val="es-US"/>
        </w:rPr>
        <w:t>.</w:t>
      </w:r>
      <w:r w:rsidR="002D277F" w:rsidRPr="00C35BB1">
        <w:footnoteReference w:id="6"/>
      </w:r>
      <w:r w:rsidR="005E3588" w:rsidRPr="00EB01A1">
        <w:rPr>
          <w:rFonts w:ascii="Cambria" w:hAnsi="Cambria"/>
          <w:sz w:val="20"/>
          <w:szCs w:val="20"/>
          <w:lang w:val="es-US"/>
        </w:rPr>
        <w:t xml:space="preserve"> En el presente caso, la investigación </w:t>
      </w:r>
      <w:r w:rsidR="003619A9" w:rsidRPr="00EB01A1">
        <w:rPr>
          <w:rFonts w:ascii="Cambria" w:hAnsi="Cambria"/>
          <w:sz w:val="20"/>
          <w:szCs w:val="20"/>
          <w:lang w:val="es-US"/>
        </w:rPr>
        <w:t>fue archivada</w:t>
      </w:r>
      <w:r w:rsidR="002A7217" w:rsidRPr="00EB01A1">
        <w:rPr>
          <w:rFonts w:ascii="Cambria" w:hAnsi="Cambria"/>
          <w:sz w:val="20"/>
          <w:szCs w:val="20"/>
          <w:lang w:val="es-US"/>
        </w:rPr>
        <w:t xml:space="preserve"> </w:t>
      </w:r>
      <w:r w:rsidR="00FC6617" w:rsidRPr="00EB01A1">
        <w:rPr>
          <w:rFonts w:ascii="Cambria" w:hAnsi="Cambria"/>
          <w:sz w:val="20"/>
          <w:szCs w:val="20"/>
          <w:lang w:val="es-US"/>
        </w:rPr>
        <w:t xml:space="preserve">y </w:t>
      </w:r>
      <w:r w:rsidR="002D277F" w:rsidRPr="00EB01A1">
        <w:rPr>
          <w:rFonts w:ascii="Cambria" w:hAnsi="Cambria"/>
          <w:sz w:val="20"/>
          <w:szCs w:val="20"/>
          <w:lang w:val="es-US"/>
        </w:rPr>
        <w:t xml:space="preserve">a la fecha no se habría identificado la causa de muerte de la presunta víctima. </w:t>
      </w:r>
      <w:r w:rsidR="003737CB" w:rsidRPr="00EB01A1">
        <w:rPr>
          <w:rFonts w:ascii="Cambria" w:hAnsi="Cambria"/>
          <w:sz w:val="20"/>
          <w:szCs w:val="20"/>
          <w:lang w:val="es-US"/>
        </w:rPr>
        <w:t>Respecto al argumento del Estado sobre el hecho que los familiares no habrían impugnado el archivo, la Comisión destaca que, al tratarse de un delito perseguible de oficio y de una persona que al momento de su muerte se encontraba bajo custodia del Estado, corresponde a éste y no a los familiares el impulso de la investigación</w:t>
      </w:r>
      <w:r w:rsidR="003737CB" w:rsidRPr="00C35BB1">
        <w:rPr>
          <w:rFonts w:ascii="Cambria" w:hAnsi="Cambria"/>
          <w:sz w:val="20"/>
          <w:szCs w:val="20"/>
          <w:lang w:val="es-US"/>
        </w:rPr>
        <w:t>.</w:t>
      </w:r>
      <w:r w:rsidR="00EB01A1" w:rsidRPr="00C35BB1">
        <w:rPr>
          <w:rFonts w:ascii="Cambria" w:hAnsi="Cambria"/>
          <w:sz w:val="20"/>
          <w:szCs w:val="20"/>
          <w:lang w:val="es-US"/>
        </w:rPr>
        <w:t xml:space="preserve"> </w:t>
      </w:r>
      <w:r w:rsidR="000A70ED" w:rsidRPr="00C35BB1">
        <w:rPr>
          <w:rFonts w:ascii="Cambria" w:hAnsi="Cambria"/>
          <w:sz w:val="20"/>
          <w:szCs w:val="20"/>
          <w:lang w:val="es-US"/>
        </w:rPr>
        <w:t>Atendido</w:t>
      </w:r>
      <w:r w:rsidR="003C1C30" w:rsidRPr="00C35BB1">
        <w:rPr>
          <w:rFonts w:ascii="Cambria" w:hAnsi="Cambria"/>
          <w:sz w:val="20"/>
          <w:szCs w:val="20"/>
          <w:lang w:val="es-US"/>
        </w:rPr>
        <w:t xml:space="preserve"> </w:t>
      </w:r>
      <w:r w:rsidR="00494DE4" w:rsidRPr="00C35BB1">
        <w:rPr>
          <w:rFonts w:ascii="Cambria" w:hAnsi="Cambria"/>
          <w:sz w:val="20"/>
          <w:szCs w:val="20"/>
          <w:lang w:val="es-US"/>
        </w:rPr>
        <w:t>lo anterior y</w:t>
      </w:r>
      <w:r w:rsidR="00DF5BEF" w:rsidRPr="00C35BB1">
        <w:rPr>
          <w:rFonts w:ascii="Cambria" w:hAnsi="Cambria"/>
          <w:sz w:val="20"/>
          <w:szCs w:val="20"/>
          <w:lang w:val="es-US"/>
        </w:rPr>
        <w:t>,</w:t>
      </w:r>
      <w:r w:rsidR="00494DE4" w:rsidRPr="00C35BB1">
        <w:rPr>
          <w:rFonts w:ascii="Cambria" w:hAnsi="Cambria"/>
          <w:sz w:val="20"/>
          <w:szCs w:val="20"/>
          <w:lang w:val="es-US"/>
        </w:rPr>
        <w:t xml:space="preserve"> dado que </w:t>
      </w:r>
      <w:r w:rsidR="003C1C30" w:rsidRPr="00C35BB1">
        <w:rPr>
          <w:rFonts w:ascii="Cambria" w:hAnsi="Cambria"/>
          <w:sz w:val="20"/>
          <w:szCs w:val="20"/>
          <w:lang w:val="es-US"/>
        </w:rPr>
        <w:t xml:space="preserve">a la fecha no </w:t>
      </w:r>
      <w:r w:rsidR="00B83FE5" w:rsidRPr="00C35BB1">
        <w:rPr>
          <w:rFonts w:ascii="Cambria" w:hAnsi="Cambria"/>
          <w:sz w:val="20"/>
          <w:szCs w:val="20"/>
          <w:lang w:val="es-US"/>
        </w:rPr>
        <w:t>se habrían determinado</w:t>
      </w:r>
      <w:r w:rsidR="003C1C30" w:rsidRPr="00C35BB1">
        <w:rPr>
          <w:rFonts w:ascii="Cambria" w:hAnsi="Cambria"/>
          <w:sz w:val="20"/>
          <w:szCs w:val="20"/>
          <w:lang w:val="es-US"/>
        </w:rPr>
        <w:t xml:space="preserve"> las causas de muerte</w:t>
      </w:r>
      <w:r w:rsidR="00DF5BEF" w:rsidRPr="00C35BB1">
        <w:rPr>
          <w:rFonts w:ascii="Cambria" w:hAnsi="Cambria"/>
          <w:sz w:val="20"/>
          <w:szCs w:val="20"/>
          <w:lang w:val="es-US"/>
        </w:rPr>
        <w:t>,</w:t>
      </w:r>
      <w:r w:rsidR="003C1C30" w:rsidRPr="00C35BB1">
        <w:rPr>
          <w:rFonts w:ascii="Cambria" w:hAnsi="Cambria"/>
          <w:sz w:val="20"/>
          <w:szCs w:val="20"/>
          <w:lang w:val="es-US"/>
        </w:rPr>
        <w:t xml:space="preserve"> </w:t>
      </w:r>
      <w:r w:rsidR="00494DE4" w:rsidRPr="00C35BB1">
        <w:rPr>
          <w:rFonts w:ascii="Cambria" w:hAnsi="Cambria"/>
          <w:sz w:val="20"/>
          <w:szCs w:val="20"/>
          <w:lang w:val="es-US"/>
        </w:rPr>
        <w:t>así como los</w:t>
      </w:r>
      <w:r w:rsidR="003C1C30" w:rsidRPr="00C35BB1">
        <w:rPr>
          <w:rFonts w:ascii="Cambria" w:hAnsi="Cambria"/>
          <w:sz w:val="20"/>
          <w:szCs w:val="20"/>
          <w:lang w:val="es-US"/>
        </w:rPr>
        <w:t xml:space="preserve"> posibles responsables,</w:t>
      </w:r>
      <w:r w:rsidR="000A70ED" w:rsidRPr="00C35BB1">
        <w:rPr>
          <w:rFonts w:ascii="Cambria" w:hAnsi="Cambria"/>
          <w:sz w:val="20"/>
          <w:szCs w:val="20"/>
          <w:lang w:val="es-US"/>
        </w:rPr>
        <w:t xml:space="preserve"> </w:t>
      </w:r>
      <w:r w:rsidR="005F6147" w:rsidRPr="00C35BB1">
        <w:rPr>
          <w:rFonts w:ascii="Cambria" w:hAnsi="Cambria"/>
          <w:sz w:val="20"/>
          <w:szCs w:val="20"/>
          <w:lang w:val="es-US"/>
        </w:rPr>
        <w:t>la Comisi</w:t>
      </w:r>
      <w:r w:rsidR="00B35724" w:rsidRPr="00C35BB1">
        <w:rPr>
          <w:rFonts w:ascii="Cambria" w:hAnsi="Cambria"/>
          <w:sz w:val="20"/>
          <w:szCs w:val="20"/>
          <w:lang w:val="es-US"/>
        </w:rPr>
        <w:t>ón concluye que</w:t>
      </w:r>
      <w:r w:rsidR="00EB01A1" w:rsidRPr="00C35BB1">
        <w:rPr>
          <w:rFonts w:ascii="Cambria" w:hAnsi="Cambria"/>
          <w:sz w:val="20"/>
          <w:szCs w:val="20"/>
          <w:lang w:val="es-US"/>
        </w:rPr>
        <w:t xml:space="preserve"> sobre este aspecto relativo al fallecimiento de la presunta víctima</w:t>
      </w:r>
      <w:r w:rsidR="00B35724" w:rsidRPr="00C35BB1">
        <w:rPr>
          <w:rFonts w:ascii="Cambria" w:hAnsi="Cambria"/>
          <w:sz w:val="20"/>
          <w:szCs w:val="20"/>
          <w:lang w:val="es-US"/>
        </w:rPr>
        <w:t xml:space="preserve"> </w:t>
      </w:r>
      <w:r w:rsidR="004F6EB4" w:rsidRPr="00C35BB1">
        <w:rPr>
          <w:rFonts w:ascii="Cambria" w:hAnsi="Cambria"/>
          <w:sz w:val="20"/>
          <w:szCs w:val="20"/>
          <w:lang w:val="es-US"/>
        </w:rPr>
        <w:t xml:space="preserve">es aplicable la excepción </w:t>
      </w:r>
      <w:r w:rsidR="001D0C27" w:rsidRPr="00C35BB1">
        <w:rPr>
          <w:rFonts w:ascii="Cambria" w:hAnsi="Cambria"/>
          <w:sz w:val="20"/>
          <w:szCs w:val="20"/>
          <w:lang w:val="es-US"/>
        </w:rPr>
        <w:t>al requisito de agotamiento prevista en el a</w:t>
      </w:r>
      <w:r w:rsidR="002E6A57" w:rsidRPr="00C35BB1">
        <w:rPr>
          <w:rFonts w:ascii="Cambria" w:hAnsi="Cambria"/>
          <w:sz w:val="20"/>
          <w:szCs w:val="20"/>
          <w:lang w:val="es-US"/>
        </w:rPr>
        <w:t>rtículo 46.2.c de la Convención</w:t>
      </w:r>
    </w:p>
    <w:p w14:paraId="60E683D0" w14:textId="3889B18B" w:rsidR="002E6A57" w:rsidRPr="00C35BB1" w:rsidRDefault="002E6A57" w:rsidP="002E6A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C35BB1">
        <w:rPr>
          <w:rFonts w:ascii="Cambria" w:hAnsi="Cambria"/>
          <w:sz w:val="20"/>
          <w:szCs w:val="20"/>
          <w:lang w:val="es-US"/>
        </w:rPr>
        <w:t xml:space="preserve">Por otra parte, la petición ante la Comisión fue recibida el 7 de febrero de 2007, y los presuntos hechos materia del reclamo </w:t>
      </w:r>
      <w:r w:rsidR="00512C89" w:rsidRPr="00C35BB1">
        <w:rPr>
          <w:rFonts w:ascii="Cambria" w:hAnsi="Cambria"/>
          <w:sz w:val="20"/>
          <w:szCs w:val="20"/>
          <w:lang w:val="es-US"/>
        </w:rPr>
        <w:t>habrían tenido</w:t>
      </w:r>
      <w:r w:rsidRPr="00C35BB1">
        <w:rPr>
          <w:rFonts w:ascii="Cambria" w:hAnsi="Cambria"/>
          <w:sz w:val="20"/>
          <w:szCs w:val="20"/>
          <w:lang w:val="es-US"/>
        </w:rPr>
        <w:t xml:space="preserve"> lugar durante su privación de libertad, incluyendo su deceso ocurrido el 8 de enero de 2006, y ciertos efectos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p>
    <w:p w14:paraId="382A6864" w14:textId="793DC0CF" w:rsidR="002240D4" w:rsidRPr="00C3750C" w:rsidRDefault="002240D4" w:rsidP="002240D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val="es-US" w:eastAsia="en-US"/>
        </w:rPr>
      </w:pPr>
      <w:r w:rsidRPr="00C3750C">
        <w:rPr>
          <w:rFonts w:eastAsia="Arial Unicode MS" w:cs="Times New Roman"/>
          <w:color w:val="auto"/>
          <w:sz w:val="20"/>
          <w:szCs w:val="20"/>
          <w:lang w:val="es-US" w:eastAsia="en-US"/>
        </w:rPr>
        <w:t xml:space="preserve">Adicionalmente, respecto al alegato del Estado sobre la demora entre la presentación de la petición y su traslado al Estado, la Comisión advierte </w:t>
      </w:r>
      <w:r w:rsidR="00B21E71" w:rsidRPr="00C3750C">
        <w:rPr>
          <w:rFonts w:eastAsia="Arial Unicode MS" w:cs="Times New Roman"/>
          <w:color w:val="auto"/>
          <w:sz w:val="20"/>
          <w:szCs w:val="20"/>
          <w:lang w:val="es-US" w:eastAsia="en-US"/>
        </w:rPr>
        <w:t xml:space="preserve">que </w:t>
      </w:r>
      <w:r w:rsidRPr="00C3750C">
        <w:rPr>
          <w:rFonts w:eastAsia="Arial Unicode MS" w:cs="Times New Roman"/>
          <w:color w:val="auto"/>
          <w:sz w:val="20"/>
          <w:szCs w:val="20"/>
          <w:lang w:val="es-US" w:eastAsia="en-US"/>
        </w:rPr>
        <w:t xml:space="preserve">ni la Convención Americana ni el Reglamento de la Comisión establecen un plazo para el traslado de una petición al Estado a partir de su recepción y que los plazos establecidos en </w:t>
      </w:r>
      <w:r w:rsidR="00B21E71" w:rsidRPr="00C3750C">
        <w:rPr>
          <w:rFonts w:eastAsia="Arial Unicode MS" w:cs="Times New Roman"/>
          <w:color w:val="auto"/>
          <w:sz w:val="20"/>
          <w:szCs w:val="20"/>
          <w:lang w:val="es-US" w:eastAsia="en-US"/>
        </w:rPr>
        <w:t xml:space="preserve">la Convención y </w:t>
      </w:r>
      <w:r w:rsidRPr="00C3750C">
        <w:rPr>
          <w:rFonts w:eastAsia="Arial Unicode MS" w:cs="Times New Roman"/>
          <w:color w:val="auto"/>
          <w:sz w:val="20"/>
          <w:szCs w:val="20"/>
          <w:lang w:val="es-US" w:eastAsia="en-US"/>
        </w:rPr>
        <w:t>el Reglamento para otras etapas del trámite no son aplicables.</w:t>
      </w:r>
      <w:r w:rsidRPr="00C3750C">
        <w:rPr>
          <w:rStyle w:val="FootnoteReference"/>
          <w:rFonts w:eastAsia="Arial Unicode MS" w:cs="Times New Roman"/>
          <w:color w:val="auto"/>
          <w:sz w:val="20"/>
          <w:szCs w:val="20"/>
          <w:lang w:val="es-US" w:eastAsia="en-US"/>
        </w:rPr>
        <w:footnoteReference w:id="7"/>
      </w:r>
    </w:p>
    <w:p w14:paraId="4FFBE378" w14:textId="52AEA39C" w:rsidR="003239B8" w:rsidRPr="00C3750C" w:rsidRDefault="003239B8" w:rsidP="003239B8">
      <w:pPr>
        <w:pStyle w:val="ListParagraph"/>
        <w:spacing w:before="240" w:after="240"/>
        <w:jc w:val="both"/>
        <w:rPr>
          <w:rFonts w:asciiTheme="majorHAnsi" w:hAnsiTheme="majorHAnsi"/>
          <w:b/>
          <w:sz w:val="20"/>
          <w:szCs w:val="20"/>
          <w:lang w:val="es-ES"/>
        </w:rPr>
      </w:pPr>
      <w:r w:rsidRPr="00C3750C">
        <w:rPr>
          <w:rFonts w:asciiTheme="majorHAnsi" w:hAnsiTheme="majorHAnsi"/>
          <w:b/>
          <w:bCs/>
          <w:sz w:val="20"/>
          <w:szCs w:val="20"/>
          <w:lang w:val="es-ES"/>
        </w:rPr>
        <w:t>VII.</w:t>
      </w:r>
      <w:r w:rsidRPr="00C3750C">
        <w:rPr>
          <w:rFonts w:asciiTheme="majorHAnsi" w:hAnsiTheme="majorHAnsi"/>
          <w:b/>
          <w:bCs/>
          <w:sz w:val="20"/>
          <w:szCs w:val="20"/>
          <w:lang w:val="es-ES"/>
        </w:rPr>
        <w:tab/>
      </w:r>
      <w:r w:rsidR="001C7EB1" w:rsidRPr="00C3750C">
        <w:rPr>
          <w:rFonts w:asciiTheme="majorHAnsi" w:hAnsiTheme="majorHAnsi"/>
          <w:b/>
          <w:bCs/>
          <w:sz w:val="20"/>
          <w:szCs w:val="20"/>
          <w:lang w:val="es-ES"/>
        </w:rPr>
        <w:t xml:space="preserve">ANÁLISIS DE </w:t>
      </w:r>
      <w:r w:rsidR="00C21FEF" w:rsidRPr="00C3750C">
        <w:rPr>
          <w:rFonts w:asciiTheme="majorHAnsi" w:hAnsiTheme="majorHAnsi"/>
          <w:b/>
          <w:bCs/>
          <w:sz w:val="20"/>
          <w:szCs w:val="20"/>
          <w:lang w:val="es-ES"/>
        </w:rPr>
        <w:t xml:space="preserve">CARACTERIZACIÓN </w:t>
      </w:r>
      <w:r w:rsidR="00C21FEF" w:rsidRPr="00C3750C">
        <w:rPr>
          <w:rFonts w:asciiTheme="majorHAnsi" w:hAnsiTheme="majorHAnsi"/>
          <w:b/>
          <w:bCs/>
          <w:sz w:val="20"/>
          <w:szCs w:val="20"/>
          <w:lang w:val="es-UY"/>
        </w:rPr>
        <w:t>DE LOS HECHOS ALEGADOS</w:t>
      </w:r>
    </w:p>
    <w:p w14:paraId="63A79D6E" w14:textId="113E9B50" w:rsidR="003F29D1" w:rsidRPr="00C3750C" w:rsidRDefault="00D32D25" w:rsidP="003F29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C3750C">
        <w:rPr>
          <w:rFonts w:ascii="Cambria" w:hAnsi="Cambria"/>
          <w:sz w:val="20"/>
          <w:szCs w:val="20"/>
          <w:lang w:val="es-ES"/>
        </w:rPr>
        <w:t xml:space="preserve">En vista de los elementos de hecho y de derecho expuestos por las partes y la naturaleza del asunto puesto bajo su conocimiento, la Comisión considera que, de ser probados los hechos alegados relativos a </w:t>
      </w:r>
      <w:r w:rsidR="003619A9" w:rsidRPr="00C3750C">
        <w:rPr>
          <w:rFonts w:ascii="Cambria" w:hAnsi="Cambria"/>
          <w:sz w:val="20"/>
          <w:szCs w:val="20"/>
          <w:lang w:val="es-ES"/>
        </w:rPr>
        <w:t xml:space="preserve">los malos tratos, falta de atención médica y </w:t>
      </w:r>
      <w:r w:rsidR="00845880" w:rsidRPr="00C3750C">
        <w:rPr>
          <w:rFonts w:ascii="Cambria" w:hAnsi="Cambria"/>
          <w:sz w:val="20"/>
          <w:szCs w:val="20"/>
          <w:lang w:val="es-ES"/>
        </w:rPr>
        <w:t xml:space="preserve">muerte </w:t>
      </w:r>
      <w:r w:rsidR="003619A9" w:rsidRPr="00C3750C">
        <w:rPr>
          <w:rFonts w:ascii="Cambria" w:hAnsi="Cambria"/>
          <w:sz w:val="20"/>
          <w:szCs w:val="20"/>
          <w:lang w:val="es-ES"/>
        </w:rPr>
        <w:t>durante el encarcelamiento de la presunta víctima</w:t>
      </w:r>
      <w:r w:rsidR="00845880" w:rsidRPr="00C3750C">
        <w:rPr>
          <w:rFonts w:ascii="Cambria" w:hAnsi="Cambria"/>
          <w:sz w:val="20"/>
          <w:szCs w:val="20"/>
          <w:lang w:val="es-ES"/>
        </w:rPr>
        <w:t>,</w:t>
      </w:r>
      <w:r w:rsidR="003619A9" w:rsidRPr="00C3750C">
        <w:rPr>
          <w:rFonts w:ascii="Cambria" w:hAnsi="Cambria"/>
          <w:sz w:val="20"/>
          <w:szCs w:val="20"/>
          <w:lang w:val="es-ES"/>
        </w:rPr>
        <w:t xml:space="preserve"> </w:t>
      </w:r>
      <w:r w:rsidR="00845880" w:rsidRPr="00C3750C">
        <w:rPr>
          <w:rFonts w:ascii="Cambria" w:hAnsi="Cambria"/>
          <w:sz w:val="20"/>
          <w:szCs w:val="20"/>
          <w:lang w:val="es-ES"/>
        </w:rPr>
        <w:t xml:space="preserve">así </w:t>
      </w:r>
      <w:r w:rsidR="00845880" w:rsidRPr="00C3750C">
        <w:rPr>
          <w:rFonts w:ascii="Cambria" w:hAnsi="Cambria"/>
          <w:sz w:val="20"/>
          <w:szCs w:val="20"/>
          <w:lang w:val="es-ES"/>
        </w:rPr>
        <w:lastRenderedPageBreak/>
        <w:t xml:space="preserve">como las alegadas </w:t>
      </w:r>
      <w:r w:rsidR="003619A9" w:rsidRPr="00C3750C">
        <w:rPr>
          <w:rFonts w:ascii="Cambria" w:hAnsi="Cambria"/>
          <w:sz w:val="20"/>
          <w:szCs w:val="20"/>
          <w:lang w:val="es-ES"/>
        </w:rPr>
        <w:t xml:space="preserve">deficiencias </w:t>
      </w:r>
      <w:r w:rsidR="00845880" w:rsidRPr="00C3750C">
        <w:rPr>
          <w:rFonts w:ascii="Cambria" w:hAnsi="Cambria"/>
          <w:sz w:val="20"/>
          <w:szCs w:val="20"/>
          <w:lang w:val="es-ES"/>
        </w:rPr>
        <w:t xml:space="preserve">en el marco de </w:t>
      </w:r>
      <w:r w:rsidR="003619A9" w:rsidRPr="00C3750C">
        <w:rPr>
          <w:rFonts w:ascii="Cambria" w:hAnsi="Cambria"/>
          <w:sz w:val="20"/>
          <w:szCs w:val="20"/>
          <w:lang w:val="es-ES"/>
        </w:rPr>
        <w:t>las investigaciones iniciadas</w:t>
      </w:r>
      <w:r w:rsidR="00845880" w:rsidRPr="00C3750C">
        <w:rPr>
          <w:rFonts w:ascii="Cambria" w:hAnsi="Cambria"/>
          <w:sz w:val="20"/>
          <w:szCs w:val="20"/>
          <w:lang w:val="es-ES"/>
        </w:rPr>
        <w:t xml:space="preserve">, los hechos denunciados podrían caracterizar posibles violaciones de los artículos 4, 5, </w:t>
      </w:r>
      <w:r w:rsidR="003F29D1" w:rsidRPr="00C3750C">
        <w:rPr>
          <w:rFonts w:ascii="Cambria" w:hAnsi="Cambria"/>
          <w:sz w:val="20"/>
          <w:szCs w:val="20"/>
          <w:lang w:val="es-ES"/>
        </w:rPr>
        <w:t xml:space="preserve">7, </w:t>
      </w:r>
      <w:r w:rsidR="00845880" w:rsidRPr="00C3750C">
        <w:rPr>
          <w:rFonts w:ascii="Cambria" w:hAnsi="Cambria"/>
          <w:sz w:val="20"/>
          <w:szCs w:val="20"/>
          <w:lang w:val="es-ES"/>
        </w:rPr>
        <w:t>8</w:t>
      </w:r>
      <w:r w:rsidR="00F57635" w:rsidRPr="00C3750C">
        <w:rPr>
          <w:rFonts w:ascii="Cambria" w:hAnsi="Cambria"/>
          <w:sz w:val="20"/>
          <w:szCs w:val="20"/>
          <w:lang w:val="es-ES"/>
        </w:rPr>
        <w:t>,</w:t>
      </w:r>
      <w:r w:rsidR="003F29D1" w:rsidRPr="00C3750C">
        <w:rPr>
          <w:rFonts w:ascii="Cambria" w:hAnsi="Cambria"/>
          <w:sz w:val="20"/>
          <w:szCs w:val="20"/>
          <w:lang w:val="es-ES"/>
        </w:rPr>
        <w:t xml:space="preserve"> 11, </w:t>
      </w:r>
      <w:r w:rsidR="00F57635" w:rsidRPr="00C3750C">
        <w:rPr>
          <w:rFonts w:ascii="Cambria" w:hAnsi="Cambria"/>
          <w:sz w:val="20"/>
          <w:szCs w:val="20"/>
          <w:lang w:val="es-ES"/>
        </w:rPr>
        <w:t>24</w:t>
      </w:r>
      <w:r w:rsidR="00845880" w:rsidRPr="00C3750C">
        <w:rPr>
          <w:rFonts w:ascii="Cambria" w:hAnsi="Cambria"/>
          <w:sz w:val="20"/>
          <w:szCs w:val="20"/>
          <w:lang w:val="es-ES"/>
        </w:rPr>
        <w:t xml:space="preserve"> y 25 de la Convención Americana, en concordancia con </w:t>
      </w:r>
      <w:r w:rsidR="00780FDE" w:rsidRPr="00C3750C">
        <w:rPr>
          <w:rFonts w:ascii="Cambria" w:hAnsi="Cambria"/>
          <w:sz w:val="20"/>
          <w:szCs w:val="20"/>
          <w:lang w:val="es-ES"/>
        </w:rPr>
        <w:t>el artículo</w:t>
      </w:r>
      <w:r w:rsidR="00845880" w:rsidRPr="00C3750C">
        <w:rPr>
          <w:rFonts w:ascii="Cambria" w:hAnsi="Cambria"/>
          <w:sz w:val="20"/>
          <w:szCs w:val="20"/>
          <w:lang w:val="es-ES"/>
        </w:rPr>
        <w:t xml:space="preserve"> 1.1 de dicho tratado</w:t>
      </w:r>
      <w:r w:rsidR="00CA79CA" w:rsidRPr="00C3750C">
        <w:rPr>
          <w:rFonts w:ascii="Cambria" w:hAnsi="Cambria"/>
          <w:sz w:val="20"/>
          <w:szCs w:val="20"/>
          <w:lang w:val="es-ES"/>
        </w:rPr>
        <w:t xml:space="preserve">. </w:t>
      </w:r>
      <w:r w:rsidR="00F57635" w:rsidRPr="00C3750C">
        <w:rPr>
          <w:rFonts w:ascii="Cambria" w:hAnsi="Cambria"/>
          <w:sz w:val="20"/>
          <w:szCs w:val="20"/>
          <w:lang w:val="es-ES"/>
        </w:rPr>
        <w:t>Además, la Comisión considera que los planteamientos realizados requieren un análisis en la etapa de fondo</w:t>
      </w:r>
      <w:r w:rsidR="00CA79CA" w:rsidRPr="00C3750C">
        <w:rPr>
          <w:rFonts w:ascii="Cambria" w:hAnsi="Cambria"/>
          <w:sz w:val="20"/>
          <w:szCs w:val="20"/>
          <w:lang w:val="es-ES"/>
        </w:rPr>
        <w:t xml:space="preserve"> respecto del artículo 7 de la Convención de Belém do Pará, y los artículos 1, 6 y 8 de la CIPST</w:t>
      </w:r>
      <w:r w:rsidR="00F57635" w:rsidRPr="00C3750C">
        <w:rPr>
          <w:rFonts w:ascii="Cambria" w:hAnsi="Cambria"/>
          <w:sz w:val="20"/>
          <w:szCs w:val="20"/>
          <w:lang w:val="es-ES"/>
        </w:rPr>
        <w:t xml:space="preserve">. </w:t>
      </w:r>
      <w:r w:rsidR="002345EE" w:rsidRPr="00C3750C">
        <w:rPr>
          <w:rFonts w:ascii="Cambria" w:hAnsi="Cambria"/>
          <w:sz w:val="20"/>
          <w:szCs w:val="20"/>
          <w:lang w:val="es-ES"/>
        </w:rPr>
        <w:t xml:space="preserve">Adicionalmente, respecto de la hija de la presunta víctima, quien en la época de los hechos habría sido menor de edad, los mismos podrían caracterizar violaciones al artículo 19 de la Convención. Por otra parte, </w:t>
      </w:r>
      <w:r w:rsidR="00F57635" w:rsidRPr="00C3750C">
        <w:rPr>
          <w:rFonts w:ascii="Cambria" w:hAnsi="Cambria"/>
          <w:sz w:val="20"/>
          <w:szCs w:val="20"/>
          <w:lang w:val="es-ES"/>
        </w:rPr>
        <w:t xml:space="preserve"> en cuanto a los familiares de </w:t>
      </w:r>
      <w:r w:rsidR="001C7EB1" w:rsidRPr="00C3750C">
        <w:rPr>
          <w:rFonts w:ascii="Cambria" w:hAnsi="Cambria"/>
          <w:sz w:val="20"/>
          <w:szCs w:val="20"/>
          <w:lang w:val="es-ES"/>
        </w:rPr>
        <w:t>la presunta víctima</w:t>
      </w:r>
      <w:r w:rsidR="00F57635" w:rsidRPr="00C3750C">
        <w:rPr>
          <w:rFonts w:ascii="Cambria" w:hAnsi="Cambria"/>
          <w:sz w:val="20"/>
          <w:szCs w:val="20"/>
          <w:lang w:val="es-ES"/>
        </w:rPr>
        <w:t xml:space="preserve">, de ser probados los alegatos relativos a afectaciones a la integridad, falta de acceso a la justicia y protección judicial, </w:t>
      </w:r>
      <w:r w:rsidR="001C7EB1" w:rsidRPr="00C3750C">
        <w:rPr>
          <w:rFonts w:ascii="Cambria" w:hAnsi="Cambria"/>
          <w:sz w:val="20"/>
          <w:szCs w:val="20"/>
          <w:lang w:val="es-ES"/>
        </w:rPr>
        <w:t>l</w:t>
      </w:r>
      <w:r w:rsidR="00F57635" w:rsidRPr="00C3750C">
        <w:rPr>
          <w:rFonts w:ascii="Cambria" w:hAnsi="Cambria"/>
          <w:sz w:val="20"/>
          <w:szCs w:val="20"/>
          <w:lang w:val="es-ES"/>
        </w:rPr>
        <w:t>os hechos denunciados podrían caracterizar posibles vio</w:t>
      </w:r>
      <w:r w:rsidR="000D6326" w:rsidRPr="00C3750C">
        <w:rPr>
          <w:rFonts w:ascii="Cambria" w:hAnsi="Cambria"/>
          <w:sz w:val="20"/>
          <w:szCs w:val="20"/>
          <w:lang w:val="es-ES"/>
        </w:rPr>
        <w:t xml:space="preserve">laciones de los artículos 5, 8 </w:t>
      </w:r>
      <w:r w:rsidR="00F57635" w:rsidRPr="00C3750C">
        <w:rPr>
          <w:rFonts w:ascii="Cambria" w:hAnsi="Cambria"/>
          <w:sz w:val="20"/>
          <w:szCs w:val="20"/>
          <w:lang w:val="es-ES"/>
        </w:rPr>
        <w:t>y 25 de la Convención.</w:t>
      </w:r>
    </w:p>
    <w:p w14:paraId="269EA1F3" w14:textId="40CEBE07" w:rsidR="00780FDE" w:rsidRPr="00C3750C" w:rsidRDefault="00780FDE" w:rsidP="00780FD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sz w:val="20"/>
          <w:szCs w:val="20"/>
          <w:lang w:val="es-AR"/>
        </w:rPr>
      </w:pPr>
      <w:r w:rsidRPr="00C3750C">
        <w:rPr>
          <w:sz w:val="20"/>
          <w:szCs w:val="20"/>
          <w:lang w:val="es-AR"/>
        </w:rPr>
        <w:t xml:space="preserve">En cuanto a la alegada violación del artículo 2 </w:t>
      </w:r>
      <w:r w:rsidRPr="00C3750C">
        <w:rPr>
          <w:bCs/>
          <w:sz w:val="20"/>
          <w:szCs w:val="20"/>
          <w:lang w:val="es-AR"/>
        </w:rPr>
        <w:t>d</w:t>
      </w:r>
      <w:r w:rsidRPr="00C3750C">
        <w:rPr>
          <w:sz w:val="20"/>
          <w:szCs w:val="20"/>
          <w:lang w:val="es-AR"/>
        </w:rPr>
        <w:t>e la Convención Americana, la Comisión observa que los peticionarios no ofrecen alegatos o sustento para su presunta violación por lo que no corresponde declarar dicha pretensión admisible.</w:t>
      </w:r>
    </w:p>
    <w:p w14:paraId="12D59FB9" w14:textId="79F5CB61" w:rsidR="00EB6658" w:rsidRPr="00C3750C" w:rsidRDefault="00EB6658" w:rsidP="00EB6658">
      <w:pPr>
        <w:pStyle w:val="ListParagraph"/>
        <w:numPr>
          <w:ilvl w:val="0"/>
          <w:numId w:val="103"/>
        </w:numPr>
        <w:jc w:val="both"/>
        <w:rPr>
          <w:sz w:val="20"/>
          <w:szCs w:val="20"/>
          <w:lang w:val="es-ES"/>
        </w:rPr>
      </w:pPr>
      <w:r w:rsidRPr="00C3750C">
        <w:rPr>
          <w:sz w:val="20"/>
          <w:szCs w:val="20"/>
          <w:lang w:val="es-ES"/>
        </w:rPr>
        <w:t>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w:t>
      </w:r>
    </w:p>
    <w:p w14:paraId="2A7CB2CC" w14:textId="77777777" w:rsidR="004A15EC" w:rsidRPr="00C3750C" w:rsidRDefault="004A15EC" w:rsidP="004A15EC">
      <w:pPr>
        <w:pStyle w:val="ListParagraph"/>
        <w:jc w:val="both"/>
        <w:rPr>
          <w:sz w:val="20"/>
          <w:szCs w:val="20"/>
          <w:lang w:val="es-ES"/>
        </w:rPr>
      </w:pPr>
    </w:p>
    <w:p w14:paraId="29BB41F5" w14:textId="304F7295" w:rsidR="003239B8" w:rsidRPr="00C3750C" w:rsidRDefault="003239B8" w:rsidP="003F29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C3750C">
        <w:rPr>
          <w:rFonts w:asciiTheme="majorHAnsi" w:hAnsiTheme="majorHAnsi"/>
          <w:b/>
          <w:bCs/>
          <w:sz w:val="20"/>
          <w:szCs w:val="20"/>
          <w:lang w:val="es-ES"/>
        </w:rPr>
        <w:t xml:space="preserve">VIII. </w:t>
      </w:r>
      <w:r w:rsidRPr="00C3750C">
        <w:rPr>
          <w:rFonts w:asciiTheme="majorHAnsi" w:hAnsiTheme="majorHAnsi"/>
          <w:b/>
          <w:bCs/>
          <w:sz w:val="20"/>
          <w:szCs w:val="20"/>
          <w:lang w:val="es-ES"/>
        </w:rPr>
        <w:tab/>
        <w:t>DECISIÓN</w:t>
      </w:r>
    </w:p>
    <w:p w14:paraId="0FE0E13F" w14:textId="530D5DD6" w:rsidR="00780FDE" w:rsidRPr="00C3750C" w:rsidRDefault="003239B8" w:rsidP="001C7EB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3750C">
        <w:rPr>
          <w:rFonts w:asciiTheme="majorHAnsi" w:hAnsiTheme="majorHAnsi"/>
          <w:sz w:val="20"/>
          <w:szCs w:val="20"/>
          <w:lang w:val="es-ES"/>
        </w:rPr>
        <w:t>Declarar admisible la presente petición en relación con</w:t>
      </w:r>
      <w:r w:rsidR="00AC57FE" w:rsidRPr="00C3750C">
        <w:rPr>
          <w:rFonts w:asciiTheme="majorHAnsi" w:hAnsiTheme="majorHAnsi"/>
          <w:sz w:val="20"/>
          <w:szCs w:val="20"/>
          <w:lang w:val="es-ES"/>
        </w:rPr>
        <w:t xml:space="preserve"> los artículos 4, 5, </w:t>
      </w:r>
      <w:r w:rsidR="003F29D1" w:rsidRPr="00C3750C">
        <w:rPr>
          <w:rFonts w:asciiTheme="majorHAnsi" w:hAnsiTheme="majorHAnsi"/>
          <w:sz w:val="20"/>
          <w:szCs w:val="20"/>
          <w:lang w:val="es-ES"/>
        </w:rPr>
        <w:t xml:space="preserve">7, </w:t>
      </w:r>
      <w:r w:rsidR="00AC57FE" w:rsidRPr="00C3750C">
        <w:rPr>
          <w:rFonts w:asciiTheme="majorHAnsi" w:hAnsiTheme="majorHAnsi"/>
          <w:sz w:val="20"/>
          <w:szCs w:val="20"/>
          <w:lang w:val="es-ES"/>
        </w:rPr>
        <w:t>8</w:t>
      </w:r>
      <w:r w:rsidR="00F57635" w:rsidRPr="00C3750C">
        <w:rPr>
          <w:rFonts w:asciiTheme="majorHAnsi" w:hAnsiTheme="majorHAnsi"/>
          <w:sz w:val="20"/>
          <w:szCs w:val="20"/>
          <w:lang w:val="es-ES"/>
        </w:rPr>
        <w:t xml:space="preserve">, </w:t>
      </w:r>
      <w:r w:rsidR="001C7EB1" w:rsidRPr="00C3750C">
        <w:rPr>
          <w:rFonts w:asciiTheme="majorHAnsi" w:hAnsiTheme="majorHAnsi"/>
          <w:sz w:val="20"/>
          <w:szCs w:val="20"/>
          <w:lang w:val="es-ES"/>
        </w:rPr>
        <w:t xml:space="preserve">11, </w:t>
      </w:r>
      <w:r w:rsidR="00786391" w:rsidRPr="00C3750C">
        <w:rPr>
          <w:rFonts w:asciiTheme="majorHAnsi" w:hAnsiTheme="majorHAnsi"/>
          <w:sz w:val="20"/>
          <w:szCs w:val="20"/>
          <w:lang w:val="es-ES"/>
        </w:rPr>
        <w:t xml:space="preserve">19, </w:t>
      </w:r>
      <w:r w:rsidR="00F57635" w:rsidRPr="00C3750C">
        <w:rPr>
          <w:rFonts w:asciiTheme="majorHAnsi" w:hAnsiTheme="majorHAnsi"/>
          <w:sz w:val="20"/>
          <w:szCs w:val="20"/>
          <w:lang w:val="es-ES"/>
        </w:rPr>
        <w:t>24</w:t>
      </w:r>
      <w:r w:rsidR="00AC57FE" w:rsidRPr="00C3750C">
        <w:rPr>
          <w:rFonts w:asciiTheme="majorHAnsi" w:hAnsiTheme="majorHAnsi"/>
          <w:sz w:val="20"/>
          <w:szCs w:val="20"/>
          <w:lang w:val="es-ES"/>
        </w:rPr>
        <w:t xml:space="preserve"> y 25 de la Convención Americana en concordancia con </w:t>
      </w:r>
      <w:r w:rsidR="00780FDE" w:rsidRPr="00C3750C">
        <w:rPr>
          <w:rFonts w:asciiTheme="majorHAnsi" w:hAnsiTheme="majorHAnsi"/>
          <w:sz w:val="20"/>
          <w:szCs w:val="20"/>
          <w:lang w:val="es-ES"/>
        </w:rPr>
        <w:t>el artículo</w:t>
      </w:r>
      <w:r w:rsidR="00AC57FE" w:rsidRPr="00C3750C">
        <w:rPr>
          <w:rFonts w:asciiTheme="majorHAnsi" w:hAnsiTheme="majorHAnsi"/>
          <w:sz w:val="20"/>
          <w:szCs w:val="20"/>
          <w:lang w:val="es-ES"/>
        </w:rPr>
        <w:t xml:space="preserve"> 1.1 de dicho tratado</w:t>
      </w:r>
      <w:r w:rsidR="001C7EB1" w:rsidRPr="00C3750C">
        <w:rPr>
          <w:rFonts w:asciiTheme="majorHAnsi" w:hAnsiTheme="majorHAnsi"/>
          <w:sz w:val="20"/>
          <w:szCs w:val="20"/>
          <w:lang w:val="es-ES"/>
        </w:rPr>
        <w:t xml:space="preserve">, </w:t>
      </w:r>
      <w:r w:rsidR="00F37CD6" w:rsidRPr="00C3750C">
        <w:rPr>
          <w:rFonts w:asciiTheme="majorHAnsi" w:hAnsiTheme="majorHAnsi"/>
          <w:sz w:val="20"/>
          <w:szCs w:val="20"/>
          <w:lang w:val="es-ES"/>
        </w:rPr>
        <w:t xml:space="preserve">así como el artículo 7 de la Convención de Belém do Pará, y </w:t>
      </w:r>
      <w:r w:rsidR="00F57635" w:rsidRPr="00C3750C">
        <w:rPr>
          <w:rFonts w:asciiTheme="majorHAnsi" w:hAnsiTheme="majorHAnsi"/>
          <w:sz w:val="20"/>
          <w:szCs w:val="20"/>
          <w:lang w:val="es-ES"/>
        </w:rPr>
        <w:t>los artículos 1, 6 y 8 de la C</w:t>
      </w:r>
      <w:r w:rsidR="00F37CD6" w:rsidRPr="00C3750C">
        <w:rPr>
          <w:rFonts w:asciiTheme="majorHAnsi" w:hAnsiTheme="majorHAnsi"/>
          <w:sz w:val="20"/>
          <w:szCs w:val="20"/>
          <w:lang w:val="es-ES"/>
        </w:rPr>
        <w:t>IPST;</w:t>
      </w:r>
      <w:r w:rsidR="004545B3" w:rsidRPr="00C3750C">
        <w:rPr>
          <w:rFonts w:asciiTheme="majorHAnsi" w:hAnsiTheme="majorHAnsi"/>
          <w:sz w:val="20"/>
          <w:szCs w:val="20"/>
          <w:lang w:val="es-ES"/>
        </w:rPr>
        <w:t xml:space="preserve"> </w:t>
      </w:r>
    </w:p>
    <w:p w14:paraId="44FDA728" w14:textId="2DB067A9" w:rsidR="00F57635" w:rsidRPr="00C3750C" w:rsidRDefault="00780FDE" w:rsidP="00780FD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3750C">
        <w:rPr>
          <w:rFonts w:asciiTheme="majorHAnsi" w:hAnsiTheme="majorHAnsi"/>
          <w:sz w:val="20"/>
          <w:szCs w:val="20"/>
          <w:lang w:val="es-AR"/>
        </w:rPr>
        <w:t>Declarar inadmisible la presente petición en relación con el artículo 2</w:t>
      </w:r>
      <w:r w:rsidRPr="00C3750C">
        <w:rPr>
          <w:rFonts w:ascii="Cambria" w:hAnsi="Cambria"/>
          <w:sz w:val="20"/>
          <w:szCs w:val="20"/>
          <w:lang w:val="es-AR"/>
        </w:rPr>
        <w:t xml:space="preserve"> de la </w:t>
      </w:r>
      <w:r w:rsidRPr="00C3750C">
        <w:rPr>
          <w:rFonts w:asciiTheme="majorHAnsi" w:hAnsiTheme="majorHAnsi"/>
          <w:sz w:val="20"/>
          <w:szCs w:val="20"/>
          <w:lang w:val="es-AR"/>
        </w:rPr>
        <w:t xml:space="preserve">Convención Americana; </w:t>
      </w:r>
      <w:r w:rsidR="004545B3" w:rsidRPr="00C3750C">
        <w:rPr>
          <w:rFonts w:asciiTheme="majorHAnsi" w:hAnsiTheme="majorHAnsi"/>
          <w:sz w:val="20"/>
          <w:szCs w:val="20"/>
          <w:lang w:val="es-ES"/>
        </w:rPr>
        <w:t>y</w:t>
      </w:r>
    </w:p>
    <w:p w14:paraId="6AC80CA6" w14:textId="0F9D915E" w:rsidR="00722C9F" w:rsidRPr="00C3750C" w:rsidRDefault="00D4011E" w:rsidP="00D4011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3750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E41FE8C" w14:textId="77777777" w:rsidR="00E75191" w:rsidRDefault="00E75191" w:rsidP="00E751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sz w:val="20"/>
          <w:szCs w:val="20"/>
          <w:lang w:val="es-CL" w:eastAsia="es-ES"/>
        </w:rPr>
        <w:tab/>
      </w:r>
      <w:r w:rsidRPr="00E75191">
        <w:rPr>
          <w:rFonts w:asciiTheme="majorHAnsi" w:hAnsiTheme="majorHAnsi"/>
          <w:sz w:val="20"/>
          <w:szCs w:val="20"/>
          <w:lang w:val="es-ES"/>
        </w:rPr>
        <w:t>Aprobado por la Comisión Interamericana de Derechos Humanos en la ciudad de Bogotá, Colombia, a los 24 días del mes de febrero de 2018.  (Firmado): Margarette May Macaulay, Presidenta; Esmeralda E. Arosemena Bernal de Troitiño, Primera Vicepresidenta; Luis Ernesto Vargas Silva, Segundo Vicepresidente; Francisco José Eguiguren Praeli, Joel Hernández García, Antonia Urrejola, y Flávia Piovesan, Miembros de la Comisión.</w:t>
      </w:r>
    </w:p>
    <w:p w14:paraId="659A1CFE" w14:textId="6A1509A7" w:rsidR="00E75191" w:rsidRPr="00955FDB" w:rsidRDefault="00E75191" w:rsidP="00EB59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00C143D6">
        <w:rPr>
          <w:rFonts w:asciiTheme="majorHAnsi" w:hAnsiTheme="majorHAnsi"/>
          <w:sz w:val="20"/>
          <w:szCs w:val="20"/>
          <w:lang w:val="es-ES"/>
        </w:rPr>
        <w:t xml:space="preserve"> </w:t>
      </w:r>
    </w:p>
    <w:sectPr w:rsidR="00E75191" w:rsidRPr="00955FD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B21D9" w14:textId="77777777" w:rsidR="008304FC" w:rsidRDefault="008304FC">
      <w:r>
        <w:separator/>
      </w:r>
    </w:p>
  </w:endnote>
  <w:endnote w:type="continuationSeparator" w:id="0">
    <w:p w14:paraId="49A58801" w14:textId="77777777" w:rsidR="008304FC" w:rsidRDefault="0083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56961" w14:textId="77777777" w:rsidR="00955FDB" w:rsidRDefault="00955F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339357"/>
      <w:docPartObj>
        <w:docPartGallery w:val="Page Numbers (Bottom of Page)"/>
        <w:docPartUnique/>
      </w:docPartObj>
    </w:sdtPr>
    <w:sdtEndPr>
      <w:rPr>
        <w:noProof/>
        <w:sz w:val="16"/>
        <w:szCs w:val="22"/>
      </w:rPr>
    </w:sdtEndPr>
    <w:sdtContent>
      <w:p w14:paraId="29E243E2" w14:textId="48C08B19" w:rsidR="00245356" w:rsidRPr="00934A2C" w:rsidRDefault="0024535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55FDB">
          <w:rPr>
            <w:noProof/>
            <w:sz w:val="16"/>
            <w:szCs w:val="22"/>
          </w:rPr>
          <w:t>1</w:t>
        </w:r>
        <w:r w:rsidRPr="00934A2C">
          <w:rPr>
            <w:noProof/>
            <w:sz w:val="16"/>
            <w:szCs w:val="22"/>
          </w:rPr>
          <w:fldChar w:fldCharType="end"/>
        </w:r>
      </w:p>
    </w:sdtContent>
  </w:sdt>
  <w:p w14:paraId="68530E6A" w14:textId="77777777" w:rsidR="00245356" w:rsidRDefault="002453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245356" w:rsidRPr="00934A2C" w:rsidRDefault="00245356">
    <w:pPr>
      <w:pStyle w:val="Footer"/>
      <w:jc w:val="center"/>
      <w:rPr>
        <w:sz w:val="16"/>
        <w:szCs w:val="22"/>
      </w:rPr>
    </w:pPr>
  </w:p>
  <w:p w14:paraId="49059CE3" w14:textId="77777777" w:rsidR="00245356" w:rsidRDefault="00245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78C3D" w14:textId="77777777" w:rsidR="008304FC" w:rsidRPr="000F35ED" w:rsidRDefault="008304F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E29569B" w14:textId="77777777" w:rsidR="008304FC" w:rsidRPr="000F35ED" w:rsidRDefault="008304FC" w:rsidP="000F35ED">
      <w:pPr>
        <w:rPr>
          <w:rFonts w:asciiTheme="majorHAnsi" w:hAnsiTheme="majorHAnsi"/>
          <w:sz w:val="16"/>
          <w:szCs w:val="16"/>
        </w:rPr>
      </w:pPr>
      <w:r w:rsidRPr="000F35ED">
        <w:rPr>
          <w:rFonts w:asciiTheme="majorHAnsi" w:hAnsiTheme="majorHAnsi"/>
          <w:sz w:val="16"/>
          <w:szCs w:val="16"/>
        </w:rPr>
        <w:separator/>
      </w:r>
    </w:p>
    <w:p w14:paraId="12EC7DD5" w14:textId="77777777" w:rsidR="008304FC" w:rsidRPr="000F35ED" w:rsidRDefault="008304F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4BC40F7" w14:textId="77777777" w:rsidR="008304FC" w:rsidRPr="000F35ED" w:rsidRDefault="008304F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8FE8A55" w14:textId="77777777" w:rsidR="00245356" w:rsidRPr="002779FF" w:rsidRDefault="00245356" w:rsidP="00C71263">
      <w:pPr>
        <w:pStyle w:val="FootnoteText"/>
        <w:ind w:firstLine="720"/>
        <w:jc w:val="both"/>
        <w:rPr>
          <w:rFonts w:asciiTheme="majorHAnsi" w:hAnsiTheme="majorHAnsi"/>
          <w:sz w:val="16"/>
          <w:szCs w:val="16"/>
          <w:lang w:val="es-ES"/>
        </w:rPr>
      </w:pPr>
      <w:r w:rsidRPr="002779FF">
        <w:rPr>
          <w:rStyle w:val="FootnoteReference"/>
          <w:rFonts w:asciiTheme="majorHAnsi" w:hAnsiTheme="majorHAnsi"/>
          <w:sz w:val="16"/>
          <w:szCs w:val="16"/>
        </w:rPr>
        <w:footnoteRef/>
      </w:r>
      <w:r w:rsidRPr="002779FF">
        <w:rPr>
          <w:rFonts w:asciiTheme="majorHAnsi" w:hAnsiTheme="majorHAnsi"/>
          <w:sz w:val="16"/>
          <w:szCs w:val="16"/>
          <w:lang w:val="es-ES"/>
        </w:rPr>
        <w:t xml:space="preserve"> En adelante “Convención” o “Convención Americana”.</w:t>
      </w:r>
    </w:p>
  </w:footnote>
  <w:footnote w:id="3">
    <w:p w14:paraId="79F07139" w14:textId="77777777" w:rsidR="00245356" w:rsidRPr="002779FF" w:rsidRDefault="00245356" w:rsidP="00733275">
      <w:pPr>
        <w:pStyle w:val="FootnoteText"/>
        <w:ind w:firstLine="720"/>
        <w:jc w:val="both"/>
        <w:rPr>
          <w:rFonts w:asciiTheme="majorHAnsi" w:hAnsiTheme="majorHAnsi"/>
          <w:sz w:val="16"/>
          <w:szCs w:val="16"/>
          <w:lang w:val="es-ES"/>
        </w:rPr>
      </w:pPr>
      <w:r w:rsidRPr="002779FF">
        <w:rPr>
          <w:rStyle w:val="FootnoteReference"/>
          <w:rFonts w:asciiTheme="majorHAnsi" w:hAnsiTheme="majorHAnsi"/>
          <w:sz w:val="16"/>
          <w:szCs w:val="16"/>
        </w:rPr>
        <w:footnoteRef/>
      </w:r>
      <w:r w:rsidRPr="002779FF">
        <w:rPr>
          <w:rFonts w:asciiTheme="majorHAnsi" w:hAnsiTheme="majorHAnsi"/>
          <w:sz w:val="16"/>
          <w:szCs w:val="16"/>
          <w:lang w:val="es-ES"/>
        </w:rPr>
        <w:t xml:space="preserve"> Las observaciones de cada parte fueron debidamente trasladadas a la parte contraria.</w:t>
      </w:r>
    </w:p>
  </w:footnote>
  <w:footnote w:id="4">
    <w:p w14:paraId="07C35298" w14:textId="17355743" w:rsidR="00245356" w:rsidRPr="002779FF" w:rsidRDefault="00245356" w:rsidP="00F37CD6">
      <w:pPr>
        <w:pStyle w:val="FootnoteText"/>
        <w:ind w:firstLine="720"/>
        <w:jc w:val="both"/>
        <w:rPr>
          <w:rFonts w:asciiTheme="majorHAnsi" w:hAnsiTheme="majorHAnsi"/>
          <w:sz w:val="16"/>
          <w:szCs w:val="16"/>
          <w:lang w:val="es-ES"/>
        </w:rPr>
      </w:pPr>
      <w:r w:rsidRPr="002779FF">
        <w:rPr>
          <w:rStyle w:val="FootnoteReference"/>
          <w:rFonts w:asciiTheme="majorHAnsi" w:hAnsiTheme="majorHAnsi"/>
          <w:sz w:val="16"/>
          <w:szCs w:val="16"/>
        </w:rPr>
        <w:footnoteRef/>
      </w:r>
      <w:r w:rsidRPr="002779FF">
        <w:rPr>
          <w:rStyle w:val="FootnoteReference"/>
          <w:lang w:val="es-ES"/>
        </w:rPr>
        <w:t xml:space="preserve"> </w:t>
      </w:r>
      <w:r w:rsidR="002135A6">
        <w:rPr>
          <w:rFonts w:asciiTheme="majorHAnsi" w:hAnsiTheme="majorHAnsi"/>
          <w:sz w:val="16"/>
          <w:szCs w:val="16"/>
          <w:lang w:val="es-ES"/>
        </w:rPr>
        <w:t>En adelante “Convención de Belém do Pará</w:t>
      </w:r>
      <w:r w:rsidRPr="002779FF">
        <w:rPr>
          <w:rFonts w:asciiTheme="majorHAnsi" w:hAnsiTheme="majorHAnsi"/>
          <w:sz w:val="16"/>
          <w:szCs w:val="16"/>
          <w:lang w:val="es-ES"/>
        </w:rPr>
        <w:t xml:space="preserve">”. </w:t>
      </w:r>
    </w:p>
  </w:footnote>
  <w:footnote w:id="5">
    <w:p w14:paraId="4AFE6EDD" w14:textId="77777777" w:rsidR="00245356" w:rsidRPr="002779FF" w:rsidRDefault="00245356" w:rsidP="00B119C9">
      <w:pPr>
        <w:ind w:firstLine="720"/>
        <w:rPr>
          <w:rFonts w:eastAsia="Times New Roman"/>
          <w:bdr w:val="none" w:sz="0" w:space="0" w:color="auto"/>
          <w:lang w:val="es-ES"/>
        </w:rPr>
      </w:pPr>
      <w:r w:rsidRPr="002779FF">
        <w:rPr>
          <w:rStyle w:val="FootnoteReference"/>
          <w:rFonts w:asciiTheme="majorHAnsi" w:eastAsia="Calibri" w:hAnsiTheme="majorHAnsi" w:cs="Calibri"/>
          <w:color w:val="000000"/>
          <w:sz w:val="16"/>
          <w:szCs w:val="16"/>
          <w:u w:color="000000"/>
          <w:lang w:eastAsia="es-ES"/>
        </w:rPr>
        <w:footnoteRef/>
      </w:r>
      <w:r w:rsidRPr="002779FF">
        <w:rPr>
          <w:lang w:val="es-ES"/>
        </w:rPr>
        <w:t xml:space="preserve"> </w:t>
      </w:r>
      <w:r w:rsidRPr="002779FF">
        <w:rPr>
          <w:rFonts w:asciiTheme="majorHAnsi" w:eastAsia="Calibri" w:hAnsiTheme="majorHAnsi" w:cs="Calibri"/>
          <w:color w:val="000000"/>
          <w:sz w:val="16"/>
          <w:szCs w:val="16"/>
          <w:u w:color="000000"/>
          <w:lang w:val="es-ES" w:eastAsia="es-ES"/>
        </w:rPr>
        <w:t>En adelante “CIPST”.</w:t>
      </w:r>
    </w:p>
    <w:p w14:paraId="1DEFE24A" w14:textId="77777777" w:rsidR="00245356" w:rsidRPr="002779FF" w:rsidRDefault="00245356" w:rsidP="00B119C9">
      <w:pPr>
        <w:pStyle w:val="FootnoteText"/>
        <w:rPr>
          <w:lang w:val="es-ES"/>
        </w:rPr>
      </w:pPr>
    </w:p>
  </w:footnote>
  <w:footnote w:id="6">
    <w:p w14:paraId="3325991F" w14:textId="28970118" w:rsidR="00245356" w:rsidRPr="002779FF" w:rsidRDefault="00245356" w:rsidP="0004109D">
      <w:pPr>
        <w:pStyle w:val="FootnoteText"/>
        <w:ind w:firstLine="720"/>
        <w:jc w:val="both"/>
        <w:rPr>
          <w:lang w:val="es-ES"/>
        </w:rPr>
      </w:pPr>
      <w:r w:rsidRPr="002779FF">
        <w:rPr>
          <w:rStyle w:val="FootnoteReference"/>
          <w:rFonts w:asciiTheme="majorHAnsi" w:hAnsiTheme="majorHAnsi"/>
          <w:sz w:val="16"/>
          <w:szCs w:val="16"/>
        </w:rPr>
        <w:footnoteRef/>
      </w:r>
      <w:r w:rsidRPr="002779FF">
        <w:rPr>
          <w:lang w:val="es-ES"/>
        </w:rPr>
        <w:t xml:space="preserve"> </w:t>
      </w:r>
      <w:r w:rsidRPr="002779FF">
        <w:rPr>
          <w:rFonts w:asciiTheme="majorHAnsi" w:hAnsiTheme="majorHAnsi"/>
          <w:sz w:val="16"/>
          <w:szCs w:val="16"/>
          <w:lang w:val="es-ES"/>
        </w:rPr>
        <w:t>CIDH, Informe sobre los Derechos Humanos de las Personas Privadas de Libertad en las Américas, OEA/Ser.L/V/II, adoptado el 31 de diciembre de 2011, párr. 325.</w:t>
      </w:r>
      <w:r w:rsidRPr="002779FF">
        <w:rPr>
          <w:rFonts w:ascii="Times New Roman" w:hAnsi="Times New Roman" w:cs="Times New Roman"/>
          <w:lang w:val="es-ES"/>
        </w:rPr>
        <w:t xml:space="preserve"> </w:t>
      </w:r>
    </w:p>
  </w:footnote>
  <w:footnote w:id="7">
    <w:p w14:paraId="476AE3ED" w14:textId="5DF2FBB8" w:rsidR="00245356" w:rsidRPr="00D109A5" w:rsidRDefault="00245356" w:rsidP="002240D4">
      <w:pPr>
        <w:ind w:firstLine="720"/>
        <w:rPr>
          <w:rFonts w:eastAsia="Times New Roman"/>
          <w:bdr w:val="none" w:sz="0" w:space="0" w:color="auto"/>
          <w:lang w:val="es-ES"/>
        </w:rPr>
      </w:pPr>
      <w:r w:rsidRPr="002779FF">
        <w:rPr>
          <w:rStyle w:val="FootnoteReference"/>
          <w:rFonts w:asciiTheme="majorHAnsi" w:eastAsia="Calibri" w:hAnsiTheme="majorHAnsi" w:cs="Calibri"/>
          <w:color w:val="000000"/>
          <w:sz w:val="16"/>
          <w:szCs w:val="16"/>
          <w:u w:color="000000"/>
          <w:lang w:eastAsia="es-ES"/>
        </w:rPr>
        <w:footnoteRef/>
      </w:r>
      <w:r w:rsidRPr="002779FF">
        <w:rPr>
          <w:lang w:val="es-ES"/>
        </w:rPr>
        <w:t xml:space="preserve"> </w:t>
      </w:r>
      <w:r w:rsidRPr="002779FF">
        <w:rPr>
          <w:rFonts w:asciiTheme="majorHAnsi" w:eastAsia="Calibri" w:hAnsiTheme="majorHAnsi" w:cs="Calibri"/>
          <w:color w:val="000000"/>
          <w:sz w:val="16"/>
          <w:szCs w:val="16"/>
          <w:u w:color="000000"/>
          <w:lang w:val="es-ES" w:eastAsia="es-ES"/>
        </w:rPr>
        <w:t>CIDH, Informe No. 20/17. Admisibilidad. Rodolfo David Piñeyro Ríos. Argentina. 12 de marzo de 2017, párr.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245356" w:rsidRDefault="00245356" w:rsidP="0024535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245356" w:rsidRDefault="002453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245356" w:rsidRDefault="0024535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245356" w:rsidRPr="00EC7D62" w:rsidRDefault="008304F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A73E8" w14:textId="77777777" w:rsidR="00955FDB" w:rsidRDefault="00955F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1ECCE86E"/>
    <w:lvl w:ilvl="0" w:tplc="4CCE07F6">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FC1"/>
    <w:rsid w:val="0000383B"/>
    <w:rsid w:val="00006E1F"/>
    <w:rsid w:val="000070D7"/>
    <w:rsid w:val="00011C16"/>
    <w:rsid w:val="0001788C"/>
    <w:rsid w:val="000337EF"/>
    <w:rsid w:val="00040C3A"/>
    <w:rsid w:val="0004109D"/>
    <w:rsid w:val="000419AD"/>
    <w:rsid w:val="00045F67"/>
    <w:rsid w:val="0005176A"/>
    <w:rsid w:val="000529DC"/>
    <w:rsid w:val="000619FF"/>
    <w:rsid w:val="00061F11"/>
    <w:rsid w:val="00070F17"/>
    <w:rsid w:val="000716C5"/>
    <w:rsid w:val="00071755"/>
    <w:rsid w:val="0007405C"/>
    <w:rsid w:val="00075E23"/>
    <w:rsid w:val="000846B5"/>
    <w:rsid w:val="0009344A"/>
    <w:rsid w:val="00094EE3"/>
    <w:rsid w:val="00097065"/>
    <w:rsid w:val="000A04F4"/>
    <w:rsid w:val="000A1CA4"/>
    <w:rsid w:val="000A392E"/>
    <w:rsid w:val="000A575F"/>
    <w:rsid w:val="000A5E86"/>
    <w:rsid w:val="000A70ED"/>
    <w:rsid w:val="000B3035"/>
    <w:rsid w:val="000B52AE"/>
    <w:rsid w:val="000B58C0"/>
    <w:rsid w:val="000B7F7A"/>
    <w:rsid w:val="000C177E"/>
    <w:rsid w:val="000C46FA"/>
    <w:rsid w:val="000D10DB"/>
    <w:rsid w:val="000D5EC2"/>
    <w:rsid w:val="000D6326"/>
    <w:rsid w:val="000E0CAB"/>
    <w:rsid w:val="000E11F6"/>
    <w:rsid w:val="000E3B2E"/>
    <w:rsid w:val="000E5EB5"/>
    <w:rsid w:val="000F35ED"/>
    <w:rsid w:val="00102CA5"/>
    <w:rsid w:val="00105DA5"/>
    <w:rsid w:val="00107131"/>
    <w:rsid w:val="0010736F"/>
    <w:rsid w:val="00113F73"/>
    <w:rsid w:val="00116A86"/>
    <w:rsid w:val="00121CC2"/>
    <w:rsid w:val="00127A72"/>
    <w:rsid w:val="00133EE5"/>
    <w:rsid w:val="00137F01"/>
    <w:rsid w:val="00147BCA"/>
    <w:rsid w:val="00156DE6"/>
    <w:rsid w:val="00161611"/>
    <w:rsid w:val="001632A6"/>
    <w:rsid w:val="00165FB5"/>
    <w:rsid w:val="00167A34"/>
    <w:rsid w:val="00173699"/>
    <w:rsid w:val="00174EB3"/>
    <w:rsid w:val="00180F75"/>
    <w:rsid w:val="001814E2"/>
    <w:rsid w:val="00190790"/>
    <w:rsid w:val="001A212B"/>
    <w:rsid w:val="001A7870"/>
    <w:rsid w:val="001B3A00"/>
    <w:rsid w:val="001B6672"/>
    <w:rsid w:val="001B7117"/>
    <w:rsid w:val="001C1B41"/>
    <w:rsid w:val="001C7EB1"/>
    <w:rsid w:val="001D0C27"/>
    <w:rsid w:val="001D1DA1"/>
    <w:rsid w:val="001D4E53"/>
    <w:rsid w:val="001D6418"/>
    <w:rsid w:val="001D65EF"/>
    <w:rsid w:val="001D75B7"/>
    <w:rsid w:val="001E1BC3"/>
    <w:rsid w:val="001E1C03"/>
    <w:rsid w:val="001E30D5"/>
    <w:rsid w:val="001E49E7"/>
    <w:rsid w:val="001F25DC"/>
    <w:rsid w:val="001F7201"/>
    <w:rsid w:val="0020291D"/>
    <w:rsid w:val="00204DEC"/>
    <w:rsid w:val="0020597C"/>
    <w:rsid w:val="002130E6"/>
    <w:rsid w:val="002135A6"/>
    <w:rsid w:val="002148C4"/>
    <w:rsid w:val="00223A29"/>
    <w:rsid w:val="002240D4"/>
    <w:rsid w:val="00224C96"/>
    <w:rsid w:val="002250A3"/>
    <w:rsid w:val="002345EE"/>
    <w:rsid w:val="00235217"/>
    <w:rsid w:val="002400E5"/>
    <w:rsid w:val="00243D73"/>
    <w:rsid w:val="00244B34"/>
    <w:rsid w:val="00245356"/>
    <w:rsid w:val="00246D1F"/>
    <w:rsid w:val="00247403"/>
    <w:rsid w:val="00247542"/>
    <w:rsid w:val="00252982"/>
    <w:rsid w:val="002568C9"/>
    <w:rsid w:val="0026215E"/>
    <w:rsid w:val="00266ADC"/>
    <w:rsid w:val="00266B61"/>
    <w:rsid w:val="0026712A"/>
    <w:rsid w:val="002704DB"/>
    <w:rsid w:val="00275815"/>
    <w:rsid w:val="002779FF"/>
    <w:rsid w:val="00285C66"/>
    <w:rsid w:val="00293C46"/>
    <w:rsid w:val="00294E3F"/>
    <w:rsid w:val="00294F00"/>
    <w:rsid w:val="002A0AAE"/>
    <w:rsid w:val="002A1801"/>
    <w:rsid w:val="002A5820"/>
    <w:rsid w:val="002A6240"/>
    <w:rsid w:val="002A7217"/>
    <w:rsid w:val="002A7914"/>
    <w:rsid w:val="002A7D17"/>
    <w:rsid w:val="002C3F10"/>
    <w:rsid w:val="002D277F"/>
    <w:rsid w:val="002D2930"/>
    <w:rsid w:val="002D2B26"/>
    <w:rsid w:val="002D7EA2"/>
    <w:rsid w:val="002E187C"/>
    <w:rsid w:val="002E2F53"/>
    <w:rsid w:val="002E4FD9"/>
    <w:rsid w:val="002E680D"/>
    <w:rsid w:val="002E6A57"/>
    <w:rsid w:val="002F5C5C"/>
    <w:rsid w:val="003026F3"/>
    <w:rsid w:val="00302733"/>
    <w:rsid w:val="00303D06"/>
    <w:rsid w:val="00305382"/>
    <w:rsid w:val="00314078"/>
    <w:rsid w:val="0031535D"/>
    <w:rsid w:val="003239B8"/>
    <w:rsid w:val="003248A6"/>
    <w:rsid w:val="0033089C"/>
    <w:rsid w:val="0033169F"/>
    <w:rsid w:val="00340C97"/>
    <w:rsid w:val="00344977"/>
    <w:rsid w:val="00345068"/>
    <w:rsid w:val="00346C95"/>
    <w:rsid w:val="00356185"/>
    <w:rsid w:val="00357C27"/>
    <w:rsid w:val="00360380"/>
    <w:rsid w:val="00360B4F"/>
    <w:rsid w:val="003619A9"/>
    <w:rsid w:val="00370E8D"/>
    <w:rsid w:val="003737CB"/>
    <w:rsid w:val="0037519E"/>
    <w:rsid w:val="003800FA"/>
    <w:rsid w:val="00386CF0"/>
    <w:rsid w:val="0039230C"/>
    <w:rsid w:val="0039490F"/>
    <w:rsid w:val="003A49CB"/>
    <w:rsid w:val="003B0681"/>
    <w:rsid w:val="003B70FB"/>
    <w:rsid w:val="003C1C30"/>
    <w:rsid w:val="003C676B"/>
    <w:rsid w:val="003D0E41"/>
    <w:rsid w:val="003D3BC2"/>
    <w:rsid w:val="003D506D"/>
    <w:rsid w:val="003D55A4"/>
    <w:rsid w:val="003E2BF1"/>
    <w:rsid w:val="003E6CA1"/>
    <w:rsid w:val="003F2307"/>
    <w:rsid w:val="003F29D1"/>
    <w:rsid w:val="003F5841"/>
    <w:rsid w:val="00404284"/>
    <w:rsid w:val="00411EF0"/>
    <w:rsid w:val="00412AD7"/>
    <w:rsid w:val="0041444C"/>
    <w:rsid w:val="00415D40"/>
    <w:rsid w:val="004165C2"/>
    <w:rsid w:val="00431204"/>
    <w:rsid w:val="00434C23"/>
    <w:rsid w:val="00435271"/>
    <w:rsid w:val="00441ECB"/>
    <w:rsid w:val="00445193"/>
    <w:rsid w:val="004545B3"/>
    <w:rsid w:val="00462C1B"/>
    <w:rsid w:val="004641BF"/>
    <w:rsid w:val="00467B7E"/>
    <w:rsid w:val="00473BB4"/>
    <w:rsid w:val="00477592"/>
    <w:rsid w:val="004834B5"/>
    <w:rsid w:val="00486F1C"/>
    <w:rsid w:val="0049419D"/>
    <w:rsid w:val="00494DE4"/>
    <w:rsid w:val="0049564A"/>
    <w:rsid w:val="004A15EC"/>
    <w:rsid w:val="004A3C10"/>
    <w:rsid w:val="004A4146"/>
    <w:rsid w:val="004A53F6"/>
    <w:rsid w:val="004A5888"/>
    <w:rsid w:val="004B0851"/>
    <w:rsid w:val="004B1571"/>
    <w:rsid w:val="004B374B"/>
    <w:rsid w:val="004C20D2"/>
    <w:rsid w:val="004C2312"/>
    <w:rsid w:val="004C2ACD"/>
    <w:rsid w:val="004C4B62"/>
    <w:rsid w:val="004C54C9"/>
    <w:rsid w:val="004C6731"/>
    <w:rsid w:val="004D2B76"/>
    <w:rsid w:val="004D4ABA"/>
    <w:rsid w:val="004D6025"/>
    <w:rsid w:val="004E1A09"/>
    <w:rsid w:val="004E2649"/>
    <w:rsid w:val="004E387B"/>
    <w:rsid w:val="004E51A9"/>
    <w:rsid w:val="004F2A2C"/>
    <w:rsid w:val="004F439F"/>
    <w:rsid w:val="004F6E1D"/>
    <w:rsid w:val="004F6EB4"/>
    <w:rsid w:val="0050055F"/>
    <w:rsid w:val="00501399"/>
    <w:rsid w:val="00503490"/>
    <w:rsid w:val="00504F27"/>
    <w:rsid w:val="00505EE8"/>
    <w:rsid w:val="0050633D"/>
    <w:rsid w:val="00507BC4"/>
    <w:rsid w:val="00510CF1"/>
    <w:rsid w:val="00511A71"/>
    <w:rsid w:val="005128E4"/>
    <w:rsid w:val="00512C89"/>
    <w:rsid w:val="005133DB"/>
    <w:rsid w:val="0052420B"/>
    <w:rsid w:val="00525560"/>
    <w:rsid w:val="00525E33"/>
    <w:rsid w:val="00526E48"/>
    <w:rsid w:val="00540848"/>
    <w:rsid w:val="00544C49"/>
    <w:rsid w:val="005516A1"/>
    <w:rsid w:val="00563557"/>
    <w:rsid w:val="00564F60"/>
    <w:rsid w:val="0056740E"/>
    <w:rsid w:val="0057402A"/>
    <w:rsid w:val="005770AD"/>
    <w:rsid w:val="005771D0"/>
    <w:rsid w:val="005902D3"/>
    <w:rsid w:val="0059191A"/>
    <w:rsid w:val="005921FF"/>
    <w:rsid w:val="005A24ED"/>
    <w:rsid w:val="005A3D48"/>
    <w:rsid w:val="005A6D0E"/>
    <w:rsid w:val="005B0045"/>
    <w:rsid w:val="005B0C23"/>
    <w:rsid w:val="005B20C3"/>
    <w:rsid w:val="005B2707"/>
    <w:rsid w:val="005B52B0"/>
    <w:rsid w:val="005B6806"/>
    <w:rsid w:val="005B6838"/>
    <w:rsid w:val="005C4225"/>
    <w:rsid w:val="005C5457"/>
    <w:rsid w:val="005D09D3"/>
    <w:rsid w:val="005D686D"/>
    <w:rsid w:val="005E2E02"/>
    <w:rsid w:val="005E3588"/>
    <w:rsid w:val="005F0DAD"/>
    <w:rsid w:val="005F0F33"/>
    <w:rsid w:val="005F5901"/>
    <w:rsid w:val="005F6147"/>
    <w:rsid w:val="005F7695"/>
    <w:rsid w:val="00600DEB"/>
    <w:rsid w:val="006013EF"/>
    <w:rsid w:val="00601A6B"/>
    <w:rsid w:val="00610B15"/>
    <w:rsid w:val="00611E28"/>
    <w:rsid w:val="00627C9F"/>
    <w:rsid w:val="006311E9"/>
    <w:rsid w:val="00632354"/>
    <w:rsid w:val="00633034"/>
    <w:rsid w:val="00637DC4"/>
    <w:rsid w:val="00637F39"/>
    <w:rsid w:val="00642810"/>
    <w:rsid w:val="00652333"/>
    <w:rsid w:val="00653BB0"/>
    <w:rsid w:val="006554F6"/>
    <w:rsid w:val="006616A1"/>
    <w:rsid w:val="00671FFE"/>
    <w:rsid w:val="0068009E"/>
    <w:rsid w:val="00691560"/>
    <w:rsid w:val="006919BD"/>
    <w:rsid w:val="00692219"/>
    <w:rsid w:val="006924A9"/>
    <w:rsid w:val="006A0CA0"/>
    <w:rsid w:val="006A17D2"/>
    <w:rsid w:val="006A6A92"/>
    <w:rsid w:val="006A73E6"/>
    <w:rsid w:val="006A7CF8"/>
    <w:rsid w:val="006B2D5C"/>
    <w:rsid w:val="006C1D47"/>
    <w:rsid w:val="006C4EB1"/>
    <w:rsid w:val="006C685C"/>
    <w:rsid w:val="006C7BFD"/>
    <w:rsid w:val="006D1E57"/>
    <w:rsid w:val="006E0166"/>
    <w:rsid w:val="006E5C49"/>
    <w:rsid w:val="006E7B34"/>
    <w:rsid w:val="006F0823"/>
    <w:rsid w:val="006F0958"/>
    <w:rsid w:val="006F6DCC"/>
    <w:rsid w:val="0070697F"/>
    <w:rsid w:val="00716A9C"/>
    <w:rsid w:val="0072199C"/>
    <w:rsid w:val="0072201C"/>
    <w:rsid w:val="00722C9F"/>
    <w:rsid w:val="007253B8"/>
    <w:rsid w:val="00732050"/>
    <w:rsid w:val="00733275"/>
    <w:rsid w:val="0073741F"/>
    <w:rsid w:val="00754796"/>
    <w:rsid w:val="00764A99"/>
    <w:rsid w:val="0076643F"/>
    <w:rsid w:val="00767501"/>
    <w:rsid w:val="00767D77"/>
    <w:rsid w:val="00774343"/>
    <w:rsid w:val="00777F63"/>
    <w:rsid w:val="00780FDE"/>
    <w:rsid w:val="0078330C"/>
    <w:rsid w:val="00786391"/>
    <w:rsid w:val="007968FE"/>
    <w:rsid w:val="007A5817"/>
    <w:rsid w:val="007A6F47"/>
    <w:rsid w:val="007B05C4"/>
    <w:rsid w:val="007B53E0"/>
    <w:rsid w:val="007B5834"/>
    <w:rsid w:val="007B60E9"/>
    <w:rsid w:val="007B6CC3"/>
    <w:rsid w:val="007C3334"/>
    <w:rsid w:val="007D1B29"/>
    <w:rsid w:val="007D2B98"/>
    <w:rsid w:val="007E079C"/>
    <w:rsid w:val="007E1740"/>
    <w:rsid w:val="007E203D"/>
    <w:rsid w:val="007E21BC"/>
    <w:rsid w:val="007E326D"/>
    <w:rsid w:val="00803F1C"/>
    <w:rsid w:val="0080600E"/>
    <w:rsid w:val="00817612"/>
    <w:rsid w:val="0082084B"/>
    <w:rsid w:val="00824C6A"/>
    <w:rsid w:val="008304FC"/>
    <w:rsid w:val="00831969"/>
    <w:rsid w:val="008338A4"/>
    <w:rsid w:val="0083460D"/>
    <w:rsid w:val="008352BD"/>
    <w:rsid w:val="00837C45"/>
    <w:rsid w:val="00844730"/>
    <w:rsid w:val="008457C2"/>
    <w:rsid w:val="00845880"/>
    <w:rsid w:val="00845B58"/>
    <w:rsid w:val="0085219C"/>
    <w:rsid w:val="00853200"/>
    <w:rsid w:val="00857A82"/>
    <w:rsid w:val="008611D0"/>
    <w:rsid w:val="00862430"/>
    <w:rsid w:val="0086533F"/>
    <w:rsid w:val="00873836"/>
    <w:rsid w:val="00875B00"/>
    <w:rsid w:val="0087710F"/>
    <w:rsid w:val="00881A25"/>
    <w:rsid w:val="00883458"/>
    <w:rsid w:val="00885737"/>
    <w:rsid w:val="00890650"/>
    <w:rsid w:val="00897E12"/>
    <w:rsid w:val="008A7172"/>
    <w:rsid w:val="008A7E0F"/>
    <w:rsid w:val="008B0745"/>
    <w:rsid w:val="008B12F5"/>
    <w:rsid w:val="008D6162"/>
    <w:rsid w:val="008D768D"/>
    <w:rsid w:val="008E3759"/>
    <w:rsid w:val="008E3BFE"/>
    <w:rsid w:val="008E71B5"/>
    <w:rsid w:val="008F012F"/>
    <w:rsid w:val="008F1912"/>
    <w:rsid w:val="008F3714"/>
    <w:rsid w:val="008F4102"/>
    <w:rsid w:val="0090270B"/>
    <w:rsid w:val="00903B3E"/>
    <w:rsid w:val="009041DC"/>
    <w:rsid w:val="00912D62"/>
    <w:rsid w:val="00912F8E"/>
    <w:rsid w:val="009148CF"/>
    <w:rsid w:val="00917B5A"/>
    <w:rsid w:val="00920A58"/>
    <w:rsid w:val="00920A8C"/>
    <w:rsid w:val="00926BB1"/>
    <w:rsid w:val="00934A2C"/>
    <w:rsid w:val="0093511A"/>
    <w:rsid w:val="00936914"/>
    <w:rsid w:val="00943C43"/>
    <w:rsid w:val="00955FDB"/>
    <w:rsid w:val="00956309"/>
    <w:rsid w:val="009622EC"/>
    <w:rsid w:val="0096458D"/>
    <w:rsid w:val="0096706E"/>
    <w:rsid w:val="0097291C"/>
    <w:rsid w:val="00974491"/>
    <w:rsid w:val="00975C4E"/>
    <w:rsid w:val="00981FBA"/>
    <w:rsid w:val="00984364"/>
    <w:rsid w:val="0098565C"/>
    <w:rsid w:val="009926A7"/>
    <w:rsid w:val="00997BC5"/>
    <w:rsid w:val="009A4349"/>
    <w:rsid w:val="009A4ADC"/>
    <w:rsid w:val="009A4F41"/>
    <w:rsid w:val="009B15C2"/>
    <w:rsid w:val="009B381B"/>
    <w:rsid w:val="009B5D6E"/>
    <w:rsid w:val="009C15F2"/>
    <w:rsid w:val="009C1C20"/>
    <w:rsid w:val="009C2800"/>
    <w:rsid w:val="009C3B24"/>
    <w:rsid w:val="009D153D"/>
    <w:rsid w:val="009D1753"/>
    <w:rsid w:val="009D2BE3"/>
    <w:rsid w:val="009D6E12"/>
    <w:rsid w:val="009D6EAE"/>
    <w:rsid w:val="009D7611"/>
    <w:rsid w:val="009E0734"/>
    <w:rsid w:val="009E0B61"/>
    <w:rsid w:val="009E4795"/>
    <w:rsid w:val="009E53DE"/>
    <w:rsid w:val="009F3776"/>
    <w:rsid w:val="009F628F"/>
    <w:rsid w:val="009F7837"/>
    <w:rsid w:val="00A01825"/>
    <w:rsid w:val="00A04E8E"/>
    <w:rsid w:val="00A11E44"/>
    <w:rsid w:val="00A328B3"/>
    <w:rsid w:val="00A34BE5"/>
    <w:rsid w:val="00A34E86"/>
    <w:rsid w:val="00A36C85"/>
    <w:rsid w:val="00A37A2A"/>
    <w:rsid w:val="00A421D4"/>
    <w:rsid w:val="00A42736"/>
    <w:rsid w:val="00A50FCF"/>
    <w:rsid w:val="00A51994"/>
    <w:rsid w:val="00A528D1"/>
    <w:rsid w:val="00A55EA1"/>
    <w:rsid w:val="00A610CD"/>
    <w:rsid w:val="00A632FE"/>
    <w:rsid w:val="00A758AA"/>
    <w:rsid w:val="00A94465"/>
    <w:rsid w:val="00A95335"/>
    <w:rsid w:val="00AA09A2"/>
    <w:rsid w:val="00AA0C6A"/>
    <w:rsid w:val="00AA0D52"/>
    <w:rsid w:val="00AA2373"/>
    <w:rsid w:val="00AA7996"/>
    <w:rsid w:val="00AC19CB"/>
    <w:rsid w:val="00AC3965"/>
    <w:rsid w:val="00AC3EE6"/>
    <w:rsid w:val="00AC522D"/>
    <w:rsid w:val="00AC57FE"/>
    <w:rsid w:val="00AD3DB7"/>
    <w:rsid w:val="00AE5488"/>
    <w:rsid w:val="00AE6F91"/>
    <w:rsid w:val="00AF5571"/>
    <w:rsid w:val="00B01258"/>
    <w:rsid w:val="00B07341"/>
    <w:rsid w:val="00B119C9"/>
    <w:rsid w:val="00B21E71"/>
    <w:rsid w:val="00B22465"/>
    <w:rsid w:val="00B22FB5"/>
    <w:rsid w:val="00B30539"/>
    <w:rsid w:val="00B314DB"/>
    <w:rsid w:val="00B35724"/>
    <w:rsid w:val="00B35E6F"/>
    <w:rsid w:val="00B361F2"/>
    <w:rsid w:val="00B3718B"/>
    <w:rsid w:val="00B373B7"/>
    <w:rsid w:val="00B429C6"/>
    <w:rsid w:val="00B456BC"/>
    <w:rsid w:val="00B4632A"/>
    <w:rsid w:val="00B530F1"/>
    <w:rsid w:val="00B53331"/>
    <w:rsid w:val="00B53E72"/>
    <w:rsid w:val="00B54520"/>
    <w:rsid w:val="00B64151"/>
    <w:rsid w:val="00B71D7C"/>
    <w:rsid w:val="00B83FE5"/>
    <w:rsid w:val="00B854D9"/>
    <w:rsid w:val="00B863FF"/>
    <w:rsid w:val="00B92168"/>
    <w:rsid w:val="00BA1A4D"/>
    <w:rsid w:val="00BA276C"/>
    <w:rsid w:val="00BA46D0"/>
    <w:rsid w:val="00BB306F"/>
    <w:rsid w:val="00BB6304"/>
    <w:rsid w:val="00BD0ACB"/>
    <w:rsid w:val="00BD4B89"/>
    <w:rsid w:val="00BD5922"/>
    <w:rsid w:val="00BE184D"/>
    <w:rsid w:val="00BF02CB"/>
    <w:rsid w:val="00BF35AA"/>
    <w:rsid w:val="00BF4345"/>
    <w:rsid w:val="00BF6ABD"/>
    <w:rsid w:val="00BF6FD8"/>
    <w:rsid w:val="00C01213"/>
    <w:rsid w:val="00C03680"/>
    <w:rsid w:val="00C054DF"/>
    <w:rsid w:val="00C143D6"/>
    <w:rsid w:val="00C15792"/>
    <w:rsid w:val="00C15BB1"/>
    <w:rsid w:val="00C21762"/>
    <w:rsid w:val="00C21FEF"/>
    <w:rsid w:val="00C24543"/>
    <w:rsid w:val="00C256A2"/>
    <w:rsid w:val="00C32F88"/>
    <w:rsid w:val="00C35BB1"/>
    <w:rsid w:val="00C3750C"/>
    <w:rsid w:val="00C3773B"/>
    <w:rsid w:val="00C41BA0"/>
    <w:rsid w:val="00C45A16"/>
    <w:rsid w:val="00C47AF9"/>
    <w:rsid w:val="00C500F7"/>
    <w:rsid w:val="00C51515"/>
    <w:rsid w:val="00C56203"/>
    <w:rsid w:val="00C5660B"/>
    <w:rsid w:val="00C66B72"/>
    <w:rsid w:val="00C70193"/>
    <w:rsid w:val="00C71263"/>
    <w:rsid w:val="00C80760"/>
    <w:rsid w:val="00C87AC4"/>
    <w:rsid w:val="00C92210"/>
    <w:rsid w:val="00C950C5"/>
    <w:rsid w:val="00C9567A"/>
    <w:rsid w:val="00C95A84"/>
    <w:rsid w:val="00CA745C"/>
    <w:rsid w:val="00CA79CA"/>
    <w:rsid w:val="00CB212D"/>
    <w:rsid w:val="00CB2660"/>
    <w:rsid w:val="00CC2430"/>
    <w:rsid w:val="00CC2D2B"/>
    <w:rsid w:val="00CC2D4E"/>
    <w:rsid w:val="00CC5E90"/>
    <w:rsid w:val="00CD046C"/>
    <w:rsid w:val="00CD06D8"/>
    <w:rsid w:val="00CD2350"/>
    <w:rsid w:val="00CE076C"/>
    <w:rsid w:val="00CE0D46"/>
    <w:rsid w:val="00CE426D"/>
    <w:rsid w:val="00CE499E"/>
    <w:rsid w:val="00CE5199"/>
    <w:rsid w:val="00CE5E06"/>
    <w:rsid w:val="00CE66D5"/>
    <w:rsid w:val="00CE6BED"/>
    <w:rsid w:val="00CF2D72"/>
    <w:rsid w:val="00CF4244"/>
    <w:rsid w:val="00CF55EE"/>
    <w:rsid w:val="00CF637A"/>
    <w:rsid w:val="00CF7603"/>
    <w:rsid w:val="00CF7E5A"/>
    <w:rsid w:val="00D059DE"/>
    <w:rsid w:val="00D05ABD"/>
    <w:rsid w:val="00D100A6"/>
    <w:rsid w:val="00D109A5"/>
    <w:rsid w:val="00D13F61"/>
    <w:rsid w:val="00D13FCE"/>
    <w:rsid w:val="00D15BC3"/>
    <w:rsid w:val="00D16DAE"/>
    <w:rsid w:val="00D26329"/>
    <w:rsid w:val="00D306D1"/>
    <w:rsid w:val="00D30800"/>
    <w:rsid w:val="00D32D25"/>
    <w:rsid w:val="00D34786"/>
    <w:rsid w:val="00D35EA0"/>
    <w:rsid w:val="00D37BFC"/>
    <w:rsid w:val="00D4011E"/>
    <w:rsid w:val="00D4167A"/>
    <w:rsid w:val="00D4441E"/>
    <w:rsid w:val="00D46FD5"/>
    <w:rsid w:val="00D47A8E"/>
    <w:rsid w:val="00D52D14"/>
    <w:rsid w:val="00D712D3"/>
    <w:rsid w:val="00D71422"/>
    <w:rsid w:val="00D72DC6"/>
    <w:rsid w:val="00D7558D"/>
    <w:rsid w:val="00D81D92"/>
    <w:rsid w:val="00D8360D"/>
    <w:rsid w:val="00D865E6"/>
    <w:rsid w:val="00D87CF0"/>
    <w:rsid w:val="00D921DF"/>
    <w:rsid w:val="00D93FFC"/>
    <w:rsid w:val="00DA0DCC"/>
    <w:rsid w:val="00DA18C6"/>
    <w:rsid w:val="00DA485B"/>
    <w:rsid w:val="00DA68C0"/>
    <w:rsid w:val="00DA7B5F"/>
    <w:rsid w:val="00DB51EC"/>
    <w:rsid w:val="00DB69B4"/>
    <w:rsid w:val="00DC099E"/>
    <w:rsid w:val="00DC0CFB"/>
    <w:rsid w:val="00DC11E7"/>
    <w:rsid w:val="00DC7023"/>
    <w:rsid w:val="00DC769A"/>
    <w:rsid w:val="00DD0028"/>
    <w:rsid w:val="00DD11B8"/>
    <w:rsid w:val="00DD18C5"/>
    <w:rsid w:val="00DD3D86"/>
    <w:rsid w:val="00DE60FF"/>
    <w:rsid w:val="00DE7A71"/>
    <w:rsid w:val="00DF1EC4"/>
    <w:rsid w:val="00DF314F"/>
    <w:rsid w:val="00DF3C05"/>
    <w:rsid w:val="00DF5BEF"/>
    <w:rsid w:val="00DF7D23"/>
    <w:rsid w:val="00E0340B"/>
    <w:rsid w:val="00E0426F"/>
    <w:rsid w:val="00E04A90"/>
    <w:rsid w:val="00E0551F"/>
    <w:rsid w:val="00E06A45"/>
    <w:rsid w:val="00E10412"/>
    <w:rsid w:val="00E132A4"/>
    <w:rsid w:val="00E1378E"/>
    <w:rsid w:val="00E15F69"/>
    <w:rsid w:val="00E219C7"/>
    <w:rsid w:val="00E22D4D"/>
    <w:rsid w:val="00E25232"/>
    <w:rsid w:val="00E34289"/>
    <w:rsid w:val="00E4118C"/>
    <w:rsid w:val="00E43157"/>
    <w:rsid w:val="00E461CE"/>
    <w:rsid w:val="00E57D36"/>
    <w:rsid w:val="00E720CA"/>
    <w:rsid w:val="00E75191"/>
    <w:rsid w:val="00E84EB5"/>
    <w:rsid w:val="00E854BB"/>
    <w:rsid w:val="00E85531"/>
    <w:rsid w:val="00E85662"/>
    <w:rsid w:val="00E8789F"/>
    <w:rsid w:val="00E935FE"/>
    <w:rsid w:val="00E9591D"/>
    <w:rsid w:val="00E95B0E"/>
    <w:rsid w:val="00E97B71"/>
    <w:rsid w:val="00EA1DEE"/>
    <w:rsid w:val="00EA3D34"/>
    <w:rsid w:val="00EB01A1"/>
    <w:rsid w:val="00EB0661"/>
    <w:rsid w:val="00EB43A7"/>
    <w:rsid w:val="00EB454D"/>
    <w:rsid w:val="00EB59F6"/>
    <w:rsid w:val="00EB6658"/>
    <w:rsid w:val="00EC00B0"/>
    <w:rsid w:val="00EC0586"/>
    <w:rsid w:val="00EC2A01"/>
    <w:rsid w:val="00EC4DBF"/>
    <w:rsid w:val="00EC790A"/>
    <w:rsid w:val="00ED0326"/>
    <w:rsid w:val="00ED2D17"/>
    <w:rsid w:val="00ED549D"/>
    <w:rsid w:val="00ED76BE"/>
    <w:rsid w:val="00EE00AF"/>
    <w:rsid w:val="00EE00E9"/>
    <w:rsid w:val="00EE1BCC"/>
    <w:rsid w:val="00EE2438"/>
    <w:rsid w:val="00EE47C0"/>
    <w:rsid w:val="00EF07E3"/>
    <w:rsid w:val="00EF619B"/>
    <w:rsid w:val="00F00B55"/>
    <w:rsid w:val="00F02AD1"/>
    <w:rsid w:val="00F071C9"/>
    <w:rsid w:val="00F07E10"/>
    <w:rsid w:val="00F17A87"/>
    <w:rsid w:val="00F2376E"/>
    <w:rsid w:val="00F253CC"/>
    <w:rsid w:val="00F35CBB"/>
    <w:rsid w:val="00F37106"/>
    <w:rsid w:val="00F37CD6"/>
    <w:rsid w:val="00F419B0"/>
    <w:rsid w:val="00F42412"/>
    <w:rsid w:val="00F44626"/>
    <w:rsid w:val="00F519CF"/>
    <w:rsid w:val="00F56BA5"/>
    <w:rsid w:val="00F57635"/>
    <w:rsid w:val="00F60BC6"/>
    <w:rsid w:val="00F60E22"/>
    <w:rsid w:val="00F7706F"/>
    <w:rsid w:val="00F81395"/>
    <w:rsid w:val="00F81BB8"/>
    <w:rsid w:val="00F82690"/>
    <w:rsid w:val="00F917D1"/>
    <w:rsid w:val="00F92A35"/>
    <w:rsid w:val="00F9653B"/>
    <w:rsid w:val="00FA22D2"/>
    <w:rsid w:val="00FB2DFB"/>
    <w:rsid w:val="00FB5355"/>
    <w:rsid w:val="00FB62CF"/>
    <w:rsid w:val="00FB7812"/>
    <w:rsid w:val="00FC2DBD"/>
    <w:rsid w:val="00FC3806"/>
    <w:rsid w:val="00FC4018"/>
    <w:rsid w:val="00FC4CE1"/>
    <w:rsid w:val="00FC6617"/>
    <w:rsid w:val="00FC78DF"/>
    <w:rsid w:val="00FC7DD3"/>
    <w:rsid w:val="00FD01C6"/>
    <w:rsid w:val="00FD17E5"/>
    <w:rsid w:val="00FD3C3B"/>
    <w:rsid w:val="00FD68C6"/>
    <w:rsid w:val="00FE07DD"/>
    <w:rsid w:val="00FE68AB"/>
    <w:rsid w:val="00FE6B45"/>
    <w:rsid w:val="00FF16D7"/>
    <w:rsid w:val="00FF1F65"/>
    <w:rsid w:val="00FF1F9D"/>
    <w:rsid w:val="00FF55F3"/>
    <w:rsid w:val="00FF5851"/>
    <w:rsid w:val="00FF5B9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2050"/>
    <w:rPr>
      <w:sz w:val="16"/>
      <w:szCs w:val="16"/>
    </w:rPr>
  </w:style>
  <w:style w:type="paragraph" w:styleId="CommentText">
    <w:name w:val="annotation text"/>
    <w:basedOn w:val="Normal"/>
    <w:link w:val="CommentTextChar"/>
    <w:uiPriority w:val="99"/>
    <w:semiHidden/>
    <w:unhideWhenUsed/>
    <w:rsid w:val="00732050"/>
    <w:rPr>
      <w:sz w:val="20"/>
      <w:szCs w:val="20"/>
    </w:rPr>
  </w:style>
  <w:style w:type="character" w:customStyle="1" w:styleId="CommentTextChar">
    <w:name w:val="Comment Text Char"/>
    <w:basedOn w:val="DefaultParagraphFont"/>
    <w:link w:val="CommentText"/>
    <w:uiPriority w:val="99"/>
    <w:semiHidden/>
    <w:rsid w:val="00732050"/>
    <w:rPr>
      <w:lang w:val="en-US" w:eastAsia="en-US"/>
    </w:rPr>
  </w:style>
  <w:style w:type="paragraph" w:styleId="CommentSubject">
    <w:name w:val="annotation subject"/>
    <w:basedOn w:val="CommentText"/>
    <w:next w:val="CommentText"/>
    <w:link w:val="CommentSubjectChar"/>
    <w:uiPriority w:val="99"/>
    <w:semiHidden/>
    <w:unhideWhenUsed/>
    <w:rsid w:val="00732050"/>
    <w:rPr>
      <w:b/>
      <w:bCs/>
    </w:rPr>
  </w:style>
  <w:style w:type="character" w:customStyle="1" w:styleId="CommentSubjectChar">
    <w:name w:val="Comment Subject Char"/>
    <w:basedOn w:val="CommentTextChar"/>
    <w:link w:val="CommentSubject"/>
    <w:uiPriority w:val="99"/>
    <w:semiHidden/>
    <w:rsid w:val="00732050"/>
    <w:rPr>
      <w:b/>
      <w:bCs/>
      <w:lang w:val="en-US" w:eastAsia="en-US"/>
    </w:rPr>
  </w:style>
  <w:style w:type="character" w:styleId="PlaceholderText">
    <w:name w:val="Placeholder Text"/>
    <w:basedOn w:val="DefaultParagraphFont"/>
    <w:uiPriority w:val="99"/>
    <w:semiHidden/>
    <w:rsid w:val="00A34E86"/>
    <w:rPr>
      <w:color w:val="808080"/>
    </w:rPr>
  </w:style>
  <w:style w:type="paragraph" w:styleId="HTMLPreformatted">
    <w:name w:val="HTML Preformatted"/>
    <w:basedOn w:val="Normal"/>
    <w:link w:val="HTMLPreformattedChar"/>
    <w:uiPriority w:val="99"/>
    <w:unhideWhenUsed/>
    <w:rsid w:val="00D100A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D100A6"/>
    <w:rPr>
      <w:rFonts w:ascii="Courier New" w:hAnsi="Courier New" w:cs="Courier New"/>
      <w:bdr w:val="none" w:sz="0" w:space="0" w:color="auto"/>
      <w:lang w:val="en-US" w:eastAsia="en-US"/>
    </w:rPr>
  </w:style>
  <w:style w:type="paragraph" w:styleId="Revision">
    <w:name w:val="Revision"/>
    <w:hidden/>
    <w:uiPriority w:val="99"/>
    <w:semiHidden/>
    <w:rsid w:val="001B711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2050"/>
    <w:rPr>
      <w:sz w:val="16"/>
      <w:szCs w:val="16"/>
    </w:rPr>
  </w:style>
  <w:style w:type="paragraph" w:styleId="CommentText">
    <w:name w:val="annotation text"/>
    <w:basedOn w:val="Normal"/>
    <w:link w:val="CommentTextChar"/>
    <w:uiPriority w:val="99"/>
    <w:semiHidden/>
    <w:unhideWhenUsed/>
    <w:rsid w:val="00732050"/>
    <w:rPr>
      <w:sz w:val="20"/>
      <w:szCs w:val="20"/>
    </w:rPr>
  </w:style>
  <w:style w:type="character" w:customStyle="1" w:styleId="CommentTextChar">
    <w:name w:val="Comment Text Char"/>
    <w:basedOn w:val="DefaultParagraphFont"/>
    <w:link w:val="CommentText"/>
    <w:uiPriority w:val="99"/>
    <w:semiHidden/>
    <w:rsid w:val="00732050"/>
    <w:rPr>
      <w:lang w:val="en-US" w:eastAsia="en-US"/>
    </w:rPr>
  </w:style>
  <w:style w:type="paragraph" w:styleId="CommentSubject">
    <w:name w:val="annotation subject"/>
    <w:basedOn w:val="CommentText"/>
    <w:next w:val="CommentText"/>
    <w:link w:val="CommentSubjectChar"/>
    <w:uiPriority w:val="99"/>
    <w:semiHidden/>
    <w:unhideWhenUsed/>
    <w:rsid w:val="00732050"/>
    <w:rPr>
      <w:b/>
      <w:bCs/>
    </w:rPr>
  </w:style>
  <w:style w:type="character" w:customStyle="1" w:styleId="CommentSubjectChar">
    <w:name w:val="Comment Subject Char"/>
    <w:basedOn w:val="CommentTextChar"/>
    <w:link w:val="CommentSubject"/>
    <w:uiPriority w:val="99"/>
    <w:semiHidden/>
    <w:rsid w:val="00732050"/>
    <w:rPr>
      <w:b/>
      <w:bCs/>
      <w:lang w:val="en-US" w:eastAsia="en-US"/>
    </w:rPr>
  </w:style>
  <w:style w:type="character" w:styleId="PlaceholderText">
    <w:name w:val="Placeholder Text"/>
    <w:basedOn w:val="DefaultParagraphFont"/>
    <w:uiPriority w:val="99"/>
    <w:semiHidden/>
    <w:rsid w:val="00A34E86"/>
    <w:rPr>
      <w:color w:val="808080"/>
    </w:rPr>
  </w:style>
  <w:style w:type="paragraph" w:styleId="HTMLPreformatted">
    <w:name w:val="HTML Preformatted"/>
    <w:basedOn w:val="Normal"/>
    <w:link w:val="HTMLPreformattedChar"/>
    <w:uiPriority w:val="99"/>
    <w:unhideWhenUsed/>
    <w:rsid w:val="00D100A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D100A6"/>
    <w:rPr>
      <w:rFonts w:ascii="Courier New" w:hAnsi="Courier New" w:cs="Courier New"/>
      <w:bdr w:val="none" w:sz="0" w:space="0" w:color="auto"/>
      <w:lang w:val="en-US" w:eastAsia="en-US"/>
    </w:rPr>
  </w:style>
  <w:style w:type="paragraph" w:styleId="Revision">
    <w:name w:val="Revision"/>
    <w:hidden/>
    <w:uiPriority w:val="99"/>
    <w:semiHidden/>
    <w:rsid w:val="001B711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5060">
      <w:bodyDiv w:val="1"/>
      <w:marLeft w:val="0"/>
      <w:marRight w:val="0"/>
      <w:marTop w:val="0"/>
      <w:marBottom w:val="0"/>
      <w:divBdr>
        <w:top w:val="none" w:sz="0" w:space="0" w:color="auto"/>
        <w:left w:val="none" w:sz="0" w:space="0" w:color="auto"/>
        <w:bottom w:val="none" w:sz="0" w:space="0" w:color="auto"/>
        <w:right w:val="none" w:sz="0" w:space="0" w:color="auto"/>
      </w:divBdr>
    </w:div>
    <w:div w:id="259144889">
      <w:bodyDiv w:val="1"/>
      <w:marLeft w:val="0"/>
      <w:marRight w:val="0"/>
      <w:marTop w:val="0"/>
      <w:marBottom w:val="0"/>
      <w:divBdr>
        <w:top w:val="none" w:sz="0" w:space="0" w:color="auto"/>
        <w:left w:val="none" w:sz="0" w:space="0" w:color="auto"/>
        <w:bottom w:val="none" w:sz="0" w:space="0" w:color="auto"/>
        <w:right w:val="none" w:sz="0" w:space="0" w:color="auto"/>
      </w:divBdr>
    </w:div>
    <w:div w:id="824004975">
      <w:bodyDiv w:val="1"/>
      <w:marLeft w:val="0"/>
      <w:marRight w:val="0"/>
      <w:marTop w:val="0"/>
      <w:marBottom w:val="0"/>
      <w:divBdr>
        <w:top w:val="none" w:sz="0" w:space="0" w:color="auto"/>
        <w:left w:val="none" w:sz="0" w:space="0" w:color="auto"/>
        <w:bottom w:val="none" w:sz="0" w:space="0" w:color="auto"/>
        <w:right w:val="none" w:sz="0" w:space="0" w:color="auto"/>
      </w:divBdr>
    </w:div>
    <w:div w:id="843592926">
      <w:bodyDiv w:val="1"/>
      <w:marLeft w:val="0"/>
      <w:marRight w:val="0"/>
      <w:marTop w:val="0"/>
      <w:marBottom w:val="0"/>
      <w:divBdr>
        <w:top w:val="none" w:sz="0" w:space="0" w:color="auto"/>
        <w:left w:val="none" w:sz="0" w:space="0" w:color="auto"/>
        <w:bottom w:val="none" w:sz="0" w:space="0" w:color="auto"/>
        <w:right w:val="none" w:sz="0" w:space="0" w:color="auto"/>
      </w:divBdr>
    </w:div>
    <w:div w:id="918095351">
      <w:bodyDiv w:val="1"/>
      <w:marLeft w:val="0"/>
      <w:marRight w:val="0"/>
      <w:marTop w:val="0"/>
      <w:marBottom w:val="0"/>
      <w:divBdr>
        <w:top w:val="none" w:sz="0" w:space="0" w:color="auto"/>
        <w:left w:val="none" w:sz="0" w:space="0" w:color="auto"/>
        <w:bottom w:val="none" w:sz="0" w:space="0" w:color="auto"/>
        <w:right w:val="none" w:sz="0" w:space="0" w:color="auto"/>
      </w:divBdr>
    </w:div>
    <w:div w:id="937441958">
      <w:bodyDiv w:val="1"/>
      <w:marLeft w:val="0"/>
      <w:marRight w:val="0"/>
      <w:marTop w:val="0"/>
      <w:marBottom w:val="0"/>
      <w:divBdr>
        <w:top w:val="none" w:sz="0" w:space="0" w:color="auto"/>
        <w:left w:val="none" w:sz="0" w:space="0" w:color="auto"/>
        <w:bottom w:val="none" w:sz="0" w:space="0" w:color="auto"/>
        <w:right w:val="none" w:sz="0" w:space="0" w:color="auto"/>
      </w:divBdr>
    </w:div>
    <w:div w:id="970523543">
      <w:bodyDiv w:val="1"/>
      <w:marLeft w:val="0"/>
      <w:marRight w:val="0"/>
      <w:marTop w:val="0"/>
      <w:marBottom w:val="0"/>
      <w:divBdr>
        <w:top w:val="none" w:sz="0" w:space="0" w:color="auto"/>
        <w:left w:val="none" w:sz="0" w:space="0" w:color="auto"/>
        <w:bottom w:val="none" w:sz="0" w:space="0" w:color="auto"/>
        <w:right w:val="none" w:sz="0" w:space="0" w:color="auto"/>
      </w:divBdr>
    </w:div>
    <w:div w:id="1094011710">
      <w:bodyDiv w:val="1"/>
      <w:marLeft w:val="0"/>
      <w:marRight w:val="0"/>
      <w:marTop w:val="0"/>
      <w:marBottom w:val="0"/>
      <w:divBdr>
        <w:top w:val="none" w:sz="0" w:space="0" w:color="auto"/>
        <w:left w:val="none" w:sz="0" w:space="0" w:color="auto"/>
        <w:bottom w:val="none" w:sz="0" w:space="0" w:color="auto"/>
        <w:right w:val="none" w:sz="0" w:space="0" w:color="auto"/>
      </w:divBdr>
    </w:div>
    <w:div w:id="1546792984">
      <w:bodyDiv w:val="1"/>
      <w:marLeft w:val="0"/>
      <w:marRight w:val="0"/>
      <w:marTop w:val="0"/>
      <w:marBottom w:val="0"/>
      <w:divBdr>
        <w:top w:val="none" w:sz="0" w:space="0" w:color="auto"/>
        <w:left w:val="none" w:sz="0" w:space="0" w:color="auto"/>
        <w:bottom w:val="none" w:sz="0" w:space="0" w:color="auto"/>
        <w:right w:val="none" w:sz="0" w:space="0" w:color="auto"/>
      </w:divBdr>
    </w:div>
    <w:div w:id="1651907983">
      <w:bodyDiv w:val="1"/>
      <w:marLeft w:val="0"/>
      <w:marRight w:val="0"/>
      <w:marTop w:val="0"/>
      <w:marBottom w:val="0"/>
      <w:divBdr>
        <w:top w:val="none" w:sz="0" w:space="0" w:color="auto"/>
        <w:left w:val="none" w:sz="0" w:space="0" w:color="auto"/>
        <w:bottom w:val="none" w:sz="0" w:space="0" w:color="auto"/>
        <w:right w:val="none" w:sz="0" w:space="0" w:color="auto"/>
      </w:divBdr>
    </w:div>
    <w:div w:id="16945023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1614861">
      <w:bodyDiv w:val="1"/>
      <w:marLeft w:val="0"/>
      <w:marRight w:val="0"/>
      <w:marTop w:val="0"/>
      <w:marBottom w:val="0"/>
      <w:divBdr>
        <w:top w:val="none" w:sz="0" w:space="0" w:color="auto"/>
        <w:left w:val="none" w:sz="0" w:space="0" w:color="auto"/>
        <w:bottom w:val="none" w:sz="0" w:space="0" w:color="auto"/>
        <w:right w:val="none" w:sz="0" w:space="0" w:color="auto"/>
      </w:divBdr>
    </w:div>
    <w:div w:id="207639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A1494"/>
    <w:rsid w:val="000C474F"/>
    <w:rsid w:val="00116287"/>
    <w:rsid w:val="001579E9"/>
    <w:rsid w:val="001C4E1E"/>
    <w:rsid w:val="002108CD"/>
    <w:rsid w:val="002626BD"/>
    <w:rsid w:val="002B061F"/>
    <w:rsid w:val="002B48EE"/>
    <w:rsid w:val="0031280C"/>
    <w:rsid w:val="00394049"/>
    <w:rsid w:val="003B54B0"/>
    <w:rsid w:val="00415329"/>
    <w:rsid w:val="004B1075"/>
    <w:rsid w:val="004E5566"/>
    <w:rsid w:val="004F2DF8"/>
    <w:rsid w:val="00553265"/>
    <w:rsid w:val="005759BA"/>
    <w:rsid w:val="00610986"/>
    <w:rsid w:val="006134A4"/>
    <w:rsid w:val="006C22D2"/>
    <w:rsid w:val="008655E1"/>
    <w:rsid w:val="00871081"/>
    <w:rsid w:val="008B7853"/>
    <w:rsid w:val="009A261B"/>
    <w:rsid w:val="00A35B45"/>
    <w:rsid w:val="00AC15A4"/>
    <w:rsid w:val="00AC4304"/>
    <w:rsid w:val="00B0336C"/>
    <w:rsid w:val="00C762D7"/>
    <w:rsid w:val="00D04162"/>
    <w:rsid w:val="00D0774B"/>
    <w:rsid w:val="00DA2860"/>
    <w:rsid w:val="00DD52F4"/>
    <w:rsid w:val="00E0118B"/>
    <w:rsid w:val="00E44468"/>
    <w:rsid w:val="00EC28C4"/>
    <w:rsid w:val="00F00D2F"/>
    <w:rsid w:val="00F1456A"/>
    <w:rsid w:val="00F57B28"/>
    <w:rsid w:val="00F8280A"/>
    <w:rsid w:val="00FB0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8CD"/>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8CD"/>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27A7-7D60-4EF2-B3BB-5660F20A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2665</Words>
  <Characters>15195</Characters>
  <Application>Microsoft Office Word</Application>
  <DocSecurity>0</DocSecurity>
  <Lines>126</Lines>
  <Paragraphs>35</Paragraphs>
  <ScaleCrop>false</ScaleCrop>
  <Company/>
  <LinksUpToDate>false</LinksUpToDate>
  <CharactersWithSpaces>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1/18</dc:title>
  <dc:creator/>
  <cp:lastModifiedBy/>
  <cp:revision>1</cp:revision>
  <dcterms:created xsi:type="dcterms:W3CDTF">2018-04-24T14:58:00Z</dcterms:created>
  <dcterms:modified xsi:type="dcterms:W3CDTF">2018-04-24T14:58:00Z</dcterms:modified>
</cp:coreProperties>
</file>