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F8A2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006B74" w:rsidRDefault="00040C3A" w:rsidP="00040C3A">
      <w:pPr>
        <w:tabs>
          <w:tab w:val="center" w:pos="5400"/>
        </w:tabs>
        <w:suppressAutoHyphens/>
        <w:jc w:val="both"/>
        <w:rPr>
          <w:rFonts w:asciiTheme="majorHAnsi" w:hAnsiTheme="majorHAnsi"/>
          <w:sz w:val="22"/>
          <w:szCs w:val="22"/>
          <w:lang w:val="es-ES"/>
        </w:rPr>
      </w:pPr>
    </w:p>
    <w:p w:rsidR="00040C3A" w:rsidRPr="00006B74" w:rsidRDefault="00040C3A" w:rsidP="00040C3A">
      <w:pPr>
        <w:tabs>
          <w:tab w:val="center" w:pos="5400"/>
        </w:tabs>
        <w:suppressAutoHyphens/>
        <w:jc w:val="both"/>
        <w:rPr>
          <w:rFonts w:asciiTheme="majorHAnsi" w:hAnsiTheme="majorHAnsi"/>
          <w:sz w:val="22"/>
          <w:szCs w:val="22"/>
          <w:lang w:val="es-ES"/>
        </w:rPr>
      </w:pPr>
    </w:p>
    <w:p w:rsidR="005128E4" w:rsidRPr="00006B74" w:rsidRDefault="005128E4" w:rsidP="00040C3A">
      <w:pPr>
        <w:tabs>
          <w:tab w:val="center" w:pos="5400"/>
        </w:tabs>
        <w:suppressAutoHyphens/>
        <w:rPr>
          <w:rFonts w:asciiTheme="majorHAnsi" w:hAnsiTheme="majorHAnsi"/>
          <w:sz w:val="22"/>
          <w:szCs w:val="22"/>
          <w:lang w:val="es-ES"/>
        </w:rPr>
      </w:pPr>
    </w:p>
    <w:p w:rsidR="005128E4" w:rsidRPr="00006B74" w:rsidRDefault="005128E4" w:rsidP="00040C3A">
      <w:pPr>
        <w:tabs>
          <w:tab w:val="center" w:pos="5400"/>
        </w:tabs>
        <w:suppressAutoHyphens/>
        <w:rPr>
          <w:rFonts w:asciiTheme="majorHAnsi" w:hAnsiTheme="majorHAnsi"/>
          <w:sz w:val="22"/>
          <w:szCs w:val="22"/>
          <w:lang w:val="es-ES"/>
        </w:rPr>
      </w:pPr>
    </w:p>
    <w:p w:rsidR="005128E4" w:rsidRPr="00006B74" w:rsidRDefault="005128E4" w:rsidP="00040C3A">
      <w:pPr>
        <w:tabs>
          <w:tab w:val="center" w:pos="5400"/>
        </w:tabs>
        <w:suppressAutoHyphens/>
        <w:rPr>
          <w:rFonts w:asciiTheme="majorHAnsi" w:hAnsiTheme="majorHAnsi"/>
          <w:sz w:val="22"/>
          <w:szCs w:val="22"/>
          <w:lang w:val="es-ES"/>
        </w:rPr>
      </w:pPr>
    </w:p>
    <w:p w:rsidR="00040C3A" w:rsidRPr="00006B74" w:rsidRDefault="00040C3A" w:rsidP="005128E4">
      <w:pPr>
        <w:tabs>
          <w:tab w:val="center" w:pos="5400"/>
        </w:tabs>
        <w:suppressAutoHyphens/>
        <w:jc w:val="center"/>
        <w:rPr>
          <w:rFonts w:asciiTheme="majorHAnsi" w:hAnsiTheme="majorHAnsi"/>
          <w:sz w:val="22"/>
          <w:szCs w:val="22"/>
          <w:lang w:val="es-ES"/>
        </w:rPr>
      </w:pPr>
    </w:p>
    <w:p w:rsidR="00040C3A" w:rsidRPr="00006B74" w:rsidRDefault="00040C3A" w:rsidP="005128E4">
      <w:pPr>
        <w:tabs>
          <w:tab w:val="center" w:pos="5400"/>
        </w:tabs>
        <w:suppressAutoHyphens/>
        <w:jc w:val="center"/>
        <w:rPr>
          <w:rFonts w:asciiTheme="majorHAnsi" w:hAnsiTheme="majorHAnsi"/>
          <w:sz w:val="22"/>
          <w:szCs w:val="22"/>
          <w:lang w:val="es-ES"/>
        </w:rPr>
      </w:pPr>
    </w:p>
    <w:p w:rsidR="005B52B0" w:rsidRPr="00006B74" w:rsidRDefault="005B52B0" w:rsidP="005128E4">
      <w:pPr>
        <w:tabs>
          <w:tab w:val="center" w:pos="5400"/>
        </w:tabs>
        <w:suppressAutoHyphens/>
        <w:jc w:val="center"/>
        <w:rPr>
          <w:rFonts w:asciiTheme="majorHAnsi" w:hAnsiTheme="majorHAnsi"/>
          <w:sz w:val="22"/>
          <w:szCs w:val="22"/>
          <w:lang w:val="es-ES"/>
        </w:rPr>
      </w:pPr>
    </w:p>
    <w:p w:rsidR="005B52B0" w:rsidRPr="00006B74" w:rsidRDefault="005B52B0" w:rsidP="005128E4">
      <w:pPr>
        <w:tabs>
          <w:tab w:val="center" w:pos="5400"/>
        </w:tabs>
        <w:suppressAutoHyphens/>
        <w:jc w:val="center"/>
        <w:rPr>
          <w:rFonts w:asciiTheme="majorHAnsi" w:hAnsiTheme="majorHAnsi"/>
          <w:sz w:val="22"/>
          <w:szCs w:val="22"/>
          <w:lang w:val="es-ES"/>
        </w:rPr>
      </w:pPr>
    </w:p>
    <w:p w:rsidR="005B52B0" w:rsidRPr="00006B74" w:rsidRDefault="005B52B0" w:rsidP="005128E4">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647AC">
                              <w:rPr>
                                <w:rFonts w:asciiTheme="majorHAnsi" w:hAnsiTheme="majorHAnsi" w:cs="Arial"/>
                                <w:b/>
                                <w:bCs/>
                                <w:color w:val="0D0D0D" w:themeColor="text1" w:themeTint="F2"/>
                                <w:sz w:val="36"/>
                                <w:szCs w:val="22"/>
                                <w:lang w:val="es-ES_tradnl"/>
                              </w:rPr>
                              <w:t>173</w:t>
                            </w:r>
                            <w:r w:rsidR="007B05C4">
                              <w:rPr>
                                <w:rFonts w:asciiTheme="majorHAnsi" w:hAnsiTheme="majorHAnsi" w:cs="Arial"/>
                                <w:b/>
                                <w:bCs/>
                                <w:color w:val="0D0D0D" w:themeColor="text1" w:themeTint="F2"/>
                                <w:sz w:val="36"/>
                                <w:szCs w:val="22"/>
                                <w:lang w:val="es-ES_tradnl"/>
                              </w:rPr>
                              <w:t>/</w:t>
                            </w:r>
                            <w:r w:rsidR="00935F06">
                              <w:rPr>
                                <w:rFonts w:asciiTheme="majorHAnsi" w:hAnsiTheme="majorHAnsi" w:cs="Arial"/>
                                <w:b/>
                                <w:bCs/>
                                <w:color w:val="0D0D0D" w:themeColor="text1" w:themeTint="F2"/>
                                <w:sz w:val="36"/>
                                <w:szCs w:val="22"/>
                                <w:lang w:val="es-ES_tradnl"/>
                              </w:rPr>
                              <w:t>19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F292F">
                              <w:rPr>
                                <w:rFonts w:asciiTheme="majorHAnsi" w:hAnsiTheme="majorHAnsi" w:cs="Arial"/>
                                <w:b/>
                                <w:color w:val="0D0D0D" w:themeColor="text1" w:themeTint="F2"/>
                                <w:sz w:val="36"/>
                                <w:szCs w:val="22"/>
                                <w:lang w:val="es-ES_tradnl"/>
                              </w:rPr>
                              <w:t>561</w:t>
                            </w:r>
                            <w:r w:rsidR="00246D1F" w:rsidRPr="004E2649">
                              <w:rPr>
                                <w:rFonts w:asciiTheme="majorHAnsi" w:hAnsiTheme="majorHAnsi" w:cs="Arial"/>
                                <w:b/>
                                <w:color w:val="0D0D0D" w:themeColor="text1" w:themeTint="F2"/>
                                <w:sz w:val="36"/>
                                <w:szCs w:val="22"/>
                                <w:lang w:val="es-ES_tradnl"/>
                              </w:rPr>
                              <w:t>-</w:t>
                            </w:r>
                            <w:r w:rsidR="00FF292F">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w:t>
                            </w:r>
                            <w:r w:rsidRPr="00740B02">
                              <w:rPr>
                                <w:rFonts w:asciiTheme="majorHAnsi" w:hAnsiTheme="majorHAnsi" w:cs="Arial"/>
                                <w:szCs w:val="22"/>
                                <w:lang w:val="es-ES_tradnl"/>
                              </w:rPr>
                              <w:t xml:space="preserve">DE </w:t>
                            </w:r>
                            <w:r w:rsidR="008C5751" w:rsidRPr="00740B02">
                              <w:rPr>
                                <w:rFonts w:asciiTheme="majorHAnsi" w:hAnsiTheme="majorHAnsi" w:cs="Arial"/>
                                <w:szCs w:val="22"/>
                                <w:lang w:val="es-ES_tradnl"/>
                              </w:rPr>
                              <w:t>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rsidR="005B52B0" w:rsidRPr="0010736F" w:rsidRDefault="001C6A0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ASEL LUZARRAGA ZARRABEITIA</w:t>
                            </w:r>
                          </w:p>
                          <w:bookmarkEnd w:id="0"/>
                          <w:p w:rsidR="005B52B0" w:rsidRPr="0010736F" w:rsidRDefault="001C6A0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647AC">
                        <w:rPr>
                          <w:rFonts w:asciiTheme="majorHAnsi" w:hAnsiTheme="majorHAnsi" w:cs="Arial"/>
                          <w:b/>
                          <w:bCs/>
                          <w:color w:val="0D0D0D" w:themeColor="text1" w:themeTint="F2"/>
                          <w:sz w:val="36"/>
                          <w:szCs w:val="22"/>
                          <w:lang w:val="es-ES_tradnl"/>
                        </w:rPr>
                        <w:t>173</w:t>
                      </w:r>
                      <w:r w:rsidR="007B05C4">
                        <w:rPr>
                          <w:rFonts w:asciiTheme="majorHAnsi" w:hAnsiTheme="majorHAnsi" w:cs="Arial"/>
                          <w:b/>
                          <w:bCs/>
                          <w:color w:val="0D0D0D" w:themeColor="text1" w:themeTint="F2"/>
                          <w:sz w:val="36"/>
                          <w:szCs w:val="22"/>
                          <w:lang w:val="es-ES_tradnl"/>
                        </w:rPr>
                        <w:t>/</w:t>
                      </w:r>
                      <w:r w:rsidR="00935F06">
                        <w:rPr>
                          <w:rFonts w:asciiTheme="majorHAnsi" w:hAnsiTheme="majorHAnsi" w:cs="Arial"/>
                          <w:b/>
                          <w:bCs/>
                          <w:color w:val="0D0D0D" w:themeColor="text1" w:themeTint="F2"/>
                          <w:sz w:val="36"/>
                          <w:szCs w:val="22"/>
                          <w:lang w:val="es-ES_tradnl"/>
                        </w:rPr>
                        <w:t>19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F292F">
                        <w:rPr>
                          <w:rFonts w:asciiTheme="majorHAnsi" w:hAnsiTheme="majorHAnsi" w:cs="Arial"/>
                          <w:b/>
                          <w:color w:val="0D0D0D" w:themeColor="text1" w:themeTint="F2"/>
                          <w:sz w:val="36"/>
                          <w:szCs w:val="22"/>
                          <w:lang w:val="es-ES_tradnl"/>
                        </w:rPr>
                        <w:t>561</w:t>
                      </w:r>
                      <w:r w:rsidR="00246D1F" w:rsidRPr="004E2649">
                        <w:rPr>
                          <w:rFonts w:asciiTheme="majorHAnsi" w:hAnsiTheme="majorHAnsi" w:cs="Arial"/>
                          <w:b/>
                          <w:color w:val="0D0D0D" w:themeColor="text1" w:themeTint="F2"/>
                          <w:sz w:val="36"/>
                          <w:szCs w:val="22"/>
                          <w:lang w:val="es-ES_tradnl"/>
                        </w:rPr>
                        <w:t>-</w:t>
                      </w:r>
                      <w:r w:rsidR="00FF292F">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w:t>
                      </w:r>
                      <w:r w:rsidRPr="00740B02">
                        <w:rPr>
                          <w:rFonts w:asciiTheme="majorHAnsi" w:hAnsiTheme="majorHAnsi" w:cs="Arial"/>
                          <w:szCs w:val="22"/>
                          <w:lang w:val="es-ES_tradnl"/>
                        </w:rPr>
                        <w:t xml:space="preserve">DE </w:t>
                      </w:r>
                      <w:r w:rsidR="008C5751" w:rsidRPr="00740B02">
                        <w:rPr>
                          <w:rFonts w:asciiTheme="majorHAnsi" w:hAnsiTheme="majorHAnsi" w:cs="Arial"/>
                          <w:szCs w:val="22"/>
                          <w:lang w:val="es-ES_tradnl"/>
                        </w:rPr>
                        <w:t>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1C6A0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ASEL LUZARRAGA ZARRABEITIA</w:t>
                      </w:r>
                    </w:p>
                    <w:bookmarkEnd w:id="1"/>
                    <w:p w:rsidR="005B52B0" w:rsidRPr="0010736F" w:rsidRDefault="001C6A0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rsidR="005B52B0" w:rsidRPr="00AE5488" w:rsidRDefault="005B52B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rsidR="00627C9F" w:rsidRPr="0036511B" w:rsidRDefault="00E647AC" w:rsidP="007A5817">
                            <w:pPr>
                              <w:spacing w:line="276" w:lineRule="auto"/>
                              <w:jc w:val="right"/>
                              <w:rPr>
                                <w:rFonts w:asciiTheme="minorHAnsi" w:hAnsiTheme="minorHAnsi"/>
                                <w:color w:val="FFFFFF" w:themeColor="background1"/>
                                <w:sz w:val="22"/>
                                <w:lang w:val="es-ES"/>
                              </w:rPr>
                            </w:pPr>
                            <w:r w:rsidRPr="0036511B">
                              <w:rPr>
                                <w:rFonts w:asciiTheme="minorHAnsi" w:hAnsiTheme="minorHAnsi"/>
                                <w:color w:val="FFFFFF" w:themeColor="background1"/>
                                <w:sz w:val="22"/>
                                <w:lang w:val="es-ES"/>
                              </w:rPr>
                              <w:t xml:space="preserve">Doc. </w:t>
                            </w:r>
                            <w:r w:rsidR="0036511B" w:rsidRPr="0036511B">
                              <w:rPr>
                                <w:rFonts w:asciiTheme="minorHAnsi" w:hAnsiTheme="minorHAnsi"/>
                                <w:color w:val="FFFFFF" w:themeColor="background1"/>
                                <w:sz w:val="22"/>
                                <w:lang w:val="es-ES"/>
                              </w:rPr>
                              <w:t>1</w:t>
                            </w:r>
                            <w:r w:rsidR="0036511B">
                              <w:rPr>
                                <w:rFonts w:asciiTheme="minorHAnsi" w:hAnsiTheme="minorHAnsi"/>
                                <w:color w:val="FFFFFF" w:themeColor="background1"/>
                                <w:sz w:val="22"/>
                                <w:lang w:val="es-ES"/>
                              </w:rPr>
                              <w:t>95</w:t>
                            </w:r>
                          </w:p>
                          <w:p w:rsidR="00627C9F" w:rsidRPr="001B4C00" w:rsidRDefault="00E647AC"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5 diciembre</w:t>
                            </w:r>
                            <w:r w:rsidR="00627C9F" w:rsidRPr="001B4C00">
                              <w:rPr>
                                <w:rFonts w:asciiTheme="minorHAnsi" w:hAnsiTheme="minorHAnsi"/>
                                <w:color w:val="FFFFFF" w:themeColor="background1"/>
                                <w:sz w:val="22"/>
                                <w:lang w:val="es-ES"/>
                              </w:rPr>
                              <w:t xml:space="preserve"> 201</w:t>
                            </w:r>
                            <w:r w:rsidR="008C5751" w:rsidRPr="001B4C00">
                              <w:rPr>
                                <w:rFonts w:asciiTheme="minorHAnsi" w:hAnsiTheme="minorHAnsi"/>
                                <w:color w:val="FFFFFF" w:themeColor="background1"/>
                                <w:sz w:val="22"/>
                                <w:lang w:val="es-ES"/>
                              </w:rPr>
                              <w:t>9</w:t>
                            </w:r>
                          </w:p>
                          <w:p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rsidR="00627C9F" w:rsidRPr="0036511B" w:rsidRDefault="00E647AC" w:rsidP="007A5817">
                      <w:pPr>
                        <w:spacing w:line="276" w:lineRule="auto"/>
                        <w:jc w:val="right"/>
                        <w:rPr>
                          <w:rFonts w:asciiTheme="minorHAnsi" w:hAnsiTheme="minorHAnsi"/>
                          <w:color w:val="FFFFFF" w:themeColor="background1"/>
                          <w:sz w:val="22"/>
                          <w:lang w:val="es-ES"/>
                        </w:rPr>
                      </w:pPr>
                      <w:r w:rsidRPr="0036511B">
                        <w:rPr>
                          <w:rFonts w:asciiTheme="minorHAnsi" w:hAnsiTheme="minorHAnsi"/>
                          <w:color w:val="FFFFFF" w:themeColor="background1"/>
                          <w:sz w:val="22"/>
                          <w:lang w:val="es-ES"/>
                        </w:rPr>
                        <w:t xml:space="preserve">Doc. </w:t>
                      </w:r>
                      <w:r w:rsidR="0036511B" w:rsidRPr="0036511B">
                        <w:rPr>
                          <w:rFonts w:asciiTheme="minorHAnsi" w:hAnsiTheme="minorHAnsi"/>
                          <w:color w:val="FFFFFF" w:themeColor="background1"/>
                          <w:sz w:val="22"/>
                          <w:lang w:val="es-ES"/>
                        </w:rPr>
                        <w:t>1</w:t>
                      </w:r>
                      <w:r w:rsidR="0036511B">
                        <w:rPr>
                          <w:rFonts w:asciiTheme="minorHAnsi" w:hAnsiTheme="minorHAnsi"/>
                          <w:color w:val="FFFFFF" w:themeColor="background1"/>
                          <w:sz w:val="22"/>
                          <w:lang w:val="es-ES"/>
                        </w:rPr>
                        <w:t>95</w:t>
                      </w:r>
                    </w:p>
                    <w:p w:rsidR="00627C9F" w:rsidRPr="001B4C00" w:rsidRDefault="00E647AC"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5 diciembre</w:t>
                      </w:r>
                      <w:r w:rsidR="00627C9F" w:rsidRPr="001B4C00">
                        <w:rPr>
                          <w:rFonts w:asciiTheme="minorHAnsi" w:hAnsiTheme="minorHAnsi"/>
                          <w:color w:val="FFFFFF" w:themeColor="background1"/>
                          <w:sz w:val="22"/>
                          <w:lang w:val="es-ES"/>
                        </w:rPr>
                        <w:t xml:space="preserve"> 201</w:t>
                      </w:r>
                      <w:r w:rsidR="008C5751" w:rsidRPr="001B4C00">
                        <w:rPr>
                          <w:rFonts w:asciiTheme="minorHAnsi" w:hAnsiTheme="minorHAnsi"/>
                          <w:color w:val="FFFFFF" w:themeColor="background1"/>
                          <w:sz w:val="22"/>
                          <w:lang w:val="es-ES"/>
                        </w:rPr>
                        <w:t>9</w:t>
                      </w:r>
                    </w:p>
                    <w:p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cs="Arial"/>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5128E4" w:rsidRPr="00006B74" w:rsidRDefault="005128E4"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5128E4" w:rsidRPr="00006B74" w:rsidRDefault="005128E4" w:rsidP="00040C3A">
      <w:pPr>
        <w:tabs>
          <w:tab w:val="center" w:pos="5400"/>
        </w:tabs>
        <w:suppressAutoHyphens/>
        <w:jc w:val="center"/>
        <w:rPr>
          <w:rFonts w:asciiTheme="majorHAnsi" w:hAnsiTheme="majorHAnsi"/>
          <w:sz w:val="22"/>
          <w:szCs w:val="22"/>
          <w:lang w:val="es-ES"/>
        </w:rPr>
      </w:pPr>
    </w:p>
    <w:p w:rsidR="005128E4" w:rsidRPr="00006B74" w:rsidRDefault="005128E4" w:rsidP="00040C3A">
      <w:pPr>
        <w:tabs>
          <w:tab w:val="center" w:pos="5400"/>
        </w:tabs>
        <w:suppressAutoHyphens/>
        <w:jc w:val="center"/>
        <w:rPr>
          <w:rFonts w:asciiTheme="majorHAnsi" w:hAnsiTheme="majorHAnsi"/>
          <w:sz w:val="22"/>
          <w:szCs w:val="22"/>
          <w:lang w:val="es-ES"/>
        </w:rPr>
      </w:pPr>
    </w:p>
    <w:p w:rsidR="005128E4" w:rsidRPr="00006B74" w:rsidRDefault="005128E4"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4C3" w:rsidRPr="00890650" w:rsidRDefault="00C024C3" w:rsidP="00C024C3">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por la Comisión el </w:t>
                            </w:r>
                            <w:r>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 en San Salvador, El Salvador</w:t>
                            </w:r>
                            <w:r w:rsidR="00AC01AE">
                              <w:rPr>
                                <w:rFonts w:asciiTheme="majorHAnsi" w:hAnsiTheme="majorHAnsi"/>
                                <w:color w:val="0D0D0D" w:themeColor="text1" w:themeTint="F2"/>
                                <w:sz w:val="18"/>
                                <w:szCs w:val="22"/>
                                <w:lang w:val="es-ES"/>
                              </w:rPr>
                              <w:t>.</w:t>
                            </w: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C024C3" w:rsidRPr="00890650" w:rsidRDefault="00C024C3" w:rsidP="00C024C3">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por la Comisión el </w:t>
                      </w:r>
                      <w:r>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 en San Salvador, El Salvador</w:t>
                      </w:r>
                      <w:r w:rsidR="00AC01AE">
                        <w:rPr>
                          <w:rFonts w:asciiTheme="majorHAnsi" w:hAnsiTheme="majorHAnsi"/>
                          <w:color w:val="0D0D0D" w:themeColor="text1" w:themeTint="F2"/>
                          <w:sz w:val="18"/>
                          <w:szCs w:val="22"/>
                          <w:lang w:val="es-ES"/>
                        </w:rPr>
                        <w:t>.</w:t>
                      </w: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647AC" w:rsidRPr="00E647AC">
                              <w:rPr>
                                <w:rFonts w:asciiTheme="majorHAnsi" w:hAnsiTheme="majorHAnsi"/>
                                <w:color w:val="595959" w:themeColor="text1" w:themeTint="A6"/>
                                <w:sz w:val="18"/>
                                <w:szCs w:val="18"/>
                                <w:lang w:val="pt-BR"/>
                              </w:rPr>
                              <w:t>173</w:t>
                            </w:r>
                            <w:r w:rsidR="007B05C4" w:rsidRPr="00E647AC">
                              <w:rPr>
                                <w:rFonts w:asciiTheme="majorHAnsi" w:hAnsiTheme="majorHAnsi"/>
                                <w:color w:val="595959" w:themeColor="text1" w:themeTint="A6"/>
                                <w:sz w:val="18"/>
                                <w:szCs w:val="18"/>
                                <w:lang w:val="pt-BR"/>
                              </w:rPr>
                              <w:t>/</w:t>
                            </w:r>
                            <w:r w:rsidR="00E647AC" w:rsidRPr="00E647AC">
                              <w:rPr>
                                <w:rFonts w:asciiTheme="majorHAnsi" w:hAnsiTheme="majorHAnsi"/>
                                <w:color w:val="595959" w:themeColor="text1" w:themeTint="A6"/>
                                <w:sz w:val="18"/>
                                <w:szCs w:val="18"/>
                                <w:lang w:val="pt-BR"/>
                              </w:rPr>
                              <w:t>19</w:t>
                            </w:r>
                            <w:r w:rsidRPr="00E647AC">
                              <w:rPr>
                                <w:rFonts w:asciiTheme="majorHAnsi" w:hAnsiTheme="majorHAnsi"/>
                                <w:color w:val="595959" w:themeColor="text1" w:themeTint="A6"/>
                                <w:sz w:val="18"/>
                                <w:szCs w:val="18"/>
                                <w:lang w:val="pt-BR"/>
                              </w:rPr>
                              <w:t xml:space="preserve">. </w:t>
                            </w:r>
                            <w:proofErr w:type="spellStart"/>
                            <w:r w:rsidR="00402DB3">
                              <w:rPr>
                                <w:rFonts w:asciiTheme="majorHAnsi" w:hAnsiTheme="majorHAnsi"/>
                                <w:color w:val="595959" w:themeColor="text1" w:themeTint="A6"/>
                                <w:sz w:val="18"/>
                                <w:szCs w:val="18"/>
                                <w:lang w:val="es-ES_tradnl"/>
                              </w:rPr>
                              <w:t>Petici</w:t>
                            </w:r>
                            <w:proofErr w:type="spellEnd"/>
                            <w:r w:rsidR="00402DB3">
                              <w:rPr>
                                <w:rFonts w:asciiTheme="majorHAnsi" w:hAnsiTheme="majorHAnsi"/>
                                <w:color w:val="595959" w:themeColor="text1" w:themeTint="A6"/>
                                <w:sz w:val="18"/>
                                <w:szCs w:val="18"/>
                                <w:lang w:val="pt-BR"/>
                              </w:rPr>
                              <w:t xml:space="preserve">ón 561-11. </w:t>
                            </w:r>
                            <w:r w:rsidRPr="00890650">
                              <w:rPr>
                                <w:rFonts w:asciiTheme="majorHAnsi" w:hAnsiTheme="majorHAnsi"/>
                                <w:color w:val="595959" w:themeColor="text1" w:themeTint="A6"/>
                                <w:sz w:val="18"/>
                                <w:szCs w:val="18"/>
                                <w:lang w:val="es-ES_tradnl"/>
                              </w:rPr>
                              <w:t xml:space="preserve">Admisibilidad. </w:t>
                            </w:r>
                            <w:proofErr w:type="spellStart"/>
                            <w:r w:rsidR="00E647AC">
                              <w:rPr>
                                <w:rFonts w:asciiTheme="majorHAnsi" w:hAnsiTheme="majorHAnsi"/>
                                <w:color w:val="595959" w:themeColor="text1" w:themeTint="A6"/>
                                <w:sz w:val="18"/>
                                <w:szCs w:val="18"/>
                                <w:lang w:val="es-ES_tradnl"/>
                              </w:rPr>
                              <w:t>Asel</w:t>
                            </w:r>
                            <w:proofErr w:type="spellEnd"/>
                            <w:r w:rsidR="00E647AC">
                              <w:rPr>
                                <w:rFonts w:asciiTheme="majorHAnsi" w:hAnsiTheme="majorHAnsi"/>
                                <w:color w:val="595959" w:themeColor="text1" w:themeTint="A6"/>
                                <w:sz w:val="18"/>
                                <w:szCs w:val="18"/>
                                <w:lang w:val="es-ES_tradnl"/>
                              </w:rPr>
                              <w:t xml:space="preserve"> </w:t>
                            </w:r>
                            <w:proofErr w:type="spellStart"/>
                            <w:r w:rsidR="00E647AC">
                              <w:rPr>
                                <w:rFonts w:asciiTheme="majorHAnsi" w:hAnsiTheme="majorHAnsi"/>
                                <w:color w:val="595959" w:themeColor="text1" w:themeTint="A6"/>
                                <w:sz w:val="18"/>
                                <w:szCs w:val="18"/>
                                <w:lang w:val="es-ES_tradnl"/>
                              </w:rPr>
                              <w:t>Luzarraga</w:t>
                            </w:r>
                            <w:proofErr w:type="spellEnd"/>
                            <w:r w:rsidR="00E647AC">
                              <w:rPr>
                                <w:rFonts w:asciiTheme="majorHAnsi" w:hAnsiTheme="majorHAnsi"/>
                                <w:color w:val="595959" w:themeColor="text1" w:themeTint="A6"/>
                                <w:sz w:val="18"/>
                                <w:szCs w:val="18"/>
                                <w:lang w:val="es-ES_tradnl"/>
                              </w:rPr>
                              <w:t xml:space="preserve"> Zarrabeitia</w:t>
                            </w:r>
                            <w:r w:rsidRPr="00890650">
                              <w:rPr>
                                <w:rFonts w:asciiTheme="majorHAnsi" w:hAnsiTheme="majorHAnsi"/>
                                <w:color w:val="595959" w:themeColor="text1" w:themeTint="A6"/>
                                <w:sz w:val="18"/>
                                <w:szCs w:val="18"/>
                                <w:lang w:val="es-ES_tradnl"/>
                              </w:rPr>
                              <w:t xml:space="preserve">. </w:t>
                            </w:r>
                            <w:r w:rsidR="00E647AC">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E647AC">
                              <w:rPr>
                                <w:rFonts w:asciiTheme="majorHAnsi" w:hAnsiTheme="majorHAnsi"/>
                                <w:color w:val="595959" w:themeColor="text1" w:themeTint="A6"/>
                                <w:sz w:val="18"/>
                                <w:szCs w:val="18"/>
                                <w:lang w:val="es-ES"/>
                              </w:rPr>
                              <w:t>5 de diciembre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647AC" w:rsidRPr="00E647AC">
                        <w:rPr>
                          <w:rFonts w:asciiTheme="majorHAnsi" w:hAnsiTheme="majorHAnsi"/>
                          <w:color w:val="595959" w:themeColor="text1" w:themeTint="A6"/>
                          <w:sz w:val="18"/>
                          <w:szCs w:val="18"/>
                          <w:lang w:val="pt-BR"/>
                        </w:rPr>
                        <w:t>173</w:t>
                      </w:r>
                      <w:r w:rsidR="007B05C4" w:rsidRPr="00E647AC">
                        <w:rPr>
                          <w:rFonts w:asciiTheme="majorHAnsi" w:hAnsiTheme="majorHAnsi"/>
                          <w:color w:val="595959" w:themeColor="text1" w:themeTint="A6"/>
                          <w:sz w:val="18"/>
                          <w:szCs w:val="18"/>
                          <w:lang w:val="pt-BR"/>
                        </w:rPr>
                        <w:t>/</w:t>
                      </w:r>
                      <w:r w:rsidR="00E647AC" w:rsidRPr="00E647AC">
                        <w:rPr>
                          <w:rFonts w:asciiTheme="majorHAnsi" w:hAnsiTheme="majorHAnsi"/>
                          <w:color w:val="595959" w:themeColor="text1" w:themeTint="A6"/>
                          <w:sz w:val="18"/>
                          <w:szCs w:val="18"/>
                          <w:lang w:val="pt-BR"/>
                        </w:rPr>
                        <w:t>19</w:t>
                      </w:r>
                      <w:r w:rsidRPr="00E647AC">
                        <w:rPr>
                          <w:rFonts w:asciiTheme="majorHAnsi" w:hAnsiTheme="majorHAnsi"/>
                          <w:color w:val="595959" w:themeColor="text1" w:themeTint="A6"/>
                          <w:sz w:val="18"/>
                          <w:szCs w:val="18"/>
                          <w:lang w:val="pt-BR"/>
                        </w:rPr>
                        <w:t xml:space="preserve">. </w:t>
                      </w:r>
                      <w:proofErr w:type="spellStart"/>
                      <w:r w:rsidR="00402DB3">
                        <w:rPr>
                          <w:rFonts w:asciiTheme="majorHAnsi" w:hAnsiTheme="majorHAnsi"/>
                          <w:color w:val="595959" w:themeColor="text1" w:themeTint="A6"/>
                          <w:sz w:val="18"/>
                          <w:szCs w:val="18"/>
                          <w:lang w:val="es-ES_tradnl"/>
                        </w:rPr>
                        <w:t>Petici</w:t>
                      </w:r>
                      <w:proofErr w:type="spellEnd"/>
                      <w:r w:rsidR="00402DB3">
                        <w:rPr>
                          <w:rFonts w:asciiTheme="majorHAnsi" w:hAnsiTheme="majorHAnsi"/>
                          <w:color w:val="595959" w:themeColor="text1" w:themeTint="A6"/>
                          <w:sz w:val="18"/>
                          <w:szCs w:val="18"/>
                          <w:lang w:val="pt-BR"/>
                        </w:rPr>
                        <w:t xml:space="preserve">ón 561-11. </w:t>
                      </w:r>
                      <w:r w:rsidRPr="00890650">
                        <w:rPr>
                          <w:rFonts w:asciiTheme="majorHAnsi" w:hAnsiTheme="majorHAnsi"/>
                          <w:color w:val="595959" w:themeColor="text1" w:themeTint="A6"/>
                          <w:sz w:val="18"/>
                          <w:szCs w:val="18"/>
                          <w:lang w:val="es-ES_tradnl"/>
                        </w:rPr>
                        <w:t xml:space="preserve">Admisibilidad. </w:t>
                      </w:r>
                      <w:proofErr w:type="spellStart"/>
                      <w:r w:rsidR="00E647AC">
                        <w:rPr>
                          <w:rFonts w:asciiTheme="majorHAnsi" w:hAnsiTheme="majorHAnsi"/>
                          <w:color w:val="595959" w:themeColor="text1" w:themeTint="A6"/>
                          <w:sz w:val="18"/>
                          <w:szCs w:val="18"/>
                          <w:lang w:val="es-ES_tradnl"/>
                        </w:rPr>
                        <w:t>Asel</w:t>
                      </w:r>
                      <w:proofErr w:type="spellEnd"/>
                      <w:r w:rsidR="00E647AC">
                        <w:rPr>
                          <w:rFonts w:asciiTheme="majorHAnsi" w:hAnsiTheme="majorHAnsi"/>
                          <w:color w:val="595959" w:themeColor="text1" w:themeTint="A6"/>
                          <w:sz w:val="18"/>
                          <w:szCs w:val="18"/>
                          <w:lang w:val="es-ES_tradnl"/>
                        </w:rPr>
                        <w:t xml:space="preserve"> </w:t>
                      </w:r>
                      <w:proofErr w:type="spellStart"/>
                      <w:r w:rsidR="00E647AC">
                        <w:rPr>
                          <w:rFonts w:asciiTheme="majorHAnsi" w:hAnsiTheme="majorHAnsi"/>
                          <w:color w:val="595959" w:themeColor="text1" w:themeTint="A6"/>
                          <w:sz w:val="18"/>
                          <w:szCs w:val="18"/>
                          <w:lang w:val="es-ES_tradnl"/>
                        </w:rPr>
                        <w:t>Luzarraga</w:t>
                      </w:r>
                      <w:proofErr w:type="spellEnd"/>
                      <w:r w:rsidR="00E647AC">
                        <w:rPr>
                          <w:rFonts w:asciiTheme="majorHAnsi" w:hAnsiTheme="majorHAnsi"/>
                          <w:color w:val="595959" w:themeColor="text1" w:themeTint="A6"/>
                          <w:sz w:val="18"/>
                          <w:szCs w:val="18"/>
                          <w:lang w:val="es-ES_tradnl"/>
                        </w:rPr>
                        <w:t xml:space="preserve"> Zarrabeitia</w:t>
                      </w:r>
                      <w:r w:rsidRPr="00890650">
                        <w:rPr>
                          <w:rFonts w:asciiTheme="majorHAnsi" w:hAnsiTheme="majorHAnsi"/>
                          <w:color w:val="595959" w:themeColor="text1" w:themeTint="A6"/>
                          <w:sz w:val="18"/>
                          <w:szCs w:val="18"/>
                          <w:lang w:val="es-ES_tradnl"/>
                        </w:rPr>
                        <w:t xml:space="preserve">. </w:t>
                      </w:r>
                      <w:r w:rsidR="00E647AC">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E647AC">
                        <w:rPr>
                          <w:rFonts w:asciiTheme="majorHAnsi" w:hAnsiTheme="majorHAnsi"/>
                          <w:color w:val="595959" w:themeColor="text1" w:themeTint="A6"/>
                          <w:sz w:val="18"/>
                          <w:szCs w:val="18"/>
                          <w:lang w:val="es-ES"/>
                        </w:rPr>
                        <w:t>5 de diciembre de 2019</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006B74" w:rsidRDefault="00A50FCF" w:rsidP="00040C3A">
      <w:pPr>
        <w:tabs>
          <w:tab w:val="center" w:pos="5400"/>
        </w:tabs>
        <w:suppressAutoHyphens/>
        <w:jc w:val="center"/>
        <w:rPr>
          <w:rFonts w:asciiTheme="majorHAnsi" w:hAnsiTheme="majorHAnsi"/>
          <w:sz w:val="18"/>
          <w:szCs w:val="22"/>
          <w:lang w:val="es-ES"/>
        </w:rPr>
      </w:pPr>
    </w:p>
    <w:p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AC01AE" w:rsidTr="00954B82">
        <w:tc>
          <w:tcPr>
            <w:tcW w:w="2790" w:type="dxa"/>
            <w:tcBorders>
              <w:top w:val="single" w:sz="4" w:space="0" w:color="auto"/>
              <w:bottom w:val="single" w:sz="6" w:space="0" w:color="auto"/>
            </w:tcBorders>
            <w:shd w:val="clear" w:color="auto" w:fill="386294"/>
            <w:vAlign w:val="center"/>
          </w:tcPr>
          <w:p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rsidR="003239B8" w:rsidRPr="00006B74" w:rsidRDefault="001C6A06" w:rsidP="008D2290">
            <w:pPr>
              <w:jc w:val="both"/>
              <w:rPr>
                <w:rFonts w:ascii="Cambria" w:hAnsi="Cambria"/>
                <w:bCs/>
                <w:sz w:val="19"/>
                <w:szCs w:val="19"/>
                <w:lang w:val="es-ES"/>
              </w:rPr>
            </w:pPr>
            <w:r>
              <w:rPr>
                <w:rFonts w:ascii="Cambria" w:hAnsi="Cambria"/>
                <w:bCs/>
                <w:sz w:val="19"/>
                <w:szCs w:val="19"/>
                <w:lang w:val="es-ES"/>
              </w:rPr>
              <w:t>Jaime Madariaga de la Barra y Asel Luzarraga Zarrabeitia</w:t>
            </w:r>
          </w:p>
        </w:tc>
      </w:tr>
      <w:tr w:rsidR="003239B8" w:rsidRPr="001B4C00" w:rsidTr="00954B82">
        <w:tc>
          <w:tcPr>
            <w:tcW w:w="2790" w:type="dxa"/>
            <w:tcBorders>
              <w:top w:val="single" w:sz="6" w:space="0" w:color="auto"/>
              <w:bottom w:val="single" w:sz="6" w:space="0" w:color="auto"/>
            </w:tcBorders>
            <w:shd w:val="clear" w:color="auto" w:fill="386294"/>
            <w:vAlign w:val="center"/>
          </w:tcPr>
          <w:p w:rsidR="003239B8" w:rsidRPr="00006B74" w:rsidRDefault="002355A9" w:rsidP="008D2290">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Presunta víctima</w:t>
            </w:r>
          </w:p>
        </w:tc>
        <w:tc>
          <w:tcPr>
            <w:tcW w:w="6570" w:type="dxa"/>
            <w:vAlign w:val="center"/>
          </w:tcPr>
          <w:p w:rsidR="003239B8" w:rsidRPr="00006B74" w:rsidRDefault="001C6A06" w:rsidP="005B6D22">
            <w:pPr>
              <w:jc w:val="both"/>
              <w:rPr>
                <w:rFonts w:ascii="Cambria" w:hAnsi="Cambria"/>
                <w:bCs/>
                <w:sz w:val="19"/>
                <w:szCs w:val="19"/>
                <w:lang w:val="es-ES"/>
              </w:rPr>
            </w:pPr>
            <w:r>
              <w:rPr>
                <w:rFonts w:ascii="Cambria" w:hAnsi="Cambria"/>
                <w:bCs/>
                <w:sz w:val="19"/>
                <w:szCs w:val="19"/>
                <w:lang w:val="es-ES"/>
              </w:rPr>
              <w:t>Asel Luzarraga Zarrabeitia</w:t>
            </w:r>
          </w:p>
        </w:tc>
      </w:tr>
      <w:tr w:rsidR="003239B8" w:rsidRPr="00006B74" w:rsidTr="00954B82">
        <w:tc>
          <w:tcPr>
            <w:tcW w:w="2790" w:type="dxa"/>
            <w:tcBorders>
              <w:top w:val="single" w:sz="6" w:space="0" w:color="auto"/>
              <w:bottom w:val="single" w:sz="6" w:space="0" w:color="auto"/>
            </w:tcBorders>
            <w:shd w:val="clear" w:color="auto" w:fill="386294"/>
            <w:vAlign w:val="center"/>
          </w:tcPr>
          <w:p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rsidR="003239B8" w:rsidRPr="00006B74" w:rsidRDefault="001C6A06" w:rsidP="001C6A06">
            <w:pPr>
              <w:jc w:val="both"/>
              <w:rPr>
                <w:rFonts w:ascii="Cambria" w:hAnsi="Cambria"/>
                <w:bCs/>
                <w:sz w:val="19"/>
                <w:szCs w:val="19"/>
                <w:lang w:val="es-ES"/>
              </w:rPr>
            </w:pPr>
            <w:r>
              <w:rPr>
                <w:rFonts w:ascii="Cambria" w:hAnsi="Cambria"/>
                <w:bCs/>
                <w:sz w:val="19"/>
                <w:szCs w:val="19"/>
                <w:lang w:val="es-ES"/>
              </w:rPr>
              <w:t>Chile</w:t>
            </w:r>
            <w:r w:rsidR="004A6A54" w:rsidRPr="00006B74">
              <w:rPr>
                <w:rStyle w:val="FootnoteReference"/>
                <w:rFonts w:ascii="Cambria" w:hAnsi="Cambria"/>
                <w:bCs/>
                <w:sz w:val="19"/>
                <w:szCs w:val="19"/>
                <w:lang w:val="es-ES"/>
              </w:rPr>
              <w:footnoteReference w:id="2"/>
            </w:r>
          </w:p>
        </w:tc>
      </w:tr>
      <w:tr w:rsidR="00223A29" w:rsidRPr="00AC01AE" w:rsidTr="00954B82">
        <w:tc>
          <w:tcPr>
            <w:tcW w:w="2790" w:type="dxa"/>
            <w:tcBorders>
              <w:top w:val="single" w:sz="6" w:space="0" w:color="auto"/>
              <w:bottom w:val="single" w:sz="6" w:space="0" w:color="auto"/>
            </w:tcBorders>
            <w:shd w:val="clear" w:color="auto" w:fill="386294"/>
            <w:vAlign w:val="center"/>
          </w:tcPr>
          <w:p w:rsidR="00223A29" w:rsidRPr="00006B74" w:rsidRDefault="001B3A00"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rsidR="00223A29" w:rsidRPr="00006B74" w:rsidRDefault="00BF514A" w:rsidP="001C6A06">
            <w:pPr>
              <w:jc w:val="both"/>
              <w:rPr>
                <w:rFonts w:ascii="Cambria" w:hAnsi="Cambria"/>
                <w:bCs/>
                <w:sz w:val="19"/>
                <w:szCs w:val="19"/>
                <w:lang w:val="es-ES"/>
              </w:rPr>
            </w:pPr>
            <w:r w:rsidRPr="00006B74">
              <w:rPr>
                <w:rFonts w:ascii="Cambria" w:hAnsi="Cambria"/>
                <w:bCs/>
                <w:sz w:val="19"/>
                <w:szCs w:val="19"/>
                <w:lang w:val="es-ES"/>
              </w:rPr>
              <w:t xml:space="preserve">Artículos </w:t>
            </w:r>
            <w:r w:rsidR="00AD687F">
              <w:rPr>
                <w:rFonts w:ascii="Cambria" w:hAnsi="Cambria"/>
                <w:bCs/>
                <w:sz w:val="19"/>
                <w:szCs w:val="19"/>
                <w:lang w:val="es-ES"/>
              </w:rPr>
              <w:t xml:space="preserve">1 (obligación de respetar los derechos), </w:t>
            </w:r>
            <w:r w:rsidR="001C6A06" w:rsidRPr="001C6A06">
              <w:rPr>
                <w:rFonts w:ascii="Cambria" w:hAnsi="Cambria"/>
                <w:bCs/>
                <w:color w:val="000000" w:themeColor="text1"/>
                <w:sz w:val="19"/>
                <w:szCs w:val="19"/>
                <w:lang w:val="es-ES"/>
              </w:rPr>
              <w:t>11 (honra y dignidad), 13 (libertad de expresión)</w:t>
            </w:r>
            <w:r w:rsidRPr="001C6A06">
              <w:rPr>
                <w:rFonts w:ascii="Cambria" w:hAnsi="Cambria"/>
                <w:bCs/>
                <w:color w:val="000000" w:themeColor="text1"/>
                <w:sz w:val="19"/>
                <w:szCs w:val="19"/>
                <w:lang w:val="es-ES"/>
              </w:rPr>
              <w:t xml:space="preserve"> </w:t>
            </w:r>
            <w:r w:rsidR="001C6A06" w:rsidRPr="001C6A06">
              <w:rPr>
                <w:rFonts w:ascii="Cambria" w:hAnsi="Cambria"/>
                <w:bCs/>
                <w:color w:val="000000" w:themeColor="text1"/>
                <w:sz w:val="19"/>
                <w:szCs w:val="19"/>
                <w:lang w:val="es-ES"/>
              </w:rPr>
              <w:t xml:space="preserve">y 24 (igualdad ante la ley) </w:t>
            </w:r>
            <w:r w:rsidRPr="001C6A06">
              <w:rPr>
                <w:rFonts w:ascii="Cambria" w:hAnsi="Cambria"/>
                <w:bCs/>
                <w:color w:val="000000" w:themeColor="text1"/>
                <w:sz w:val="19"/>
                <w:szCs w:val="19"/>
                <w:lang w:val="es-ES"/>
              </w:rPr>
              <w:t>de la Convención Americana sobre Derechos Humanos</w:t>
            </w:r>
            <w:r w:rsidRPr="001C6A06">
              <w:rPr>
                <w:rStyle w:val="FootnoteReference"/>
                <w:rFonts w:ascii="Cambria" w:hAnsi="Cambria"/>
                <w:bCs/>
                <w:color w:val="000000" w:themeColor="text1"/>
                <w:sz w:val="19"/>
                <w:szCs w:val="19"/>
                <w:lang w:val="es-ES"/>
              </w:rPr>
              <w:footnoteReference w:id="3"/>
            </w:r>
            <w:r w:rsidR="00AD687F">
              <w:rPr>
                <w:rFonts w:ascii="Cambria" w:hAnsi="Cambria"/>
                <w:bCs/>
                <w:color w:val="000000" w:themeColor="text1"/>
                <w:sz w:val="19"/>
                <w:szCs w:val="19"/>
                <w:lang w:val="es-ES"/>
              </w:rPr>
              <w:t xml:space="preserve"> y otros tratados internacionales</w:t>
            </w:r>
            <w:r w:rsidR="00AD687F" w:rsidRPr="001C6A06">
              <w:rPr>
                <w:rStyle w:val="FootnoteReference"/>
                <w:rFonts w:ascii="Cambria" w:hAnsi="Cambria"/>
                <w:bCs/>
                <w:color w:val="000000" w:themeColor="text1"/>
                <w:sz w:val="19"/>
                <w:szCs w:val="19"/>
                <w:lang w:val="es-ES"/>
              </w:rPr>
              <w:footnoteReference w:id="4"/>
            </w:r>
          </w:p>
        </w:tc>
      </w:tr>
    </w:tbl>
    <w:p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006B74" w:rsidTr="00954B82">
        <w:tc>
          <w:tcPr>
            <w:tcW w:w="2790" w:type="dxa"/>
            <w:tcBorders>
              <w:top w:val="single" w:sz="6" w:space="0" w:color="auto"/>
              <w:bottom w:val="single" w:sz="6" w:space="0" w:color="auto"/>
            </w:tcBorders>
            <w:shd w:val="clear" w:color="auto" w:fill="386294"/>
            <w:vAlign w:val="center"/>
          </w:tcPr>
          <w:p w:rsidR="004C2312" w:rsidRPr="00006B74" w:rsidRDefault="000C1C69" w:rsidP="004A6A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Recepción</w:t>
            </w:r>
            <w:r w:rsidR="00D77503" w:rsidRPr="00006B74">
              <w:rPr>
                <w:rFonts w:ascii="Cambria" w:hAnsi="Cambria"/>
                <w:bCs/>
                <w:color w:val="FFFFFF" w:themeColor="background1"/>
                <w:sz w:val="19"/>
                <w:szCs w:val="19"/>
                <w:lang w:val="es-ES"/>
              </w:rPr>
              <w:t xml:space="preserve"> de la petición</w:t>
            </w:r>
          </w:p>
        </w:tc>
        <w:tc>
          <w:tcPr>
            <w:tcW w:w="6570" w:type="dxa"/>
            <w:vAlign w:val="center"/>
          </w:tcPr>
          <w:p w:rsidR="004C2312" w:rsidRPr="00006B74" w:rsidRDefault="00C16E38" w:rsidP="00C6580F">
            <w:pPr>
              <w:jc w:val="both"/>
              <w:rPr>
                <w:rFonts w:ascii="Cambria" w:hAnsi="Cambria"/>
                <w:bCs/>
                <w:sz w:val="19"/>
                <w:szCs w:val="19"/>
                <w:lang w:val="es-ES"/>
              </w:rPr>
            </w:pPr>
            <w:r>
              <w:rPr>
                <w:rFonts w:ascii="Cambria" w:hAnsi="Cambria"/>
                <w:bCs/>
                <w:sz w:val="19"/>
                <w:szCs w:val="19"/>
                <w:lang w:val="es-ES"/>
              </w:rPr>
              <w:t>20 de ab</w:t>
            </w:r>
            <w:r w:rsidR="00C6580F">
              <w:rPr>
                <w:rFonts w:ascii="Cambria" w:hAnsi="Cambria"/>
                <w:bCs/>
                <w:sz w:val="19"/>
                <w:szCs w:val="19"/>
                <w:lang w:val="es-ES"/>
              </w:rPr>
              <w:t>r</w:t>
            </w:r>
            <w:r>
              <w:rPr>
                <w:rFonts w:ascii="Cambria" w:hAnsi="Cambria"/>
                <w:bCs/>
                <w:sz w:val="19"/>
                <w:szCs w:val="19"/>
                <w:lang w:val="es-ES"/>
              </w:rPr>
              <w:t>il de 2011</w:t>
            </w:r>
          </w:p>
        </w:tc>
      </w:tr>
      <w:tr w:rsidR="006E772A" w:rsidRPr="001C6A06" w:rsidTr="00954B82">
        <w:tc>
          <w:tcPr>
            <w:tcW w:w="2790" w:type="dxa"/>
            <w:tcBorders>
              <w:top w:val="single" w:sz="6" w:space="0" w:color="auto"/>
              <w:bottom w:val="single" w:sz="6" w:space="0" w:color="auto"/>
            </w:tcBorders>
            <w:shd w:val="clear" w:color="auto" w:fill="386294"/>
            <w:vAlign w:val="center"/>
          </w:tcPr>
          <w:p w:rsidR="006E772A" w:rsidRPr="00006B74" w:rsidRDefault="006E772A" w:rsidP="004A6A54">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 xml:space="preserve">Información adicional </w:t>
            </w:r>
            <w:r w:rsidR="002355A9">
              <w:rPr>
                <w:rFonts w:ascii="Cambria" w:hAnsi="Cambria"/>
                <w:bCs/>
                <w:color w:val="FFFFFF" w:themeColor="background1"/>
                <w:sz w:val="19"/>
                <w:szCs w:val="19"/>
                <w:lang w:val="es-ES"/>
              </w:rPr>
              <w:t>recibida en la etapa de estudio</w:t>
            </w:r>
          </w:p>
        </w:tc>
        <w:tc>
          <w:tcPr>
            <w:tcW w:w="6570" w:type="dxa"/>
            <w:vAlign w:val="center"/>
          </w:tcPr>
          <w:p w:rsidR="006E772A" w:rsidRPr="00006B74" w:rsidRDefault="0051603F" w:rsidP="002625EA">
            <w:pPr>
              <w:jc w:val="both"/>
              <w:rPr>
                <w:rFonts w:ascii="Cambria" w:hAnsi="Cambria"/>
                <w:bCs/>
                <w:sz w:val="19"/>
                <w:szCs w:val="19"/>
                <w:lang w:val="es-ES"/>
              </w:rPr>
            </w:pPr>
            <w:r>
              <w:rPr>
                <w:rFonts w:ascii="Cambria" w:hAnsi="Cambria"/>
                <w:bCs/>
                <w:sz w:val="19"/>
                <w:szCs w:val="19"/>
                <w:lang w:val="es-ES"/>
              </w:rPr>
              <w:t>19 de abril de 2017</w:t>
            </w:r>
          </w:p>
        </w:tc>
      </w:tr>
      <w:tr w:rsidR="004C2312" w:rsidRPr="00006B74" w:rsidTr="00954B82">
        <w:tc>
          <w:tcPr>
            <w:tcW w:w="2790" w:type="dxa"/>
            <w:tcBorders>
              <w:top w:val="single" w:sz="6" w:space="0" w:color="auto"/>
              <w:bottom w:val="single" w:sz="6" w:space="0" w:color="auto"/>
            </w:tcBorders>
            <w:shd w:val="clear" w:color="auto" w:fill="386294"/>
            <w:vAlign w:val="center"/>
          </w:tcPr>
          <w:p w:rsidR="004C2312" w:rsidRPr="00006B74" w:rsidRDefault="004A6A54" w:rsidP="000C1C69">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N</w:t>
            </w:r>
            <w:r w:rsidR="004C2312" w:rsidRPr="00006B74">
              <w:rPr>
                <w:rFonts w:ascii="Cambria" w:hAnsi="Cambria"/>
                <w:color w:val="FFFFFF" w:themeColor="background1"/>
                <w:sz w:val="19"/>
                <w:szCs w:val="19"/>
                <w:lang w:val="es-ES"/>
              </w:rPr>
              <w:t>otificación de la petición</w:t>
            </w:r>
          </w:p>
        </w:tc>
        <w:tc>
          <w:tcPr>
            <w:tcW w:w="6570" w:type="dxa"/>
            <w:vAlign w:val="center"/>
          </w:tcPr>
          <w:p w:rsidR="004C2312" w:rsidRPr="00006B74" w:rsidRDefault="0051603F" w:rsidP="008D2290">
            <w:pPr>
              <w:jc w:val="both"/>
              <w:rPr>
                <w:rFonts w:ascii="Cambria" w:hAnsi="Cambria"/>
                <w:bCs/>
                <w:sz w:val="19"/>
                <w:szCs w:val="19"/>
                <w:lang w:val="es-ES"/>
              </w:rPr>
            </w:pPr>
            <w:r>
              <w:rPr>
                <w:rFonts w:ascii="Cambria" w:hAnsi="Cambria"/>
                <w:bCs/>
                <w:sz w:val="19"/>
                <w:szCs w:val="19"/>
                <w:lang w:val="es-ES"/>
              </w:rPr>
              <w:t>13 de julio de 2017</w:t>
            </w:r>
          </w:p>
        </w:tc>
      </w:tr>
      <w:tr w:rsidR="00F06354" w:rsidRPr="00006B74" w:rsidTr="00954B82">
        <w:tc>
          <w:tcPr>
            <w:tcW w:w="2790" w:type="dxa"/>
            <w:tcBorders>
              <w:top w:val="single" w:sz="6" w:space="0" w:color="auto"/>
              <w:bottom w:val="single" w:sz="6" w:space="0" w:color="auto"/>
            </w:tcBorders>
            <w:shd w:val="clear" w:color="auto" w:fill="386294"/>
            <w:vAlign w:val="center"/>
          </w:tcPr>
          <w:p w:rsidR="00F06354" w:rsidRPr="00006B74" w:rsidRDefault="00D77503" w:rsidP="00F06354">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Primera respuesta del Estado</w:t>
            </w:r>
          </w:p>
        </w:tc>
        <w:tc>
          <w:tcPr>
            <w:tcW w:w="6570" w:type="dxa"/>
            <w:vAlign w:val="center"/>
          </w:tcPr>
          <w:p w:rsidR="00F06354" w:rsidRPr="00006B74" w:rsidRDefault="0051603F" w:rsidP="00F06354">
            <w:pPr>
              <w:jc w:val="both"/>
              <w:rPr>
                <w:rFonts w:ascii="Cambria" w:hAnsi="Cambria"/>
                <w:bCs/>
                <w:sz w:val="19"/>
                <w:szCs w:val="19"/>
                <w:lang w:val="es-ES"/>
              </w:rPr>
            </w:pPr>
            <w:r>
              <w:rPr>
                <w:rFonts w:ascii="Cambria" w:hAnsi="Cambria"/>
                <w:bCs/>
                <w:sz w:val="19"/>
                <w:szCs w:val="19"/>
                <w:lang w:val="es-ES"/>
              </w:rPr>
              <w:t>19 de enero de 2018</w:t>
            </w:r>
          </w:p>
        </w:tc>
      </w:tr>
      <w:tr w:rsidR="00F06354" w:rsidRPr="001C6A06" w:rsidTr="00954B82">
        <w:tc>
          <w:tcPr>
            <w:tcW w:w="2790" w:type="dxa"/>
            <w:tcBorders>
              <w:top w:val="single" w:sz="6" w:space="0" w:color="auto"/>
              <w:bottom w:val="single" w:sz="6" w:space="0" w:color="auto"/>
            </w:tcBorders>
            <w:shd w:val="clear" w:color="auto" w:fill="386294"/>
            <w:vAlign w:val="center"/>
          </w:tcPr>
          <w:p w:rsidR="00F06354" w:rsidRPr="00006B74" w:rsidRDefault="00F06354" w:rsidP="00F063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Observaciones adicionales de</w:t>
            </w:r>
            <w:r w:rsidR="00D77503" w:rsidRPr="00006B74">
              <w:rPr>
                <w:rFonts w:ascii="Cambria" w:hAnsi="Cambria"/>
                <w:bCs/>
                <w:color w:val="FFFFFF" w:themeColor="background1"/>
                <w:sz w:val="19"/>
                <w:szCs w:val="19"/>
                <w:lang w:val="es-ES"/>
              </w:rPr>
              <w:t xml:space="preserve"> la parte peticionaria</w:t>
            </w:r>
          </w:p>
        </w:tc>
        <w:tc>
          <w:tcPr>
            <w:tcW w:w="6570" w:type="dxa"/>
            <w:vAlign w:val="center"/>
          </w:tcPr>
          <w:p w:rsidR="00F06354" w:rsidRPr="00006B74" w:rsidRDefault="0051603F" w:rsidP="00D77503">
            <w:pPr>
              <w:jc w:val="both"/>
              <w:rPr>
                <w:rFonts w:ascii="Cambria" w:hAnsi="Cambria"/>
                <w:bCs/>
                <w:sz w:val="19"/>
                <w:szCs w:val="19"/>
                <w:lang w:val="es-ES"/>
              </w:rPr>
            </w:pPr>
            <w:r>
              <w:rPr>
                <w:rFonts w:ascii="Cambria" w:hAnsi="Cambria"/>
                <w:bCs/>
                <w:sz w:val="19"/>
                <w:szCs w:val="19"/>
                <w:lang w:val="es-ES"/>
              </w:rPr>
              <w:t>31 de julio de 2018</w:t>
            </w:r>
          </w:p>
        </w:tc>
      </w:tr>
    </w:tbl>
    <w:p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006B74" w:rsidTr="00954B82">
        <w:trPr>
          <w:cantSplit/>
        </w:trPr>
        <w:tc>
          <w:tcPr>
            <w:tcW w:w="2790" w:type="dxa"/>
            <w:tcBorders>
              <w:top w:val="single" w:sz="4" w:space="0" w:color="auto"/>
              <w:bottom w:val="single" w:sz="6" w:space="0" w:color="auto"/>
            </w:tcBorders>
            <w:shd w:val="clear" w:color="auto" w:fill="386294"/>
            <w:vAlign w:val="center"/>
          </w:tcPr>
          <w:p w:rsidR="003239B8" w:rsidRPr="00006B74" w:rsidRDefault="00D77503" w:rsidP="008D2290">
            <w:pPr>
              <w:jc w:val="center"/>
              <w:rPr>
                <w:rFonts w:ascii="Cambria" w:hAnsi="Cambria"/>
                <w:bCs/>
                <w:i/>
                <w:color w:val="FFFFFF" w:themeColor="background1"/>
                <w:sz w:val="19"/>
                <w:szCs w:val="19"/>
                <w:lang w:val="es-ES"/>
              </w:rPr>
            </w:pPr>
            <w:r w:rsidRPr="00006B74">
              <w:rPr>
                <w:rFonts w:ascii="Cambria" w:hAnsi="Cambria"/>
                <w:bCs/>
                <w:i/>
                <w:color w:val="FFFFFF" w:themeColor="background1"/>
                <w:sz w:val="19"/>
                <w:szCs w:val="19"/>
                <w:lang w:val="es-ES"/>
              </w:rPr>
              <w:t>Ratione personae</w:t>
            </w:r>
          </w:p>
        </w:tc>
        <w:tc>
          <w:tcPr>
            <w:tcW w:w="6570" w:type="dxa"/>
            <w:vAlign w:val="center"/>
          </w:tcPr>
          <w:p w:rsidR="003239B8" w:rsidRPr="00006B74" w:rsidRDefault="0051603F" w:rsidP="008D2290">
            <w:pPr>
              <w:rPr>
                <w:rFonts w:ascii="Cambria" w:hAnsi="Cambria"/>
                <w:bCs/>
                <w:sz w:val="19"/>
                <w:szCs w:val="19"/>
                <w:lang w:val="es-ES"/>
              </w:rPr>
            </w:pPr>
            <w:r>
              <w:rPr>
                <w:rFonts w:ascii="Cambria" w:hAnsi="Cambria"/>
                <w:bCs/>
                <w:sz w:val="19"/>
                <w:szCs w:val="19"/>
                <w:lang w:val="es-ES"/>
              </w:rPr>
              <w:t>Sí</w:t>
            </w:r>
          </w:p>
        </w:tc>
      </w:tr>
      <w:tr w:rsidR="003239B8" w:rsidRPr="00006B74" w:rsidTr="00954B82">
        <w:trPr>
          <w:cantSplit/>
        </w:trPr>
        <w:tc>
          <w:tcPr>
            <w:tcW w:w="2790" w:type="dxa"/>
            <w:tcBorders>
              <w:top w:val="single" w:sz="6" w:space="0" w:color="auto"/>
              <w:bottom w:val="single" w:sz="6" w:space="0" w:color="auto"/>
            </w:tcBorders>
            <w:shd w:val="clear" w:color="auto" w:fill="386294"/>
            <w:vAlign w:val="center"/>
          </w:tcPr>
          <w:p w:rsidR="003239B8" w:rsidRPr="00006B74" w:rsidRDefault="003239B8" w:rsidP="00D77503">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loci</w:t>
            </w:r>
          </w:p>
        </w:tc>
        <w:tc>
          <w:tcPr>
            <w:tcW w:w="6570" w:type="dxa"/>
            <w:vAlign w:val="center"/>
          </w:tcPr>
          <w:p w:rsidR="003239B8" w:rsidRPr="00006B74" w:rsidRDefault="0051603F" w:rsidP="008D2290">
            <w:pPr>
              <w:rPr>
                <w:rFonts w:ascii="Cambria" w:hAnsi="Cambria"/>
                <w:bCs/>
                <w:sz w:val="19"/>
                <w:szCs w:val="19"/>
                <w:lang w:val="es-ES"/>
              </w:rPr>
            </w:pPr>
            <w:r>
              <w:rPr>
                <w:rFonts w:ascii="Cambria" w:hAnsi="Cambria"/>
                <w:bCs/>
                <w:sz w:val="19"/>
                <w:szCs w:val="19"/>
                <w:lang w:val="es-ES"/>
              </w:rPr>
              <w:t>Sí</w:t>
            </w:r>
          </w:p>
        </w:tc>
      </w:tr>
      <w:tr w:rsidR="003239B8" w:rsidRPr="00006B74" w:rsidTr="00954B82">
        <w:trPr>
          <w:cantSplit/>
        </w:trPr>
        <w:tc>
          <w:tcPr>
            <w:tcW w:w="2790" w:type="dxa"/>
            <w:tcBorders>
              <w:top w:val="single" w:sz="6" w:space="0" w:color="auto"/>
              <w:bottom w:val="single" w:sz="6" w:space="0" w:color="auto"/>
            </w:tcBorders>
            <w:shd w:val="clear" w:color="auto" w:fill="386294"/>
            <w:vAlign w:val="center"/>
          </w:tcPr>
          <w:p w:rsidR="003239B8" w:rsidRPr="00006B74" w:rsidRDefault="003239B8" w:rsidP="008D2290">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temporis</w:t>
            </w:r>
          </w:p>
        </w:tc>
        <w:tc>
          <w:tcPr>
            <w:tcW w:w="6570" w:type="dxa"/>
            <w:vAlign w:val="center"/>
          </w:tcPr>
          <w:p w:rsidR="003239B8" w:rsidRPr="00006B74" w:rsidRDefault="0051603F" w:rsidP="008D2290">
            <w:pPr>
              <w:rPr>
                <w:bCs/>
                <w:sz w:val="19"/>
                <w:szCs w:val="19"/>
                <w:lang w:val="es-ES"/>
              </w:rPr>
            </w:pPr>
            <w:r>
              <w:rPr>
                <w:rFonts w:ascii="Cambria" w:hAnsi="Cambria"/>
                <w:bCs/>
                <w:sz w:val="19"/>
                <w:szCs w:val="19"/>
                <w:lang w:val="es-ES"/>
              </w:rPr>
              <w:t>Sí</w:t>
            </w:r>
          </w:p>
        </w:tc>
      </w:tr>
      <w:tr w:rsidR="003239B8" w:rsidRPr="00AC01AE" w:rsidTr="00954B82">
        <w:trPr>
          <w:cantSplit/>
        </w:trPr>
        <w:tc>
          <w:tcPr>
            <w:tcW w:w="2790" w:type="dxa"/>
            <w:tcBorders>
              <w:top w:val="single" w:sz="6" w:space="0" w:color="auto"/>
              <w:bottom w:val="single" w:sz="6" w:space="0" w:color="auto"/>
            </w:tcBorders>
            <w:shd w:val="clear" w:color="auto" w:fill="386294"/>
            <w:vAlign w:val="center"/>
          </w:tcPr>
          <w:p w:rsidR="003239B8" w:rsidRPr="00006B74" w:rsidRDefault="003239B8" w:rsidP="008D2290">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materia</w:t>
            </w:r>
            <w:r w:rsidR="00EE00E9" w:rsidRPr="00006B74">
              <w:rPr>
                <w:rFonts w:ascii="Cambria" w:hAnsi="Cambria"/>
                <w:bCs/>
                <w:i/>
                <w:color w:val="FFFFFF" w:themeColor="background1"/>
                <w:sz w:val="19"/>
                <w:szCs w:val="19"/>
                <w:lang w:val="es-ES"/>
              </w:rPr>
              <w:t>e</w:t>
            </w:r>
          </w:p>
        </w:tc>
        <w:tc>
          <w:tcPr>
            <w:tcW w:w="6570" w:type="dxa"/>
            <w:vAlign w:val="center"/>
          </w:tcPr>
          <w:p w:rsidR="003239B8" w:rsidRPr="00006B74" w:rsidRDefault="0051603F" w:rsidP="008D2290">
            <w:pPr>
              <w:jc w:val="both"/>
              <w:rPr>
                <w:rFonts w:ascii="Cambria" w:hAnsi="Cambria"/>
                <w:bCs/>
                <w:sz w:val="19"/>
                <w:szCs w:val="19"/>
                <w:lang w:val="es-ES"/>
              </w:rPr>
            </w:pPr>
            <w:r>
              <w:rPr>
                <w:rFonts w:ascii="Cambria" w:hAnsi="Cambria"/>
                <w:bCs/>
                <w:sz w:val="19"/>
                <w:szCs w:val="19"/>
                <w:lang w:val="es-ES"/>
              </w:rPr>
              <w:t>Sí, Convención Americana sobre Derechos Humanos (deposito del instrumento el 21 de agosto de 1990)</w:t>
            </w:r>
          </w:p>
        </w:tc>
      </w:tr>
    </w:tbl>
    <w:p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EE00E9" w:rsidRPr="00006B74">
        <w:rPr>
          <w:rFonts w:asciiTheme="majorHAnsi" w:hAnsiTheme="majorHAnsi"/>
          <w:b/>
          <w:bCs/>
          <w:sz w:val="20"/>
          <w:szCs w:val="20"/>
          <w:lang w:val="es-ES"/>
        </w:rPr>
        <w:t xml:space="preserve">INTERNACIONAL, </w:t>
      </w:r>
      <w:r w:rsidRPr="00006B74">
        <w:rPr>
          <w:rFonts w:asciiTheme="majorHAnsi" w:hAnsiTheme="majorHAnsi"/>
          <w:b/>
          <w:bCs/>
          <w:sz w:val="20"/>
          <w:szCs w:val="20"/>
          <w:lang w:val="es-ES"/>
        </w:rPr>
        <w:t xml:space="preserve"> CARACTERIZACIÓN,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EE00E9" w:rsidRPr="001C6A06" w:rsidTr="00954B82">
        <w:trPr>
          <w:cantSplit/>
        </w:trPr>
        <w:tc>
          <w:tcPr>
            <w:tcW w:w="2790" w:type="dxa"/>
            <w:tcBorders>
              <w:top w:val="single" w:sz="4" w:space="0" w:color="auto"/>
              <w:bottom w:val="single" w:sz="6" w:space="0" w:color="auto"/>
            </w:tcBorders>
            <w:shd w:val="clear" w:color="auto" w:fill="386294"/>
            <w:vAlign w:val="center"/>
          </w:tcPr>
          <w:p w:rsidR="00EE00E9" w:rsidRPr="00006B74" w:rsidRDefault="00EE00E9" w:rsidP="00954B82">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Duplicación </w:t>
            </w:r>
            <w:r w:rsidR="00D77503" w:rsidRPr="00006B74">
              <w:rPr>
                <w:rFonts w:ascii="Cambria" w:hAnsi="Cambria"/>
                <w:bCs/>
                <w:color w:val="FFFFFF" w:themeColor="background1"/>
                <w:sz w:val="19"/>
                <w:szCs w:val="19"/>
                <w:lang w:val="es-ES"/>
              </w:rPr>
              <w:t>y cosa juzgada internacional</w:t>
            </w:r>
          </w:p>
        </w:tc>
        <w:tc>
          <w:tcPr>
            <w:tcW w:w="6570" w:type="dxa"/>
            <w:vAlign w:val="center"/>
          </w:tcPr>
          <w:p w:rsidR="00EE00E9" w:rsidRPr="00740B02" w:rsidRDefault="0051603F" w:rsidP="008D2290">
            <w:pPr>
              <w:jc w:val="both"/>
              <w:rPr>
                <w:rFonts w:asciiTheme="majorHAnsi" w:hAnsiTheme="majorHAnsi"/>
                <w:bCs/>
                <w:sz w:val="19"/>
                <w:szCs w:val="19"/>
                <w:lang w:val="es-ES"/>
              </w:rPr>
            </w:pPr>
            <w:r w:rsidRPr="00740B02">
              <w:rPr>
                <w:rFonts w:asciiTheme="majorHAnsi" w:hAnsiTheme="majorHAnsi"/>
                <w:bCs/>
                <w:sz w:val="19"/>
                <w:szCs w:val="19"/>
                <w:lang w:val="es-ES"/>
              </w:rPr>
              <w:t>No</w:t>
            </w:r>
          </w:p>
        </w:tc>
      </w:tr>
      <w:tr w:rsidR="003239B8" w:rsidRPr="00AC01AE" w:rsidTr="00954B82">
        <w:trPr>
          <w:cantSplit/>
        </w:trPr>
        <w:tc>
          <w:tcPr>
            <w:tcW w:w="2790" w:type="dxa"/>
            <w:tcBorders>
              <w:top w:val="single" w:sz="4" w:space="0" w:color="auto"/>
              <w:bottom w:val="single" w:sz="6" w:space="0" w:color="auto"/>
            </w:tcBorders>
            <w:shd w:val="clear" w:color="auto" w:fill="386294"/>
            <w:vAlign w:val="center"/>
          </w:tcPr>
          <w:p w:rsidR="003239B8" w:rsidRPr="00006B74" w:rsidRDefault="003239B8" w:rsidP="00954B82">
            <w:pPr>
              <w:jc w:val="center"/>
              <w:rPr>
                <w:rFonts w:ascii="Cambria" w:hAnsi="Cambria"/>
                <w:bCs/>
                <w:i/>
                <w:color w:val="FFFFFF" w:themeColor="background1"/>
                <w:sz w:val="19"/>
                <w:szCs w:val="19"/>
                <w:lang w:val="es-ES"/>
              </w:rPr>
            </w:pPr>
            <w:r w:rsidRPr="00006B74">
              <w:rPr>
                <w:rFonts w:ascii="Cambria" w:hAnsi="Cambria"/>
                <w:bCs/>
                <w:color w:val="FFFFFF" w:themeColor="background1"/>
                <w:sz w:val="19"/>
                <w:szCs w:val="19"/>
                <w:lang w:val="es-ES"/>
              </w:rPr>
              <w:t>Derechos admi</w:t>
            </w:r>
            <w:r w:rsidR="00954B82" w:rsidRPr="00006B74">
              <w:rPr>
                <w:rFonts w:ascii="Cambria" w:hAnsi="Cambria"/>
                <w:bCs/>
                <w:color w:val="FFFFFF" w:themeColor="background1"/>
                <w:sz w:val="19"/>
                <w:szCs w:val="19"/>
                <w:lang w:val="es-ES"/>
              </w:rPr>
              <w:t>tidos</w:t>
            </w:r>
          </w:p>
        </w:tc>
        <w:tc>
          <w:tcPr>
            <w:tcW w:w="6570" w:type="dxa"/>
            <w:vAlign w:val="center"/>
          </w:tcPr>
          <w:p w:rsidR="003239B8" w:rsidRPr="00740B02" w:rsidRDefault="00B52F2F" w:rsidP="00A77206">
            <w:pPr>
              <w:jc w:val="both"/>
              <w:rPr>
                <w:rFonts w:asciiTheme="majorHAnsi" w:hAnsiTheme="majorHAnsi"/>
                <w:bCs/>
                <w:sz w:val="19"/>
                <w:szCs w:val="19"/>
                <w:lang w:val="es-ES"/>
              </w:rPr>
            </w:pPr>
            <w:r>
              <w:rPr>
                <w:rFonts w:asciiTheme="majorHAnsi" w:hAnsiTheme="majorHAnsi"/>
                <w:bCs/>
                <w:sz w:val="19"/>
                <w:szCs w:val="19"/>
                <w:lang w:val="es-ES"/>
              </w:rPr>
              <w:t>Artículos 8 (garantías judiciales)</w:t>
            </w:r>
            <w:r w:rsidR="00836ED6">
              <w:rPr>
                <w:rFonts w:asciiTheme="majorHAnsi" w:hAnsiTheme="majorHAnsi"/>
                <w:bCs/>
                <w:sz w:val="19"/>
                <w:szCs w:val="19"/>
                <w:lang w:val="es-ES"/>
              </w:rPr>
              <w:t>,</w:t>
            </w:r>
            <w:r>
              <w:rPr>
                <w:rFonts w:asciiTheme="majorHAnsi" w:hAnsiTheme="majorHAnsi"/>
                <w:bCs/>
                <w:sz w:val="19"/>
                <w:szCs w:val="19"/>
                <w:lang w:val="es-ES"/>
              </w:rPr>
              <w:t xml:space="preserve"> 11 (honra y dignidad)</w:t>
            </w:r>
            <w:r w:rsidR="00452995">
              <w:rPr>
                <w:rFonts w:asciiTheme="majorHAnsi" w:hAnsiTheme="majorHAnsi"/>
                <w:bCs/>
                <w:sz w:val="19"/>
                <w:szCs w:val="19"/>
                <w:lang w:val="es-ES"/>
              </w:rPr>
              <w:t>,</w:t>
            </w:r>
            <w:r w:rsidR="00836ED6">
              <w:rPr>
                <w:rFonts w:asciiTheme="majorHAnsi" w:hAnsiTheme="majorHAnsi"/>
                <w:bCs/>
                <w:sz w:val="19"/>
                <w:szCs w:val="19"/>
                <w:lang w:val="es-ES"/>
              </w:rPr>
              <w:t xml:space="preserve"> 13 (libertad de expresión)</w:t>
            </w:r>
            <w:r w:rsidR="00452995" w:rsidRPr="001C6A06">
              <w:rPr>
                <w:rFonts w:ascii="Cambria" w:hAnsi="Cambria"/>
                <w:bCs/>
                <w:color w:val="000000" w:themeColor="text1"/>
                <w:sz w:val="19"/>
                <w:szCs w:val="19"/>
                <w:lang w:val="es-ES"/>
              </w:rPr>
              <w:t xml:space="preserve"> y 24 (igualdad ante la ley) </w:t>
            </w:r>
            <w:r>
              <w:rPr>
                <w:rFonts w:asciiTheme="majorHAnsi" w:hAnsiTheme="majorHAnsi"/>
                <w:bCs/>
                <w:sz w:val="19"/>
                <w:szCs w:val="19"/>
                <w:lang w:val="es-ES"/>
              </w:rPr>
              <w:t>de la Convención Americana en concordancia con el artículo 1.1 del mismo instrumento</w:t>
            </w:r>
          </w:p>
        </w:tc>
      </w:tr>
      <w:tr w:rsidR="003239B8" w:rsidRPr="00AC01AE" w:rsidTr="00954B82">
        <w:trPr>
          <w:cantSplit/>
        </w:trPr>
        <w:tc>
          <w:tcPr>
            <w:tcW w:w="2790" w:type="dxa"/>
            <w:tcBorders>
              <w:top w:val="single" w:sz="6" w:space="0" w:color="auto"/>
              <w:bottom w:val="single" w:sz="6" w:space="0" w:color="auto"/>
            </w:tcBorders>
            <w:shd w:val="clear" w:color="auto" w:fill="386294"/>
            <w:vAlign w:val="center"/>
          </w:tcPr>
          <w:p w:rsidR="003239B8" w:rsidRPr="00006B74" w:rsidRDefault="003239B8" w:rsidP="006775AB">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Agotamiento de</w:t>
            </w:r>
            <w:r w:rsidR="0069402E">
              <w:rPr>
                <w:rFonts w:ascii="Cambria" w:hAnsi="Cambria"/>
                <w:bCs/>
                <w:color w:val="FFFFFF" w:themeColor="background1"/>
                <w:sz w:val="19"/>
                <w:szCs w:val="19"/>
                <w:lang w:val="es-ES"/>
              </w:rPr>
              <w:t xml:space="preserve"> </w:t>
            </w:r>
            <w:r w:rsidRPr="00006B74">
              <w:rPr>
                <w:rFonts w:ascii="Cambria" w:hAnsi="Cambria"/>
                <w:bCs/>
                <w:color w:val="FFFFFF" w:themeColor="background1"/>
                <w:sz w:val="19"/>
                <w:szCs w:val="19"/>
                <w:lang w:val="es-ES"/>
              </w:rPr>
              <w:t xml:space="preserve">recursos </w:t>
            </w:r>
            <w:r w:rsidR="00D77503" w:rsidRPr="00006B74">
              <w:rPr>
                <w:rFonts w:ascii="Cambria" w:hAnsi="Cambria"/>
                <w:bCs/>
                <w:color w:val="FFFFFF" w:themeColor="background1"/>
                <w:sz w:val="19"/>
                <w:szCs w:val="19"/>
                <w:lang w:val="es-ES"/>
              </w:rPr>
              <w:t>o procedencia de una excepción</w:t>
            </w:r>
          </w:p>
        </w:tc>
        <w:tc>
          <w:tcPr>
            <w:tcW w:w="6570" w:type="dxa"/>
            <w:vAlign w:val="center"/>
          </w:tcPr>
          <w:p w:rsidR="003239B8" w:rsidRPr="00740B02" w:rsidRDefault="00E22371" w:rsidP="00BB3FBD">
            <w:pPr>
              <w:rPr>
                <w:rFonts w:asciiTheme="majorHAnsi" w:hAnsiTheme="majorHAnsi"/>
                <w:bCs/>
                <w:sz w:val="19"/>
                <w:szCs w:val="19"/>
                <w:lang w:val="es-ES"/>
              </w:rPr>
            </w:pPr>
            <w:r>
              <w:rPr>
                <w:rFonts w:asciiTheme="majorHAnsi" w:hAnsiTheme="majorHAnsi"/>
                <w:bCs/>
                <w:sz w:val="19"/>
                <w:szCs w:val="19"/>
                <w:lang w:val="es-ES"/>
              </w:rPr>
              <w:t>Sí, en los términos de la sección VI</w:t>
            </w:r>
          </w:p>
        </w:tc>
      </w:tr>
      <w:tr w:rsidR="003239B8" w:rsidRPr="00AC01AE" w:rsidTr="00954B82">
        <w:trPr>
          <w:cantSplit/>
        </w:trPr>
        <w:tc>
          <w:tcPr>
            <w:tcW w:w="2790" w:type="dxa"/>
            <w:tcBorders>
              <w:top w:val="single" w:sz="6" w:space="0" w:color="auto"/>
              <w:bottom w:val="single" w:sz="6" w:space="0" w:color="auto"/>
            </w:tcBorders>
            <w:shd w:val="clear" w:color="auto" w:fill="386294"/>
            <w:vAlign w:val="center"/>
          </w:tcPr>
          <w:p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Presentación dentro de plazo</w:t>
            </w:r>
          </w:p>
        </w:tc>
        <w:tc>
          <w:tcPr>
            <w:tcW w:w="6570" w:type="dxa"/>
            <w:vAlign w:val="center"/>
          </w:tcPr>
          <w:p w:rsidR="003239B8" w:rsidRPr="00740B02" w:rsidRDefault="00E22371" w:rsidP="008D2290">
            <w:pPr>
              <w:rPr>
                <w:rFonts w:asciiTheme="majorHAnsi" w:hAnsiTheme="majorHAnsi"/>
                <w:bCs/>
                <w:sz w:val="19"/>
                <w:szCs w:val="19"/>
                <w:lang w:val="es-ES"/>
              </w:rPr>
            </w:pPr>
            <w:r>
              <w:rPr>
                <w:rFonts w:asciiTheme="majorHAnsi" w:hAnsiTheme="majorHAnsi"/>
                <w:bCs/>
                <w:sz w:val="19"/>
                <w:szCs w:val="19"/>
                <w:lang w:val="es-ES"/>
              </w:rPr>
              <w:t>Sí, en los términos de la sección VI</w:t>
            </w:r>
          </w:p>
        </w:tc>
      </w:tr>
    </w:tbl>
    <w:p w:rsidR="003239B8" w:rsidRPr="00006B74" w:rsidRDefault="00223A29" w:rsidP="00647756">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rsidR="00E22371" w:rsidRDefault="002B7530" w:rsidP="00AC01A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B7530">
        <w:rPr>
          <w:rFonts w:ascii="Cambria" w:hAnsi="Cambria"/>
          <w:sz w:val="20"/>
          <w:szCs w:val="20"/>
          <w:lang w:val="es-ES"/>
        </w:rPr>
        <w:t xml:space="preserve">La presunta víctima, un escritor vasco, </w:t>
      </w:r>
      <w:r>
        <w:rPr>
          <w:rFonts w:ascii="Cambria" w:hAnsi="Cambria"/>
          <w:sz w:val="20"/>
          <w:szCs w:val="20"/>
          <w:lang w:val="es-ES"/>
        </w:rPr>
        <w:t>alega que el Estado chileno ha violado sus derechos humanos en el marco de un proceso penal y de un proceso de expulsión promovido en su contra. Indica qu</w:t>
      </w:r>
      <w:r w:rsidRPr="002B7530">
        <w:rPr>
          <w:rFonts w:ascii="Cambria" w:hAnsi="Cambria"/>
          <w:sz w:val="20"/>
          <w:szCs w:val="20"/>
          <w:lang w:val="es-ES"/>
        </w:rPr>
        <w:t xml:space="preserve">e </w:t>
      </w:r>
      <w:r>
        <w:rPr>
          <w:rFonts w:ascii="Cambria" w:hAnsi="Cambria"/>
          <w:sz w:val="20"/>
          <w:szCs w:val="20"/>
          <w:lang w:val="es-ES"/>
        </w:rPr>
        <w:t>en</w:t>
      </w:r>
      <w:r w:rsidRPr="002B7530">
        <w:rPr>
          <w:rFonts w:ascii="Cambria" w:hAnsi="Cambria"/>
          <w:sz w:val="20"/>
          <w:szCs w:val="20"/>
          <w:lang w:val="es-ES"/>
        </w:rPr>
        <w:t xml:space="preserve"> diciembre de 2008 </w:t>
      </w:r>
      <w:r>
        <w:rPr>
          <w:rFonts w:ascii="Cambria" w:hAnsi="Cambria"/>
          <w:sz w:val="20"/>
          <w:szCs w:val="20"/>
          <w:lang w:val="es-ES"/>
        </w:rPr>
        <w:t>se</w:t>
      </w:r>
      <w:r w:rsidRPr="002B7530">
        <w:rPr>
          <w:rFonts w:ascii="Cambria" w:hAnsi="Cambria"/>
          <w:sz w:val="20"/>
          <w:szCs w:val="20"/>
          <w:lang w:val="es-ES"/>
        </w:rPr>
        <w:t xml:space="preserve"> </w:t>
      </w:r>
      <w:r>
        <w:rPr>
          <w:rFonts w:ascii="Cambria" w:hAnsi="Cambria"/>
          <w:sz w:val="20"/>
          <w:szCs w:val="20"/>
          <w:lang w:val="es-ES"/>
        </w:rPr>
        <w:t xml:space="preserve">mudó a Chile y se instaló en la </w:t>
      </w:r>
      <w:r w:rsidRPr="002B7530">
        <w:rPr>
          <w:rFonts w:ascii="Cambria" w:hAnsi="Cambria"/>
          <w:sz w:val="20"/>
          <w:szCs w:val="20"/>
          <w:lang w:val="es-ES"/>
        </w:rPr>
        <w:t>ciudad de Temuco, Araucanía</w:t>
      </w:r>
      <w:r>
        <w:rPr>
          <w:rFonts w:ascii="Cambria" w:hAnsi="Cambria"/>
          <w:sz w:val="20"/>
          <w:szCs w:val="20"/>
          <w:lang w:val="es-ES"/>
        </w:rPr>
        <w:t>, para residir con su compañera. Afirma que la ciudad estaba situada en una regi</w:t>
      </w:r>
      <w:r w:rsidR="00E22371">
        <w:rPr>
          <w:rFonts w:ascii="Cambria" w:hAnsi="Cambria"/>
          <w:sz w:val="20"/>
          <w:szCs w:val="20"/>
          <w:lang w:val="es-ES"/>
        </w:rPr>
        <w:t xml:space="preserve">ón conflictiva </w:t>
      </w:r>
      <w:r>
        <w:rPr>
          <w:rFonts w:ascii="Cambria" w:hAnsi="Cambria"/>
          <w:sz w:val="20"/>
          <w:szCs w:val="20"/>
          <w:lang w:val="es-ES"/>
        </w:rPr>
        <w:t xml:space="preserve">y </w:t>
      </w:r>
      <w:r w:rsidR="00E22371">
        <w:rPr>
          <w:rFonts w:ascii="Cambria" w:hAnsi="Cambria"/>
          <w:sz w:val="20"/>
          <w:szCs w:val="20"/>
          <w:lang w:val="es-ES"/>
        </w:rPr>
        <w:t xml:space="preserve">que </w:t>
      </w:r>
      <w:r>
        <w:rPr>
          <w:rFonts w:ascii="Cambria" w:hAnsi="Cambria"/>
          <w:sz w:val="20"/>
          <w:szCs w:val="20"/>
          <w:lang w:val="es-ES"/>
        </w:rPr>
        <w:t>desde 2</w:t>
      </w:r>
      <w:r w:rsidR="00E22371">
        <w:rPr>
          <w:rFonts w:ascii="Cambria" w:hAnsi="Cambria"/>
          <w:sz w:val="20"/>
          <w:szCs w:val="20"/>
          <w:lang w:val="es-ES"/>
        </w:rPr>
        <w:t xml:space="preserve">001 se habían estallado varias bombas de confección caseras en la ciudad, sin víctimas </w:t>
      </w:r>
      <w:r w:rsidR="001A2420">
        <w:rPr>
          <w:rFonts w:ascii="Cambria" w:hAnsi="Cambria"/>
          <w:sz w:val="20"/>
          <w:szCs w:val="20"/>
          <w:lang w:val="es-ES"/>
        </w:rPr>
        <w:t>fatales</w:t>
      </w:r>
      <w:r w:rsidR="00E22371">
        <w:rPr>
          <w:rFonts w:ascii="Cambria" w:hAnsi="Cambria"/>
          <w:sz w:val="20"/>
          <w:szCs w:val="20"/>
          <w:lang w:val="es-ES"/>
        </w:rPr>
        <w:t xml:space="preserve">. </w:t>
      </w:r>
    </w:p>
    <w:p w:rsidR="007E09E1" w:rsidRDefault="00E22371" w:rsidP="00AC01A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Aduce que sus problemas con las autoridades chilenas empezaron en diciembre de 2009 en función de que: i) el 7 de diciembre explotó una bomba en la ciudad; ii) </w:t>
      </w:r>
      <w:r w:rsidR="00117F1F">
        <w:rPr>
          <w:rFonts w:ascii="Cambria" w:hAnsi="Cambria"/>
          <w:sz w:val="20"/>
          <w:szCs w:val="20"/>
          <w:lang w:val="es-ES"/>
        </w:rPr>
        <w:t>el 19 de diciembre, cuando se dirigía con un grupo de personas a realizar un mural callejero, fue sometido a un control de identidad por parte de la policía; y iii) el 31 de diciembre la policía desactivó un artefacto explosivo encon</w:t>
      </w:r>
      <w:r w:rsidR="00117F1F" w:rsidRPr="00117F1F">
        <w:rPr>
          <w:rFonts w:ascii="Cambria" w:hAnsi="Cambria"/>
          <w:sz w:val="20"/>
          <w:szCs w:val="20"/>
          <w:lang w:val="es-ES"/>
        </w:rPr>
        <w:t>trado en el antejardín de la Secretaría Regional Ministerial de Justicia en Temuco</w:t>
      </w:r>
      <w:r w:rsidR="00117F1F">
        <w:rPr>
          <w:rFonts w:ascii="Cambria" w:hAnsi="Cambria"/>
          <w:sz w:val="20"/>
          <w:szCs w:val="20"/>
          <w:lang w:val="es-ES"/>
        </w:rPr>
        <w:t xml:space="preserve">. Afirma que, ante su fracaso en resolver los atentados, </w:t>
      </w:r>
      <w:r w:rsidR="001A2420">
        <w:rPr>
          <w:rFonts w:ascii="Cambria" w:hAnsi="Cambria"/>
          <w:sz w:val="20"/>
          <w:szCs w:val="20"/>
          <w:lang w:val="es-ES"/>
        </w:rPr>
        <w:t xml:space="preserve">las autoridades </w:t>
      </w:r>
      <w:r w:rsidR="00117F1F">
        <w:rPr>
          <w:rFonts w:ascii="Cambria" w:hAnsi="Cambria"/>
          <w:sz w:val="20"/>
          <w:szCs w:val="20"/>
          <w:lang w:val="es-ES"/>
        </w:rPr>
        <w:t>adopt</w:t>
      </w:r>
      <w:r w:rsidR="001A2420">
        <w:rPr>
          <w:rFonts w:ascii="Cambria" w:hAnsi="Cambria"/>
          <w:sz w:val="20"/>
          <w:szCs w:val="20"/>
          <w:lang w:val="es-ES"/>
        </w:rPr>
        <w:t>aron</w:t>
      </w:r>
      <w:r w:rsidR="00117F1F">
        <w:rPr>
          <w:rFonts w:ascii="Cambria" w:hAnsi="Cambria"/>
          <w:sz w:val="20"/>
          <w:szCs w:val="20"/>
          <w:lang w:val="es-ES"/>
        </w:rPr>
        <w:t xml:space="preserve"> una política de persecución a todas las personas </w:t>
      </w:r>
      <w:r>
        <w:rPr>
          <w:rFonts w:ascii="Cambria" w:hAnsi="Cambria"/>
          <w:sz w:val="20"/>
          <w:szCs w:val="20"/>
          <w:lang w:val="es-ES"/>
        </w:rPr>
        <w:t>consideradas anarquistas</w:t>
      </w:r>
      <w:r w:rsidR="001A2420">
        <w:rPr>
          <w:rFonts w:ascii="Cambria" w:hAnsi="Cambria"/>
          <w:sz w:val="20"/>
          <w:szCs w:val="20"/>
          <w:lang w:val="es-ES"/>
        </w:rPr>
        <w:t xml:space="preserve"> y simpatizantes con la causa Mapuche</w:t>
      </w:r>
      <w:r>
        <w:rPr>
          <w:rFonts w:ascii="Cambria" w:hAnsi="Cambria"/>
          <w:sz w:val="20"/>
          <w:szCs w:val="20"/>
          <w:lang w:val="es-ES"/>
        </w:rPr>
        <w:t xml:space="preserve">. </w:t>
      </w:r>
      <w:r w:rsidR="00117F1F">
        <w:rPr>
          <w:rFonts w:ascii="Cambria" w:hAnsi="Cambria"/>
          <w:sz w:val="20"/>
          <w:szCs w:val="20"/>
          <w:lang w:val="es-ES"/>
        </w:rPr>
        <w:t>I</w:t>
      </w:r>
      <w:r w:rsidR="001A2420">
        <w:rPr>
          <w:rFonts w:ascii="Cambria" w:hAnsi="Cambria"/>
          <w:sz w:val="20"/>
          <w:szCs w:val="20"/>
          <w:lang w:val="es-ES"/>
        </w:rPr>
        <w:t xml:space="preserve">ndica que él tenía varias publicaciones en favor del anarquismo y de los </w:t>
      </w:r>
      <w:r w:rsidR="001A2420">
        <w:rPr>
          <w:rFonts w:ascii="Cambria" w:hAnsi="Cambria"/>
          <w:sz w:val="20"/>
          <w:szCs w:val="20"/>
          <w:lang w:val="es-ES"/>
        </w:rPr>
        <w:lastRenderedPageBreak/>
        <w:t>Mapuches y, en función de ello, de su perfil, de su origen vasco</w:t>
      </w:r>
      <w:r w:rsidR="00452BCD">
        <w:rPr>
          <w:rFonts w:ascii="Cambria" w:hAnsi="Cambria"/>
          <w:sz w:val="20"/>
          <w:szCs w:val="20"/>
          <w:lang w:val="es-ES"/>
        </w:rPr>
        <w:t xml:space="preserve"> y</w:t>
      </w:r>
      <w:r w:rsidR="007E09E1">
        <w:rPr>
          <w:rFonts w:ascii="Cambria" w:hAnsi="Cambria"/>
          <w:sz w:val="20"/>
          <w:szCs w:val="20"/>
          <w:lang w:val="es-ES"/>
        </w:rPr>
        <w:t xml:space="preserve"> de su </w:t>
      </w:r>
      <w:r w:rsidR="00452BCD">
        <w:rPr>
          <w:rFonts w:ascii="Cambria" w:hAnsi="Cambria"/>
          <w:sz w:val="20"/>
          <w:szCs w:val="20"/>
          <w:lang w:val="es-ES"/>
        </w:rPr>
        <w:t>pertenencia</w:t>
      </w:r>
      <w:r w:rsidR="007E09E1">
        <w:rPr>
          <w:rFonts w:ascii="Cambria" w:hAnsi="Cambria"/>
          <w:sz w:val="20"/>
          <w:szCs w:val="20"/>
          <w:lang w:val="es-ES"/>
        </w:rPr>
        <w:t xml:space="preserve"> a un </w:t>
      </w:r>
      <w:r w:rsidR="00452BCD">
        <w:rPr>
          <w:rFonts w:ascii="Cambria" w:hAnsi="Cambria"/>
          <w:sz w:val="20"/>
          <w:szCs w:val="20"/>
          <w:lang w:val="es-ES"/>
        </w:rPr>
        <w:t xml:space="preserve">grupo </w:t>
      </w:r>
      <w:r w:rsidR="007E09E1">
        <w:rPr>
          <w:rFonts w:ascii="Cambria" w:hAnsi="Cambria"/>
          <w:sz w:val="20"/>
          <w:szCs w:val="20"/>
          <w:lang w:val="es-ES"/>
        </w:rPr>
        <w:t xml:space="preserve">punk </w:t>
      </w:r>
      <w:r w:rsidR="001A2420">
        <w:rPr>
          <w:rFonts w:ascii="Cambria" w:hAnsi="Cambria"/>
          <w:sz w:val="20"/>
          <w:szCs w:val="20"/>
          <w:lang w:val="es-ES"/>
        </w:rPr>
        <w:t>se</w:t>
      </w:r>
      <w:r w:rsidR="007E09E1">
        <w:rPr>
          <w:rFonts w:ascii="Cambria" w:hAnsi="Cambria"/>
          <w:sz w:val="20"/>
          <w:szCs w:val="20"/>
          <w:lang w:val="es-ES"/>
        </w:rPr>
        <w:t xml:space="preserve"> inició</w:t>
      </w:r>
      <w:r w:rsidR="00452BCD">
        <w:rPr>
          <w:rFonts w:ascii="Cambria" w:hAnsi="Cambria"/>
          <w:sz w:val="20"/>
          <w:szCs w:val="20"/>
          <w:lang w:val="es-ES"/>
        </w:rPr>
        <w:t xml:space="preserve"> una investigación en su contra y se</w:t>
      </w:r>
      <w:r w:rsidR="001A2420">
        <w:rPr>
          <w:rFonts w:ascii="Cambria" w:hAnsi="Cambria"/>
          <w:sz w:val="20"/>
          <w:szCs w:val="20"/>
          <w:lang w:val="es-ES"/>
        </w:rPr>
        <w:t xml:space="preserve"> ordenó el allanamiento de su residencia.  </w:t>
      </w:r>
    </w:p>
    <w:p w:rsidR="00AE4581" w:rsidRDefault="007E09E1" w:rsidP="00AC01A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Afirma que </w:t>
      </w:r>
      <w:r w:rsidR="001C04E0">
        <w:rPr>
          <w:rFonts w:ascii="Cambria" w:hAnsi="Cambria"/>
          <w:sz w:val="20"/>
          <w:szCs w:val="20"/>
          <w:lang w:val="es-ES"/>
        </w:rPr>
        <w:t xml:space="preserve">el 31 de diciembre de 2009 </w:t>
      </w:r>
      <w:r w:rsidR="00452BCD">
        <w:rPr>
          <w:rFonts w:ascii="Cambria" w:hAnsi="Cambria"/>
          <w:sz w:val="20"/>
          <w:szCs w:val="20"/>
          <w:lang w:val="es-ES"/>
        </w:rPr>
        <w:t xml:space="preserve">fue detenido durante </w:t>
      </w:r>
      <w:r w:rsidR="00B927C8">
        <w:rPr>
          <w:rFonts w:ascii="Cambria" w:hAnsi="Cambria"/>
          <w:sz w:val="20"/>
          <w:szCs w:val="20"/>
          <w:lang w:val="es-ES"/>
        </w:rPr>
        <w:t xml:space="preserve">un </w:t>
      </w:r>
      <w:r w:rsidR="007F3226">
        <w:rPr>
          <w:rFonts w:ascii="Cambria" w:hAnsi="Cambria"/>
          <w:sz w:val="20"/>
          <w:szCs w:val="20"/>
          <w:lang w:val="es-ES"/>
        </w:rPr>
        <w:t>allanamiento</w:t>
      </w:r>
      <w:r w:rsidR="001C04E0">
        <w:rPr>
          <w:rFonts w:ascii="Cambria" w:hAnsi="Cambria"/>
          <w:sz w:val="20"/>
          <w:szCs w:val="20"/>
          <w:lang w:val="es-ES"/>
        </w:rPr>
        <w:t xml:space="preserve"> de su residencia</w:t>
      </w:r>
      <w:r w:rsidR="007F3226">
        <w:rPr>
          <w:rFonts w:ascii="Cambria" w:hAnsi="Cambria"/>
          <w:sz w:val="20"/>
          <w:szCs w:val="20"/>
          <w:lang w:val="es-ES"/>
        </w:rPr>
        <w:t>,</w:t>
      </w:r>
      <w:r w:rsidR="00452BCD">
        <w:rPr>
          <w:rFonts w:ascii="Cambria" w:hAnsi="Cambria"/>
          <w:sz w:val="20"/>
          <w:szCs w:val="20"/>
          <w:lang w:val="es-ES"/>
        </w:rPr>
        <w:t xml:space="preserve"> que los policías plantaron</w:t>
      </w:r>
      <w:r>
        <w:rPr>
          <w:rFonts w:ascii="Cambria" w:hAnsi="Cambria"/>
          <w:sz w:val="20"/>
          <w:szCs w:val="20"/>
          <w:lang w:val="es-ES"/>
        </w:rPr>
        <w:t xml:space="preserve"> artefactos que podrían ser utilizados en la fabricación de bombas caseras</w:t>
      </w:r>
      <w:r w:rsidR="00452BCD">
        <w:rPr>
          <w:rFonts w:ascii="Cambria" w:hAnsi="Cambria"/>
          <w:sz w:val="20"/>
          <w:szCs w:val="20"/>
          <w:lang w:val="es-ES"/>
        </w:rPr>
        <w:t xml:space="preserve"> para incriminarlo</w:t>
      </w:r>
      <w:r w:rsidR="007F3226">
        <w:rPr>
          <w:rFonts w:ascii="Cambria" w:hAnsi="Cambria"/>
          <w:sz w:val="20"/>
          <w:szCs w:val="20"/>
          <w:lang w:val="es-ES"/>
        </w:rPr>
        <w:t xml:space="preserve"> y luego editaron las fotografías de la prueba para eliminar la fecha y horario de las fotos</w:t>
      </w:r>
      <w:r>
        <w:rPr>
          <w:rFonts w:ascii="Cambria" w:hAnsi="Cambria"/>
          <w:sz w:val="20"/>
          <w:szCs w:val="20"/>
          <w:lang w:val="es-ES"/>
        </w:rPr>
        <w:t xml:space="preserve">. </w:t>
      </w:r>
      <w:r w:rsidR="00452BCD">
        <w:rPr>
          <w:rFonts w:ascii="Cambria" w:hAnsi="Cambria"/>
          <w:sz w:val="20"/>
          <w:szCs w:val="20"/>
          <w:lang w:val="es-ES"/>
        </w:rPr>
        <w:t>Agrega</w:t>
      </w:r>
      <w:r>
        <w:rPr>
          <w:rFonts w:ascii="Cambria" w:hAnsi="Cambria"/>
          <w:sz w:val="20"/>
          <w:szCs w:val="20"/>
          <w:lang w:val="es-ES"/>
        </w:rPr>
        <w:t xml:space="preserve"> que las autoridades le tacharon como un terrorista y que lo presentaron en los medios de comunicación como tal. </w:t>
      </w:r>
      <w:r w:rsidR="00452BCD">
        <w:rPr>
          <w:rFonts w:ascii="Cambria" w:hAnsi="Cambria"/>
          <w:sz w:val="20"/>
          <w:szCs w:val="20"/>
          <w:lang w:val="es-ES"/>
        </w:rPr>
        <w:t xml:space="preserve">Añade que el </w:t>
      </w:r>
      <w:r w:rsidR="00AD1DD3">
        <w:rPr>
          <w:rFonts w:ascii="Cambria" w:hAnsi="Cambria"/>
          <w:sz w:val="20"/>
          <w:szCs w:val="20"/>
          <w:lang w:val="es-ES"/>
        </w:rPr>
        <w:t>5</w:t>
      </w:r>
      <w:r w:rsidR="00452BCD">
        <w:rPr>
          <w:rFonts w:ascii="Cambria" w:hAnsi="Cambria"/>
          <w:sz w:val="20"/>
          <w:szCs w:val="20"/>
          <w:lang w:val="es-ES"/>
        </w:rPr>
        <w:t xml:space="preserve"> de enero de 2010</w:t>
      </w:r>
      <w:r w:rsidR="00AA1F32">
        <w:rPr>
          <w:rFonts w:ascii="Cambria" w:hAnsi="Cambria"/>
          <w:sz w:val="20"/>
          <w:szCs w:val="20"/>
          <w:lang w:val="es-ES"/>
        </w:rPr>
        <w:t>, tal como consta en el expediente judicial,</w:t>
      </w:r>
      <w:r w:rsidR="00452BCD">
        <w:rPr>
          <w:rFonts w:ascii="Cambria" w:hAnsi="Cambria"/>
          <w:sz w:val="20"/>
          <w:szCs w:val="20"/>
          <w:lang w:val="es-ES"/>
        </w:rPr>
        <w:t xml:space="preserve"> la </w:t>
      </w:r>
      <w:r w:rsidR="00AA1F32">
        <w:rPr>
          <w:rFonts w:ascii="Cambria" w:hAnsi="Cambria"/>
          <w:sz w:val="20"/>
          <w:szCs w:val="20"/>
          <w:lang w:val="es-ES"/>
        </w:rPr>
        <w:t>Sección de Inteligencia Policial Cautín</w:t>
      </w:r>
      <w:r w:rsidR="00452BCD">
        <w:rPr>
          <w:rFonts w:ascii="Cambria" w:hAnsi="Cambria"/>
          <w:sz w:val="20"/>
          <w:szCs w:val="20"/>
          <w:lang w:val="es-ES"/>
        </w:rPr>
        <w:t xml:space="preserve"> elaboró un informe donde se nota el carácter discriminatorio de la investigación y persecución penal, pues el mismo hace referencias vejatorias a su origen vasco y a su pensamiento anarquista como soporte de un carácter subversivo. </w:t>
      </w:r>
      <w:r w:rsidR="00AE4581">
        <w:rPr>
          <w:rFonts w:ascii="Cambria" w:hAnsi="Cambria"/>
          <w:sz w:val="20"/>
          <w:szCs w:val="20"/>
          <w:lang w:val="es-ES"/>
        </w:rPr>
        <w:t>Señala que de acuerdo a</w:t>
      </w:r>
      <w:r w:rsidR="00AA1F32">
        <w:rPr>
          <w:rFonts w:ascii="Cambria" w:hAnsi="Cambria"/>
          <w:sz w:val="20"/>
          <w:szCs w:val="20"/>
          <w:lang w:val="es-ES"/>
        </w:rPr>
        <w:t>l</w:t>
      </w:r>
      <w:r w:rsidR="00AE4581" w:rsidRPr="0082777A">
        <w:rPr>
          <w:rFonts w:ascii="Cambria" w:hAnsi="Cambria"/>
          <w:sz w:val="20"/>
          <w:szCs w:val="20"/>
          <w:lang w:val="es-ES"/>
        </w:rPr>
        <w:t xml:space="preserve"> informe</w:t>
      </w:r>
      <w:r w:rsidR="00AE4581">
        <w:rPr>
          <w:rFonts w:ascii="Cambria" w:hAnsi="Cambria"/>
          <w:sz w:val="20"/>
          <w:szCs w:val="20"/>
          <w:lang w:val="es-ES"/>
        </w:rPr>
        <w:t>,</w:t>
      </w:r>
      <w:r w:rsidR="00AE4581" w:rsidRPr="0082777A">
        <w:rPr>
          <w:rFonts w:ascii="Cambria" w:hAnsi="Cambria"/>
          <w:sz w:val="20"/>
          <w:szCs w:val="20"/>
          <w:lang w:val="es-ES"/>
        </w:rPr>
        <w:t xml:space="preserve"> el allanamiento y posterior captura se realizó con base a “su ideología, por haber participado, organizado diversos grupos anarquistas a nivel mundial y por incorporar ideas foráneas a la juventud chilena”. </w:t>
      </w:r>
      <w:r w:rsidR="00AE4581">
        <w:rPr>
          <w:rFonts w:ascii="Cambria" w:hAnsi="Cambria"/>
          <w:sz w:val="20"/>
          <w:szCs w:val="20"/>
          <w:lang w:val="es-ES"/>
        </w:rPr>
        <w:t xml:space="preserve">Considera que el allanamiento fue motivado </w:t>
      </w:r>
      <w:r w:rsidR="00AE4581" w:rsidRPr="0082777A">
        <w:rPr>
          <w:rFonts w:ascii="Cambria" w:hAnsi="Cambria"/>
          <w:sz w:val="20"/>
          <w:szCs w:val="20"/>
          <w:lang w:val="es-ES"/>
        </w:rPr>
        <w:t>a partir de</w:t>
      </w:r>
      <w:r w:rsidR="00AE4581">
        <w:rPr>
          <w:rFonts w:ascii="Cambria" w:hAnsi="Cambria"/>
          <w:sz w:val="20"/>
          <w:szCs w:val="20"/>
          <w:lang w:val="es-ES"/>
        </w:rPr>
        <w:t xml:space="preserve"> su</w:t>
      </w:r>
      <w:r w:rsidR="00AE4581" w:rsidRPr="0082777A">
        <w:rPr>
          <w:rFonts w:ascii="Cambria" w:hAnsi="Cambria"/>
          <w:sz w:val="20"/>
          <w:szCs w:val="20"/>
          <w:lang w:val="es-ES"/>
        </w:rPr>
        <w:t xml:space="preserve"> ejercicio de la libertad de expresión. </w:t>
      </w:r>
    </w:p>
    <w:p w:rsidR="007E09E1" w:rsidRDefault="00452BCD" w:rsidP="00AC01A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Indica que</w:t>
      </w:r>
      <w:r w:rsidR="007F3226">
        <w:rPr>
          <w:rFonts w:ascii="Cambria" w:hAnsi="Cambria"/>
          <w:sz w:val="20"/>
          <w:szCs w:val="20"/>
          <w:lang w:val="es-ES"/>
        </w:rPr>
        <w:t xml:space="preserve"> el 7 de septiembre de 2010</w:t>
      </w:r>
      <w:r>
        <w:rPr>
          <w:rFonts w:ascii="Cambria" w:hAnsi="Cambria"/>
          <w:sz w:val="20"/>
          <w:szCs w:val="20"/>
          <w:lang w:val="es-ES"/>
        </w:rPr>
        <w:t xml:space="preserve"> fue condenado a 220 días de prisión por tenencia ilegal de armas o explosivos, pena que se consideró cumplida en aquél momento </w:t>
      </w:r>
      <w:r w:rsidR="00F126AC">
        <w:rPr>
          <w:rFonts w:ascii="Cambria" w:hAnsi="Cambria"/>
          <w:sz w:val="20"/>
          <w:szCs w:val="20"/>
          <w:lang w:val="es-ES"/>
        </w:rPr>
        <w:t>dado que</w:t>
      </w:r>
      <w:r>
        <w:rPr>
          <w:rFonts w:ascii="Cambria" w:hAnsi="Cambria"/>
          <w:sz w:val="20"/>
          <w:szCs w:val="20"/>
          <w:lang w:val="es-ES"/>
        </w:rPr>
        <w:t xml:space="preserve"> </w:t>
      </w:r>
      <w:r w:rsidR="00F126AC">
        <w:rPr>
          <w:rFonts w:ascii="Cambria" w:hAnsi="Cambria"/>
          <w:sz w:val="20"/>
          <w:szCs w:val="20"/>
          <w:lang w:val="es-ES"/>
        </w:rPr>
        <w:t>había estado</w:t>
      </w:r>
      <w:r w:rsidRPr="00452BCD">
        <w:rPr>
          <w:rFonts w:ascii="Cambria" w:hAnsi="Cambria"/>
          <w:sz w:val="20"/>
          <w:szCs w:val="20"/>
          <w:lang w:val="es-ES"/>
        </w:rPr>
        <w:t xml:space="preserve"> en prisión preventiva de</w:t>
      </w:r>
      <w:r w:rsidR="00B927C8">
        <w:rPr>
          <w:rFonts w:ascii="Cambria" w:hAnsi="Cambria"/>
          <w:sz w:val="20"/>
          <w:szCs w:val="20"/>
          <w:lang w:val="es-ES"/>
        </w:rPr>
        <w:t>sde e</w:t>
      </w:r>
      <w:r w:rsidRPr="00452BCD">
        <w:rPr>
          <w:rFonts w:ascii="Cambria" w:hAnsi="Cambria"/>
          <w:sz w:val="20"/>
          <w:szCs w:val="20"/>
          <w:lang w:val="es-ES"/>
        </w:rPr>
        <w:t>l 31 de diciembre de 2009 hasta el 10 de febrero de 2010</w:t>
      </w:r>
      <w:r w:rsidR="00F126AC">
        <w:rPr>
          <w:rFonts w:ascii="Cambria" w:hAnsi="Cambria"/>
          <w:sz w:val="20"/>
          <w:szCs w:val="20"/>
          <w:lang w:val="es-ES"/>
        </w:rPr>
        <w:t>,</w:t>
      </w:r>
      <w:r w:rsidRPr="00452BCD">
        <w:rPr>
          <w:rFonts w:ascii="Cambria" w:hAnsi="Cambria"/>
          <w:sz w:val="20"/>
          <w:szCs w:val="20"/>
          <w:lang w:val="es-ES"/>
        </w:rPr>
        <w:t xml:space="preserve"> en arresto domiciliario del 10 de febrero de 2010 al 2 de julio de 2010 y </w:t>
      </w:r>
      <w:r w:rsidR="00F126AC">
        <w:rPr>
          <w:rFonts w:ascii="Cambria" w:hAnsi="Cambria"/>
          <w:sz w:val="20"/>
          <w:szCs w:val="20"/>
          <w:lang w:val="es-ES"/>
        </w:rPr>
        <w:t xml:space="preserve">en </w:t>
      </w:r>
      <w:r w:rsidRPr="00452BCD">
        <w:rPr>
          <w:rFonts w:ascii="Cambria" w:hAnsi="Cambria"/>
          <w:sz w:val="20"/>
          <w:szCs w:val="20"/>
          <w:lang w:val="es-ES"/>
        </w:rPr>
        <w:t>arresto domiciliario parcial, por espacio de doce horas, del 2 de julio de 2010 hasta la fecha de la sentencia</w:t>
      </w:r>
      <w:r w:rsidR="00F126AC">
        <w:rPr>
          <w:rFonts w:ascii="Cambria" w:hAnsi="Cambria"/>
          <w:sz w:val="20"/>
          <w:szCs w:val="20"/>
          <w:lang w:val="es-ES"/>
        </w:rPr>
        <w:t>.</w:t>
      </w:r>
    </w:p>
    <w:p w:rsidR="007F3226" w:rsidRDefault="007F3226" w:rsidP="00AC01A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Sostiene que, si bien la sentencia </w:t>
      </w:r>
      <w:r w:rsidR="00A95040">
        <w:rPr>
          <w:rFonts w:ascii="Cambria" w:hAnsi="Cambria"/>
          <w:sz w:val="20"/>
          <w:szCs w:val="20"/>
          <w:lang w:val="es-ES"/>
        </w:rPr>
        <w:t>de primera instancia</w:t>
      </w:r>
      <w:r>
        <w:rPr>
          <w:rFonts w:ascii="Cambria" w:hAnsi="Cambria"/>
          <w:sz w:val="20"/>
          <w:szCs w:val="20"/>
          <w:lang w:val="es-ES"/>
        </w:rPr>
        <w:t xml:space="preserve"> dice que no se le condenó por sus ideas,  no hay duda de que se le persiguió y se le condenó penalmente por sus ideas</w:t>
      </w:r>
      <w:r w:rsidR="00C16452">
        <w:rPr>
          <w:rFonts w:ascii="Cambria" w:hAnsi="Cambria"/>
          <w:sz w:val="20"/>
          <w:szCs w:val="20"/>
          <w:lang w:val="es-ES"/>
        </w:rPr>
        <w:t>.</w:t>
      </w:r>
      <w:r w:rsidR="00B4378E">
        <w:rPr>
          <w:rFonts w:ascii="Cambria" w:hAnsi="Cambria"/>
          <w:sz w:val="20"/>
          <w:szCs w:val="20"/>
          <w:lang w:val="es-ES"/>
        </w:rPr>
        <w:t xml:space="preserve"> </w:t>
      </w:r>
      <w:r w:rsidR="007A75EB">
        <w:rPr>
          <w:rFonts w:ascii="Cambria" w:hAnsi="Cambria"/>
          <w:sz w:val="20"/>
          <w:szCs w:val="20"/>
          <w:lang w:val="es-ES"/>
        </w:rPr>
        <w:t xml:space="preserve">Relata </w:t>
      </w:r>
      <w:r w:rsidR="00A95040">
        <w:rPr>
          <w:rFonts w:ascii="Cambria" w:hAnsi="Cambria"/>
          <w:sz w:val="20"/>
          <w:szCs w:val="20"/>
          <w:lang w:val="es-ES"/>
        </w:rPr>
        <w:t xml:space="preserve">que siete días después de iniciar el proceso penal, </w:t>
      </w:r>
      <w:r>
        <w:rPr>
          <w:rFonts w:ascii="Cambria" w:hAnsi="Cambria"/>
          <w:sz w:val="20"/>
          <w:szCs w:val="20"/>
          <w:lang w:val="es-ES"/>
        </w:rPr>
        <w:t>se dictó su expulsión del país por el mismo motivo</w:t>
      </w:r>
      <w:r w:rsidR="00A95040">
        <w:rPr>
          <w:rFonts w:ascii="Cambria" w:hAnsi="Cambria"/>
          <w:sz w:val="20"/>
          <w:szCs w:val="20"/>
          <w:lang w:val="es-ES"/>
        </w:rPr>
        <w:t xml:space="preserve"> sin llevar a cabo procedimiento</w:t>
      </w:r>
      <w:r w:rsidR="00A2715E">
        <w:rPr>
          <w:rFonts w:ascii="Cambria" w:hAnsi="Cambria"/>
          <w:sz w:val="20"/>
          <w:szCs w:val="20"/>
          <w:lang w:val="es-ES"/>
        </w:rPr>
        <w:t xml:space="preserve"> alguno</w:t>
      </w:r>
      <w:r>
        <w:rPr>
          <w:rFonts w:ascii="Cambria" w:hAnsi="Cambria"/>
          <w:sz w:val="20"/>
          <w:szCs w:val="20"/>
          <w:lang w:val="es-ES"/>
        </w:rPr>
        <w:t xml:space="preserve">. </w:t>
      </w:r>
      <w:r w:rsidR="00A95040">
        <w:rPr>
          <w:rFonts w:ascii="Cambria" w:hAnsi="Cambria"/>
          <w:sz w:val="20"/>
          <w:szCs w:val="20"/>
          <w:lang w:val="es-ES"/>
        </w:rPr>
        <w:t xml:space="preserve">Informa haber impugnado la condena de primera instancia mediante </w:t>
      </w:r>
      <w:r w:rsidR="003D1E40">
        <w:rPr>
          <w:rFonts w:ascii="Cambria" w:hAnsi="Cambria"/>
          <w:sz w:val="20"/>
          <w:szCs w:val="20"/>
          <w:lang w:val="es-ES"/>
        </w:rPr>
        <w:t xml:space="preserve">la interposición de </w:t>
      </w:r>
      <w:r w:rsidR="00A95040">
        <w:rPr>
          <w:rFonts w:ascii="Cambria" w:hAnsi="Cambria"/>
          <w:sz w:val="20"/>
          <w:szCs w:val="20"/>
          <w:lang w:val="es-ES"/>
        </w:rPr>
        <w:t xml:space="preserve">un recurso de nulidad que confirmó la sentencia de primera instancia el 22 de octubre de 2010. Agrega que actualmente los policías que </w:t>
      </w:r>
      <w:r w:rsidR="00A95040" w:rsidRPr="00A95040">
        <w:rPr>
          <w:rFonts w:ascii="Cambria" w:hAnsi="Cambria"/>
          <w:sz w:val="20"/>
          <w:szCs w:val="20"/>
          <w:lang w:val="es-ES"/>
        </w:rPr>
        <w:t xml:space="preserve">persiguieron y atestiguaron </w:t>
      </w:r>
      <w:r w:rsidR="00A95040">
        <w:rPr>
          <w:rFonts w:ascii="Cambria" w:hAnsi="Cambria"/>
          <w:sz w:val="20"/>
          <w:szCs w:val="20"/>
          <w:lang w:val="es-ES"/>
        </w:rPr>
        <w:t xml:space="preserve">en su contra </w:t>
      </w:r>
      <w:r w:rsidR="00A95040" w:rsidRPr="00A95040">
        <w:rPr>
          <w:rFonts w:ascii="Cambria" w:hAnsi="Cambria"/>
          <w:sz w:val="20"/>
          <w:szCs w:val="20"/>
          <w:lang w:val="es-ES"/>
        </w:rPr>
        <w:t>están presos por falsificación de pruebas</w:t>
      </w:r>
      <w:r w:rsidR="00A95040">
        <w:rPr>
          <w:rFonts w:ascii="Cambria" w:hAnsi="Cambria"/>
          <w:sz w:val="20"/>
          <w:szCs w:val="20"/>
          <w:lang w:val="es-ES"/>
        </w:rPr>
        <w:t xml:space="preserve"> en el marco de otro proceso penal. Por fin, señala </w:t>
      </w:r>
      <w:r w:rsidR="00A95040" w:rsidRPr="00A95040">
        <w:rPr>
          <w:rFonts w:ascii="Cambria" w:hAnsi="Cambria"/>
          <w:sz w:val="20"/>
          <w:szCs w:val="20"/>
          <w:lang w:val="es-ES"/>
        </w:rPr>
        <w:t>que no se cumplió el decreto de expulsión porque él decidió salir voluntariamente del país antes de dictarse la sentencia del recurso de nulidad, lo que permitió que pudiera salir libremente pues en este momento no existían medidas cautelares en su contra</w:t>
      </w:r>
      <w:r w:rsidR="00A95040">
        <w:rPr>
          <w:rFonts w:ascii="Cambria" w:hAnsi="Cambria"/>
          <w:sz w:val="20"/>
          <w:szCs w:val="20"/>
          <w:lang w:val="es-ES"/>
        </w:rPr>
        <w:t xml:space="preserve"> en lugar de ser devuelto a su país esposado y expuesto en los medios de comunicación.</w:t>
      </w:r>
    </w:p>
    <w:p w:rsidR="001C04E0" w:rsidRPr="001C04E0" w:rsidRDefault="007F3226" w:rsidP="00AC01A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C04E0">
        <w:rPr>
          <w:rFonts w:ascii="Cambria" w:hAnsi="Cambria"/>
          <w:sz w:val="20"/>
          <w:szCs w:val="20"/>
          <w:lang w:val="es-ES"/>
        </w:rPr>
        <w:t xml:space="preserve"> </w:t>
      </w:r>
      <w:r w:rsidR="00EB3B10" w:rsidRPr="001C04E0">
        <w:rPr>
          <w:rFonts w:ascii="Cambria" w:hAnsi="Cambria"/>
          <w:sz w:val="20"/>
          <w:szCs w:val="20"/>
          <w:lang w:val="es-ES"/>
        </w:rPr>
        <w:t xml:space="preserve">Por su parte, el Estado señala que la presunta víctima no fue condenada en función de sus </w:t>
      </w:r>
      <w:r w:rsidR="00A2715E">
        <w:rPr>
          <w:rFonts w:ascii="Cambria" w:hAnsi="Cambria"/>
          <w:sz w:val="20"/>
          <w:szCs w:val="20"/>
          <w:lang w:val="es-ES"/>
        </w:rPr>
        <w:t>“</w:t>
      </w:r>
      <w:r w:rsidR="00EB3B10" w:rsidRPr="001C04E0">
        <w:rPr>
          <w:rFonts w:ascii="Cambria" w:hAnsi="Cambria"/>
          <w:sz w:val="20"/>
          <w:szCs w:val="20"/>
          <w:lang w:val="es-ES"/>
        </w:rPr>
        <w:t>convicciones anarquistas</w:t>
      </w:r>
      <w:r w:rsidR="00A2715E">
        <w:rPr>
          <w:rFonts w:ascii="Cambria" w:hAnsi="Cambria"/>
          <w:sz w:val="20"/>
          <w:szCs w:val="20"/>
          <w:lang w:val="es-ES"/>
        </w:rPr>
        <w:t>”</w:t>
      </w:r>
      <w:r w:rsidR="00EB3B10" w:rsidRPr="001C04E0">
        <w:rPr>
          <w:rFonts w:ascii="Cambria" w:hAnsi="Cambria"/>
          <w:sz w:val="20"/>
          <w:szCs w:val="20"/>
          <w:lang w:val="es-ES"/>
        </w:rPr>
        <w:t>, su origen o su cercanía con el pueblo Mapuche. En ese sentido, afirma que el juzgado de primera instancia</w:t>
      </w:r>
      <w:r w:rsidR="003A2E0C">
        <w:rPr>
          <w:rFonts w:ascii="Cambria" w:hAnsi="Cambria"/>
          <w:sz w:val="20"/>
          <w:szCs w:val="20"/>
          <w:lang w:val="es-ES"/>
        </w:rPr>
        <w:t xml:space="preserve"> consideró los argumentos de la presunta víctima respecto al carácter supuestamente discriminatorio del informe elaborado por la policía </w:t>
      </w:r>
      <w:r w:rsidR="007459C5">
        <w:rPr>
          <w:rFonts w:ascii="Cambria" w:hAnsi="Cambria"/>
          <w:sz w:val="20"/>
          <w:szCs w:val="20"/>
          <w:lang w:val="es-ES"/>
        </w:rPr>
        <w:t>en</w:t>
      </w:r>
      <w:r w:rsidR="003A2E0C">
        <w:rPr>
          <w:rFonts w:ascii="Cambria" w:hAnsi="Cambria"/>
          <w:sz w:val="20"/>
          <w:szCs w:val="20"/>
          <w:lang w:val="es-ES"/>
        </w:rPr>
        <w:t xml:space="preserve"> enero de 2010 y decidió no tener en cuenta este informe. Indica que el juzgado</w:t>
      </w:r>
      <w:r w:rsidR="00EB3B10" w:rsidRPr="001C04E0">
        <w:rPr>
          <w:rFonts w:ascii="Cambria" w:hAnsi="Cambria"/>
          <w:sz w:val="20"/>
          <w:szCs w:val="20"/>
          <w:lang w:val="es-ES"/>
        </w:rPr>
        <w:t xml:space="preserve"> sostuvo que </w:t>
      </w:r>
      <w:r w:rsidR="003A2E0C">
        <w:rPr>
          <w:rFonts w:ascii="Cambria" w:hAnsi="Cambria"/>
          <w:sz w:val="20"/>
          <w:szCs w:val="20"/>
          <w:lang w:val="es-ES"/>
        </w:rPr>
        <w:t>el juicio no se había basado en la ideología política del acusado ni los actos por él ejecutados con antelación al 31 de diciembre de 2009 y, por tanto, dicho documento resultaba impertinente y no se vinculaba con los hechos sometidos a decisión jurisdiccional. Agrega que</w:t>
      </w:r>
      <w:r w:rsidR="00EB3B10" w:rsidRPr="001C04E0">
        <w:rPr>
          <w:rFonts w:ascii="Cambria" w:hAnsi="Cambria"/>
          <w:sz w:val="20"/>
          <w:szCs w:val="20"/>
          <w:lang w:val="es-ES"/>
        </w:rPr>
        <w:t xml:space="preserve"> el juzgado </w:t>
      </w:r>
      <w:r w:rsidR="003A2E0C">
        <w:rPr>
          <w:rFonts w:ascii="Cambria" w:hAnsi="Cambria"/>
          <w:sz w:val="20"/>
          <w:szCs w:val="20"/>
          <w:lang w:val="es-ES"/>
        </w:rPr>
        <w:t xml:space="preserve">también </w:t>
      </w:r>
      <w:r w:rsidR="00EB3B10" w:rsidRPr="001C04E0">
        <w:rPr>
          <w:rFonts w:ascii="Cambria" w:hAnsi="Cambria"/>
          <w:sz w:val="20"/>
          <w:szCs w:val="20"/>
          <w:lang w:val="es-ES"/>
        </w:rPr>
        <w:t xml:space="preserve">sostuvo que </w:t>
      </w:r>
      <w:r w:rsidR="007459C5">
        <w:rPr>
          <w:rFonts w:ascii="Cambria" w:hAnsi="Cambria"/>
          <w:sz w:val="20"/>
          <w:szCs w:val="20"/>
          <w:lang w:val="es-ES"/>
        </w:rPr>
        <w:t xml:space="preserve">el objeto del proceso </w:t>
      </w:r>
      <w:r w:rsidR="005C0265">
        <w:rPr>
          <w:rFonts w:ascii="Cambria" w:hAnsi="Cambria"/>
          <w:sz w:val="20"/>
          <w:szCs w:val="20"/>
          <w:lang w:val="es-ES"/>
        </w:rPr>
        <w:t>guardaba</w:t>
      </w:r>
      <w:r w:rsidR="007459C5">
        <w:rPr>
          <w:rFonts w:ascii="Cambria" w:hAnsi="Cambria"/>
          <w:sz w:val="20"/>
          <w:szCs w:val="20"/>
          <w:lang w:val="es-ES"/>
        </w:rPr>
        <w:t xml:space="preserve"> relación</w:t>
      </w:r>
      <w:r w:rsidR="007459C5" w:rsidRPr="003A2E0C">
        <w:rPr>
          <w:rFonts w:ascii="Cambria" w:hAnsi="Cambria"/>
          <w:sz w:val="20"/>
          <w:szCs w:val="20"/>
          <w:lang w:val="es-ES"/>
        </w:rPr>
        <w:t xml:space="preserve"> con una conducta precisa, concreta y o</w:t>
      </w:r>
      <w:r w:rsidR="007459C5" w:rsidRPr="00FF2C70">
        <w:rPr>
          <w:rFonts w:ascii="Cambria" w:hAnsi="Cambria"/>
          <w:sz w:val="20"/>
          <w:szCs w:val="20"/>
          <w:lang w:val="es-ES"/>
        </w:rPr>
        <w:t>bjetiva</w:t>
      </w:r>
      <w:r w:rsidR="007459C5">
        <w:rPr>
          <w:rFonts w:ascii="Cambria" w:hAnsi="Cambria"/>
          <w:sz w:val="20"/>
          <w:szCs w:val="20"/>
          <w:lang w:val="es-ES"/>
        </w:rPr>
        <w:t xml:space="preserve"> del acusado y</w:t>
      </w:r>
      <w:r w:rsidR="007459C5" w:rsidRPr="003A2E0C" w:rsidDel="003A2E0C">
        <w:rPr>
          <w:rFonts w:ascii="Cambria" w:hAnsi="Cambria"/>
          <w:sz w:val="20"/>
          <w:szCs w:val="20"/>
          <w:lang w:val="es-ES"/>
        </w:rPr>
        <w:t xml:space="preserve"> </w:t>
      </w:r>
      <w:r w:rsidR="007459C5">
        <w:rPr>
          <w:rFonts w:ascii="Cambria" w:hAnsi="Cambria"/>
          <w:sz w:val="20"/>
          <w:szCs w:val="20"/>
          <w:lang w:val="es-ES"/>
        </w:rPr>
        <w:t>que</w:t>
      </w:r>
      <w:r w:rsidR="00EB3B10" w:rsidRPr="001C04E0">
        <w:rPr>
          <w:rFonts w:ascii="Cambria" w:hAnsi="Cambria"/>
          <w:sz w:val="20"/>
          <w:szCs w:val="20"/>
          <w:lang w:val="es-ES"/>
        </w:rPr>
        <w:t xml:space="preserve"> ha</w:t>
      </w:r>
      <w:r w:rsidR="003A2E0C">
        <w:rPr>
          <w:rFonts w:ascii="Cambria" w:hAnsi="Cambria"/>
          <w:sz w:val="20"/>
          <w:szCs w:val="20"/>
          <w:lang w:val="es-ES"/>
        </w:rPr>
        <w:t>bía</w:t>
      </w:r>
      <w:r w:rsidR="00EB3B10" w:rsidRPr="001C04E0">
        <w:rPr>
          <w:rFonts w:ascii="Cambria" w:hAnsi="Cambria"/>
          <w:sz w:val="20"/>
          <w:szCs w:val="20"/>
          <w:lang w:val="es-ES"/>
        </w:rPr>
        <w:t xml:space="preserve"> resultado intranscendente el origen, creencias, forma de vida, medio social y toda otra conducta del </w:t>
      </w:r>
      <w:r w:rsidR="007459C5">
        <w:rPr>
          <w:rFonts w:ascii="Cambria" w:hAnsi="Cambria"/>
          <w:sz w:val="20"/>
          <w:szCs w:val="20"/>
          <w:lang w:val="es-ES"/>
        </w:rPr>
        <w:t>acusado</w:t>
      </w:r>
      <w:r w:rsidR="007459C5" w:rsidRPr="001C04E0">
        <w:rPr>
          <w:rFonts w:ascii="Cambria" w:hAnsi="Cambria"/>
          <w:sz w:val="20"/>
          <w:szCs w:val="20"/>
          <w:lang w:val="es-ES"/>
        </w:rPr>
        <w:t xml:space="preserve"> </w:t>
      </w:r>
      <w:r w:rsidR="00EB3B10" w:rsidRPr="001C04E0">
        <w:rPr>
          <w:rFonts w:ascii="Cambria" w:hAnsi="Cambria"/>
          <w:sz w:val="20"/>
          <w:szCs w:val="20"/>
          <w:lang w:val="es-ES"/>
        </w:rPr>
        <w:t xml:space="preserve">no vinculada con el hecho imputado, </w:t>
      </w:r>
      <w:r w:rsidR="007459C5">
        <w:rPr>
          <w:rFonts w:ascii="Cambria" w:hAnsi="Cambria"/>
          <w:sz w:val="20"/>
          <w:szCs w:val="20"/>
          <w:lang w:val="es-ES"/>
        </w:rPr>
        <w:t>dado</w:t>
      </w:r>
      <w:r w:rsidR="00EB3B10" w:rsidRPr="001C04E0">
        <w:rPr>
          <w:rFonts w:ascii="Cambria" w:hAnsi="Cambria"/>
          <w:sz w:val="20"/>
          <w:szCs w:val="20"/>
          <w:lang w:val="es-ES"/>
        </w:rPr>
        <w:t xml:space="preserve"> que el derecho penal encuentra su fundamento punitivo en la acción del agente y no en sus características personales</w:t>
      </w:r>
      <w:r w:rsidR="001C04E0" w:rsidRPr="001C04E0">
        <w:rPr>
          <w:rFonts w:ascii="Cambria" w:hAnsi="Cambria"/>
          <w:sz w:val="20"/>
          <w:szCs w:val="20"/>
          <w:lang w:val="es-ES"/>
        </w:rPr>
        <w:t>. Asimismo, señala que los antecedentes de la presunta víctima no fueron utilizados en su contra, sino que el juzgado disminuyó su pena debido a su irreprochable conducta y consideró que el hecho delictual constituyó un incidente “aislado en la destacada conducta cotidiana” de la presunta víctima.</w:t>
      </w:r>
    </w:p>
    <w:p w:rsidR="004C616A" w:rsidRPr="00006B74" w:rsidRDefault="004C616A" w:rsidP="00647756">
      <w:pPr>
        <w:pStyle w:val="ListParagraph"/>
        <w:spacing w:before="120" w:after="120"/>
        <w:jc w:val="both"/>
        <w:rPr>
          <w:rFonts w:asciiTheme="majorHAnsi" w:hAnsiTheme="majorHAnsi"/>
          <w:b/>
          <w:bCs/>
          <w:sz w:val="20"/>
          <w:szCs w:val="20"/>
          <w:lang w:val="es-ES"/>
        </w:rPr>
      </w:pPr>
      <w:r w:rsidRPr="00006B74">
        <w:rPr>
          <w:rFonts w:asciiTheme="majorHAnsi" w:hAnsiTheme="majorHAnsi"/>
          <w:b/>
          <w:bCs/>
          <w:sz w:val="20"/>
          <w:szCs w:val="20"/>
          <w:lang w:val="es-ES"/>
        </w:rPr>
        <w:t xml:space="preserve">VI. </w:t>
      </w:r>
      <w:r w:rsidRPr="00006B74">
        <w:rPr>
          <w:rFonts w:asciiTheme="majorHAnsi" w:hAnsiTheme="majorHAnsi"/>
          <w:b/>
          <w:bCs/>
          <w:sz w:val="20"/>
          <w:szCs w:val="20"/>
          <w:lang w:val="es-ES"/>
        </w:rPr>
        <w:tab/>
        <w:t>AGOTAMIENTO DE LOS RECURSOS INTERNOS Y PLAZO DE PRESENTACIÓN</w:t>
      </w:r>
    </w:p>
    <w:p w:rsidR="001C04E0" w:rsidRDefault="001C04E0" w:rsidP="00AC01A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El Estado alega</w:t>
      </w:r>
      <w:r w:rsidR="003D1E40">
        <w:rPr>
          <w:rFonts w:ascii="Cambria" w:hAnsi="Cambria"/>
          <w:sz w:val="20"/>
          <w:szCs w:val="20"/>
          <w:lang w:val="es-ES"/>
        </w:rPr>
        <w:t xml:space="preserve"> que</w:t>
      </w:r>
      <w:r>
        <w:rPr>
          <w:rFonts w:ascii="Cambria" w:hAnsi="Cambria"/>
          <w:sz w:val="20"/>
          <w:szCs w:val="20"/>
          <w:lang w:val="es-ES"/>
        </w:rPr>
        <w:t xml:space="preserve"> </w:t>
      </w:r>
      <w:r w:rsidR="009A10E8">
        <w:rPr>
          <w:rFonts w:ascii="Cambria" w:hAnsi="Cambria"/>
          <w:sz w:val="20"/>
          <w:szCs w:val="20"/>
          <w:lang w:val="es-ES"/>
        </w:rPr>
        <w:t xml:space="preserve">el </w:t>
      </w:r>
      <w:r w:rsidR="009A10E8" w:rsidRPr="009A10E8">
        <w:rPr>
          <w:rFonts w:ascii="Cambria" w:hAnsi="Cambria"/>
          <w:sz w:val="20"/>
          <w:szCs w:val="20"/>
          <w:lang w:val="es-ES"/>
        </w:rPr>
        <w:t>recurso de nulidad</w:t>
      </w:r>
      <w:r w:rsidR="009A10E8">
        <w:rPr>
          <w:rFonts w:ascii="Cambria" w:hAnsi="Cambria"/>
          <w:sz w:val="20"/>
          <w:szCs w:val="20"/>
          <w:lang w:val="es-ES"/>
        </w:rPr>
        <w:t xml:space="preserve"> interpuesto contra la sentencia de primera instancia</w:t>
      </w:r>
      <w:r w:rsidR="009A10E8" w:rsidRPr="009A10E8">
        <w:rPr>
          <w:rFonts w:ascii="Cambria" w:hAnsi="Cambria"/>
          <w:sz w:val="20"/>
          <w:szCs w:val="20"/>
          <w:lang w:val="es-ES"/>
        </w:rPr>
        <w:t xml:space="preserve"> existe para verificar la responsabilidad penal del involucrado, cuestión que en ningún momento es cuestionada en la</w:t>
      </w:r>
      <w:r w:rsidR="009A10E8">
        <w:rPr>
          <w:rFonts w:ascii="Cambria" w:hAnsi="Cambria"/>
          <w:sz w:val="20"/>
          <w:szCs w:val="20"/>
          <w:lang w:val="es-ES"/>
        </w:rPr>
        <w:t xml:space="preserve"> presente</w:t>
      </w:r>
      <w:r w:rsidR="009A10E8" w:rsidRPr="009A10E8">
        <w:rPr>
          <w:rFonts w:ascii="Cambria" w:hAnsi="Cambria"/>
          <w:sz w:val="20"/>
          <w:szCs w:val="20"/>
          <w:lang w:val="es-ES"/>
        </w:rPr>
        <w:t xml:space="preserve"> denuncia</w:t>
      </w:r>
      <w:r w:rsidR="009A10E8">
        <w:rPr>
          <w:rFonts w:ascii="Cambria" w:hAnsi="Cambria"/>
          <w:sz w:val="20"/>
          <w:szCs w:val="20"/>
          <w:lang w:val="es-ES"/>
        </w:rPr>
        <w:t>, y que la petición debe ser inadmitida porque los recursos idóneos para impugnar las supuestas violaciones invocadas no fueron agotados.</w:t>
      </w:r>
      <w:r>
        <w:rPr>
          <w:rFonts w:ascii="Cambria" w:hAnsi="Cambria"/>
          <w:sz w:val="20"/>
          <w:szCs w:val="20"/>
          <w:lang w:val="es-ES"/>
        </w:rPr>
        <w:t xml:space="preserve"> En ese sentido, sostiene que </w:t>
      </w:r>
      <w:r w:rsidR="009A10E8">
        <w:rPr>
          <w:rFonts w:ascii="Cambria" w:hAnsi="Cambria"/>
          <w:sz w:val="20"/>
          <w:szCs w:val="20"/>
          <w:lang w:val="es-ES"/>
        </w:rPr>
        <w:t>la</w:t>
      </w:r>
      <w:r w:rsidR="009A10E8" w:rsidRPr="009A10E8">
        <w:rPr>
          <w:rFonts w:ascii="Cambria" w:hAnsi="Cambria"/>
          <w:sz w:val="20"/>
          <w:szCs w:val="20"/>
          <w:lang w:val="es-ES"/>
        </w:rPr>
        <w:t xml:space="preserve"> supuesta afectación a </w:t>
      </w:r>
      <w:r w:rsidR="009A10E8">
        <w:rPr>
          <w:rFonts w:ascii="Cambria" w:hAnsi="Cambria"/>
          <w:sz w:val="20"/>
          <w:szCs w:val="20"/>
          <w:lang w:val="es-ES"/>
        </w:rPr>
        <w:t>la</w:t>
      </w:r>
      <w:r w:rsidR="009A10E8" w:rsidRPr="009A10E8">
        <w:rPr>
          <w:rFonts w:ascii="Cambria" w:hAnsi="Cambria"/>
          <w:sz w:val="20"/>
          <w:szCs w:val="20"/>
          <w:lang w:val="es-ES"/>
        </w:rPr>
        <w:t xml:space="preserve"> honra</w:t>
      </w:r>
      <w:r w:rsidR="009A10E8">
        <w:rPr>
          <w:rFonts w:ascii="Cambria" w:hAnsi="Cambria"/>
          <w:sz w:val="20"/>
          <w:szCs w:val="20"/>
          <w:lang w:val="es-ES"/>
        </w:rPr>
        <w:t xml:space="preserve"> de la presunta víctima</w:t>
      </w:r>
      <w:r w:rsidR="009A10E8" w:rsidRPr="009A10E8">
        <w:rPr>
          <w:rFonts w:ascii="Cambria" w:hAnsi="Cambria"/>
          <w:sz w:val="20"/>
          <w:szCs w:val="20"/>
          <w:lang w:val="es-ES"/>
        </w:rPr>
        <w:t xml:space="preserve">, presuntamente </w:t>
      </w:r>
      <w:r w:rsidR="009A10E8">
        <w:rPr>
          <w:rFonts w:ascii="Cambria" w:hAnsi="Cambria"/>
          <w:sz w:val="20"/>
          <w:szCs w:val="20"/>
          <w:lang w:val="es-ES"/>
        </w:rPr>
        <w:t>debido a</w:t>
      </w:r>
      <w:r w:rsidR="009A10E8" w:rsidRPr="009A10E8">
        <w:rPr>
          <w:rFonts w:ascii="Cambria" w:hAnsi="Cambria"/>
          <w:sz w:val="20"/>
          <w:szCs w:val="20"/>
          <w:lang w:val="es-ES"/>
        </w:rPr>
        <w:t xml:space="preserve"> su exposición en los medios de comunicación como terrorista, </w:t>
      </w:r>
      <w:r w:rsidR="009A10E8">
        <w:rPr>
          <w:rFonts w:ascii="Cambria" w:hAnsi="Cambria"/>
          <w:sz w:val="20"/>
          <w:szCs w:val="20"/>
          <w:lang w:val="es-ES"/>
        </w:rPr>
        <w:t xml:space="preserve">debería ser </w:t>
      </w:r>
      <w:r w:rsidR="003D1E40">
        <w:rPr>
          <w:rFonts w:ascii="Cambria" w:hAnsi="Cambria"/>
          <w:sz w:val="20"/>
          <w:szCs w:val="20"/>
          <w:lang w:val="es-ES"/>
        </w:rPr>
        <w:t xml:space="preserve">impugnada </w:t>
      </w:r>
      <w:r w:rsidR="009A10E8">
        <w:rPr>
          <w:rFonts w:ascii="Cambria" w:hAnsi="Cambria"/>
          <w:sz w:val="20"/>
          <w:szCs w:val="20"/>
          <w:lang w:val="es-ES"/>
        </w:rPr>
        <w:t>mediante una</w:t>
      </w:r>
      <w:r w:rsidR="009A10E8" w:rsidRPr="009A10E8">
        <w:rPr>
          <w:rFonts w:ascii="Cambria" w:eastAsia="Calibri" w:hAnsi="Cambria"/>
          <w:sz w:val="20"/>
          <w:szCs w:val="22"/>
          <w:bdr w:val="none" w:sz="0" w:space="0" w:color="auto"/>
          <w:lang w:val="es-ES"/>
        </w:rPr>
        <w:t xml:space="preserve"> </w:t>
      </w:r>
      <w:r w:rsidR="009A10E8">
        <w:rPr>
          <w:rFonts w:ascii="Cambria" w:hAnsi="Cambria"/>
          <w:sz w:val="20"/>
          <w:szCs w:val="20"/>
          <w:lang w:val="es-ES"/>
        </w:rPr>
        <w:t>solicitud de</w:t>
      </w:r>
      <w:r w:rsidR="009A10E8" w:rsidRPr="009A10E8">
        <w:rPr>
          <w:rFonts w:ascii="Cambria" w:hAnsi="Cambria"/>
          <w:sz w:val="20"/>
          <w:szCs w:val="20"/>
          <w:lang w:val="es-ES"/>
        </w:rPr>
        <w:t xml:space="preserve"> rectificación a los medios </w:t>
      </w:r>
      <w:r w:rsidR="009A10E8">
        <w:rPr>
          <w:rFonts w:ascii="Cambria" w:hAnsi="Cambria"/>
          <w:sz w:val="20"/>
          <w:szCs w:val="20"/>
          <w:lang w:val="es-ES"/>
        </w:rPr>
        <w:t xml:space="preserve">de </w:t>
      </w:r>
      <w:r w:rsidR="009A10E8">
        <w:rPr>
          <w:rFonts w:ascii="Cambria" w:hAnsi="Cambria"/>
          <w:sz w:val="20"/>
          <w:szCs w:val="20"/>
          <w:lang w:val="es-ES"/>
        </w:rPr>
        <w:lastRenderedPageBreak/>
        <w:t>comunicación y que el Estado no tiene responsabilidad por estos supuestos hechos. Agrega que la presunta víctima también podría haber impugnado la supuesta persecución discriminatoria u por motivos de opinión a través de un recurso de protección y no lo hizo. Por fin, alega que la presunta víctima podr</w:t>
      </w:r>
      <w:r w:rsidR="00FF57C6">
        <w:rPr>
          <w:rFonts w:ascii="Cambria" w:hAnsi="Cambria"/>
          <w:sz w:val="20"/>
          <w:szCs w:val="20"/>
          <w:lang w:val="es-ES"/>
        </w:rPr>
        <w:t xml:space="preserve">ía haber impugnado la decisión de expulsión </w:t>
      </w:r>
      <w:r w:rsidR="00FF57C6" w:rsidRPr="00FF57C6">
        <w:rPr>
          <w:rFonts w:ascii="Cambria" w:hAnsi="Cambria"/>
          <w:sz w:val="20"/>
          <w:szCs w:val="20"/>
          <w:lang w:val="es-ES"/>
        </w:rPr>
        <w:t>mediante un recurso de reclamación ante la Corte Suprema y no lo hizo</w:t>
      </w:r>
      <w:r w:rsidR="00FF57C6">
        <w:rPr>
          <w:rFonts w:ascii="Cambria" w:hAnsi="Cambria"/>
          <w:sz w:val="20"/>
          <w:szCs w:val="20"/>
          <w:lang w:val="es-ES"/>
        </w:rPr>
        <w:t>.</w:t>
      </w:r>
    </w:p>
    <w:p w:rsidR="00CC1930" w:rsidRDefault="00FF57C6" w:rsidP="00AC01A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B0F21">
        <w:rPr>
          <w:rFonts w:ascii="Cambria" w:hAnsi="Cambria"/>
          <w:sz w:val="20"/>
          <w:szCs w:val="20"/>
          <w:lang w:val="es-ES"/>
        </w:rPr>
        <w:t>Por otro lado, la presunta víctima alega que</w:t>
      </w:r>
      <w:r w:rsidR="008938EC" w:rsidRPr="00FB0F21">
        <w:rPr>
          <w:rFonts w:ascii="Cambria" w:eastAsia="Calibri" w:hAnsi="Cambria"/>
          <w:sz w:val="20"/>
          <w:szCs w:val="22"/>
          <w:bdr w:val="none" w:sz="0" w:space="0" w:color="auto"/>
          <w:lang w:val="es-ES"/>
        </w:rPr>
        <w:t xml:space="preserve"> </w:t>
      </w:r>
      <w:r w:rsidR="008938EC" w:rsidRPr="00FB0F21">
        <w:rPr>
          <w:rFonts w:ascii="Cambria" w:hAnsi="Cambria"/>
          <w:sz w:val="20"/>
          <w:szCs w:val="20"/>
          <w:lang w:val="es-ES"/>
        </w:rPr>
        <w:t xml:space="preserve">el recurso de nulidad era idóneo para proteger a sus derechos fundamentales, que </w:t>
      </w:r>
      <w:r w:rsidRPr="00FB0F21">
        <w:rPr>
          <w:rFonts w:ascii="Cambria" w:hAnsi="Cambria"/>
          <w:sz w:val="20"/>
          <w:szCs w:val="20"/>
          <w:lang w:val="es-ES"/>
        </w:rPr>
        <w:t>agotó los recursos internos con la decisión de segunda instancia que desestimó su recurso de nulidad</w:t>
      </w:r>
      <w:r w:rsidR="00FB0F21" w:rsidRPr="00FB0F21">
        <w:rPr>
          <w:rFonts w:ascii="Cambria" w:hAnsi="Cambria"/>
          <w:sz w:val="20"/>
          <w:szCs w:val="20"/>
          <w:lang w:val="es-ES"/>
        </w:rPr>
        <w:t xml:space="preserve"> y que los recursos señalados por el Estado no son idóneos ni necesarios</w:t>
      </w:r>
      <w:r w:rsidRPr="00FB0F21">
        <w:rPr>
          <w:rFonts w:ascii="Cambria" w:hAnsi="Cambria"/>
          <w:sz w:val="20"/>
          <w:szCs w:val="20"/>
          <w:lang w:val="es-ES"/>
        </w:rPr>
        <w:t xml:space="preserve">. </w:t>
      </w:r>
      <w:r w:rsidR="008938EC" w:rsidRPr="00FB0F21">
        <w:rPr>
          <w:rFonts w:ascii="Cambria" w:hAnsi="Cambria"/>
          <w:sz w:val="20"/>
          <w:szCs w:val="20"/>
          <w:lang w:val="es-ES"/>
        </w:rPr>
        <w:t xml:space="preserve">En ese sentido, indica que como los actos discriminatorios ocurrieron en el marco del proceso penal, </w:t>
      </w:r>
      <w:r w:rsidR="008C3999" w:rsidRPr="00FB0F21">
        <w:rPr>
          <w:rFonts w:ascii="Cambria" w:hAnsi="Cambria"/>
          <w:sz w:val="20"/>
          <w:szCs w:val="20"/>
          <w:lang w:val="es-ES"/>
        </w:rPr>
        <w:t>el recurso de nulidad era adecuado para impugnarlo y no hacía falta interponer un recurso de protección en contra de estos actos. Además, sostiene que el recurso de protección  no es procedente cuando existe un proceso penal pendiente</w:t>
      </w:r>
      <w:r w:rsidR="00FB0F21" w:rsidRPr="00FB0F21">
        <w:rPr>
          <w:rFonts w:ascii="Cambria" w:hAnsi="Cambria"/>
          <w:sz w:val="20"/>
          <w:szCs w:val="20"/>
          <w:lang w:val="es-ES"/>
        </w:rPr>
        <w:t xml:space="preserve"> y no puede ser utilizado para impugnar </w:t>
      </w:r>
      <w:r w:rsidR="008C3999" w:rsidRPr="00FB0F21">
        <w:rPr>
          <w:rFonts w:ascii="Cambria" w:hAnsi="Cambria"/>
          <w:sz w:val="20"/>
          <w:szCs w:val="20"/>
          <w:lang w:val="es-ES"/>
        </w:rPr>
        <w:t>resoluciones judiciales y actos que se desarrollan en un proceso</w:t>
      </w:r>
      <w:r w:rsidR="00FB0F21" w:rsidRPr="00FB0F21">
        <w:rPr>
          <w:rFonts w:ascii="Cambria" w:hAnsi="Cambria"/>
          <w:sz w:val="20"/>
          <w:szCs w:val="20"/>
          <w:lang w:val="es-ES"/>
        </w:rPr>
        <w:t xml:space="preserve">. Asimismo, </w:t>
      </w:r>
      <w:r w:rsidRPr="00FB0F21">
        <w:rPr>
          <w:rFonts w:ascii="Cambria" w:hAnsi="Cambria"/>
          <w:sz w:val="20"/>
          <w:szCs w:val="20"/>
          <w:lang w:val="es-ES"/>
        </w:rPr>
        <w:t>a</w:t>
      </w:r>
      <w:r w:rsidR="00FB0F21">
        <w:rPr>
          <w:rFonts w:ascii="Cambria" w:hAnsi="Cambria"/>
          <w:sz w:val="20"/>
          <w:szCs w:val="20"/>
          <w:lang w:val="es-ES"/>
        </w:rPr>
        <w:t>duce</w:t>
      </w:r>
      <w:r w:rsidRPr="00FB0F21">
        <w:rPr>
          <w:rFonts w:ascii="Cambria" w:hAnsi="Cambria"/>
          <w:sz w:val="20"/>
          <w:szCs w:val="20"/>
          <w:lang w:val="es-ES"/>
        </w:rPr>
        <w:t xml:space="preserve"> que </w:t>
      </w:r>
      <w:r w:rsidR="00B52F2F">
        <w:rPr>
          <w:rFonts w:ascii="Cambria" w:hAnsi="Cambria"/>
          <w:sz w:val="20"/>
          <w:szCs w:val="20"/>
          <w:lang w:val="es-ES"/>
        </w:rPr>
        <w:t xml:space="preserve">es </w:t>
      </w:r>
      <w:r w:rsidRPr="00FB0F21">
        <w:rPr>
          <w:rFonts w:ascii="Cambria" w:hAnsi="Cambria"/>
          <w:sz w:val="20"/>
          <w:szCs w:val="20"/>
          <w:lang w:val="es-ES"/>
        </w:rPr>
        <w:t>el</w:t>
      </w:r>
      <w:r w:rsidR="00B52F2F">
        <w:rPr>
          <w:rFonts w:ascii="Cambria" w:hAnsi="Cambria"/>
          <w:sz w:val="20"/>
          <w:szCs w:val="20"/>
          <w:lang w:val="es-ES"/>
        </w:rPr>
        <w:t xml:space="preserve"> propio</w:t>
      </w:r>
      <w:r w:rsidRPr="00FB0F21">
        <w:rPr>
          <w:rFonts w:ascii="Cambria" w:hAnsi="Cambria"/>
          <w:sz w:val="20"/>
          <w:szCs w:val="20"/>
          <w:lang w:val="es-ES"/>
        </w:rPr>
        <w:t xml:space="preserve"> Estado </w:t>
      </w:r>
      <w:r w:rsidR="00B52F2F">
        <w:rPr>
          <w:rFonts w:ascii="Cambria" w:hAnsi="Cambria"/>
          <w:sz w:val="20"/>
          <w:szCs w:val="20"/>
          <w:lang w:val="es-ES"/>
        </w:rPr>
        <w:t xml:space="preserve">que </w:t>
      </w:r>
      <w:r w:rsidRPr="00FB0F21">
        <w:rPr>
          <w:rFonts w:ascii="Cambria" w:hAnsi="Cambria"/>
          <w:sz w:val="20"/>
          <w:szCs w:val="20"/>
          <w:lang w:val="es-ES"/>
        </w:rPr>
        <w:t>es responsable por tacharle como terrorista en los medios de comunicación en función de la</w:t>
      </w:r>
      <w:r w:rsidR="00FB0F21">
        <w:rPr>
          <w:rFonts w:ascii="Cambria" w:hAnsi="Cambria"/>
          <w:sz w:val="20"/>
          <w:szCs w:val="20"/>
          <w:lang w:val="es-ES"/>
        </w:rPr>
        <w:t>s</w:t>
      </w:r>
      <w:r w:rsidRPr="00FB0F21">
        <w:rPr>
          <w:rFonts w:ascii="Cambria" w:hAnsi="Cambria"/>
          <w:sz w:val="20"/>
          <w:szCs w:val="20"/>
          <w:lang w:val="es-ES"/>
        </w:rPr>
        <w:t xml:space="preserve"> declaraci</w:t>
      </w:r>
      <w:r w:rsidR="00FB0F21">
        <w:rPr>
          <w:rFonts w:ascii="Cambria" w:hAnsi="Cambria"/>
          <w:sz w:val="20"/>
          <w:szCs w:val="20"/>
          <w:lang w:val="es-ES"/>
        </w:rPr>
        <w:t>ones</w:t>
      </w:r>
      <w:r w:rsidRPr="00FB0F21">
        <w:rPr>
          <w:rFonts w:ascii="Cambria" w:hAnsi="Cambria"/>
          <w:sz w:val="20"/>
          <w:szCs w:val="20"/>
          <w:lang w:val="es-ES"/>
        </w:rPr>
        <w:t xml:space="preserve"> de sus agentes y que no correspondería interponer un recurso de aclaración y rectificación en contra de los medios de comunicación. </w:t>
      </w:r>
    </w:p>
    <w:p w:rsidR="00FF57C6" w:rsidRPr="00FB0F21" w:rsidRDefault="00FB0F21" w:rsidP="00AC01A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Por fin, informa que no estaba en condiciones de impugnar la decisión de expulsión, pues en aquel momento se encontraba en la cárcel y </w:t>
      </w:r>
      <w:r w:rsidR="004944F4">
        <w:rPr>
          <w:rFonts w:ascii="Cambria" w:hAnsi="Cambria"/>
          <w:sz w:val="20"/>
          <w:szCs w:val="20"/>
          <w:lang w:val="es-ES"/>
        </w:rPr>
        <w:t xml:space="preserve">su primer objetivo era salir de allí y </w:t>
      </w:r>
      <w:r w:rsidR="004944F4" w:rsidRPr="004944F4">
        <w:rPr>
          <w:rFonts w:ascii="Cambria" w:hAnsi="Cambria"/>
          <w:sz w:val="20"/>
          <w:szCs w:val="20"/>
          <w:lang w:val="es-ES"/>
        </w:rPr>
        <w:t>si esto significaba salir de Chile, era un costo menor</w:t>
      </w:r>
      <w:r w:rsidR="004944F4">
        <w:rPr>
          <w:rFonts w:ascii="Cambria" w:hAnsi="Cambria"/>
          <w:sz w:val="20"/>
          <w:szCs w:val="20"/>
          <w:lang w:val="es-ES"/>
        </w:rPr>
        <w:t>.  Indica que</w:t>
      </w:r>
      <w:r w:rsidR="004944F4" w:rsidRPr="004944F4">
        <w:rPr>
          <w:rFonts w:ascii="Cambria" w:hAnsi="Cambria"/>
          <w:sz w:val="20"/>
          <w:szCs w:val="20"/>
          <w:lang w:val="es-ES"/>
        </w:rPr>
        <w:t xml:space="preserve"> no le quedaba más que sumar sus esfuerzos y recursos en defenderse en un proceso penal en el que se pretendía su condena por delitos de mayor gravedad</w:t>
      </w:r>
      <w:r w:rsidR="004944F4">
        <w:rPr>
          <w:rFonts w:ascii="Cambria" w:hAnsi="Cambria"/>
          <w:sz w:val="20"/>
          <w:szCs w:val="20"/>
          <w:lang w:val="es-ES"/>
        </w:rPr>
        <w:t xml:space="preserve"> y estratégicamente tampoco era recomendable impugnar la decisión de expulsión y correr el riesgo de contar con una decisión desfavorable en su contra.</w:t>
      </w:r>
    </w:p>
    <w:p w:rsidR="00B52F2F" w:rsidRDefault="004944F4" w:rsidP="00AC01A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En relación con la supuesta persecución penal </w:t>
      </w:r>
      <w:r w:rsidR="00C24D30">
        <w:rPr>
          <w:rFonts w:ascii="Cambria" w:hAnsi="Cambria"/>
          <w:sz w:val="20"/>
          <w:szCs w:val="20"/>
          <w:lang w:val="es-ES"/>
        </w:rPr>
        <w:t xml:space="preserve">discriminatoria </w:t>
      </w:r>
      <w:r>
        <w:rPr>
          <w:rFonts w:ascii="Cambria" w:hAnsi="Cambria"/>
          <w:sz w:val="20"/>
          <w:szCs w:val="20"/>
          <w:lang w:val="es-ES"/>
        </w:rPr>
        <w:t xml:space="preserve">presuntamente con base en las convicciones y origen de la presunta víctima, la CIDH considera que </w:t>
      </w:r>
      <w:r w:rsidR="009B5292">
        <w:rPr>
          <w:rFonts w:ascii="Cambria" w:hAnsi="Cambria"/>
          <w:sz w:val="20"/>
          <w:szCs w:val="20"/>
          <w:lang w:val="es-ES"/>
        </w:rPr>
        <w:t>el recurso de nulidad era suficiente para analizar los reclamos presentados por la presunta víctima en ese sentido</w:t>
      </w:r>
      <w:r w:rsidR="00B52F2F">
        <w:rPr>
          <w:rFonts w:ascii="Cambria" w:hAnsi="Cambria"/>
          <w:sz w:val="20"/>
          <w:szCs w:val="20"/>
          <w:lang w:val="es-ES"/>
        </w:rPr>
        <w:t>, no siendo necesario el agotamiento de otros recursos adicionales o extraordinarios</w:t>
      </w:r>
      <w:r w:rsidR="009B5292">
        <w:rPr>
          <w:rFonts w:ascii="Cambria" w:hAnsi="Cambria"/>
          <w:sz w:val="20"/>
          <w:szCs w:val="20"/>
          <w:lang w:val="es-ES"/>
        </w:rPr>
        <w:t xml:space="preserve">. </w:t>
      </w:r>
      <w:r w:rsidR="00CC1930">
        <w:rPr>
          <w:rFonts w:ascii="Cambria" w:hAnsi="Cambria"/>
          <w:sz w:val="20"/>
          <w:szCs w:val="20"/>
          <w:lang w:val="es-ES"/>
        </w:rPr>
        <w:t>Adicionalmente, la CIDH observa que la exposición de la presunta víctima en los medios de comunicación habría ocurrido durante y cómo consecuencia del proceso penal promovido en su contra y</w:t>
      </w:r>
      <w:r w:rsidR="00B52F2F">
        <w:rPr>
          <w:rFonts w:ascii="Cambria" w:hAnsi="Cambria"/>
          <w:sz w:val="20"/>
          <w:szCs w:val="20"/>
          <w:lang w:val="es-ES"/>
        </w:rPr>
        <w:t xml:space="preserve"> que también estaría relacionada con el derecho de la presunta víctima a la presunción de inocencia.</w:t>
      </w:r>
      <w:r w:rsidR="00CC1930">
        <w:rPr>
          <w:rFonts w:ascii="Cambria" w:hAnsi="Cambria"/>
          <w:sz w:val="20"/>
          <w:szCs w:val="20"/>
          <w:lang w:val="es-ES"/>
        </w:rPr>
        <w:t xml:space="preserve"> </w:t>
      </w:r>
      <w:r w:rsidR="00B52F2F">
        <w:rPr>
          <w:rFonts w:ascii="Cambria" w:hAnsi="Cambria"/>
          <w:sz w:val="20"/>
          <w:szCs w:val="20"/>
          <w:lang w:val="es-ES"/>
        </w:rPr>
        <w:t xml:space="preserve">Por tanto, la Comisión considera que </w:t>
      </w:r>
      <w:r w:rsidR="00CC1930">
        <w:rPr>
          <w:rFonts w:ascii="Cambria" w:hAnsi="Cambria"/>
          <w:sz w:val="20"/>
          <w:szCs w:val="20"/>
          <w:lang w:val="es-ES"/>
        </w:rPr>
        <w:t>los recursos utilizados para impugnar el proceso penal también son suficientes para efectos de analizar el cumplimiento del requisito de agotamiento de los recursos internos</w:t>
      </w:r>
      <w:r w:rsidR="00B52F2F">
        <w:rPr>
          <w:rFonts w:ascii="Cambria" w:hAnsi="Cambria"/>
          <w:sz w:val="20"/>
          <w:szCs w:val="20"/>
          <w:lang w:val="es-ES"/>
        </w:rPr>
        <w:t xml:space="preserve"> respecto a este asunto</w:t>
      </w:r>
      <w:r w:rsidR="00CC1930">
        <w:rPr>
          <w:rFonts w:ascii="Cambria" w:hAnsi="Cambria"/>
          <w:sz w:val="20"/>
          <w:szCs w:val="20"/>
          <w:lang w:val="es-ES"/>
        </w:rPr>
        <w:t xml:space="preserve">. </w:t>
      </w:r>
    </w:p>
    <w:p w:rsidR="008C5751" w:rsidRDefault="00B52F2F" w:rsidP="00AC01A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Ante lo anterior</w:t>
      </w:r>
      <w:r w:rsidR="009B5292">
        <w:rPr>
          <w:rFonts w:ascii="Cambria" w:hAnsi="Cambria"/>
          <w:sz w:val="20"/>
          <w:szCs w:val="20"/>
          <w:lang w:val="es-ES"/>
        </w:rPr>
        <w:t xml:space="preserve">, la CIDH considera que los recursos fueron agotados el </w:t>
      </w:r>
      <w:r>
        <w:rPr>
          <w:rFonts w:ascii="Cambria" w:hAnsi="Cambria"/>
          <w:sz w:val="20"/>
          <w:szCs w:val="20"/>
          <w:lang w:val="es-ES"/>
        </w:rPr>
        <w:t xml:space="preserve">22 </w:t>
      </w:r>
      <w:r w:rsidR="009B5292">
        <w:rPr>
          <w:rFonts w:ascii="Cambria" w:hAnsi="Cambria"/>
          <w:sz w:val="20"/>
          <w:szCs w:val="20"/>
          <w:lang w:val="es-ES"/>
        </w:rPr>
        <w:t>de octubre de 2010</w:t>
      </w:r>
      <w:r w:rsidR="00CC1930">
        <w:rPr>
          <w:rFonts w:ascii="Cambria" w:hAnsi="Cambria"/>
          <w:sz w:val="20"/>
          <w:szCs w:val="20"/>
          <w:lang w:val="es-ES"/>
        </w:rPr>
        <w:t>, fecha en que</w:t>
      </w:r>
      <w:r>
        <w:rPr>
          <w:rFonts w:ascii="Cambria" w:hAnsi="Cambria"/>
          <w:sz w:val="20"/>
          <w:szCs w:val="20"/>
          <w:lang w:val="es-ES"/>
        </w:rPr>
        <w:t xml:space="preserve"> se confirmó la sentencia de primera instancia,</w:t>
      </w:r>
      <w:r w:rsidR="009B5292">
        <w:rPr>
          <w:rFonts w:ascii="Cambria" w:hAnsi="Cambria"/>
          <w:sz w:val="20"/>
          <w:szCs w:val="20"/>
          <w:lang w:val="es-ES"/>
        </w:rPr>
        <w:t xml:space="preserve"> y teniendo en cuenta la recepción de la petición el 20 de abril de 2011, la petición cumple con los requisitos de los artículos 46.1.a y 46.1.b de la Convención Americana. </w:t>
      </w:r>
    </w:p>
    <w:p w:rsidR="00F04591" w:rsidRPr="00006B74" w:rsidRDefault="00F04591" w:rsidP="00647756">
      <w:pPr>
        <w:pStyle w:val="ListParagraph"/>
        <w:spacing w:before="120" w:after="120"/>
        <w:jc w:val="both"/>
        <w:rPr>
          <w:rFonts w:asciiTheme="majorHAnsi" w:hAnsiTheme="majorHAnsi"/>
          <w:b/>
          <w:bCs/>
          <w:sz w:val="20"/>
          <w:szCs w:val="20"/>
          <w:lang w:val="es-ES"/>
        </w:rPr>
      </w:pPr>
      <w:r w:rsidRPr="00006B74">
        <w:rPr>
          <w:rFonts w:asciiTheme="majorHAnsi" w:hAnsiTheme="majorHAnsi"/>
          <w:b/>
          <w:bCs/>
          <w:sz w:val="20"/>
          <w:szCs w:val="20"/>
          <w:lang w:val="es-ES"/>
        </w:rPr>
        <w:t>V</w:t>
      </w:r>
      <w:r w:rsidR="000E2789" w:rsidRPr="00006B74">
        <w:rPr>
          <w:rFonts w:asciiTheme="majorHAnsi" w:hAnsiTheme="majorHAnsi"/>
          <w:b/>
          <w:bCs/>
          <w:sz w:val="20"/>
          <w:szCs w:val="20"/>
          <w:lang w:val="es-ES"/>
        </w:rPr>
        <w:t>I</w:t>
      </w:r>
      <w:r w:rsidRPr="00006B74">
        <w:rPr>
          <w:rFonts w:asciiTheme="majorHAnsi" w:hAnsiTheme="majorHAnsi"/>
          <w:b/>
          <w:bCs/>
          <w:sz w:val="20"/>
          <w:szCs w:val="20"/>
          <w:lang w:val="es-ES"/>
        </w:rPr>
        <w:t xml:space="preserve">I. </w:t>
      </w:r>
      <w:r w:rsidRPr="00006B74">
        <w:rPr>
          <w:rFonts w:asciiTheme="majorHAnsi" w:hAnsiTheme="majorHAnsi"/>
          <w:b/>
          <w:bCs/>
          <w:sz w:val="20"/>
          <w:szCs w:val="20"/>
          <w:lang w:val="es-ES"/>
        </w:rPr>
        <w:tab/>
        <w:t>CARACTERIZACIÓN</w:t>
      </w:r>
      <w:r w:rsidR="0078440F">
        <w:rPr>
          <w:rFonts w:asciiTheme="majorHAnsi" w:hAnsiTheme="majorHAnsi"/>
          <w:b/>
          <w:bCs/>
          <w:sz w:val="20"/>
          <w:szCs w:val="20"/>
          <w:lang w:val="es-ES"/>
        </w:rPr>
        <w:t xml:space="preserve">   </w:t>
      </w:r>
    </w:p>
    <w:p w:rsidR="00435FDB" w:rsidRDefault="006E772A" w:rsidP="00AC01A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La</w:t>
      </w:r>
      <w:r w:rsidR="000B0579">
        <w:rPr>
          <w:rFonts w:ascii="Cambria" w:hAnsi="Cambria"/>
          <w:sz w:val="20"/>
          <w:szCs w:val="20"/>
          <w:lang w:val="es-ES"/>
        </w:rPr>
        <w:t xml:space="preserve"> </w:t>
      </w:r>
      <w:r>
        <w:rPr>
          <w:rFonts w:ascii="Cambria" w:hAnsi="Cambria"/>
          <w:sz w:val="20"/>
          <w:szCs w:val="20"/>
          <w:lang w:val="es-ES"/>
        </w:rPr>
        <w:t>parte peticionaria</w:t>
      </w:r>
      <w:r w:rsidR="000B0579">
        <w:rPr>
          <w:rFonts w:ascii="Cambria" w:hAnsi="Cambria"/>
          <w:sz w:val="20"/>
          <w:szCs w:val="20"/>
          <w:lang w:val="es-ES"/>
        </w:rPr>
        <w:t xml:space="preserve"> sostiene que el Estado es responsable por la violación de los derechos humanos de la presunta víctima</w:t>
      </w:r>
      <w:r w:rsidR="00643253">
        <w:rPr>
          <w:rFonts w:ascii="Cambria" w:hAnsi="Cambria"/>
          <w:sz w:val="20"/>
          <w:szCs w:val="20"/>
          <w:lang w:val="es-ES"/>
        </w:rPr>
        <w:t xml:space="preserve"> en función de una persecución penal discriminatoria con base en sus opin</w:t>
      </w:r>
      <w:bookmarkStart w:id="2" w:name="_GoBack"/>
      <w:bookmarkEnd w:id="2"/>
      <w:r w:rsidR="00643253">
        <w:rPr>
          <w:rFonts w:ascii="Cambria" w:hAnsi="Cambria"/>
          <w:sz w:val="20"/>
          <w:szCs w:val="20"/>
          <w:lang w:val="es-ES"/>
        </w:rPr>
        <w:t xml:space="preserve">iones </w:t>
      </w:r>
      <w:r w:rsidR="00643253" w:rsidRPr="002F4207">
        <w:rPr>
          <w:rFonts w:ascii="Cambria" w:hAnsi="Cambria"/>
          <w:sz w:val="20"/>
          <w:szCs w:val="20"/>
          <w:lang w:val="es-ES"/>
        </w:rPr>
        <w:t>y origen.</w:t>
      </w:r>
      <w:r w:rsidR="000B0579" w:rsidRPr="002F4207">
        <w:rPr>
          <w:rFonts w:ascii="Cambria" w:hAnsi="Cambria"/>
          <w:sz w:val="20"/>
          <w:szCs w:val="20"/>
          <w:lang w:val="es-ES"/>
        </w:rPr>
        <w:t xml:space="preserve"> A su vez, el Estado afirma que</w:t>
      </w:r>
      <w:r w:rsidR="00B97946" w:rsidRPr="002F4207">
        <w:rPr>
          <w:rFonts w:ascii="Cambria" w:hAnsi="Cambria"/>
          <w:sz w:val="20"/>
          <w:szCs w:val="20"/>
          <w:lang w:val="es-ES"/>
        </w:rPr>
        <w:t xml:space="preserve"> los hechos alegados no caracterizan violaciones a los derechos humanos porque</w:t>
      </w:r>
      <w:r w:rsidR="000B0579" w:rsidRPr="002F4207">
        <w:rPr>
          <w:rFonts w:ascii="Cambria" w:hAnsi="Cambria"/>
          <w:sz w:val="20"/>
          <w:szCs w:val="20"/>
          <w:lang w:val="es-ES"/>
        </w:rPr>
        <w:t xml:space="preserve">: i) </w:t>
      </w:r>
      <w:r w:rsidR="00643253" w:rsidRPr="002F4207">
        <w:rPr>
          <w:rFonts w:ascii="Cambria" w:hAnsi="Cambria"/>
          <w:sz w:val="20"/>
          <w:szCs w:val="20"/>
          <w:lang w:val="es-ES"/>
        </w:rPr>
        <w:t>la presunta víctima no fue condenada por sus opiniones u origen sino con base en su conducta objetiva; y ii) e</w:t>
      </w:r>
      <w:r w:rsidR="002F4207" w:rsidRPr="002F4207">
        <w:rPr>
          <w:rFonts w:ascii="Cambria" w:hAnsi="Cambria"/>
          <w:sz w:val="20"/>
          <w:szCs w:val="20"/>
          <w:lang w:val="es-ES"/>
        </w:rPr>
        <w:t>n ningún momento su libertad de expresión fue coartada dado que no</w:t>
      </w:r>
      <w:r w:rsidR="00643253" w:rsidRPr="002F4207">
        <w:rPr>
          <w:rFonts w:ascii="Cambria" w:hAnsi="Cambria"/>
          <w:sz w:val="20"/>
          <w:szCs w:val="20"/>
          <w:lang w:val="es-ES"/>
        </w:rPr>
        <w:t xml:space="preserve"> se censuraron </w:t>
      </w:r>
      <w:r w:rsidR="002F4207" w:rsidRPr="002F4207">
        <w:rPr>
          <w:rFonts w:ascii="Cambria" w:hAnsi="Cambria"/>
          <w:sz w:val="20"/>
          <w:szCs w:val="20"/>
          <w:lang w:val="es-ES"/>
        </w:rPr>
        <w:t>o</w:t>
      </w:r>
      <w:r w:rsidR="00643253" w:rsidRPr="002F4207">
        <w:rPr>
          <w:rFonts w:ascii="Cambria" w:hAnsi="Cambria"/>
          <w:sz w:val="20"/>
          <w:szCs w:val="20"/>
          <w:lang w:val="es-ES"/>
        </w:rPr>
        <w:t xml:space="preserve"> eliminaron los artículos que la presunta víctima había escrito en relación con el conflicto mapuche o sus convicciones anarquistas</w:t>
      </w:r>
      <w:r w:rsidR="001A1A47">
        <w:rPr>
          <w:rFonts w:ascii="Cambria" w:hAnsi="Cambria"/>
          <w:sz w:val="20"/>
          <w:szCs w:val="20"/>
          <w:lang w:val="es-ES"/>
        </w:rPr>
        <w:t>.</w:t>
      </w:r>
      <w:r w:rsidR="00643253" w:rsidRPr="002F4207">
        <w:rPr>
          <w:rFonts w:ascii="Cambria" w:hAnsi="Cambria"/>
          <w:sz w:val="20"/>
          <w:szCs w:val="20"/>
          <w:lang w:val="es-ES"/>
        </w:rPr>
        <w:t xml:space="preserve"> </w:t>
      </w:r>
      <w:r w:rsidR="001A1A47">
        <w:rPr>
          <w:rFonts w:ascii="Cambria" w:hAnsi="Cambria"/>
          <w:sz w:val="20"/>
          <w:szCs w:val="20"/>
          <w:lang w:val="es-ES"/>
        </w:rPr>
        <w:t>A</w:t>
      </w:r>
      <w:r w:rsidR="00643253" w:rsidRPr="002F4207">
        <w:rPr>
          <w:rFonts w:ascii="Cambria" w:hAnsi="Cambria"/>
          <w:sz w:val="20"/>
          <w:szCs w:val="20"/>
          <w:lang w:val="es-ES"/>
        </w:rPr>
        <w:t xml:space="preserve">demás, el libro escrito por </w:t>
      </w:r>
      <w:r w:rsidR="002F4207" w:rsidRPr="002F4207">
        <w:rPr>
          <w:rFonts w:ascii="Cambria" w:hAnsi="Cambria"/>
          <w:sz w:val="20"/>
          <w:szCs w:val="20"/>
          <w:lang w:val="es-ES"/>
        </w:rPr>
        <w:t>la presunta víctima</w:t>
      </w:r>
      <w:r w:rsidR="00643253" w:rsidRPr="002F4207">
        <w:rPr>
          <w:rFonts w:ascii="Cambria" w:hAnsi="Cambria"/>
          <w:sz w:val="20"/>
          <w:szCs w:val="20"/>
          <w:lang w:val="es-ES"/>
        </w:rPr>
        <w:t xml:space="preserve"> sobre su detención </w:t>
      </w:r>
      <w:r w:rsidR="002F4207" w:rsidRPr="002F4207">
        <w:rPr>
          <w:rFonts w:ascii="Cambria" w:hAnsi="Cambria"/>
          <w:sz w:val="20"/>
          <w:szCs w:val="20"/>
          <w:lang w:val="es-ES"/>
        </w:rPr>
        <w:t>ha sido</w:t>
      </w:r>
      <w:r w:rsidR="00643253" w:rsidRPr="002F4207">
        <w:rPr>
          <w:rFonts w:ascii="Cambria" w:hAnsi="Cambria"/>
          <w:sz w:val="20"/>
          <w:szCs w:val="20"/>
          <w:lang w:val="es-ES"/>
        </w:rPr>
        <w:t xml:space="preserve"> publicado por una editorial chilena y jamás fue censurado. </w:t>
      </w:r>
    </w:p>
    <w:p w:rsidR="00C24D30" w:rsidRPr="00435FDB" w:rsidRDefault="00C24D30" w:rsidP="00AC01A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35FDB">
        <w:rPr>
          <w:rFonts w:ascii="Cambria" w:hAnsi="Cambria"/>
          <w:sz w:val="20"/>
          <w:szCs w:val="20"/>
          <w:lang w:val="es-ES"/>
        </w:rPr>
        <w:t xml:space="preserve">Por otro lado, </w:t>
      </w:r>
      <w:r w:rsidR="00BF379C" w:rsidRPr="00435FDB">
        <w:rPr>
          <w:rFonts w:ascii="Cambria" w:hAnsi="Cambria"/>
          <w:sz w:val="20"/>
          <w:szCs w:val="20"/>
          <w:lang w:val="es-ES"/>
        </w:rPr>
        <w:t xml:space="preserve"> e</w:t>
      </w:r>
      <w:r w:rsidR="001A1A47" w:rsidRPr="00435FDB">
        <w:rPr>
          <w:rFonts w:ascii="Cambria" w:hAnsi="Cambria"/>
          <w:sz w:val="20"/>
          <w:szCs w:val="20"/>
          <w:lang w:val="es-ES"/>
        </w:rPr>
        <w:t xml:space="preserve">n vista de los elementos de hecho y de derecho expuestos por las partes y la naturaleza del asunto puesto bajo su conocimiento, </w:t>
      </w:r>
      <w:r w:rsidRPr="00435FDB">
        <w:rPr>
          <w:rFonts w:ascii="Cambria" w:hAnsi="Cambria"/>
          <w:sz w:val="20"/>
          <w:szCs w:val="20"/>
          <w:lang w:val="es-ES"/>
        </w:rPr>
        <w:t xml:space="preserve">la CIDH considera que los </w:t>
      </w:r>
      <w:r w:rsidR="00BF379C" w:rsidRPr="00435FDB">
        <w:rPr>
          <w:rFonts w:ascii="Cambria" w:hAnsi="Cambria"/>
          <w:sz w:val="20"/>
          <w:szCs w:val="20"/>
          <w:lang w:val="es-ES"/>
        </w:rPr>
        <w:t xml:space="preserve">alegados </w:t>
      </w:r>
      <w:r w:rsidRPr="00435FDB">
        <w:rPr>
          <w:rFonts w:ascii="Cambria" w:hAnsi="Cambria"/>
          <w:sz w:val="20"/>
          <w:szCs w:val="20"/>
          <w:lang w:val="es-ES"/>
        </w:rPr>
        <w:t xml:space="preserve">hechos relacionados con </w:t>
      </w:r>
      <w:r w:rsidR="001A1A47" w:rsidRPr="00435FDB">
        <w:rPr>
          <w:rFonts w:ascii="Cambria" w:hAnsi="Cambria"/>
          <w:sz w:val="20"/>
          <w:szCs w:val="20"/>
          <w:lang w:val="es-ES"/>
        </w:rPr>
        <w:t xml:space="preserve"> </w:t>
      </w:r>
      <w:r w:rsidR="00452995" w:rsidRPr="00435FDB">
        <w:rPr>
          <w:rFonts w:ascii="Cambria" w:hAnsi="Cambria"/>
          <w:sz w:val="20"/>
          <w:szCs w:val="20"/>
          <w:lang w:val="es-ES"/>
        </w:rPr>
        <w:t>el a</w:t>
      </w:r>
      <w:r w:rsidR="00BB102E" w:rsidRPr="00435FDB">
        <w:rPr>
          <w:rFonts w:ascii="Cambria" w:hAnsi="Cambria"/>
          <w:sz w:val="20"/>
          <w:szCs w:val="20"/>
          <w:lang w:val="es-ES"/>
        </w:rPr>
        <w:t>llanamiento, expulsión del país y proceso penal presuntamente realizados a raíz de manifestaciones de su libertad de expresión</w:t>
      </w:r>
      <w:r w:rsidRPr="00435FDB">
        <w:rPr>
          <w:rFonts w:ascii="Cambria" w:hAnsi="Cambria"/>
          <w:sz w:val="20"/>
          <w:szCs w:val="20"/>
          <w:lang w:val="es-ES"/>
        </w:rPr>
        <w:t>,</w:t>
      </w:r>
      <w:r w:rsidR="00BF379C" w:rsidRPr="00435FDB">
        <w:rPr>
          <w:rFonts w:ascii="Cambria" w:hAnsi="Cambria"/>
          <w:sz w:val="20"/>
          <w:szCs w:val="20"/>
          <w:lang w:val="es-ES"/>
        </w:rPr>
        <w:t xml:space="preserve"> así como </w:t>
      </w:r>
      <w:r w:rsidR="00BB102E" w:rsidRPr="00435FDB">
        <w:rPr>
          <w:rFonts w:ascii="Cambria" w:hAnsi="Cambria"/>
          <w:sz w:val="20"/>
          <w:szCs w:val="20"/>
          <w:lang w:val="es-ES"/>
        </w:rPr>
        <w:t xml:space="preserve">el hecho </w:t>
      </w:r>
      <w:r w:rsidR="001A1A47" w:rsidRPr="00435FDB">
        <w:rPr>
          <w:rFonts w:ascii="Cambria" w:hAnsi="Cambria"/>
          <w:sz w:val="20"/>
          <w:szCs w:val="20"/>
          <w:lang w:val="es-ES"/>
        </w:rPr>
        <w:t>d</w:t>
      </w:r>
      <w:r w:rsidR="00BB102E" w:rsidRPr="00435FDB">
        <w:rPr>
          <w:rFonts w:ascii="Cambria" w:hAnsi="Cambria"/>
          <w:sz w:val="20"/>
          <w:szCs w:val="20"/>
          <w:lang w:val="es-ES"/>
        </w:rPr>
        <w:t>e haber sido presentado públicamente como terrorista con base en su nacionalidad e ideas anarquistas, podrían caracterizar posibles violaciones a</w:t>
      </w:r>
      <w:r w:rsidRPr="00435FDB">
        <w:rPr>
          <w:rFonts w:ascii="Cambria" w:hAnsi="Cambria"/>
          <w:sz w:val="20"/>
          <w:szCs w:val="20"/>
          <w:lang w:val="es-ES"/>
        </w:rPr>
        <w:t xml:space="preserve"> los artículos 8 (garantías judiciales)</w:t>
      </w:r>
      <w:r w:rsidR="00290237" w:rsidRPr="00435FDB">
        <w:rPr>
          <w:rFonts w:ascii="Cambria" w:hAnsi="Cambria"/>
          <w:sz w:val="20"/>
          <w:szCs w:val="20"/>
          <w:lang w:val="es-ES"/>
        </w:rPr>
        <w:t>,</w:t>
      </w:r>
      <w:r w:rsidRPr="00435FDB">
        <w:rPr>
          <w:rFonts w:ascii="Cambria" w:hAnsi="Cambria"/>
          <w:sz w:val="20"/>
          <w:szCs w:val="20"/>
          <w:lang w:val="es-ES"/>
        </w:rPr>
        <w:t xml:space="preserve"> 11 (</w:t>
      </w:r>
      <w:r w:rsidR="001A1A47" w:rsidRPr="00435FDB">
        <w:rPr>
          <w:rFonts w:ascii="Cambria" w:hAnsi="Cambria"/>
          <w:sz w:val="20"/>
          <w:szCs w:val="20"/>
          <w:lang w:val="es-ES"/>
        </w:rPr>
        <w:t xml:space="preserve">protección de la </w:t>
      </w:r>
      <w:r w:rsidRPr="00435FDB">
        <w:rPr>
          <w:rFonts w:ascii="Cambria" w:hAnsi="Cambria"/>
          <w:sz w:val="20"/>
          <w:szCs w:val="20"/>
          <w:lang w:val="es-ES"/>
        </w:rPr>
        <w:t xml:space="preserve">honra y </w:t>
      </w:r>
      <w:r w:rsidR="001A1A47" w:rsidRPr="00435FDB">
        <w:rPr>
          <w:rFonts w:ascii="Cambria" w:hAnsi="Cambria"/>
          <w:sz w:val="20"/>
          <w:szCs w:val="20"/>
          <w:lang w:val="es-ES"/>
        </w:rPr>
        <w:t xml:space="preserve">de la </w:t>
      </w:r>
      <w:r w:rsidRPr="00435FDB">
        <w:rPr>
          <w:rFonts w:ascii="Cambria" w:hAnsi="Cambria"/>
          <w:sz w:val="20"/>
          <w:szCs w:val="20"/>
          <w:lang w:val="es-ES"/>
        </w:rPr>
        <w:t>dignidad)</w:t>
      </w:r>
      <w:r w:rsidR="00BB102E" w:rsidRPr="00435FDB">
        <w:rPr>
          <w:rFonts w:ascii="Cambria" w:hAnsi="Cambria"/>
          <w:sz w:val="20"/>
          <w:szCs w:val="20"/>
          <w:lang w:val="es-ES"/>
        </w:rPr>
        <w:t>,</w:t>
      </w:r>
      <w:r w:rsidR="00290237" w:rsidRPr="00435FDB">
        <w:rPr>
          <w:rFonts w:ascii="Cambria" w:hAnsi="Cambria"/>
          <w:sz w:val="20"/>
          <w:szCs w:val="20"/>
          <w:lang w:val="es-ES"/>
        </w:rPr>
        <w:t xml:space="preserve"> 13 (libertad de</w:t>
      </w:r>
      <w:r w:rsidR="001A1A47" w:rsidRPr="00435FDB">
        <w:rPr>
          <w:rFonts w:ascii="Cambria" w:hAnsi="Cambria"/>
          <w:sz w:val="20"/>
          <w:szCs w:val="20"/>
          <w:lang w:val="es-ES"/>
        </w:rPr>
        <w:t xml:space="preserve"> pensamiento y de</w:t>
      </w:r>
      <w:r w:rsidR="00290237" w:rsidRPr="00435FDB">
        <w:rPr>
          <w:rFonts w:ascii="Cambria" w:hAnsi="Cambria"/>
          <w:sz w:val="20"/>
          <w:szCs w:val="20"/>
          <w:lang w:val="es-ES"/>
        </w:rPr>
        <w:t xml:space="preserve"> </w:t>
      </w:r>
      <w:r w:rsidR="00290237" w:rsidRPr="00435FDB">
        <w:rPr>
          <w:rFonts w:ascii="Cambria" w:hAnsi="Cambria"/>
          <w:sz w:val="20"/>
          <w:szCs w:val="20"/>
          <w:lang w:val="es-ES"/>
        </w:rPr>
        <w:lastRenderedPageBreak/>
        <w:t>expresión)</w:t>
      </w:r>
      <w:r w:rsidR="00C15043" w:rsidRPr="00435FDB">
        <w:rPr>
          <w:rFonts w:ascii="Cambria" w:hAnsi="Cambria"/>
          <w:sz w:val="20"/>
          <w:szCs w:val="20"/>
          <w:lang w:val="es-ES"/>
        </w:rPr>
        <w:t xml:space="preserve"> </w:t>
      </w:r>
      <w:r w:rsidR="00BB102E" w:rsidRPr="00435FDB">
        <w:rPr>
          <w:rFonts w:ascii="Cambria" w:hAnsi="Cambria"/>
          <w:sz w:val="20"/>
          <w:szCs w:val="20"/>
          <w:lang w:val="es-ES"/>
        </w:rPr>
        <w:t xml:space="preserve">y 24 (igualdad ante la ley) </w:t>
      </w:r>
      <w:r w:rsidRPr="00435FDB">
        <w:rPr>
          <w:rFonts w:ascii="Cambria" w:hAnsi="Cambria"/>
          <w:sz w:val="20"/>
          <w:szCs w:val="20"/>
          <w:lang w:val="es-ES"/>
        </w:rPr>
        <w:t xml:space="preserve">de la Convención Americana en concordancia con el artículo 1.1 del mismo instrumento. Ello, en función de una posible afectación al derecho a la presunción de inocencia y a la honra y dignidad. </w:t>
      </w:r>
    </w:p>
    <w:p w:rsidR="005245C3" w:rsidRPr="000B0579" w:rsidRDefault="005245C3" w:rsidP="00AC01A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Por fin, </w:t>
      </w:r>
      <w:r w:rsidRPr="005245C3">
        <w:rPr>
          <w:rFonts w:ascii="Cambria" w:hAnsi="Cambria"/>
          <w:sz w:val="20"/>
          <w:szCs w:val="20"/>
          <w:lang w:val="es-ES_tradnl"/>
        </w:rPr>
        <w:t xml:space="preserve">la Comisión </w:t>
      </w:r>
      <w:r>
        <w:rPr>
          <w:rFonts w:ascii="Cambria" w:hAnsi="Cambria"/>
          <w:sz w:val="20"/>
          <w:szCs w:val="20"/>
          <w:lang w:val="es-ES_tradnl"/>
        </w:rPr>
        <w:t xml:space="preserve">recuerda que </w:t>
      </w:r>
      <w:r w:rsidRPr="005245C3">
        <w:rPr>
          <w:rFonts w:ascii="Cambria" w:hAnsi="Cambria"/>
          <w:sz w:val="20"/>
          <w:szCs w:val="20"/>
          <w:lang w:val="es-ES_tradnl"/>
        </w:rPr>
        <w:t xml:space="preserve">carece de competencia para establecer violaciones a las normas </w:t>
      </w:r>
      <w:r>
        <w:rPr>
          <w:rFonts w:ascii="Cambria" w:hAnsi="Cambria"/>
          <w:sz w:val="20"/>
          <w:szCs w:val="20"/>
          <w:lang w:val="es-ES_tradnl"/>
        </w:rPr>
        <w:t>del Pacto Internacional de Derechos Civiles y Políticos</w:t>
      </w:r>
      <w:r w:rsidRPr="005245C3">
        <w:rPr>
          <w:rFonts w:ascii="Cambria" w:hAnsi="Cambria"/>
          <w:sz w:val="20"/>
          <w:szCs w:val="20"/>
          <w:lang w:val="es-ES_tradnl"/>
        </w:rPr>
        <w:t>, sin perjuicio de lo cual podrá tomarlo en cuenta como parte de su ejercicio interpretativo de las normas de la Convención Americana en los términos del artículo 29 de la Convención</w:t>
      </w:r>
      <w:r>
        <w:rPr>
          <w:rFonts w:ascii="Cambria" w:hAnsi="Cambria"/>
          <w:sz w:val="20"/>
          <w:szCs w:val="20"/>
          <w:lang w:val="es-ES_tradnl"/>
        </w:rPr>
        <w:t>.</w:t>
      </w:r>
    </w:p>
    <w:p w:rsidR="003239B8" w:rsidRPr="00006B74"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006B74">
        <w:rPr>
          <w:rFonts w:asciiTheme="majorHAnsi" w:hAnsiTheme="majorHAnsi"/>
          <w:b/>
          <w:bCs/>
          <w:sz w:val="20"/>
          <w:szCs w:val="20"/>
          <w:lang w:val="es-ES"/>
        </w:rPr>
        <w:t>VI</w:t>
      </w:r>
      <w:r w:rsidR="00F04591" w:rsidRPr="00006B74">
        <w:rPr>
          <w:rFonts w:asciiTheme="majorHAnsi" w:hAnsiTheme="majorHAnsi"/>
          <w:b/>
          <w:bCs/>
          <w:sz w:val="20"/>
          <w:szCs w:val="20"/>
          <w:lang w:val="es-ES"/>
        </w:rPr>
        <w:t>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t>DECISIÓN</w:t>
      </w:r>
    </w:p>
    <w:p w:rsidR="000419AD" w:rsidRDefault="000419AD" w:rsidP="00AC01AE">
      <w:pPr>
        <w:pStyle w:val="ListParagraph"/>
        <w:numPr>
          <w:ilvl w:val="0"/>
          <w:numId w:val="56"/>
        </w:numPr>
        <w:suppressAutoHyphens/>
        <w:spacing w:after="240"/>
        <w:jc w:val="both"/>
        <w:rPr>
          <w:rFonts w:eastAsia="Arial Unicode MS" w:cs="Times New Roman"/>
          <w:color w:val="auto"/>
          <w:sz w:val="20"/>
          <w:szCs w:val="20"/>
          <w:lang w:val="es-ES" w:eastAsia="en-US"/>
        </w:rPr>
      </w:pPr>
      <w:r w:rsidRPr="00006B74">
        <w:rPr>
          <w:rFonts w:eastAsia="Arial Unicode MS" w:cs="Times New Roman"/>
          <w:color w:val="auto"/>
          <w:sz w:val="20"/>
          <w:szCs w:val="20"/>
          <w:lang w:val="es-ES" w:eastAsia="en-US"/>
        </w:rPr>
        <w:t xml:space="preserve">Declarar </w:t>
      </w:r>
      <w:r w:rsidRPr="00643253">
        <w:rPr>
          <w:rFonts w:eastAsia="Arial Unicode MS" w:cs="Times New Roman"/>
          <w:color w:val="auto"/>
          <w:sz w:val="20"/>
          <w:szCs w:val="20"/>
          <w:lang w:val="es-ES" w:eastAsia="en-US"/>
        </w:rPr>
        <w:t xml:space="preserve">admisible </w:t>
      </w:r>
      <w:r w:rsidRPr="00006B74">
        <w:rPr>
          <w:rFonts w:eastAsia="Arial Unicode MS" w:cs="Times New Roman"/>
          <w:color w:val="auto"/>
          <w:sz w:val="20"/>
          <w:szCs w:val="20"/>
          <w:lang w:val="es-ES" w:eastAsia="en-US"/>
        </w:rPr>
        <w:t>la presente petición</w:t>
      </w:r>
      <w:r w:rsidR="00C24D30">
        <w:rPr>
          <w:rFonts w:eastAsia="Arial Unicode MS" w:cs="Times New Roman"/>
          <w:color w:val="auto"/>
          <w:sz w:val="20"/>
          <w:szCs w:val="20"/>
          <w:lang w:val="es-ES" w:eastAsia="en-US"/>
        </w:rPr>
        <w:t xml:space="preserve"> en relación con los artículo</w:t>
      </w:r>
      <w:r w:rsidR="00656530">
        <w:rPr>
          <w:rFonts w:eastAsia="Arial Unicode MS" w:cs="Times New Roman"/>
          <w:color w:val="auto"/>
          <w:sz w:val="20"/>
          <w:szCs w:val="20"/>
          <w:lang w:val="es-ES" w:eastAsia="en-US"/>
        </w:rPr>
        <w:t>s</w:t>
      </w:r>
      <w:r w:rsidR="00C24D30">
        <w:rPr>
          <w:rFonts w:eastAsia="Arial Unicode MS" w:cs="Times New Roman"/>
          <w:color w:val="auto"/>
          <w:sz w:val="20"/>
          <w:szCs w:val="20"/>
          <w:lang w:val="es-ES" w:eastAsia="en-US"/>
        </w:rPr>
        <w:t xml:space="preserve"> 8</w:t>
      </w:r>
      <w:r w:rsidR="00186660">
        <w:rPr>
          <w:rFonts w:eastAsia="Arial Unicode MS" w:cs="Times New Roman"/>
          <w:color w:val="auto"/>
          <w:sz w:val="20"/>
          <w:szCs w:val="20"/>
          <w:lang w:val="es-ES" w:eastAsia="en-US"/>
        </w:rPr>
        <w:t>, 11</w:t>
      </w:r>
      <w:r w:rsidR="00452995">
        <w:rPr>
          <w:rFonts w:eastAsia="Arial Unicode MS" w:cs="Times New Roman"/>
          <w:color w:val="auto"/>
          <w:sz w:val="20"/>
          <w:szCs w:val="20"/>
          <w:lang w:val="es-ES" w:eastAsia="en-US"/>
        </w:rPr>
        <w:t>,</w:t>
      </w:r>
      <w:r w:rsidR="00C24D30">
        <w:rPr>
          <w:rFonts w:eastAsia="Arial Unicode MS" w:cs="Times New Roman"/>
          <w:color w:val="auto"/>
          <w:sz w:val="20"/>
          <w:szCs w:val="20"/>
          <w:lang w:val="es-ES" w:eastAsia="en-US"/>
        </w:rPr>
        <w:t xml:space="preserve"> 1</w:t>
      </w:r>
      <w:r w:rsidR="00186660">
        <w:rPr>
          <w:rFonts w:eastAsia="Arial Unicode MS" w:cs="Times New Roman"/>
          <w:color w:val="auto"/>
          <w:sz w:val="20"/>
          <w:szCs w:val="20"/>
          <w:lang w:val="es-ES" w:eastAsia="en-US"/>
        </w:rPr>
        <w:t>3</w:t>
      </w:r>
      <w:r w:rsidR="00452995">
        <w:rPr>
          <w:rFonts w:eastAsia="Arial Unicode MS" w:cs="Times New Roman"/>
          <w:color w:val="auto"/>
          <w:sz w:val="20"/>
          <w:szCs w:val="20"/>
          <w:lang w:val="es-ES" w:eastAsia="en-US"/>
        </w:rPr>
        <w:t xml:space="preserve"> y 24</w:t>
      </w:r>
      <w:r w:rsidR="00C24D30">
        <w:rPr>
          <w:rFonts w:eastAsia="Arial Unicode MS" w:cs="Times New Roman"/>
          <w:color w:val="auto"/>
          <w:sz w:val="20"/>
          <w:szCs w:val="20"/>
          <w:lang w:val="es-ES" w:eastAsia="en-US"/>
        </w:rPr>
        <w:t xml:space="preserve"> de la Convención Americana</w:t>
      </w:r>
      <w:r w:rsidR="00F975CB">
        <w:rPr>
          <w:rFonts w:eastAsia="Arial Unicode MS" w:cs="Times New Roman"/>
          <w:color w:val="auto"/>
          <w:sz w:val="20"/>
          <w:szCs w:val="20"/>
          <w:lang w:val="es-ES" w:eastAsia="en-US"/>
        </w:rPr>
        <w:t xml:space="preserve"> en concordancia con el artículo 1.1. del mismo instrumento</w:t>
      </w:r>
      <w:r w:rsidR="003A6337" w:rsidRPr="00006B74">
        <w:rPr>
          <w:rFonts w:eastAsia="Arial Unicode MS" w:cs="Times New Roman"/>
          <w:color w:val="auto"/>
          <w:sz w:val="20"/>
          <w:szCs w:val="20"/>
          <w:lang w:val="es-ES" w:eastAsia="en-US"/>
        </w:rPr>
        <w:t>;</w:t>
      </w:r>
      <w:r w:rsidR="004A6A54" w:rsidRPr="00006B74">
        <w:rPr>
          <w:rFonts w:eastAsia="Arial Unicode MS" w:cs="Times New Roman"/>
          <w:color w:val="auto"/>
          <w:sz w:val="20"/>
          <w:szCs w:val="20"/>
          <w:lang w:val="es-ES" w:eastAsia="en-US"/>
        </w:rPr>
        <w:t xml:space="preserve"> </w:t>
      </w:r>
    </w:p>
    <w:p w:rsidR="00D93A90" w:rsidRDefault="004A6A54" w:rsidP="00AC01A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lang w:val="es-ES"/>
        </w:rPr>
      </w:pPr>
      <w:r w:rsidRPr="00006B74">
        <w:rPr>
          <w:rFonts w:asciiTheme="majorHAnsi" w:hAnsiTheme="majorHAnsi"/>
          <w:sz w:val="20"/>
          <w:szCs w:val="20"/>
          <w:lang w:val="es-ES"/>
        </w:rPr>
        <w:t xml:space="preserve">Notificar a </w:t>
      </w:r>
      <w:r w:rsidR="00643253">
        <w:rPr>
          <w:rFonts w:asciiTheme="majorHAnsi" w:hAnsiTheme="majorHAnsi"/>
          <w:sz w:val="20"/>
          <w:szCs w:val="20"/>
          <w:lang w:val="es-ES"/>
        </w:rPr>
        <w:t>las partes la presente decisión</w:t>
      </w:r>
      <w:r w:rsidR="00F975CB">
        <w:rPr>
          <w:rFonts w:asciiTheme="majorHAnsi" w:hAnsiTheme="majorHAnsi"/>
          <w:sz w:val="20"/>
          <w:szCs w:val="20"/>
          <w:lang w:val="es-ES"/>
        </w:rPr>
        <w:t>; continuar con el análisis del fondo de este asunto</w:t>
      </w:r>
      <w:r w:rsidRPr="00006B74">
        <w:rPr>
          <w:rFonts w:asciiTheme="majorHAnsi" w:hAnsiTheme="majorHAnsi"/>
          <w:sz w:val="20"/>
          <w:szCs w:val="20"/>
          <w:lang w:val="es-ES"/>
        </w:rPr>
        <w:t xml:space="preserve"> y publicar esta decisión e incluirla en su Informe Anual a la Asamblea General de la Organización de los Estados Americanos.</w:t>
      </w:r>
    </w:p>
    <w:p w:rsidR="00E647AC" w:rsidRPr="00A741D9" w:rsidRDefault="00E647AC" w:rsidP="00AC01AE">
      <w:pPr>
        <w:suppressAutoHyphens/>
        <w:spacing w:after="240"/>
        <w:ind w:firstLine="720"/>
        <w:jc w:val="both"/>
        <w:rPr>
          <w:rFonts w:ascii="Cambria" w:hAnsi="Cambria"/>
          <w:sz w:val="20"/>
          <w:szCs w:val="20"/>
          <w:lang w:val="es-ES"/>
        </w:rPr>
      </w:pPr>
      <w:r>
        <w:rPr>
          <w:rFonts w:ascii="Cambria" w:hAnsi="Cambria"/>
          <w:sz w:val="20"/>
          <w:szCs w:val="20"/>
          <w:lang w:val="es-ES"/>
        </w:rPr>
        <w:tab/>
        <w:t xml:space="preserve">Aprobado por la Comisión Interamericana de Derechos Humanos a los 5 días del mes de </w:t>
      </w:r>
      <w:r>
        <w:rPr>
          <w:rFonts w:ascii="Cambria" w:hAnsi="Cambria" w:cs="Arial"/>
          <w:noProof/>
          <w:spacing w:val="-2"/>
          <w:sz w:val="20"/>
          <w:szCs w:val="20"/>
          <w:lang w:val="es-CL"/>
        </w:rPr>
        <w:t>diciembre</w:t>
      </w:r>
      <w:r>
        <w:rPr>
          <w:rFonts w:ascii="Cambria" w:hAnsi="Cambria"/>
          <w:sz w:val="20"/>
          <w:szCs w:val="20"/>
          <w:lang w:val="es-ES"/>
        </w:rPr>
        <w:t xml:space="preserve"> de 2019.  </w:t>
      </w:r>
      <w:r w:rsidRPr="00A741D9">
        <w:rPr>
          <w:rFonts w:ascii="Cambria" w:hAnsi="Cambria"/>
          <w:sz w:val="20"/>
          <w:szCs w:val="20"/>
          <w:lang w:val="es-ES"/>
        </w:rPr>
        <w:t xml:space="preserve">(Firmado): Esmeralda E. Arosemena Bernal de Troitiño, Presidenta; Joel Hernández García, </w:t>
      </w:r>
      <w:r w:rsidRPr="00A741D9">
        <w:rPr>
          <w:rFonts w:ascii="Cambria" w:hAnsi="Cambria"/>
          <w:spacing w:val="-2"/>
          <w:sz w:val="20"/>
          <w:szCs w:val="20"/>
          <w:lang w:val="es-ES"/>
        </w:rPr>
        <w:t xml:space="preserve">Primer Vicepresidente; </w:t>
      </w:r>
      <w:r w:rsidRPr="00A741D9">
        <w:rPr>
          <w:rFonts w:ascii="Cambria" w:hAnsi="Cambria"/>
          <w:sz w:val="20"/>
          <w:szCs w:val="20"/>
          <w:lang w:val="es-ES"/>
        </w:rPr>
        <w:t>Margarette May Macaulay, Francisco José Eguiguren Praeli, Luis Ernesto Vargas Silva y Flávia Pi</w:t>
      </w:r>
      <w:r w:rsidR="00AC01AE">
        <w:rPr>
          <w:rFonts w:ascii="Cambria" w:hAnsi="Cambria"/>
          <w:sz w:val="20"/>
          <w:szCs w:val="20"/>
          <w:lang w:val="es-ES"/>
        </w:rPr>
        <w:t>ovesan, Miembros de la Comisión.</w:t>
      </w:r>
    </w:p>
    <w:sectPr w:rsidR="00E647AC" w:rsidRPr="00A741D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9BB" w:rsidRDefault="005C19BB">
      <w:r>
        <w:separator/>
      </w:r>
    </w:p>
  </w:endnote>
  <w:endnote w:type="continuationSeparator" w:id="0">
    <w:p w:rsidR="005C19BB" w:rsidRDefault="005C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837" w:rsidRDefault="003D48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D4837">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9BB" w:rsidRPr="000F35ED" w:rsidRDefault="005C19BB">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5C19BB" w:rsidRPr="000F35ED" w:rsidRDefault="005C19BB" w:rsidP="000F35ED">
      <w:pPr>
        <w:rPr>
          <w:rFonts w:asciiTheme="majorHAnsi" w:hAnsiTheme="majorHAnsi"/>
          <w:sz w:val="16"/>
          <w:szCs w:val="16"/>
        </w:rPr>
      </w:pPr>
      <w:r w:rsidRPr="000F35ED">
        <w:rPr>
          <w:rFonts w:asciiTheme="majorHAnsi" w:hAnsiTheme="majorHAnsi"/>
          <w:sz w:val="16"/>
          <w:szCs w:val="16"/>
        </w:rPr>
        <w:separator/>
      </w:r>
    </w:p>
    <w:p w:rsidR="005C19BB" w:rsidRPr="000F35ED" w:rsidRDefault="005C19BB"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5C19BB" w:rsidRPr="000F35ED" w:rsidRDefault="005C19BB"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4A6A54" w:rsidRPr="00DD061E" w:rsidRDefault="004A6A54" w:rsidP="00DD061E">
      <w:pPr>
        <w:pStyle w:val="FootnoteText"/>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Conforme a lo dispuesto en el artículo 17.2.a del Reglamento de la Comisión, </w:t>
      </w:r>
      <w:r w:rsidR="001C6A06">
        <w:rPr>
          <w:rFonts w:ascii="Cambria" w:hAnsi="Cambria"/>
          <w:color w:val="auto"/>
          <w:sz w:val="16"/>
          <w:szCs w:val="16"/>
          <w:lang w:val="es-ES"/>
        </w:rPr>
        <w:t xml:space="preserve">la Comisionada </w:t>
      </w:r>
      <w:r w:rsidR="001C6A06" w:rsidRPr="001C6A06">
        <w:rPr>
          <w:rFonts w:ascii="Cambria" w:hAnsi="Cambria"/>
          <w:color w:val="auto"/>
          <w:sz w:val="16"/>
          <w:szCs w:val="16"/>
          <w:lang w:val="es-ES"/>
        </w:rPr>
        <w:t>Antonia Urrejola Noguera</w:t>
      </w:r>
      <w:r w:rsidRPr="00DD061E">
        <w:rPr>
          <w:rFonts w:ascii="Cambria" w:hAnsi="Cambria"/>
          <w:sz w:val="16"/>
          <w:szCs w:val="16"/>
          <w:lang w:val="es-ES"/>
        </w:rPr>
        <w:t xml:space="preserve">, de nacionalidad </w:t>
      </w:r>
      <w:r w:rsidR="001C6A06">
        <w:rPr>
          <w:rFonts w:ascii="Cambria" w:hAnsi="Cambria"/>
          <w:color w:val="auto"/>
          <w:sz w:val="16"/>
          <w:szCs w:val="16"/>
          <w:lang w:val="es-ES"/>
        </w:rPr>
        <w:t>chilena</w:t>
      </w:r>
      <w:r w:rsidRPr="00DD061E">
        <w:rPr>
          <w:rFonts w:ascii="Cambria" w:hAnsi="Cambria"/>
          <w:sz w:val="16"/>
          <w:szCs w:val="16"/>
          <w:lang w:val="es-ES"/>
        </w:rPr>
        <w:t>, no participó en el debate ni en la decisión del presente asunto.</w:t>
      </w:r>
    </w:p>
  </w:footnote>
  <w:footnote w:id="3">
    <w:p w:rsidR="00BF514A" w:rsidRPr="00DD061E" w:rsidRDefault="00BF514A" w:rsidP="00DD061E">
      <w:pPr>
        <w:pStyle w:val="FootnoteText"/>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En adelante “la Convención Americana” o “la Convención”.</w:t>
      </w:r>
    </w:p>
  </w:footnote>
  <w:footnote w:id="4">
    <w:p w:rsidR="00AD687F" w:rsidRPr="00DD061E" w:rsidRDefault="00AD687F" w:rsidP="00AD687F">
      <w:pPr>
        <w:pStyle w:val="FootnoteText"/>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w:t>
      </w:r>
      <w:r>
        <w:rPr>
          <w:rFonts w:ascii="Cambria" w:hAnsi="Cambria"/>
          <w:sz w:val="16"/>
          <w:szCs w:val="16"/>
          <w:lang w:val="es-ES"/>
        </w:rPr>
        <w:t>Artículo 17 del Pacto Internacional de Derechos Civiles y Políticos</w:t>
      </w:r>
      <w:r w:rsidRPr="00DD061E">
        <w:rPr>
          <w:rFonts w:ascii="Cambria" w:hAnsi="Cambria"/>
          <w:sz w:val="16"/>
          <w:szCs w:val="16"/>
          <w:lang w:val="es-ES"/>
        </w:rPr>
        <w:t>.</w:t>
      </w:r>
    </w:p>
  </w:footnote>
  <w:footnote w:id="5">
    <w:p w:rsidR="008E3BFE" w:rsidRPr="00DD061E" w:rsidRDefault="008E3BFE" w:rsidP="00DD061E">
      <w:pPr>
        <w:pStyle w:val="FootnoteText"/>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5C19BB"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837" w:rsidRDefault="003D48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7EF52A5"/>
    <w:multiLevelType w:val="hybridMultilevel"/>
    <w:tmpl w:val="ACB2DC26"/>
    <w:lvl w:ilvl="0" w:tplc="38CC4788">
      <w:start w:val="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4"/>
  </w:num>
  <w:num w:numId="4">
    <w:abstractNumId w:val="23"/>
  </w:num>
  <w:num w:numId="5">
    <w:abstractNumId w:val="48"/>
  </w:num>
  <w:num w:numId="6">
    <w:abstractNumId w:val="28"/>
  </w:num>
  <w:num w:numId="7">
    <w:abstractNumId w:val="8"/>
  </w:num>
  <w:num w:numId="8">
    <w:abstractNumId w:val="18"/>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6"/>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60"/>
  </w:num>
  <w:num w:numId="51">
    <w:abstractNumId w:val="22"/>
  </w:num>
  <w:num w:numId="52">
    <w:abstractNumId w:val="41"/>
  </w:num>
  <w:num w:numId="53">
    <w:abstractNumId w:val="51"/>
  </w:num>
  <w:num w:numId="54">
    <w:abstractNumId w:val="45"/>
  </w:num>
  <w:num w:numId="55">
    <w:abstractNumId w:val="5"/>
  </w:num>
  <w:num w:numId="56">
    <w:abstractNumId w:val="43"/>
  </w:num>
  <w:num w:numId="57">
    <w:abstractNumId w:val="59"/>
  </w:num>
  <w:num w:numId="58">
    <w:abstractNumId w:val="21"/>
  </w:num>
  <w:num w:numId="59">
    <w:abstractNumId w:val="3"/>
  </w:num>
  <w:num w:numId="60">
    <w:abstractNumId w:val="47"/>
  </w:num>
  <w:num w:numId="61">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5701"/>
    <w:rsid w:val="0001788C"/>
    <w:rsid w:val="0002186F"/>
    <w:rsid w:val="000229C2"/>
    <w:rsid w:val="000337EF"/>
    <w:rsid w:val="00040C3A"/>
    <w:rsid w:val="000419AD"/>
    <w:rsid w:val="000546DC"/>
    <w:rsid w:val="000716C5"/>
    <w:rsid w:val="00072D50"/>
    <w:rsid w:val="00074B7E"/>
    <w:rsid w:val="00075E23"/>
    <w:rsid w:val="0007671D"/>
    <w:rsid w:val="000806A8"/>
    <w:rsid w:val="0009006E"/>
    <w:rsid w:val="0009344A"/>
    <w:rsid w:val="000A19F8"/>
    <w:rsid w:val="000A3254"/>
    <w:rsid w:val="000A392E"/>
    <w:rsid w:val="000A575F"/>
    <w:rsid w:val="000A63D0"/>
    <w:rsid w:val="000A7C72"/>
    <w:rsid w:val="000B0579"/>
    <w:rsid w:val="000C1C69"/>
    <w:rsid w:val="000C3A31"/>
    <w:rsid w:val="000D10DB"/>
    <w:rsid w:val="000E2789"/>
    <w:rsid w:val="000E5EB5"/>
    <w:rsid w:val="000F35ED"/>
    <w:rsid w:val="00107131"/>
    <w:rsid w:val="0010736F"/>
    <w:rsid w:val="00111A8A"/>
    <w:rsid w:val="00113F73"/>
    <w:rsid w:val="0011634E"/>
    <w:rsid w:val="00117F1F"/>
    <w:rsid w:val="00121CC2"/>
    <w:rsid w:val="00131D8B"/>
    <w:rsid w:val="00133EE5"/>
    <w:rsid w:val="00136E3D"/>
    <w:rsid w:val="00143EFE"/>
    <w:rsid w:val="001479C0"/>
    <w:rsid w:val="0015330B"/>
    <w:rsid w:val="00167A34"/>
    <w:rsid w:val="00176BB3"/>
    <w:rsid w:val="00177EEF"/>
    <w:rsid w:val="001834E9"/>
    <w:rsid w:val="00186660"/>
    <w:rsid w:val="001A1A47"/>
    <w:rsid w:val="001A2420"/>
    <w:rsid w:val="001A26DF"/>
    <w:rsid w:val="001A7870"/>
    <w:rsid w:val="001B3A00"/>
    <w:rsid w:val="001B4C00"/>
    <w:rsid w:val="001C04E0"/>
    <w:rsid w:val="001C1B41"/>
    <w:rsid w:val="001C6A06"/>
    <w:rsid w:val="001D65EF"/>
    <w:rsid w:val="001E49E7"/>
    <w:rsid w:val="001F271B"/>
    <w:rsid w:val="001F7201"/>
    <w:rsid w:val="001F7C11"/>
    <w:rsid w:val="00204931"/>
    <w:rsid w:val="00223A29"/>
    <w:rsid w:val="002250A3"/>
    <w:rsid w:val="00231294"/>
    <w:rsid w:val="00235217"/>
    <w:rsid w:val="002355A9"/>
    <w:rsid w:val="00237BA4"/>
    <w:rsid w:val="00246D1F"/>
    <w:rsid w:val="00247403"/>
    <w:rsid w:val="00247542"/>
    <w:rsid w:val="00266B61"/>
    <w:rsid w:val="0026712A"/>
    <w:rsid w:val="002704DB"/>
    <w:rsid w:val="00277BDA"/>
    <w:rsid w:val="00290237"/>
    <w:rsid w:val="0029575A"/>
    <w:rsid w:val="002A0AAE"/>
    <w:rsid w:val="002A5820"/>
    <w:rsid w:val="002B1777"/>
    <w:rsid w:val="002B7530"/>
    <w:rsid w:val="002C3350"/>
    <w:rsid w:val="002D2B26"/>
    <w:rsid w:val="002D7EA2"/>
    <w:rsid w:val="002E187C"/>
    <w:rsid w:val="002E3D6F"/>
    <w:rsid w:val="002E7512"/>
    <w:rsid w:val="002F0E0E"/>
    <w:rsid w:val="002F3724"/>
    <w:rsid w:val="002F4207"/>
    <w:rsid w:val="00302733"/>
    <w:rsid w:val="003044EE"/>
    <w:rsid w:val="0030619B"/>
    <w:rsid w:val="003121D5"/>
    <w:rsid w:val="00314078"/>
    <w:rsid w:val="0031535D"/>
    <w:rsid w:val="00315550"/>
    <w:rsid w:val="003239B8"/>
    <w:rsid w:val="003315D4"/>
    <w:rsid w:val="0033169F"/>
    <w:rsid w:val="0034224A"/>
    <w:rsid w:val="00343438"/>
    <w:rsid w:val="00344977"/>
    <w:rsid w:val="00346C95"/>
    <w:rsid w:val="00351155"/>
    <w:rsid w:val="00356185"/>
    <w:rsid w:val="00360380"/>
    <w:rsid w:val="0036511B"/>
    <w:rsid w:val="0037519E"/>
    <w:rsid w:val="00386C6C"/>
    <w:rsid w:val="00386CF0"/>
    <w:rsid w:val="00392B71"/>
    <w:rsid w:val="003942EC"/>
    <w:rsid w:val="003A2E0C"/>
    <w:rsid w:val="003A6337"/>
    <w:rsid w:val="003B4FF6"/>
    <w:rsid w:val="003B5FFF"/>
    <w:rsid w:val="003B70FB"/>
    <w:rsid w:val="003C6112"/>
    <w:rsid w:val="003C676B"/>
    <w:rsid w:val="003D0A55"/>
    <w:rsid w:val="003D1E40"/>
    <w:rsid w:val="003D3BC2"/>
    <w:rsid w:val="003D4837"/>
    <w:rsid w:val="003D5C50"/>
    <w:rsid w:val="003E614F"/>
    <w:rsid w:val="003E6CA1"/>
    <w:rsid w:val="00402DB3"/>
    <w:rsid w:val="004065A8"/>
    <w:rsid w:val="004165C2"/>
    <w:rsid w:val="004304AD"/>
    <w:rsid w:val="00435FDB"/>
    <w:rsid w:val="00441ECB"/>
    <w:rsid w:val="004432F4"/>
    <w:rsid w:val="00445193"/>
    <w:rsid w:val="00447CCF"/>
    <w:rsid w:val="00452995"/>
    <w:rsid w:val="00452BCD"/>
    <w:rsid w:val="004565BA"/>
    <w:rsid w:val="00462C1B"/>
    <w:rsid w:val="00467B7E"/>
    <w:rsid w:val="00473BB4"/>
    <w:rsid w:val="00476211"/>
    <w:rsid w:val="00477592"/>
    <w:rsid w:val="00486F1C"/>
    <w:rsid w:val="0049419D"/>
    <w:rsid w:val="004944F4"/>
    <w:rsid w:val="004A59CC"/>
    <w:rsid w:val="004A6A54"/>
    <w:rsid w:val="004C20D2"/>
    <w:rsid w:val="004C2312"/>
    <w:rsid w:val="004C4B62"/>
    <w:rsid w:val="004C54C9"/>
    <w:rsid w:val="004C616A"/>
    <w:rsid w:val="004D4ABA"/>
    <w:rsid w:val="004D6025"/>
    <w:rsid w:val="004E19B1"/>
    <w:rsid w:val="004E2649"/>
    <w:rsid w:val="00501399"/>
    <w:rsid w:val="00501652"/>
    <w:rsid w:val="0050633D"/>
    <w:rsid w:val="00507BC4"/>
    <w:rsid w:val="005128E4"/>
    <w:rsid w:val="005133DB"/>
    <w:rsid w:val="0051603F"/>
    <w:rsid w:val="005245C3"/>
    <w:rsid w:val="00525560"/>
    <w:rsid w:val="005415E6"/>
    <w:rsid w:val="00544216"/>
    <w:rsid w:val="00544C49"/>
    <w:rsid w:val="005516A1"/>
    <w:rsid w:val="00563557"/>
    <w:rsid w:val="0057402A"/>
    <w:rsid w:val="00574CB7"/>
    <w:rsid w:val="005771D0"/>
    <w:rsid w:val="0059191A"/>
    <w:rsid w:val="005921FF"/>
    <w:rsid w:val="00594707"/>
    <w:rsid w:val="005A24ED"/>
    <w:rsid w:val="005A6D0E"/>
    <w:rsid w:val="005B37CC"/>
    <w:rsid w:val="005B52B0"/>
    <w:rsid w:val="005B6806"/>
    <w:rsid w:val="005B6D22"/>
    <w:rsid w:val="005C0265"/>
    <w:rsid w:val="005C19BB"/>
    <w:rsid w:val="005C261A"/>
    <w:rsid w:val="005C4225"/>
    <w:rsid w:val="005C7989"/>
    <w:rsid w:val="005D66AD"/>
    <w:rsid w:val="005E0B65"/>
    <w:rsid w:val="005E11B2"/>
    <w:rsid w:val="005F0DAD"/>
    <w:rsid w:val="005F0F33"/>
    <w:rsid w:val="00600DEB"/>
    <w:rsid w:val="006068B7"/>
    <w:rsid w:val="006277DE"/>
    <w:rsid w:val="00627C9F"/>
    <w:rsid w:val="006311E9"/>
    <w:rsid w:val="00632354"/>
    <w:rsid w:val="00642810"/>
    <w:rsid w:val="00643253"/>
    <w:rsid w:val="00647756"/>
    <w:rsid w:val="006509DA"/>
    <w:rsid w:val="00652333"/>
    <w:rsid w:val="00656530"/>
    <w:rsid w:val="006775AB"/>
    <w:rsid w:val="0068009E"/>
    <w:rsid w:val="006819E9"/>
    <w:rsid w:val="00686471"/>
    <w:rsid w:val="0068794B"/>
    <w:rsid w:val="00691BBE"/>
    <w:rsid w:val="00692219"/>
    <w:rsid w:val="0069402E"/>
    <w:rsid w:val="006A17D2"/>
    <w:rsid w:val="006A5901"/>
    <w:rsid w:val="006A73E6"/>
    <w:rsid w:val="006B2D5C"/>
    <w:rsid w:val="006B2EE8"/>
    <w:rsid w:val="006C4EB1"/>
    <w:rsid w:val="006E0166"/>
    <w:rsid w:val="006E4544"/>
    <w:rsid w:val="006E772A"/>
    <w:rsid w:val="006E7B34"/>
    <w:rsid w:val="0070697F"/>
    <w:rsid w:val="00711FC7"/>
    <w:rsid w:val="0072199C"/>
    <w:rsid w:val="00722C9F"/>
    <w:rsid w:val="007253B8"/>
    <w:rsid w:val="00727B0E"/>
    <w:rsid w:val="0073598C"/>
    <w:rsid w:val="0073741F"/>
    <w:rsid w:val="00740B02"/>
    <w:rsid w:val="0074341B"/>
    <w:rsid w:val="007459C5"/>
    <w:rsid w:val="0076643F"/>
    <w:rsid w:val="00777F63"/>
    <w:rsid w:val="0078440F"/>
    <w:rsid w:val="007852B5"/>
    <w:rsid w:val="00796A37"/>
    <w:rsid w:val="007A5817"/>
    <w:rsid w:val="007A75EB"/>
    <w:rsid w:val="007B05C4"/>
    <w:rsid w:val="007B60E9"/>
    <w:rsid w:val="007B6CC3"/>
    <w:rsid w:val="007C3334"/>
    <w:rsid w:val="007C402A"/>
    <w:rsid w:val="007D2B98"/>
    <w:rsid w:val="007D50BF"/>
    <w:rsid w:val="007D7C02"/>
    <w:rsid w:val="007E09E1"/>
    <w:rsid w:val="007E21BC"/>
    <w:rsid w:val="007E58FE"/>
    <w:rsid w:val="007E7C82"/>
    <w:rsid w:val="007F3226"/>
    <w:rsid w:val="007F588D"/>
    <w:rsid w:val="00802748"/>
    <w:rsid w:val="00803F1C"/>
    <w:rsid w:val="0080448B"/>
    <w:rsid w:val="0080600E"/>
    <w:rsid w:val="00817612"/>
    <w:rsid w:val="008338A4"/>
    <w:rsid w:val="00834D49"/>
    <w:rsid w:val="00836ED6"/>
    <w:rsid w:val="00837C45"/>
    <w:rsid w:val="008411F0"/>
    <w:rsid w:val="008439BC"/>
    <w:rsid w:val="00844730"/>
    <w:rsid w:val="008457C2"/>
    <w:rsid w:val="00857A82"/>
    <w:rsid w:val="00871526"/>
    <w:rsid w:val="00873836"/>
    <w:rsid w:val="00875668"/>
    <w:rsid w:val="0088243D"/>
    <w:rsid w:val="00882ADD"/>
    <w:rsid w:val="00885737"/>
    <w:rsid w:val="00890650"/>
    <w:rsid w:val="008938EC"/>
    <w:rsid w:val="00897E12"/>
    <w:rsid w:val="008A0F81"/>
    <w:rsid w:val="008A310C"/>
    <w:rsid w:val="008A7E0F"/>
    <w:rsid w:val="008B12F5"/>
    <w:rsid w:val="008B5932"/>
    <w:rsid w:val="008C0129"/>
    <w:rsid w:val="008C3999"/>
    <w:rsid w:val="008C5751"/>
    <w:rsid w:val="008D768D"/>
    <w:rsid w:val="008E0FD8"/>
    <w:rsid w:val="008E328A"/>
    <w:rsid w:val="008E3759"/>
    <w:rsid w:val="008E3BFE"/>
    <w:rsid w:val="008E7900"/>
    <w:rsid w:val="008F1912"/>
    <w:rsid w:val="0090270B"/>
    <w:rsid w:val="009041DC"/>
    <w:rsid w:val="00917B5A"/>
    <w:rsid w:val="00920A58"/>
    <w:rsid w:val="00920A8C"/>
    <w:rsid w:val="00934A2C"/>
    <w:rsid w:val="00935F06"/>
    <w:rsid w:val="00937B3A"/>
    <w:rsid w:val="00954B82"/>
    <w:rsid w:val="00957000"/>
    <w:rsid w:val="00962436"/>
    <w:rsid w:val="0096706E"/>
    <w:rsid w:val="00971B7B"/>
    <w:rsid w:val="00974491"/>
    <w:rsid w:val="00975C4E"/>
    <w:rsid w:val="00981FBA"/>
    <w:rsid w:val="0099684E"/>
    <w:rsid w:val="00997BC5"/>
    <w:rsid w:val="009A10E8"/>
    <w:rsid w:val="009A4F41"/>
    <w:rsid w:val="009B381B"/>
    <w:rsid w:val="009B5292"/>
    <w:rsid w:val="009C2FC5"/>
    <w:rsid w:val="009D1753"/>
    <w:rsid w:val="009D6502"/>
    <w:rsid w:val="009D6766"/>
    <w:rsid w:val="009D7611"/>
    <w:rsid w:val="009D78A5"/>
    <w:rsid w:val="009E08DD"/>
    <w:rsid w:val="009E0B61"/>
    <w:rsid w:val="009E4C9B"/>
    <w:rsid w:val="009E53DE"/>
    <w:rsid w:val="009E7C00"/>
    <w:rsid w:val="00A02CDE"/>
    <w:rsid w:val="00A0691C"/>
    <w:rsid w:val="00A11E44"/>
    <w:rsid w:val="00A154C8"/>
    <w:rsid w:val="00A22397"/>
    <w:rsid w:val="00A2715E"/>
    <w:rsid w:val="00A32313"/>
    <w:rsid w:val="00A328B3"/>
    <w:rsid w:val="00A50FCF"/>
    <w:rsid w:val="00A528D1"/>
    <w:rsid w:val="00A53580"/>
    <w:rsid w:val="00A610CD"/>
    <w:rsid w:val="00A625E0"/>
    <w:rsid w:val="00A74947"/>
    <w:rsid w:val="00A758AA"/>
    <w:rsid w:val="00A77206"/>
    <w:rsid w:val="00A90D1B"/>
    <w:rsid w:val="00A92093"/>
    <w:rsid w:val="00A95040"/>
    <w:rsid w:val="00AA09A2"/>
    <w:rsid w:val="00AA1F32"/>
    <w:rsid w:val="00AA7996"/>
    <w:rsid w:val="00AB3B2E"/>
    <w:rsid w:val="00AC01AE"/>
    <w:rsid w:val="00AC19CB"/>
    <w:rsid w:val="00AD1886"/>
    <w:rsid w:val="00AD1DD3"/>
    <w:rsid w:val="00AD687F"/>
    <w:rsid w:val="00AE4581"/>
    <w:rsid w:val="00AE5488"/>
    <w:rsid w:val="00AE6F91"/>
    <w:rsid w:val="00AF5571"/>
    <w:rsid w:val="00B00237"/>
    <w:rsid w:val="00B06B4E"/>
    <w:rsid w:val="00B07341"/>
    <w:rsid w:val="00B202B5"/>
    <w:rsid w:val="00B30539"/>
    <w:rsid w:val="00B314DB"/>
    <w:rsid w:val="00B361F2"/>
    <w:rsid w:val="00B3718B"/>
    <w:rsid w:val="00B4378E"/>
    <w:rsid w:val="00B4632A"/>
    <w:rsid w:val="00B5067D"/>
    <w:rsid w:val="00B52F2F"/>
    <w:rsid w:val="00B530F1"/>
    <w:rsid w:val="00B57297"/>
    <w:rsid w:val="00B736AF"/>
    <w:rsid w:val="00B742BE"/>
    <w:rsid w:val="00B87359"/>
    <w:rsid w:val="00B927C8"/>
    <w:rsid w:val="00B97946"/>
    <w:rsid w:val="00BA276C"/>
    <w:rsid w:val="00BA5544"/>
    <w:rsid w:val="00BB102E"/>
    <w:rsid w:val="00BB306F"/>
    <w:rsid w:val="00BB3FBD"/>
    <w:rsid w:val="00BC5723"/>
    <w:rsid w:val="00BC6CD0"/>
    <w:rsid w:val="00BD4B89"/>
    <w:rsid w:val="00BD5922"/>
    <w:rsid w:val="00BD76D9"/>
    <w:rsid w:val="00BF02CB"/>
    <w:rsid w:val="00BF379C"/>
    <w:rsid w:val="00BF514A"/>
    <w:rsid w:val="00BF6FD8"/>
    <w:rsid w:val="00BF775D"/>
    <w:rsid w:val="00C024C3"/>
    <w:rsid w:val="00C03680"/>
    <w:rsid w:val="00C054DF"/>
    <w:rsid w:val="00C10AFC"/>
    <w:rsid w:val="00C15043"/>
    <w:rsid w:val="00C16452"/>
    <w:rsid w:val="00C16E38"/>
    <w:rsid w:val="00C21562"/>
    <w:rsid w:val="00C21762"/>
    <w:rsid w:val="00C21FEF"/>
    <w:rsid w:val="00C24543"/>
    <w:rsid w:val="00C24D30"/>
    <w:rsid w:val="00C256A2"/>
    <w:rsid w:val="00C35A26"/>
    <w:rsid w:val="00C51515"/>
    <w:rsid w:val="00C53910"/>
    <w:rsid w:val="00C5660B"/>
    <w:rsid w:val="00C56854"/>
    <w:rsid w:val="00C5788A"/>
    <w:rsid w:val="00C6580F"/>
    <w:rsid w:val="00C66B72"/>
    <w:rsid w:val="00C87AC4"/>
    <w:rsid w:val="00C9567A"/>
    <w:rsid w:val="00CA48A3"/>
    <w:rsid w:val="00CB212D"/>
    <w:rsid w:val="00CB2660"/>
    <w:rsid w:val="00CC1930"/>
    <w:rsid w:val="00CC5E90"/>
    <w:rsid w:val="00CD046C"/>
    <w:rsid w:val="00CE076C"/>
    <w:rsid w:val="00CE5199"/>
    <w:rsid w:val="00CE66D5"/>
    <w:rsid w:val="00CF354B"/>
    <w:rsid w:val="00CF637A"/>
    <w:rsid w:val="00D059DE"/>
    <w:rsid w:val="00D05ABD"/>
    <w:rsid w:val="00D13FCE"/>
    <w:rsid w:val="00D17E8C"/>
    <w:rsid w:val="00D306D1"/>
    <w:rsid w:val="00D30800"/>
    <w:rsid w:val="00D332ED"/>
    <w:rsid w:val="00D34786"/>
    <w:rsid w:val="00D37BFC"/>
    <w:rsid w:val="00D42822"/>
    <w:rsid w:val="00D47A8E"/>
    <w:rsid w:val="00D52D14"/>
    <w:rsid w:val="00D55256"/>
    <w:rsid w:val="00D56D93"/>
    <w:rsid w:val="00D712D3"/>
    <w:rsid w:val="00D71422"/>
    <w:rsid w:val="00D72DC6"/>
    <w:rsid w:val="00D73F5E"/>
    <w:rsid w:val="00D7558D"/>
    <w:rsid w:val="00D76946"/>
    <w:rsid w:val="00D77503"/>
    <w:rsid w:val="00D81D92"/>
    <w:rsid w:val="00D876F9"/>
    <w:rsid w:val="00D877B6"/>
    <w:rsid w:val="00D93A90"/>
    <w:rsid w:val="00DA7B5F"/>
    <w:rsid w:val="00DB4C7D"/>
    <w:rsid w:val="00DC11E7"/>
    <w:rsid w:val="00DC7023"/>
    <w:rsid w:val="00DC769A"/>
    <w:rsid w:val="00DD061E"/>
    <w:rsid w:val="00DD3D86"/>
    <w:rsid w:val="00DD475D"/>
    <w:rsid w:val="00DE12F0"/>
    <w:rsid w:val="00DF1EC4"/>
    <w:rsid w:val="00DF51E9"/>
    <w:rsid w:val="00E01943"/>
    <w:rsid w:val="00E0340B"/>
    <w:rsid w:val="00E04A90"/>
    <w:rsid w:val="00E0551F"/>
    <w:rsid w:val="00E219C7"/>
    <w:rsid w:val="00E22371"/>
    <w:rsid w:val="00E26CCA"/>
    <w:rsid w:val="00E27F56"/>
    <w:rsid w:val="00E4118C"/>
    <w:rsid w:val="00E43157"/>
    <w:rsid w:val="00E461CE"/>
    <w:rsid w:val="00E647AC"/>
    <w:rsid w:val="00E720CA"/>
    <w:rsid w:val="00E84EB5"/>
    <w:rsid w:val="00E85662"/>
    <w:rsid w:val="00E8789F"/>
    <w:rsid w:val="00E92747"/>
    <w:rsid w:val="00E97B71"/>
    <w:rsid w:val="00EA3D34"/>
    <w:rsid w:val="00EB0EC6"/>
    <w:rsid w:val="00EB3B10"/>
    <w:rsid w:val="00EB454D"/>
    <w:rsid w:val="00EC26E9"/>
    <w:rsid w:val="00EC72AB"/>
    <w:rsid w:val="00ED2F03"/>
    <w:rsid w:val="00ED549D"/>
    <w:rsid w:val="00ED76BE"/>
    <w:rsid w:val="00ED7F05"/>
    <w:rsid w:val="00EE00E9"/>
    <w:rsid w:val="00EE014D"/>
    <w:rsid w:val="00EF35AB"/>
    <w:rsid w:val="00EF4C44"/>
    <w:rsid w:val="00EF619B"/>
    <w:rsid w:val="00F00B55"/>
    <w:rsid w:val="00F02AD1"/>
    <w:rsid w:val="00F04591"/>
    <w:rsid w:val="00F06354"/>
    <w:rsid w:val="00F126AC"/>
    <w:rsid w:val="00F253CC"/>
    <w:rsid w:val="00F332EF"/>
    <w:rsid w:val="00F37106"/>
    <w:rsid w:val="00F50091"/>
    <w:rsid w:val="00F519CF"/>
    <w:rsid w:val="00F53168"/>
    <w:rsid w:val="00F56BA5"/>
    <w:rsid w:val="00F60E22"/>
    <w:rsid w:val="00F62376"/>
    <w:rsid w:val="00F63B39"/>
    <w:rsid w:val="00F67D54"/>
    <w:rsid w:val="00F81395"/>
    <w:rsid w:val="00F81887"/>
    <w:rsid w:val="00F81BB8"/>
    <w:rsid w:val="00F87B8E"/>
    <w:rsid w:val="00F917D1"/>
    <w:rsid w:val="00F9342C"/>
    <w:rsid w:val="00F9653B"/>
    <w:rsid w:val="00F975CB"/>
    <w:rsid w:val="00FA56EA"/>
    <w:rsid w:val="00FB0F21"/>
    <w:rsid w:val="00FB62CF"/>
    <w:rsid w:val="00FC0F4A"/>
    <w:rsid w:val="00FC3330"/>
    <w:rsid w:val="00FD3C3B"/>
    <w:rsid w:val="00FE07DD"/>
    <w:rsid w:val="00FE6B45"/>
    <w:rsid w:val="00FF292F"/>
    <w:rsid w:val="00FF55F3"/>
    <w:rsid w:val="00FF57C6"/>
    <w:rsid w:val="00FF5851"/>
    <w:rsid w:val="00FF6123"/>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DE648-5F4B-4734-B9FE-2ACF9DF3C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2208</Words>
  <Characters>11463</Characters>
  <Application>Microsoft Office Word</Application>
  <DocSecurity>0</DocSecurity>
  <Lines>254</Lines>
  <Paragraphs>79</Paragraphs>
  <ScaleCrop>false</ScaleCrop>
  <Company/>
  <LinksUpToDate>false</LinksUpToDate>
  <CharactersWithSpaces>13592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173/19</dc:title>
  <dc:creator/>
  <cp:lastModifiedBy/>
  <cp:revision>1</cp:revision>
  <dcterms:created xsi:type="dcterms:W3CDTF">2020-03-27T12:51:00Z</dcterms:created>
  <dcterms:modified xsi:type="dcterms:W3CDTF">2020-03-27T12:51:00Z</dcterms:modified>
</cp:coreProperties>
</file>