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896F1A" w:rsidRDefault="00D306D1" w:rsidP="00627C9F">
      <w:pPr>
        <w:jc w:val="both"/>
        <w:rPr>
          <w:rFonts w:asciiTheme="majorHAnsi" w:hAnsiTheme="majorHAnsi" w:cs="Univers"/>
          <w:b/>
          <w:bCs/>
          <w:sz w:val="20"/>
          <w:szCs w:val="20"/>
          <w:lang w:val="es-ES_tradnl"/>
        </w:rPr>
      </w:pPr>
      <w:bookmarkStart w:id="0" w:name="_GoBack"/>
      <w:bookmarkEnd w:id="0"/>
      <w:r w:rsidRPr="00896F1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4E55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96F1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A15" w:rsidRDefault="00604A1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604A15" w:rsidRDefault="00604A1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896F1A" w:rsidRDefault="00040C3A" w:rsidP="00040C3A">
      <w:pPr>
        <w:tabs>
          <w:tab w:val="center" w:pos="5400"/>
        </w:tabs>
        <w:suppressAutoHyphens/>
        <w:jc w:val="both"/>
        <w:rPr>
          <w:rFonts w:asciiTheme="majorHAnsi" w:hAnsiTheme="majorHAnsi"/>
          <w:sz w:val="20"/>
          <w:szCs w:val="20"/>
          <w:lang w:val="es-ES"/>
        </w:rPr>
      </w:pPr>
    </w:p>
    <w:p w:rsidR="00040C3A" w:rsidRPr="00896F1A" w:rsidRDefault="00040C3A" w:rsidP="00040C3A">
      <w:pPr>
        <w:tabs>
          <w:tab w:val="center" w:pos="5400"/>
        </w:tabs>
        <w:suppressAutoHyphens/>
        <w:jc w:val="both"/>
        <w:rPr>
          <w:rFonts w:asciiTheme="majorHAnsi" w:hAnsiTheme="majorHAnsi"/>
          <w:sz w:val="20"/>
          <w:szCs w:val="20"/>
          <w:lang w:val="es-ES"/>
        </w:rPr>
      </w:pPr>
    </w:p>
    <w:p w:rsidR="005128E4" w:rsidRPr="00896F1A" w:rsidRDefault="005128E4" w:rsidP="00040C3A">
      <w:pPr>
        <w:tabs>
          <w:tab w:val="center" w:pos="5400"/>
        </w:tabs>
        <w:suppressAutoHyphens/>
        <w:rPr>
          <w:rFonts w:asciiTheme="majorHAnsi" w:hAnsiTheme="majorHAnsi"/>
          <w:sz w:val="20"/>
          <w:szCs w:val="20"/>
          <w:lang w:val="es-ES_tradnl"/>
        </w:rPr>
      </w:pPr>
    </w:p>
    <w:p w:rsidR="005128E4" w:rsidRPr="00896F1A" w:rsidRDefault="005128E4" w:rsidP="00040C3A">
      <w:pPr>
        <w:tabs>
          <w:tab w:val="center" w:pos="5400"/>
        </w:tabs>
        <w:suppressAutoHyphens/>
        <w:rPr>
          <w:rFonts w:asciiTheme="majorHAnsi" w:hAnsiTheme="majorHAnsi"/>
          <w:sz w:val="20"/>
          <w:szCs w:val="20"/>
          <w:lang w:val="es-ES_tradnl"/>
        </w:rPr>
      </w:pPr>
    </w:p>
    <w:p w:rsidR="005128E4" w:rsidRPr="00896F1A" w:rsidRDefault="005128E4" w:rsidP="00040C3A">
      <w:pPr>
        <w:tabs>
          <w:tab w:val="center" w:pos="5400"/>
        </w:tabs>
        <w:suppressAutoHyphens/>
        <w:rPr>
          <w:rFonts w:asciiTheme="majorHAnsi" w:hAnsiTheme="majorHAnsi"/>
          <w:sz w:val="20"/>
          <w:szCs w:val="20"/>
          <w:lang w:val="es-ES_tradnl"/>
        </w:rPr>
      </w:pPr>
    </w:p>
    <w:p w:rsidR="00040C3A" w:rsidRPr="00896F1A" w:rsidRDefault="00040C3A" w:rsidP="005128E4">
      <w:pPr>
        <w:tabs>
          <w:tab w:val="center" w:pos="5400"/>
        </w:tabs>
        <w:suppressAutoHyphens/>
        <w:jc w:val="center"/>
        <w:rPr>
          <w:rFonts w:asciiTheme="majorHAnsi" w:hAnsiTheme="majorHAnsi"/>
          <w:sz w:val="20"/>
          <w:szCs w:val="20"/>
          <w:lang w:val="es-ES_tradnl"/>
        </w:rPr>
      </w:pPr>
    </w:p>
    <w:p w:rsidR="00040C3A" w:rsidRPr="008D4096" w:rsidRDefault="00040C3A" w:rsidP="005128E4">
      <w:pPr>
        <w:tabs>
          <w:tab w:val="center" w:pos="5400"/>
        </w:tabs>
        <w:suppressAutoHyphens/>
        <w:jc w:val="center"/>
        <w:rPr>
          <w:rFonts w:asciiTheme="majorHAnsi" w:hAnsiTheme="majorHAnsi"/>
          <w:sz w:val="20"/>
          <w:szCs w:val="20"/>
          <w:lang w:val="pt-BR"/>
        </w:rPr>
      </w:pPr>
    </w:p>
    <w:p w:rsidR="005B52B0" w:rsidRPr="00896F1A" w:rsidRDefault="005B52B0" w:rsidP="005128E4">
      <w:pPr>
        <w:tabs>
          <w:tab w:val="center" w:pos="5400"/>
        </w:tabs>
        <w:suppressAutoHyphens/>
        <w:jc w:val="center"/>
        <w:rPr>
          <w:rFonts w:asciiTheme="majorHAnsi" w:hAnsiTheme="majorHAnsi"/>
          <w:sz w:val="20"/>
          <w:szCs w:val="20"/>
          <w:lang w:val="es-ES_tradnl"/>
        </w:rPr>
      </w:pPr>
    </w:p>
    <w:p w:rsidR="005B52B0" w:rsidRPr="00896F1A" w:rsidRDefault="005B52B0" w:rsidP="005128E4">
      <w:pPr>
        <w:tabs>
          <w:tab w:val="center" w:pos="5400"/>
        </w:tabs>
        <w:suppressAutoHyphens/>
        <w:jc w:val="center"/>
        <w:rPr>
          <w:rFonts w:asciiTheme="majorHAnsi" w:hAnsiTheme="majorHAnsi"/>
          <w:sz w:val="20"/>
          <w:szCs w:val="20"/>
          <w:lang w:val="es-ES_tradnl"/>
        </w:rPr>
      </w:pPr>
    </w:p>
    <w:p w:rsidR="005B52B0" w:rsidRPr="00896F1A" w:rsidRDefault="005B52B0" w:rsidP="005128E4">
      <w:pPr>
        <w:tabs>
          <w:tab w:val="center" w:pos="5400"/>
        </w:tabs>
        <w:suppressAutoHyphens/>
        <w:jc w:val="center"/>
        <w:rPr>
          <w:rFonts w:asciiTheme="majorHAnsi" w:hAnsiTheme="majorHAnsi"/>
          <w:sz w:val="20"/>
          <w:szCs w:val="20"/>
          <w:lang w:val="es-ES_tradnl"/>
        </w:rPr>
      </w:pPr>
    </w:p>
    <w:p w:rsidR="00040C3A" w:rsidRPr="00896F1A" w:rsidRDefault="00040C3A" w:rsidP="00040C3A">
      <w:pPr>
        <w:tabs>
          <w:tab w:val="center" w:pos="5400"/>
        </w:tabs>
        <w:suppressAutoHyphens/>
        <w:jc w:val="center"/>
        <w:rPr>
          <w:rFonts w:asciiTheme="majorHAnsi" w:hAnsiTheme="majorHAnsi"/>
          <w:sz w:val="20"/>
          <w:szCs w:val="20"/>
          <w:lang w:val="es-ES_tradnl"/>
        </w:rPr>
      </w:pPr>
    </w:p>
    <w:p w:rsidR="00040C3A" w:rsidRPr="00896F1A" w:rsidRDefault="00040C3A" w:rsidP="00040C3A">
      <w:pPr>
        <w:tabs>
          <w:tab w:val="center" w:pos="5400"/>
        </w:tabs>
        <w:suppressAutoHyphens/>
        <w:jc w:val="center"/>
        <w:rPr>
          <w:rFonts w:asciiTheme="majorHAnsi" w:hAnsiTheme="majorHAnsi"/>
          <w:sz w:val="20"/>
          <w:szCs w:val="20"/>
          <w:lang w:val="es-ES_tradnl"/>
        </w:rPr>
      </w:pPr>
    </w:p>
    <w:p w:rsidR="00040C3A" w:rsidRPr="00896F1A" w:rsidRDefault="003D3BC2" w:rsidP="00040C3A">
      <w:pPr>
        <w:tabs>
          <w:tab w:val="center" w:pos="5400"/>
        </w:tabs>
        <w:suppressAutoHyphens/>
        <w:jc w:val="center"/>
        <w:rPr>
          <w:rFonts w:asciiTheme="majorHAnsi" w:hAnsiTheme="majorHAnsi"/>
          <w:sz w:val="20"/>
          <w:szCs w:val="20"/>
          <w:lang w:val="es-ES_tradnl"/>
        </w:rPr>
      </w:pPr>
      <w:r w:rsidRPr="00896F1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A15" w:rsidRPr="004E2649" w:rsidRDefault="00604A1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D4096">
                              <w:rPr>
                                <w:rFonts w:asciiTheme="majorHAnsi" w:hAnsiTheme="majorHAnsi" w:cs="Arial"/>
                                <w:b/>
                                <w:bCs/>
                                <w:color w:val="0D0D0D" w:themeColor="text1" w:themeTint="F2"/>
                                <w:sz w:val="36"/>
                                <w:szCs w:val="22"/>
                                <w:lang w:val="es-ES_tradnl"/>
                              </w:rPr>
                              <w:t>49</w:t>
                            </w:r>
                            <w:r>
                              <w:rPr>
                                <w:rFonts w:asciiTheme="majorHAnsi" w:hAnsiTheme="majorHAnsi" w:cs="Arial"/>
                                <w:b/>
                                <w:bCs/>
                                <w:color w:val="0D0D0D" w:themeColor="text1" w:themeTint="F2"/>
                                <w:sz w:val="36"/>
                                <w:szCs w:val="22"/>
                                <w:lang w:val="es-ES_tradnl"/>
                              </w:rPr>
                              <w:t>/19</w:t>
                            </w:r>
                          </w:p>
                          <w:p w:rsidR="00604A15" w:rsidRDefault="00604A1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84E68">
                              <w:rPr>
                                <w:rFonts w:asciiTheme="majorHAnsi" w:hAnsiTheme="majorHAnsi" w:cs="Arial"/>
                                <w:b/>
                                <w:color w:val="0D0D0D" w:themeColor="text1" w:themeTint="F2"/>
                                <w:sz w:val="36"/>
                                <w:szCs w:val="22"/>
                                <w:lang w:val="es-ES_tradnl"/>
                              </w:rPr>
                              <w:t>722</w:t>
                            </w:r>
                            <w:r w:rsidRPr="004E2649">
                              <w:rPr>
                                <w:rFonts w:asciiTheme="majorHAnsi" w:hAnsiTheme="majorHAnsi" w:cs="Arial"/>
                                <w:b/>
                                <w:color w:val="0D0D0D" w:themeColor="text1" w:themeTint="F2"/>
                                <w:sz w:val="36"/>
                                <w:szCs w:val="22"/>
                                <w:lang w:val="es-ES_tradnl"/>
                              </w:rPr>
                              <w:t>-</w:t>
                            </w:r>
                            <w:r w:rsidR="00A84E68">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604A15" w:rsidRPr="0010736F" w:rsidRDefault="00604A1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604A15" w:rsidRPr="0010736F" w:rsidRDefault="00604A15" w:rsidP="00997BC5">
                            <w:pPr>
                              <w:spacing w:line="276" w:lineRule="auto"/>
                              <w:rPr>
                                <w:rFonts w:asciiTheme="majorHAnsi" w:hAnsiTheme="majorHAnsi" w:cs="Arial"/>
                                <w:color w:val="0D0D0D" w:themeColor="text1" w:themeTint="F2"/>
                                <w:szCs w:val="22"/>
                                <w:lang w:val="es-ES_tradnl"/>
                              </w:rPr>
                            </w:pPr>
                            <w:bookmarkStart w:id="1" w:name="_ftnref1"/>
                          </w:p>
                          <w:p w:rsidR="00604A15" w:rsidRPr="0010736F" w:rsidRDefault="00604A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HAWIN PARRA RENTERÍA Y FAMILIARES</w:t>
                            </w:r>
                          </w:p>
                          <w:bookmarkEnd w:id="1"/>
                          <w:p w:rsidR="00604A15" w:rsidRPr="0010736F" w:rsidRDefault="00604A1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604A15" w:rsidRPr="00AE5488" w:rsidRDefault="00604A1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604A15" w:rsidRPr="004E2649" w:rsidRDefault="00604A1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D4096">
                        <w:rPr>
                          <w:rFonts w:asciiTheme="majorHAnsi" w:hAnsiTheme="majorHAnsi" w:cs="Arial"/>
                          <w:b/>
                          <w:bCs/>
                          <w:color w:val="0D0D0D" w:themeColor="text1" w:themeTint="F2"/>
                          <w:sz w:val="36"/>
                          <w:szCs w:val="22"/>
                          <w:lang w:val="es-ES_tradnl"/>
                        </w:rPr>
                        <w:t>49</w:t>
                      </w:r>
                      <w:r>
                        <w:rPr>
                          <w:rFonts w:asciiTheme="majorHAnsi" w:hAnsiTheme="majorHAnsi" w:cs="Arial"/>
                          <w:b/>
                          <w:bCs/>
                          <w:color w:val="0D0D0D" w:themeColor="text1" w:themeTint="F2"/>
                          <w:sz w:val="36"/>
                          <w:szCs w:val="22"/>
                          <w:lang w:val="es-ES_tradnl"/>
                        </w:rPr>
                        <w:t>/19</w:t>
                      </w:r>
                    </w:p>
                    <w:p w:rsidR="00604A15" w:rsidRDefault="00604A1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84E68">
                        <w:rPr>
                          <w:rFonts w:asciiTheme="majorHAnsi" w:hAnsiTheme="majorHAnsi" w:cs="Arial"/>
                          <w:b/>
                          <w:color w:val="0D0D0D" w:themeColor="text1" w:themeTint="F2"/>
                          <w:sz w:val="36"/>
                          <w:szCs w:val="22"/>
                          <w:lang w:val="es-ES_tradnl"/>
                        </w:rPr>
                        <w:t>722</w:t>
                      </w:r>
                      <w:r w:rsidRPr="004E2649">
                        <w:rPr>
                          <w:rFonts w:asciiTheme="majorHAnsi" w:hAnsiTheme="majorHAnsi" w:cs="Arial"/>
                          <w:b/>
                          <w:color w:val="0D0D0D" w:themeColor="text1" w:themeTint="F2"/>
                          <w:sz w:val="36"/>
                          <w:szCs w:val="22"/>
                          <w:lang w:val="es-ES_tradnl"/>
                        </w:rPr>
                        <w:t>-</w:t>
                      </w:r>
                      <w:r w:rsidR="00A84E68">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604A15" w:rsidRPr="0010736F" w:rsidRDefault="00604A1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604A15" w:rsidRPr="0010736F" w:rsidRDefault="00604A15" w:rsidP="00997BC5">
                      <w:pPr>
                        <w:spacing w:line="276" w:lineRule="auto"/>
                        <w:rPr>
                          <w:rFonts w:asciiTheme="majorHAnsi" w:hAnsiTheme="majorHAnsi" w:cs="Arial"/>
                          <w:color w:val="0D0D0D" w:themeColor="text1" w:themeTint="F2"/>
                          <w:szCs w:val="22"/>
                          <w:lang w:val="es-ES_tradnl"/>
                        </w:rPr>
                      </w:pPr>
                      <w:bookmarkStart w:id="2" w:name="_ftnref1"/>
                    </w:p>
                    <w:p w:rsidR="00604A15" w:rsidRPr="0010736F" w:rsidRDefault="00604A1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HAWIN PARRA RENTERÍA Y FAMILIARES</w:t>
                      </w:r>
                    </w:p>
                    <w:bookmarkEnd w:id="2"/>
                    <w:p w:rsidR="00604A15" w:rsidRPr="0010736F" w:rsidRDefault="00604A1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604A15" w:rsidRPr="00AE5488" w:rsidRDefault="00604A15" w:rsidP="007A5817">
                      <w:pPr>
                        <w:rPr>
                          <w:color w:val="0D0D0D" w:themeColor="text1" w:themeTint="F2"/>
                          <w:lang w:val="es-ES_tradnl"/>
                        </w:rPr>
                      </w:pPr>
                    </w:p>
                  </w:txbxContent>
                </v:textbox>
              </v:shape>
            </w:pict>
          </mc:Fallback>
        </mc:AlternateContent>
      </w:r>
      <w:r w:rsidR="004E2649" w:rsidRPr="00896F1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A15" w:rsidRPr="008D4096" w:rsidRDefault="00604A15" w:rsidP="007A5817">
                            <w:pPr>
                              <w:spacing w:line="276" w:lineRule="auto"/>
                              <w:jc w:val="right"/>
                              <w:rPr>
                                <w:rFonts w:asciiTheme="minorHAnsi" w:hAnsiTheme="minorHAnsi"/>
                                <w:color w:val="FFFFFF" w:themeColor="background1"/>
                                <w:sz w:val="22"/>
                                <w:lang w:val="es-ES"/>
                              </w:rPr>
                            </w:pPr>
                            <w:r w:rsidRPr="008D4096">
                              <w:rPr>
                                <w:rFonts w:asciiTheme="minorHAnsi" w:hAnsiTheme="minorHAnsi"/>
                                <w:color w:val="FFFFFF" w:themeColor="background1"/>
                                <w:sz w:val="22"/>
                                <w:lang w:val="es-ES"/>
                              </w:rPr>
                              <w:t>OEA/</w:t>
                            </w:r>
                            <w:proofErr w:type="spellStart"/>
                            <w:r w:rsidRPr="008D4096">
                              <w:rPr>
                                <w:rFonts w:asciiTheme="minorHAnsi" w:hAnsiTheme="minorHAnsi"/>
                                <w:color w:val="FFFFFF" w:themeColor="background1"/>
                                <w:sz w:val="22"/>
                                <w:lang w:val="es-ES"/>
                              </w:rPr>
                              <w:t>Ser.L</w:t>
                            </w:r>
                            <w:proofErr w:type="spellEnd"/>
                            <w:r w:rsidRPr="008D4096">
                              <w:rPr>
                                <w:rFonts w:asciiTheme="minorHAnsi" w:hAnsiTheme="minorHAnsi"/>
                                <w:color w:val="FFFFFF" w:themeColor="background1"/>
                                <w:sz w:val="22"/>
                                <w:lang w:val="es-ES"/>
                              </w:rPr>
                              <w:t>/V/II.</w:t>
                            </w:r>
                          </w:p>
                          <w:p w:rsidR="00604A15" w:rsidRPr="008D4096" w:rsidRDefault="00604A15" w:rsidP="007A5817">
                            <w:pPr>
                              <w:spacing w:line="276" w:lineRule="auto"/>
                              <w:jc w:val="right"/>
                              <w:rPr>
                                <w:rFonts w:asciiTheme="minorHAnsi" w:hAnsiTheme="minorHAnsi"/>
                                <w:color w:val="FFFFFF" w:themeColor="background1"/>
                                <w:sz w:val="22"/>
                                <w:lang w:val="es-ES"/>
                              </w:rPr>
                            </w:pPr>
                            <w:r w:rsidRPr="008D4096">
                              <w:rPr>
                                <w:rFonts w:asciiTheme="minorHAnsi" w:hAnsiTheme="minorHAnsi"/>
                                <w:color w:val="FFFFFF" w:themeColor="background1"/>
                                <w:sz w:val="22"/>
                                <w:lang w:val="es-ES"/>
                              </w:rPr>
                              <w:t>Doc.</w:t>
                            </w:r>
                            <w:r w:rsidR="008D4096" w:rsidRPr="008D4096">
                              <w:rPr>
                                <w:rFonts w:asciiTheme="minorHAnsi" w:hAnsiTheme="minorHAnsi"/>
                                <w:color w:val="FFFFFF" w:themeColor="background1"/>
                                <w:sz w:val="22"/>
                                <w:lang w:val="es-ES"/>
                              </w:rPr>
                              <w:t xml:space="preserve"> 5</w:t>
                            </w:r>
                            <w:r w:rsidR="008D4096">
                              <w:rPr>
                                <w:rFonts w:asciiTheme="minorHAnsi" w:hAnsiTheme="minorHAnsi"/>
                                <w:color w:val="FFFFFF" w:themeColor="background1"/>
                                <w:sz w:val="22"/>
                                <w:lang w:val="es-ES"/>
                              </w:rPr>
                              <w:t>8</w:t>
                            </w:r>
                          </w:p>
                          <w:p w:rsidR="00604A15" w:rsidRPr="008D4096" w:rsidRDefault="008D409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604A15" w:rsidRPr="008D4096">
                              <w:rPr>
                                <w:rFonts w:asciiTheme="minorHAnsi" w:hAnsiTheme="minorHAnsi"/>
                                <w:color w:val="FFFFFF" w:themeColor="background1"/>
                                <w:sz w:val="22"/>
                                <w:lang w:val="es-ES"/>
                              </w:rPr>
                              <w:t xml:space="preserve"> 2019</w:t>
                            </w:r>
                          </w:p>
                          <w:p w:rsidR="00604A15" w:rsidRPr="008D4096" w:rsidRDefault="00604A15" w:rsidP="007A5817">
                            <w:pPr>
                              <w:spacing w:line="276" w:lineRule="auto"/>
                              <w:jc w:val="right"/>
                              <w:rPr>
                                <w:rFonts w:asciiTheme="minorHAnsi" w:hAnsiTheme="minorHAnsi"/>
                                <w:color w:val="FFFFFF" w:themeColor="background1"/>
                                <w:sz w:val="22"/>
                                <w:lang w:val="es-ES"/>
                              </w:rPr>
                            </w:pPr>
                            <w:r w:rsidRPr="008D4096">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04A15" w:rsidRPr="008D4096" w:rsidRDefault="00604A15" w:rsidP="007A5817">
                      <w:pPr>
                        <w:spacing w:line="276" w:lineRule="auto"/>
                        <w:jc w:val="right"/>
                        <w:rPr>
                          <w:rFonts w:asciiTheme="minorHAnsi" w:hAnsiTheme="minorHAnsi"/>
                          <w:color w:val="FFFFFF" w:themeColor="background1"/>
                          <w:sz w:val="22"/>
                          <w:lang w:val="es-ES"/>
                        </w:rPr>
                      </w:pPr>
                      <w:r w:rsidRPr="008D4096">
                        <w:rPr>
                          <w:rFonts w:asciiTheme="minorHAnsi" w:hAnsiTheme="minorHAnsi"/>
                          <w:color w:val="FFFFFF" w:themeColor="background1"/>
                          <w:sz w:val="22"/>
                          <w:lang w:val="es-ES"/>
                        </w:rPr>
                        <w:t>OEA/</w:t>
                      </w:r>
                      <w:proofErr w:type="spellStart"/>
                      <w:r w:rsidRPr="008D4096">
                        <w:rPr>
                          <w:rFonts w:asciiTheme="minorHAnsi" w:hAnsiTheme="minorHAnsi"/>
                          <w:color w:val="FFFFFF" w:themeColor="background1"/>
                          <w:sz w:val="22"/>
                          <w:lang w:val="es-ES"/>
                        </w:rPr>
                        <w:t>Ser.L</w:t>
                      </w:r>
                      <w:proofErr w:type="spellEnd"/>
                      <w:r w:rsidRPr="008D4096">
                        <w:rPr>
                          <w:rFonts w:asciiTheme="minorHAnsi" w:hAnsiTheme="minorHAnsi"/>
                          <w:color w:val="FFFFFF" w:themeColor="background1"/>
                          <w:sz w:val="22"/>
                          <w:lang w:val="es-ES"/>
                        </w:rPr>
                        <w:t>/V/II.</w:t>
                      </w:r>
                    </w:p>
                    <w:p w:rsidR="00604A15" w:rsidRPr="008D4096" w:rsidRDefault="00604A15" w:rsidP="007A5817">
                      <w:pPr>
                        <w:spacing w:line="276" w:lineRule="auto"/>
                        <w:jc w:val="right"/>
                        <w:rPr>
                          <w:rFonts w:asciiTheme="minorHAnsi" w:hAnsiTheme="minorHAnsi"/>
                          <w:color w:val="FFFFFF" w:themeColor="background1"/>
                          <w:sz w:val="22"/>
                          <w:lang w:val="es-ES"/>
                        </w:rPr>
                      </w:pPr>
                      <w:r w:rsidRPr="008D4096">
                        <w:rPr>
                          <w:rFonts w:asciiTheme="minorHAnsi" w:hAnsiTheme="minorHAnsi"/>
                          <w:color w:val="FFFFFF" w:themeColor="background1"/>
                          <w:sz w:val="22"/>
                          <w:lang w:val="es-ES"/>
                        </w:rPr>
                        <w:t>Doc.</w:t>
                      </w:r>
                      <w:r w:rsidR="008D4096" w:rsidRPr="008D4096">
                        <w:rPr>
                          <w:rFonts w:asciiTheme="minorHAnsi" w:hAnsiTheme="minorHAnsi"/>
                          <w:color w:val="FFFFFF" w:themeColor="background1"/>
                          <w:sz w:val="22"/>
                          <w:lang w:val="es-ES"/>
                        </w:rPr>
                        <w:t xml:space="preserve"> 5</w:t>
                      </w:r>
                      <w:r w:rsidR="008D4096">
                        <w:rPr>
                          <w:rFonts w:asciiTheme="minorHAnsi" w:hAnsiTheme="minorHAnsi"/>
                          <w:color w:val="FFFFFF" w:themeColor="background1"/>
                          <w:sz w:val="22"/>
                          <w:lang w:val="es-ES"/>
                        </w:rPr>
                        <w:t>8</w:t>
                      </w:r>
                    </w:p>
                    <w:p w:rsidR="00604A15" w:rsidRPr="008D4096" w:rsidRDefault="008D409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604A15" w:rsidRPr="008D4096">
                        <w:rPr>
                          <w:rFonts w:asciiTheme="minorHAnsi" w:hAnsiTheme="minorHAnsi"/>
                          <w:color w:val="FFFFFF" w:themeColor="background1"/>
                          <w:sz w:val="22"/>
                          <w:lang w:val="es-ES"/>
                        </w:rPr>
                        <w:t xml:space="preserve"> 2019</w:t>
                      </w:r>
                    </w:p>
                    <w:p w:rsidR="00604A15" w:rsidRPr="008D4096" w:rsidRDefault="00604A15" w:rsidP="007A5817">
                      <w:pPr>
                        <w:spacing w:line="276" w:lineRule="auto"/>
                        <w:jc w:val="right"/>
                        <w:rPr>
                          <w:rFonts w:asciiTheme="minorHAnsi" w:hAnsiTheme="minorHAnsi"/>
                          <w:color w:val="FFFFFF" w:themeColor="background1"/>
                          <w:sz w:val="22"/>
                          <w:lang w:val="es-ES"/>
                        </w:rPr>
                      </w:pPr>
                      <w:r w:rsidRPr="008D4096">
                        <w:rPr>
                          <w:rFonts w:asciiTheme="minorHAnsi" w:hAnsiTheme="minorHAnsi"/>
                          <w:color w:val="FFFFFF" w:themeColor="background1"/>
                          <w:sz w:val="22"/>
                          <w:lang w:val="es-ES"/>
                        </w:rPr>
                        <w:t>Original: español</w:t>
                      </w:r>
                    </w:p>
                  </w:txbxContent>
                </v:textbox>
              </v:shape>
            </w:pict>
          </mc:Fallback>
        </mc:AlternateContent>
      </w:r>
    </w:p>
    <w:p w:rsidR="00040C3A" w:rsidRPr="00896F1A" w:rsidRDefault="00040C3A" w:rsidP="00040C3A">
      <w:pPr>
        <w:tabs>
          <w:tab w:val="center" w:pos="5400"/>
        </w:tabs>
        <w:suppressAutoHyphens/>
        <w:jc w:val="center"/>
        <w:rPr>
          <w:rFonts w:asciiTheme="majorHAnsi" w:hAnsiTheme="majorHAnsi"/>
          <w:sz w:val="20"/>
          <w:szCs w:val="20"/>
          <w:lang w:val="es-ES_tradnl"/>
        </w:rPr>
      </w:pPr>
    </w:p>
    <w:p w:rsidR="00040C3A" w:rsidRPr="00896F1A" w:rsidRDefault="00040C3A" w:rsidP="00040C3A">
      <w:pPr>
        <w:tabs>
          <w:tab w:val="center" w:pos="5400"/>
        </w:tabs>
        <w:suppressAutoHyphens/>
        <w:jc w:val="center"/>
        <w:rPr>
          <w:rFonts w:asciiTheme="majorHAnsi" w:hAnsiTheme="majorHAnsi"/>
          <w:sz w:val="20"/>
          <w:szCs w:val="20"/>
          <w:lang w:val="es-ES_tradnl"/>
        </w:rPr>
      </w:pPr>
    </w:p>
    <w:p w:rsidR="00040C3A" w:rsidRPr="00896F1A" w:rsidRDefault="00040C3A" w:rsidP="00040C3A">
      <w:pPr>
        <w:tabs>
          <w:tab w:val="center" w:pos="5400"/>
        </w:tabs>
        <w:suppressAutoHyphens/>
        <w:jc w:val="center"/>
        <w:rPr>
          <w:rFonts w:asciiTheme="majorHAnsi" w:hAnsiTheme="majorHAnsi" w:cs="Arial"/>
          <w:sz w:val="20"/>
          <w:szCs w:val="20"/>
          <w:lang w:val="es-ES_tradnl"/>
        </w:rPr>
      </w:pPr>
    </w:p>
    <w:p w:rsidR="00040C3A" w:rsidRPr="00896F1A" w:rsidRDefault="00040C3A" w:rsidP="00040C3A">
      <w:pPr>
        <w:tabs>
          <w:tab w:val="center" w:pos="5400"/>
        </w:tabs>
        <w:suppressAutoHyphens/>
        <w:jc w:val="center"/>
        <w:rPr>
          <w:rFonts w:asciiTheme="majorHAnsi" w:hAnsiTheme="majorHAnsi"/>
          <w:sz w:val="20"/>
          <w:szCs w:val="20"/>
          <w:lang w:val="es-ES_tradnl"/>
        </w:rPr>
      </w:pPr>
    </w:p>
    <w:p w:rsidR="00040C3A" w:rsidRPr="00896F1A" w:rsidRDefault="00040C3A" w:rsidP="00040C3A">
      <w:pPr>
        <w:tabs>
          <w:tab w:val="center" w:pos="5400"/>
        </w:tabs>
        <w:suppressAutoHyphens/>
        <w:jc w:val="center"/>
        <w:rPr>
          <w:rFonts w:asciiTheme="majorHAnsi" w:hAnsiTheme="majorHAnsi"/>
          <w:sz w:val="20"/>
          <w:szCs w:val="20"/>
          <w:lang w:val="es-ES_tradnl"/>
        </w:rPr>
      </w:pPr>
    </w:p>
    <w:p w:rsidR="00040C3A" w:rsidRPr="00896F1A" w:rsidRDefault="00040C3A" w:rsidP="00040C3A">
      <w:pPr>
        <w:tabs>
          <w:tab w:val="center" w:pos="5400"/>
        </w:tabs>
        <w:suppressAutoHyphens/>
        <w:jc w:val="center"/>
        <w:rPr>
          <w:rFonts w:asciiTheme="majorHAnsi" w:hAnsiTheme="majorHAnsi"/>
          <w:sz w:val="20"/>
          <w:szCs w:val="20"/>
          <w:lang w:val="es-ES_tradnl"/>
        </w:rPr>
      </w:pPr>
    </w:p>
    <w:p w:rsidR="00040C3A" w:rsidRPr="00896F1A" w:rsidRDefault="00040C3A" w:rsidP="00040C3A">
      <w:pPr>
        <w:tabs>
          <w:tab w:val="center" w:pos="5400"/>
        </w:tabs>
        <w:suppressAutoHyphens/>
        <w:jc w:val="center"/>
        <w:rPr>
          <w:rFonts w:asciiTheme="majorHAnsi" w:hAnsiTheme="majorHAnsi"/>
          <w:sz w:val="20"/>
          <w:szCs w:val="20"/>
          <w:lang w:val="es-ES_tradnl"/>
        </w:rPr>
      </w:pPr>
    </w:p>
    <w:p w:rsidR="005128E4" w:rsidRPr="00896F1A" w:rsidRDefault="005128E4" w:rsidP="00040C3A">
      <w:pPr>
        <w:tabs>
          <w:tab w:val="center" w:pos="5400"/>
        </w:tabs>
        <w:suppressAutoHyphens/>
        <w:jc w:val="center"/>
        <w:rPr>
          <w:rFonts w:asciiTheme="majorHAnsi" w:hAnsiTheme="majorHAnsi"/>
          <w:sz w:val="20"/>
          <w:szCs w:val="20"/>
          <w:lang w:val="es-ES_tradnl"/>
        </w:rPr>
      </w:pPr>
    </w:p>
    <w:p w:rsidR="00040C3A" w:rsidRPr="00896F1A" w:rsidRDefault="00040C3A" w:rsidP="00040C3A">
      <w:pPr>
        <w:tabs>
          <w:tab w:val="center" w:pos="5400"/>
        </w:tabs>
        <w:suppressAutoHyphens/>
        <w:jc w:val="center"/>
        <w:rPr>
          <w:rFonts w:asciiTheme="majorHAnsi" w:hAnsiTheme="majorHAnsi"/>
          <w:sz w:val="20"/>
          <w:szCs w:val="20"/>
          <w:lang w:val="es-ES_tradnl"/>
        </w:rPr>
      </w:pPr>
    </w:p>
    <w:p w:rsidR="005128E4" w:rsidRPr="00896F1A" w:rsidRDefault="005128E4" w:rsidP="00040C3A">
      <w:pPr>
        <w:tabs>
          <w:tab w:val="center" w:pos="5400"/>
        </w:tabs>
        <w:suppressAutoHyphens/>
        <w:jc w:val="center"/>
        <w:rPr>
          <w:rFonts w:asciiTheme="majorHAnsi" w:hAnsiTheme="majorHAnsi"/>
          <w:sz w:val="20"/>
          <w:szCs w:val="20"/>
          <w:lang w:val="es-ES_tradnl"/>
        </w:rPr>
      </w:pPr>
    </w:p>
    <w:p w:rsidR="005128E4" w:rsidRPr="00896F1A" w:rsidRDefault="005128E4" w:rsidP="00040C3A">
      <w:pPr>
        <w:tabs>
          <w:tab w:val="center" w:pos="5400"/>
        </w:tabs>
        <w:suppressAutoHyphens/>
        <w:jc w:val="center"/>
        <w:rPr>
          <w:rFonts w:asciiTheme="majorHAnsi" w:hAnsiTheme="majorHAnsi"/>
          <w:sz w:val="20"/>
          <w:szCs w:val="20"/>
          <w:lang w:val="es-ES_tradnl"/>
        </w:rPr>
      </w:pPr>
    </w:p>
    <w:p w:rsidR="005128E4" w:rsidRPr="00896F1A" w:rsidRDefault="005128E4" w:rsidP="00040C3A">
      <w:pPr>
        <w:tabs>
          <w:tab w:val="center" w:pos="5400"/>
        </w:tabs>
        <w:suppressAutoHyphens/>
        <w:jc w:val="center"/>
        <w:rPr>
          <w:rFonts w:asciiTheme="majorHAnsi" w:hAnsiTheme="majorHAnsi"/>
          <w:sz w:val="20"/>
          <w:szCs w:val="20"/>
          <w:lang w:val="es-ES_tradnl"/>
        </w:rPr>
      </w:pPr>
    </w:p>
    <w:p w:rsidR="00040C3A" w:rsidRPr="00896F1A" w:rsidRDefault="00040C3A" w:rsidP="00040C3A">
      <w:pPr>
        <w:tabs>
          <w:tab w:val="center" w:pos="5400"/>
        </w:tabs>
        <w:suppressAutoHyphens/>
        <w:jc w:val="center"/>
        <w:rPr>
          <w:rFonts w:asciiTheme="majorHAnsi" w:hAnsiTheme="majorHAnsi"/>
          <w:sz w:val="20"/>
          <w:szCs w:val="20"/>
          <w:lang w:val="es-ES_tradnl"/>
        </w:rPr>
      </w:pPr>
    </w:p>
    <w:p w:rsidR="00040C3A" w:rsidRPr="00896F1A" w:rsidRDefault="00040C3A"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90270B" w:rsidP="00040C3A">
      <w:pPr>
        <w:tabs>
          <w:tab w:val="center" w:pos="5400"/>
        </w:tabs>
        <w:suppressAutoHyphens/>
        <w:jc w:val="center"/>
        <w:rPr>
          <w:rFonts w:asciiTheme="majorHAnsi" w:hAnsiTheme="majorHAnsi"/>
          <w:sz w:val="20"/>
          <w:szCs w:val="20"/>
          <w:lang w:val="es-ES_tradnl"/>
        </w:rPr>
      </w:pPr>
      <w:r w:rsidRPr="00896F1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A15" w:rsidRPr="00890650" w:rsidRDefault="00604A1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D4096">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8D4096">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625F03">
                              <w:rPr>
                                <w:rFonts w:asciiTheme="majorHAnsi" w:hAnsiTheme="majorHAnsi"/>
                                <w:color w:val="0D0D0D" w:themeColor="text1" w:themeTint="F2"/>
                                <w:sz w:val="18"/>
                                <w:szCs w:val="22"/>
                                <w:lang w:val="es-ES"/>
                              </w:rPr>
                              <w:t>.</w:t>
                            </w:r>
                          </w:p>
                          <w:p w:rsidR="00604A15" w:rsidRPr="007A5817" w:rsidRDefault="00604A15" w:rsidP="00247403">
                            <w:pPr>
                              <w:tabs>
                                <w:tab w:val="center" w:pos="5400"/>
                              </w:tabs>
                              <w:suppressAutoHyphens/>
                              <w:spacing w:before="60"/>
                              <w:rPr>
                                <w:rFonts w:asciiTheme="minorHAnsi" w:hAnsiTheme="minorHAnsi" w:cs="Univers"/>
                                <w:color w:val="0D0D0D" w:themeColor="text1" w:themeTint="F2"/>
                                <w:sz w:val="20"/>
                                <w:szCs w:val="20"/>
                                <w:lang w:val="es-ES"/>
                              </w:rPr>
                            </w:pPr>
                          </w:p>
                          <w:p w:rsidR="00604A15" w:rsidRPr="00167A34" w:rsidRDefault="00604A1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604A15" w:rsidRPr="00890650" w:rsidRDefault="00604A1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D4096">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8D4096">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625F03">
                        <w:rPr>
                          <w:rFonts w:asciiTheme="majorHAnsi" w:hAnsiTheme="majorHAnsi"/>
                          <w:color w:val="0D0D0D" w:themeColor="text1" w:themeTint="F2"/>
                          <w:sz w:val="18"/>
                          <w:szCs w:val="22"/>
                          <w:lang w:val="es-ES"/>
                        </w:rPr>
                        <w:t>.</w:t>
                      </w:r>
                    </w:p>
                    <w:p w:rsidR="00604A15" w:rsidRPr="007A5817" w:rsidRDefault="00604A15" w:rsidP="00247403">
                      <w:pPr>
                        <w:tabs>
                          <w:tab w:val="center" w:pos="5400"/>
                        </w:tabs>
                        <w:suppressAutoHyphens/>
                        <w:spacing w:before="60"/>
                        <w:rPr>
                          <w:rFonts w:asciiTheme="minorHAnsi" w:hAnsiTheme="minorHAnsi" w:cs="Univers"/>
                          <w:color w:val="0D0D0D" w:themeColor="text1" w:themeTint="F2"/>
                          <w:sz w:val="20"/>
                          <w:szCs w:val="20"/>
                          <w:lang w:val="es-ES"/>
                        </w:rPr>
                      </w:pPr>
                    </w:p>
                    <w:p w:rsidR="00604A15" w:rsidRPr="00167A34" w:rsidRDefault="00604A1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A50FCF" w:rsidRPr="00896F1A" w:rsidRDefault="0090270B" w:rsidP="00040C3A">
      <w:pPr>
        <w:tabs>
          <w:tab w:val="center" w:pos="5400"/>
        </w:tabs>
        <w:suppressAutoHyphens/>
        <w:jc w:val="center"/>
        <w:rPr>
          <w:rFonts w:asciiTheme="majorHAnsi" w:hAnsiTheme="majorHAnsi"/>
          <w:sz w:val="20"/>
          <w:szCs w:val="20"/>
          <w:lang w:val="es-ES_tradnl"/>
        </w:rPr>
      </w:pPr>
      <w:r w:rsidRPr="00896F1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A15" w:rsidRPr="007B05C4" w:rsidRDefault="00604A1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D4096" w:rsidRPr="008D4096">
                              <w:rPr>
                                <w:rFonts w:asciiTheme="majorHAnsi" w:hAnsiTheme="majorHAnsi"/>
                                <w:color w:val="595959" w:themeColor="text1" w:themeTint="A6"/>
                                <w:sz w:val="18"/>
                                <w:szCs w:val="18"/>
                                <w:lang w:val="pt-BR"/>
                              </w:rPr>
                              <w:t>49</w:t>
                            </w:r>
                            <w:r w:rsidRPr="008D4096">
                              <w:rPr>
                                <w:rFonts w:asciiTheme="majorHAnsi" w:hAnsiTheme="majorHAnsi"/>
                                <w:color w:val="595959" w:themeColor="text1" w:themeTint="A6"/>
                                <w:sz w:val="18"/>
                                <w:szCs w:val="18"/>
                                <w:lang w:val="pt-BR"/>
                              </w:rPr>
                              <w:t>/</w:t>
                            </w:r>
                            <w:r w:rsidR="008D4096" w:rsidRPr="008D4096">
                              <w:rPr>
                                <w:rFonts w:asciiTheme="majorHAnsi" w:hAnsiTheme="majorHAnsi"/>
                                <w:color w:val="595959" w:themeColor="text1" w:themeTint="A6"/>
                                <w:sz w:val="18"/>
                                <w:szCs w:val="18"/>
                                <w:lang w:val="pt-BR"/>
                              </w:rPr>
                              <w:t>19</w:t>
                            </w:r>
                            <w:r w:rsidRPr="008D4096">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sidR="00114150">
                              <w:rPr>
                                <w:rFonts w:asciiTheme="majorHAnsi" w:hAnsiTheme="majorHAnsi"/>
                                <w:color w:val="595959" w:themeColor="text1" w:themeTint="A6"/>
                                <w:sz w:val="18"/>
                                <w:szCs w:val="18"/>
                                <w:lang w:val="es-ES"/>
                              </w:rPr>
                              <w:t>ón</w:t>
                            </w:r>
                            <w:proofErr w:type="spellEnd"/>
                            <w:r w:rsidR="00114150">
                              <w:rPr>
                                <w:rFonts w:asciiTheme="majorHAnsi" w:hAnsiTheme="majorHAnsi"/>
                                <w:color w:val="595959" w:themeColor="text1" w:themeTint="A6"/>
                                <w:sz w:val="18"/>
                                <w:szCs w:val="18"/>
                                <w:lang w:val="es-ES"/>
                              </w:rPr>
                              <w:t xml:space="preserve"> 722-</w:t>
                            </w:r>
                            <w:r w:rsidR="00E83259">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proofErr w:type="spellStart"/>
                            <w:r w:rsidR="00E83259">
                              <w:rPr>
                                <w:rFonts w:asciiTheme="majorHAnsi" w:hAnsiTheme="majorHAnsi"/>
                                <w:color w:val="595959" w:themeColor="text1" w:themeTint="A6"/>
                                <w:sz w:val="18"/>
                                <w:szCs w:val="18"/>
                                <w:lang w:val="es-ES_tradnl"/>
                              </w:rPr>
                              <w:t>Hawin</w:t>
                            </w:r>
                            <w:proofErr w:type="spellEnd"/>
                            <w:r w:rsidR="00E83259">
                              <w:rPr>
                                <w:rFonts w:asciiTheme="majorHAnsi" w:hAnsiTheme="majorHAnsi"/>
                                <w:color w:val="595959" w:themeColor="text1" w:themeTint="A6"/>
                                <w:sz w:val="18"/>
                                <w:szCs w:val="18"/>
                                <w:lang w:val="es-ES_tradnl"/>
                              </w:rPr>
                              <w:t xml:space="preserve"> Parra Rentería y familiares</w:t>
                            </w:r>
                            <w:r w:rsidRPr="00890650">
                              <w:rPr>
                                <w:rFonts w:asciiTheme="majorHAnsi" w:hAnsiTheme="majorHAnsi"/>
                                <w:color w:val="595959" w:themeColor="text1" w:themeTint="A6"/>
                                <w:sz w:val="18"/>
                                <w:szCs w:val="18"/>
                                <w:lang w:val="es-ES_tradnl"/>
                              </w:rPr>
                              <w:t xml:space="preserve">. </w:t>
                            </w:r>
                            <w:r w:rsidR="00E83259">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D4096">
                              <w:rPr>
                                <w:rFonts w:asciiTheme="majorHAnsi" w:hAnsiTheme="majorHAnsi"/>
                                <w:color w:val="595959" w:themeColor="text1" w:themeTint="A6"/>
                                <w:sz w:val="18"/>
                                <w:szCs w:val="18"/>
                                <w:lang w:val="es-ES"/>
                              </w:rPr>
                              <w:t>24 de abril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604A15" w:rsidRPr="007B05C4" w:rsidRDefault="00604A1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D4096" w:rsidRPr="008D4096">
                        <w:rPr>
                          <w:rFonts w:asciiTheme="majorHAnsi" w:hAnsiTheme="majorHAnsi"/>
                          <w:color w:val="595959" w:themeColor="text1" w:themeTint="A6"/>
                          <w:sz w:val="18"/>
                          <w:szCs w:val="18"/>
                          <w:lang w:val="pt-BR"/>
                        </w:rPr>
                        <w:t>49</w:t>
                      </w:r>
                      <w:r w:rsidRPr="008D4096">
                        <w:rPr>
                          <w:rFonts w:asciiTheme="majorHAnsi" w:hAnsiTheme="majorHAnsi"/>
                          <w:color w:val="595959" w:themeColor="text1" w:themeTint="A6"/>
                          <w:sz w:val="18"/>
                          <w:szCs w:val="18"/>
                          <w:lang w:val="pt-BR"/>
                        </w:rPr>
                        <w:t>/</w:t>
                      </w:r>
                      <w:r w:rsidR="008D4096" w:rsidRPr="008D4096">
                        <w:rPr>
                          <w:rFonts w:asciiTheme="majorHAnsi" w:hAnsiTheme="majorHAnsi"/>
                          <w:color w:val="595959" w:themeColor="text1" w:themeTint="A6"/>
                          <w:sz w:val="18"/>
                          <w:szCs w:val="18"/>
                          <w:lang w:val="pt-BR"/>
                        </w:rPr>
                        <w:t>19</w:t>
                      </w:r>
                      <w:r w:rsidRPr="008D4096">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sidR="00114150">
                        <w:rPr>
                          <w:rFonts w:asciiTheme="majorHAnsi" w:hAnsiTheme="majorHAnsi"/>
                          <w:color w:val="595959" w:themeColor="text1" w:themeTint="A6"/>
                          <w:sz w:val="18"/>
                          <w:szCs w:val="18"/>
                          <w:lang w:val="es-ES"/>
                        </w:rPr>
                        <w:t>ón</w:t>
                      </w:r>
                      <w:proofErr w:type="spellEnd"/>
                      <w:r w:rsidR="00114150">
                        <w:rPr>
                          <w:rFonts w:asciiTheme="majorHAnsi" w:hAnsiTheme="majorHAnsi"/>
                          <w:color w:val="595959" w:themeColor="text1" w:themeTint="A6"/>
                          <w:sz w:val="18"/>
                          <w:szCs w:val="18"/>
                          <w:lang w:val="es-ES"/>
                        </w:rPr>
                        <w:t xml:space="preserve"> 722-</w:t>
                      </w:r>
                      <w:r w:rsidR="00E83259">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proofErr w:type="spellStart"/>
                      <w:r w:rsidR="00E83259">
                        <w:rPr>
                          <w:rFonts w:asciiTheme="majorHAnsi" w:hAnsiTheme="majorHAnsi"/>
                          <w:color w:val="595959" w:themeColor="text1" w:themeTint="A6"/>
                          <w:sz w:val="18"/>
                          <w:szCs w:val="18"/>
                          <w:lang w:val="es-ES_tradnl"/>
                        </w:rPr>
                        <w:t>Hawin</w:t>
                      </w:r>
                      <w:proofErr w:type="spellEnd"/>
                      <w:r w:rsidR="00E83259">
                        <w:rPr>
                          <w:rFonts w:asciiTheme="majorHAnsi" w:hAnsiTheme="majorHAnsi"/>
                          <w:color w:val="595959" w:themeColor="text1" w:themeTint="A6"/>
                          <w:sz w:val="18"/>
                          <w:szCs w:val="18"/>
                          <w:lang w:val="es-ES_tradnl"/>
                        </w:rPr>
                        <w:t xml:space="preserve"> Parra Rentería y familiares</w:t>
                      </w:r>
                      <w:r w:rsidRPr="00890650">
                        <w:rPr>
                          <w:rFonts w:asciiTheme="majorHAnsi" w:hAnsiTheme="majorHAnsi"/>
                          <w:color w:val="595959" w:themeColor="text1" w:themeTint="A6"/>
                          <w:sz w:val="18"/>
                          <w:szCs w:val="18"/>
                          <w:lang w:val="es-ES_tradnl"/>
                        </w:rPr>
                        <w:t xml:space="preserve">. </w:t>
                      </w:r>
                      <w:r w:rsidR="00E83259">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D4096">
                        <w:rPr>
                          <w:rFonts w:asciiTheme="majorHAnsi" w:hAnsiTheme="majorHAnsi"/>
                          <w:color w:val="595959" w:themeColor="text1" w:themeTint="A6"/>
                          <w:sz w:val="18"/>
                          <w:szCs w:val="18"/>
                          <w:lang w:val="es-ES"/>
                        </w:rPr>
                        <w:t>24 de abril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896F1A" w:rsidRDefault="00A50FCF" w:rsidP="00040C3A">
      <w:pPr>
        <w:tabs>
          <w:tab w:val="center" w:pos="5400"/>
        </w:tabs>
        <w:suppressAutoHyphens/>
        <w:jc w:val="center"/>
        <w:rPr>
          <w:rFonts w:asciiTheme="majorHAnsi" w:hAnsiTheme="majorHAnsi"/>
          <w:sz w:val="20"/>
          <w:szCs w:val="20"/>
          <w:lang w:val="es-ES_tradnl"/>
        </w:rPr>
      </w:pPr>
    </w:p>
    <w:p w:rsidR="0090270B" w:rsidRPr="00896F1A" w:rsidRDefault="00D306D1" w:rsidP="005516A1">
      <w:pPr>
        <w:tabs>
          <w:tab w:val="center" w:pos="5400"/>
        </w:tabs>
        <w:suppressAutoHyphens/>
        <w:jc w:val="center"/>
        <w:rPr>
          <w:rFonts w:asciiTheme="majorHAnsi" w:hAnsiTheme="majorHAnsi"/>
          <w:b/>
          <w:sz w:val="20"/>
          <w:szCs w:val="20"/>
          <w:lang w:val="es-ES_tradnl"/>
        </w:rPr>
      </w:pPr>
      <w:r w:rsidRPr="00896F1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4A15" w:rsidRPr="00D72DC6" w:rsidRDefault="00604A1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604A15" w:rsidRPr="00D72DC6" w:rsidRDefault="00604A1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96F1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A15" w:rsidRPr="004B7EB6" w:rsidRDefault="00604A1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604A15" w:rsidRPr="004B7EB6" w:rsidRDefault="00604A1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896F1A" w:rsidRDefault="004A6A54" w:rsidP="005516A1">
      <w:pPr>
        <w:tabs>
          <w:tab w:val="center" w:pos="5400"/>
        </w:tabs>
        <w:suppressAutoHyphens/>
        <w:jc w:val="center"/>
        <w:rPr>
          <w:rFonts w:asciiTheme="majorHAnsi" w:hAnsiTheme="majorHAnsi"/>
          <w:b/>
          <w:sz w:val="20"/>
          <w:szCs w:val="20"/>
          <w:lang w:val="es-ES_tradnl"/>
        </w:rPr>
        <w:sectPr w:rsidR="0070697F" w:rsidRPr="00896F1A"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96F1A">
        <w:rPr>
          <w:rFonts w:asciiTheme="majorHAnsi" w:hAnsiTheme="majorHAnsi"/>
          <w:b/>
          <w:sz w:val="20"/>
          <w:szCs w:val="20"/>
          <w:lang w:val="es-ES_tradnl"/>
        </w:rPr>
        <w:tab/>
      </w:r>
    </w:p>
    <w:p w:rsidR="003239B8" w:rsidRPr="006C3A80" w:rsidRDefault="003239B8" w:rsidP="004A6A54">
      <w:pPr>
        <w:spacing w:after="240"/>
        <w:ind w:firstLine="720"/>
        <w:jc w:val="both"/>
        <w:rPr>
          <w:rFonts w:asciiTheme="majorHAnsi" w:hAnsiTheme="majorHAnsi"/>
          <w:b/>
          <w:bCs/>
          <w:sz w:val="19"/>
          <w:szCs w:val="19"/>
          <w:lang w:val="es-ES"/>
        </w:rPr>
      </w:pPr>
      <w:r w:rsidRPr="006C3A80">
        <w:rPr>
          <w:rFonts w:asciiTheme="majorHAnsi" w:hAnsiTheme="majorHAnsi"/>
          <w:b/>
          <w:bCs/>
          <w:sz w:val="19"/>
          <w:szCs w:val="19"/>
          <w:lang w:val="es-ES"/>
        </w:rPr>
        <w:lastRenderedPageBreak/>
        <w:t>I.</w:t>
      </w:r>
      <w:r w:rsidRPr="006C3A80">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C3A80" w:rsidTr="004A6A54">
        <w:tc>
          <w:tcPr>
            <w:tcW w:w="3600" w:type="dxa"/>
            <w:tcBorders>
              <w:top w:val="single" w:sz="4" w:space="0" w:color="auto"/>
              <w:bottom w:val="single" w:sz="6" w:space="0" w:color="auto"/>
            </w:tcBorders>
            <w:shd w:val="clear" w:color="auto" w:fill="386294"/>
            <w:vAlign w:val="center"/>
          </w:tcPr>
          <w:p w:rsidR="003239B8" w:rsidRPr="006C3A80" w:rsidRDefault="003239B8" w:rsidP="008323A4">
            <w:pPr>
              <w:jc w:val="center"/>
              <w:rPr>
                <w:rFonts w:asciiTheme="majorHAnsi" w:hAnsiTheme="majorHAnsi"/>
                <w:b/>
                <w:bCs/>
                <w:color w:val="FFFFFF" w:themeColor="background1"/>
                <w:sz w:val="19"/>
                <w:szCs w:val="19"/>
              </w:rPr>
            </w:pPr>
            <w:r w:rsidRPr="006C3A80">
              <w:rPr>
                <w:rFonts w:asciiTheme="majorHAnsi" w:hAnsiTheme="majorHAnsi"/>
                <w:b/>
                <w:bCs/>
                <w:color w:val="FFFFFF" w:themeColor="background1"/>
                <w:sz w:val="19"/>
                <w:szCs w:val="19"/>
              </w:rPr>
              <w:t xml:space="preserve">Parte </w:t>
            </w:r>
            <w:proofErr w:type="spellStart"/>
            <w:r w:rsidRPr="006C3A80">
              <w:rPr>
                <w:rFonts w:asciiTheme="majorHAnsi" w:hAnsiTheme="majorHAnsi"/>
                <w:b/>
                <w:bCs/>
                <w:color w:val="FFFFFF" w:themeColor="background1"/>
                <w:sz w:val="19"/>
                <w:szCs w:val="19"/>
              </w:rPr>
              <w:t>peticionaria</w:t>
            </w:r>
            <w:proofErr w:type="spellEnd"/>
            <w:r w:rsidRPr="006C3A80">
              <w:rPr>
                <w:rFonts w:asciiTheme="majorHAnsi" w:hAnsiTheme="majorHAnsi"/>
                <w:b/>
                <w:bCs/>
                <w:color w:val="FFFFFF" w:themeColor="background1"/>
                <w:sz w:val="19"/>
                <w:szCs w:val="19"/>
              </w:rPr>
              <w:t>:</w:t>
            </w:r>
          </w:p>
        </w:tc>
        <w:tc>
          <w:tcPr>
            <w:tcW w:w="5760" w:type="dxa"/>
            <w:vAlign w:val="center"/>
          </w:tcPr>
          <w:p w:rsidR="003239B8" w:rsidRPr="006C3A80" w:rsidRDefault="00714E0A" w:rsidP="008323A4">
            <w:pPr>
              <w:jc w:val="both"/>
              <w:rPr>
                <w:rFonts w:asciiTheme="majorHAnsi" w:hAnsiTheme="majorHAnsi"/>
                <w:bCs/>
                <w:sz w:val="19"/>
                <w:szCs w:val="19"/>
              </w:rPr>
            </w:pPr>
            <w:r w:rsidRPr="006C3A80">
              <w:rPr>
                <w:rFonts w:asciiTheme="majorHAnsi" w:hAnsiTheme="majorHAnsi"/>
                <w:bCs/>
                <w:sz w:val="19"/>
                <w:szCs w:val="19"/>
              </w:rPr>
              <w:t xml:space="preserve">Walter </w:t>
            </w:r>
            <w:proofErr w:type="spellStart"/>
            <w:r w:rsidRPr="006C3A80">
              <w:rPr>
                <w:rFonts w:asciiTheme="majorHAnsi" w:hAnsiTheme="majorHAnsi"/>
                <w:bCs/>
                <w:sz w:val="19"/>
                <w:szCs w:val="19"/>
              </w:rPr>
              <w:t>Raúl</w:t>
            </w:r>
            <w:proofErr w:type="spellEnd"/>
            <w:r w:rsidRPr="006C3A80">
              <w:rPr>
                <w:rFonts w:asciiTheme="majorHAnsi" w:hAnsiTheme="majorHAnsi"/>
                <w:bCs/>
                <w:sz w:val="19"/>
                <w:szCs w:val="19"/>
              </w:rPr>
              <w:t xml:space="preserve"> </w:t>
            </w:r>
            <w:proofErr w:type="spellStart"/>
            <w:r w:rsidRPr="006C3A80">
              <w:rPr>
                <w:rFonts w:asciiTheme="majorHAnsi" w:hAnsiTheme="majorHAnsi"/>
                <w:bCs/>
                <w:sz w:val="19"/>
                <w:szCs w:val="19"/>
              </w:rPr>
              <w:t>Mejía</w:t>
            </w:r>
            <w:proofErr w:type="spellEnd"/>
            <w:r w:rsidRPr="006C3A80">
              <w:rPr>
                <w:rFonts w:asciiTheme="majorHAnsi" w:hAnsiTheme="majorHAnsi"/>
                <w:bCs/>
                <w:sz w:val="19"/>
                <w:szCs w:val="19"/>
              </w:rPr>
              <w:t xml:space="preserve"> Cardona</w:t>
            </w:r>
          </w:p>
        </w:tc>
      </w:tr>
      <w:tr w:rsidR="003239B8" w:rsidRPr="008D4096" w:rsidTr="004A6A54">
        <w:tc>
          <w:tcPr>
            <w:tcW w:w="3600" w:type="dxa"/>
            <w:tcBorders>
              <w:top w:val="single" w:sz="6" w:space="0" w:color="auto"/>
              <w:bottom w:val="single" w:sz="6" w:space="0" w:color="auto"/>
            </w:tcBorders>
            <w:shd w:val="clear" w:color="auto" w:fill="386294"/>
            <w:vAlign w:val="center"/>
          </w:tcPr>
          <w:p w:rsidR="003239B8" w:rsidRPr="006C3A80" w:rsidRDefault="00306CA5" w:rsidP="008323A4">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C3A80">
                  <w:rPr>
                    <w:rFonts w:asciiTheme="majorHAnsi" w:hAnsiTheme="majorHAnsi"/>
                    <w:b/>
                    <w:bCs/>
                    <w:color w:val="FFFFFF" w:themeColor="background1"/>
                    <w:sz w:val="19"/>
                    <w:szCs w:val="19"/>
                  </w:rPr>
                  <w:t>Presunta víctima</w:t>
                </w:r>
              </w:sdtContent>
            </w:sdt>
            <w:r w:rsidR="003239B8" w:rsidRPr="006C3A80">
              <w:rPr>
                <w:rFonts w:asciiTheme="majorHAnsi" w:hAnsiTheme="majorHAnsi"/>
                <w:b/>
                <w:bCs/>
                <w:color w:val="FFFFFF" w:themeColor="background1"/>
                <w:sz w:val="19"/>
                <w:szCs w:val="19"/>
              </w:rPr>
              <w:t>:</w:t>
            </w:r>
          </w:p>
        </w:tc>
        <w:tc>
          <w:tcPr>
            <w:tcW w:w="5760" w:type="dxa"/>
            <w:vAlign w:val="center"/>
          </w:tcPr>
          <w:p w:rsidR="003239B8" w:rsidRPr="006C3A80" w:rsidRDefault="00714E0A" w:rsidP="008323A4">
            <w:pPr>
              <w:jc w:val="both"/>
              <w:rPr>
                <w:rFonts w:asciiTheme="majorHAnsi" w:hAnsiTheme="majorHAnsi"/>
                <w:bCs/>
                <w:sz w:val="19"/>
                <w:szCs w:val="19"/>
                <w:lang w:val="es-ES"/>
              </w:rPr>
            </w:pPr>
            <w:proofErr w:type="spellStart"/>
            <w:r w:rsidRPr="006C3A80">
              <w:rPr>
                <w:rFonts w:asciiTheme="majorHAnsi" w:hAnsiTheme="majorHAnsi"/>
                <w:bCs/>
                <w:sz w:val="19"/>
                <w:szCs w:val="19"/>
                <w:lang w:val="es-ES"/>
              </w:rPr>
              <w:t>Hawin</w:t>
            </w:r>
            <w:proofErr w:type="spellEnd"/>
            <w:r w:rsidRPr="006C3A80">
              <w:rPr>
                <w:rFonts w:asciiTheme="majorHAnsi" w:hAnsiTheme="majorHAnsi"/>
                <w:bCs/>
                <w:sz w:val="19"/>
                <w:szCs w:val="19"/>
                <w:lang w:val="es-ES"/>
              </w:rPr>
              <w:t xml:space="preserve"> Parra Rentería y familiares</w:t>
            </w:r>
            <w:r w:rsidR="00E62179" w:rsidRPr="006C3A80">
              <w:rPr>
                <w:rStyle w:val="FootnoteReference"/>
                <w:rFonts w:asciiTheme="majorHAnsi" w:hAnsiTheme="majorHAnsi"/>
                <w:bCs/>
                <w:sz w:val="19"/>
                <w:szCs w:val="19"/>
                <w:lang w:val="es-ES"/>
              </w:rPr>
              <w:footnoteReference w:id="2"/>
            </w:r>
          </w:p>
        </w:tc>
      </w:tr>
      <w:tr w:rsidR="003239B8" w:rsidRPr="006C3A80" w:rsidTr="004A6A54">
        <w:tc>
          <w:tcPr>
            <w:tcW w:w="3600" w:type="dxa"/>
            <w:tcBorders>
              <w:top w:val="single" w:sz="6" w:space="0" w:color="auto"/>
              <w:bottom w:val="single" w:sz="6" w:space="0" w:color="auto"/>
            </w:tcBorders>
            <w:shd w:val="clear" w:color="auto" w:fill="386294"/>
            <w:vAlign w:val="center"/>
          </w:tcPr>
          <w:p w:rsidR="003239B8" w:rsidRPr="006C3A80" w:rsidRDefault="003239B8" w:rsidP="008323A4">
            <w:pPr>
              <w:jc w:val="center"/>
              <w:rPr>
                <w:rFonts w:asciiTheme="majorHAnsi" w:hAnsiTheme="majorHAnsi"/>
                <w:b/>
                <w:bCs/>
                <w:color w:val="FFFFFF" w:themeColor="background1"/>
                <w:sz w:val="19"/>
                <w:szCs w:val="19"/>
              </w:rPr>
            </w:pPr>
            <w:r w:rsidRPr="006C3A80">
              <w:rPr>
                <w:rFonts w:asciiTheme="majorHAnsi" w:hAnsiTheme="majorHAnsi"/>
                <w:b/>
                <w:bCs/>
                <w:color w:val="FFFFFF" w:themeColor="background1"/>
                <w:sz w:val="19"/>
                <w:szCs w:val="19"/>
              </w:rPr>
              <w:t xml:space="preserve">Estado </w:t>
            </w:r>
            <w:proofErr w:type="spellStart"/>
            <w:r w:rsidRPr="006C3A80">
              <w:rPr>
                <w:rFonts w:asciiTheme="majorHAnsi" w:hAnsiTheme="majorHAnsi"/>
                <w:b/>
                <w:bCs/>
                <w:color w:val="FFFFFF" w:themeColor="background1"/>
                <w:sz w:val="19"/>
                <w:szCs w:val="19"/>
              </w:rPr>
              <w:t>denunciado</w:t>
            </w:r>
            <w:proofErr w:type="spellEnd"/>
            <w:r w:rsidRPr="006C3A80">
              <w:rPr>
                <w:rFonts w:asciiTheme="majorHAnsi" w:hAnsiTheme="majorHAnsi"/>
                <w:b/>
                <w:bCs/>
                <w:color w:val="FFFFFF" w:themeColor="background1"/>
                <w:sz w:val="19"/>
                <w:szCs w:val="19"/>
              </w:rPr>
              <w:t>:</w:t>
            </w:r>
          </w:p>
        </w:tc>
        <w:tc>
          <w:tcPr>
            <w:tcW w:w="5760" w:type="dxa"/>
            <w:vAlign w:val="center"/>
          </w:tcPr>
          <w:p w:rsidR="003239B8" w:rsidRPr="006C3A80" w:rsidRDefault="00714E0A" w:rsidP="008323A4">
            <w:pPr>
              <w:jc w:val="both"/>
              <w:rPr>
                <w:rFonts w:asciiTheme="majorHAnsi" w:hAnsiTheme="majorHAnsi"/>
                <w:bCs/>
                <w:sz w:val="19"/>
                <w:szCs w:val="19"/>
              </w:rPr>
            </w:pPr>
            <w:r w:rsidRPr="006C3A80">
              <w:rPr>
                <w:rFonts w:asciiTheme="majorHAnsi" w:hAnsiTheme="majorHAnsi"/>
                <w:bCs/>
                <w:sz w:val="19"/>
                <w:szCs w:val="19"/>
              </w:rPr>
              <w:t>Colombia</w:t>
            </w:r>
            <w:r w:rsidR="004A6A54" w:rsidRPr="006C3A80">
              <w:rPr>
                <w:rStyle w:val="FootnoteReference"/>
                <w:rFonts w:asciiTheme="majorHAnsi" w:hAnsiTheme="majorHAnsi"/>
                <w:bCs/>
                <w:sz w:val="19"/>
                <w:szCs w:val="19"/>
              </w:rPr>
              <w:footnoteReference w:id="3"/>
            </w:r>
          </w:p>
        </w:tc>
      </w:tr>
      <w:tr w:rsidR="00223A29" w:rsidRPr="008D4096" w:rsidTr="004A6A54">
        <w:tc>
          <w:tcPr>
            <w:tcW w:w="3600" w:type="dxa"/>
            <w:tcBorders>
              <w:top w:val="single" w:sz="6" w:space="0" w:color="auto"/>
              <w:bottom w:val="single" w:sz="6" w:space="0" w:color="auto"/>
            </w:tcBorders>
            <w:shd w:val="clear" w:color="auto" w:fill="386294"/>
            <w:vAlign w:val="center"/>
          </w:tcPr>
          <w:p w:rsidR="00223A29" w:rsidRPr="006C3A80" w:rsidRDefault="001B3A00" w:rsidP="00E4118C">
            <w:pPr>
              <w:jc w:val="center"/>
              <w:rPr>
                <w:rFonts w:asciiTheme="majorHAnsi" w:hAnsiTheme="majorHAnsi"/>
                <w:b/>
                <w:bCs/>
                <w:color w:val="FFFFFF" w:themeColor="background1"/>
                <w:sz w:val="19"/>
                <w:szCs w:val="19"/>
              </w:rPr>
            </w:pPr>
            <w:r w:rsidRPr="006C3A80">
              <w:rPr>
                <w:rFonts w:asciiTheme="majorHAnsi" w:hAnsiTheme="majorHAnsi"/>
                <w:b/>
                <w:bCs/>
                <w:color w:val="FFFFFF" w:themeColor="background1"/>
                <w:sz w:val="19"/>
                <w:szCs w:val="19"/>
              </w:rPr>
              <w:t xml:space="preserve">Derechos </w:t>
            </w:r>
            <w:proofErr w:type="spellStart"/>
            <w:r w:rsidR="00E4118C" w:rsidRPr="006C3A80">
              <w:rPr>
                <w:rFonts w:asciiTheme="majorHAnsi" w:hAnsiTheme="majorHAnsi"/>
                <w:b/>
                <w:bCs/>
                <w:color w:val="FFFFFF" w:themeColor="background1"/>
                <w:sz w:val="19"/>
                <w:szCs w:val="19"/>
              </w:rPr>
              <w:t>invocados</w:t>
            </w:r>
            <w:proofErr w:type="spellEnd"/>
            <w:r w:rsidRPr="006C3A80">
              <w:rPr>
                <w:rFonts w:asciiTheme="majorHAnsi" w:hAnsiTheme="majorHAnsi"/>
                <w:b/>
                <w:bCs/>
                <w:color w:val="FFFFFF" w:themeColor="background1"/>
                <w:sz w:val="19"/>
                <w:szCs w:val="19"/>
              </w:rPr>
              <w:t>:</w:t>
            </w:r>
          </w:p>
        </w:tc>
        <w:tc>
          <w:tcPr>
            <w:tcW w:w="5760" w:type="dxa"/>
            <w:vAlign w:val="center"/>
          </w:tcPr>
          <w:p w:rsidR="00223A29" w:rsidRPr="006C3A80" w:rsidRDefault="00594827" w:rsidP="007F34FA">
            <w:pPr>
              <w:jc w:val="both"/>
              <w:rPr>
                <w:rFonts w:asciiTheme="majorHAnsi" w:hAnsiTheme="majorHAnsi"/>
                <w:bCs/>
                <w:sz w:val="19"/>
                <w:szCs w:val="19"/>
                <w:lang w:val="es-AR"/>
              </w:rPr>
            </w:pPr>
            <w:r w:rsidRPr="006C3A80">
              <w:rPr>
                <w:rFonts w:asciiTheme="majorHAnsi" w:hAnsiTheme="majorHAnsi"/>
                <w:bCs/>
                <w:sz w:val="19"/>
                <w:szCs w:val="19"/>
                <w:lang w:val="es-PA"/>
              </w:rPr>
              <w:t>A</w:t>
            </w:r>
            <w:proofErr w:type="spellStart"/>
            <w:r w:rsidR="000A1232" w:rsidRPr="006C3A80">
              <w:rPr>
                <w:rFonts w:asciiTheme="majorHAnsi" w:hAnsiTheme="majorHAnsi"/>
                <w:bCs/>
                <w:sz w:val="19"/>
                <w:szCs w:val="19"/>
                <w:lang w:val="es-AR"/>
              </w:rPr>
              <w:t>rtículos</w:t>
            </w:r>
            <w:proofErr w:type="spellEnd"/>
            <w:r w:rsidR="00C9784B" w:rsidRPr="006C3A80">
              <w:rPr>
                <w:rFonts w:asciiTheme="majorHAnsi" w:hAnsiTheme="majorHAnsi"/>
                <w:bCs/>
                <w:sz w:val="19"/>
                <w:szCs w:val="19"/>
                <w:lang w:val="es-AR"/>
              </w:rPr>
              <w:t xml:space="preserve"> 2 (deber de adoptar dis</w:t>
            </w:r>
            <w:r w:rsidR="001B6542" w:rsidRPr="006C3A80">
              <w:rPr>
                <w:rFonts w:asciiTheme="majorHAnsi" w:hAnsiTheme="majorHAnsi"/>
                <w:bCs/>
                <w:sz w:val="19"/>
                <w:szCs w:val="19"/>
                <w:lang w:val="es-AR"/>
              </w:rPr>
              <w:t>posiciones de derecho interno),</w:t>
            </w:r>
            <w:r w:rsidR="000A1232" w:rsidRPr="006C3A80">
              <w:rPr>
                <w:rFonts w:asciiTheme="majorHAnsi" w:hAnsiTheme="majorHAnsi"/>
                <w:bCs/>
                <w:sz w:val="19"/>
                <w:szCs w:val="19"/>
                <w:lang w:val="es-AR"/>
              </w:rPr>
              <w:t xml:space="preserve"> 5 (integridad personal), 7 (libertad personal), 8 (garantías judiciales)</w:t>
            </w:r>
            <w:r w:rsidR="00B67B65" w:rsidRPr="006C3A80">
              <w:rPr>
                <w:rFonts w:asciiTheme="majorHAnsi" w:hAnsiTheme="majorHAnsi"/>
                <w:bCs/>
                <w:sz w:val="19"/>
                <w:szCs w:val="19"/>
                <w:lang w:val="es-AR"/>
              </w:rPr>
              <w:t>, 11 (protección de la honra y de la dignidad), 25 (protección judicial) de la Convención</w:t>
            </w:r>
            <w:r w:rsidR="00197E08" w:rsidRPr="006C3A80">
              <w:rPr>
                <w:rFonts w:asciiTheme="majorHAnsi" w:hAnsiTheme="majorHAnsi"/>
                <w:bCs/>
                <w:sz w:val="19"/>
                <w:szCs w:val="19"/>
                <w:lang w:val="es-AR"/>
              </w:rPr>
              <w:t xml:space="preserve"> Americana </w:t>
            </w:r>
            <w:r w:rsidR="007F34FA" w:rsidRPr="006C3A80">
              <w:rPr>
                <w:rFonts w:asciiTheme="majorHAnsi" w:hAnsiTheme="majorHAnsi"/>
                <w:bCs/>
                <w:sz w:val="19"/>
                <w:szCs w:val="19"/>
                <w:lang w:val="es-AR"/>
              </w:rPr>
              <w:t>s</w:t>
            </w:r>
            <w:r w:rsidR="00197E08" w:rsidRPr="006C3A80">
              <w:rPr>
                <w:rFonts w:asciiTheme="majorHAnsi" w:hAnsiTheme="majorHAnsi"/>
                <w:bCs/>
                <w:sz w:val="19"/>
                <w:szCs w:val="19"/>
                <w:lang w:val="es-AR"/>
              </w:rPr>
              <w:t>obre Derechos Humanos</w:t>
            </w:r>
            <w:r w:rsidR="00197E08" w:rsidRPr="006C3A80">
              <w:rPr>
                <w:rStyle w:val="FootnoteReference"/>
                <w:rFonts w:asciiTheme="majorHAnsi" w:hAnsiTheme="majorHAnsi"/>
                <w:bCs/>
                <w:sz w:val="19"/>
                <w:szCs w:val="19"/>
                <w:lang w:val="es-AR"/>
              </w:rPr>
              <w:footnoteReference w:id="4"/>
            </w:r>
            <w:r w:rsidR="007F34FA" w:rsidRPr="006C3A80">
              <w:rPr>
                <w:rFonts w:asciiTheme="majorHAnsi" w:hAnsiTheme="majorHAnsi"/>
                <w:bCs/>
                <w:sz w:val="19"/>
                <w:szCs w:val="19"/>
                <w:lang w:val="es-AR"/>
              </w:rPr>
              <w:t>; artículos</w:t>
            </w:r>
            <w:r w:rsidRPr="006C3A80">
              <w:rPr>
                <w:rFonts w:asciiTheme="majorHAnsi" w:hAnsiTheme="majorHAnsi"/>
                <w:bCs/>
                <w:sz w:val="19"/>
                <w:szCs w:val="19"/>
                <w:lang w:val="es-AR"/>
              </w:rPr>
              <w:t xml:space="preserve"> </w:t>
            </w:r>
            <w:r w:rsidR="00197E08" w:rsidRPr="006C3A80">
              <w:rPr>
                <w:rFonts w:asciiTheme="majorHAnsi" w:hAnsiTheme="majorHAnsi"/>
                <w:bCs/>
                <w:sz w:val="19"/>
                <w:szCs w:val="19"/>
                <w:lang w:val="es-AR"/>
              </w:rPr>
              <w:t>I</w:t>
            </w:r>
            <w:r w:rsidRPr="006C3A80">
              <w:rPr>
                <w:rFonts w:asciiTheme="majorHAnsi" w:hAnsiTheme="majorHAnsi"/>
                <w:bCs/>
                <w:sz w:val="19"/>
                <w:szCs w:val="19"/>
                <w:lang w:val="es-AR"/>
              </w:rPr>
              <w:t xml:space="preserve"> (vida, libertad personal, seguri</w:t>
            </w:r>
            <w:r w:rsidR="00197E08" w:rsidRPr="006C3A80">
              <w:rPr>
                <w:rFonts w:asciiTheme="majorHAnsi" w:hAnsiTheme="majorHAnsi"/>
                <w:bCs/>
                <w:sz w:val="19"/>
                <w:szCs w:val="19"/>
                <w:lang w:val="es-AR"/>
              </w:rPr>
              <w:t>dad e integridad de la persona) y</w:t>
            </w:r>
            <w:r w:rsidRPr="006C3A80">
              <w:rPr>
                <w:rFonts w:asciiTheme="majorHAnsi" w:hAnsiTheme="majorHAnsi"/>
                <w:bCs/>
                <w:sz w:val="19"/>
                <w:szCs w:val="19"/>
                <w:lang w:val="es-AR"/>
              </w:rPr>
              <w:t xml:space="preserve"> </w:t>
            </w:r>
            <w:r w:rsidR="00197E08" w:rsidRPr="006C3A80">
              <w:rPr>
                <w:rFonts w:asciiTheme="majorHAnsi" w:hAnsiTheme="majorHAnsi"/>
                <w:bCs/>
                <w:sz w:val="19"/>
                <w:szCs w:val="19"/>
                <w:lang w:val="es-AR"/>
              </w:rPr>
              <w:t>XVIII</w:t>
            </w:r>
            <w:r w:rsidRPr="006C3A80">
              <w:rPr>
                <w:rFonts w:asciiTheme="majorHAnsi" w:hAnsiTheme="majorHAnsi"/>
                <w:bCs/>
                <w:sz w:val="19"/>
                <w:szCs w:val="19"/>
                <w:lang w:val="es-AR"/>
              </w:rPr>
              <w:t xml:space="preserve"> (justicia) de la Declaración</w:t>
            </w:r>
            <w:r w:rsidR="00197E08" w:rsidRPr="006C3A80">
              <w:rPr>
                <w:rFonts w:asciiTheme="majorHAnsi" w:hAnsiTheme="majorHAnsi"/>
                <w:bCs/>
                <w:sz w:val="19"/>
                <w:szCs w:val="19"/>
                <w:lang w:val="es-AR"/>
              </w:rPr>
              <w:t xml:space="preserve"> Americana de Derechos y Deberes del Hombre</w:t>
            </w:r>
            <w:r w:rsidR="00197E08" w:rsidRPr="006C3A80">
              <w:rPr>
                <w:rStyle w:val="FootnoteReference"/>
                <w:rFonts w:asciiTheme="majorHAnsi" w:hAnsiTheme="majorHAnsi"/>
                <w:bCs/>
                <w:sz w:val="19"/>
                <w:szCs w:val="19"/>
                <w:lang w:val="es-AR"/>
              </w:rPr>
              <w:footnoteReference w:id="5"/>
            </w:r>
          </w:p>
        </w:tc>
      </w:tr>
    </w:tbl>
    <w:p w:rsidR="003239B8" w:rsidRPr="006C3A80" w:rsidRDefault="003239B8" w:rsidP="003239B8">
      <w:pPr>
        <w:spacing w:before="240" w:after="240"/>
        <w:ind w:firstLine="720"/>
        <w:jc w:val="both"/>
        <w:rPr>
          <w:rFonts w:asciiTheme="majorHAnsi" w:hAnsiTheme="majorHAnsi"/>
          <w:b/>
          <w:bCs/>
          <w:sz w:val="19"/>
          <w:szCs w:val="19"/>
          <w:lang w:val="es-ES"/>
        </w:rPr>
      </w:pPr>
      <w:r w:rsidRPr="006C3A80">
        <w:rPr>
          <w:rFonts w:asciiTheme="majorHAnsi" w:hAnsiTheme="majorHAnsi"/>
          <w:b/>
          <w:bCs/>
          <w:sz w:val="19"/>
          <w:szCs w:val="19"/>
          <w:lang w:val="es-ES"/>
        </w:rPr>
        <w:t>II.</w:t>
      </w:r>
      <w:r w:rsidRPr="006C3A80">
        <w:rPr>
          <w:rFonts w:asciiTheme="majorHAnsi" w:hAnsiTheme="majorHAnsi"/>
          <w:b/>
          <w:bCs/>
          <w:sz w:val="19"/>
          <w:szCs w:val="19"/>
          <w:lang w:val="es-ES"/>
        </w:rPr>
        <w:tab/>
        <w:t>TRÁMITE ANTE LA CIDH</w:t>
      </w:r>
      <w:r w:rsidR="008E3BFE" w:rsidRPr="006C3A80">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C3A80" w:rsidTr="004A6A54">
        <w:tc>
          <w:tcPr>
            <w:tcW w:w="3600" w:type="dxa"/>
            <w:tcBorders>
              <w:top w:val="single" w:sz="6" w:space="0" w:color="auto"/>
              <w:bottom w:val="single" w:sz="6" w:space="0" w:color="auto"/>
            </w:tcBorders>
            <w:shd w:val="clear" w:color="auto" w:fill="386294"/>
            <w:vAlign w:val="center"/>
          </w:tcPr>
          <w:p w:rsidR="004C2312" w:rsidRPr="006C3A80" w:rsidRDefault="004A6A54" w:rsidP="004A6A54">
            <w:pPr>
              <w:jc w:val="center"/>
              <w:rPr>
                <w:rFonts w:asciiTheme="majorHAnsi" w:hAnsiTheme="majorHAnsi"/>
                <w:b/>
                <w:bCs/>
                <w:color w:val="FFFFFF" w:themeColor="background1"/>
                <w:sz w:val="19"/>
                <w:szCs w:val="19"/>
                <w:lang w:val="es-ES"/>
              </w:rPr>
            </w:pPr>
            <w:r w:rsidRPr="006C3A80">
              <w:rPr>
                <w:rFonts w:asciiTheme="majorHAnsi" w:hAnsiTheme="majorHAnsi"/>
                <w:b/>
                <w:bCs/>
                <w:color w:val="FFFFFF" w:themeColor="background1"/>
                <w:sz w:val="19"/>
                <w:szCs w:val="19"/>
                <w:lang w:val="es-ES"/>
              </w:rPr>
              <w:t>P</w:t>
            </w:r>
            <w:r w:rsidR="004C2312" w:rsidRPr="006C3A80">
              <w:rPr>
                <w:rFonts w:asciiTheme="majorHAnsi" w:hAnsiTheme="majorHAnsi"/>
                <w:b/>
                <w:bCs/>
                <w:color w:val="FFFFFF" w:themeColor="background1"/>
                <w:sz w:val="19"/>
                <w:szCs w:val="19"/>
                <w:lang w:val="es-ES"/>
              </w:rPr>
              <w:t>resentación de la petición:</w:t>
            </w:r>
          </w:p>
        </w:tc>
        <w:tc>
          <w:tcPr>
            <w:tcW w:w="5760" w:type="dxa"/>
            <w:vAlign w:val="center"/>
          </w:tcPr>
          <w:p w:rsidR="004C2312" w:rsidRPr="006C3A80" w:rsidRDefault="00B009F6" w:rsidP="008323A4">
            <w:pPr>
              <w:jc w:val="both"/>
              <w:rPr>
                <w:rFonts w:asciiTheme="majorHAnsi" w:hAnsiTheme="majorHAnsi"/>
                <w:bCs/>
                <w:sz w:val="19"/>
                <w:szCs w:val="19"/>
                <w:lang w:val="es-ES"/>
              </w:rPr>
            </w:pPr>
            <w:r w:rsidRPr="006C3A80">
              <w:rPr>
                <w:rFonts w:asciiTheme="majorHAnsi" w:hAnsiTheme="majorHAnsi"/>
                <w:bCs/>
                <w:sz w:val="19"/>
                <w:szCs w:val="19"/>
                <w:lang w:val="es-ES"/>
              </w:rPr>
              <w:t>14 de mayo de 2010</w:t>
            </w:r>
          </w:p>
        </w:tc>
      </w:tr>
      <w:tr w:rsidR="004C2312" w:rsidRPr="006C3A80" w:rsidTr="004A6A54">
        <w:tc>
          <w:tcPr>
            <w:tcW w:w="3600" w:type="dxa"/>
            <w:tcBorders>
              <w:top w:val="single" w:sz="6" w:space="0" w:color="auto"/>
              <w:bottom w:val="single" w:sz="6" w:space="0" w:color="auto"/>
            </w:tcBorders>
            <w:shd w:val="clear" w:color="auto" w:fill="386294"/>
            <w:vAlign w:val="center"/>
          </w:tcPr>
          <w:p w:rsidR="004C2312" w:rsidRPr="006C3A80" w:rsidRDefault="004A6A54" w:rsidP="004A6A54">
            <w:pPr>
              <w:jc w:val="center"/>
              <w:rPr>
                <w:rFonts w:asciiTheme="majorHAnsi" w:hAnsiTheme="majorHAnsi"/>
                <w:b/>
                <w:bCs/>
                <w:color w:val="FFFFFF" w:themeColor="background1"/>
                <w:sz w:val="19"/>
                <w:szCs w:val="19"/>
                <w:lang w:val="es-ES"/>
              </w:rPr>
            </w:pPr>
            <w:r w:rsidRPr="006C3A80">
              <w:rPr>
                <w:rFonts w:asciiTheme="majorHAnsi" w:hAnsiTheme="majorHAnsi"/>
                <w:b/>
                <w:color w:val="FFFFFF" w:themeColor="background1"/>
                <w:sz w:val="19"/>
                <w:szCs w:val="19"/>
                <w:lang w:val="es-ES"/>
              </w:rPr>
              <w:t>N</w:t>
            </w:r>
            <w:r w:rsidR="004C2312" w:rsidRPr="006C3A80">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6C3A80" w:rsidRDefault="006F0975" w:rsidP="006F0975">
            <w:pPr>
              <w:jc w:val="both"/>
              <w:rPr>
                <w:rFonts w:asciiTheme="majorHAnsi" w:hAnsiTheme="majorHAnsi"/>
                <w:bCs/>
                <w:sz w:val="19"/>
                <w:szCs w:val="19"/>
                <w:lang w:val="es-ES"/>
              </w:rPr>
            </w:pPr>
            <w:r w:rsidRPr="006C3A80">
              <w:rPr>
                <w:rFonts w:asciiTheme="majorHAnsi" w:hAnsiTheme="majorHAnsi"/>
                <w:bCs/>
                <w:sz w:val="19"/>
                <w:szCs w:val="19"/>
                <w:lang w:val="es-ES"/>
              </w:rPr>
              <w:t>11</w:t>
            </w:r>
            <w:r w:rsidR="0071710F" w:rsidRPr="006C3A80">
              <w:rPr>
                <w:rFonts w:asciiTheme="majorHAnsi" w:hAnsiTheme="majorHAnsi"/>
                <w:bCs/>
                <w:sz w:val="19"/>
                <w:szCs w:val="19"/>
                <w:lang w:val="es-ES"/>
              </w:rPr>
              <w:t xml:space="preserve"> de </w:t>
            </w:r>
            <w:r w:rsidRPr="006C3A80">
              <w:rPr>
                <w:rFonts w:asciiTheme="majorHAnsi" w:hAnsiTheme="majorHAnsi"/>
                <w:bCs/>
                <w:sz w:val="19"/>
                <w:szCs w:val="19"/>
                <w:lang w:val="es-ES"/>
              </w:rPr>
              <w:t>mayo</w:t>
            </w:r>
            <w:r w:rsidR="0071710F" w:rsidRPr="006C3A80">
              <w:rPr>
                <w:rFonts w:asciiTheme="majorHAnsi" w:hAnsiTheme="majorHAnsi"/>
                <w:bCs/>
                <w:sz w:val="19"/>
                <w:szCs w:val="19"/>
                <w:lang w:val="es-ES"/>
              </w:rPr>
              <w:t xml:space="preserve"> de 2016</w:t>
            </w:r>
          </w:p>
        </w:tc>
      </w:tr>
      <w:tr w:rsidR="004C2312" w:rsidRPr="006C3A80" w:rsidTr="004A6A54">
        <w:tc>
          <w:tcPr>
            <w:tcW w:w="3600" w:type="dxa"/>
            <w:tcBorders>
              <w:top w:val="single" w:sz="6" w:space="0" w:color="auto"/>
              <w:bottom w:val="single" w:sz="6" w:space="0" w:color="auto"/>
            </w:tcBorders>
            <w:shd w:val="clear" w:color="auto" w:fill="386294"/>
            <w:vAlign w:val="center"/>
          </w:tcPr>
          <w:p w:rsidR="004C2312" w:rsidRPr="006C3A80" w:rsidRDefault="004A6A54" w:rsidP="004A6A54">
            <w:pPr>
              <w:jc w:val="center"/>
              <w:rPr>
                <w:rFonts w:asciiTheme="majorHAnsi" w:hAnsiTheme="majorHAnsi"/>
                <w:b/>
                <w:bCs/>
                <w:color w:val="FFFFFF" w:themeColor="background1"/>
                <w:sz w:val="19"/>
                <w:szCs w:val="19"/>
                <w:lang w:val="es-ES"/>
              </w:rPr>
            </w:pPr>
            <w:r w:rsidRPr="006C3A80">
              <w:rPr>
                <w:rFonts w:asciiTheme="majorHAnsi" w:hAnsiTheme="majorHAnsi"/>
                <w:b/>
                <w:color w:val="FFFFFF" w:themeColor="background1"/>
                <w:sz w:val="19"/>
                <w:szCs w:val="19"/>
                <w:lang w:val="es-ES"/>
              </w:rPr>
              <w:t>P</w:t>
            </w:r>
            <w:r w:rsidR="004C2312" w:rsidRPr="006C3A80">
              <w:rPr>
                <w:rFonts w:asciiTheme="majorHAnsi" w:hAnsiTheme="majorHAnsi"/>
                <w:b/>
                <w:color w:val="FFFFFF" w:themeColor="background1"/>
                <w:sz w:val="19"/>
                <w:szCs w:val="19"/>
                <w:lang w:val="es-ES"/>
              </w:rPr>
              <w:t>rimera respuesta del Estado:</w:t>
            </w:r>
          </w:p>
        </w:tc>
        <w:tc>
          <w:tcPr>
            <w:tcW w:w="5760" w:type="dxa"/>
            <w:vAlign w:val="center"/>
          </w:tcPr>
          <w:p w:rsidR="004C2312" w:rsidRPr="006C3A80" w:rsidRDefault="004F03CB" w:rsidP="00482034">
            <w:pPr>
              <w:jc w:val="both"/>
              <w:rPr>
                <w:rFonts w:asciiTheme="majorHAnsi" w:hAnsiTheme="majorHAnsi"/>
                <w:bCs/>
                <w:sz w:val="19"/>
                <w:szCs w:val="19"/>
                <w:lang w:val="es-ES"/>
              </w:rPr>
            </w:pPr>
            <w:r w:rsidRPr="006C3A80">
              <w:rPr>
                <w:rFonts w:asciiTheme="majorHAnsi" w:hAnsiTheme="majorHAnsi"/>
                <w:bCs/>
                <w:sz w:val="19"/>
                <w:szCs w:val="19"/>
                <w:lang w:val="es-ES"/>
              </w:rPr>
              <w:t>2</w:t>
            </w:r>
            <w:r w:rsidR="00482034" w:rsidRPr="006C3A80">
              <w:rPr>
                <w:rFonts w:asciiTheme="majorHAnsi" w:hAnsiTheme="majorHAnsi"/>
                <w:bCs/>
                <w:sz w:val="19"/>
                <w:szCs w:val="19"/>
                <w:lang w:val="es-ES"/>
              </w:rPr>
              <w:t xml:space="preserve"> de octubre de 2016</w:t>
            </w:r>
          </w:p>
        </w:tc>
      </w:tr>
      <w:tr w:rsidR="004C2312" w:rsidRPr="006C3A80" w:rsidTr="004A6A54">
        <w:tc>
          <w:tcPr>
            <w:tcW w:w="3600" w:type="dxa"/>
            <w:tcBorders>
              <w:top w:val="single" w:sz="6" w:space="0" w:color="auto"/>
              <w:bottom w:val="single" w:sz="6" w:space="0" w:color="auto"/>
            </w:tcBorders>
            <w:shd w:val="clear" w:color="auto" w:fill="386294"/>
            <w:vAlign w:val="center"/>
          </w:tcPr>
          <w:p w:rsidR="004C2312" w:rsidRPr="006C3A80" w:rsidRDefault="008E3BFE" w:rsidP="008E3BFE">
            <w:pPr>
              <w:jc w:val="center"/>
              <w:rPr>
                <w:rFonts w:asciiTheme="majorHAnsi" w:hAnsiTheme="majorHAnsi"/>
                <w:b/>
                <w:bCs/>
                <w:color w:val="FFFFFF" w:themeColor="background1"/>
                <w:sz w:val="19"/>
                <w:szCs w:val="19"/>
                <w:lang w:val="es-ES"/>
              </w:rPr>
            </w:pPr>
            <w:r w:rsidRPr="006C3A80">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6C3A80" w:rsidRDefault="00482034" w:rsidP="008323A4">
            <w:pPr>
              <w:jc w:val="both"/>
              <w:rPr>
                <w:rFonts w:asciiTheme="majorHAnsi" w:hAnsiTheme="majorHAnsi"/>
                <w:bCs/>
                <w:sz w:val="19"/>
                <w:szCs w:val="19"/>
                <w:lang w:val="es-ES"/>
              </w:rPr>
            </w:pPr>
            <w:r w:rsidRPr="006C3A80">
              <w:rPr>
                <w:rFonts w:asciiTheme="majorHAnsi" w:hAnsiTheme="majorHAnsi"/>
                <w:bCs/>
                <w:sz w:val="19"/>
                <w:szCs w:val="19"/>
                <w:lang w:val="es-ES"/>
              </w:rPr>
              <w:t>14 de julio de 2017</w:t>
            </w:r>
          </w:p>
        </w:tc>
      </w:tr>
      <w:tr w:rsidR="004C2312" w:rsidRPr="006C3A80" w:rsidTr="004A6A54">
        <w:tc>
          <w:tcPr>
            <w:tcW w:w="3600" w:type="dxa"/>
            <w:tcBorders>
              <w:top w:val="single" w:sz="6" w:space="0" w:color="auto"/>
              <w:bottom w:val="single" w:sz="6" w:space="0" w:color="auto"/>
            </w:tcBorders>
            <w:shd w:val="clear" w:color="auto" w:fill="386294"/>
            <w:vAlign w:val="center"/>
          </w:tcPr>
          <w:p w:rsidR="004C2312" w:rsidRPr="006C3A80" w:rsidRDefault="004C2312" w:rsidP="008E3BFE">
            <w:pPr>
              <w:jc w:val="center"/>
              <w:rPr>
                <w:rFonts w:asciiTheme="majorHAnsi" w:hAnsiTheme="majorHAnsi"/>
                <w:b/>
                <w:bCs/>
                <w:color w:val="FFFFFF" w:themeColor="background1"/>
                <w:sz w:val="19"/>
                <w:szCs w:val="19"/>
              </w:rPr>
            </w:pPr>
            <w:proofErr w:type="spellStart"/>
            <w:r w:rsidRPr="006C3A80">
              <w:rPr>
                <w:rFonts w:asciiTheme="majorHAnsi" w:hAnsiTheme="majorHAnsi"/>
                <w:b/>
                <w:bCs/>
                <w:color w:val="FFFFFF" w:themeColor="background1"/>
                <w:sz w:val="19"/>
                <w:szCs w:val="19"/>
              </w:rPr>
              <w:t>Observaciones</w:t>
            </w:r>
            <w:proofErr w:type="spellEnd"/>
            <w:r w:rsidRPr="006C3A80">
              <w:rPr>
                <w:rFonts w:asciiTheme="majorHAnsi" w:hAnsiTheme="majorHAnsi"/>
                <w:b/>
                <w:bCs/>
                <w:color w:val="FFFFFF" w:themeColor="background1"/>
                <w:sz w:val="19"/>
                <w:szCs w:val="19"/>
              </w:rPr>
              <w:t xml:space="preserve"> </w:t>
            </w:r>
            <w:proofErr w:type="spellStart"/>
            <w:r w:rsidRPr="006C3A80">
              <w:rPr>
                <w:rFonts w:asciiTheme="majorHAnsi" w:hAnsiTheme="majorHAnsi"/>
                <w:b/>
                <w:bCs/>
                <w:color w:val="FFFFFF" w:themeColor="background1"/>
                <w:sz w:val="19"/>
                <w:szCs w:val="19"/>
              </w:rPr>
              <w:t>adicionales</w:t>
            </w:r>
            <w:proofErr w:type="spellEnd"/>
            <w:r w:rsidRPr="006C3A80">
              <w:rPr>
                <w:rFonts w:asciiTheme="majorHAnsi" w:hAnsiTheme="majorHAnsi"/>
                <w:b/>
                <w:bCs/>
                <w:color w:val="FFFFFF" w:themeColor="background1"/>
                <w:sz w:val="19"/>
                <w:szCs w:val="19"/>
              </w:rPr>
              <w:t xml:space="preserve"> del Estado:</w:t>
            </w:r>
          </w:p>
        </w:tc>
        <w:tc>
          <w:tcPr>
            <w:tcW w:w="5760" w:type="dxa"/>
            <w:vAlign w:val="center"/>
          </w:tcPr>
          <w:p w:rsidR="004C2312" w:rsidRPr="006C3A80" w:rsidRDefault="00482034" w:rsidP="008323A4">
            <w:pPr>
              <w:jc w:val="both"/>
              <w:rPr>
                <w:rFonts w:asciiTheme="majorHAnsi" w:hAnsiTheme="majorHAnsi"/>
                <w:bCs/>
                <w:sz w:val="19"/>
                <w:szCs w:val="19"/>
              </w:rPr>
            </w:pPr>
            <w:r w:rsidRPr="006C3A80">
              <w:rPr>
                <w:rFonts w:asciiTheme="majorHAnsi" w:hAnsiTheme="majorHAnsi"/>
                <w:bCs/>
                <w:sz w:val="19"/>
                <w:szCs w:val="19"/>
              </w:rPr>
              <w:t xml:space="preserve">2 de </w:t>
            </w:r>
            <w:proofErr w:type="spellStart"/>
            <w:r w:rsidRPr="006C3A80">
              <w:rPr>
                <w:rFonts w:asciiTheme="majorHAnsi" w:hAnsiTheme="majorHAnsi"/>
                <w:bCs/>
                <w:sz w:val="19"/>
                <w:szCs w:val="19"/>
              </w:rPr>
              <w:t>octubre</w:t>
            </w:r>
            <w:proofErr w:type="spellEnd"/>
            <w:r w:rsidRPr="006C3A80">
              <w:rPr>
                <w:rFonts w:asciiTheme="majorHAnsi" w:hAnsiTheme="majorHAnsi"/>
                <w:bCs/>
                <w:sz w:val="19"/>
                <w:szCs w:val="19"/>
              </w:rPr>
              <w:t xml:space="preserve"> de 2018</w:t>
            </w:r>
          </w:p>
        </w:tc>
      </w:tr>
    </w:tbl>
    <w:p w:rsidR="003239B8" w:rsidRPr="006C3A80" w:rsidRDefault="003239B8" w:rsidP="003239B8">
      <w:pPr>
        <w:spacing w:before="240" w:after="240"/>
        <w:ind w:firstLine="720"/>
        <w:jc w:val="both"/>
        <w:rPr>
          <w:rFonts w:asciiTheme="majorHAnsi" w:hAnsiTheme="majorHAnsi"/>
          <w:b/>
          <w:bCs/>
          <w:sz w:val="19"/>
          <w:szCs w:val="19"/>
          <w:lang w:val="es-ES"/>
        </w:rPr>
      </w:pPr>
      <w:r w:rsidRPr="006C3A80">
        <w:rPr>
          <w:rFonts w:asciiTheme="majorHAnsi" w:hAnsiTheme="majorHAnsi"/>
          <w:b/>
          <w:bCs/>
          <w:sz w:val="19"/>
          <w:szCs w:val="19"/>
          <w:lang w:val="es-ES"/>
        </w:rPr>
        <w:t xml:space="preserve">III. </w:t>
      </w:r>
      <w:r w:rsidRPr="006C3A80">
        <w:rPr>
          <w:rFonts w:asciiTheme="majorHAnsi" w:hAnsiTheme="majorHAnsi"/>
          <w:b/>
          <w:bCs/>
          <w:sz w:val="19"/>
          <w:szCs w:val="19"/>
          <w:lang w:val="es-ES"/>
        </w:rPr>
        <w:tab/>
        <w:t>COMPETENCIA</w:t>
      </w:r>
      <w:r w:rsidR="00EE00E9" w:rsidRPr="006C3A80">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C3A80" w:rsidTr="004A6A54">
        <w:trPr>
          <w:cantSplit/>
        </w:trPr>
        <w:tc>
          <w:tcPr>
            <w:tcW w:w="3600" w:type="dxa"/>
            <w:tcBorders>
              <w:top w:val="single" w:sz="4" w:space="0" w:color="auto"/>
              <w:bottom w:val="single" w:sz="6" w:space="0" w:color="auto"/>
            </w:tcBorders>
            <w:shd w:val="clear" w:color="auto" w:fill="386294"/>
            <w:vAlign w:val="center"/>
          </w:tcPr>
          <w:p w:rsidR="003239B8" w:rsidRPr="006C3A80" w:rsidRDefault="003239B8" w:rsidP="008323A4">
            <w:pPr>
              <w:jc w:val="center"/>
              <w:rPr>
                <w:rFonts w:asciiTheme="majorHAnsi" w:hAnsiTheme="majorHAnsi"/>
                <w:b/>
                <w:bCs/>
                <w:i/>
                <w:color w:val="FFFFFF" w:themeColor="background1"/>
                <w:sz w:val="19"/>
                <w:szCs w:val="19"/>
              </w:rPr>
            </w:pPr>
            <w:proofErr w:type="spellStart"/>
            <w:r w:rsidRPr="006C3A80">
              <w:rPr>
                <w:rFonts w:asciiTheme="majorHAnsi" w:hAnsiTheme="majorHAnsi"/>
                <w:b/>
                <w:bCs/>
                <w:color w:val="FFFFFF" w:themeColor="background1"/>
                <w:sz w:val="19"/>
                <w:szCs w:val="19"/>
              </w:rPr>
              <w:t>Competencia</w:t>
            </w:r>
            <w:proofErr w:type="spellEnd"/>
            <w:r w:rsidRPr="006C3A80">
              <w:rPr>
                <w:rFonts w:asciiTheme="majorHAnsi" w:hAnsiTheme="majorHAnsi"/>
                <w:b/>
                <w:bCs/>
                <w:i/>
                <w:color w:val="FFFFFF" w:themeColor="background1"/>
                <w:sz w:val="19"/>
                <w:szCs w:val="19"/>
              </w:rPr>
              <w:t xml:space="preserve"> </w:t>
            </w:r>
            <w:proofErr w:type="spellStart"/>
            <w:r w:rsidRPr="006C3A80">
              <w:rPr>
                <w:rFonts w:asciiTheme="majorHAnsi" w:hAnsiTheme="majorHAnsi"/>
                <w:b/>
                <w:bCs/>
                <w:i/>
                <w:color w:val="FFFFFF" w:themeColor="background1"/>
                <w:sz w:val="19"/>
                <w:szCs w:val="19"/>
              </w:rPr>
              <w:t>Ratione</w:t>
            </w:r>
            <w:proofErr w:type="spellEnd"/>
            <w:r w:rsidRPr="006C3A80">
              <w:rPr>
                <w:rFonts w:asciiTheme="majorHAnsi" w:hAnsiTheme="majorHAnsi"/>
                <w:b/>
                <w:bCs/>
                <w:i/>
                <w:color w:val="FFFFFF" w:themeColor="background1"/>
                <w:sz w:val="19"/>
                <w:szCs w:val="19"/>
              </w:rPr>
              <w:t xml:space="preserve"> personae:</w:t>
            </w:r>
          </w:p>
        </w:tc>
        <w:tc>
          <w:tcPr>
            <w:tcW w:w="5760" w:type="dxa"/>
            <w:vAlign w:val="center"/>
          </w:tcPr>
          <w:p w:rsidR="003239B8" w:rsidRPr="006C3A80" w:rsidRDefault="00947F9D" w:rsidP="008323A4">
            <w:pPr>
              <w:rPr>
                <w:rFonts w:asciiTheme="majorHAnsi" w:hAnsiTheme="majorHAnsi"/>
                <w:bCs/>
                <w:sz w:val="19"/>
                <w:szCs w:val="19"/>
              </w:rPr>
            </w:pPr>
            <w:proofErr w:type="spellStart"/>
            <w:r w:rsidRPr="006C3A80">
              <w:rPr>
                <w:rFonts w:asciiTheme="majorHAnsi" w:hAnsiTheme="majorHAnsi"/>
                <w:bCs/>
                <w:sz w:val="19"/>
                <w:szCs w:val="19"/>
              </w:rPr>
              <w:t>Sí</w:t>
            </w:r>
            <w:proofErr w:type="spellEnd"/>
          </w:p>
        </w:tc>
      </w:tr>
      <w:tr w:rsidR="003239B8" w:rsidRPr="006C3A80" w:rsidTr="004A6A54">
        <w:trPr>
          <w:cantSplit/>
        </w:trPr>
        <w:tc>
          <w:tcPr>
            <w:tcW w:w="3600" w:type="dxa"/>
            <w:tcBorders>
              <w:top w:val="single" w:sz="6" w:space="0" w:color="auto"/>
              <w:bottom w:val="single" w:sz="6" w:space="0" w:color="auto"/>
            </w:tcBorders>
            <w:shd w:val="clear" w:color="auto" w:fill="386294"/>
            <w:vAlign w:val="center"/>
          </w:tcPr>
          <w:p w:rsidR="003239B8" w:rsidRPr="006C3A80" w:rsidRDefault="003239B8" w:rsidP="008323A4">
            <w:pPr>
              <w:jc w:val="center"/>
              <w:rPr>
                <w:rFonts w:asciiTheme="majorHAnsi" w:hAnsiTheme="majorHAnsi"/>
                <w:b/>
                <w:bCs/>
                <w:color w:val="FFFFFF" w:themeColor="background1"/>
                <w:sz w:val="19"/>
                <w:szCs w:val="19"/>
              </w:rPr>
            </w:pPr>
            <w:proofErr w:type="spellStart"/>
            <w:r w:rsidRPr="006C3A80">
              <w:rPr>
                <w:rFonts w:asciiTheme="majorHAnsi" w:hAnsiTheme="majorHAnsi"/>
                <w:b/>
                <w:bCs/>
                <w:color w:val="FFFFFF" w:themeColor="background1"/>
                <w:sz w:val="19"/>
                <w:szCs w:val="19"/>
              </w:rPr>
              <w:t>Competencia</w:t>
            </w:r>
            <w:proofErr w:type="spellEnd"/>
            <w:r w:rsidRPr="006C3A80">
              <w:rPr>
                <w:rFonts w:asciiTheme="majorHAnsi" w:hAnsiTheme="majorHAnsi"/>
                <w:b/>
                <w:bCs/>
                <w:i/>
                <w:color w:val="FFFFFF" w:themeColor="background1"/>
                <w:sz w:val="19"/>
                <w:szCs w:val="19"/>
              </w:rPr>
              <w:t xml:space="preserve"> </w:t>
            </w:r>
            <w:proofErr w:type="spellStart"/>
            <w:r w:rsidRPr="006C3A80">
              <w:rPr>
                <w:rFonts w:asciiTheme="majorHAnsi" w:hAnsiTheme="majorHAnsi"/>
                <w:b/>
                <w:bCs/>
                <w:i/>
                <w:color w:val="FFFFFF" w:themeColor="background1"/>
                <w:sz w:val="19"/>
                <w:szCs w:val="19"/>
              </w:rPr>
              <w:t>Ratione</w:t>
            </w:r>
            <w:proofErr w:type="spellEnd"/>
            <w:r w:rsidRPr="006C3A80">
              <w:rPr>
                <w:rFonts w:asciiTheme="majorHAnsi" w:hAnsiTheme="majorHAnsi"/>
                <w:b/>
                <w:bCs/>
                <w:i/>
                <w:color w:val="FFFFFF" w:themeColor="background1"/>
                <w:sz w:val="19"/>
                <w:szCs w:val="19"/>
              </w:rPr>
              <w:t xml:space="preserve"> loci</w:t>
            </w:r>
            <w:r w:rsidRPr="006C3A80">
              <w:rPr>
                <w:rFonts w:asciiTheme="majorHAnsi" w:hAnsiTheme="majorHAnsi"/>
                <w:b/>
                <w:bCs/>
                <w:color w:val="FFFFFF" w:themeColor="background1"/>
                <w:sz w:val="19"/>
                <w:szCs w:val="19"/>
              </w:rPr>
              <w:t>:</w:t>
            </w:r>
          </w:p>
        </w:tc>
        <w:tc>
          <w:tcPr>
            <w:tcW w:w="5760" w:type="dxa"/>
            <w:vAlign w:val="center"/>
          </w:tcPr>
          <w:p w:rsidR="003239B8" w:rsidRPr="006C3A80" w:rsidRDefault="00947F9D" w:rsidP="008323A4">
            <w:pPr>
              <w:rPr>
                <w:rFonts w:asciiTheme="majorHAnsi" w:hAnsiTheme="majorHAnsi"/>
                <w:bCs/>
                <w:sz w:val="19"/>
                <w:szCs w:val="19"/>
              </w:rPr>
            </w:pPr>
            <w:proofErr w:type="spellStart"/>
            <w:r w:rsidRPr="006C3A80">
              <w:rPr>
                <w:rFonts w:asciiTheme="majorHAnsi" w:hAnsiTheme="majorHAnsi"/>
                <w:bCs/>
                <w:sz w:val="19"/>
                <w:szCs w:val="19"/>
              </w:rPr>
              <w:t>Sí</w:t>
            </w:r>
            <w:proofErr w:type="spellEnd"/>
          </w:p>
        </w:tc>
      </w:tr>
      <w:tr w:rsidR="003239B8" w:rsidRPr="006C3A80" w:rsidTr="004A6A54">
        <w:trPr>
          <w:cantSplit/>
        </w:trPr>
        <w:tc>
          <w:tcPr>
            <w:tcW w:w="3600" w:type="dxa"/>
            <w:tcBorders>
              <w:top w:val="single" w:sz="6" w:space="0" w:color="auto"/>
              <w:bottom w:val="single" w:sz="6" w:space="0" w:color="auto"/>
            </w:tcBorders>
            <w:shd w:val="clear" w:color="auto" w:fill="386294"/>
            <w:vAlign w:val="center"/>
          </w:tcPr>
          <w:p w:rsidR="003239B8" w:rsidRPr="006C3A80" w:rsidRDefault="003239B8" w:rsidP="008323A4">
            <w:pPr>
              <w:jc w:val="center"/>
              <w:rPr>
                <w:rFonts w:asciiTheme="majorHAnsi" w:hAnsiTheme="majorHAnsi"/>
                <w:b/>
                <w:bCs/>
                <w:color w:val="FFFFFF" w:themeColor="background1"/>
                <w:sz w:val="19"/>
                <w:szCs w:val="19"/>
              </w:rPr>
            </w:pPr>
            <w:proofErr w:type="spellStart"/>
            <w:r w:rsidRPr="006C3A80">
              <w:rPr>
                <w:rFonts w:asciiTheme="majorHAnsi" w:hAnsiTheme="majorHAnsi"/>
                <w:b/>
                <w:bCs/>
                <w:color w:val="FFFFFF" w:themeColor="background1"/>
                <w:sz w:val="19"/>
                <w:szCs w:val="19"/>
              </w:rPr>
              <w:t>Competencia</w:t>
            </w:r>
            <w:proofErr w:type="spellEnd"/>
            <w:r w:rsidRPr="006C3A80">
              <w:rPr>
                <w:rFonts w:asciiTheme="majorHAnsi" w:hAnsiTheme="majorHAnsi"/>
                <w:b/>
                <w:bCs/>
                <w:i/>
                <w:color w:val="FFFFFF" w:themeColor="background1"/>
                <w:sz w:val="19"/>
                <w:szCs w:val="19"/>
              </w:rPr>
              <w:t xml:space="preserve"> </w:t>
            </w:r>
            <w:proofErr w:type="spellStart"/>
            <w:r w:rsidRPr="006C3A80">
              <w:rPr>
                <w:rFonts w:asciiTheme="majorHAnsi" w:hAnsiTheme="majorHAnsi"/>
                <w:b/>
                <w:bCs/>
                <w:i/>
                <w:color w:val="FFFFFF" w:themeColor="background1"/>
                <w:sz w:val="19"/>
                <w:szCs w:val="19"/>
              </w:rPr>
              <w:t>Ratione</w:t>
            </w:r>
            <w:proofErr w:type="spellEnd"/>
            <w:r w:rsidRPr="006C3A80">
              <w:rPr>
                <w:rFonts w:asciiTheme="majorHAnsi" w:hAnsiTheme="majorHAnsi"/>
                <w:b/>
                <w:bCs/>
                <w:i/>
                <w:color w:val="FFFFFF" w:themeColor="background1"/>
                <w:sz w:val="19"/>
                <w:szCs w:val="19"/>
              </w:rPr>
              <w:t xml:space="preserve"> </w:t>
            </w:r>
            <w:proofErr w:type="spellStart"/>
            <w:r w:rsidRPr="006C3A80">
              <w:rPr>
                <w:rFonts w:asciiTheme="majorHAnsi" w:hAnsiTheme="majorHAnsi"/>
                <w:b/>
                <w:bCs/>
                <w:i/>
                <w:color w:val="FFFFFF" w:themeColor="background1"/>
                <w:sz w:val="19"/>
                <w:szCs w:val="19"/>
              </w:rPr>
              <w:t>temporis</w:t>
            </w:r>
            <w:proofErr w:type="spellEnd"/>
            <w:r w:rsidRPr="006C3A80">
              <w:rPr>
                <w:rFonts w:asciiTheme="majorHAnsi" w:hAnsiTheme="majorHAnsi"/>
                <w:b/>
                <w:bCs/>
                <w:color w:val="FFFFFF" w:themeColor="background1"/>
                <w:sz w:val="19"/>
                <w:szCs w:val="19"/>
              </w:rPr>
              <w:t>:</w:t>
            </w:r>
          </w:p>
        </w:tc>
        <w:tc>
          <w:tcPr>
            <w:tcW w:w="5760" w:type="dxa"/>
            <w:vAlign w:val="center"/>
          </w:tcPr>
          <w:p w:rsidR="003239B8" w:rsidRPr="006C3A80" w:rsidRDefault="00947F9D" w:rsidP="008323A4">
            <w:pPr>
              <w:rPr>
                <w:rFonts w:asciiTheme="majorHAnsi" w:hAnsiTheme="majorHAnsi"/>
                <w:bCs/>
                <w:sz w:val="19"/>
                <w:szCs w:val="19"/>
              </w:rPr>
            </w:pPr>
            <w:proofErr w:type="spellStart"/>
            <w:r w:rsidRPr="006C3A80">
              <w:rPr>
                <w:rFonts w:asciiTheme="majorHAnsi" w:hAnsiTheme="majorHAnsi"/>
                <w:bCs/>
                <w:sz w:val="19"/>
                <w:szCs w:val="19"/>
              </w:rPr>
              <w:t>Sí</w:t>
            </w:r>
            <w:proofErr w:type="spellEnd"/>
          </w:p>
        </w:tc>
      </w:tr>
      <w:tr w:rsidR="003239B8" w:rsidRPr="006C3A80" w:rsidTr="004A6A54">
        <w:trPr>
          <w:cantSplit/>
        </w:trPr>
        <w:tc>
          <w:tcPr>
            <w:tcW w:w="3600" w:type="dxa"/>
            <w:tcBorders>
              <w:top w:val="single" w:sz="6" w:space="0" w:color="auto"/>
              <w:bottom w:val="single" w:sz="6" w:space="0" w:color="auto"/>
            </w:tcBorders>
            <w:shd w:val="clear" w:color="auto" w:fill="386294"/>
            <w:vAlign w:val="center"/>
          </w:tcPr>
          <w:p w:rsidR="003239B8" w:rsidRPr="006C3A80" w:rsidRDefault="003239B8" w:rsidP="008323A4">
            <w:pPr>
              <w:jc w:val="center"/>
              <w:rPr>
                <w:rFonts w:asciiTheme="majorHAnsi" w:hAnsiTheme="majorHAnsi"/>
                <w:b/>
                <w:bCs/>
                <w:color w:val="FFFFFF" w:themeColor="background1"/>
                <w:sz w:val="19"/>
                <w:szCs w:val="19"/>
              </w:rPr>
            </w:pPr>
            <w:proofErr w:type="spellStart"/>
            <w:r w:rsidRPr="006C3A80">
              <w:rPr>
                <w:rFonts w:asciiTheme="majorHAnsi" w:hAnsiTheme="majorHAnsi"/>
                <w:b/>
                <w:bCs/>
                <w:color w:val="FFFFFF" w:themeColor="background1"/>
                <w:sz w:val="19"/>
                <w:szCs w:val="19"/>
              </w:rPr>
              <w:t>Competencia</w:t>
            </w:r>
            <w:proofErr w:type="spellEnd"/>
            <w:r w:rsidRPr="006C3A80">
              <w:rPr>
                <w:rFonts w:asciiTheme="majorHAnsi" w:hAnsiTheme="majorHAnsi"/>
                <w:b/>
                <w:bCs/>
                <w:i/>
                <w:color w:val="FFFFFF" w:themeColor="background1"/>
                <w:sz w:val="19"/>
                <w:szCs w:val="19"/>
              </w:rPr>
              <w:t xml:space="preserve"> </w:t>
            </w:r>
            <w:proofErr w:type="spellStart"/>
            <w:r w:rsidRPr="006C3A80">
              <w:rPr>
                <w:rFonts w:asciiTheme="majorHAnsi" w:hAnsiTheme="majorHAnsi"/>
                <w:b/>
                <w:bCs/>
                <w:i/>
                <w:color w:val="FFFFFF" w:themeColor="background1"/>
                <w:sz w:val="19"/>
                <w:szCs w:val="19"/>
              </w:rPr>
              <w:t>Ratione</w:t>
            </w:r>
            <w:proofErr w:type="spellEnd"/>
            <w:r w:rsidRPr="006C3A80">
              <w:rPr>
                <w:rFonts w:asciiTheme="majorHAnsi" w:hAnsiTheme="majorHAnsi"/>
                <w:b/>
                <w:bCs/>
                <w:i/>
                <w:color w:val="FFFFFF" w:themeColor="background1"/>
                <w:sz w:val="19"/>
                <w:szCs w:val="19"/>
              </w:rPr>
              <w:t xml:space="preserve"> </w:t>
            </w:r>
            <w:proofErr w:type="spellStart"/>
            <w:r w:rsidRPr="006C3A80">
              <w:rPr>
                <w:rFonts w:asciiTheme="majorHAnsi" w:hAnsiTheme="majorHAnsi"/>
                <w:b/>
                <w:bCs/>
                <w:i/>
                <w:color w:val="FFFFFF" w:themeColor="background1"/>
                <w:sz w:val="19"/>
                <w:szCs w:val="19"/>
              </w:rPr>
              <w:t>materia</w:t>
            </w:r>
            <w:r w:rsidR="00EE00E9" w:rsidRPr="006C3A80">
              <w:rPr>
                <w:rFonts w:asciiTheme="majorHAnsi" w:hAnsiTheme="majorHAnsi"/>
                <w:b/>
                <w:bCs/>
                <w:i/>
                <w:color w:val="FFFFFF" w:themeColor="background1"/>
                <w:sz w:val="19"/>
                <w:szCs w:val="19"/>
              </w:rPr>
              <w:t>e</w:t>
            </w:r>
            <w:proofErr w:type="spellEnd"/>
            <w:r w:rsidRPr="006C3A80">
              <w:rPr>
                <w:rFonts w:asciiTheme="majorHAnsi" w:hAnsiTheme="majorHAnsi"/>
                <w:b/>
                <w:bCs/>
                <w:color w:val="FFFFFF" w:themeColor="background1"/>
                <w:sz w:val="19"/>
                <w:szCs w:val="19"/>
              </w:rPr>
              <w:t>:</w:t>
            </w:r>
          </w:p>
        </w:tc>
        <w:tc>
          <w:tcPr>
            <w:tcW w:w="5760" w:type="dxa"/>
            <w:vAlign w:val="center"/>
          </w:tcPr>
          <w:p w:rsidR="00AF0437" w:rsidRPr="006C3A80" w:rsidRDefault="00AF0437" w:rsidP="00AF0437">
            <w:pPr>
              <w:jc w:val="both"/>
              <w:rPr>
                <w:rFonts w:asciiTheme="majorHAnsi" w:hAnsiTheme="majorHAnsi"/>
                <w:bCs/>
                <w:sz w:val="19"/>
                <w:szCs w:val="19"/>
                <w:lang w:val="es-ES"/>
              </w:rPr>
            </w:pPr>
            <w:r w:rsidRPr="006C3A80">
              <w:rPr>
                <w:rFonts w:asciiTheme="majorHAnsi" w:hAnsiTheme="majorHAnsi"/>
                <w:bCs/>
                <w:sz w:val="19"/>
                <w:szCs w:val="19"/>
                <w:lang w:val="es-ES"/>
              </w:rPr>
              <w:t>Sí</w:t>
            </w:r>
            <w:r w:rsidR="0037045D" w:rsidRPr="006C3A80">
              <w:rPr>
                <w:rFonts w:asciiTheme="majorHAnsi" w:hAnsiTheme="majorHAnsi"/>
                <w:bCs/>
                <w:sz w:val="19"/>
                <w:szCs w:val="19"/>
                <w:lang w:val="es-ES"/>
              </w:rPr>
              <w:t>,</w:t>
            </w:r>
            <w:r w:rsidRPr="006C3A80">
              <w:rPr>
                <w:rFonts w:asciiTheme="majorHAnsi" w:hAnsiTheme="majorHAnsi"/>
                <w:bCs/>
                <w:sz w:val="19"/>
                <w:szCs w:val="19"/>
                <w:lang w:val="es-ES"/>
              </w:rPr>
              <w:t xml:space="preserve"> Convención Americana (depósito del instrumento realizado el</w:t>
            </w:r>
          </w:p>
          <w:p w:rsidR="003239B8" w:rsidRPr="006C3A80" w:rsidRDefault="00AF0437" w:rsidP="00AF0437">
            <w:pPr>
              <w:jc w:val="both"/>
              <w:rPr>
                <w:rFonts w:asciiTheme="majorHAnsi" w:hAnsiTheme="majorHAnsi"/>
                <w:bCs/>
                <w:sz w:val="19"/>
                <w:szCs w:val="19"/>
                <w:lang w:val="es-ES"/>
              </w:rPr>
            </w:pPr>
            <w:r w:rsidRPr="006C3A80">
              <w:rPr>
                <w:rFonts w:asciiTheme="majorHAnsi" w:hAnsiTheme="majorHAnsi"/>
                <w:bCs/>
                <w:sz w:val="19"/>
                <w:szCs w:val="19"/>
                <w:lang w:val="es-ES"/>
              </w:rPr>
              <w:t>31 de julio de 1973)</w:t>
            </w:r>
          </w:p>
        </w:tc>
      </w:tr>
    </w:tbl>
    <w:p w:rsidR="003239B8" w:rsidRPr="006C3A80" w:rsidRDefault="003239B8" w:rsidP="003239B8">
      <w:pPr>
        <w:spacing w:before="240" w:after="240"/>
        <w:ind w:firstLine="720"/>
        <w:jc w:val="both"/>
        <w:rPr>
          <w:rFonts w:asciiTheme="majorHAnsi" w:hAnsiTheme="majorHAnsi"/>
          <w:b/>
          <w:bCs/>
          <w:sz w:val="19"/>
          <w:szCs w:val="19"/>
          <w:lang w:val="es-ES"/>
        </w:rPr>
      </w:pPr>
      <w:r w:rsidRPr="006C3A80">
        <w:rPr>
          <w:rFonts w:asciiTheme="majorHAnsi" w:hAnsiTheme="majorHAnsi"/>
          <w:b/>
          <w:bCs/>
          <w:sz w:val="19"/>
          <w:szCs w:val="19"/>
          <w:lang w:val="es-ES"/>
        </w:rPr>
        <w:t xml:space="preserve">IV. </w:t>
      </w:r>
      <w:r w:rsidRPr="006C3A80">
        <w:rPr>
          <w:rFonts w:asciiTheme="majorHAnsi" w:hAnsiTheme="majorHAnsi"/>
          <w:b/>
          <w:bCs/>
          <w:sz w:val="19"/>
          <w:szCs w:val="19"/>
          <w:lang w:val="es-ES"/>
        </w:rPr>
        <w:tab/>
      </w:r>
      <w:r w:rsidR="00EE00E9" w:rsidRPr="006C3A80">
        <w:rPr>
          <w:rFonts w:asciiTheme="majorHAnsi" w:hAnsiTheme="majorHAnsi"/>
          <w:b/>
          <w:bCs/>
          <w:sz w:val="19"/>
          <w:szCs w:val="19"/>
          <w:lang w:val="es-ES"/>
        </w:rPr>
        <w:t>DUPLICACIÓN</w:t>
      </w:r>
      <w:r w:rsidR="00EE00E9" w:rsidRPr="006C3A80">
        <w:rPr>
          <w:rFonts w:asciiTheme="majorHAnsi" w:hAnsiTheme="majorHAnsi"/>
          <w:b/>
          <w:bCs/>
          <w:color w:val="FFFFFF" w:themeColor="background1"/>
          <w:sz w:val="19"/>
          <w:szCs w:val="19"/>
          <w:lang w:val="es-ES"/>
        </w:rPr>
        <w:t xml:space="preserve"> </w:t>
      </w:r>
      <w:r w:rsidR="00EE00E9" w:rsidRPr="006C3A80">
        <w:rPr>
          <w:rFonts w:asciiTheme="majorHAnsi" w:hAnsiTheme="majorHAnsi"/>
          <w:b/>
          <w:bCs/>
          <w:sz w:val="19"/>
          <w:szCs w:val="19"/>
          <w:lang w:val="es-ES"/>
        </w:rPr>
        <w:t>DE PROCEDIMIENTOS Y COSA JUZGADA</w:t>
      </w:r>
      <w:r w:rsidR="00EE00E9" w:rsidRPr="006C3A80">
        <w:rPr>
          <w:rFonts w:asciiTheme="majorHAnsi" w:hAnsiTheme="majorHAnsi"/>
          <w:b/>
          <w:bCs/>
          <w:i/>
          <w:sz w:val="19"/>
          <w:szCs w:val="19"/>
          <w:lang w:val="es-ES"/>
        </w:rPr>
        <w:t xml:space="preserve"> </w:t>
      </w:r>
      <w:r w:rsidR="00EE00E9" w:rsidRPr="006C3A80">
        <w:rPr>
          <w:rFonts w:asciiTheme="majorHAnsi" w:hAnsiTheme="majorHAnsi"/>
          <w:b/>
          <w:bCs/>
          <w:sz w:val="19"/>
          <w:szCs w:val="19"/>
          <w:lang w:val="es-ES"/>
        </w:rPr>
        <w:t xml:space="preserve">INTERNACIONAL, </w:t>
      </w:r>
      <w:r w:rsidRPr="006C3A80">
        <w:rPr>
          <w:rFonts w:asciiTheme="majorHAnsi" w:hAnsiTheme="majorHAnsi"/>
          <w:b/>
          <w:bCs/>
          <w:sz w:val="19"/>
          <w:szCs w:val="19"/>
          <w:lang w:val="es-ES"/>
        </w:rPr>
        <w:t xml:space="preserve"> CARACTERIZACIÓN, </w:t>
      </w:r>
      <w:r w:rsidRPr="006C3A80">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C3A80" w:rsidTr="004A6A54">
        <w:trPr>
          <w:cantSplit/>
        </w:trPr>
        <w:tc>
          <w:tcPr>
            <w:tcW w:w="3600" w:type="dxa"/>
            <w:tcBorders>
              <w:top w:val="single" w:sz="4" w:space="0" w:color="auto"/>
              <w:bottom w:val="single" w:sz="6" w:space="0" w:color="auto"/>
            </w:tcBorders>
            <w:shd w:val="clear" w:color="auto" w:fill="386294"/>
            <w:vAlign w:val="center"/>
          </w:tcPr>
          <w:p w:rsidR="00EE00E9" w:rsidRPr="006C3A80" w:rsidRDefault="00EE00E9" w:rsidP="008323A4">
            <w:pPr>
              <w:jc w:val="center"/>
              <w:rPr>
                <w:rFonts w:asciiTheme="majorHAnsi" w:hAnsiTheme="majorHAnsi"/>
                <w:b/>
                <w:bCs/>
                <w:color w:val="FFFFFF" w:themeColor="background1"/>
                <w:sz w:val="19"/>
                <w:szCs w:val="19"/>
                <w:lang w:val="es-ES"/>
              </w:rPr>
            </w:pPr>
            <w:r w:rsidRPr="006C3A80">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6C3A80" w:rsidRDefault="00B67B65" w:rsidP="008323A4">
            <w:pPr>
              <w:jc w:val="both"/>
              <w:rPr>
                <w:rFonts w:asciiTheme="majorHAnsi" w:hAnsiTheme="majorHAnsi"/>
                <w:bCs/>
                <w:sz w:val="19"/>
                <w:szCs w:val="19"/>
                <w:lang w:val="es-ES"/>
              </w:rPr>
            </w:pPr>
            <w:r w:rsidRPr="006C3A80">
              <w:rPr>
                <w:rFonts w:asciiTheme="majorHAnsi" w:hAnsiTheme="majorHAnsi"/>
                <w:bCs/>
                <w:sz w:val="19"/>
                <w:szCs w:val="19"/>
                <w:lang w:val="es-ES"/>
              </w:rPr>
              <w:t>No</w:t>
            </w:r>
          </w:p>
        </w:tc>
      </w:tr>
      <w:tr w:rsidR="003239B8" w:rsidRPr="008D4096" w:rsidTr="004A6A54">
        <w:trPr>
          <w:cantSplit/>
        </w:trPr>
        <w:tc>
          <w:tcPr>
            <w:tcW w:w="3600" w:type="dxa"/>
            <w:tcBorders>
              <w:top w:val="single" w:sz="4" w:space="0" w:color="auto"/>
              <w:bottom w:val="single" w:sz="6" w:space="0" w:color="auto"/>
            </w:tcBorders>
            <w:shd w:val="clear" w:color="auto" w:fill="386294"/>
            <w:vAlign w:val="center"/>
          </w:tcPr>
          <w:p w:rsidR="003239B8" w:rsidRPr="006C3A80" w:rsidRDefault="003239B8" w:rsidP="008323A4">
            <w:pPr>
              <w:jc w:val="center"/>
              <w:rPr>
                <w:rFonts w:asciiTheme="majorHAnsi" w:hAnsiTheme="majorHAnsi"/>
                <w:b/>
                <w:bCs/>
                <w:i/>
                <w:color w:val="FFFFFF" w:themeColor="background1"/>
                <w:sz w:val="19"/>
                <w:szCs w:val="19"/>
              </w:rPr>
            </w:pPr>
            <w:r w:rsidRPr="006C3A80">
              <w:rPr>
                <w:rFonts w:asciiTheme="majorHAnsi" w:hAnsiTheme="majorHAnsi"/>
                <w:b/>
                <w:bCs/>
                <w:color w:val="FFFFFF" w:themeColor="background1"/>
                <w:sz w:val="19"/>
                <w:szCs w:val="19"/>
              </w:rPr>
              <w:t xml:space="preserve">Derechos </w:t>
            </w:r>
            <w:proofErr w:type="spellStart"/>
            <w:r w:rsidRPr="006C3A80">
              <w:rPr>
                <w:rFonts w:asciiTheme="majorHAnsi" w:hAnsiTheme="majorHAnsi"/>
                <w:b/>
                <w:bCs/>
                <w:color w:val="FFFFFF" w:themeColor="background1"/>
                <w:sz w:val="19"/>
                <w:szCs w:val="19"/>
              </w:rPr>
              <w:t>declarados</w:t>
            </w:r>
            <w:proofErr w:type="spellEnd"/>
            <w:r w:rsidRPr="006C3A80">
              <w:rPr>
                <w:rFonts w:asciiTheme="majorHAnsi" w:hAnsiTheme="majorHAnsi"/>
                <w:b/>
                <w:bCs/>
                <w:color w:val="FFFFFF" w:themeColor="background1"/>
                <w:sz w:val="19"/>
                <w:szCs w:val="19"/>
              </w:rPr>
              <w:t xml:space="preserve"> </w:t>
            </w:r>
            <w:proofErr w:type="spellStart"/>
            <w:r w:rsidRPr="006C3A80">
              <w:rPr>
                <w:rFonts w:asciiTheme="majorHAnsi" w:hAnsiTheme="majorHAnsi"/>
                <w:b/>
                <w:bCs/>
                <w:color w:val="FFFFFF" w:themeColor="background1"/>
                <w:sz w:val="19"/>
                <w:szCs w:val="19"/>
              </w:rPr>
              <w:t>admisibles</w:t>
            </w:r>
            <w:proofErr w:type="spellEnd"/>
            <w:r w:rsidRPr="006C3A80">
              <w:rPr>
                <w:rFonts w:asciiTheme="majorHAnsi" w:hAnsiTheme="majorHAnsi"/>
                <w:b/>
                <w:bCs/>
                <w:i/>
                <w:color w:val="FFFFFF" w:themeColor="background1"/>
                <w:sz w:val="19"/>
                <w:szCs w:val="19"/>
              </w:rPr>
              <w:t>:</w:t>
            </w:r>
          </w:p>
        </w:tc>
        <w:tc>
          <w:tcPr>
            <w:tcW w:w="5760" w:type="dxa"/>
            <w:vAlign w:val="center"/>
          </w:tcPr>
          <w:p w:rsidR="003239B8" w:rsidRPr="006C3A80" w:rsidRDefault="00BE34F0" w:rsidP="00D6386D">
            <w:pPr>
              <w:jc w:val="both"/>
              <w:rPr>
                <w:rFonts w:asciiTheme="majorHAnsi" w:hAnsiTheme="majorHAnsi"/>
                <w:bCs/>
                <w:sz w:val="19"/>
                <w:szCs w:val="19"/>
                <w:lang w:val="es-AR"/>
              </w:rPr>
            </w:pPr>
            <w:r w:rsidRPr="006C3A80">
              <w:rPr>
                <w:rFonts w:asciiTheme="majorHAnsi" w:hAnsiTheme="majorHAnsi"/>
                <w:sz w:val="19"/>
                <w:szCs w:val="19"/>
                <w:lang w:val="es-AR"/>
              </w:rPr>
              <w:t>A</w:t>
            </w:r>
            <w:proofErr w:type="spellStart"/>
            <w:r w:rsidRPr="006C3A80">
              <w:rPr>
                <w:rFonts w:asciiTheme="majorHAnsi" w:hAnsiTheme="majorHAnsi"/>
                <w:sz w:val="19"/>
                <w:szCs w:val="19"/>
                <w:lang w:val="es-ES"/>
              </w:rPr>
              <w:t>rtículos</w:t>
            </w:r>
            <w:proofErr w:type="spellEnd"/>
            <w:r w:rsidRPr="006C3A80">
              <w:rPr>
                <w:rFonts w:asciiTheme="majorHAnsi" w:hAnsiTheme="majorHAnsi"/>
                <w:sz w:val="19"/>
                <w:szCs w:val="19"/>
                <w:lang w:val="es-ES"/>
              </w:rPr>
              <w:t xml:space="preserve"> </w:t>
            </w:r>
            <w:r w:rsidR="006520D0" w:rsidRPr="006C3A80">
              <w:rPr>
                <w:rFonts w:asciiTheme="majorHAnsi" w:hAnsiTheme="majorHAnsi"/>
                <w:sz w:val="19"/>
                <w:szCs w:val="19"/>
                <w:lang w:val="es-ES"/>
              </w:rPr>
              <w:t xml:space="preserve">3 (reconocimiento de la personalidad jurídica), </w:t>
            </w:r>
            <w:r w:rsidRPr="006C3A80">
              <w:rPr>
                <w:rFonts w:asciiTheme="majorHAnsi" w:hAnsiTheme="majorHAnsi"/>
                <w:sz w:val="19"/>
                <w:szCs w:val="19"/>
                <w:lang w:val="es-ES"/>
              </w:rPr>
              <w:t>4 (vida), 5 (integridad personal),</w:t>
            </w:r>
            <w:r w:rsidR="001301D2" w:rsidRPr="006C3A80">
              <w:rPr>
                <w:rFonts w:asciiTheme="majorHAnsi" w:hAnsiTheme="majorHAnsi"/>
                <w:sz w:val="19"/>
                <w:szCs w:val="19"/>
                <w:lang w:val="es-ES"/>
              </w:rPr>
              <w:t xml:space="preserve"> 7 (libertad personal),</w:t>
            </w:r>
            <w:r w:rsidRPr="006C3A80">
              <w:rPr>
                <w:rFonts w:asciiTheme="majorHAnsi" w:hAnsiTheme="majorHAnsi"/>
                <w:sz w:val="19"/>
                <w:szCs w:val="19"/>
                <w:lang w:val="es-ES"/>
              </w:rPr>
              <w:t xml:space="preserve"> 8 (garantías judiciales),</w:t>
            </w:r>
            <w:r w:rsidR="006147E4" w:rsidRPr="006C3A80">
              <w:rPr>
                <w:rFonts w:asciiTheme="majorHAnsi" w:hAnsiTheme="majorHAnsi"/>
                <w:sz w:val="19"/>
                <w:szCs w:val="19"/>
                <w:lang w:val="es-ES"/>
              </w:rPr>
              <w:t xml:space="preserve"> 11 (protección de la honra y dignidad)</w:t>
            </w:r>
            <w:r w:rsidRPr="006C3A80">
              <w:rPr>
                <w:rFonts w:asciiTheme="majorHAnsi" w:hAnsiTheme="majorHAnsi"/>
                <w:sz w:val="19"/>
                <w:szCs w:val="19"/>
                <w:lang w:val="es-ES"/>
              </w:rPr>
              <w:t xml:space="preserve"> y 25 (protección judicial) de la Convención Americana en relaci</w:t>
            </w:r>
            <w:r w:rsidR="0037045D" w:rsidRPr="006C3A80">
              <w:rPr>
                <w:rFonts w:asciiTheme="majorHAnsi" w:hAnsiTheme="majorHAnsi"/>
                <w:sz w:val="19"/>
                <w:szCs w:val="19"/>
                <w:lang w:val="es-ES"/>
              </w:rPr>
              <w:t>ón con su</w:t>
            </w:r>
            <w:r w:rsidR="002017F7" w:rsidRPr="006C3A80">
              <w:rPr>
                <w:rFonts w:asciiTheme="majorHAnsi" w:hAnsiTheme="majorHAnsi"/>
                <w:sz w:val="19"/>
                <w:szCs w:val="19"/>
                <w:lang w:val="es-ES"/>
              </w:rPr>
              <w:t>s</w:t>
            </w:r>
            <w:r w:rsidR="0037045D" w:rsidRPr="006C3A80">
              <w:rPr>
                <w:rFonts w:asciiTheme="majorHAnsi" w:hAnsiTheme="majorHAnsi"/>
                <w:sz w:val="19"/>
                <w:szCs w:val="19"/>
                <w:lang w:val="es-ES"/>
              </w:rPr>
              <w:t xml:space="preserve"> artículo</w:t>
            </w:r>
            <w:r w:rsidRPr="006C3A80">
              <w:rPr>
                <w:rFonts w:asciiTheme="majorHAnsi" w:hAnsiTheme="majorHAnsi"/>
                <w:sz w:val="19"/>
                <w:szCs w:val="19"/>
                <w:lang w:val="es-ES"/>
              </w:rPr>
              <w:t xml:space="preserve"> 1.1 (obligación de respetar los derechos)</w:t>
            </w:r>
            <w:r w:rsidR="002017F7" w:rsidRPr="006C3A80">
              <w:rPr>
                <w:rFonts w:asciiTheme="majorHAnsi" w:hAnsiTheme="majorHAnsi"/>
                <w:sz w:val="19"/>
                <w:szCs w:val="19"/>
                <w:lang w:val="es-ES"/>
              </w:rPr>
              <w:t xml:space="preserve"> y</w:t>
            </w:r>
            <w:r w:rsidR="008577A8" w:rsidRPr="006C3A80">
              <w:rPr>
                <w:rFonts w:asciiTheme="majorHAnsi" w:hAnsiTheme="majorHAnsi"/>
                <w:sz w:val="19"/>
                <w:szCs w:val="19"/>
                <w:lang w:val="es-ES"/>
              </w:rPr>
              <w:t xml:space="preserve"> 2</w:t>
            </w:r>
            <w:r w:rsidR="002017F7" w:rsidRPr="006C3A80">
              <w:rPr>
                <w:rFonts w:asciiTheme="majorHAnsi" w:hAnsiTheme="majorHAnsi"/>
                <w:sz w:val="19"/>
                <w:szCs w:val="19"/>
                <w:lang w:val="es-ES"/>
              </w:rPr>
              <w:t xml:space="preserve"> (obligación de adoptar disposiciones de derecho interno)</w:t>
            </w:r>
          </w:p>
        </w:tc>
      </w:tr>
      <w:tr w:rsidR="003239B8" w:rsidRPr="008D4096" w:rsidTr="004A6A54">
        <w:trPr>
          <w:cantSplit/>
        </w:trPr>
        <w:tc>
          <w:tcPr>
            <w:tcW w:w="3600" w:type="dxa"/>
            <w:tcBorders>
              <w:top w:val="single" w:sz="6" w:space="0" w:color="auto"/>
              <w:bottom w:val="single" w:sz="6" w:space="0" w:color="auto"/>
            </w:tcBorders>
            <w:shd w:val="clear" w:color="auto" w:fill="386294"/>
            <w:vAlign w:val="center"/>
          </w:tcPr>
          <w:p w:rsidR="003239B8" w:rsidRPr="006C3A80" w:rsidRDefault="003239B8" w:rsidP="008323A4">
            <w:pPr>
              <w:jc w:val="center"/>
              <w:rPr>
                <w:rFonts w:asciiTheme="majorHAnsi" w:hAnsiTheme="majorHAnsi"/>
                <w:b/>
                <w:bCs/>
                <w:color w:val="FFFFFF" w:themeColor="background1"/>
                <w:sz w:val="19"/>
                <w:szCs w:val="19"/>
                <w:lang w:val="es-ES"/>
              </w:rPr>
            </w:pPr>
            <w:r w:rsidRPr="006C3A80">
              <w:rPr>
                <w:rFonts w:asciiTheme="majorHAnsi" w:hAnsiTheme="majorHAnsi"/>
                <w:b/>
                <w:bCs/>
                <w:color w:val="FFFFFF" w:themeColor="background1"/>
                <w:sz w:val="19"/>
                <w:szCs w:val="19"/>
                <w:lang w:val="es-ES"/>
              </w:rPr>
              <w:t>Agotamiento de recursos internos</w:t>
            </w:r>
            <w:r w:rsidR="00EE00E9" w:rsidRPr="006C3A80">
              <w:rPr>
                <w:rFonts w:asciiTheme="majorHAnsi" w:hAnsiTheme="majorHAnsi"/>
                <w:b/>
                <w:bCs/>
                <w:color w:val="FFFFFF" w:themeColor="background1"/>
                <w:sz w:val="19"/>
                <w:szCs w:val="19"/>
                <w:lang w:val="es-ES"/>
              </w:rPr>
              <w:t xml:space="preserve"> o procedencia de una excepción</w:t>
            </w:r>
            <w:r w:rsidRPr="006C3A80">
              <w:rPr>
                <w:rFonts w:asciiTheme="majorHAnsi" w:hAnsiTheme="majorHAnsi"/>
                <w:b/>
                <w:bCs/>
                <w:color w:val="FFFFFF" w:themeColor="background1"/>
                <w:sz w:val="19"/>
                <w:szCs w:val="19"/>
                <w:lang w:val="es-ES"/>
              </w:rPr>
              <w:t>:</w:t>
            </w:r>
          </w:p>
        </w:tc>
        <w:tc>
          <w:tcPr>
            <w:tcW w:w="5760" w:type="dxa"/>
            <w:vAlign w:val="center"/>
          </w:tcPr>
          <w:p w:rsidR="003239B8" w:rsidRPr="006C3A80" w:rsidRDefault="00BE34F0" w:rsidP="001301D2">
            <w:pPr>
              <w:rPr>
                <w:rFonts w:asciiTheme="majorHAnsi" w:hAnsiTheme="majorHAnsi"/>
                <w:bCs/>
                <w:sz w:val="19"/>
                <w:szCs w:val="19"/>
                <w:lang w:val="es-ES"/>
              </w:rPr>
            </w:pPr>
            <w:r w:rsidRPr="006C3A80">
              <w:rPr>
                <w:rFonts w:asciiTheme="majorHAnsi" w:hAnsiTheme="majorHAnsi"/>
                <w:bCs/>
                <w:sz w:val="19"/>
                <w:szCs w:val="19"/>
                <w:lang w:val="es-ES"/>
              </w:rPr>
              <w:t xml:space="preserve">Sí, </w:t>
            </w:r>
            <w:r w:rsidR="001301D2" w:rsidRPr="006C3A80">
              <w:rPr>
                <w:rFonts w:asciiTheme="majorHAnsi" w:hAnsiTheme="majorHAnsi"/>
                <w:bCs/>
                <w:sz w:val="19"/>
                <w:szCs w:val="19"/>
                <w:lang w:val="es-ES"/>
              </w:rPr>
              <w:t>en los términos de la sección VI</w:t>
            </w:r>
          </w:p>
        </w:tc>
      </w:tr>
      <w:tr w:rsidR="003239B8" w:rsidRPr="008D4096" w:rsidTr="004A6A54">
        <w:trPr>
          <w:cantSplit/>
        </w:trPr>
        <w:tc>
          <w:tcPr>
            <w:tcW w:w="3600" w:type="dxa"/>
            <w:tcBorders>
              <w:top w:val="single" w:sz="6" w:space="0" w:color="auto"/>
              <w:bottom w:val="single" w:sz="6" w:space="0" w:color="auto"/>
            </w:tcBorders>
            <w:shd w:val="clear" w:color="auto" w:fill="386294"/>
            <w:vAlign w:val="center"/>
          </w:tcPr>
          <w:p w:rsidR="003239B8" w:rsidRPr="006C3A80" w:rsidRDefault="003239B8" w:rsidP="008323A4">
            <w:pPr>
              <w:jc w:val="center"/>
              <w:rPr>
                <w:rFonts w:asciiTheme="majorHAnsi" w:hAnsiTheme="majorHAnsi"/>
                <w:b/>
                <w:bCs/>
                <w:color w:val="FFFFFF" w:themeColor="background1"/>
                <w:sz w:val="19"/>
                <w:szCs w:val="19"/>
              </w:rPr>
            </w:pPr>
            <w:proofErr w:type="spellStart"/>
            <w:r w:rsidRPr="006C3A80">
              <w:rPr>
                <w:rFonts w:asciiTheme="majorHAnsi" w:hAnsiTheme="majorHAnsi"/>
                <w:b/>
                <w:bCs/>
                <w:color w:val="FFFFFF" w:themeColor="background1"/>
                <w:sz w:val="19"/>
                <w:szCs w:val="19"/>
              </w:rPr>
              <w:t>Presentación</w:t>
            </w:r>
            <w:proofErr w:type="spellEnd"/>
            <w:r w:rsidRPr="006C3A80">
              <w:rPr>
                <w:rFonts w:asciiTheme="majorHAnsi" w:hAnsiTheme="majorHAnsi"/>
                <w:b/>
                <w:bCs/>
                <w:color w:val="FFFFFF" w:themeColor="background1"/>
                <w:sz w:val="19"/>
                <w:szCs w:val="19"/>
              </w:rPr>
              <w:t xml:space="preserve"> </w:t>
            </w:r>
            <w:proofErr w:type="spellStart"/>
            <w:r w:rsidRPr="006C3A80">
              <w:rPr>
                <w:rFonts w:asciiTheme="majorHAnsi" w:hAnsiTheme="majorHAnsi"/>
                <w:b/>
                <w:bCs/>
                <w:color w:val="FFFFFF" w:themeColor="background1"/>
                <w:sz w:val="19"/>
                <w:szCs w:val="19"/>
              </w:rPr>
              <w:t>dentro</w:t>
            </w:r>
            <w:proofErr w:type="spellEnd"/>
            <w:r w:rsidRPr="006C3A80">
              <w:rPr>
                <w:rFonts w:asciiTheme="majorHAnsi" w:hAnsiTheme="majorHAnsi"/>
                <w:b/>
                <w:bCs/>
                <w:color w:val="FFFFFF" w:themeColor="background1"/>
                <w:sz w:val="19"/>
                <w:szCs w:val="19"/>
              </w:rPr>
              <w:t xml:space="preserve"> de </w:t>
            </w:r>
            <w:proofErr w:type="spellStart"/>
            <w:r w:rsidRPr="006C3A80">
              <w:rPr>
                <w:rFonts w:asciiTheme="majorHAnsi" w:hAnsiTheme="majorHAnsi"/>
                <w:b/>
                <w:bCs/>
                <w:color w:val="FFFFFF" w:themeColor="background1"/>
                <w:sz w:val="19"/>
                <w:szCs w:val="19"/>
              </w:rPr>
              <w:t>plazo</w:t>
            </w:r>
            <w:proofErr w:type="spellEnd"/>
            <w:r w:rsidRPr="006C3A80">
              <w:rPr>
                <w:rFonts w:asciiTheme="majorHAnsi" w:hAnsiTheme="majorHAnsi"/>
                <w:b/>
                <w:bCs/>
                <w:color w:val="FFFFFF" w:themeColor="background1"/>
                <w:sz w:val="19"/>
                <w:szCs w:val="19"/>
              </w:rPr>
              <w:t>:</w:t>
            </w:r>
          </w:p>
        </w:tc>
        <w:tc>
          <w:tcPr>
            <w:tcW w:w="5760" w:type="dxa"/>
            <w:vAlign w:val="center"/>
          </w:tcPr>
          <w:p w:rsidR="003239B8" w:rsidRPr="006C3A80" w:rsidRDefault="0037045D" w:rsidP="008323A4">
            <w:pPr>
              <w:rPr>
                <w:rFonts w:asciiTheme="majorHAnsi" w:hAnsiTheme="majorHAnsi"/>
                <w:bCs/>
                <w:sz w:val="19"/>
                <w:szCs w:val="19"/>
                <w:lang w:val="es-AR"/>
              </w:rPr>
            </w:pPr>
            <w:r w:rsidRPr="006C3A80">
              <w:rPr>
                <w:rFonts w:asciiTheme="majorHAnsi" w:hAnsiTheme="majorHAnsi"/>
                <w:bCs/>
                <w:sz w:val="19"/>
                <w:szCs w:val="19"/>
                <w:lang w:val="es-AR"/>
              </w:rPr>
              <w:t xml:space="preserve">Sí, en los </w:t>
            </w:r>
            <w:r w:rsidR="00CA3EB4" w:rsidRPr="006C3A80">
              <w:rPr>
                <w:rFonts w:asciiTheme="majorHAnsi" w:hAnsiTheme="majorHAnsi"/>
                <w:bCs/>
                <w:sz w:val="19"/>
                <w:szCs w:val="19"/>
                <w:lang w:val="es-AR"/>
              </w:rPr>
              <w:t>términos</w:t>
            </w:r>
            <w:r w:rsidRPr="006C3A80">
              <w:rPr>
                <w:rFonts w:asciiTheme="majorHAnsi" w:hAnsiTheme="majorHAnsi"/>
                <w:bCs/>
                <w:sz w:val="19"/>
                <w:szCs w:val="19"/>
                <w:lang w:val="es-AR"/>
              </w:rPr>
              <w:t xml:space="preserve"> de la sección VI</w:t>
            </w:r>
          </w:p>
        </w:tc>
      </w:tr>
    </w:tbl>
    <w:p w:rsidR="008D4096" w:rsidRDefault="008D4096" w:rsidP="003239B8">
      <w:pPr>
        <w:spacing w:before="240" w:after="240"/>
        <w:ind w:firstLine="720"/>
        <w:jc w:val="both"/>
        <w:rPr>
          <w:rFonts w:asciiTheme="majorHAnsi" w:hAnsiTheme="majorHAnsi"/>
          <w:b/>
          <w:sz w:val="20"/>
          <w:szCs w:val="20"/>
          <w:lang w:val="es-UY"/>
        </w:rPr>
      </w:pPr>
    </w:p>
    <w:p w:rsidR="003239B8" w:rsidRPr="00896F1A" w:rsidRDefault="00223A29" w:rsidP="003239B8">
      <w:pPr>
        <w:spacing w:before="240" w:after="240"/>
        <w:ind w:firstLine="720"/>
        <w:jc w:val="both"/>
        <w:rPr>
          <w:rFonts w:asciiTheme="majorHAnsi" w:hAnsiTheme="majorHAnsi"/>
          <w:b/>
          <w:sz w:val="20"/>
          <w:szCs w:val="20"/>
          <w:lang w:val="es-UY"/>
        </w:rPr>
      </w:pPr>
      <w:r w:rsidRPr="00896F1A">
        <w:rPr>
          <w:rFonts w:asciiTheme="majorHAnsi" w:hAnsiTheme="majorHAnsi"/>
          <w:b/>
          <w:sz w:val="20"/>
          <w:szCs w:val="20"/>
          <w:lang w:val="es-UY"/>
        </w:rPr>
        <w:lastRenderedPageBreak/>
        <w:t xml:space="preserve">V. </w:t>
      </w:r>
      <w:r w:rsidRPr="00896F1A">
        <w:rPr>
          <w:rFonts w:asciiTheme="majorHAnsi" w:hAnsiTheme="majorHAnsi"/>
          <w:b/>
          <w:sz w:val="20"/>
          <w:szCs w:val="20"/>
          <w:lang w:val="es-UY"/>
        </w:rPr>
        <w:tab/>
      </w:r>
      <w:r w:rsidR="003239B8" w:rsidRPr="00896F1A">
        <w:rPr>
          <w:rFonts w:asciiTheme="majorHAnsi" w:hAnsiTheme="majorHAnsi"/>
          <w:b/>
          <w:sz w:val="20"/>
          <w:szCs w:val="20"/>
          <w:lang w:val="es-UY"/>
        </w:rPr>
        <w:t xml:space="preserve">HECHOS ALEGADOS </w:t>
      </w:r>
    </w:p>
    <w:p w:rsidR="00594827" w:rsidRDefault="00A977FD" w:rsidP="00594827">
      <w:pPr>
        <w:pStyle w:val="ListParagraph"/>
        <w:numPr>
          <w:ilvl w:val="0"/>
          <w:numId w:val="55"/>
        </w:numPr>
        <w:jc w:val="both"/>
        <w:rPr>
          <w:rFonts w:eastAsia="Arial Unicode MS" w:cs="Times New Roman"/>
          <w:color w:val="auto"/>
          <w:sz w:val="20"/>
          <w:szCs w:val="20"/>
          <w:lang w:val="es-AR" w:eastAsia="en-US"/>
        </w:rPr>
      </w:pPr>
      <w:r>
        <w:rPr>
          <w:rFonts w:eastAsia="Arial Unicode MS" w:cs="Times New Roman"/>
          <w:color w:val="auto"/>
          <w:sz w:val="20"/>
          <w:szCs w:val="20"/>
          <w:lang w:val="es-AR" w:eastAsia="en-US"/>
        </w:rPr>
        <w:t xml:space="preserve">La petición </w:t>
      </w:r>
      <w:r w:rsidR="00594827" w:rsidRPr="00663BBB">
        <w:rPr>
          <w:rFonts w:eastAsia="Arial Unicode MS" w:cs="Times New Roman"/>
          <w:color w:val="auto"/>
          <w:sz w:val="20"/>
          <w:szCs w:val="20"/>
          <w:lang w:val="es-AR" w:eastAsia="en-US"/>
        </w:rPr>
        <w:t xml:space="preserve">denuncia presuntas violaciones a los derechos humanos de </w:t>
      </w:r>
      <w:proofErr w:type="spellStart"/>
      <w:r w:rsidR="00594827" w:rsidRPr="00663BBB">
        <w:rPr>
          <w:rFonts w:eastAsia="Arial Unicode MS" w:cs="Times New Roman"/>
          <w:color w:val="auto"/>
          <w:sz w:val="20"/>
          <w:szCs w:val="20"/>
          <w:lang w:val="es-AR" w:eastAsia="en-US"/>
        </w:rPr>
        <w:t>Hawin</w:t>
      </w:r>
      <w:proofErr w:type="spellEnd"/>
      <w:r w:rsidR="00594827" w:rsidRPr="00663BBB">
        <w:rPr>
          <w:rFonts w:eastAsia="Arial Unicode MS" w:cs="Times New Roman"/>
          <w:color w:val="auto"/>
          <w:sz w:val="20"/>
          <w:szCs w:val="20"/>
          <w:lang w:val="es-AR" w:eastAsia="en-US"/>
        </w:rPr>
        <w:t xml:space="preserve"> Parra Rentería (en adelante la “presunta v</w:t>
      </w:r>
      <w:r w:rsidR="00594827">
        <w:rPr>
          <w:rFonts w:eastAsia="Arial Unicode MS" w:cs="Times New Roman"/>
          <w:color w:val="auto"/>
          <w:sz w:val="20"/>
          <w:szCs w:val="20"/>
          <w:lang w:val="es-AR" w:eastAsia="en-US"/>
        </w:rPr>
        <w:t xml:space="preserve">íctima” o “el señor Rentería”) </w:t>
      </w:r>
      <w:r w:rsidR="00594827" w:rsidRPr="00663BBB">
        <w:rPr>
          <w:rFonts w:eastAsia="Arial Unicode MS" w:cs="Times New Roman"/>
          <w:color w:val="auto"/>
          <w:sz w:val="20"/>
          <w:szCs w:val="20"/>
          <w:lang w:val="es-AR" w:eastAsia="en-US"/>
        </w:rPr>
        <w:t xml:space="preserve">y su familia, aduciendo que el señor Rentería fue asesinado por miembros del Ejército Nacional de Colombia, </w:t>
      </w:r>
      <w:r w:rsidR="00746C92">
        <w:rPr>
          <w:rFonts w:eastAsia="Arial Unicode MS" w:cs="Times New Roman"/>
          <w:color w:val="auto"/>
          <w:sz w:val="20"/>
          <w:szCs w:val="20"/>
          <w:lang w:val="es-AR" w:eastAsia="en-US"/>
        </w:rPr>
        <w:t>quienes lo hicieron pasar por “</w:t>
      </w:r>
      <w:r w:rsidR="00526A50">
        <w:rPr>
          <w:rFonts w:eastAsia="Arial Unicode MS" w:cs="Times New Roman"/>
          <w:color w:val="auto"/>
          <w:sz w:val="20"/>
          <w:szCs w:val="20"/>
          <w:lang w:val="es-AR" w:eastAsia="en-US"/>
        </w:rPr>
        <w:t>peligroso extorsionista</w:t>
      </w:r>
      <w:r w:rsidR="006C3A80">
        <w:rPr>
          <w:rFonts w:eastAsia="Arial Unicode MS" w:cs="Times New Roman"/>
          <w:color w:val="auto"/>
          <w:sz w:val="20"/>
          <w:szCs w:val="20"/>
          <w:lang w:val="es-AR" w:eastAsia="en-US"/>
        </w:rPr>
        <w:t>,</w:t>
      </w:r>
      <w:r w:rsidR="00746C92">
        <w:rPr>
          <w:rFonts w:eastAsia="Arial Unicode MS" w:cs="Times New Roman"/>
          <w:color w:val="auto"/>
          <w:sz w:val="20"/>
          <w:szCs w:val="20"/>
          <w:lang w:val="es-AR" w:eastAsia="en-US"/>
        </w:rPr>
        <w:t xml:space="preserve">” </w:t>
      </w:r>
      <w:r w:rsidR="00594827" w:rsidRPr="00663BBB">
        <w:rPr>
          <w:rFonts w:eastAsia="Arial Unicode MS" w:cs="Times New Roman"/>
          <w:color w:val="auto"/>
          <w:sz w:val="20"/>
          <w:szCs w:val="20"/>
          <w:lang w:val="es-AR" w:eastAsia="en-US"/>
        </w:rPr>
        <w:t xml:space="preserve">y que el Estado no ha actuado diligentemente para reparar el daño sufrido por la familia y sancionar a los responsables, produciéndose una situación de impunidad. </w:t>
      </w:r>
    </w:p>
    <w:p w:rsidR="00594827" w:rsidRDefault="00594827" w:rsidP="00594827">
      <w:pPr>
        <w:pStyle w:val="ListParagraph"/>
        <w:jc w:val="both"/>
        <w:rPr>
          <w:rFonts w:eastAsia="Arial Unicode MS" w:cs="Times New Roman"/>
          <w:color w:val="auto"/>
          <w:sz w:val="20"/>
          <w:szCs w:val="20"/>
          <w:lang w:val="es-AR" w:eastAsia="en-US"/>
        </w:rPr>
      </w:pPr>
    </w:p>
    <w:p w:rsidR="00594827" w:rsidRDefault="00594827" w:rsidP="00594827">
      <w:pPr>
        <w:pStyle w:val="ListParagraph"/>
        <w:numPr>
          <w:ilvl w:val="0"/>
          <w:numId w:val="55"/>
        </w:numPr>
        <w:jc w:val="both"/>
        <w:rPr>
          <w:rFonts w:eastAsia="Arial Unicode MS" w:cs="Times New Roman"/>
          <w:color w:val="auto"/>
          <w:sz w:val="20"/>
          <w:szCs w:val="20"/>
          <w:lang w:val="es-AR" w:eastAsia="en-US"/>
        </w:rPr>
      </w:pPr>
      <w:r>
        <w:rPr>
          <w:rFonts w:eastAsia="Arial Unicode MS" w:cs="Times New Roman"/>
          <w:color w:val="auto"/>
          <w:sz w:val="20"/>
          <w:szCs w:val="20"/>
          <w:lang w:val="es-AR" w:eastAsia="en-US"/>
        </w:rPr>
        <w:t>El peticionario indica que la presunta víctima</w:t>
      </w:r>
      <w:r>
        <w:rPr>
          <w:rFonts w:eastAsia="Arial Unicode MS" w:cs="Times New Roman"/>
          <w:color w:val="auto"/>
          <w:sz w:val="20"/>
          <w:szCs w:val="20"/>
          <w:lang w:val="es-PA" w:eastAsia="en-US"/>
        </w:rPr>
        <w:t xml:space="preserve"> era un joven afrodescendiente de </w:t>
      </w:r>
      <w:r w:rsidR="007F6E87">
        <w:rPr>
          <w:rFonts w:eastAsia="Arial Unicode MS" w:cs="Times New Roman"/>
          <w:color w:val="auto"/>
          <w:sz w:val="20"/>
          <w:szCs w:val="20"/>
          <w:lang w:val="es-PA" w:eastAsia="en-US"/>
        </w:rPr>
        <w:t xml:space="preserve">dieciocho </w:t>
      </w:r>
      <w:r>
        <w:rPr>
          <w:rFonts w:eastAsia="Arial Unicode MS" w:cs="Times New Roman"/>
          <w:color w:val="auto"/>
          <w:sz w:val="20"/>
          <w:szCs w:val="20"/>
          <w:lang w:val="es-PA" w:eastAsia="en-US"/>
        </w:rPr>
        <w:t xml:space="preserve">años, quien desapareció el 27 de abril de 2007 luego de acudir al parque de San Antonio de Medellín para averiguar </w:t>
      </w:r>
      <w:r w:rsidR="006147E4">
        <w:rPr>
          <w:rFonts w:eastAsia="Arial Unicode MS" w:cs="Times New Roman"/>
          <w:color w:val="auto"/>
          <w:sz w:val="20"/>
          <w:szCs w:val="20"/>
          <w:lang w:val="es-PA" w:eastAsia="en-US"/>
        </w:rPr>
        <w:t xml:space="preserve">sobre oportunidades de empleo. </w:t>
      </w:r>
      <w:r>
        <w:rPr>
          <w:rFonts w:eastAsia="Arial Unicode MS" w:cs="Times New Roman"/>
          <w:color w:val="auto"/>
          <w:sz w:val="20"/>
          <w:szCs w:val="20"/>
          <w:lang w:val="es-PA" w:eastAsia="en-US"/>
        </w:rPr>
        <w:t>Señala que el señor Rentería residía con su tía</w:t>
      </w:r>
      <w:r w:rsidR="00D90EDF">
        <w:rPr>
          <w:rFonts w:eastAsia="Arial Unicode MS" w:cs="Times New Roman"/>
          <w:color w:val="auto"/>
          <w:sz w:val="20"/>
          <w:szCs w:val="20"/>
          <w:lang w:val="es-PA" w:eastAsia="en-US"/>
        </w:rPr>
        <w:t>,</w:t>
      </w:r>
      <w:r>
        <w:rPr>
          <w:rFonts w:eastAsia="Arial Unicode MS" w:cs="Times New Roman"/>
          <w:color w:val="auto"/>
          <w:sz w:val="20"/>
          <w:szCs w:val="20"/>
          <w:lang w:val="es-PA" w:eastAsia="en-US"/>
        </w:rPr>
        <w:t xml:space="preserve"> Dina Luz Parra quien, al percatarse que éste no regresó, intentó averiguar su paradero. </w:t>
      </w:r>
      <w:r w:rsidR="00526A50">
        <w:rPr>
          <w:rFonts w:eastAsia="Arial Unicode MS" w:cs="Times New Roman"/>
          <w:color w:val="auto"/>
          <w:sz w:val="20"/>
          <w:szCs w:val="20"/>
          <w:lang w:val="es-PA" w:eastAsia="en-US"/>
        </w:rPr>
        <w:t>L</w:t>
      </w:r>
      <w:r>
        <w:rPr>
          <w:rFonts w:eastAsia="Arial Unicode MS" w:cs="Times New Roman"/>
          <w:color w:val="auto"/>
          <w:sz w:val="20"/>
          <w:szCs w:val="20"/>
          <w:lang w:val="es-PA" w:eastAsia="en-US"/>
        </w:rPr>
        <w:t>os padres del señor Rentería se sumaron a la búsqueda, la que continuó infructuosa hasta que varios días después recibieron una llamada notificándoles que el cadáver se encontraba en la morgue municipal de Girardota-Antioquía.</w:t>
      </w:r>
      <w:r w:rsidR="006147E4">
        <w:rPr>
          <w:rFonts w:eastAsia="Arial Unicode MS" w:cs="Times New Roman"/>
          <w:color w:val="auto"/>
          <w:sz w:val="20"/>
          <w:szCs w:val="20"/>
          <w:lang w:val="es-PA" w:eastAsia="en-US"/>
        </w:rPr>
        <w:t xml:space="preserve"> </w:t>
      </w:r>
    </w:p>
    <w:p w:rsidR="00594827" w:rsidRDefault="00594827" w:rsidP="00594827">
      <w:pPr>
        <w:pStyle w:val="ListParagraph"/>
        <w:jc w:val="both"/>
        <w:rPr>
          <w:rFonts w:eastAsia="Arial Unicode MS" w:cs="Times New Roman"/>
          <w:color w:val="auto"/>
          <w:sz w:val="20"/>
          <w:szCs w:val="20"/>
          <w:lang w:val="es-AR" w:eastAsia="en-US"/>
        </w:rPr>
      </w:pPr>
    </w:p>
    <w:p w:rsidR="00594827" w:rsidRDefault="006C3A80" w:rsidP="00594827">
      <w:pPr>
        <w:pStyle w:val="ListParagraph"/>
        <w:numPr>
          <w:ilvl w:val="0"/>
          <w:numId w:val="55"/>
        </w:numPr>
        <w:jc w:val="both"/>
        <w:rPr>
          <w:rFonts w:eastAsia="Arial Unicode MS" w:cs="Times New Roman"/>
          <w:color w:val="auto"/>
          <w:sz w:val="20"/>
          <w:szCs w:val="20"/>
          <w:lang w:val="es-AR" w:eastAsia="en-US"/>
        </w:rPr>
      </w:pPr>
      <w:r>
        <w:rPr>
          <w:rFonts w:eastAsia="Arial Unicode MS" w:cs="Times New Roman"/>
          <w:color w:val="auto"/>
          <w:sz w:val="20"/>
          <w:szCs w:val="20"/>
          <w:lang w:val="es-PA" w:eastAsia="en-US"/>
        </w:rPr>
        <w:t xml:space="preserve">Agrega que la Fiscalía de Medellín les informó que el cadáver fue encontrado en Girardota, siendo las 10 de la noche del 27 de abril de 2007, custodiado por soldados y junto al cuerpo sin vida de un joven de diecisiete años.  </w:t>
      </w:r>
      <w:r w:rsidR="00594827">
        <w:rPr>
          <w:rFonts w:eastAsia="Arial Unicode MS" w:cs="Times New Roman"/>
          <w:color w:val="auto"/>
          <w:sz w:val="20"/>
          <w:szCs w:val="20"/>
          <w:lang w:val="es-AR" w:eastAsia="en-US"/>
        </w:rPr>
        <w:t xml:space="preserve">Señala que los efectivos del ejército nacional adujeron que se encontraban en el área como parte de la misión táctica “Autoridad” encaminada a combatir las bandas delincuenciales en el sector, y que ocasionaron la muerte de la presunta víctima y el otro joven al responder </w:t>
      </w:r>
      <w:r w:rsidR="00746C92">
        <w:rPr>
          <w:rFonts w:eastAsia="Arial Unicode MS" w:cs="Times New Roman"/>
          <w:color w:val="auto"/>
          <w:sz w:val="20"/>
          <w:szCs w:val="20"/>
          <w:lang w:val="es-AR" w:eastAsia="en-US"/>
        </w:rPr>
        <w:t>a detonaciones de</w:t>
      </w:r>
      <w:r w:rsidR="006147E4">
        <w:rPr>
          <w:rFonts w:eastAsia="Arial Unicode MS" w:cs="Times New Roman"/>
          <w:color w:val="auto"/>
          <w:sz w:val="20"/>
          <w:szCs w:val="20"/>
          <w:lang w:val="es-AR" w:eastAsia="en-US"/>
        </w:rPr>
        <w:t xml:space="preserve"> disparos en su contra.</w:t>
      </w:r>
      <w:r w:rsidR="00594827">
        <w:rPr>
          <w:rFonts w:eastAsia="Arial Unicode MS" w:cs="Times New Roman"/>
          <w:color w:val="auto"/>
          <w:sz w:val="20"/>
          <w:szCs w:val="20"/>
          <w:lang w:val="es-AR" w:eastAsia="en-US"/>
        </w:rPr>
        <w:t xml:space="preserve"> Alega que, en realidad, la muerte se trató de un asesinato en persona protegida</w:t>
      </w:r>
      <w:r w:rsidR="00446FCA">
        <w:rPr>
          <w:rFonts w:eastAsia="Arial Unicode MS" w:cs="Times New Roman"/>
          <w:color w:val="auto"/>
          <w:sz w:val="20"/>
          <w:szCs w:val="20"/>
          <w:lang w:val="es-AR" w:eastAsia="en-US"/>
        </w:rPr>
        <w:t xml:space="preserve"> (</w:t>
      </w:r>
      <w:r w:rsidR="00154535">
        <w:rPr>
          <w:rFonts w:eastAsia="Arial Unicode MS" w:cs="Times New Roman"/>
          <w:color w:val="auto"/>
          <w:sz w:val="20"/>
          <w:szCs w:val="20"/>
          <w:lang w:val="es-AR" w:eastAsia="en-US"/>
        </w:rPr>
        <w:t>que no participa en hostilidades</w:t>
      </w:r>
      <w:r w:rsidR="00B70A5A">
        <w:rPr>
          <w:rFonts w:eastAsia="Arial Unicode MS" w:cs="Times New Roman"/>
          <w:color w:val="auto"/>
          <w:sz w:val="20"/>
          <w:szCs w:val="20"/>
          <w:lang w:val="es-AR" w:eastAsia="en-US"/>
        </w:rPr>
        <w:t xml:space="preserve"> durante </w:t>
      </w:r>
      <w:r w:rsidR="00446FCA">
        <w:rPr>
          <w:rFonts w:eastAsia="Arial Unicode MS" w:cs="Times New Roman"/>
          <w:color w:val="auto"/>
          <w:sz w:val="20"/>
          <w:szCs w:val="20"/>
          <w:lang w:val="es-AR" w:eastAsia="en-US"/>
        </w:rPr>
        <w:t>el</w:t>
      </w:r>
      <w:r w:rsidR="00B70A5A">
        <w:rPr>
          <w:rFonts w:eastAsia="Arial Unicode MS" w:cs="Times New Roman"/>
          <w:color w:val="auto"/>
          <w:sz w:val="20"/>
          <w:szCs w:val="20"/>
          <w:lang w:val="es-AR" w:eastAsia="en-US"/>
        </w:rPr>
        <w:t xml:space="preserve"> conflicto armado</w:t>
      </w:r>
      <w:r w:rsidR="00446FCA">
        <w:rPr>
          <w:rFonts w:eastAsia="Arial Unicode MS" w:cs="Times New Roman"/>
          <w:color w:val="auto"/>
          <w:sz w:val="20"/>
          <w:szCs w:val="20"/>
          <w:lang w:val="es-AR" w:eastAsia="en-US"/>
        </w:rPr>
        <w:t>)</w:t>
      </w:r>
      <w:r w:rsidR="00594827">
        <w:rPr>
          <w:rFonts w:eastAsia="Arial Unicode MS" w:cs="Times New Roman"/>
          <w:color w:val="auto"/>
          <w:sz w:val="20"/>
          <w:szCs w:val="20"/>
          <w:lang w:val="es-AR" w:eastAsia="en-US"/>
        </w:rPr>
        <w:t xml:space="preserve"> y que el ejército presentó a la presunta víctima “como un peligroso extorsionista dado de baja en combate” y le colocó un arma de corto alcance a lado de su cuerpo, pese a tener pleno conocimiento que las personas asesinadas no eran antisociales y que no se trataba de bajas en combate. Agrega que la presunta víctima no tenía antecedentes penales ni razón para visitar Girardota. Aduce que las acciones del ejército en este caso se ajustan con el </w:t>
      </w:r>
      <w:r w:rsidR="00594827" w:rsidRPr="00446FCA">
        <w:rPr>
          <w:rFonts w:eastAsia="Arial Unicode MS" w:cs="Times New Roman"/>
          <w:i/>
          <w:color w:val="auto"/>
          <w:sz w:val="20"/>
          <w:szCs w:val="20"/>
          <w:lang w:val="es-AR" w:eastAsia="en-US"/>
        </w:rPr>
        <w:t>modus operandi</w:t>
      </w:r>
      <w:r w:rsidR="00594827">
        <w:rPr>
          <w:rFonts w:eastAsia="Arial Unicode MS" w:cs="Times New Roman"/>
          <w:color w:val="auto"/>
          <w:sz w:val="20"/>
          <w:szCs w:val="20"/>
          <w:lang w:val="es-AR" w:eastAsia="en-US"/>
        </w:rPr>
        <w:t xml:space="preserve"> conocido en Colombia como “falsos positivos” o “ejecuciones extrajudiciales”. </w:t>
      </w:r>
    </w:p>
    <w:p w:rsidR="00594827" w:rsidRDefault="00594827" w:rsidP="00594827">
      <w:pPr>
        <w:pStyle w:val="ListParagraph"/>
        <w:rPr>
          <w:rFonts w:eastAsia="Arial Unicode MS" w:cs="Times New Roman"/>
          <w:color w:val="auto"/>
          <w:sz w:val="20"/>
          <w:szCs w:val="20"/>
          <w:lang w:val="es-AR" w:eastAsia="en-US"/>
        </w:rPr>
      </w:pPr>
    </w:p>
    <w:p w:rsidR="00594827" w:rsidRDefault="00594827" w:rsidP="00594827">
      <w:pPr>
        <w:pStyle w:val="ListParagraph"/>
        <w:numPr>
          <w:ilvl w:val="0"/>
          <w:numId w:val="55"/>
        </w:numPr>
        <w:jc w:val="both"/>
        <w:rPr>
          <w:rFonts w:eastAsia="Arial Unicode MS" w:cs="Times New Roman"/>
          <w:color w:val="auto"/>
          <w:sz w:val="20"/>
          <w:szCs w:val="20"/>
          <w:lang w:val="es-AR" w:eastAsia="en-US"/>
        </w:rPr>
      </w:pPr>
      <w:r>
        <w:rPr>
          <w:rFonts w:eastAsia="Arial Unicode MS" w:cs="Times New Roman"/>
          <w:color w:val="auto"/>
          <w:sz w:val="20"/>
          <w:szCs w:val="20"/>
          <w:lang w:val="es-AR" w:eastAsia="en-US"/>
        </w:rPr>
        <w:t xml:space="preserve">En </w:t>
      </w:r>
      <w:r w:rsidR="00526A50">
        <w:rPr>
          <w:rFonts w:eastAsia="Arial Unicode MS" w:cs="Times New Roman"/>
          <w:color w:val="auto"/>
          <w:sz w:val="20"/>
          <w:szCs w:val="20"/>
          <w:lang w:val="es-AR" w:eastAsia="en-US"/>
        </w:rPr>
        <w:t>cuanto a las investigaciones, el peticionario indica que ha</w:t>
      </w:r>
      <w:r w:rsidR="00AE1DDF">
        <w:rPr>
          <w:rFonts w:eastAsia="Arial Unicode MS" w:cs="Times New Roman"/>
          <w:color w:val="auto"/>
          <w:sz w:val="20"/>
          <w:szCs w:val="20"/>
          <w:lang w:val="es-AR" w:eastAsia="en-US"/>
        </w:rPr>
        <w:t xml:space="preserve"> habido algunas confesiones pero que </w:t>
      </w:r>
      <w:r w:rsidR="00FE6A60">
        <w:rPr>
          <w:rFonts w:eastAsia="Arial Unicode MS" w:cs="Times New Roman"/>
          <w:color w:val="auto"/>
          <w:sz w:val="20"/>
          <w:szCs w:val="20"/>
          <w:lang w:val="es-AR" w:eastAsia="en-US"/>
        </w:rPr>
        <w:t>los avances han sido</w:t>
      </w:r>
      <w:r>
        <w:rPr>
          <w:rFonts w:eastAsia="Arial Unicode MS" w:cs="Times New Roman"/>
          <w:color w:val="auto"/>
          <w:sz w:val="20"/>
          <w:szCs w:val="20"/>
          <w:lang w:val="es-AR" w:eastAsia="en-US"/>
        </w:rPr>
        <w:t xml:space="preserve"> insuficiente</w:t>
      </w:r>
      <w:r w:rsidR="00446FCA">
        <w:rPr>
          <w:rFonts w:eastAsia="Arial Unicode MS" w:cs="Times New Roman"/>
          <w:color w:val="auto"/>
          <w:sz w:val="20"/>
          <w:szCs w:val="20"/>
          <w:lang w:val="es-AR" w:eastAsia="en-US"/>
        </w:rPr>
        <w:t>s</w:t>
      </w:r>
      <w:r>
        <w:rPr>
          <w:rFonts w:eastAsia="Arial Unicode MS" w:cs="Times New Roman"/>
          <w:color w:val="auto"/>
          <w:sz w:val="20"/>
          <w:szCs w:val="20"/>
          <w:lang w:val="es-AR" w:eastAsia="en-US"/>
        </w:rPr>
        <w:t xml:space="preserve"> porque</w:t>
      </w:r>
      <w:r w:rsidR="00446FCA">
        <w:rPr>
          <w:rFonts w:eastAsia="Arial Unicode MS" w:cs="Times New Roman"/>
          <w:color w:val="auto"/>
          <w:sz w:val="20"/>
          <w:szCs w:val="20"/>
          <w:lang w:val="es-AR" w:eastAsia="en-US"/>
        </w:rPr>
        <w:t xml:space="preserve"> aún </w:t>
      </w:r>
      <w:r>
        <w:rPr>
          <w:rFonts w:eastAsia="Arial Unicode MS" w:cs="Times New Roman"/>
          <w:color w:val="auto"/>
          <w:sz w:val="20"/>
          <w:szCs w:val="20"/>
          <w:lang w:val="es-AR" w:eastAsia="en-US"/>
        </w:rPr>
        <w:t xml:space="preserve">no se ha producido “un resultado tangible que permita a las víctimas obtener un mayor grado de acercamiento a la verdad en cuanto a los autores intelectuales de los hechos, su motivación y premeditación, en el marco de la sistematicidad”. </w:t>
      </w:r>
      <w:r w:rsidR="00446FCA">
        <w:rPr>
          <w:rFonts w:eastAsia="Arial Unicode MS" w:cs="Times New Roman"/>
          <w:color w:val="auto"/>
          <w:sz w:val="20"/>
          <w:szCs w:val="20"/>
          <w:lang w:val="es-AR" w:eastAsia="en-US"/>
        </w:rPr>
        <w:t xml:space="preserve"> </w:t>
      </w:r>
      <w:r>
        <w:rPr>
          <w:rFonts w:eastAsia="Arial Unicode MS" w:cs="Times New Roman"/>
          <w:color w:val="auto"/>
          <w:sz w:val="20"/>
          <w:szCs w:val="20"/>
          <w:lang w:val="es-AR" w:eastAsia="en-US"/>
        </w:rPr>
        <w:t>También señala que el 10 de diciembre de 2014 el Tribunal Administrativo de Antioquía declaró administrativamente responsable al Ministerio de Defensa-Ejercito Nacional por la muerte del señor Rentería y ordenó el pago de indemnizaciones pecuniarias, pero que esta institución no ha hecho efectivo el pago alegando falta de presupuesto y cumplimiento de turnos.</w:t>
      </w:r>
      <w:r w:rsidR="00FE6A60">
        <w:rPr>
          <w:rFonts w:eastAsia="Arial Unicode MS" w:cs="Times New Roman"/>
          <w:color w:val="auto"/>
          <w:sz w:val="20"/>
          <w:szCs w:val="20"/>
          <w:lang w:val="es-AR" w:eastAsia="en-US"/>
        </w:rPr>
        <w:t xml:space="preserve"> </w:t>
      </w:r>
      <w:r w:rsidR="00FE6A60" w:rsidRPr="00446FCA">
        <w:rPr>
          <w:rFonts w:eastAsia="Arial Unicode MS" w:cs="Times New Roman"/>
          <w:color w:val="auto"/>
          <w:sz w:val="20"/>
          <w:szCs w:val="20"/>
          <w:lang w:val="es-AR" w:eastAsia="en-US"/>
        </w:rPr>
        <w:t>Además de que no ha sido cumplida,</w:t>
      </w:r>
      <w:r w:rsidR="00A26E35" w:rsidRPr="00446FCA">
        <w:rPr>
          <w:rFonts w:eastAsia="Arial Unicode MS" w:cs="Times New Roman"/>
          <w:color w:val="auto"/>
          <w:sz w:val="20"/>
          <w:szCs w:val="20"/>
          <w:lang w:val="es-AR" w:eastAsia="en-US"/>
        </w:rPr>
        <w:t xml:space="preserve"> considera que la sentencia</w:t>
      </w:r>
      <w:r w:rsidR="00FE6A60" w:rsidRPr="00446FCA">
        <w:rPr>
          <w:rFonts w:eastAsia="Arial Unicode MS" w:cs="Times New Roman"/>
          <w:color w:val="auto"/>
          <w:sz w:val="20"/>
          <w:szCs w:val="20"/>
          <w:lang w:val="es-AR" w:eastAsia="en-US"/>
        </w:rPr>
        <w:t xml:space="preserve"> </w:t>
      </w:r>
      <w:r w:rsidR="00196226">
        <w:rPr>
          <w:rFonts w:eastAsia="Arial Unicode MS" w:cs="Times New Roman"/>
          <w:color w:val="auto"/>
          <w:sz w:val="20"/>
          <w:szCs w:val="20"/>
          <w:lang w:val="es-AR" w:eastAsia="en-US"/>
        </w:rPr>
        <w:t>no exige</w:t>
      </w:r>
      <w:r w:rsidR="00A26E35" w:rsidRPr="00446FCA">
        <w:rPr>
          <w:rFonts w:eastAsia="Arial Unicode MS" w:cs="Times New Roman"/>
          <w:color w:val="auto"/>
          <w:sz w:val="20"/>
          <w:szCs w:val="20"/>
          <w:lang w:val="es-AR" w:eastAsia="en-US"/>
        </w:rPr>
        <w:t xml:space="preserve"> medidas en materia de</w:t>
      </w:r>
      <w:r w:rsidR="00FE6A60" w:rsidRPr="00446FCA">
        <w:rPr>
          <w:rFonts w:eastAsia="Arial Unicode MS" w:cs="Times New Roman"/>
          <w:color w:val="auto"/>
          <w:sz w:val="20"/>
          <w:szCs w:val="20"/>
          <w:lang w:val="es-AR" w:eastAsia="en-US"/>
        </w:rPr>
        <w:t xml:space="preserve"> verdad, restitución, rehabilitación; satisfacción y garantías de no repetición.</w:t>
      </w:r>
    </w:p>
    <w:p w:rsidR="00594827" w:rsidRDefault="00594827" w:rsidP="00594827">
      <w:pPr>
        <w:pStyle w:val="ListParagraph"/>
        <w:rPr>
          <w:rFonts w:eastAsia="Arial Unicode MS" w:cs="Times New Roman"/>
          <w:color w:val="auto"/>
          <w:sz w:val="20"/>
          <w:szCs w:val="20"/>
          <w:lang w:val="es-AR" w:eastAsia="en-US"/>
        </w:rPr>
      </w:pPr>
    </w:p>
    <w:p w:rsidR="00594827" w:rsidRDefault="00594827" w:rsidP="00594827">
      <w:pPr>
        <w:pStyle w:val="ListParagraph"/>
        <w:numPr>
          <w:ilvl w:val="0"/>
          <w:numId w:val="55"/>
        </w:numPr>
        <w:jc w:val="both"/>
        <w:rPr>
          <w:rFonts w:eastAsia="Arial Unicode MS" w:cs="Times New Roman"/>
          <w:color w:val="auto"/>
          <w:sz w:val="20"/>
          <w:szCs w:val="20"/>
          <w:lang w:val="es-AR" w:eastAsia="en-US"/>
        </w:rPr>
      </w:pPr>
      <w:r>
        <w:rPr>
          <w:rFonts w:eastAsia="Arial Unicode MS" w:cs="Times New Roman"/>
          <w:color w:val="auto"/>
          <w:sz w:val="20"/>
          <w:szCs w:val="20"/>
          <w:lang w:val="es-AR" w:eastAsia="en-US"/>
        </w:rPr>
        <w:t>Por su parte, el Estado señala que el 27 de abril de 2007</w:t>
      </w:r>
      <w:r w:rsidR="00196226">
        <w:rPr>
          <w:rFonts w:eastAsia="Arial Unicode MS" w:cs="Times New Roman"/>
          <w:color w:val="auto"/>
          <w:sz w:val="20"/>
          <w:szCs w:val="20"/>
          <w:lang w:val="es-AR" w:eastAsia="en-US"/>
        </w:rPr>
        <w:t xml:space="preserve"> </w:t>
      </w:r>
      <w:r>
        <w:rPr>
          <w:rFonts w:eastAsia="Arial Unicode MS" w:cs="Times New Roman"/>
          <w:color w:val="auto"/>
          <w:sz w:val="20"/>
          <w:szCs w:val="20"/>
          <w:lang w:val="es-AR" w:eastAsia="en-US"/>
        </w:rPr>
        <w:t xml:space="preserve">la Fiscalía General de la Nación inició las diligencias para determinar lo ocurrido y que desde esa fecha las investigaciones se han adelantado diligentemente. </w:t>
      </w:r>
      <w:r w:rsidR="00AE1DDF">
        <w:rPr>
          <w:rFonts w:eastAsia="Arial Unicode MS" w:cs="Times New Roman"/>
          <w:color w:val="auto"/>
          <w:sz w:val="20"/>
          <w:szCs w:val="20"/>
          <w:lang w:val="es-AR" w:eastAsia="en-US"/>
        </w:rPr>
        <w:t>I</w:t>
      </w:r>
      <w:r>
        <w:rPr>
          <w:rFonts w:eastAsia="Arial Unicode MS" w:cs="Times New Roman"/>
          <w:color w:val="auto"/>
          <w:sz w:val="20"/>
          <w:szCs w:val="20"/>
          <w:lang w:val="es-AR" w:eastAsia="en-US"/>
        </w:rPr>
        <w:t xml:space="preserve">ndicó que </w:t>
      </w:r>
      <w:r w:rsidR="00DA2673">
        <w:rPr>
          <w:rFonts w:eastAsia="Arial Unicode MS" w:cs="Times New Roman"/>
          <w:color w:val="auto"/>
          <w:sz w:val="20"/>
          <w:szCs w:val="20"/>
          <w:lang w:val="es-AR" w:eastAsia="en-US"/>
        </w:rPr>
        <w:t>el proceso penal</w:t>
      </w:r>
      <w:r>
        <w:rPr>
          <w:rFonts w:eastAsia="Arial Unicode MS" w:cs="Times New Roman"/>
          <w:color w:val="auto"/>
          <w:sz w:val="20"/>
          <w:szCs w:val="20"/>
          <w:lang w:val="es-AR" w:eastAsia="en-US"/>
        </w:rPr>
        <w:t xml:space="preserve"> se encuentra en etapa de investigación por delito de homicidio agravado y tiene como hipótesis delictiva “homicidio cometido por miembros de la Fuerza Pública con el propósito de presentar a los jóvenes como dados de baja en combate”. Resalta que el tiempo que ha tomado la investigación no puede atribuirse a una falta de diligencia pues ha sido consecuencia de factores tales como la pluralidad de víctimas, perpetradores y conductas punibles; el falso testimonio inicialmente rendido por los involucrados; y </w:t>
      </w:r>
      <w:r w:rsidR="00DA2673">
        <w:rPr>
          <w:rFonts w:eastAsia="Arial Unicode MS" w:cs="Times New Roman"/>
          <w:color w:val="auto"/>
          <w:sz w:val="20"/>
          <w:szCs w:val="20"/>
          <w:lang w:val="es-AR" w:eastAsia="en-US"/>
        </w:rPr>
        <w:t>la dificultad de</w:t>
      </w:r>
      <w:r>
        <w:rPr>
          <w:rFonts w:eastAsia="Arial Unicode MS" w:cs="Times New Roman"/>
          <w:color w:val="auto"/>
          <w:sz w:val="20"/>
          <w:szCs w:val="20"/>
          <w:lang w:val="es-AR" w:eastAsia="en-US"/>
        </w:rPr>
        <w:t xml:space="preserve"> rec</w:t>
      </w:r>
      <w:r w:rsidR="00DA2673">
        <w:rPr>
          <w:rFonts w:eastAsia="Arial Unicode MS" w:cs="Times New Roman"/>
          <w:color w:val="auto"/>
          <w:sz w:val="20"/>
          <w:szCs w:val="20"/>
          <w:lang w:val="es-AR" w:eastAsia="en-US"/>
        </w:rPr>
        <w:t xml:space="preserve">olección del </w:t>
      </w:r>
      <w:r>
        <w:rPr>
          <w:rFonts w:eastAsia="Arial Unicode MS" w:cs="Times New Roman"/>
          <w:color w:val="auto"/>
          <w:sz w:val="20"/>
          <w:szCs w:val="20"/>
          <w:lang w:val="es-AR" w:eastAsia="en-US"/>
        </w:rPr>
        <w:t xml:space="preserve">acervo probatorio. Alega que en 2017 la Fiscalía logró preacuerdos con ocho indiciados que han aceptado responsabilidad por el homicidio del señor Parra y formuló imputación a otras dos personas que decidieron no allanarse a los  cargos. </w:t>
      </w:r>
    </w:p>
    <w:p w:rsidR="00594827" w:rsidRDefault="00594827" w:rsidP="00594827">
      <w:pPr>
        <w:pStyle w:val="ListParagraph"/>
        <w:jc w:val="both"/>
        <w:rPr>
          <w:rFonts w:eastAsia="Arial Unicode MS" w:cs="Times New Roman"/>
          <w:color w:val="auto"/>
          <w:sz w:val="20"/>
          <w:szCs w:val="20"/>
          <w:lang w:val="es-AR" w:eastAsia="en-US"/>
        </w:rPr>
      </w:pPr>
    </w:p>
    <w:p w:rsidR="00594827" w:rsidRDefault="00594827" w:rsidP="00594827">
      <w:pPr>
        <w:pStyle w:val="ListParagraph"/>
        <w:numPr>
          <w:ilvl w:val="0"/>
          <w:numId w:val="55"/>
        </w:numPr>
        <w:jc w:val="both"/>
        <w:rPr>
          <w:rFonts w:eastAsia="Arial Unicode MS" w:cs="Times New Roman"/>
          <w:color w:val="auto"/>
          <w:sz w:val="20"/>
          <w:szCs w:val="20"/>
          <w:lang w:val="es-AR" w:eastAsia="en-US"/>
        </w:rPr>
      </w:pPr>
      <w:r>
        <w:rPr>
          <w:rFonts w:eastAsia="Arial Unicode MS" w:cs="Times New Roman"/>
          <w:color w:val="auto"/>
          <w:sz w:val="20"/>
          <w:szCs w:val="20"/>
          <w:lang w:val="es-AR" w:eastAsia="en-US"/>
        </w:rPr>
        <w:t xml:space="preserve">  Indica que, en adición a la investigación penal, el 3 de agosto de 2007 se inició una indagación disciplinaria en contra de los miembros del ejército que cumplían funciones en el municipio de Girardota, la que conllevó a que el 11 de febrero de 2009 la </w:t>
      </w:r>
      <w:proofErr w:type="spellStart"/>
      <w:r>
        <w:rPr>
          <w:rFonts w:eastAsia="Arial Unicode MS" w:cs="Times New Roman"/>
          <w:color w:val="auto"/>
          <w:sz w:val="20"/>
          <w:szCs w:val="20"/>
          <w:lang w:val="es-AR" w:eastAsia="en-US"/>
        </w:rPr>
        <w:t>Viceprocuraduría</w:t>
      </w:r>
      <w:proofErr w:type="spellEnd"/>
      <w:r>
        <w:rPr>
          <w:rFonts w:eastAsia="Arial Unicode MS" w:cs="Times New Roman"/>
          <w:color w:val="auto"/>
          <w:sz w:val="20"/>
          <w:szCs w:val="20"/>
          <w:lang w:val="es-AR" w:eastAsia="en-US"/>
        </w:rPr>
        <w:t xml:space="preserve"> General de la Nación decretará la apertura de una investigación contra un cabo segundo y siete soldados profesionales. Posteriormente, el 14 de febrero de 2013 la</w:t>
      </w:r>
      <w:r w:rsidR="002D109F">
        <w:rPr>
          <w:rFonts w:eastAsia="Arial Unicode MS" w:cs="Times New Roman"/>
          <w:color w:val="auto"/>
          <w:sz w:val="20"/>
          <w:szCs w:val="20"/>
          <w:lang w:val="es-AR" w:eastAsia="en-US"/>
        </w:rPr>
        <w:t xml:space="preserve"> </w:t>
      </w:r>
      <w:proofErr w:type="spellStart"/>
      <w:r w:rsidR="002D109F">
        <w:rPr>
          <w:rFonts w:eastAsia="Arial Unicode MS" w:cs="Times New Roman"/>
          <w:color w:val="auto"/>
          <w:sz w:val="20"/>
          <w:szCs w:val="20"/>
          <w:lang w:val="es-AR" w:eastAsia="en-US"/>
        </w:rPr>
        <w:t>Vi</w:t>
      </w:r>
      <w:r>
        <w:rPr>
          <w:rFonts w:eastAsia="Arial Unicode MS" w:cs="Times New Roman"/>
          <w:color w:val="auto"/>
          <w:sz w:val="20"/>
          <w:szCs w:val="20"/>
          <w:lang w:val="es-AR" w:eastAsia="en-US"/>
        </w:rPr>
        <w:t>ceprocuraduría</w:t>
      </w:r>
      <w:proofErr w:type="spellEnd"/>
      <w:r>
        <w:rPr>
          <w:rFonts w:eastAsia="Arial Unicode MS" w:cs="Times New Roman"/>
          <w:color w:val="auto"/>
          <w:sz w:val="20"/>
          <w:szCs w:val="20"/>
          <w:lang w:val="es-AR" w:eastAsia="en-US"/>
        </w:rPr>
        <w:t xml:space="preserve"> declaró el cierre de la investigación disciplinaria y el 13 de enero de </w:t>
      </w:r>
      <w:r>
        <w:rPr>
          <w:rFonts w:eastAsia="Arial Unicode MS" w:cs="Times New Roman"/>
          <w:color w:val="auto"/>
          <w:sz w:val="20"/>
          <w:szCs w:val="20"/>
          <w:lang w:val="es-AR" w:eastAsia="en-US"/>
        </w:rPr>
        <w:lastRenderedPageBreak/>
        <w:t xml:space="preserve">2017 dispuso formular auto de cargos contra los ocho investigados por la conducta de “graves violaciones al derecho internacional humanitario materializadas en la conducta de homicidio en persona protegida”. </w:t>
      </w:r>
    </w:p>
    <w:p w:rsidR="000F42AE" w:rsidRPr="000F42AE" w:rsidRDefault="000F42AE" w:rsidP="000F42AE">
      <w:pPr>
        <w:pStyle w:val="ListParagraph"/>
        <w:rPr>
          <w:rFonts w:eastAsia="Arial Unicode MS" w:cs="Times New Roman"/>
          <w:color w:val="auto"/>
          <w:sz w:val="20"/>
          <w:szCs w:val="20"/>
          <w:lang w:val="es-AR" w:eastAsia="en-US"/>
        </w:rPr>
      </w:pPr>
    </w:p>
    <w:p w:rsidR="000F42AE" w:rsidRPr="006C3A80" w:rsidRDefault="000F42AE" w:rsidP="006C3A80">
      <w:pPr>
        <w:pStyle w:val="ListParagraph"/>
        <w:numPr>
          <w:ilvl w:val="0"/>
          <w:numId w:val="55"/>
        </w:numPr>
        <w:jc w:val="both"/>
        <w:rPr>
          <w:rFonts w:eastAsia="Arial Unicode MS" w:cs="Times New Roman"/>
          <w:color w:val="auto"/>
          <w:sz w:val="20"/>
          <w:szCs w:val="20"/>
          <w:lang w:val="es-AR" w:eastAsia="en-US"/>
        </w:rPr>
      </w:pPr>
      <w:r w:rsidRPr="006C3A80">
        <w:rPr>
          <w:rFonts w:eastAsia="Arial Unicode MS" w:cs="Times New Roman"/>
          <w:color w:val="auto"/>
          <w:sz w:val="20"/>
          <w:szCs w:val="20"/>
          <w:lang w:val="es-AR" w:eastAsia="en-US"/>
        </w:rPr>
        <w:t xml:space="preserve">Solicita que la petición sea  inadmitida con base en el artículo 47(b) de la Convención “por la configuración de la fórmula de la cuarta instancia internacional”. Indica que las investigaciones penales y disciplinarias se han adelantado con alto grade de diligencia, alcanzándose verdaderos avances que han permitido a los familiares de la presunta víctima conocer la verdad sobre los hechos. </w:t>
      </w:r>
    </w:p>
    <w:p w:rsidR="00594827" w:rsidRDefault="00594827" w:rsidP="00594827">
      <w:pPr>
        <w:pStyle w:val="ListParagraph"/>
        <w:rPr>
          <w:rFonts w:eastAsia="Arial Unicode MS" w:cs="Times New Roman"/>
          <w:color w:val="auto"/>
          <w:sz w:val="20"/>
          <w:szCs w:val="20"/>
          <w:lang w:val="es-AR" w:eastAsia="en-US"/>
        </w:rPr>
      </w:pPr>
    </w:p>
    <w:p w:rsidR="00594827" w:rsidRPr="0036450D" w:rsidRDefault="00594827" w:rsidP="005948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libri" w:hAnsiTheme="majorHAnsi" w:cs="Arial"/>
          <w:i/>
          <w:iCs/>
          <w:color w:val="434343"/>
          <w:sz w:val="20"/>
          <w:szCs w:val="20"/>
          <w:lang w:val="es-PA"/>
        </w:rPr>
      </w:pPr>
      <w:r w:rsidRPr="00660D9A">
        <w:rPr>
          <w:rFonts w:asciiTheme="majorHAnsi" w:hAnsiTheme="majorHAnsi"/>
          <w:sz w:val="20"/>
          <w:szCs w:val="20"/>
          <w:lang w:val="es-AR"/>
        </w:rPr>
        <w:t xml:space="preserve">En cuanto a la acción de reparación directa, indica que </w:t>
      </w:r>
      <w:r w:rsidR="00DA2673">
        <w:rPr>
          <w:rFonts w:asciiTheme="majorHAnsi" w:hAnsiTheme="majorHAnsi"/>
          <w:sz w:val="20"/>
          <w:szCs w:val="20"/>
          <w:lang w:val="es-AR"/>
        </w:rPr>
        <w:t>é</w:t>
      </w:r>
      <w:r w:rsidRPr="00660D9A">
        <w:rPr>
          <w:rFonts w:asciiTheme="majorHAnsi" w:hAnsiTheme="majorHAnsi"/>
          <w:sz w:val="20"/>
          <w:szCs w:val="20"/>
          <w:lang w:val="es-AR"/>
        </w:rPr>
        <w:t xml:space="preserve">sta fue interpuesta por los familiares de la presunta víctima el 19 de diciembre de 2008 y rechazada en primera instancia el 28 de abril de 2012. </w:t>
      </w:r>
      <w:r w:rsidR="00DA2673">
        <w:rPr>
          <w:rFonts w:asciiTheme="majorHAnsi" w:hAnsiTheme="majorHAnsi"/>
          <w:sz w:val="20"/>
          <w:szCs w:val="20"/>
          <w:lang w:val="es-AR"/>
        </w:rPr>
        <w:t>E</w:t>
      </w:r>
      <w:r w:rsidRPr="00660D9A">
        <w:rPr>
          <w:rFonts w:asciiTheme="majorHAnsi" w:hAnsiTheme="majorHAnsi"/>
          <w:sz w:val="20"/>
          <w:szCs w:val="20"/>
          <w:lang w:val="es-AR"/>
        </w:rPr>
        <w:t xml:space="preserve">l 23 de septiembre de 2014 </w:t>
      </w:r>
      <w:r w:rsidR="00DA2673">
        <w:rPr>
          <w:rFonts w:asciiTheme="majorHAnsi" w:hAnsiTheme="majorHAnsi"/>
          <w:sz w:val="20"/>
          <w:szCs w:val="20"/>
          <w:lang w:val="es-AR"/>
        </w:rPr>
        <w:t>se</w:t>
      </w:r>
      <w:r w:rsidRPr="00660D9A">
        <w:rPr>
          <w:rFonts w:asciiTheme="majorHAnsi" w:hAnsiTheme="majorHAnsi"/>
          <w:sz w:val="20"/>
          <w:szCs w:val="20"/>
          <w:lang w:val="es-AR"/>
        </w:rPr>
        <w:t xml:space="preserve"> concedió la apelación presentada por los demandantes y revocó la decisión de primera instancia concluyendo que </w:t>
      </w:r>
      <w:r w:rsidRPr="00054557">
        <w:rPr>
          <w:rFonts w:asciiTheme="majorHAnsi" w:hAnsiTheme="majorHAnsi"/>
          <w:sz w:val="20"/>
          <w:szCs w:val="20"/>
          <w:lang w:val="es-AR"/>
        </w:rPr>
        <w:t>“</w:t>
      </w:r>
      <w:r w:rsidRPr="00DA2673">
        <w:rPr>
          <w:rFonts w:asciiTheme="majorHAnsi" w:hAnsiTheme="majorHAnsi"/>
          <w:sz w:val="20"/>
          <w:szCs w:val="20"/>
          <w:lang w:val="es-AR"/>
        </w:rPr>
        <w:t xml:space="preserve">contrario a lo afirmado por la Institución Militar, las víctimas no fueron dadas de baja en combate, sino que fueron asesinadas de manera injustificada en circunstancias totalmente reprochables, y que posteriormente fueron modificadas por los miembros de la demandada para tratar de ocultar los verdaderos móviles de su actuar y darle así un viso de legalidad”.  </w:t>
      </w:r>
      <w:r w:rsidR="00DA2673">
        <w:rPr>
          <w:rFonts w:asciiTheme="majorHAnsi" w:hAnsiTheme="majorHAnsi"/>
          <w:sz w:val="20"/>
          <w:szCs w:val="20"/>
          <w:lang w:val="es-AR"/>
        </w:rPr>
        <w:t>M</w:t>
      </w:r>
      <w:r w:rsidRPr="00DA2673">
        <w:rPr>
          <w:rFonts w:asciiTheme="majorHAnsi" w:hAnsiTheme="majorHAnsi"/>
          <w:sz w:val="20"/>
          <w:szCs w:val="20"/>
          <w:lang w:val="es-AR"/>
        </w:rPr>
        <w:t xml:space="preserve">anifestó que ya se habían tomado las medidas para hacer efectivo el pago de las indemnizaciones ordenadas en la sentencia. </w:t>
      </w:r>
      <w:r w:rsidR="00D6386D" w:rsidRPr="00DA2673">
        <w:rPr>
          <w:rFonts w:asciiTheme="majorHAnsi" w:hAnsiTheme="majorHAnsi"/>
          <w:sz w:val="20"/>
          <w:szCs w:val="20"/>
          <w:lang w:val="es-AR"/>
        </w:rPr>
        <w:t xml:space="preserve">Alega que el Estado tiene margen de apreciación para logar el cumplimiento de sus obligaciones y que, dado que el proceso que se está llevando </w:t>
      </w:r>
      <w:r w:rsidR="00DA2673">
        <w:rPr>
          <w:rFonts w:asciiTheme="majorHAnsi" w:hAnsiTheme="majorHAnsi"/>
          <w:sz w:val="20"/>
          <w:szCs w:val="20"/>
          <w:lang w:val="es-AR"/>
        </w:rPr>
        <w:t>a cabo</w:t>
      </w:r>
      <w:r w:rsidR="00D6386D" w:rsidRPr="00DA2673">
        <w:rPr>
          <w:rFonts w:asciiTheme="majorHAnsi" w:hAnsiTheme="majorHAnsi"/>
          <w:sz w:val="20"/>
          <w:szCs w:val="20"/>
          <w:lang w:val="es-AR"/>
        </w:rPr>
        <w:t xml:space="preserve"> es el pertinente según el ordenamiento jurídico, no se puede señalar al Estado de incumplir sus obligaciones por seguir trámites internos de carácter netamente administrativo</w:t>
      </w:r>
      <w:r w:rsidR="00DA2673">
        <w:rPr>
          <w:rFonts w:asciiTheme="majorHAnsi" w:hAnsiTheme="majorHAnsi"/>
          <w:sz w:val="20"/>
          <w:szCs w:val="20"/>
          <w:lang w:val="es-AR"/>
        </w:rPr>
        <w:t>.</w:t>
      </w:r>
    </w:p>
    <w:p w:rsidR="003239B8" w:rsidRPr="00896F1A" w:rsidRDefault="003239B8" w:rsidP="003239B8">
      <w:pPr>
        <w:spacing w:before="240" w:after="240"/>
        <w:ind w:firstLine="720"/>
        <w:jc w:val="both"/>
        <w:rPr>
          <w:rFonts w:asciiTheme="majorHAnsi" w:hAnsiTheme="majorHAnsi"/>
          <w:sz w:val="20"/>
          <w:szCs w:val="20"/>
          <w:lang w:val="es-UY"/>
        </w:rPr>
      </w:pPr>
      <w:r w:rsidRPr="00896F1A">
        <w:rPr>
          <w:rFonts w:asciiTheme="majorHAnsi" w:eastAsia="Cambria" w:hAnsiTheme="majorHAnsi" w:cs="Cambria"/>
          <w:b/>
          <w:bCs/>
          <w:color w:val="000000"/>
          <w:sz w:val="20"/>
          <w:szCs w:val="20"/>
          <w:u w:color="000000"/>
          <w:lang w:val="es-ES" w:eastAsia="es-ES"/>
        </w:rPr>
        <w:t>VI.</w:t>
      </w:r>
      <w:r w:rsidRPr="00896F1A">
        <w:rPr>
          <w:rFonts w:asciiTheme="majorHAnsi" w:eastAsia="Cambria" w:hAnsiTheme="majorHAnsi" w:cs="Cambria"/>
          <w:b/>
          <w:bCs/>
          <w:color w:val="000000"/>
          <w:sz w:val="20"/>
          <w:szCs w:val="20"/>
          <w:u w:color="000000"/>
          <w:lang w:val="es-ES" w:eastAsia="es-ES"/>
        </w:rPr>
        <w:tab/>
      </w:r>
      <w:r w:rsidR="004A6A54" w:rsidRPr="00896F1A">
        <w:rPr>
          <w:rFonts w:asciiTheme="majorHAnsi" w:hAnsiTheme="majorHAnsi"/>
          <w:b/>
          <w:bCs/>
          <w:sz w:val="20"/>
          <w:szCs w:val="20"/>
          <w:lang w:val="es-ES_tradnl"/>
        </w:rPr>
        <w:t xml:space="preserve">ANÁLISIS DE </w:t>
      </w:r>
      <w:r w:rsidR="00C21FEF" w:rsidRPr="00896F1A">
        <w:rPr>
          <w:rFonts w:asciiTheme="majorHAnsi" w:hAnsiTheme="majorHAnsi"/>
          <w:b/>
          <w:sz w:val="20"/>
          <w:szCs w:val="20"/>
          <w:lang w:val="es-ES"/>
        </w:rPr>
        <w:t>AGOTAMIENTO DE LOS RECURSOS INTERNOS Y PLAZO DE PRESENTACIÓN</w:t>
      </w:r>
      <w:r w:rsidR="00C21FEF" w:rsidRPr="00896F1A">
        <w:rPr>
          <w:rFonts w:asciiTheme="majorHAnsi" w:eastAsia="Cambria" w:hAnsiTheme="majorHAnsi" w:cs="Cambria"/>
          <w:b/>
          <w:bCs/>
          <w:color w:val="000000"/>
          <w:sz w:val="20"/>
          <w:szCs w:val="20"/>
          <w:u w:color="000000"/>
          <w:lang w:val="es-ES" w:eastAsia="es-ES"/>
        </w:rPr>
        <w:t xml:space="preserve"> </w:t>
      </w:r>
    </w:p>
    <w:p w:rsidR="000031EF" w:rsidRPr="00E9105F" w:rsidRDefault="000031EF" w:rsidP="000031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libri" w:hAnsiTheme="majorHAnsi" w:cs="Arial"/>
          <w:i/>
          <w:iCs/>
          <w:color w:val="434343"/>
          <w:sz w:val="20"/>
          <w:szCs w:val="20"/>
          <w:lang w:val="es-PA"/>
        </w:rPr>
      </w:pPr>
      <w:r w:rsidRPr="00E9105F">
        <w:rPr>
          <w:rFonts w:asciiTheme="majorHAnsi" w:hAnsiTheme="majorHAnsi" w:cs="Arial"/>
          <w:iCs/>
          <w:color w:val="434343"/>
          <w:sz w:val="20"/>
          <w:szCs w:val="20"/>
          <w:lang w:val="es-PA"/>
        </w:rPr>
        <w:t xml:space="preserve">En su escrito fechado </w:t>
      </w:r>
      <w:r w:rsidRPr="00E9105F">
        <w:rPr>
          <w:rFonts w:asciiTheme="majorHAnsi" w:hAnsiTheme="majorHAnsi"/>
          <w:sz w:val="20"/>
          <w:szCs w:val="20"/>
          <w:lang w:val="es-AR"/>
        </w:rPr>
        <w:t xml:space="preserve">14 de julio de 2017 el peticionario solicitó a la Comisión que declarara admisible la petición en virtud de que habían transcurrido más de diez años desde la muerte del señor Rentería sin que se hubiese obtenido verdad, justicia ni reparación para sus familiares, lo que consideraba un plazo injustificado. </w:t>
      </w:r>
    </w:p>
    <w:p w:rsidR="000031EF" w:rsidRPr="00E9105F" w:rsidRDefault="000031EF" w:rsidP="000031EF">
      <w:pPr>
        <w:autoSpaceDE w:val="0"/>
        <w:autoSpaceDN w:val="0"/>
        <w:adjustRightInd w:val="0"/>
        <w:ind w:left="720"/>
        <w:jc w:val="both"/>
        <w:rPr>
          <w:rFonts w:asciiTheme="majorHAnsi" w:eastAsia="Calibri" w:hAnsiTheme="majorHAnsi" w:cs="Arial"/>
          <w:i/>
          <w:iCs/>
          <w:color w:val="434343"/>
          <w:sz w:val="20"/>
          <w:szCs w:val="20"/>
          <w:lang w:val="es-PA"/>
        </w:rPr>
      </w:pPr>
    </w:p>
    <w:p w:rsidR="000031EF" w:rsidRPr="00E9105F" w:rsidRDefault="000031EF" w:rsidP="000031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i/>
          <w:iCs/>
          <w:color w:val="434343"/>
          <w:sz w:val="20"/>
          <w:szCs w:val="20"/>
          <w:lang w:val="es-PA"/>
        </w:rPr>
      </w:pPr>
      <w:r w:rsidRPr="00E9105F">
        <w:rPr>
          <w:rFonts w:asciiTheme="majorHAnsi" w:hAnsiTheme="majorHAnsi"/>
          <w:sz w:val="20"/>
          <w:szCs w:val="20"/>
          <w:lang w:val="es-AR"/>
        </w:rPr>
        <w:t xml:space="preserve">El Estado, por su parte, solicita que la petición sea inadmitida por no cumplir con el requisito de agotamiento de los recursos internos. Alega que el peticionario violó el carácter subsidiario del Sistema Interamericano al presentar su petición antes de que fueran </w:t>
      </w:r>
      <w:r w:rsidRPr="00E9105F">
        <w:rPr>
          <w:rFonts w:asciiTheme="majorHAnsi" w:hAnsiTheme="majorHAnsi"/>
          <w:sz w:val="20"/>
          <w:szCs w:val="20"/>
          <w:lang w:val="es-ES"/>
        </w:rPr>
        <w:t>emitidas las decisiones definitivas de las autoridades administrativa, penal y disciplinaria. El Estado alega que el proceso penal constituía un recurso idóneo y efectivo para las pretensiones del peticionario y que, si bien éste y el proceso disciplinario continúan en curso, esto se debe a la complejidad del caso y no a una falta de diligencia de las autoridades estatales. Por lo que el artículo 46.2 (c) de la Convención Americana no resulta aplicable a esta petición.</w:t>
      </w:r>
    </w:p>
    <w:p w:rsidR="000031EF" w:rsidRPr="00E9105F" w:rsidRDefault="000031EF" w:rsidP="000031EF">
      <w:pPr>
        <w:pStyle w:val="ListParagraph"/>
        <w:rPr>
          <w:rFonts w:asciiTheme="majorHAnsi" w:hAnsiTheme="majorHAnsi" w:cs="Arial"/>
          <w:i/>
          <w:iCs/>
          <w:color w:val="434343"/>
          <w:sz w:val="20"/>
          <w:szCs w:val="20"/>
          <w:lang w:val="es-PA"/>
        </w:rPr>
      </w:pPr>
    </w:p>
    <w:p w:rsidR="000031EF" w:rsidRPr="00E9105F" w:rsidRDefault="00E9105F" w:rsidP="000031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i/>
          <w:iCs/>
          <w:color w:val="434343"/>
          <w:sz w:val="20"/>
          <w:szCs w:val="20"/>
          <w:lang w:val="es-PA"/>
        </w:rPr>
      </w:pPr>
      <w:r>
        <w:rPr>
          <w:rFonts w:asciiTheme="majorHAnsi" w:hAnsiTheme="majorHAnsi" w:cs="Arial"/>
          <w:iCs/>
          <w:sz w:val="20"/>
          <w:szCs w:val="20"/>
          <w:lang w:val="es-PA"/>
        </w:rPr>
        <w:t>También</w:t>
      </w:r>
      <w:r w:rsidR="000031EF" w:rsidRPr="00E9105F">
        <w:rPr>
          <w:rFonts w:asciiTheme="majorHAnsi" w:hAnsiTheme="majorHAnsi" w:cs="Arial"/>
          <w:iCs/>
          <w:sz w:val="20"/>
          <w:szCs w:val="20"/>
          <w:lang w:val="es-PA"/>
        </w:rPr>
        <w:t xml:space="preserve"> señala que</w:t>
      </w:r>
      <w:r>
        <w:rPr>
          <w:rFonts w:asciiTheme="majorHAnsi" w:hAnsiTheme="majorHAnsi" w:cs="Arial"/>
          <w:iCs/>
          <w:sz w:val="20"/>
          <w:szCs w:val="20"/>
          <w:lang w:val="es-PA"/>
        </w:rPr>
        <w:t>,</w:t>
      </w:r>
      <w:r w:rsidR="000031EF" w:rsidRPr="00E9105F">
        <w:rPr>
          <w:rFonts w:asciiTheme="majorHAnsi" w:hAnsiTheme="majorHAnsi" w:cs="Arial"/>
          <w:iCs/>
          <w:sz w:val="20"/>
          <w:szCs w:val="20"/>
          <w:lang w:val="es-PA"/>
        </w:rPr>
        <w:t xml:space="preserve"> si l</w:t>
      </w:r>
      <w:r>
        <w:rPr>
          <w:rFonts w:asciiTheme="majorHAnsi" w:hAnsiTheme="majorHAnsi" w:cs="Arial"/>
          <w:iCs/>
          <w:sz w:val="20"/>
          <w:szCs w:val="20"/>
          <w:lang w:val="es-PA"/>
        </w:rPr>
        <w:t>os familiares de la presunta víctima no están</w:t>
      </w:r>
      <w:r w:rsidR="000031EF" w:rsidRPr="00E9105F">
        <w:rPr>
          <w:rFonts w:asciiTheme="majorHAnsi" w:hAnsiTheme="majorHAnsi" w:cs="Arial"/>
          <w:iCs/>
          <w:sz w:val="20"/>
          <w:szCs w:val="20"/>
          <w:lang w:val="es-PA"/>
        </w:rPr>
        <w:t xml:space="preserve"> conforme</w:t>
      </w:r>
      <w:r>
        <w:rPr>
          <w:rFonts w:asciiTheme="majorHAnsi" w:hAnsiTheme="majorHAnsi" w:cs="Arial"/>
          <w:iCs/>
          <w:sz w:val="20"/>
          <w:szCs w:val="20"/>
          <w:lang w:val="es-PA"/>
        </w:rPr>
        <w:t>s</w:t>
      </w:r>
      <w:r w:rsidR="000031EF" w:rsidRPr="00E9105F">
        <w:rPr>
          <w:rFonts w:asciiTheme="majorHAnsi" w:hAnsiTheme="majorHAnsi" w:cs="Arial"/>
          <w:iCs/>
          <w:sz w:val="20"/>
          <w:szCs w:val="20"/>
          <w:lang w:val="es-PA"/>
        </w:rPr>
        <w:t xml:space="preserve"> con la decisión proferida en su favor</w:t>
      </w:r>
      <w:r>
        <w:rPr>
          <w:rFonts w:asciiTheme="majorHAnsi" w:hAnsiTheme="majorHAnsi" w:cs="Arial"/>
          <w:iCs/>
          <w:sz w:val="20"/>
          <w:szCs w:val="20"/>
          <w:lang w:val="es-PA"/>
        </w:rPr>
        <w:t xml:space="preserve"> en el contexto de su acción de reparación directa</w:t>
      </w:r>
      <w:r w:rsidR="000031EF" w:rsidRPr="00E9105F">
        <w:rPr>
          <w:rFonts w:asciiTheme="majorHAnsi" w:hAnsiTheme="majorHAnsi" w:cs="Arial"/>
          <w:iCs/>
          <w:sz w:val="20"/>
          <w:szCs w:val="20"/>
          <w:lang w:val="es-PA"/>
        </w:rPr>
        <w:t>, tiene</w:t>
      </w:r>
      <w:r>
        <w:rPr>
          <w:rFonts w:asciiTheme="majorHAnsi" w:hAnsiTheme="majorHAnsi" w:cs="Arial"/>
          <w:iCs/>
          <w:sz w:val="20"/>
          <w:szCs w:val="20"/>
          <w:lang w:val="es-PA"/>
        </w:rPr>
        <w:t>n</w:t>
      </w:r>
      <w:r w:rsidR="000031EF" w:rsidRPr="00E9105F">
        <w:rPr>
          <w:rFonts w:asciiTheme="majorHAnsi" w:hAnsiTheme="majorHAnsi" w:cs="Arial"/>
          <w:iCs/>
          <w:sz w:val="20"/>
          <w:szCs w:val="20"/>
          <w:lang w:val="es-PA"/>
        </w:rPr>
        <w:t xml:space="preserve"> a su disposición recursos que no ha</w:t>
      </w:r>
      <w:r>
        <w:rPr>
          <w:rFonts w:asciiTheme="majorHAnsi" w:hAnsiTheme="majorHAnsi" w:cs="Arial"/>
          <w:iCs/>
          <w:sz w:val="20"/>
          <w:szCs w:val="20"/>
          <w:lang w:val="es-PA"/>
        </w:rPr>
        <w:t>n</w:t>
      </w:r>
      <w:r w:rsidR="000031EF" w:rsidRPr="00E9105F">
        <w:rPr>
          <w:rFonts w:asciiTheme="majorHAnsi" w:hAnsiTheme="majorHAnsi" w:cs="Arial"/>
          <w:iCs/>
          <w:sz w:val="20"/>
          <w:szCs w:val="20"/>
          <w:lang w:val="es-PA"/>
        </w:rPr>
        <w:t xml:space="preserve"> agotado tales como la acción de tutela contra providencias judiciales y la solicitud de medidas de reparación integral bajo la Ley de Víctimas y Restitución de Tierras. Considera que al no haberse agotado estos recursos, el Estado no ha tenido la debida oportunidad de dar respuesta a la reclamación sobre la supuesta falta de reparación integral</w:t>
      </w:r>
      <w:r w:rsidR="000031EF" w:rsidRPr="00E9105F">
        <w:rPr>
          <w:rFonts w:asciiTheme="majorHAnsi" w:hAnsiTheme="majorHAnsi" w:cs="Arial"/>
          <w:iCs/>
          <w:color w:val="434343"/>
          <w:sz w:val="20"/>
          <w:szCs w:val="20"/>
          <w:lang w:val="es-PA"/>
        </w:rPr>
        <w:t>.</w:t>
      </w:r>
    </w:p>
    <w:p w:rsidR="000031EF" w:rsidRPr="00E9105F" w:rsidRDefault="000031EF" w:rsidP="000031EF">
      <w:pPr>
        <w:pStyle w:val="ListParagraph"/>
        <w:rPr>
          <w:rFonts w:asciiTheme="majorHAnsi" w:hAnsiTheme="majorHAnsi" w:cs="Arial"/>
          <w:i/>
          <w:iCs/>
          <w:color w:val="434343"/>
          <w:sz w:val="20"/>
          <w:szCs w:val="20"/>
          <w:lang w:val="es-PA"/>
        </w:rPr>
      </w:pPr>
    </w:p>
    <w:p w:rsidR="000031EF" w:rsidRPr="00E9105F" w:rsidRDefault="000031EF" w:rsidP="000031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i/>
          <w:iCs/>
          <w:color w:val="434343"/>
          <w:sz w:val="20"/>
          <w:szCs w:val="20"/>
          <w:lang w:val="es-PA"/>
        </w:rPr>
      </w:pPr>
      <w:r w:rsidRPr="00E9105F">
        <w:rPr>
          <w:rFonts w:asciiTheme="majorHAnsi" w:hAnsiTheme="majorHAnsi"/>
          <w:sz w:val="20"/>
          <w:szCs w:val="20"/>
          <w:lang w:val="es-AR"/>
        </w:rPr>
        <w:t xml:space="preserve">La Comisión recuerda que en </w:t>
      </w:r>
      <w:r w:rsidR="006C3A80">
        <w:rPr>
          <w:rFonts w:asciiTheme="majorHAnsi" w:hAnsiTheme="majorHAnsi"/>
          <w:sz w:val="20"/>
          <w:szCs w:val="20"/>
          <w:lang w:val="es-AR"/>
        </w:rPr>
        <w:t>los alegatos</w:t>
      </w:r>
      <w:r w:rsidRPr="00E9105F">
        <w:rPr>
          <w:rFonts w:asciiTheme="majorHAnsi" w:hAnsiTheme="majorHAnsi"/>
          <w:sz w:val="20"/>
          <w:szCs w:val="20"/>
          <w:lang w:val="es-AR"/>
        </w:rPr>
        <w:t xml:space="preserve"> que incluyen delitos contra la vida e integridad, los recursos internos que deben tomarse en cuenta a efecto de la admisibilidad son los relacionados con la investigación y sanción de los responsables</w:t>
      </w:r>
      <w:r w:rsidR="004D0D6F">
        <w:rPr>
          <w:rStyle w:val="FootnoteReference"/>
          <w:rFonts w:asciiTheme="majorHAnsi" w:hAnsiTheme="majorHAnsi"/>
          <w:sz w:val="20"/>
          <w:szCs w:val="20"/>
          <w:lang w:val="es-AR"/>
        </w:rPr>
        <w:footnoteReference w:id="7"/>
      </w:r>
      <w:r w:rsidRPr="00E9105F">
        <w:rPr>
          <w:rFonts w:asciiTheme="majorHAnsi" w:hAnsiTheme="majorHAnsi"/>
          <w:sz w:val="20"/>
          <w:szCs w:val="20"/>
          <w:lang w:val="es-AR"/>
        </w:rPr>
        <w:t xml:space="preserve">. Adicionalmente, la Comisión subraya que la determinación de una reparación por la vía administrativa o judicial, además de no ser excluyente, no exime al Estado de sus </w:t>
      </w:r>
      <w:r w:rsidRPr="00E9105F">
        <w:rPr>
          <w:rFonts w:asciiTheme="majorHAnsi" w:hAnsiTheme="majorHAnsi"/>
          <w:sz w:val="20"/>
          <w:szCs w:val="20"/>
          <w:lang w:val="es-AR"/>
        </w:rPr>
        <w:lastRenderedPageBreak/>
        <w:t>obligaciones relacionadas con el componente de justicia por las violaciones causadas, la cual obliga al Estado a garantizar a las víctimas la investigación y sanción de los responsables de esas violaciones, de acuerdo con lo establecido en el derecho internacional</w:t>
      </w:r>
      <w:r w:rsidR="00404A8A">
        <w:rPr>
          <w:rStyle w:val="FootnoteReference"/>
          <w:rFonts w:asciiTheme="majorHAnsi" w:hAnsiTheme="majorHAnsi"/>
          <w:sz w:val="20"/>
          <w:szCs w:val="20"/>
          <w:lang w:val="es-AR"/>
        </w:rPr>
        <w:footnoteReference w:id="8"/>
      </w:r>
      <w:r w:rsidR="00EC45F7">
        <w:rPr>
          <w:rFonts w:asciiTheme="majorHAnsi" w:hAnsiTheme="majorHAnsi"/>
          <w:sz w:val="20"/>
          <w:szCs w:val="20"/>
          <w:lang w:val="es-AR"/>
        </w:rPr>
        <w:t>.</w:t>
      </w:r>
    </w:p>
    <w:p w:rsidR="000031EF" w:rsidRPr="00E9105F" w:rsidRDefault="000031EF" w:rsidP="000031EF">
      <w:pPr>
        <w:pStyle w:val="ListParagraph"/>
        <w:rPr>
          <w:rFonts w:asciiTheme="majorHAnsi" w:hAnsiTheme="majorHAnsi"/>
          <w:sz w:val="20"/>
          <w:szCs w:val="20"/>
          <w:lang w:val="es-AR"/>
        </w:rPr>
      </w:pPr>
    </w:p>
    <w:p w:rsidR="000031EF" w:rsidRPr="00E9105F" w:rsidRDefault="000031EF" w:rsidP="000031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i/>
          <w:iCs/>
          <w:color w:val="434343"/>
          <w:sz w:val="20"/>
          <w:szCs w:val="20"/>
          <w:lang w:val="es-PA"/>
        </w:rPr>
      </w:pPr>
      <w:r w:rsidRPr="00E9105F">
        <w:rPr>
          <w:rFonts w:asciiTheme="majorHAnsi" w:hAnsiTheme="majorHAnsi"/>
          <w:sz w:val="20"/>
          <w:szCs w:val="20"/>
          <w:lang w:val="es-AR"/>
        </w:rPr>
        <w:t>Cuando se aduce un</w:t>
      </w:r>
      <w:r w:rsidRPr="00E9105F">
        <w:rPr>
          <w:rFonts w:asciiTheme="majorHAnsi" w:hAnsiTheme="majorHAnsi"/>
          <w:sz w:val="20"/>
          <w:szCs w:val="20"/>
          <w:lang w:val="es-CO"/>
        </w:rPr>
        <w:t xml:space="preserve"> retardo injustificado, la Comisión </w:t>
      </w:r>
      <w:r w:rsidRPr="00E9105F">
        <w:rPr>
          <w:rFonts w:asciiTheme="majorHAnsi" w:hAnsiTheme="majorHAnsi"/>
          <w:sz w:val="20"/>
          <w:szCs w:val="20"/>
          <w:lang w:val="es-ES"/>
        </w:rPr>
        <w:t xml:space="preserve">evalúa las circunstancias y realiza un análisis caso por caso para determinar si se ha producido una demora indebida. Como regla general, la Comisión determina que </w:t>
      </w:r>
      <w:r w:rsidRPr="00E9105F">
        <w:rPr>
          <w:rFonts w:asciiTheme="majorHAnsi" w:hAnsiTheme="majorHAnsi"/>
          <w:sz w:val="20"/>
          <w:szCs w:val="20"/>
          <w:lang w:val="es-AR"/>
        </w:rPr>
        <w:t>"</w:t>
      </w:r>
      <w:r w:rsidRPr="00E9105F">
        <w:rPr>
          <w:rFonts w:asciiTheme="majorHAnsi" w:hAnsiTheme="majorHAnsi"/>
          <w:sz w:val="20"/>
          <w:szCs w:val="20"/>
          <w:lang w:val="es-ES"/>
        </w:rPr>
        <w:t>una investigación penal debe realizarse con prontitud para proteger los intereses de las víctimas y preservar la prueba</w:t>
      </w:r>
      <w:r w:rsidRPr="00E9105F">
        <w:rPr>
          <w:rFonts w:asciiTheme="majorHAnsi" w:hAnsiTheme="majorHAnsi"/>
          <w:sz w:val="20"/>
          <w:szCs w:val="20"/>
          <w:lang w:val="es-AR"/>
        </w:rPr>
        <w:t>"</w:t>
      </w:r>
      <w:bookmarkStart w:id="3" w:name="_ftnref8"/>
      <w:bookmarkEnd w:id="3"/>
      <w:r w:rsidRPr="00E9105F">
        <w:rPr>
          <w:rFonts w:asciiTheme="majorHAnsi" w:hAnsiTheme="majorHAnsi"/>
          <w:sz w:val="20"/>
          <w:szCs w:val="20"/>
          <w:lang w:val="es-ES"/>
        </w:rPr>
        <w:t xml:space="preserve">. Para establecer si una investigación ha sido realizada </w:t>
      </w:r>
      <w:r w:rsidRPr="00E9105F">
        <w:rPr>
          <w:rFonts w:asciiTheme="majorHAnsi" w:hAnsiTheme="majorHAnsi"/>
          <w:sz w:val="20"/>
          <w:szCs w:val="20"/>
          <w:lang w:val="es-AR"/>
        </w:rPr>
        <w:t>"</w:t>
      </w:r>
      <w:r w:rsidRPr="00E9105F">
        <w:rPr>
          <w:rFonts w:asciiTheme="majorHAnsi" w:hAnsiTheme="majorHAnsi"/>
          <w:sz w:val="20"/>
          <w:szCs w:val="20"/>
          <w:lang w:val="es-ES"/>
        </w:rPr>
        <w:t>con prontitud</w:t>
      </w:r>
      <w:r w:rsidRPr="00E9105F">
        <w:rPr>
          <w:rFonts w:asciiTheme="majorHAnsi" w:hAnsiTheme="majorHAnsi"/>
          <w:sz w:val="20"/>
          <w:szCs w:val="20"/>
          <w:lang w:val="es-AR"/>
        </w:rPr>
        <w:t>"</w:t>
      </w:r>
      <w:r w:rsidRPr="00E9105F">
        <w:rPr>
          <w:rFonts w:asciiTheme="majorHAnsi" w:hAnsiTheme="majorHAnsi"/>
          <w:sz w:val="20"/>
          <w:szCs w:val="20"/>
          <w:lang w:val="es-ES"/>
        </w:rPr>
        <w:t>, la Comisión considera una serie de factores, como el tiempo transcurrido desde que se cometió el delito, si la investigación ha pasado de la etapa preliminar, las medidas que han adoptado las autoridades así como la complejidad del caso</w:t>
      </w:r>
      <w:r w:rsidRPr="00E9105F">
        <w:rPr>
          <w:rStyle w:val="FootnoteReference"/>
          <w:rFonts w:asciiTheme="majorHAnsi" w:hAnsiTheme="majorHAnsi"/>
          <w:sz w:val="20"/>
          <w:szCs w:val="20"/>
          <w:lang w:val="es-ES"/>
        </w:rPr>
        <w:footnoteReference w:id="9"/>
      </w:r>
      <w:r w:rsidRPr="00E9105F">
        <w:rPr>
          <w:rFonts w:asciiTheme="majorHAnsi" w:hAnsiTheme="majorHAnsi"/>
          <w:sz w:val="20"/>
          <w:szCs w:val="20"/>
          <w:lang w:val="es-ES"/>
        </w:rPr>
        <w:t>.</w:t>
      </w:r>
    </w:p>
    <w:p w:rsidR="000031EF" w:rsidRPr="00E9105F" w:rsidRDefault="000031EF" w:rsidP="000031EF">
      <w:pPr>
        <w:pStyle w:val="ListParagraph"/>
        <w:rPr>
          <w:rFonts w:asciiTheme="majorHAnsi" w:hAnsiTheme="majorHAnsi" w:cs="Arial"/>
          <w:i/>
          <w:iCs/>
          <w:color w:val="434343"/>
          <w:sz w:val="20"/>
          <w:szCs w:val="20"/>
          <w:lang w:val="es-PA"/>
        </w:rPr>
      </w:pPr>
    </w:p>
    <w:p w:rsidR="000031EF" w:rsidRPr="00EC45F7" w:rsidRDefault="000031EF" w:rsidP="000031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i/>
          <w:iCs/>
          <w:sz w:val="20"/>
          <w:szCs w:val="20"/>
          <w:lang w:val="es-PA"/>
        </w:rPr>
      </w:pPr>
      <w:r w:rsidRPr="00EC45F7">
        <w:rPr>
          <w:rFonts w:asciiTheme="majorHAnsi" w:hAnsiTheme="majorHAnsi" w:cs="Arial"/>
          <w:iCs/>
          <w:sz w:val="20"/>
          <w:szCs w:val="20"/>
          <w:lang w:val="es-PA"/>
        </w:rPr>
        <w:t xml:space="preserve">En este respecto, la Comisión toma nota que el Estado ha dado cuenta de los avances alcanzados en los procesos penales y disciplinarios así como de las complejidades y dificultades que han influido sobre la duración de los procesos. Sin embargo, según la información que consta en expediente, han transcurrido más de </w:t>
      </w:r>
      <w:r w:rsidR="00054557">
        <w:rPr>
          <w:rFonts w:asciiTheme="majorHAnsi" w:hAnsiTheme="majorHAnsi" w:cs="Arial"/>
          <w:iCs/>
          <w:sz w:val="20"/>
          <w:szCs w:val="20"/>
          <w:lang w:val="es-PA"/>
        </w:rPr>
        <w:t>once</w:t>
      </w:r>
      <w:r w:rsidR="00054557" w:rsidRPr="00EC45F7">
        <w:rPr>
          <w:rFonts w:asciiTheme="majorHAnsi" w:hAnsiTheme="majorHAnsi" w:cs="Arial"/>
          <w:iCs/>
          <w:sz w:val="20"/>
          <w:szCs w:val="20"/>
          <w:lang w:val="es-PA"/>
        </w:rPr>
        <w:t xml:space="preserve"> </w:t>
      </w:r>
      <w:r w:rsidRPr="00EC45F7">
        <w:rPr>
          <w:rFonts w:asciiTheme="majorHAnsi" w:hAnsiTheme="majorHAnsi" w:cs="Arial"/>
          <w:iCs/>
          <w:sz w:val="20"/>
          <w:szCs w:val="20"/>
          <w:lang w:val="es-PA"/>
        </w:rPr>
        <w:t xml:space="preserve">años desde que se iniciaron las investigaciones sin que </w:t>
      </w:r>
      <w:r w:rsidR="005936B3">
        <w:rPr>
          <w:rFonts w:asciiTheme="majorHAnsi" w:hAnsiTheme="majorHAnsi" w:cs="Arial"/>
          <w:iCs/>
          <w:sz w:val="20"/>
          <w:szCs w:val="20"/>
          <w:lang w:val="es-PA"/>
        </w:rPr>
        <w:t>los procesos penales o disciplinarios hayan concluido</w:t>
      </w:r>
      <w:r w:rsidRPr="00EC45F7">
        <w:rPr>
          <w:rFonts w:asciiTheme="majorHAnsi" w:hAnsiTheme="majorHAnsi" w:cs="Arial"/>
          <w:iCs/>
          <w:sz w:val="20"/>
          <w:szCs w:val="20"/>
          <w:lang w:val="es-PA"/>
        </w:rPr>
        <w:t xml:space="preserve">. </w:t>
      </w:r>
      <w:r w:rsidR="00697AC3">
        <w:rPr>
          <w:rFonts w:asciiTheme="majorHAnsi" w:hAnsiTheme="majorHAnsi" w:cs="Arial"/>
          <w:iCs/>
          <w:sz w:val="20"/>
          <w:szCs w:val="20"/>
          <w:lang w:val="es-PA"/>
        </w:rPr>
        <w:t>La Comisi</w:t>
      </w:r>
      <w:r w:rsidR="00181DEE">
        <w:rPr>
          <w:rFonts w:asciiTheme="majorHAnsi" w:hAnsiTheme="majorHAnsi" w:cs="Arial"/>
          <w:iCs/>
          <w:sz w:val="20"/>
          <w:szCs w:val="20"/>
          <w:lang w:val="es-PA"/>
        </w:rPr>
        <w:t xml:space="preserve">ón observa que si bien hubo </w:t>
      </w:r>
      <w:r w:rsidR="00697AC3">
        <w:rPr>
          <w:rFonts w:asciiTheme="majorHAnsi" w:hAnsiTheme="majorHAnsi" w:cs="Arial"/>
          <w:iCs/>
          <w:sz w:val="20"/>
          <w:szCs w:val="20"/>
          <w:lang w:val="es-PA"/>
        </w:rPr>
        <w:t xml:space="preserve">preacuerdos con personas involucradas que admitieron su responsabilidad en 2016, </w:t>
      </w:r>
      <w:r w:rsidR="001C75C5">
        <w:rPr>
          <w:rFonts w:asciiTheme="majorHAnsi" w:hAnsiTheme="majorHAnsi" w:cs="Arial"/>
          <w:iCs/>
          <w:sz w:val="20"/>
          <w:szCs w:val="20"/>
          <w:lang w:val="es-PA"/>
        </w:rPr>
        <w:t>estos</w:t>
      </w:r>
      <w:r w:rsidR="00697AC3">
        <w:rPr>
          <w:rFonts w:asciiTheme="majorHAnsi" w:hAnsiTheme="majorHAnsi" w:cs="Arial"/>
          <w:iCs/>
          <w:sz w:val="20"/>
          <w:szCs w:val="20"/>
          <w:lang w:val="es-PA"/>
        </w:rPr>
        <w:t xml:space="preserve"> no constituyen sentencias definitivas. E</w:t>
      </w:r>
      <w:r w:rsidRPr="00EC45F7">
        <w:rPr>
          <w:rFonts w:asciiTheme="majorHAnsi" w:hAnsiTheme="majorHAnsi" w:cs="Arial"/>
          <w:iCs/>
          <w:sz w:val="20"/>
          <w:szCs w:val="20"/>
          <w:lang w:val="es-PA"/>
        </w:rPr>
        <w:t>n estas circunstancias y sin prejuzgar sobre el fondo, la Comisión considera que la excepción al agotamiento de los recursos internos contenida en el artículo 46.2(c) de la Convención resulta aplicable a la presente petición.</w:t>
      </w:r>
    </w:p>
    <w:p w:rsidR="000031EF" w:rsidRPr="00E9105F" w:rsidRDefault="000031EF" w:rsidP="000031EF">
      <w:pPr>
        <w:pStyle w:val="ListParagraph"/>
        <w:rPr>
          <w:rFonts w:asciiTheme="majorHAnsi" w:hAnsiTheme="majorHAnsi" w:cs="Arial"/>
          <w:i/>
          <w:iCs/>
          <w:color w:val="434343"/>
          <w:sz w:val="20"/>
          <w:szCs w:val="20"/>
          <w:lang w:val="es-PA"/>
        </w:rPr>
      </w:pPr>
    </w:p>
    <w:p w:rsidR="000031EF" w:rsidRDefault="000031EF" w:rsidP="000031EF">
      <w:pPr>
        <w:pStyle w:val="ListParagraph"/>
        <w:numPr>
          <w:ilvl w:val="0"/>
          <w:numId w:val="55"/>
        </w:numPr>
        <w:jc w:val="both"/>
        <w:rPr>
          <w:rFonts w:asciiTheme="majorHAnsi" w:eastAsia="Arial Unicode MS" w:hAnsiTheme="majorHAnsi" w:cs="Times New Roman"/>
          <w:color w:val="auto"/>
          <w:sz w:val="20"/>
          <w:szCs w:val="20"/>
          <w:lang w:val="es-AR" w:eastAsia="en-US"/>
        </w:rPr>
      </w:pPr>
      <w:r w:rsidRPr="00E9105F">
        <w:rPr>
          <w:rFonts w:asciiTheme="majorHAnsi" w:hAnsiTheme="majorHAnsi"/>
          <w:sz w:val="20"/>
          <w:szCs w:val="20"/>
          <w:lang w:val="es-AR"/>
        </w:rPr>
        <w:t>De acuerdo con</w:t>
      </w:r>
      <w:r w:rsidRPr="00E9105F">
        <w:rPr>
          <w:rFonts w:asciiTheme="majorHAnsi" w:hAnsiTheme="majorHAnsi"/>
          <w:sz w:val="20"/>
          <w:szCs w:val="20"/>
          <w:lang w:val="es-ES"/>
        </w:rPr>
        <w:t xml:space="preserve"> el artículo 46.2 de la Convención, el plazo de presentación de seis meses no resulta aplicable en los casos en que procede una excepción al agotamiento de los recursos internos. En estos casos, la Comisión debe analizar en conformidad con el artículo 32.2 de su reglamento si la petición fue presentada dentro de un plazo razonable en atención a la fecha en que ocurrió la presunta violación y las circunstancias de cada caso. En el presente caso, </w:t>
      </w:r>
      <w:r w:rsidRPr="00E9105F">
        <w:rPr>
          <w:rFonts w:asciiTheme="majorHAnsi" w:eastAsia="Arial Unicode MS" w:hAnsiTheme="majorHAnsi" w:cs="Times New Roman"/>
          <w:color w:val="auto"/>
          <w:sz w:val="20"/>
          <w:szCs w:val="20"/>
          <w:lang w:val="es-AR" w:eastAsia="en-US"/>
        </w:rPr>
        <w:t xml:space="preserve">la Comisión nota que la muerte del señor </w:t>
      </w:r>
      <w:r w:rsidR="00085009">
        <w:rPr>
          <w:rFonts w:asciiTheme="majorHAnsi" w:eastAsia="Arial Unicode MS" w:hAnsiTheme="majorHAnsi" w:cs="Times New Roman"/>
          <w:color w:val="auto"/>
          <w:sz w:val="20"/>
          <w:szCs w:val="20"/>
          <w:lang w:val="es-AR" w:eastAsia="en-US"/>
        </w:rPr>
        <w:t xml:space="preserve">Rentería </w:t>
      </w:r>
      <w:r w:rsidRPr="00E9105F">
        <w:rPr>
          <w:rFonts w:asciiTheme="majorHAnsi" w:eastAsia="Arial Unicode MS" w:hAnsiTheme="majorHAnsi" w:cs="Times New Roman"/>
          <w:color w:val="auto"/>
          <w:sz w:val="20"/>
          <w:szCs w:val="20"/>
          <w:lang w:val="es-AR" w:eastAsia="en-US"/>
        </w:rPr>
        <w:t>fue notificada a los familiares en mayo de 2007 y que la petición fue recibida el 14 de mayo de 2010. Observa también que la alegada denegación de justicia e impunidad parcial se extiende hasta el presente, doce años después de la ocurrencia de los hechos. Por lo tanto, y en razón del contexto y las características del presente caso, la Comisión considera que la presente petición fue presentada dentro de plazo razonable</w:t>
      </w:r>
      <w:r w:rsidRPr="00E9105F">
        <w:rPr>
          <w:rStyle w:val="FootnoteReference"/>
          <w:rFonts w:asciiTheme="majorHAnsi" w:eastAsia="Arial Unicode MS" w:hAnsiTheme="majorHAnsi" w:cs="Times New Roman"/>
          <w:color w:val="auto"/>
          <w:sz w:val="20"/>
          <w:szCs w:val="20"/>
          <w:lang w:val="es-AR" w:eastAsia="en-US"/>
        </w:rPr>
        <w:footnoteReference w:id="10"/>
      </w:r>
      <w:r w:rsidRPr="00E9105F">
        <w:rPr>
          <w:rFonts w:asciiTheme="majorHAnsi" w:eastAsia="Arial Unicode MS" w:hAnsiTheme="majorHAnsi" w:cs="Times New Roman"/>
          <w:color w:val="auto"/>
          <w:sz w:val="20"/>
          <w:szCs w:val="20"/>
          <w:lang w:val="es-AR" w:eastAsia="en-US"/>
        </w:rPr>
        <w:t>.</w:t>
      </w:r>
    </w:p>
    <w:p w:rsidR="00C77CD9" w:rsidRPr="00C77CD9" w:rsidRDefault="00C77CD9" w:rsidP="00C77CD9">
      <w:pPr>
        <w:pStyle w:val="ListParagraph"/>
        <w:rPr>
          <w:rFonts w:asciiTheme="majorHAnsi" w:eastAsia="Arial Unicode MS" w:hAnsiTheme="majorHAnsi" w:cs="Times New Roman"/>
          <w:color w:val="auto"/>
          <w:sz w:val="20"/>
          <w:szCs w:val="20"/>
          <w:lang w:val="es-AR" w:eastAsia="en-US"/>
        </w:rPr>
      </w:pPr>
    </w:p>
    <w:p w:rsidR="00C77CD9" w:rsidRPr="00C77CD9" w:rsidRDefault="00C77CD9" w:rsidP="00C77C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Calibri" w:hAnsiTheme="majorHAnsi" w:cs="Arial"/>
          <w:i/>
          <w:iCs/>
          <w:sz w:val="20"/>
          <w:szCs w:val="20"/>
          <w:lang w:val="es-PA"/>
        </w:rPr>
      </w:pPr>
      <w:r w:rsidRPr="00C77CD9">
        <w:rPr>
          <w:rFonts w:asciiTheme="majorHAnsi" w:hAnsiTheme="majorHAnsi" w:cs="Arial"/>
          <w:iCs/>
          <w:sz w:val="20"/>
          <w:szCs w:val="20"/>
          <w:lang w:val="es-PA"/>
        </w:rPr>
        <w:t xml:space="preserve">Respecto a la reclamación relativa a la falta de pago de la indemnización ordenada en la sentencia del Tribunal Administrativo de Antioquía, la Comisión observa que, según la información que consta en expediente, habrían transcurrido más de cuatro años desde que se dictó la sentencia sin que el pago se hubiese hecho efectivo. El Estado ha hecho referencia a recursos que los familiares de la presunta víctima tendrían disponibles para obtener la revisión de la sentencia o para solicitar reparación integral por otra vía. Sin embargo, no </w:t>
      </w:r>
      <w:r w:rsidR="00054557">
        <w:rPr>
          <w:rFonts w:asciiTheme="majorHAnsi" w:hAnsiTheme="majorHAnsi" w:cs="Arial"/>
          <w:iCs/>
          <w:sz w:val="20"/>
          <w:szCs w:val="20"/>
          <w:lang w:val="es-PA"/>
        </w:rPr>
        <w:t>h</w:t>
      </w:r>
      <w:r w:rsidRPr="00C77CD9">
        <w:rPr>
          <w:rFonts w:asciiTheme="majorHAnsi" w:hAnsiTheme="majorHAnsi" w:cs="Arial"/>
          <w:iCs/>
          <w:sz w:val="20"/>
          <w:szCs w:val="20"/>
          <w:lang w:val="es-PA"/>
        </w:rPr>
        <w:t xml:space="preserve">a hecho referencia a recursos que resten por agotar para obtener el cumplimiento de la sentencia en firme a su favor. Por lo tanto, la Comisión estima que los recursos internos están agotados con respecto a esta parte de la petición en los términos del artículo 46.1(a) de la Convención Americana. Toda vez que la decisión que agotó los recursos internos fue emitida el </w:t>
      </w:r>
      <w:r w:rsidRPr="00C77CD9">
        <w:rPr>
          <w:rFonts w:ascii="Cambria" w:hAnsi="Cambria"/>
          <w:sz w:val="20"/>
          <w:szCs w:val="20"/>
          <w:lang w:val="es-AR"/>
        </w:rPr>
        <w:t xml:space="preserve">23 de septiembre de 2014 y la petición fue presentada el 14 de mayo de 2010, la Comisión concluye que esta cumple con el plazo de presentación previsto en el artículo </w:t>
      </w:r>
      <w:proofErr w:type="gramStart"/>
      <w:r w:rsidRPr="00C77CD9">
        <w:rPr>
          <w:rFonts w:ascii="Cambria" w:hAnsi="Cambria"/>
          <w:sz w:val="20"/>
          <w:szCs w:val="20"/>
          <w:lang w:val="es-AR"/>
        </w:rPr>
        <w:t>46.1(</w:t>
      </w:r>
      <w:proofErr w:type="gramEnd"/>
      <w:r w:rsidRPr="00C77CD9">
        <w:rPr>
          <w:rFonts w:ascii="Cambria" w:hAnsi="Cambria"/>
          <w:sz w:val="20"/>
          <w:szCs w:val="20"/>
          <w:lang w:val="es-AR"/>
        </w:rPr>
        <w:t xml:space="preserve">b) de la Convención. </w:t>
      </w:r>
    </w:p>
    <w:p w:rsidR="00C77CD9" w:rsidRDefault="00C77CD9" w:rsidP="00C77CD9">
      <w:pPr>
        <w:pStyle w:val="ListParagraph"/>
        <w:rPr>
          <w:rFonts w:asciiTheme="majorHAnsi" w:hAnsiTheme="majorHAnsi" w:cs="Arial"/>
          <w:i/>
          <w:iCs/>
          <w:color w:val="434343"/>
          <w:sz w:val="20"/>
          <w:szCs w:val="20"/>
          <w:lang w:val="es-PA"/>
        </w:rPr>
      </w:pPr>
    </w:p>
    <w:p w:rsidR="00C77CD9" w:rsidRPr="00C77CD9" w:rsidRDefault="00C77CD9" w:rsidP="00C77C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i/>
          <w:iCs/>
          <w:color w:val="434343"/>
          <w:sz w:val="20"/>
          <w:szCs w:val="20"/>
          <w:lang w:val="es-PA"/>
        </w:rPr>
      </w:pPr>
      <w:r w:rsidRPr="00C77CD9">
        <w:rPr>
          <w:rFonts w:asciiTheme="majorHAnsi" w:hAnsiTheme="majorHAnsi" w:cs="Calibri"/>
          <w:sz w:val="20"/>
          <w:szCs w:val="20"/>
          <w:lang w:val="es-ES"/>
        </w:rPr>
        <w:t xml:space="preserve">Respecto al cuestionamiento del Estado sobre a que la petición fue presentada estando pendiente de resolución los procesos a nivel doméstico, la CIDH reitera su posición constante según la cual la situación que debe tenerse en cuenta para establecer si se han agotado los recursos de la jurisdicción interna </w:t>
      </w:r>
      <w:r w:rsidRPr="00C77CD9">
        <w:rPr>
          <w:rFonts w:asciiTheme="majorHAnsi" w:hAnsiTheme="majorHAnsi" w:cs="Calibri"/>
          <w:sz w:val="20"/>
          <w:szCs w:val="20"/>
          <w:lang w:val="es-ES"/>
        </w:rPr>
        <w:lastRenderedPageBreak/>
        <w:t>es aquella existente al decidir sobre la admisibilidad, puesto que el momento de la presentación de la denuncia y el del pronunciamiento sobre admisibilidad son distintos</w:t>
      </w:r>
      <w:r>
        <w:rPr>
          <w:rFonts w:asciiTheme="majorHAnsi" w:hAnsiTheme="majorHAnsi" w:cs="Calibri"/>
          <w:sz w:val="20"/>
          <w:szCs w:val="20"/>
          <w:lang w:val="es-ES"/>
        </w:rPr>
        <w:t>.</w:t>
      </w:r>
    </w:p>
    <w:p w:rsidR="000031EF" w:rsidRPr="00C77CD9" w:rsidRDefault="000031EF" w:rsidP="00C77CD9">
      <w:pPr>
        <w:jc w:val="both"/>
        <w:rPr>
          <w:sz w:val="20"/>
          <w:szCs w:val="20"/>
          <w:lang w:val="es-AR"/>
        </w:rPr>
      </w:pPr>
    </w:p>
    <w:p w:rsidR="00650339" w:rsidRPr="00896F1A" w:rsidRDefault="00650339" w:rsidP="009C74E7">
      <w:pPr>
        <w:ind w:firstLine="720"/>
        <w:jc w:val="both"/>
        <w:rPr>
          <w:rFonts w:asciiTheme="majorHAnsi" w:hAnsiTheme="majorHAnsi"/>
          <w:b/>
          <w:bCs/>
          <w:sz w:val="20"/>
          <w:szCs w:val="20"/>
          <w:lang w:val="es-UY"/>
        </w:rPr>
      </w:pPr>
      <w:r w:rsidRPr="00896F1A">
        <w:rPr>
          <w:rFonts w:asciiTheme="majorHAnsi" w:hAnsiTheme="majorHAnsi"/>
          <w:b/>
          <w:bCs/>
          <w:sz w:val="20"/>
          <w:szCs w:val="20"/>
          <w:lang w:val="es-ES"/>
        </w:rPr>
        <w:t>VII.</w:t>
      </w:r>
      <w:r w:rsidRPr="00896F1A">
        <w:rPr>
          <w:rFonts w:asciiTheme="majorHAnsi" w:hAnsiTheme="majorHAnsi"/>
          <w:b/>
          <w:bCs/>
          <w:sz w:val="20"/>
          <w:szCs w:val="20"/>
          <w:lang w:val="es-ES"/>
        </w:rPr>
        <w:tab/>
      </w:r>
      <w:r w:rsidRPr="00896F1A">
        <w:rPr>
          <w:rFonts w:asciiTheme="majorHAnsi" w:hAnsiTheme="majorHAnsi"/>
          <w:b/>
          <w:bCs/>
          <w:sz w:val="20"/>
          <w:szCs w:val="20"/>
          <w:lang w:val="es-ES_tradnl"/>
        </w:rPr>
        <w:t xml:space="preserve">ANÁLISIS DE </w:t>
      </w:r>
      <w:r w:rsidRPr="00896F1A">
        <w:rPr>
          <w:rFonts w:asciiTheme="majorHAnsi" w:hAnsiTheme="majorHAnsi"/>
          <w:b/>
          <w:bCs/>
          <w:sz w:val="20"/>
          <w:szCs w:val="20"/>
          <w:lang w:val="es-ES"/>
        </w:rPr>
        <w:t xml:space="preserve">CARACTERIZACIÓN </w:t>
      </w:r>
      <w:r w:rsidRPr="00896F1A">
        <w:rPr>
          <w:rFonts w:asciiTheme="majorHAnsi" w:hAnsiTheme="majorHAnsi"/>
          <w:b/>
          <w:bCs/>
          <w:sz w:val="20"/>
          <w:szCs w:val="20"/>
          <w:lang w:val="es-UY"/>
        </w:rPr>
        <w:t>DE LOS HECHOS ALEGADOS</w:t>
      </w:r>
    </w:p>
    <w:p w:rsidR="00C77CD9" w:rsidRPr="00604A15" w:rsidRDefault="00C77CD9" w:rsidP="00C77CD9">
      <w:pPr>
        <w:pStyle w:val="ListParagraph"/>
        <w:rPr>
          <w:rFonts w:asciiTheme="majorHAnsi" w:hAnsiTheme="majorHAnsi" w:cs="Arial"/>
          <w:i/>
          <w:iCs/>
          <w:color w:val="434343"/>
          <w:sz w:val="20"/>
          <w:szCs w:val="20"/>
          <w:lang w:val="es-PA"/>
        </w:rPr>
      </w:pPr>
    </w:p>
    <w:p w:rsidR="00C77CD9" w:rsidRPr="00604A15" w:rsidRDefault="00C77CD9" w:rsidP="00C77CD9">
      <w:pPr>
        <w:numPr>
          <w:ilvl w:val="0"/>
          <w:numId w:val="55"/>
        </w:numPr>
        <w:pBdr>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i/>
          <w:iCs/>
          <w:color w:val="434343"/>
          <w:sz w:val="20"/>
          <w:szCs w:val="20"/>
          <w:lang w:val="es-PA"/>
        </w:rPr>
      </w:pPr>
      <w:r w:rsidRPr="00604A15">
        <w:rPr>
          <w:rFonts w:asciiTheme="majorHAnsi" w:hAnsiTheme="majorHAnsi"/>
          <w:sz w:val="20"/>
          <w:szCs w:val="20"/>
          <w:lang w:val="es-ES"/>
        </w:rPr>
        <w:t xml:space="preserve">En vista de los elementos de hecho y de derecho expuestos por las partes y la naturaleza del asunto puesto bajo su conocimiento, la Comisión considera que de verificarse como ciertos los hechos alegados respecto a la ejecución extrajudicial del señor Rentería por miembros del Ejército Nacional y su posterior encubrimiento con la falsa atribución de conductas delictivas a éste; la falta resolución dentro de plazo razonable de los procesos penales y disciplinarios; la falta de reparación integral para los familiares de la presunta víctima; y el no pago dentro de plazo razonable de una indemnización ordenada por sentencia judicial en firme, estos podrían caracterizar posibles violaciones de los artículos </w:t>
      </w:r>
      <w:r w:rsidR="00054557">
        <w:rPr>
          <w:rFonts w:asciiTheme="majorHAnsi" w:hAnsiTheme="majorHAnsi"/>
          <w:sz w:val="20"/>
          <w:szCs w:val="20"/>
          <w:lang w:val="es-ES"/>
        </w:rPr>
        <w:t xml:space="preserve">3 (personalidad jurídica), </w:t>
      </w:r>
      <w:r w:rsidRPr="00604A15">
        <w:rPr>
          <w:rFonts w:asciiTheme="majorHAnsi" w:hAnsiTheme="majorHAnsi"/>
          <w:sz w:val="20"/>
          <w:szCs w:val="20"/>
          <w:lang w:val="es-ES"/>
        </w:rPr>
        <w:t>4 (vida), 5 (integridad personal),</w:t>
      </w:r>
      <w:r w:rsidR="00604A15" w:rsidRPr="00604A15">
        <w:rPr>
          <w:rFonts w:asciiTheme="majorHAnsi" w:hAnsiTheme="majorHAnsi"/>
          <w:sz w:val="20"/>
          <w:szCs w:val="20"/>
          <w:lang w:val="es-ES"/>
        </w:rPr>
        <w:t xml:space="preserve"> 7 (libertad personal), </w:t>
      </w:r>
      <w:r w:rsidRPr="00604A15">
        <w:rPr>
          <w:rFonts w:asciiTheme="majorHAnsi" w:hAnsiTheme="majorHAnsi"/>
          <w:sz w:val="20"/>
          <w:szCs w:val="20"/>
          <w:lang w:val="es-ES"/>
        </w:rPr>
        <w:t xml:space="preserve"> 8 (garantías judiciales), 11 (honra y dignidad) y 25 (protección judicial) de la Convención Americana en relación con su artículos 1.1 (obligación de respetar los derechos)</w:t>
      </w:r>
      <w:r w:rsidR="00054557">
        <w:rPr>
          <w:rFonts w:asciiTheme="majorHAnsi" w:hAnsiTheme="majorHAnsi"/>
          <w:sz w:val="20"/>
          <w:szCs w:val="20"/>
          <w:lang w:val="es-ES"/>
        </w:rPr>
        <w:t xml:space="preserve"> y 2 (deber de adoptar disposiciones de derecho interno</w:t>
      </w:r>
      <w:r w:rsidR="0089362E">
        <w:rPr>
          <w:rFonts w:asciiTheme="majorHAnsi" w:hAnsiTheme="majorHAnsi"/>
          <w:sz w:val="20"/>
          <w:szCs w:val="20"/>
          <w:lang w:val="es-ES"/>
        </w:rPr>
        <w:t>)</w:t>
      </w:r>
      <w:r w:rsidRPr="00604A15">
        <w:rPr>
          <w:rFonts w:asciiTheme="majorHAnsi" w:hAnsiTheme="majorHAnsi"/>
          <w:sz w:val="20"/>
          <w:szCs w:val="20"/>
          <w:lang w:val="es-AR"/>
        </w:rPr>
        <w:t>.</w:t>
      </w:r>
    </w:p>
    <w:p w:rsidR="00C77CD9" w:rsidRPr="00604A15" w:rsidRDefault="00C77CD9" w:rsidP="00C77CD9">
      <w:pPr>
        <w:pStyle w:val="ListParagraph"/>
        <w:rPr>
          <w:rFonts w:asciiTheme="majorHAnsi" w:hAnsiTheme="majorHAnsi" w:cs="Arial"/>
          <w:i/>
          <w:iCs/>
          <w:color w:val="434343"/>
          <w:sz w:val="20"/>
          <w:szCs w:val="20"/>
          <w:lang w:val="es-PA"/>
        </w:rPr>
      </w:pPr>
    </w:p>
    <w:p w:rsidR="00C77CD9" w:rsidRPr="00604A15" w:rsidRDefault="00C77CD9" w:rsidP="00C77CD9">
      <w:pPr>
        <w:numPr>
          <w:ilvl w:val="0"/>
          <w:numId w:val="55"/>
        </w:numPr>
        <w:pBdr>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i/>
          <w:iCs/>
          <w:color w:val="434343"/>
          <w:sz w:val="20"/>
          <w:szCs w:val="20"/>
          <w:lang w:val="es-PA"/>
        </w:rPr>
      </w:pPr>
      <w:r w:rsidRPr="00604A15">
        <w:rPr>
          <w:rFonts w:asciiTheme="majorHAnsi" w:hAnsiTheme="majorHAnsi"/>
          <w:bCs/>
          <w:sz w:val="20"/>
          <w:szCs w:val="20"/>
          <w:lang w:val="es-AR"/>
        </w:rPr>
        <w:t xml:space="preserve"> En cuanto a las aducidas vulneraciones a artículos de la Declaración Americana, </w:t>
      </w:r>
      <w:r w:rsidRPr="00604A15">
        <w:rPr>
          <w:rFonts w:asciiTheme="majorHAnsi" w:hAnsiTheme="majorHAnsi" w:cs="Calibri"/>
          <w:sz w:val="20"/>
          <w:szCs w:val="20"/>
          <w:lang w:val="es-ES"/>
        </w:rPr>
        <w:t>esta Comisión ha establecido con anterioridad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continuada. En este caso las alegadas violaciones a la Declaración Americana encajan dentro del ámbito de protección de los artículos 4, 8 y 25 de la Convención Americana. Por lo tanto la Comisión examinará estos alegatos a la luz de la Convención Americana.</w:t>
      </w:r>
    </w:p>
    <w:p w:rsidR="00604A15" w:rsidRDefault="00604A15" w:rsidP="00604A15">
      <w:pPr>
        <w:pStyle w:val="ListParagraph"/>
        <w:rPr>
          <w:rFonts w:asciiTheme="majorHAnsi" w:hAnsiTheme="majorHAnsi" w:cs="Arial"/>
          <w:i/>
          <w:iCs/>
          <w:color w:val="434343"/>
          <w:sz w:val="20"/>
          <w:szCs w:val="20"/>
          <w:lang w:val="es-PA"/>
        </w:rPr>
      </w:pPr>
    </w:p>
    <w:p w:rsidR="009807EE" w:rsidRPr="00604A15" w:rsidRDefault="009807EE" w:rsidP="00604A15">
      <w:pPr>
        <w:numPr>
          <w:ilvl w:val="0"/>
          <w:numId w:val="55"/>
        </w:numPr>
        <w:pBdr>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
          <w:i/>
          <w:iCs/>
          <w:color w:val="434343"/>
          <w:sz w:val="20"/>
          <w:szCs w:val="20"/>
          <w:lang w:val="es-PA"/>
        </w:rPr>
      </w:pPr>
      <w:r w:rsidRPr="00604A15">
        <w:rPr>
          <w:rFonts w:asciiTheme="majorHAnsi" w:hAnsiTheme="majorHAnsi"/>
          <w:sz w:val="20"/>
          <w:szCs w:val="20"/>
          <w:lang w:val="es-ES"/>
        </w:rPr>
        <w:t>Por último, respecto a los alegatos del Estado referidos a la fórmula de cuarta instancia, la Comisión reconoce que no es competente para revisar las decisiones adoptada por autoridades domésticas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r w:rsidRPr="00604A15">
        <w:rPr>
          <w:rStyle w:val="FootnoteReference"/>
          <w:rFonts w:asciiTheme="majorHAnsi" w:hAnsiTheme="majorHAnsi"/>
          <w:sz w:val="20"/>
          <w:szCs w:val="20"/>
          <w:lang w:val="es-ES"/>
        </w:rPr>
        <w:footnoteReference w:id="11"/>
      </w:r>
      <w:r w:rsidRPr="00604A15">
        <w:rPr>
          <w:rFonts w:asciiTheme="majorHAnsi" w:hAnsiTheme="majorHAnsi"/>
          <w:sz w:val="20"/>
          <w:szCs w:val="20"/>
          <w:lang w:val="es-ES"/>
        </w:rPr>
        <w:t xml:space="preserve">. </w:t>
      </w:r>
    </w:p>
    <w:p w:rsidR="003239B8" w:rsidRPr="00896F1A" w:rsidRDefault="003239B8" w:rsidP="002E12C5">
      <w:pPr>
        <w:pStyle w:val="ListParagraph"/>
        <w:spacing w:before="240" w:after="240"/>
        <w:jc w:val="both"/>
        <w:rPr>
          <w:rFonts w:asciiTheme="majorHAnsi" w:hAnsiTheme="majorHAnsi"/>
          <w:b/>
          <w:bCs/>
          <w:sz w:val="20"/>
          <w:szCs w:val="20"/>
          <w:lang w:val="es-ES"/>
        </w:rPr>
      </w:pPr>
      <w:r w:rsidRPr="00896F1A">
        <w:rPr>
          <w:rFonts w:asciiTheme="majorHAnsi" w:hAnsiTheme="majorHAnsi"/>
          <w:b/>
          <w:bCs/>
          <w:sz w:val="20"/>
          <w:szCs w:val="20"/>
          <w:lang w:val="es-ES"/>
        </w:rPr>
        <w:t xml:space="preserve">VIII. </w:t>
      </w:r>
      <w:r w:rsidRPr="00896F1A">
        <w:rPr>
          <w:rFonts w:asciiTheme="majorHAnsi" w:hAnsiTheme="majorHAnsi"/>
          <w:b/>
          <w:bCs/>
          <w:sz w:val="20"/>
          <w:szCs w:val="20"/>
          <w:lang w:val="es-ES"/>
        </w:rPr>
        <w:tab/>
        <w:t>DECISIÓN</w:t>
      </w:r>
    </w:p>
    <w:p w:rsidR="003239B8" w:rsidRPr="00896F1A" w:rsidRDefault="003239B8" w:rsidP="006B04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lang w:val="es-AR"/>
        </w:rPr>
      </w:pPr>
      <w:r w:rsidRPr="00896F1A">
        <w:rPr>
          <w:rFonts w:asciiTheme="majorHAnsi" w:hAnsiTheme="majorHAnsi"/>
          <w:sz w:val="20"/>
          <w:szCs w:val="20"/>
          <w:lang w:val="es-ES"/>
        </w:rPr>
        <w:t>Declarar admisible la presente petición en relación con</w:t>
      </w:r>
      <w:r w:rsidR="00234585" w:rsidRPr="00896F1A">
        <w:rPr>
          <w:rFonts w:asciiTheme="majorHAnsi" w:hAnsiTheme="majorHAnsi"/>
          <w:sz w:val="20"/>
          <w:szCs w:val="20"/>
          <w:lang w:val="es-ES"/>
        </w:rPr>
        <w:t xml:space="preserve"> los artículos </w:t>
      </w:r>
      <w:r w:rsidR="00054557">
        <w:rPr>
          <w:rFonts w:asciiTheme="majorHAnsi" w:hAnsiTheme="majorHAnsi"/>
          <w:sz w:val="20"/>
          <w:szCs w:val="20"/>
          <w:lang w:val="es-ES"/>
        </w:rPr>
        <w:t xml:space="preserve">3, </w:t>
      </w:r>
      <w:r w:rsidR="00234585" w:rsidRPr="00896F1A">
        <w:rPr>
          <w:rFonts w:asciiTheme="majorHAnsi" w:hAnsiTheme="majorHAnsi"/>
          <w:sz w:val="20"/>
          <w:szCs w:val="20"/>
          <w:lang w:val="es-ES"/>
        </w:rPr>
        <w:t>4, 5,</w:t>
      </w:r>
      <w:r w:rsidR="00604A15">
        <w:rPr>
          <w:rFonts w:asciiTheme="majorHAnsi" w:hAnsiTheme="majorHAnsi"/>
          <w:sz w:val="20"/>
          <w:szCs w:val="20"/>
          <w:lang w:val="es-ES"/>
        </w:rPr>
        <w:t xml:space="preserve"> 7,</w:t>
      </w:r>
      <w:r w:rsidR="00234585" w:rsidRPr="00896F1A">
        <w:rPr>
          <w:rFonts w:asciiTheme="majorHAnsi" w:hAnsiTheme="majorHAnsi"/>
          <w:sz w:val="20"/>
          <w:szCs w:val="20"/>
          <w:lang w:val="es-ES"/>
        </w:rPr>
        <w:t xml:space="preserve"> 8,</w:t>
      </w:r>
      <w:r w:rsidR="00604A15">
        <w:rPr>
          <w:rFonts w:asciiTheme="majorHAnsi" w:hAnsiTheme="majorHAnsi"/>
          <w:sz w:val="20"/>
          <w:szCs w:val="20"/>
          <w:lang w:val="es-ES"/>
        </w:rPr>
        <w:t xml:space="preserve"> 11</w:t>
      </w:r>
      <w:r w:rsidR="00234585" w:rsidRPr="00896F1A">
        <w:rPr>
          <w:rFonts w:asciiTheme="majorHAnsi" w:hAnsiTheme="majorHAnsi"/>
          <w:sz w:val="20"/>
          <w:szCs w:val="20"/>
          <w:lang w:val="es-ES"/>
        </w:rPr>
        <w:t xml:space="preserve"> y 25 de la Convención Americana en concordancia con su</w:t>
      </w:r>
      <w:r w:rsidR="00054557">
        <w:rPr>
          <w:rFonts w:asciiTheme="majorHAnsi" w:hAnsiTheme="majorHAnsi"/>
          <w:sz w:val="20"/>
          <w:szCs w:val="20"/>
          <w:lang w:val="es-ES"/>
        </w:rPr>
        <w:t>s</w:t>
      </w:r>
      <w:r w:rsidR="00234585" w:rsidRPr="00896F1A">
        <w:rPr>
          <w:rFonts w:asciiTheme="majorHAnsi" w:hAnsiTheme="majorHAnsi"/>
          <w:sz w:val="20"/>
          <w:szCs w:val="20"/>
          <w:lang w:val="es-ES"/>
        </w:rPr>
        <w:t xml:space="preserve"> artículo</w:t>
      </w:r>
      <w:r w:rsidR="00054557">
        <w:rPr>
          <w:rFonts w:asciiTheme="majorHAnsi" w:hAnsiTheme="majorHAnsi"/>
          <w:sz w:val="20"/>
          <w:szCs w:val="20"/>
          <w:lang w:val="es-ES"/>
        </w:rPr>
        <w:t>s</w:t>
      </w:r>
      <w:r w:rsidR="00234585" w:rsidRPr="00896F1A">
        <w:rPr>
          <w:rFonts w:asciiTheme="majorHAnsi" w:hAnsiTheme="majorHAnsi"/>
          <w:sz w:val="20"/>
          <w:szCs w:val="20"/>
          <w:lang w:val="es-ES"/>
        </w:rPr>
        <w:t xml:space="preserve"> 1.1</w:t>
      </w:r>
      <w:r w:rsidR="00054557">
        <w:rPr>
          <w:rFonts w:asciiTheme="majorHAnsi" w:hAnsiTheme="majorHAnsi"/>
          <w:sz w:val="20"/>
          <w:szCs w:val="20"/>
          <w:lang w:val="es-ES"/>
        </w:rPr>
        <w:t xml:space="preserve"> y 2</w:t>
      </w:r>
      <w:r w:rsidR="00A758AA" w:rsidRPr="00896F1A">
        <w:rPr>
          <w:rFonts w:asciiTheme="majorHAnsi" w:hAnsiTheme="majorHAnsi"/>
          <w:sz w:val="20"/>
          <w:szCs w:val="20"/>
          <w:lang w:val="es-ES"/>
        </w:rPr>
        <w:t>;</w:t>
      </w:r>
      <w:r w:rsidR="00234585" w:rsidRPr="00896F1A">
        <w:rPr>
          <w:rFonts w:asciiTheme="majorHAnsi" w:hAnsiTheme="majorHAnsi"/>
          <w:sz w:val="20"/>
          <w:szCs w:val="20"/>
          <w:lang w:val="es-ES"/>
        </w:rPr>
        <w:t xml:space="preserve"> </w:t>
      </w:r>
    </w:p>
    <w:p w:rsidR="004A6A54" w:rsidRPr="00896F1A" w:rsidRDefault="004A6A54" w:rsidP="006B04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96F1A">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8D4096" w:rsidRDefault="008D4096" w:rsidP="008D409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24</w:t>
      </w:r>
      <w:r w:rsidRPr="002B7B81">
        <w:rPr>
          <w:rFonts w:ascii="Cambria" w:hAnsi="Cambria"/>
          <w:sz w:val="20"/>
          <w:szCs w:val="20"/>
          <w:lang w:val="es-ES"/>
        </w:rPr>
        <w:t xml:space="preserve"> días del mes de </w:t>
      </w:r>
      <w:r>
        <w:rPr>
          <w:rFonts w:ascii="Cambria" w:hAnsi="Cambria"/>
          <w:sz w:val="20"/>
          <w:szCs w:val="20"/>
          <w:lang w:val="es-ES"/>
        </w:rPr>
        <w:t>abril</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y </w:t>
      </w:r>
      <w:proofErr w:type="spellStart"/>
      <w:r w:rsidRPr="002B7B81">
        <w:rPr>
          <w:rFonts w:ascii="Cambria" w:hAnsi="Cambria"/>
          <w:sz w:val="20"/>
          <w:szCs w:val="20"/>
          <w:lang w:val="es-ES"/>
        </w:rPr>
        <w:t>Flávia</w:t>
      </w:r>
      <w:proofErr w:type="spellEnd"/>
      <w:r w:rsidRPr="002B7B81">
        <w:rPr>
          <w:rFonts w:ascii="Cambria" w:hAnsi="Cambria"/>
          <w:sz w:val="20"/>
          <w:szCs w:val="20"/>
          <w:lang w:val="es-ES"/>
        </w:rPr>
        <w:t xml:space="preserve"> </w:t>
      </w:r>
      <w:proofErr w:type="spellStart"/>
      <w:r w:rsidRPr="002B7B81">
        <w:rPr>
          <w:rFonts w:ascii="Cambria" w:hAnsi="Cambria"/>
          <w:sz w:val="20"/>
          <w:szCs w:val="20"/>
          <w:lang w:val="es-ES"/>
        </w:rPr>
        <w:t>Piovesan</w:t>
      </w:r>
      <w:proofErr w:type="spellEnd"/>
      <w:r w:rsidRPr="002B7B81">
        <w:rPr>
          <w:rFonts w:ascii="Cambria" w:hAnsi="Cambria"/>
          <w:sz w:val="20"/>
          <w:szCs w:val="20"/>
          <w:lang w:val="es-ES"/>
        </w:rPr>
        <w:t>, Miembros de la Comisión.</w:t>
      </w:r>
    </w:p>
    <w:p w:rsidR="008D4096" w:rsidRDefault="008D4096" w:rsidP="008D409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8D768D" w:rsidRPr="00896F1A" w:rsidRDefault="008D4096" w:rsidP="00625F0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Cambria" w:hAnsi="Cambria"/>
          <w:sz w:val="20"/>
          <w:szCs w:val="20"/>
          <w:lang w:val="es-ES"/>
        </w:rPr>
        <w:tab/>
      </w:r>
    </w:p>
    <w:p w:rsidR="00722C9F" w:rsidRPr="008D4096" w:rsidRDefault="00722C9F" w:rsidP="00974491">
      <w:pPr>
        <w:rPr>
          <w:rFonts w:asciiTheme="majorHAnsi" w:hAnsiTheme="majorHAnsi" w:cs="Calibri"/>
          <w:sz w:val="20"/>
          <w:szCs w:val="20"/>
          <w:lang w:val="pt-BR"/>
        </w:rPr>
      </w:pPr>
    </w:p>
    <w:sectPr w:rsidR="00722C9F" w:rsidRPr="008D409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A5" w:rsidRDefault="00306CA5">
      <w:r>
        <w:separator/>
      </w:r>
    </w:p>
  </w:endnote>
  <w:endnote w:type="continuationSeparator" w:id="0">
    <w:p w:rsidR="00306CA5" w:rsidRDefault="0030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A7" w:rsidRDefault="007D1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604A15" w:rsidRPr="00934A2C" w:rsidRDefault="00604A1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D19A7">
          <w:rPr>
            <w:noProof/>
            <w:sz w:val="16"/>
            <w:szCs w:val="22"/>
          </w:rPr>
          <w:t>1</w:t>
        </w:r>
        <w:r w:rsidRPr="00934A2C">
          <w:rPr>
            <w:noProof/>
            <w:sz w:val="16"/>
            <w:szCs w:val="22"/>
          </w:rPr>
          <w:fldChar w:fldCharType="end"/>
        </w:r>
      </w:p>
    </w:sdtContent>
  </w:sdt>
  <w:p w:rsidR="00604A15" w:rsidRDefault="00604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15" w:rsidRPr="00934A2C" w:rsidRDefault="00604A15">
    <w:pPr>
      <w:pStyle w:val="Footer"/>
      <w:jc w:val="center"/>
      <w:rPr>
        <w:sz w:val="16"/>
        <w:szCs w:val="22"/>
      </w:rPr>
    </w:pPr>
  </w:p>
  <w:p w:rsidR="00604A15" w:rsidRDefault="00604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A5" w:rsidRPr="000F35ED" w:rsidRDefault="00306CA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06CA5" w:rsidRPr="000F35ED" w:rsidRDefault="00306CA5" w:rsidP="000F35ED">
      <w:pPr>
        <w:rPr>
          <w:rFonts w:asciiTheme="majorHAnsi" w:hAnsiTheme="majorHAnsi"/>
          <w:sz w:val="16"/>
          <w:szCs w:val="16"/>
        </w:rPr>
      </w:pPr>
      <w:r w:rsidRPr="000F35ED">
        <w:rPr>
          <w:rFonts w:asciiTheme="majorHAnsi" w:hAnsiTheme="majorHAnsi"/>
          <w:sz w:val="16"/>
          <w:szCs w:val="16"/>
        </w:rPr>
        <w:separator/>
      </w:r>
    </w:p>
    <w:p w:rsidR="00306CA5" w:rsidRPr="000F35ED" w:rsidRDefault="00306CA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06CA5" w:rsidRPr="000F35ED" w:rsidRDefault="00306CA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604A15" w:rsidRPr="00E62179" w:rsidRDefault="00604A15" w:rsidP="006520D0">
      <w:pPr>
        <w:pStyle w:val="FootnoteText"/>
        <w:ind w:firstLine="720"/>
        <w:jc w:val="both"/>
        <w:rPr>
          <w:rFonts w:asciiTheme="majorHAnsi" w:hAnsiTheme="majorHAnsi"/>
          <w:sz w:val="16"/>
          <w:szCs w:val="16"/>
          <w:lang w:val="es-AR"/>
        </w:rPr>
      </w:pPr>
      <w:r w:rsidRPr="00E62179">
        <w:rPr>
          <w:rStyle w:val="FootnoteReference"/>
          <w:rFonts w:asciiTheme="majorHAnsi" w:hAnsiTheme="majorHAnsi"/>
          <w:sz w:val="16"/>
          <w:szCs w:val="16"/>
        </w:rPr>
        <w:footnoteRef/>
      </w:r>
      <w:r w:rsidRPr="00E62179">
        <w:rPr>
          <w:rFonts w:asciiTheme="majorHAnsi" w:hAnsiTheme="majorHAnsi"/>
          <w:sz w:val="16"/>
          <w:szCs w:val="16"/>
          <w:lang w:val="es-AR"/>
        </w:rPr>
        <w:t xml:space="preserve"> </w:t>
      </w:r>
      <w:r w:rsidR="007F34FA">
        <w:rPr>
          <w:rFonts w:asciiTheme="majorHAnsi" w:hAnsiTheme="majorHAnsi"/>
          <w:sz w:val="16"/>
          <w:szCs w:val="16"/>
          <w:lang w:val="es-AR"/>
        </w:rPr>
        <w:t xml:space="preserve">El peticionario identifica como familiares a: </w:t>
      </w:r>
      <w:proofErr w:type="spellStart"/>
      <w:r w:rsidRPr="00E62179">
        <w:rPr>
          <w:rFonts w:asciiTheme="majorHAnsi" w:hAnsiTheme="majorHAnsi"/>
          <w:sz w:val="16"/>
          <w:szCs w:val="16"/>
          <w:lang w:val="es-AR"/>
        </w:rPr>
        <w:t>Berlin</w:t>
      </w:r>
      <w:proofErr w:type="spellEnd"/>
      <w:r w:rsidRPr="00E62179">
        <w:rPr>
          <w:rFonts w:asciiTheme="majorHAnsi" w:hAnsiTheme="majorHAnsi"/>
          <w:sz w:val="16"/>
          <w:szCs w:val="16"/>
          <w:lang w:val="es-AR"/>
        </w:rPr>
        <w:t xml:space="preserve"> Rentería Serna (madre), Ángel Parra Rentería (padre)</w:t>
      </w:r>
      <w:r>
        <w:rPr>
          <w:rFonts w:asciiTheme="majorHAnsi" w:hAnsiTheme="majorHAnsi"/>
          <w:sz w:val="16"/>
          <w:szCs w:val="16"/>
          <w:lang w:val="es-AR"/>
        </w:rPr>
        <w:t>, Dina Luz</w:t>
      </w:r>
      <w:r w:rsidR="006520D0">
        <w:rPr>
          <w:rFonts w:asciiTheme="majorHAnsi" w:hAnsiTheme="majorHAnsi"/>
          <w:sz w:val="16"/>
          <w:szCs w:val="16"/>
          <w:lang w:val="es-AR"/>
        </w:rPr>
        <w:t xml:space="preserve"> Parra (tía)</w:t>
      </w:r>
      <w:r>
        <w:rPr>
          <w:rFonts w:asciiTheme="majorHAnsi" w:hAnsiTheme="majorHAnsi"/>
          <w:sz w:val="16"/>
          <w:szCs w:val="16"/>
          <w:lang w:val="es-AR"/>
        </w:rPr>
        <w:t>, Angel y Diana Milena Parra Rentería (hermanos)</w:t>
      </w:r>
      <w:r w:rsidR="006520D0">
        <w:rPr>
          <w:rFonts w:asciiTheme="majorHAnsi" w:hAnsiTheme="majorHAnsi"/>
          <w:sz w:val="16"/>
          <w:szCs w:val="16"/>
          <w:lang w:val="es-AR"/>
        </w:rPr>
        <w:t>.</w:t>
      </w:r>
    </w:p>
  </w:footnote>
  <w:footnote w:id="3">
    <w:p w:rsidR="00604A15" w:rsidRPr="00E62179" w:rsidRDefault="00604A15" w:rsidP="00896F1A">
      <w:pPr>
        <w:pStyle w:val="FootnoteText"/>
        <w:ind w:firstLine="720"/>
        <w:jc w:val="both"/>
        <w:rPr>
          <w:rFonts w:asciiTheme="majorHAnsi" w:hAnsiTheme="majorHAnsi"/>
          <w:sz w:val="16"/>
          <w:szCs w:val="16"/>
          <w:lang w:val="es-ES"/>
        </w:rPr>
      </w:pPr>
      <w:r w:rsidRPr="00E62179">
        <w:rPr>
          <w:rStyle w:val="FootnoteReference"/>
          <w:rFonts w:asciiTheme="majorHAnsi" w:hAnsiTheme="majorHAnsi"/>
          <w:sz w:val="16"/>
          <w:szCs w:val="16"/>
        </w:rPr>
        <w:footnoteRef/>
      </w:r>
      <w:r w:rsidRPr="00E62179">
        <w:rPr>
          <w:rFonts w:asciiTheme="majorHAnsi" w:hAnsiTheme="majorHAnsi"/>
          <w:sz w:val="16"/>
          <w:szCs w:val="16"/>
          <w:lang w:val="es-ES"/>
        </w:rPr>
        <w:t xml:space="preserve"> Conforme a lo dispuesto en el artículo 17.2.a del Reglamento de la Comisión, el Comisionado Luis Ernesto Vargas Silva, de nacionalidad Colombiana, no participó en el debate ni en la decisión del presente asunto.</w:t>
      </w:r>
    </w:p>
  </w:footnote>
  <w:footnote w:id="4">
    <w:p w:rsidR="00604A15" w:rsidRPr="00197E08" w:rsidRDefault="00604A15" w:rsidP="00197E08">
      <w:pPr>
        <w:pStyle w:val="FootnoteText"/>
        <w:ind w:firstLine="720"/>
        <w:jc w:val="both"/>
        <w:rPr>
          <w:rFonts w:asciiTheme="majorHAnsi" w:hAnsiTheme="majorHAnsi"/>
          <w:sz w:val="16"/>
          <w:szCs w:val="16"/>
          <w:lang w:val="es-PA"/>
        </w:rPr>
      </w:pPr>
      <w:r w:rsidRPr="00197E08">
        <w:rPr>
          <w:rStyle w:val="FootnoteReference"/>
          <w:rFonts w:asciiTheme="majorHAnsi" w:hAnsiTheme="majorHAnsi"/>
          <w:sz w:val="16"/>
          <w:szCs w:val="16"/>
        </w:rPr>
        <w:footnoteRef/>
      </w:r>
      <w:r w:rsidRPr="00197E08">
        <w:rPr>
          <w:rFonts w:asciiTheme="majorHAnsi" w:hAnsiTheme="majorHAnsi"/>
          <w:sz w:val="16"/>
          <w:szCs w:val="16"/>
          <w:lang w:val="es-PA"/>
        </w:rPr>
        <w:t xml:space="preserve"> En adelante  “la Convención Americana” o “la Convención”.</w:t>
      </w:r>
    </w:p>
  </w:footnote>
  <w:footnote w:id="5">
    <w:p w:rsidR="00604A15" w:rsidRPr="00197E08" w:rsidRDefault="00604A15" w:rsidP="00197E08">
      <w:pPr>
        <w:pStyle w:val="FootnoteText"/>
        <w:ind w:firstLine="720"/>
        <w:rPr>
          <w:lang w:val="es-PA"/>
        </w:rPr>
      </w:pPr>
      <w:r w:rsidRPr="00197E08">
        <w:rPr>
          <w:rStyle w:val="FootnoteReference"/>
          <w:rFonts w:asciiTheme="majorHAnsi" w:hAnsiTheme="majorHAnsi"/>
          <w:sz w:val="16"/>
          <w:szCs w:val="16"/>
        </w:rPr>
        <w:footnoteRef/>
      </w:r>
      <w:r w:rsidRPr="00197E08">
        <w:rPr>
          <w:rFonts w:asciiTheme="majorHAnsi" w:hAnsiTheme="majorHAnsi"/>
          <w:sz w:val="16"/>
          <w:szCs w:val="16"/>
          <w:lang w:val="es-PA"/>
        </w:rPr>
        <w:t xml:space="preserve"> En adelante “la Declaración Americana” o “la Declaración”</w:t>
      </w:r>
      <w:r>
        <w:rPr>
          <w:rFonts w:asciiTheme="majorHAnsi" w:hAnsiTheme="majorHAnsi"/>
          <w:sz w:val="16"/>
          <w:szCs w:val="16"/>
          <w:lang w:val="es-PA"/>
        </w:rPr>
        <w:t>.</w:t>
      </w:r>
    </w:p>
  </w:footnote>
  <w:footnote w:id="6">
    <w:p w:rsidR="00604A15" w:rsidRPr="00537490" w:rsidRDefault="00604A15" w:rsidP="00896F1A">
      <w:pPr>
        <w:pStyle w:val="FootnoteText"/>
        <w:spacing w:after="120"/>
        <w:ind w:firstLine="720"/>
        <w:jc w:val="both"/>
        <w:rPr>
          <w:rFonts w:ascii="Cambria" w:hAnsi="Cambria"/>
          <w:sz w:val="16"/>
          <w:szCs w:val="16"/>
          <w:lang w:val="es-ES"/>
        </w:rPr>
      </w:pPr>
      <w:r w:rsidRPr="00E62179">
        <w:rPr>
          <w:rStyle w:val="FootnoteReference"/>
          <w:rFonts w:asciiTheme="majorHAnsi" w:hAnsiTheme="majorHAnsi"/>
          <w:sz w:val="16"/>
          <w:szCs w:val="16"/>
        </w:rPr>
        <w:footnoteRef/>
      </w:r>
      <w:r w:rsidRPr="00E62179">
        <w:rPr>
          <w:rFonts w:asciiTheme="majorHAnsi" w:hAnsiTheme="majorHAnsi"/>
          <w:sz w:val="16"/>
          <w:szCs w:val="16"/>
          <w:lang w:val="es-ES"/>
        </w:rPr>
        <w:t xml:space="preserve"> Las observaciones de cada parte fueron debidamente trasladadas a la parte contraria.</w:t>
      </w:r>
    </w:p>
  </w:footnote>
  <w:footnote w:id="7">
    <w:p w:rsidR="004D0D6F" w:rsidRPr="002D109F" w:rsidRDefault="004D0D6F" w:rsidP="00697AC3">
      <w:pPr>
        <w:pStyle w:val="FootnoteText"/>
        <w:ind w:firstLine="720"/>
        <w:jc w:val="both"/>
        <w:rPr>
          <w:rFonts w:asciiTheme="majorHAnsi" w:hAnsiTheme="majorHAnsi"/>
          <w:sz w:val="16"/>
          <w:szCs w:val="16"/>
          <w:lang w:val="es-AR"/>
        </w:rPr>
      </w:pPr>
      <w:r>
        <w:rPr>
          <w:rStyle w:val="FootnoteReference"/>
        </w:rPr>
        <w:footnoteRef/>
      </w:r>
      <w:r w:rsidRPr="002D109F">
        <w:rPr>
          <w:lang w:val="es-AR"/>
        </w:rPr>
        <w:t xml:space="preserve"> </w:t>
      </w:r>
      <w:r w:rsidRPr="000B65AF">
        <w:rPr>
          <w:rFonts w:asciiTheme="majorHAnsi" w:hAnsiTheme="majorHAnsi"/>
          <w:sz w:val="16"/>
          <w:szCs w:val="16"/>
          <w:lang w:val="es-AR"/>
        </w:rPr>
        <w:t xml:space="preserve">CIDH, Informe Nº 55/13. Petición 375-07. Admisibilidad. Spencer </w:t>
      </w:r>
      <w:proofErr w:type="spellStart"/>
      <w:r w:rsidRPr="000B65AF">
        <w:rPr>
          <w:rFonts w:asciiTheme="majorHAnsi" w:hAnsiTheme="majorHAnsi"/>
          <w:sz w:val="16"/>
          <w:szCs w:val="16"/>
          <w:lang w:val="es-AR"/>
        </w:rPr>
        <w:t>Friend</w:t>
      </w:r>
      <w:proofErr w:type="spellEnd"/>
      <w:r w:rsidRPr="000B65AF">
        <w:rPr>
          <w:rFonts w:asciiTheme="majorHAnsi" w:hAnsiTheme="majorHAnsi"/>
          <w:sz w:val="16"/>
          <w:szCs w:val="16"/>
          <w:lang w:val="es-AR"/>
        </w:rPr>
        <w:t xml:space="preserve"> </w:t>
      </w:r>
      <w:proofErr w:type="spellStart"/>
      <w:r w:rsidRPr="000B65AF">
        <w:rPr>
          <w:rFonts w:asciiTheme="majorHAnsi" w:hAnsiTheme="majorHAnsi"/>
          <w:sz w:val="16"/>
          <w:szCs w:val="16"/>
          <w:lang w:val="es-AR"/>
        </w:rPr>
        <w:t>Montehermoso</w:t>
      </w:r>
      <w:proofErr w:type="spellEnd"/>
      <w:r w:rsidRPr="000B65AF">
        <w:rPr>
          <w:rFonts w:asciiTheme="majorHAnsi" w:hAnsiTheme="majorHAnsi"/>
          <w:sz w:val="16"/>
          <w:szCs w:val="16"/>
          <w:lang w:val="es-AR"/>
        </w:rPr>
        <w:t xml:space="preserve"> y otros. Guatemala. 16 de julio de 2013, párr. 31; CIDH, Informe No.49/14, Petición 1196/07, Admisibilidad. Juan Carlos Martínez Gil, Colombia, 21 de julio de 2014, párr. 29; CIDH, Informe No. 72/18, Petición 1131-08, Admisibilidad. Moisés de Jesús Hernández Pinto y familia. Guatemala, 20 de junio de 2018, párr. 10; CIDH, Informe No. 81/18. Petición 190-07. Admisibilidad. Edgar José Sánchez Duarte. Colombia. 7 de julio de 2018, párr. 13; CIDH, Informe No. 89/18. Petición 1110-07. Admisibilidad. Juan Simón Cantillo </w:t>
      </w:r>
      <w:proofErr w:type="spellStart"/>
      <w:r w:rsidRPr="000B65AF">
        <w:rPr>
          <w:rFonts w:asciiTheme="majorHAnsi" w:hAnsiTheme="majorHAnsi"/>
          <w:sz w:val="16"/>
          <w:szCs w:val="16"/>
          <w:lang w:val="es-AR"/>
        </w:rPr>
        <w:t>Raigoza</w:t>
      </w:r>
      <w:proofErr w:type="spellEnd"/>
      <w:r w:rsidRPr="000B65AF">
        <w:rPr>
          <w:rFonts w:asciiTheme="majorHAnsi" w:hAnsiTheme="majorHAnsi"/>
          <w:sz w:val="16"/>
          <w:szCs w:val="16"/>
          <w:lang w:val="es-AR"/>
        </w:rPr>
        <w:t xml:space="preserve">, Keyla </w:t>
      </w:r>
      <w:proofErr w:type="spellStart"/>
      <w:r w:rsidRPr="000B65AF">
        <w:rPr>
          <w:rFonts w:asciiTheme="majorHAnsi" w:hAnsiTheme="majorHAnsi"/>
          <w:sz w:val="16"/>
          <w:szCs w:val="16"/>
          <w:lang w:val="es-AR"/>
        </w:rPr>
        <w:t>Sandrith</w:t>
      </w:r>
      <w:proofErr w:type="spellEnd"/>
      <w:r w:rsidRPr="000B65AF">
        <w:rPr>
          <w:rFonts w:asciiTheme="majorHAnsi" w:hAnsiTheme="majorHAnsi"/>
          <w:sz w:val="16"/>
          <w:szCs w:val="16"/>
          <w:lang w:val="es-AR"/>
        </w:rPr>
        <w:t xml:space="preserve"> Cantillo Vides y Familia. Colombia. 27 de julio de 2018, párr. 10; CIDH, Informe No. 126/18, Admisibilidad. Luis Mariano </w:t>
      </w:r>
      <w:proofErr w:type="spellStart"/>
      <w:r w:rsidRPr="000B65AF">
        <w:rPr>
          <w:rFonts w:asciiTheme="majorHAnsi" w:hAnsiTheme="majorHAnsi"/>
          <w:sz w:val="16"/>
          <w:szCs w:val="16"/>
          <w:lang w:val="es-AR"/>
        </w:rPr>
        <w:t>Pertuz</w:t>
      </w:r>
      <w:proofErr w:type="spellEnd"/>
      <w:r w:rsidRPr="000B65AF">
        <w:rPr>
          <w:rFonts w:asciiTheme="majorHAnsi" w:hAnsiTheme="majorHAnsi"/>
          <w:sz w:val="16"/>
          <w:szCs w:val="16"/>
          <w:lang w:val="es-AR"/>
        </w:rPr>
        <w:t xml:space="preserve"> Lara y familia. Colombia, 19 de octubre 2018, párr. 10.</w:t>
      </w:r>
    </w:p>
  </w:footnote>
  <w:footnote w:id="8">
    <w:p w:rsidR="00404A8A" w:rsidRPr="00073578" w:rsidRDefault="00404A8A" w:rsidP="00697AC3">
      <w:pPr>
        <w:pStyle w:val="FootnoteText"/>
        <w:ind w:firstLine="720"/>
        <w:jc w:val="both"/>
        <w:rPr>
          <w:lang w:val="es-AR"/>
        </w:rPr>
      </w:pPr>
      <w:r>
        <w:rPr>
          <w:rStyle w:val="FootnoteReference"/>
        </w:rPr>
        <w:footnoteRef/>
      </w:r>
      <w:r w:rsidRPr="00073578">
        <w:rPr>
          <w:lang w:val="es-AR"/>
        </w:rPr>
        <w:t xml:space="preserve"> </w:t>
      </w:r>
      <w:r w:rsidRPr="000B65AF">
        <w:rPr>
          <w:rFonts w:asciiTheme="majorHAnsi" w:hAnsiTheme="majorHAnsi"/>
          <w:sz w:val="16"/>
          <w:szCs w:val="16"/>
          <w:lang w:val="es-AR"/>
        </w:rPr>
        <w:t>CIDH, Verdad, justicia y reparación: Cuarto informe sobre la situación de los derechos humanos en Colombia, 31 de diciembre de 2013, párr. 467.</w:t>
      </w:r>
    </w:p>
  </w:footnote>
  <w:footnote w:id="9">
    <w:p w:rsidR="00604A15" w:rsidRPr="00E9598C" w:rsidRDefault="00604A15" w:rsidP="00697AC3">
      <w:pPr>
        <w:pStyle w:val="FootnoteText"/>
        <w:ind w:firstLine="720"/>
        <w:jc w:val="both"/>
        <w:rPr>
          <w:rFonts w:ascii="Cambria" w:hAnsi="Cambria"/>
          <w:sz w:val="16"/>
          <w:szCs w:val="16"/>
          <w:lang w:val="es-AR"/>
        </w:rPr>
      </w:pPr>
      <w:r w:rsidRPr="00E9598C">
        <w:rPr>
          <w:rStyle w:val="FootnoteReference"/>
          <w:rFonts w:ascii="Cambria" w:hAnsi="Cambria"/>
          <w:sz w:val="16"/>
          <w:szCs w:val="16"/>
        </w:rPr>
        <w:footnoteRef/>
      </w:r>
      <w:r w:rsidRPr="00E9598C">
        <w:rPr>
          <w:rFonts w:ascii="Cambria" w:hAnsi="Cambria"/>
          <w:sz w:val="16"/>
          <w:szCs w:val="16"/>
          <w:lang w:val="es-AR"/>
        </w:rPr>
        <w:t xml:space="preserve"> CIDH, Informe Nº 50/08 (Admisibilidad), Petición 298-2007 Admisibilidad, Néstor Jose </w:t>
      </w:r>
      <w:proofErr w:type="spellStart"/>
      <w:r w:rsidRPr="00E9598C">
        <w:rPr>
          <w:rFonts w:ascii="Cambria" w:hAnsi="Cambria"/>
          <w:sz w:val="16"/>
          <w:szCs w:val="16"/>
          <w:lang w:val="es-AR"/>
        </w:rPr>
        <w:t>Uzcategui</w:t>
      </w:r>
      <w:proofErr w:type="spellEnd"/>
      <w:r w:rsidRPr="00E9598C">
        <w:rPr>
          <w:rFonts w:ascii="Cambria" w:hAnsi="Cambria"/>
          <w:sz w:val="16"/>
          <w:szCs w:val="16"/>
          <w:lang w:val="es-AR"/>
        </w:rPr>
        <w:t xml:space="preserve"> y otros, Venezuela, 24 de julio de 2008, párr. </w:t>
      </w:r>
      <w:r w:rsidRPr="000031EF">
        <w:rPr>
          <w:rFonts w:ascii="Cambria" w:hAnsi="Cambria"/>
          <w:sz w:val="16"/>
          <w:szCs w:val="16"/>
          <w:lang w:val="es-PA"/>
        </w:rPr>
        <w:t>42.</w:t>
      </w:r>
    </w:p>
  </w:footnote>
  <w:footnote w:id="10">
    <w:p w:rsidR="00604A15" w:rsidRPr="00DA3F9E" w:rsidRDefault="00604A15" w:rsidP="00697AC3">
      <w:pPr>
        <w:pStyle w:val="FootnoteText"/>
        <w:ind w:firstLine="720"/>
        <w:jc w:val="both"/>
        <w:rPr>
          <w:rFonts w:ascii="Cambria" w:hAnsi="Cambria"/>
          <w:sz w:val="16"/>
          <w:szCs w:val="16"/>
          <w:lang w:val="es-AR"/>
        </w:rPr>
      </w:pPr>
      <w:r w:rsidRPr="00DA3F9E">
        <w:rPr>
          <w:rStyle w:val="FootnoteReference"/>
          <w:rFonts w:ascii="Cambria" w:hAnsi="Cambria"/>
          <w:sz w:val="16"/>
          <w:szCs w:val="16"/>
        </w:rPr>
        <w:footnoteRef/>
      </w:r>
      <w:r w:rsidRPr="00DA3F9E">
        <w:rPr>
          <w:rFonts w:ascii="Cambria" w:hAnsi="Cambria"/>
          <w:sz w:val="16"/>
          <w:szCs w:val="16"/>
          <w:lang w:val="es-AR"/>
        </w:rPr>
        <w:t xml:space="preserve"> CIDH, Informe No. 40/18. Admisibilidad. Nelson Enrique Giraldo Ramírez y familia. Colombia. 4 de mayo de 2018, párr. 16; CIDH, Informe No. 89/18. Petición 1110-07. Admisibilidad. Juan Simón Cantillo </w:t>
      </w:r>
      <w:proofErr w:type="spellStart"/>
      <w:r w:rsidRPr="00DA3F9E">
        <w:rPr>
          <w:rFonts w:ascii="Cambria" w:hAnsi="Cambria"/>
          <w:sz w:val="16"/>
          <w:szCs w:val="16"/>
          <w:lang w:val="es-AR"/>
        </w:rPr>
        <w:t>Raigoza</w:t>
      </w:r>
      <w:proofErr w:type="spellEnd"/>
      <w:r w:rsidRPr="00DA3F9E">
        <w:rPr>
          <w:rFonts w:ascii="Cambria" w:hAnsi="Cambria"/>
          <w:sz w:val="16"/>
          <w:szCs w:val="16"/>
          <w:lang w:val="es-AR"/>
        </w:rPr>
        <w:t xml:space="preserve">, Keyla </w:t>
      </w:r>
      <w:proofErr w:type="spellStart"/>
      <w:r w:rsidRPr="00DA3F9E">
        <w:rPr>
          <w:rFonts w:ascii="Cambria" w:hAnsi="Cambria"/>
          <w:sz w:val="16"/>
          <w:szCs w:val="16"/>
          <w:lang w:val="es-AR"/>
        </w:rPr>
        <w:t>Sandrith</w:t>
      </w:r>
      <w:proofErr w:type="spellEnd"/>
      <w:r w:rsidRPr="00DA3F9E">
        <w:rPr>
          <w:rFonts w:ascii="Cambria" w:hAnsi="Cambria"/>
          <w:sz w:val="16"/>
          <w:szCs w:val="16"/>
          <w:lang w:val="es-AR"/>
        </w:rPr>
        <w:t xml:space="preserve"> Cantillo Vides y Familia. Colombia. 27 de julio de 2018, párr. 11.</w:t>
      </w:r>
    </w:p>
  </w:footnote>
  <w:footnote w:id="11">
    <w:p w:rsidR="00604A15" w:rsidRPr="008E0BC9" w:rsidRDefault="00604A15" w:rsidP="00896F1A">
      <w:pPr>
        <w:pStyle w:val="FootnoteText"/>
        <w:ind w:left="720"/>
        <w:jc w:val="both"/>
        <w:rPr>
          <w:rFonts w:asciiTheme="majorHAnsi" w:hAnsiTheme="majorHAnsi"/>
          <w:sz w:val="16"/>
          <w:szCs w:val="16"/>
          <w:lang w:val="es-AR"/>
        </w:rPr>
      </w:pPr>
      <w:r w:rsidRPr="008E0BC9">
        <w:rPr>
          <w:rStyle w:val="FootnoteReference"/>
          <w:rFonts w:asciiTheme="majorHAnsi" w:hAnsiTheme="majorHAnsi"/>
          <w:sz w:val="16"/>
          <w:szCs w:val="16"/>
        </w:rPr>
        <w:footnoteRef/>
      </w:r>
      <w:r w:rsidRPr="008E0BC9">
        <w:rPr>
          <w:rFonts w:asciiTheme="majorHAnsi" w:hAnsiTheme="majorHAnsi"/>
          <w:sz w:val="16"/>
          <w:szCs w:val="16"/>
          <w:lang w:val="es-AR"/>
        </w:rPr>
        <w:t xml:space="preserve"> CIDH, Informe No. 40/18. Admisibilidad. Nelson Enrique Giraldo Ramírez y familia. Colombia. 4 de mayo de 2018, párr. 20; CIDH, Informe No. 81/18. Petición 190-07. Admisibilidad. </w:t>
      </w:r>
      <w:r w:rsidRPr="008E0BC9">
        <w:rPr>
          <w:rFonts w:asciiTheme="majorHAnsi" w:hAnsiTheme="majorHAnsi"/>
          <w:sz w:val="16"/>
          <w:szCs w:val="16"/>
        </w:rPr>
        <w:t xml:space="preserve">Edgar José Sánchez Duarte. Colombia. 7 de </w:t>
      </w:r>
      <w:proofErr w:type="spellStart"/>
      <w:proofErr w:type="gramStart"/>
      <w:r w:rsidRPr="008E0BC9">
        <w:rPr>
          <w:rFonts w:asciiTheme="majorHAnsi" w:hAnsiTheme="majorHAnsi"/>
          <w:sz w:val="16"/>
          <w:szCs w:val="16"/>
        </w:rPr>
        <w:t>julio</w:t>
      </w:r>
      <w:proofErr w:type="spellEnd"/>
      <w:proofErr w:type="gramEnd"/>
      <w:r w:rsidRPr="008E0BC9">
        <w:rPr>
          <w:rFonts w:asciiTheme="majorHAnsi" w:hAnsiTheme="majorHAnsi"/>
          <w:sz w:val="16"/>
          <w:szCs w:val="16"/>
        </w:rPr>
        <w:t xml:space="preserve"> de 2018, </w:t>
      </w:r>
      <w:proofErr w:type="spellStart"/>
      <w:r w:rsidRPr="008E0BC9">
        <w:rPr>
          <w:rFonts w:asciiTheme="majorHAnsi" w:hAnsiTheme="majorHAnsi"/>
          <w:sz w:val="16"/>
          <w:szCs w:val="16"/>
        </w:rPr>
        <w:t>párr</w:t>
      </w:r>
      <w:proofErr w:type="spellEnd"/>
      <w:r w:rsidRPr="008E0BC9">
        <w:rPr>
          <w:rFonts w:asciiTheme="majorHAnsi" w:hAnsiTheme="majorHAnsi"/>
          <w:sz w:val="16"/>
          <w:szCs w:val="16"/>
        </w:rPr>
        <w:t>.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15" w:rsidRDefault="00604A15" w:rsidP="008323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04A15" w:rsidRDefault="00604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15" w:rsidRDefault="00604A1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604A15" w:rsidRPr="00EC7D62" w:rsidRDefault="00306CA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A7" w:rsidRDefault="007D1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1DF83208"/>
    <w:lvl w:ilvl="0" w:tplc="CB5C02DE">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8CE10FD"/>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15E208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0"/>
  </w:num>
  <w:num w:numId="5">
    <w:abstractNumId w:val="46"/>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4"/>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8"/>
  </w:num>
  <w:num w:numId="53">
    <w:abstractNumId w:val="49"/>
  </w:num>
  <w:num w:numId="54">
    <w:abstractNumId w:val="43"/>
  </w:num>
  <w:num w:numId="55">
    <w:abstractNumId w:val="4"/>
  </w:num>
  <w:num w:numId="56">
    <w:abstractNumId w:val="40"/>
  </w:num>
  <w:num w:numId="57">
    <w:abstractNumId w:val="41"/>
  </w:num>
  <w:num w:numId="58">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778"/>
    <w:rsid w:val="000031EF"/>
    <w:rsid w:val="00006E1F"/>
    <w:rsid w:val="000070D7"/>
    <w:rsid w:val="00012ECE"/>
    <w:rsid w:val="00014E8E"/>
    <w:rsid w:val="0001788C"/>
    <w:rsid w:val="00025051"/>
    <w:rsid w:val="000337EF"/>
    <w:rsid w:val="0003534E"/>
    <w:rsid w:val="00040C3A"/>
    <w:rsid w:val="000419AD"/>
    <w:rsid w:val="000433C9"/>
    <w:rsid w:val="0004360D"/>
    <w:rsid w:val="00054557"/>
    <w:rsid w:val="0006251D"/>
    <w:rsid w:val="0007071A"/>
    <w:rsid w:val="000716C5"/>
    <w:rsid w:val="00073578"/>
    <w:rsid w:val="00075E23"/>
    <w:rsid w:val="00080CFF"/>
    <w:rsid w:val="00080DF0"/>
    <w:rsid w:val="00085009"/>
    <w:rsid w:val="0009323E"/>
    <w:rsid w:val="0009344A"/>
    <w:rsid w:val="000A1232"/>
    <w:rsid w:val="000A392E"/>
    <w:rsid w:val="000A575F"/>
    <w:rsid w:val="000B1E6A"/>
    <w:rsid w:val="000B431B"/>
    <w:rsid w:val="000B7996"/>
    <w:rsid w:val="000D05CB"/>
    <w:rsid w:val="000D10DB"/>
    <w:rsid w:val="000D538F"/>
    <w:rsid w:val="000E4B07"/>
    <w:rsid w:val="000E5EB5"/>
    <w:rsid w:val="000F1987"/>
    <w:rsid w:val="000F35ED"/>
    <w:rsid w:val="000F42AE"/>
    <w:rsid w:val="00102CE3"/>
    <w:rsid w:val="00107131"/>
    <w:rsid w:val="0010736F"/>
    <w:rsid w:val="00113F73"/>
    <w:rsid w:val="00114150"/>
    <w:rsid w:val="00121CC2"/>
    <w:rsid w:val="00125C7D"/>
    <w:rsid w:val="001301D2"/>
    <w:rsid w:val="0013117C"/>
    <w:rsid w:val="00133EE5"/>
    <w:rsid w:val="00146EA2"/>
    <w:rsid w:val="00154535"/>
    <w:rsid w:val="0015559E"/>
    <w:rsid w:val="00156B84"/>
    <w:rsid w:val="00167A34"/>
    <w:rsid w:val="00167CC3"/>
    <w:rsid w:val="001817E2"/>
    <w:rsid w:val="00181DEE"/>
    <w:rsid w:val="00196226"/>
    <w:rsid w:val="00197E08"/>
    <w:rsid w:val="001A1A25"/>
    <w:rsid w:val="001A36A1"/>
    <w:rsid w:val="001A7870"/>
    <w:rsid w:val="001B3A00"/>
    <w:rsid w:val="001B6542"/>
    <w:rsid w:val="001C1264"/>
    <w:rsid w:val="001C1B41"/>
    <w:rsid w:val="001C67B7"/>
    <w:rsid w:val="001C75C5"/>
    <w:rsid w:val="001D1638"/>
    <w:rsid w:val="001D65EF"/>
    <w:rsid w:val="001E49E7"/>
    <w:rsid w:val="001E4D0F"/>
    <w:rsid w:val="001E62D2"/>
    <w:rsid w:val="001F511D"/>
    <w:rsid w:val="001F6E5F"/>
    <w:rsid w:val="001F7201"/>
    <w:rsid w:val="002017F7"/>
    <w:rsid w:val="00207B17"/>
    <w:rsid w:val="00211862"/>
    <w:rsid w:val="00212919"/>
    <w:rsid w:val="00222BAA"/>
    <w:rsid w:val="00223A29"/>
    <w:rsid w:val="002250A3"/>
    <w:rsid w:val="0023414C"/>
    <w:rsid w:val="00234585"/>
    <w:rsid w:val="00235217"/>
    <w:rsid w:val="00246D1F"/>
    <w:rsid w:val="00247403"/>
    <w:rsid w:val="00247542"/>
    <w:rsid w:val="002531C5"/>
    <w:rsid w:val="00266B61"/>
    <w:rsid w:val="0026712A"/>
    <w:rsid w:val="002704DB"/>
    <w:rsid w:val="00272C4A"/>
    <w:rsid w:val="002816F9"/>
    <w:rsid w:val="002A0AAE"/>
    <w:rsid w:val="002A5820"/>
    <w:rsid w:val="002B519F"/>
    <w:rsid w:val="002D109F"/>
    <w:rsid w:val="002D2B26"/>
    <w:rsid w:val="002D7EA2"/>
    <w:rsid w:val="002E12C5"/>
    <w:rsid w:val="002E187C"/>
    <w:rsid w:val="002E3855"/>
    <w:rsid w:val="002E6DE3"/>
    <w:rsid w:val="002F621D"/>
    <w:rsid w:val="00302733"/>
    <w:rsid w:val="00306CA5"/>
    <w:rsid w:val="00314078"/>
    <w:rsid w:val="0031535D"/>
    <w:rsid w:val="00316D0A"/>
    <w:rsid w:val="003232EE"/>
    <w:rsid w:val="003239B8"/>
    <w:rsid w:val="00326520"/>
    <w:rsid w:val="003265C0"/>
    <w:rsid w:val="0033169F"/>
    <w:rsid w:val="00341E2B"/>
    <w:rsid w:val="00344977"/>
    <w:rsid w:val="00346C95"/>
    <w:rsid w:val="00354C52"/>
    <w:rsid w:val="00356185"/>
    <w:rsid w:val="00360380"/>
    <w:rsid w:val="003604CE"/>
    <w:rsid w:val="003630A2"/>
    <w:rsid w:val="003657C5"/>
    <w:rsid w:val="0037045D"/>
    <w:rsid w:val="0037519E"/>
    <w:rsid w:val="00386CF0"/>
    <w:rsid w:val="00390AE1"/>
    <w:rsid w:val="00393546"/>
    <w:rsid w:val="003A09BB"/>
    <w:rsid w:val="003B70FB"/>
    <w:rsid w:val="003C676B"/>
    <w:rsid w:val="003D3BC2"/>
    <w:rsid w:val="003E6CA1"/>
    <w:rsid w:val="00400341"/>
    <w:rsid w:val="00404A8A"/>
    <w:rsid w:val="004065A8"/>
    <w:rsid w:val="004165C2"/>
    <w:rsid w:val="004229BD"/>
    <w:rsid w:val="00426B31"/>
    <w:rsid w:val="00432A02"/>
    <w:rsid w:val="00441ECB"/>
    <w:rsid w:val="00445193"/>
    <w:rsid w:val="00446FCA"/>
    <w:rsid w:val="00447E0E"/>
    <w:rsid w:val="00462C1B"/>
    <w:rsid w:val="00467B7E"/>
    <w:rsid w:val="00473BB4"/>
    <w:rsid w:val="00477592"/>
    <w:rsid w:val="00482034"/>
    <w:rsid w:val="00486DD9"/>
    <w:rsid w:val="00486F1C"/>
    <w:rsid w:val="00486FD7"/>
    <w:rsid w:val="00492F96"/>
    <w:rsid w:val="0049419D"/>
    <w:rsid w:val="004A6A54"/>
    <w:rsid w:val="004B2951"/>
    <w:rsid w:val="004B2ABB"/>
    <w:rsid w:val="004B370B"/>
    <w:rsid w:val="004B6837"/>
    <w:rsid w:val="004C20D2"/>
    <w:rsid w:val="004C2312"/>
    <w:rsid w:val="004C4B62"/>
    <w:rsid w:val="004C4ED6"/>
    <w:rsid w:val="004C54C9"/>
    <w:rsid w:val="004D0D6F"/>
    <w:rsid w:val="004D48DD"/>
    <w:rsid w:val="004D4ABA"/>
    <w:rsid w:val="004D6025"/>
    <w:rsid w:val="004E2649"/>
    <w:rsid w:val="004E4D33"/>
    <w:rsid w:val="004E586A"/>
    <w:rsid w:val="004F03CB"/>
    <w:rsid w:val="004F5DD6"/>
    <w:rsid w:val="00501399"/>
    <w:rsid w:val="00502149"/>
    <w:rsid w:val="0050633D"/>
    <w:rsid w:val="00506609"/>
    <w:rsid w:val="00507BC4"/>
    <w:rsid w:val="0051068D"/>
    <w:rsid w:val="005128E4"/>
    <w:rsid w:val="005133DB"/>
    <w:rsid w:val="00525560"/>
    <w:rsid w:val="00526A50"/>
    <w:rsid w:val="00544C49"/>
    <w:rsid w:val="005516A1"/>
    <w:rsid w:val="00552BC3"/>
    <w:rsid w:val="00555D6F"/>
    <w:rsid w:val="00563557"/>
    <w:rsid w:val="0057402A"/>
    <w:rsid w:val="005771D0"/>
    <w:rsid w:val="0059191A"/>
    <w:rsid w:val="005921FF"/>
    <w:rsid w:val="005936B3"/>
    <w:rsid w:val="00594827"/>
    <w:rsid w:val="005A24ED"/>
    <w:rsid w:val="005A6D0E"/>
    <w:rsid w:val="005B52B0"/>
    <w:rsid w:val="005B6806"/>
    <w:rsid w:val="005B6B6F"/>
    <w:rsid w:val="005B7BBA"/>
    <w:rsid w:val="005C3863"/>
    <w:rsid w:val="005C4225"/>
    <w:rsid w:val="005C4F34"/>
    <w:rsid w:val="005E7F3E"/>
    <w:rsid w:val="005F0DAD"/>
    <w:rsid w:val="005F0F33"/>
    <w:rsid w:val="00600DEB"/>
    <w:rsid w:val="00601BC8"/>
    <w:rsid w:val="00604A15"/>
    <w:rsid w:val="006118E0"/>
    <w:rsid w:val="006131C5"/>
    <w:rsid w:val="006147E4"/>
    <w:rsid w:val="00624F1A"/>
    <w:rsid w:val="00625F03"/>
    <w:rsid w:val="00627C9F"/>
    <w:rsid w:val="00630589"/>
    <w:rsid w:val="006311E9"/>
    <w:rsid w:val="00632354"/>
    <w:rsid w:val="0064270F"/>
    <w:rsid w:val="00642810"/>
    <w:rsid w:val="00650339"/>
    <w:rsid w:val="006520D0"/>
    <w:rsid w:val="00652333"/>
    <w:rsid w:val="00653CFA"/>
    <w:rsid w:val="0065589C"/>
    <w:rsid w:val="006565E2"/>
    <w:rsid w:val="00656731"/>
    <w:rsid w:val="00666E28"/>
    <w:rsid w:val="00676E35"/>
    <w:rsid w:val="0068009E"/>
    <w:rsid w:val="00687CA3"/>
    <w:rsid w:val="00690A76"/>
    <w:rsid w:val="00692219"/>
    <w:rsid w:val="006969B0"/>
    <w:rsid w:val="00697AC3"/>
    <w:rsid w:val="006A17D2"/>
    <w:rsid w:val="006A73E6"/>
    <w:rsid w:val="006A7931"/>
    <w:rsid w:val="006B043A"/>
    <w:rsid w:val="006B11A2"/>
    <w:rsid w:val="006B2D5C"/>
    <w:rsid w:val="006C3A80"/>
    <w:rsid w:val="006C4EB1"/>
    <w:rsid w:val="006C66BF"/>
    <w:rsid w:val="006E0166"/>
    <w:rsid w:val="006E2FFB"/>
    <w:rsid w:val="006E7B34"/>
    <w:rsid w:val="006F0975"/>
    <w:rsid w:val="00702B32"/>
    <w:rsid w:val="0070697F"/>
    <w:rsid w:val="00714E0A"/>
    <w:rsid w:val="00715310"/>
    <w:rsid w:val="00716B7E"/>
    <w:rsid w:val="0071710F"/>
    <w:rsid w:val="0072199C"/>
    <w:rsid w:val="00722C9F"/>
    <w:rsid w:val="007253B8"/>
    <w:rsid w:val="00726539"/>
    <w:rsid w:val="0073741F"/>
    <w:rsid w:val="00746C92"/>
    <w:rsid w:val="00747C08"/>
    <w:rsid w:val="00751AC3"/>
    <w:rsid w:val="007579CB"/>
    <w:rsid w:val="0076643F"/>
    <w:rsid w:val="00777F63"/>
    <w:rsid w:val="00781DB8"/>
    <w:rsid w:val="007A4D81"/>
    <w:rsid w:val="007A5817"/>
    <w:rsid w:val="007B05C4"/>
    <w:rsid w:val="007B60E9"/>
    <w:rsid w:val="007B6CC3"/>
    <w:rsid w:val="007B76D3"/>
    <w:rsid w:val="007C126C"/>
    <w:rsid w:val="007C3334"/>
    <w:rsid w:val="007C620E"/>
    <w:rsid w:val="007D19A7"/>
    <w:rsid w:val="007D2B98"/>
    <w:rsid w:val="007E21BC"/>
    <w:rsid w:val="007E27F4"/>
    <w:rsid w:val="007E7C82"/>
    <w:rsid w:val="007F34FA"/>
    <w:rsid w:val="007F588D"/>
    <w:rsid w:val="007F6E87"/>
    <w:rsid w:val="00802E35"/>
    <w:rsid w:val="00803F1C"/>
    <w:rsid w:val="0080600E"/>
    <w:rsid w:val="0081147B"/>
    <w:rsid w:val="008140A9"/>
    <w:rsid w:val="00817612"/>
    <w:rsid w:val="008323A4"/>
    <w:rsid w:val="008338A4"/>
    <w:rsid w:val="00834D49"/>
    <w:rsid w:val="00837C45"/>
    <w:rsid w:val="00844730"/>
    <w:rsid w:val="008457C2"/>
    <w:rsid w:val="0084647A"/>
    <w:rsid w:val="008577A8"/>
    <w:rsid w:val="00857A82"/>
    <w:rsid w:val="00857F7F"/>
    <w:rsid w:val="00873836"/>
    <w:rsid w:val="00877015"/>
    <w:rsid w:val="00877116"/>
    <w:rsid w:val="00885737"/>
    <w:rsid w:val="00890650"/>
    <w:rsid w:val="0089362E"/>
    <w:rsid w:val="00896F1A"/>
    <w:rsid w:val="0089719E"/>
    <w:rsid w:val="00897E12"/>
    <w:rsid w:val="008A3D2D"/>
    <w:rsid w:val="008A7E0F"/>
    <w:rsid w:val="008B12F5"/>
    <w:rsid w:val="008B2268"/>
    <w:rsid w:val="008C0728"/>
    <w:rsid w:val="008C252D"/>
    <w:rsid w:val="008C7463"/>
    <w:rsid w:val="008D4096"/>
    <w:rsid w:val="008D6C53"/>
    <w:rsid w:val="008D768D"/>
    <w:rsid w:val="008E1D22"/>
    <w:rsid w:val="008E3759"/>
    <w:rsid w:val="008E3BFE"/>
    <w:rsid w:val="008F1912"/>
    <w:rsid w:val="00901827"/>
    <w:rsid w:val="00901B02"/>
    <w:rsid w:val="0090270B"/>
    <w:rsid w:val="009041DC"/>
    <w:rsid w:val="009134C0"/>
    <w:rsid w:val="009168AE"/>
    <w:rsid w:val="00917B5A"/>
    <w:rsid w:val="00920A58"/>
    <w:rsid w:val="00920A8C"/>
    <w:rsid w:val="00921C3D"/>
    <w:rsid w:val="009311C3"/>
    <w:rsid w:val="00931405"/>
    <w:rsid w:val="00934A2C"/>
    <w:rsid w:val="00940EA0"/>
    <w:rsid w:val="00947F9D"/>
    <w:rsid w:val="0096706E"/>
    <w:rsid w:val="00970000"/>
    <w:rsid w:val="00974491"/>
    <w:rsid w:val="00975C4E"/>
    <w:rsid w:val="009807EE"/>
    <w:rsid w:val="00981FBA"/>
    <w:rsid w:val="009820BD"/>
    <w:rsid w:val="0098536E"/>
    <w:rsid w:val="00997BC5"/>
    <w:rsid w:val="009A4F41"/>
    <w:rsid w:val="009B381B"/>
    <w:rsid w:val="009B762F"/>
    <w:rsid w:val="009C0884"/>
    <w:rsid w:val="009C1F68"/>
    <w:rsid w:val="009C74E7"/>
    <w:rsid w:val="009C7AF3"/>
    <w:rsid w:val="009D1753"/>
    <w:rsid w:val="009D353C"/>
    <w:rsid w:val="009D7611"/>
    <w:rsid w:val="009E080A"/>
    <w:rsid w:val="009E0B61"/>
    <w:rsid w:val="009E53DE"/>
    <w:rsid w:val="009F1C3B"/>
    <w:rsid w:val="009F5F38"/>
    <w:rsid w:val="00A11212"/>
    <w:rsid w:val="00A11E44"/>
    <w:rsid w:val="00A26E35"/>
    <w:rsid w:val="00A328B3"/>
    <w:rsid w:val="00A44296"/>
    <w:rsid w:val="00A45B1B"/>
    <w:rsid w:val="00A50FCF"/>
    <w:rsid w:val="00A528D1"/>
    <w:rsid w:val="00A610CD"/>
    <w:rsid w:val="00A66284"/>
    <w:rsid w:val="00A72146"/>
    <w:rsid w:val="00A758AA"/>
    <w:rsid w:val="00A84E68"/>
    <w:rsid w:val="00A87FD2"/>
    <w:rsid w:val="00A90200"/>
    <w:rsid w:val="00A915D8"/>
    <w:rsid w:val="00A977FD"/>
    <w:rsid w:val="00AA09A2"/>
    <w:rsid w:val="00AA7811"/>
    <w:rsid w:val="00AA7996"/>
    <w:rsid w:val="00AC19CB"/>
    <w:rsid w:val="00AC24A6"/>
    <w:rsid w:val="00AE1DDF"/>
    <w:rsid w:val="00AE22F3"/>
    <w:rsid w:val="00AE5488"/>
    <w:rsid w:val="00AE6F91"/>
    <w:rsid w:val="00AF0437"/>
    <w:rsid w:val="00AF5571"/>
    <w:rsid w:val="00B009F6"/>
    <w:rsid w:val="00B0515B"/>
    <w:rsid w:val="00B07341"/>
    <w:rsid w:val="00B22DE3"/>
    <w:rsid w:val="00B30488"/>
    <w:rsid w:val="00B30539"/>
    <w:rsid w:val="00B314DB"/>
    <w:rsid w:val="00B33A32"/>
    <w:rsid w:val="00B361F2"/>
    <w:rsid w:val="00B3718B"/>
    <w:rsid w:val="00B3745F"/>
    <w:rsid w:val="00B4632A"/>
    <w:rsid w:val="00B520C2"/>
    <w:rsid w:val="00B530F1"/>
    <w:rsid w:val="00B553C7"/>
    <w:rsid w:val="00B67B65"/>
    <w:rsid w:val="00B70A5A"/>
    <w:rsid w:val="00BA276C"/>
    <w:rsid w:val="00BB289F"/>
    <w:rsid w:val="00BB306F"/>
    <w:rsid w:val="00BB46C3"/>
    <w:rsid w:val="00BD4B89"/>
    <w:rsid w:val="00BD5922"/>
    <w:rsid w:val="00BE34F0"/>
    <w:rsid w:val="00BF02CB"/>
    <w:rsid w:val="00BF3430"/>
    <w:rsid w:val="00BF475C"/>
    <w:rsid w:val="00BF6FD8"/>
    <w:rsid w:val="00C03680"/>
    <w:rsid w:val="00C054DF"/>
    <w:rsid w:val="00C108A6"/>
    <w:rsid w:val="00C21762"/>
    <w:rsid w:val="00C21897"/>
    <w:rsid w:val="00C21FEF"/>
    <w:rsid w:val="00C24543"/>
    <w:rsid w:val="00C256A2"/>
    <w:rsid w:val="00C41239"/>
    <w:rsid w:val="00C456A3"/>
    <w:rsid w:val="00C456E6"/>
    <w:rsid w:val="00C46514"/>
    <w:rsid w:val="00C51515"/>
    <w:rsid w:val="00C5660B"/>
    <w:rsid w:val="00C620E1"/>
    <w:rsid w:val="00C621B1"/>
    <w:rsid w:val="00C66B72"/>
    <w:rsid w:val="00C75C67"/>
    <w:rsid w:val="00C77CD9"/>
    <w:rsid w:val="00C80069"/>
    <w:rsid w:val="00C80627"/>
    <w:rsid w:val="00C80A14"/>
    <w:rsid w:val="00C83345"/>
    <w:rsid w:val="00C87AC4"/>
    <w:rsid w:val="00C9567A"/>
    <w:rsid w:val="00C9784B"/>
    <w:rsid w:val="00CA3EB4"/>
    <w:rsid w:val="00CB212D"/>
    <w:rsid w:val="00CB2660"/>
    <w:rsid w:val="00CC5E90"/>
    <w:rsid w:val="00CD046C"/>
    <w:rsid w:val="00CD29C3"/>
    <w:rsid w:val="00CD3D18"/>
    <w:rsid w:val="00CD4BE6"/>
    <w:rsid w:val="00CD4DAC"/>
    <w:rsid w:val="00CD6096"/>
    <w:rsid w:val="00CE076C"/>
    <w:rsid w:val="00CE1720"/>
    <w:rsid w:val="00CE3CEF"/>
    <w:rsid w:val="00CE5199"/>
    <w:rsid w:val="00CE5A74"/>
    <w:rsid w:val="00CE66D5"/>
    <w:rsid w:val="00CE7AF9"/>
    <w:rsid w:val="00CF0337"/>
    <w:rsid w:val="00CF313A"/>
    <w:rsid w:val="00CF637A"/>
    <w:rsid w:val="00D01F16"/>
    <w:rsid w:val="00D059DE"/>
    <w:rsid w:val="00D05ABD"/>
    <w:rsid w:val="00D13FCE"/>
    <w:rsid w:val="00D15F54"/>
    <w:rsid w:val="00D306D1"/>
    <w:rsid w:val="00D30800"/>
    <w:rsid w:val="00D34786"/>
    <w:rsid w:val="00D37BFC"/>
    <w:rsid w:val="00D47A8E"/>
    <w:rsid w:val="00D51D0A"/>
    <w:rsid w:val="00D52D14"/>
    <w:rsid w:val="00D60C26"/>
    <w:rsid w:val="00D6386D"/>
    <w:rsid w:val="00D712D3"/>
    <w:rsid w:val="00D71422"/>
    <w:rsid w:val="00D72DC6"/>
    <w:rsid w:val="00D7558D"/>
    <w:rsid w:val="00D77185"/>
    <w:rsid w:val="00D80E19"/>
    <w:rsid w:val="00D81D92"/>
    <w:rsid w:val="00D822C6"/>
    <w:rsid w:val="00D876F9"/>
    <w:rsid w:val="00D90EDF"/>
    <w:rsid w:val="00DA2673"/>
    <w:rsid w:val="00DA48BE"/>
    <w:rsid w:val="00DA78FC"/>
    <w:rsid w:val="00DA7B5F"/>
    <w:rsid w:val="00DC061D"/>
    <w:rsid w:val="00DC11E7"/>
    <w:rsid w:val="00DC12F4"/>
    <w:rsid w:val="00DC24E3"/>
    <w:rsid w:val="00DC7023"/>
    <w:rsid w:val="00DC769A"/>
    <w:rsid w:val="00DD3D86"/>
    <w:rsid w:val="00DD4AD2"/>
    <w:rsid w:val="00DD5310"/>
    <w:rsid w:val="00DD6ABE"/>
    <w:rsid w:val="00DD6C81"/>
    <w:rsid w:val="00DE3E2B"/>
    <w:rsid w:val="00DF0959"/>
    <w:rsid w:val="00DF1EC4"/>
    <w:rsid w:val="00DF57BC"/>
    <w:rsid w:val="00E0340B"/>
    <w:rsid w:val="00E04A90"/>
    <w:rsid w:val="00E0551F"/>
    <w:rsid w:val="00E17516"/>
    <w:rsid w:val="00E219C7"/>
    <w:rsid w:val="00E2316B"/>
    <w:rsid w:val="00E32941"/>
    <w:rsid w:val="00E4118C"/>
    <w:rsid w:val="00E43157"/>
    <w:rsid w:val="00E461CE"/>
    <w:rsid w:val="00E527A6"/>
    <w:rsid w:val="00E55EA3"/>
    <w:rsid w:val="00E61384"/>
    <w:rsid w:val="00E62179"/>
    <w:rsid w:val="00E720CA"/>
    <w:rsid w:val="00E7223A"/>
    <w:rsid w:val="00E83259"/>
    <w:rsid w:val="00E84EB5"/>
    <w:rsid w:val="00E85662"/>
    <w:rsid w:val="00E86FF3"/>
    <w:rsid w:val="00E8789F"/>
    <w:rsid w:val="00E9105F"/>
    <w:rsid w:val="00E93214"/>
    <w:rsid w:val="00E97B71"/>
    <w:rsid w:val="00EA3D34"/>
    <w:rsid w:val="00EB2AD0"/>
    <w:rsid w:val="00EB3B7A"/>
    <w:rsid w:val="00EB454D"/>
    <w:rsid w:val="00EC1A20"/>
    <w:rsid w:val="00EC45F7"/>
    <w:rsid w:val="00ED549D"/>
    <w:rsid w:val="00ED76BE"/>
    <w:rsid w:val="00EE00E9"/>
    <w:rsid w:val="00EF3AE6"/>
    <w:rsid w:val="00EF619B"/>
    <w:rsid w:val="00F00B55"/>
    <w:rsid w:val="00F02AD1"/>
    <w:rsid w:val="00F15BB4"/>
    <w:rsid w:val="00F1625C"/>
    <w:rsid w:val="00F253CC"/>
    <w:rsid w:val="00F254A9"/>
    <w:rsid w:val="00F37106"/>
    <w:rsid w:val="00F519CF"/>
    <w:rsid w:val="00F54E0E"/>
    <w:rsid w:val="00F56BA5"/>
    <w:rsid w:val="00F60E22"/>
    <w:rsid w:val="00F61610"/>
    <w:rsid w:val="00F656E3"/>
    <w:rsid w:val="00F65B36"/>
    <w:rsid w:val="00F70BF4"/>
    <w:rsid w:val="00F71FD6"/>
    <w:rsid w:val="00F74BAD"/>
    <w:rsid w:val="00F75C9F"/>
    <w:rsid w:val="00F7665E"/>
    <w:rsid w:val="00F81395"/>
    <w:rsid w:val="00F81BB8"/>
    <w:rsid w:val="00F862B3"/>
    <w:rsid w:val="00F917D1"/>
    <w:rsid w:val="00F927FB"/>
    <w:rsid w:val="00F9653B"/>
    <w:rsid w:val="00FA3031"/>
    <w:rsid w:val="00FB19F3"/>
    <w:rsid w:val="00FB62CF"/>
    <w:rsid w:val="00FC3BA1"/>
    <w:rsid w:val="00FD3C3B"/>
    <w:rsid w:val="00FE07DD"/>
    <w:rsid w:val="00FE6600"/>
    <w:rsid w:val="00FE6A60"/>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4D33"/>
    <w:rPr>
      <w:sz w:val="16"/>
      <w:szCs w:val="16"/>
    </w:rPr>
  </w:style>
  <w:style w:type="paragraph" w:styleId="CommentText">
    <w:name w:val="annotation text"/>
    <w:basedOn w:val="Normal"/>
    <w:link w:val="CommentTextChar"/>
    <w:uiPriority w:val="99"/>
    <w:semiHidden/>
    <w:unhideWhenUsed/>
    <w:rsid w:val="004E4D33"/>
    <w:rPr>
      <w:sz w:val="20"/>
      <w:szCs w:val="20"/>
    </w:rPr>
  </w:style>
  <w:style w:type="character" w:customStyle="1" w:styleId="CommentTextChar">
    <w:name w:val="Comment Text Char"/>
    <w:basedOn w:val="DefaultParagraphFont"/>
    <w:link w:val="CommentText"/>
    <w:uiPriority w:val="99"/>
    <w:semiHidden/>
    <w:rsid w:val="004E4D33"/>
    <w:rPr>
      <w:lang w:val="en-US" w:eastAsia="en-US"/>
    </w:rPr>
  </w:style>
  <w:style w:type="paragraph" w:styleId="CommentSubject">
    <w:name w:val="annotation subject"/>
    <w:basedOn w:val="CommentText"/>
    <w:next w:val="CommentText"/>
    <w:link w:val="CommentSubjectChar"/>
    <w:uiPriority w:val="99"/>
    <w:semiHidden/>
    <w:unhideWhenUsed/>
    <w:rsid w:val="004E4D33"/>
    <w:rPr>
      <w:b/>
      <w:bCs/>
    </w:rPr>
  </w:style>
  <w:style w:type="character" w:customStyle="1" w:styleId="CommentSubjectChar">
    <w:name w:val="Comment Subject Char"/>
    <w:basedOn w:val="CommentTextChar"/>
    <w:link w:val="CommentSubject"/>
    <w:uiPriority w:val="99"/>
    <w:semiHidden/>
    <w:rsid w:val="004E4D3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F6BDF"/>
    <w:rsid w:val="001D66E4"/>
    <w:rsid w:val="00200821"/>
    <w:rsid w:val="00394049"/>
    <w:rsid w:val="004772E5"/>
    <w:rsid w:val="004A2CBA"/>
    <w:rsid w:val="004F2DF8"/>
    <w:rsid w:val="006F5B7C"/>
    <w:rsid w:val="008339C6"/>
    <w:rsid w:val="00895AB6"/>
    <w:rsid w:val="008A1D1D"/>
    <w:rsid w:val="00973AB1"/>
    <w:rsid w:val="009A261B"/>
    <w:rsid w:val="009D426F"/>
    <w:rsid w:val="00AC15A4"/>
    <w:rsid w:val="00B0336C"/>
    <w:rsid w:val="00B36F01"/>
    <w:rsid w:val="00CA380A"/>
    <w:rsid w:val="00CE54CA"/>
    <w:rsid w:val="00E50D52"/>
    <w:rsid w:val="00EA213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51FE-730E-4795-B5DB-392D454B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2910</Words>
  <Characters>15166</Characters>
  <Application>Microsoft Office Word</Application>
  <DocSecurity>0</DocSecurity>
  <Lines>297</Lines>
  <Paragraphs>114</Paragraphs>
  <ScaleCrop>false</ScaleCrop>
  <Company/>
  <LinksUpToDate>false</LinksUpToDate>
  <CharactersWithSpaces>17962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49/19</dc:title>
  <dc:creator/>
  <cp:lastModifiedBy/>
  <cp:revision>1</cp:revision>
  <dcterms:created xsi:type="dcterms:W3CDTF">2019-06-24T14:36:00Z</dcterms:created>
  <dcterms:modified xsi:type="dcterms:W3CDTF">2019-06-24T14:36:00Z</dcterms:modified>
</cp:coreProperties>
</file>