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006B74" w:rsidRDefault="00D306D1" w:rsidP="00627C9F">
      <w:pPr>
        <w:jc w:val="both"/>
        <w:rPr>
          <w:rFonts w:asciiTheme="majorHAnsi" w:hAnsiTheme="majorHAnsi" w:cs="Univers"/>
          <w:b/>
          <w:bCs/>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rect w14:anchorId="2D2312D2"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006B74">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006B74"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006B74" w:rsidRDefault="005128E4" w:rsidP="00040C3A">
      <w:pPr>
        <w:tabs>
          <w:tab w:val="center" w:pos="5400"/>
        </w:tabs>
        <w:suppressAutoHyphens/>
        <w:rPr>
          <w:rFonts w:asciiTheme="majorHAnsi" w:hAnsiTheme="majorHAnsi"/>
          <w:sz w:val="22"/>
          <w:szCs w:val="22"/>
          <w:lang w:val="es-ES"/>
        </w:rPr>
      </w:pPr>
    </w:p>
    <w:p w14:paraId="12A36B24" w14:textId="77777777" w:rsidR="005128E4" w:rsidRPr="00006B74" w:rsidRDefault="005128E4" w:rsidP="00040C3A">
      <w:pPr>
        <w:tabs>
          <w:tab w:val="center" w:pos="5400"/>
        </w:tabs>
        <w:suppressAutoHyphens/>
        <w:rPr>
          <w:rFonts w:asciiTheme="majorHAnsi" w:hAnsiTheme="majorHAnsi"/>
          <w:sz w:val="22"/>
          <w:szCs w:val="22"/>
          <w:lang w:val="es-ES"/>
        </w:rPr>
      </w:pPr>
    </w:p>
    <w:p w14:paraId="2252093D" w14:textId="77777777" w:rsidR="005128E4" w:rsidRPr="00006B74" w:rsidRDefault="005128E4" w:rsidP="00040C3A">
      <w:pPr>
        <w:tabs>
          <w:tab w:val="center" w:pos="5400"/>
        </w:tabs>
        <w:suppressAutoHyphens/>
        <w:rPr>
          <w:rFonts w:asciiTheme="majorHAnsi" w:hAnsiTheme="majorHAnsi"/>
          <w:sz w:val="22"/>
          <w:szCs w:val="22"/>
          <w:lang w:val="es-ES"/>
        </w:rPr>
      </w:pPr>
    </w:p>
    <w:p w14:paraId="403935BD"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006B74"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006B74"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006B74" w:rsidRDefault="003D3BC2" w:rsidP="00040C3A">
      <w:pPr>
        <w:tabs>
          <w:tab w:val="center" w:pos="5400"/>
        </w:tabs>
        <w:suppressAutoHyphens/>
        <w:jc w:val="center"/>
        <w:rPr>
          <w:rFonts w:asciiTheme="majorHAnsi" w:hAnsiTheme="majorHAnsi"/>
          <w:sz w:val="22"/>
          <w:szCs w:val="22"/>
          <w:lang w:val="es-ES"/>
        </w:rPr>
      </w:pPr>
      <w:r w:rsidRPr="00006B74">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639E388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B40F4">
                              <w:rPr>
                                <w:rFonts w:asciiTheme="majorHAnsi" w:hAnsiTheme="majorHAnsi" w:cs="Arial"/>
                                <w:b/>
                                <w:bCs/>
                                <w:color w:val="0D0D0D" w:themeColor="text1" w:themeTint="F2"/>
                                <w:sz w:val="36"/>
                                <w:szCs w:val="22"/>
                                <w:lang w:val="es-ES_tradnl"/>
                              </w:rPr>
                              <w:t>205</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5A971FA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537AD">
                              <w:rPr>
                                <w:rFonts w:asciiTheme="majorHAnsi" w:hAnsiTheme="majorHAnsi" w:cs="Arial"/>
                                <w:b/>
                                <w:color w:val="0D0D0D" w:themeColor="text1" w:themeTint="F2"/>
                                <w:sz w:val="36"/>
                                <w:szCs w:val="22"/>
                                <w:lang w:val="es-ES_tradnl"/>
                              </w:rPr>
                              <w:t>350-11</w:t>
                            </w:r>
                            <w:r w:rsidR="00246D1F" w:rsidRPr="004E2649">
                              <w:rPr>
                                <w:rFonts w:asciiTheme="majorHAnsi" w:hAnsiTheme="majorHAnsi" w:cs="Arial"/>
                                <w:b/>
                                <w:color w:val="0D0D0D" w:themeColor="text1" w:themeTint="F2"/>
                                <w:sz w:val="36"/>
                                <w:szCs w:val="22"/>
                                <w:lang w:val="es-ES_tradnl"/>
                              </w:rPr>
                              <w:t xml:space="preserve"> </w:t>
                            </w:r>
                          </w:p>
                          <w:p w14:paraId="3108A0DB" w14:textId="77777777" w:rsidR="004537AD" w:rsidRPr="004537AD" w:rsidRDefault="004537AD" w:rsidP="004537AD">
                            <w:pPr>
                              <w:rPr>
                                <w:rFonts w:asciiTheme="majorHAnsi" w:hAnsiTheme="majorHAnsi" w:cs="Arial"/>
                                <w:color w:val="0D0D0D" w:themeColor="text1" w:themeTint="F2"/>
                                <w:szCs w:val="22"/>
                                <w:lang w:val="es-ES_tradnl"/>
                              </w:rPr>
                            </w:pPr>
                            <w:r w:rsidRPr="004537AD">
                              <w:rPr>
                                <w:rFonts w:asciiTheme="majorHAnsi" w:hAnsiTheme="majorHAnsi" w:cs="Arial"/>
                                <w:color w:val="0D0D0D" w:themeColor="text1" w:themeTint="F2"/>
                                <w:szCs w:val="22"/>
                                <w:lang w:val="es-ES_tradnl"/>
                              </w:rPr>
                              <w:t xml:space="preserve">INFORME DE ADMISIBILIDAD </w:t>
                            </w:r>
                          </w:p>
                          <w:p w14:paraId="330FB5F8" w14:textId="77777777" w:rsidR="004537AD" w:rsidRPr="004537AD" w:rsidRDefault="004537AD" w:rsidP="004537AD">
                            <w:pPr>
                              <w:rPr>
                                <w:rFonts w:asciiTheme="majorHAnsi" w:hAnsiTheme="majorHAnsi" w:cs="Arial"/>
                                <w:color w:val="0D0D0D" w:themeColor="text1" w:themeTint="F2"/>
                                <w:szCs w:val="22"/>
                                <w:lang w:val="es-ES_tradnl"/>
                              </w:rPr>
                            </w:pPr>
                            <w:bookmarkStart w:id="1" w:name="_ftnref1"/>
                          </w:p>
                          <w:bookmarkEnd w:id="1"/>
                          <w:p w14:paraId="7CC4BEB6" w14:textId="77777777" w:rsidR="004537AD" w:rsidRPr="004537AD" w:rsidRDefault="004537AD" w:rsidP="004537AD">
                            <w:pPr>
                              <w:rPr>
                                <w:rFonts w:asciiTheme="majorHAnsi" w:hAnsiTheme="majorHAnsi" w:cs="Arial"/>
                                <w:color w:val="0D0D0D" w:themeColor="text1" w:themeTint="F2"/>
                                <w:szCs w:val="22"/>
                                <w:lang w:val="es-AR"/>
                              </w:rPr>
                            </w:pPr>
                            <w:r w:rsidRPr="004537AD">
                              <w:rPr>
                                <w:rFonts w:asciiTheme="majorHAnsi" w:hAnsiTheme="majorHAnsi" w:cs="Arial"/>
                                <w:color w:val="0D0D0D" w:themeColor="text1" w:themeTint="F2"/>
                                <w:szCs w:val="22"/>
                                <w:lang w:val="es-ES_tradnl"/>
                              </w:rPr>
                              <w:t>WALTER ALEJANDRO GARCÍA JAIMES</w:t>
                            </w:r>
                          </w:p>
                          <w:p w14:paraId="575DFD52" w14:textId="22D5413B" w:rsidR="005B52B0" w:rsidRPr="00AE5488" w:rsidRDefault="004537AD" w:rsidP="004537AD">
                            <w:pPr>
                              <w:rPr>
                                <w:color w:val="0D0D0D" w:themeColor="text1" w:themeTint="F2"/>
                                <w:lang w:val="es-ES_tradnl"/>
                              </w:rPr>
                            </w:pPr>
                            <w:r w:rsidRPr="004537AD">
                              <w:rPr>
                                <w:rFonts w:asciiTheme="majorHAnsi" w:hAnsiTheme="majorHAnsi" w:cs="Arial"/>
                                <w:color w:val="0D0D0D" w:themeColor="text1" w:themeTint="F2"/>
                                <w:szCs w:val="22"/>
                                <w:lang w:val="es-ES_tradnl"/>
                              </w:rPr>
                              <w:t>PERÚ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639E3886"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7B05C4">
                        <w:rPr>
                          <w:rFonts w:asciiTheme="majorHAnsi" w:hAnsiTheme="majorHAnsi" w:cs="Arial"/>
                          <w:b/>
                          <w:bCs/>
                          <w:color w:val="0D0D0D" w:themeColor="text1" w:themeTint="F2"/>
                          <w:sz w:val="36"/>
                          <w:szCs w:val="22"/>
                          <w:lang w:val="es-ES_tradnl"/>
                        </w:rPr>
                        <w:t xml:space="preserve"> </w:t>
                      </w:r>
                      <w:r w:rsidR="008B40F4">
                        <w:rPr>
                          <w:rFonts w:asciiTheme="majorHAnsi" w:hAnsiTheme="majorHAnsi" w:cs="Arial"/>
                          <w:b/>
                          <w:bCs/>
                          <w:color w:val="0D0D0D" w:themeColor="text1" w:themeTint="F2"/>
                          <w:sz w:val="36"/>
                          <w:szCs w:val="22"/>
                          <w:lang w:val="es-ES_tradnl"/>
                        </w:rPr>
                        <w:t>205</w:t>
                      </w:r>
                      <w:r w:rsidR="007B05C4">
                        <w:rPr>
                          <w:rFonts w:asciiTheme="majorHAnsi" w:hAnsiTheme="majorHAnsi" w:cs="Arial"/>
                          <w:b/>
                          <w:bCs/>
                          <w:color w:val="0D0D0D" w:themeColor="text1" w:themeTint="F2"/>
                          <w:sz w:val="36"/>
                          <w:szCs w:val="22"/>
                          <w:lang w:val="es-ES_tradnl"/>
                        </w:rPr>
                        <w:t>/</w:t>
                      </w:r>
                      <w:r w:rsidR="00935F06">
                        <w:rPr>
                          <w:rFonts w:asciiTheme="majorHAnsi" w:hAnsiTheme="majorHAnsi" w:cs="Arial"/>
                          <w:b/>
                          <w:bCs/>
                          <w:color w:val="0D0D0D" w:themeColor="text1" w:themeTint="F2"/>
                          <w:sz w:val="36"/>
                          <w:szCs w:val="22"/>
                          <w:lang w:val="es-ES_tradnl"/>
                        </w:rPr>
                        <w:t>19</w:t>
                      </w:r>
                    </w:p>
                    <w:p w14:paraId="09C54AB3" w14:textId="5A971FA1"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4537AD">
                        <w:rPr>
                          <w:rFonts w:asciiTheme="majorHAnsi" w:hAnsiTheme="majorHAnsi" w:cs="Arial"/>
                          <w:b/>
                          <w:color w:val="0D0D0D" w:themeColor="text1" w:themeTint="F2"/>
                          <w:sz w:val="36"/>
                          <w:szCs w:val="22"/>
                          <w:lang w:val="es-ES_tradnl"/>
                        </w:rPr>
                        <w:t>350-11</w:t>
                      </w:r>
                      <w:r w:rsidR="00246D1F" w:rsidRPr="004E2649">
                        <w:rPr>
                          <w:rFonts w:asciiTheme="majorHAnsi" w:hAnsiTheme="majorHAnsi" w:cs="Arial"/>
                          <w:b/>
                          <w:color w:val="0D0D0D" w:themeColor="text1" w:themeTint="F2"/>
                          <w:sz w:val="36"/>
                          <w:szCs w:val="22"/>
                          <w:lang w:val="es-ES_tradnl"/>
                        </w:rPr>
                        <w:t xml:space="preserve"> </w:t>
                      </w:r>
                    </w:p>
                    <w:p w14:paraId="3108A0DB" w14:textId="77777777" w:rsidR="004537AD" w:rsidRPr="004537AD" w:rsidRDefault="004537AD" w:rsidP="004537AD">
                      <w:pPr>
                        <w:rPr>
                          <w:rFonts w:asciiTheme="majorHAnsi" w:hAnsiTheme="majorHAnsi" w:cs="Arial"/>
                          <w:color w:val="0D0D0D" w:themeColor="text1" w:themeTint="F2"/>
                          <w:szCs w:val="22"/>
                          <w:lang w:val="es-ES_tradnl"/>
                        </w:rPr>
                      </w:pPr>
                      <w:r w:rsidRPr="004537AD">
                        <w:rPr>
                          <w:rFonts w:asciiTheme="majorHAnsi" w:hAnsiTheme="majorHAnsi" w:cs="Arial"/>
                          <w:color w:val="0D0D0D" w:themeColor="text1" w:themeTint="F2"/>
                          <w:szCs w:val="22"/>
                          <w:lang w:val="es-ES_tradnl"/>
                        </w:rPr>
                        <w:t xml:space="preserve">INFORME DE ADMISIBILIDAD </w:t>
                      </w:r>
                    </w:p>
                    <w:p w14:paraId="330FB5F8" w14:textId="77777777" w:rsidR="004537AD" w:rsidRPr="004537AD" w:rsidRDefault="004537AD" w:rsidP="004537AD">
                      <w:pPr>
                        <w:rPr>
                          <w:rFonts w:asciiTheme="majorHAnsi" w:hAnsiTheme="majorHAnsi" w:cs="Arial"/>
                          <w:color w:val="0D0D0D" w:themeColor="text1" w:themeTint="F2"/>
                          <w:szCs w:val="22"/>
                          <w:lang w:val="es-ES_tradnl"/>
                        </w:rPr>
                      </w:pPr>
                      <w:bookmarkStart w:id="2" w:name="_ftnref1"/>
                    </w:p>
                    <w:bookmarkEnd w:id="2"/>
                    <w:p w14:paraId="7CC4BEB6" w14:textId="77777777" w:rsidR="004537AD" w:rsidRPr="004537AD" w:rsidRDefault="004537AD" w:rsidP="004537AD">
                      <w:pPr>
                        <w:rPr>
                          <w:rFonts w:asciiTheme="majorHAnsi" w:hAnsiTheme="majorHAnsi" w:cs="Arial"/>
                          <w:color w:val="0D0D0D" w:themeColor="text1" w:themeTint="F2"/>
                          <w:szCs w:val="22"/>
                          <w:lang w:val="es-AR"/>
                        </w:rPr>
                      </w:pPr>
                      <w:r w:rsidRPr="004537AD">
                        <w:rPr>
                          <w:rFonts w:asciiTheme="majorHAnsi" w:hAnsiTheme="majorHAnsi" w:cs="Arial"/>
                          <w:color w:val="0D0D0D" w:themeColor="text1" w:themeTint="F2"/>
                          <w:szCs w:val="22"/>
                          <w:lang w:val="es-ES_tradnl"/>
                        </w:rPr>
                        <w:t>WALTER ALEJANDRO GARCÍA JAIMES</w:t>
                      </w:r>
                    </w:p>
                    <w:p w14:paraId="575DFD52" w14:textId="22D5413B" w:rsidR="005B52B0" w:rsidRPr="00AE5488" w:rsidRDefault="004537AD" w:rsidP="004537AD">
                      <w:pPr>
                        <w:rPr>
                          <w:color w:val="0D0D0D" w:themeColor="text1" w:themeTint="F2"/>
                          <w:lang w:val="es-ES_tradnl"/>
                        </w:rPr>
                      </w:pPr>
                      <w:r w:rsidRPr="004537AD">
                        <w:rPr>
                          <w:rFonts w:asciiTheme="majorHAnsi" w:hAnsiTheme="majorHAnsi" w:cs="Arial"/>
                          <w:color w:val="0D0D0D" w:themeColor="text1" w:themeTint="F2"/>
                          <w:szCs w:val="22"/>
                          <w:lang w:val="es-ES_tradnl"/>
                        </w:rPr>
                        <w:t>PERÚ</w:t>
                      </w:r>
                    </w:p>
                  </w:txbxContent>
                </v:textbox>
              </v:shape>
            </w:pict>
          </mc:Fallback>
        </mc:AlternateContent>
      </w:r>
      <w:r w:rsidR="004E2649" w:rsidRPr="00006B74">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7462CB61"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051E215" w:rsidR="00627C9F" w:rsidRPr="00935F06" w:rsidRDefault="008B40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227</w:t>
                            </w:r>
                          </w:p>
                          <w:p w14:paraId="69373ED2" w14:textId="174C0FAD" w:rsidR="00627C9F" w:rsidRPr="001B4C00" w:rsidRDefault="008B40F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7462CB61"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5051E215" w:rsidR="00627C9F" w:rsidRPr="00935F06" w:rsidRDefault="008B40F4"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227</w:t>
                      </w:r>
                    </w:p>
                    <w:p w14:paraId="69373ED2" w14:textId="174C0FAD" w:rsidR="00627C9F" w:rsidRPr="001B4C00" w:rsidRDefault="008B40F4"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6 diciembre</w:t>
                      </w:r>
                      <w:r w:rsidR="00627C9F" w:rsidRPr="001B4C00">
                        <w:rPr>
                          <w:rFonts w:asciiTheme="minorHAnsi" w:hAnsiTheme="minorHAnsi"/>
                          <w:color w:val="FFFFFF" w:themeColor="background1"/>
                          <w:sz w:val="22"/>
                          <w:lang w:val="es-ES"/>
                        </w:rPr>
                        <w:t xml:space="preserve"> 201</w:t>
                      </w:r>
                      <w:r w:rsidR="008C5751" w:rsidRPr="001B4C00">
                        <w:rPr>
                          <w:rFonts w:asciiTheme="minorHAnsi" w:hAnsiTheme="minorHAnsi"/>
                          <w:color w:val="FFFFFF" w:themeColor="background1"/>
                          <w:sz w:val="22"/>
                          <w:lang w:val="es-ES"/>
                        </w:rPr>
                        <w:t>9</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006B74"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006B74"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006B74"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3A6516" w14:textId="142B88F5"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w:t>
                            </w:r>
                            <w:r w:rsidR="008B40F4">
                              <w:rPr>
                                <w:rFonts w:asciiTheme="majorHAnsi" w:hAnsiTheme="majorHAnsi"/>
                                <w:color w:val="0D0D0D" w:themeColor="text1" w:themeTint="F2"/>
                                <w:sz w:val="18"/>
                                <w:szCs w:val="20"/>
                                <w:lang w:val="es-ES"/>
                              </w:rPr>
                              <w:t>el 6 de diciembre de 2019 en San Salvador, El Salvador</w:t>
                            </w:r>
                            <w:r w:rsidR="00896784">
                              <w:rPr>
                                <w:rFonts w:asciiTheme="majorHAnsi" w:hAnsiTheme="majorHAnsi"/>
                                <w:color w:val="0D0D0D" w:themeColor="text1" w:themeTint="F2"/>
                                <w:sz w:val="18"/>
                                <w:szCs w:val="20"/>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63A6516" w14:textId="142B88F5" w:rsidR="00DD3D86" w:rsidRPr="00890650" w:rsidRDefault="005B52B0" w:rsidP="00247403">
                      <w:pPr>
                        <w:tabs>
                          <w:tab w:val="center" w:pos="5400"/>
                        </w:tabs>
                        <w:suppressAutoHyphens/>
                        <w:spacing w:before="60"/>
                        <w:rPr>
                          <w:rFonts w:asciiTheme="majorHAnsi" w:hAnsiTheme="majorHAnsi" w:cs="Univers"/>
                          <w:color w:val="0D0D0D" w:themeColor="text1" w:themeTint="F2"/>
                          <w:sz w:val="18"/>
                          <w:szCs w:val="20"/>
                          <w:lang w:val="es-ES_tradnl"/>
                        </w:rPr>
                      </w:pPr>
                      <w:r w:rsidRPr="00890650">
                        <w:rPr>
                          <w:rFonts w:asciiTheme="majorHAnsi" w:hAnsiTheme="majorHAnsi"/>
                          <w:color w:val="0D0D0D" w:themeColor="text1" w:themeTint="F2"/>
                          <w:sz w:val="18"/>
                          <w:szCs w:val="20"/>
                          <w:lang w:val="es-ES"/>
                        </w:rPr>
                        <w:t xml:space="preserve">Aprobado por la Comisión </w:t>
                      </w:r>
                      <w:r w:rsidR="008B40F4">
                        <w:rPr>
                          <w:rFonts w:asciiTheme="majorHAnsi" w:hAnsiTheme="majorHAnsi"/>
                          <w:color w:val="0D0D0D" w:themeColor="text1" w:themeTint="F2"/>
                          <w:sz w:val="18"/>
                          <w:szCs w:val="20"/>
                          <w:lang w:val="es-ES"/>
                        </w:rPr>
                        <w:t>el 6 de diciembre de 2019 en San Salvador, El Salvador</w:t>
                      </w:r>
                      <w:r w:rsidR="00896784">
                        <w:rPr>
                          <w:rFonts w:asciiTheme="majorHAnsi" w:hAnsiTheme="majorHAnsi"/>
                          <w:color w:val="0D0D0D" w:themeColor="text1" w:themeTint="F2"/>
                          <w:sz w:val="18"/>
                          <w:szCs w:val="20"/>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006B74" w:rsidRDefault="0090270B" w:rsidP="00040C3A">
      <w:pPr>
        <w:tabs>
          <w:tab w:val="center" w:pos="5400"/>
        </w:tabs>
        <w:suppressAutoHyphens/>
        <w:jc w:val="center"/>
        <w:rPr>
          <w:rFonts w:asciiTheme="majorHAnsi" w:hAnsiTheme="majorHAnsi"/>
          <w:sz w:val="18"/>
          <w:szCs w:val="22"/>
          <w:lang w:val="es-ES"/>
        </w:rPr>
      </w:pPr>
      <w:r w:rsidRPr="00006B74">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4FD6ED8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B40F4" w:rsidRPr="008B40F4">
                              <w:rPr>
                                <w:rFonts w:asciiTheme="majorHAnsi" w:hAnsiTheme="majorHAnsi"/>
                                <w:color w:val="595959" w:themeColor="text1" w:themeTint="A6"/>
                                <w:sz w:val="18"/>
                                <w:szCs w:val="18"/>
                                <w:lang w:val="pt-BR"/>
                              </w:rPr>
                              <w:t>205</w:t>
                            </w:r>
                            <w:r w:rsidR="007B05C4" w:rsidRPr="008B40F4">
                              <w:rPr>
                                <w:rFonts w:asciiTheme="majorHAnsi" w:hAnsiTheme="majorHAnsi"/>
                                <w:color w:val="595959" w:themeColor="text1" w:themeTint="A6"/>
                                <w:sz w:val="18"/>
                                <w:szCs w:val="18"/>
                                <w:lang w:val="pt-BR"/>
                              </w:rPr>
                              <w:t>/</w:t>
                            </w:r>
                            <w:r w:rsidR="008B40F4" w:rsidRPr="008B40F4">
                              <w:rPr>
                                <w:rFonts w:asciiTheme="majorHAnsi" w:hAnsiTheme="majorHAnsi"/>
                                <w:color w:val="595959" w:themeColor="text1" w:themeTint="A6"/>
                                <w:sz w:val="18"/>
                                <w:szCs w:val="18"/>
                                <w:lang w:val="pt-BR"/>
                              </w:rPr>
                              <w:t>19</w:t>
                            </w:r>
                            <w:r w:rsidRPr="008B40F4">
                              <w:rPr>
                                <w:rFonts w:asciiTheme="majorHAnsi" w:hAnsiTheme="majorHAnsi"/>
                                <w:color w:val="595959" w:themeColor="text1" w:themeTint="A6"/>
                                <w:sz w:val="18"/>
                                <w:szCs w:val="18"/>
                                <w:lang w:val="pt-BR"/>
                              </w:rPr>
                              <w:t xml:space="preserve">. </w:t>
                            </w:r>
                            <w:r w:rsidR="00896784">
                              <w:rPr>
                                <w:rFonts w:asciiTheme="majorHAnsi" w:hAnsiTheme="majorHAnsi"/>
                                <w:color w:val="595959" w:themeColor="text1" w:themeTint="A6"/>
                                <w:sz w:val="18"/>
                                <w:szCs w:val="18"/>
                                <w:lang w:val="pt-BR"/>
                              </w:rPr>
                              <w:t xml:space="preserve">Petición 350-11. </w:t>
                            </w:r>
                            <w:r w:rsidRPr="00890650">
                              <w:rPr>
                                <w:rFonts w:asciiTheme="majorHAnsi" w:hAnsiTheme="majorHAnsi"/>
                                <w:color w:val="595959" w:themeColor="text1" w:themeTint="A6"/>
                                <w:sz w:val="18"/>
                                <w:szCs w:val="18"/>
                                <w:lang w:val="es-ES_tradnl"/>
                              </w:rPr>
                              <w:t xml:space="preserve">Admisibilidad. </w:t>
                            </w:r>
                            <w:r w:rsidR="008B40F4">
                              <w:rPr>
                                <w:rFonts w:asciiTheme="majorHAnsi" w:hAnsiTheme="majorHAnsi"/>
                                <w:color w:val="595959" w:themeColor="text1" w:themeTint="A6"/>
                                <w:sz w:val="18"/>
                                <w:szCs w:val="18"/>
                                <w:lang w:val="es-ES_tradnl"/>
                              </w:rPr>
                              <w:t xml:space="preserve">Walter Alejandro García </w:t>
                            </w:r>
                            <w:proofErr w:type="spellStart"/>
                            <w:r w:rsidR="008B40F4">
                              <w:rPr>
                                <w:rFonts w:asciiTheme="majorHAnsi" w:hAnsiTheme="majorHAnsi"/>
                                <w:color w:val="595959" w:themeColor="text1" w:themeTint="A6"/>
                                <w:sz w:val="18"/>
                                <w:szCs w:val="18"/>
                                <w:lang w:val="es-ES_tradnl"/>
                              </w:rPr>
                              <w:t>Jaimes</w:t>
                            </w:r>
                            <w:proofErr w:type="spellEnd"/>
                            <w:r w:rsidRPr="00890650">
                              <w:rPr>
                                <w:rFonts w:asciiTheme="majorHAnsi" w:hAnsiTheme="majorHAnsi"/>
                                <w:color w:val="595959" w:themeColor="text1" w:themeTint="A6"/>
                                <w:sz w:val="18"/>
                                <w:szCs w:val="18"/>
                                <w:lang w:val="es-ES_tradnl"/>
                              </w:rPr>
                              <w:t xml:space="preserve">. </w:t>
                            </w:r>
                            <w:r w:rsidR="008B40F4">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8B40F4">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4FD6ED8D"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B40F4" w:rsidRPr="008B40F4">
                        <w:rPr>
                          <w:rFonts w:asciiTheme="majorHAnsi" w:hAnsiTheme="majorHAnsi"/>
                          <w:color w:val="595959" w:themeColor="text1" w:themeTint="A6"/>
                          <w:sz w:val="18"/>
                          <w:szCs w:val="18"/>
                          <w:lang w:val="pt-BR"/>
                        </w:rPr>
                        <w:t>205</w:t>
                      </w:r>
                      <w:r w:rsidR="007B05C4" w:rsidRPr="008B40F4">
                        <w:rPr>
                          <w:rFonts w:asciiTheme="majorHAnsi" w:hAnsiTheme="majorHAnsi"/>
                          <w:color w:val="595959" w:themeColor="text1" w:themeTint="A6"/>
                          <w:sz w:val="18"/>
                          <w:szCs w:val="18"/>
                          <w:lang w:val="pt-BR"/>
                        </w:rPr>
                        <w:t>/</w:t>
                      </w:r>
                      <w:r w:rsidR="008B40F4" w:rsidRPr="008B40F4">
                        <w:rPr>
                          <w:rFonts w:asciiTheme="majorHAnsi" w:hAnsiTheme="majorHAnsi"/>
                          <w:color w:val="595959" w:themeColor="text1" w:themeTint="A6"/>
                          <w:sz w:val="18"/>
                          <w:szCs w:val="18"/>
                          <w:lang w:val="pt-BR"/>
                        </w:rPr>
                        <w:t>19</w:t>
                      </w:r>
                      <w:r w:rsidRPr="008B40F4">
                        <w:rPr>
                          <w:rFonts w:asciiTheme="majorHAnsi" w:hAnsiTheme="majorHAnsi"/>
                          <w:color w:val="595959" w:themeColor="text1" w:themeTint="A6"/>
                          <w:sz w:val="18"/>
                          <w:szCs w:val="18"/>
                          <w:lang w:val="pt-BR"/>
                        </w:rPr>
                        <w:t xml:space="preserve">. </w:t>
                      </w:r>
                      <w:r w:rsidR="00896784">
                        <w:rPr>
                          <w:rFonts w:asciiTheme="majorHAnsi" w:hAnsiTheme="majorHAnsi"/>
                          <w:color w:val="595959" w:themeColor="text1" w:themeTint="A6"/>
                          <w:sz w:val="18"/>
                          <w:szCs w:val="18"/>
                          <w:lang w:val="pt-BR"/>
                        </w:rPr>
                        <w:t xml:space="preserve">Petición 350-11. </w:t>
                      </w:r>
                      <w:r w:rsidRPr="00890650">
                        <w:rPr>
                          <w:rFonts w:asciiTheme="majorHAnsi" w:hAnsiTheme="majorHAnsi"/>
                          <w:color w:val="595959" w:themeColor="text1" w:themeTint="A6"/>
                          <w:sz w:val="18"/>
                          <w:szCs w:val="18"/>
                          <w:lang w:val="es-ES_tradnl"/>
                        </w:rPr>
                        <w:t xml:space="preserve">Admisibilidad. </w:t>
                      </w:r>
                      <w:r w:rsidR="008B40F4">
                        <w:rPr>
                          <w:rFonts w:asciiTheme="majorHAnsi" w:hAnsiTheme="majorHAnsi"/>
                          <w:color w:val="595959" w:themeColor="text1" w:themeTint="A6"/>
                          <w:sz w:val="18"/>
                          <w:szCs w:val="18"/>
                          <w:lang w:val="es-ES_tradnl"/>
                        </w:rPr>
                        <w:t xml:space="preserve">Walter Alejandro García </w:t>
                      </w:r>
                      <w:proofErr w:type="spellStart"/>
                      <w:r w:rsidR="008B40F4">
                        <w:rPr>
                          <w:rFonts w:asciiTheme="majorHAnsi" w:hAnsiTheme="majorHAnsi"/>
                          <w:color w:val="595959" w:themeColor="text1" w:themeTint="A6"/>
                          <w:sz w:val="18"/>
                          <w:szCs w:val="18"/>
                          <w:lang w:val="es-ES_tradnl"/>
                        </w:rPr>
                        <w:t>Jaimes</w:t>
                      </w:r>
                      <w:proofErr w:type="spellEnd"/>
                      <w:r w:rsidRPr="00890650">
                        <w:rPr>
                          <w:rFonts w:asciiTheme="majorHAnsi" w:hAnsiTheme="majorHAnsi"/>
                          <w:color w:val="595959" w:themeColor="text1" w:themeTint="A6"/>
                          <w:sz w:val="18"/>
                          <w:szCs w:val="18"/>
                          <w:lang w:val="es-ES_tradnl"/>
                        </w:rPr>
                        <w:t xml:space="preserve">. </w:t>
                      </w:r>
                      <w:r w:rsidR="008B40F4">
                        <w:rPr>
                          <w:rFonts w:asciiTheme="majorHAnsi" w:hAnsiTheme="majorHAnsi"/>
                          <w:color w:val="595959" w:themeColor="text1" w:themeTint="A6"/>
                          <w:sz w:val="18"/>
                          <w:szCs w:val="18"/>
                          <w:lang w:val="es-ES_tradnl"/>
                        </w:rPr>
                        <w:t>Perú</w:t>
                      </w:r>
                      <w:r w:rsidRPr="00890650">
                        <w:rPr>
                          <w:rFonts w:asciiTheme="majorHAnsi" w:hAnsiTheme="majorHAnsi"/>
                          <w:color w:val="595959" w:themeColor="text1" w:themeTint="A6"/>
                          <w:sz w:val="18"/>
                          <w:szCs w:val="18"/>
                          <w:lang w:val="es-ES_tradnl"/>
                        </w:rPr>
                        <w:t xml:space="preserve">. </w:t>
                      </w:r>
                      <w:r w:rsidR="008B40F4">
                        <w:rPr>
                          <w:rFonts w:asciiTheme="majorHAnsi" w:hAnsiTheme="majorHAnsi"/>
                          <w:color w:val="595959" w:themeColor="text1" w:themeTint="A6"/>
                          <w:sz w:val="18"/>
                          <w:szCs w:val="18"/>
                          <w:lang w:val="es-ES"/>
                        </w:rPr>
                        <w:t>6 de diciembre de 2019</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006B74"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006B74" w:rsidRDefault="00D306D1" w:rsidP="005516A1">
      <w:pPr>
        <w:tabs>
          <w:tab w:val="center" w:pos="5400"/>
        </w:tabs>
        <w:suppressAutoHyphens/>
        <w:jc w:val="center"/>
        <w:rPr>
          <w:rFonts w:asciiTheme="majorHAnsi" w:hAnsiTheme="majorHAnsi"/>
          <w:b/>
          <w:sz w:val="20"/>
          <w:lang w:val="es-ES"/>
        </w:rPr>
      </w:pPr>
      <w:r w:rsidRPr="00006B74">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72AC5E93">
                            <wp:extent cx="2036446" cy="523875"/>
                            <wp:effectExtent l="0" t="0" r="190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38988" cy="524529"/>
                                    </a:xfrm>
                                    <a:prstGeom prst="rect">
                                      <a:avLst/>
                                    </a:prstGeom>
                                    <a:noFill/>
                                    <a:ln>
                                      <a:noFill/>
                                    </a:ln>
                                  </pic:spPr>
                                </pic:pic>
                              </a:graphicData>
                            </a:graphic>
                          </wp:inline>
                        </w:drawing>
                      </w:r>
                    </w:p>
                  </w:txbxContent>
                </v:textbox>
              </v:shape>
            </w:pict>
          </mc:Fallback>
        </mc:AlternateContent>
      </w:r>
      <w:r w:rsidRPr="00006B74">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006B74" w:rsidRDefault="004A6A54" w:rsidP="005516A1">
      <w:pPr>
        <w:tabs>
          <w:tab w:val="center" w:pos="5400"/>
        </w:tabs>
        <w:suppressAutoHyphens/>
        <w:jc w:val="center"/>
        <w:rPr>
          <w:rFonts w:asciiTheme="majorHAnsi" w:hAnsiTheme="majorHAnsi"/>
          <w:b/>
          <w:sz w:val="20"/>
          <w:lang w:val="es-ES"/>
        </w:rPr>
        <w:sectPr w:rsidR="0070697F" w:rsidRPr="00006B74" w:rsidSect="00C054DF">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r w:rsidRPr="00006B74">
        <w:rPr>
          <w:rFonts w:asciiTheme="majorHAnsi" w:hAnsiTheme="majorHAnsi"/>
          <w:b/>
          <w:sz w:val="20"/>
          <w:lang w:val="es-ES"/>
        </w:rPr>
        <w:tab/>
      </w:r>
    </w:p>
    <w:p w14:paraId="376DDC8B" w14:textId="77777777" w:rsidR="003239B8" w:rsidRPr="00006B74" w:rsidRDefault="003239B8" w:rsidP="007C402A">
      <w:pPr>
        <w:spacing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lastRenderedPageBreak/>
        <w:t>I.</w:t>
      </w:r>
      <w:r w:rsidRPr="00006B74">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537AD" w:rsidRPr="001B4C00"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4537AD" w:rsidRPr="004537AD" w:rsidRDefault="004537AD" w:rsidP="008D2290">
            <w:pPr>
              <w:jc w:val="center"/>
              <w:rPr>
                <w:rFonts w:ascii="Cambria" w:hAnsi="Cambria"/>
                <w:bCs/>
                <w:color w:val="FFFFFF" w:themeColor="background1"/>
                <w:sz w:val="19"/>
                <w:szCs w:val="19"/>
                <w:lang w:val="es-ES"/>
              </w:rPr>
            </w:pPr>
            <w:r w:rsidRPr="004537AD">
              <w:rPr>
                <w:rFonts w:ascii="Cambria" w:hAnsi="Cambria"/>
                <w:bCs/>
                <w:color w:val="FFFFFF" w:themeColor="background1"/>
                <w:sz w:val="19"/>
                <w:szCs w:val="19"/>
                <w:lang w:val="es-ES"/>
              </w:rPr>
              <w:t>Parte peticionaria</w:t>
            </w:r>
          </w:p>
        </w:tc>
        <w:tc>
          <w:tcPr>
            <w:tcW w:w="6570" w:type="dxa"/>
            <w:vAlign w:val="center"/>
          </w:tcPr>
          <w:p w14:paraId="3C5315D8" w14:textId="5916D424" w:rsidR="004537AD" w:rsidRPr="004537AD" w:rsidRDefault="001C261B" w:rsidP="008D2290">
            <w:pPr>
              <w:jc w:val="both"/>
              <w:rPr>
                <w:rFonts w:ascii="Cambria" w:hAnsi="Cambria"/>
                <w:bCs/>
                <w:sz w:val="19"/>
                <w:szCs w:val="19"/>
                <w:lang w:val="es-ES"/>
              </w:rPr>
            </w:pPr>
            <w:r>
              <w:rPr>
                <w:rFonts w:asciiTheme="majorHAnsi" w:eastAsia="Cambria" w:hAnsiTheme="majorHAnsi" w:cs="Cambria"/>
                <w:sz w:val="19"/>
                <w:szCs w:val="19"/>
                <w:lang w:val="es-ES"/>
              </w:rPr>
              <w:t>F.N.</w:t>
            </w:r>
          </w:p>
        </w:tc>
      </w:tr>
      <w:tr w:rsidR="004537AD" w:rsidRPr="001B4C00"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4537AD" w:rsidRPr="004537AD" w:rsidRDefault="004537AD" w:rsidP="008D2290">
            <w:pPr>
              <w:jc w:val="center"/>
              <w:rPr>
                <w:rFonts w:ascii="Cambria" w:hAnsi="Cambria"/>
                <w:bCs/>
                <w:color w:val="FFFFFF" w:themeColor="background1"/>
                <w:sz w:val="19"/>
                <w:szCs w:val="19"/>
                <w:lang w:val="es-ES"/>
              </w:rPr>
            </w:pPr>
            <w:r w:rsidRPr="004537AD">
              <w:rPr>
                <w:rFonts w:ascii="Cambria" w:hAnsi="Cambria"/>
                <w:bCs/>
                <w:color w:val="FFFFFF" w:themeColor="background1"/>
                <w:sz w:val="19"/>
                <w:szCs w:val="19"/>
                <w:lang w:val="es-ES"/>
              </w:rPr>
              <w:t>Presunta víctima</w:t>
            </w:r>
          </w:p>
        </w:tc>
        <w:tc>
          <w:tcPr>
            <w:tcW w:w="6570" w:type="dxa"/>
            <w:vAlign w:val="center"/>
          </w:tcPr>
          <w:p w14:paraId="4AEBF59E" w14:textId="3B6AB433" w:rsidR="004537AD" w:rsidRPr="004537AD" w:rsidRDefault="004537AD" w:rsidP="005B6D22">
            <w:pPr>
              <w:jc w:val="both"/>
              <w:rPr>
                <w:rFonts w:ascii="Cambria" w:hAnsi="Cambria"/>
                <w:bCs/>
                <w:sz w:val="19"/>
                <w:szCs w:val="19"/>
                <w:lang w:val="es-ES"/>
              </w:rPr>
            </w:pPr>
            <w:r w:rsidRPr="004537AD">
              <w:rPr>
                <w:rFonts w:asciiTheme="majorHAnsi" w:eastAsia="Cambria" w:hAnsiTheme="majorHAnsi" w:cs="Cambria"/>
                <w:sz w:val="19"/>
                <w:szCs w:val="19"/>
                <w:lang w:val="es-ES"/>
              </w:rPr>
              <w:t xml:space="preserve">Walter Alejandro García </w:t>
            </w:r>
            <w:proofErr w:type="spellStart"/>
            <w:r w:rsidRPr="004537AD">
              <w:rPr>
                <w:rFonts w:asciiTheme="majorHAnsi" w:eastAsia="Cambria" w:hAnsiTheme="majorHAnsi" w:cs="Cambria"/>
                <w:sz w:val="19"/>
                <w:szCs w:val="19"/>
                <w:lang w:val="es-ES"/>
              </w:rPr>
              <w:t>Jaimes</w:t>
            </w:r>
            <w:proofErr w:type="spellEnd"/>
          </w:p>
        </w:tc>
      </w:tr>
      <w:tr w:rsidR="004537AD" w:rsidRPr="00006B74"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4537AD" w:rsidRPr="004537AD" w:rsidRDefault="004537AD" w:rsidP="008D2290">
            <w:pPr>
              <w:jc w:val="center"/>
              <w:rPr>
                <w:rFonts w:ascii="Cambria" w:hAnsi="Cambria"/>
                <w:bCs/>
                <w:color w:val="FFFFFF" w:themeColor="background1"/>
                <w:sz w:val="19"/>
                <w:szCs w:val="19"/>
                <w:lang w:val="es-ES"/>
              </w:rPr>
            </w:pPr>
            <w:r w:rsidRPr="004537AD">
              <w:rPr>
                <w:rFonts w:ascii="Cambria" w:hAnsi="Cambria"/>
                <w:bCs/>
                <w:color w:val="FFFFFF" w:themeColor="background1"/>
                <w:sz w:val="19"/>
                <w:szCs w:val="19"/>
                <w:lang w:val="es-ES"/>
              </w:rPr>
              <w:t>Estado denunciado</w:t>
            </w:r>
          </w:p>
        </w:tc>
        <w:tc>
          <w:tcPr>
            <w:tcW w:w="6570" w:type="dxa"/>
            <w:vAlign w:val="center"/>
          </w:tcPr>
          <w:p w14:paraId="274C8A50" w14:textId="335F7F2E" w:rsidR="004537AD" w:rsidRPr="004537AD" w:rsidRDefault="004537AD" w:rsidP="008D2290">
            <w:pPr>
              <w:jc w:val="both"/>
              <w:rPr>
                <w:rFonts w:ascii="Cambria" w:hAnsi="Cambria"/>
                <w:bCs/>
                <w:sz w:val="19"/>
                <w:szCs w:val="19"/>
                <w:lang w:val="es-ES"/>
              </w:rPr>
            </w:pPr>
            <w:r w:rsidRPr="004537AD">
              <w:rPr>
                <w:rFonts w:asciiTheme="majorHAnsi" w:eastAsia="Cambria" w:hAnsiTheme="majorHAnsi" w:cs="Cambria"/>
                <w:sz w:val="19"/>
                <w:szCs w:val="19"/>
                <w:lang w:val="es-ES"/>
              </w:rPr>
              <w:t>Perú</w:t>
            </w:r>
            <w:r w:rsidRPr="004537AD">
              <w:rPr>
                <w:rStyle w:val="FootnoteReference"/>
                <w:rFonts w:asciiTheme="majorHAnsi" w:hAnsiTheme="majorHAnsi"/>
                <w:bCs/>
                <w:sz w:val="19"/>
                <w:szCs w:val="19"/>
                <w:lang w:val="es-ES"/>
              </w:rPr>
              <w:footnoteReference w:id="2"/>
            </w:r>
          </w:p>
        </w:tc>
      </w:tr>
      <w:tr w:rsidR="00223A29" w:rsidRPr="00127EEB"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4537AD" w:rsidRDefault="001B3A00" w:rsidP="00E4118C">
            <w:pPr>
              <w:jc w:val="center"/>
              <w:rPr>
                <w:rFonts w:ascii="Cambria" w:hAnsi="Cambria"/>
                <w:bCs/>
                <w:color w:val="FFFFFF" w:themeColor="background1"/>
                <w:sz w:val="19"/>
                <w:szCs w:val="19"/>
                <w:lang w:val="es-ES"/>
              </w:rPr>
            </w:pPr>
            <w:r w:rsidRPr="004537AD">
              <w:rPr>
                <w:rFonts w:ascii="Cambria" w:hAnsi="Cambria"/>
                <w:bCs/>
                <w:color w:val="FFFFFF" w:themeColor="background1"/>
                <w:sz w:val="19"/>
                <w:szCs w:val="19"/>
                <w:lang w:val="es-ES"/>
              </w:rPr>
              <w:t xml:space="preserve">Derechos </w:t>
            </w:r>
            <w:r w:rsidR="00E4118C" w:rsidRPr="004537AD">
              <w:rPr>
                <w:rFonts w:ascii="Cambria" w:hAnsi="Cambria"/>
                <w:bCs/>
                <w:color w:val="FFFFFF" w:themeColor="background1"/>
                <w:sz w:val="19"/>
                <w:szCs w:val="19"/>
                <w:lang w:val="es-ES"/>
              </w:rPr>
              <w:t>invocados</w:t>
            </w:r>
          </w:p>
        </w:tc>
        <w:tc>
          <w:tcPr>
            <w:tcW w:w="6570" w:type="dxa"/>
            <w:vAlign w:val="center"/>
          </w:tcPr>
          <w:p w14:paraId="6DEE1EEB" w14:textId="4F00880C" w:rsidR="00223A29" w:rsidRPr="004537AD" w:rsidRDefault="004537AD" w:rsidP="0034224A">
            <w:pPr>
              <w:jc w:val="both"/>
              <w:rPr>
                <w:rFonts w:ascii="Cambria" w:hAnsi="Cambria"/>
                <w:bCs/>
                <w:sz w:val="19"/>
                <w:szCs w:val="19"/>
                <w:lang w:val="es-ES"/>
              </w:rPr>
            </w:pPr>
            <w:r w:rsidRPr="004537AD">
              <w:rPr>
                <w:rFonts w:ascii="Cambria" w:hAnsi="Cambria"/>
                <w:bCs/>
                <w:sz w:val="19"/>
                <w:szCs w:val="19"/>
                <w:lang w:val="es-ES"/>
              </w:rPr>
              <w:t>No se especifica artículos alegados</w:t>
            </w:r>
          </w:p>
        </w:tc>
      </w:tr>
    </w:tbl>
    <w:p w14:paraId="20263696" w14:textId="77777777"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II.</w:t>
      </w:r>
      <w:r w:rsidRPr="00006B74">
        <w:rPr>
          <w:rFonts w:asciiTheme="majorHAnsi" w:hAnsiTheme="majorHAnsi"/>
          <w:b/>
          <w:bCs/>
          <w:sz w:val="20"/>
          <w:szCs w:val="20"/>
          <w:lang w:val="es-ES"/>
        </w:rPr>
        <w:tab/>
        <w:t>TRÁMITE ANTE LA CIDH</w:t>
      </w:r>
      <w:r w:rsidR="008E3BFE" w:rsidRPr="00006B74">
        <w:rPr>
          <w:rStyle w:val="FootnoteReference"/>
          <w:rFonts w:ascii="Cambria" w:hAnsi="Cambria"/>
          <w:b/>
          <w:sz w:val="20"/>
          <w:szCs w:val="20"/>
          <w:lang w:val="es-ES"/>
        </w:rPr>
        <w:footnoteReference w:id="3"/>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537AD" w:rsidRPr="00006B74"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537AD" w:rsidRPr="0047080D" w:rsidRDefault="004537AD"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Recepción de la petición</w:t>
            </w:r>
          </w:p>
        </w:tc>
        <w:tc>
          <w:tcPr>
            <w:tcW w:w="6570" w:type="dxa"/>
            <w:vAlign w:val="center"/>
          </w:tcPr>
          <w:p w14:paraId="6E579153" w14:textId="0FB1E58F" w:rsidR="004537AD" w:rsidRPr="004537AD" w:rsidRDefault="004537AD" w:rsidP="002625EA">
            <w:pPr>
              <w:jc w:val="both"/>
              <w:rPr>
                <w:rFonts w:ascii="Cambria" w:hAnsi="Cambria"/>
                <w:bCs/>
                <w:sz w:val="19"/>
                <w:szCs w:val="19"/>
                <w:lang w:val="es-ES"/>
              </w:rPr>
            </w:pPr>
            <w:r w:rsidRPr="004537AD">
              <w:rPr>
                <w:rFonts w:asciiTheme="majorHAnsi" w:eastAsia="Cambria" w:hAnsiTheme="majorHAnsi" w:cs="Cambria"/>
                <w:sz w:val="19"/>
                <w:szCs w:val="19"/>
                <w:lang w:val="es-ES"/>
              </w:rPr>
              <w:t>16 de marzo de 2011</w:t>
            </w:r>
          </w:p>
        </w:tc>
      </w:tr>
      <w:tr w:rsidR="004537AD" w:rsidRPr="00127EEB"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4537AD" w:rsidRPr="0047080D" w:rsidRDefault="004537AD" w:rsidP="004A6A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Información adicional recibida en la etapa de estudio</w:t>
            </w:r>
          </w:p>
        </w:tc>
        <w:tc>
          <w:tcPr>
            <w:tcW w:w="6570" w:type="dxa"/>
            <w:vAlign w:val="center"/>
          </w:tcPr>
          <w:p w14:paraId="796669C8" w14:textId="36C06455" w:rsidR="004537AD" w:rsidRPr="004537AD" w:rsidRDefault="004537AD" w:rsidP="002625EA">
            <w:pPr>
              <w:jc w:val="both"/>
              <w:rPr>
                <w:rFonts w:ascii="Cambria" w:hAnsi="Cambria"/>
                <w:bCs/>
                <w:sz w:val="19"/>
                <w:szCs w:val="19"/>
                <w:lang w:val="es-ES"/>
              </w:rPr>
            </w:pPr>
            <w:r w:rsidRPr="004537AD">
              <w:rPr>
                <w:rFonts w:asciiTheme="majorHAnsi" w:eastAsia="Cambria" w:hAnsiTheme="majorHAnsi" w:cs="Cambria"/>
                <w:sz w:val="19"/>
                <w:szCs w:val="19"/>
                <w:lang w:val="es-ES"/>
              </w:rPr>
              <w:t>29 de marzo de 2011, 5 de marzo de 2012</w:t>
            </w:r>
          </w:p>
        </w:tc>
      </w:tr>
      <w:tr w:rsidR="004537AD" w:rsidRPr="00006B74"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537AD" w:rsidRPr="0047080D" w:rsidRDefault="004537AD" w:rsidP="000C1C69">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Notificación de la petición</w:t>
            </w:r>
          </w:p>
        </w:tc>
        <w:tc>
          <w:tcPr>
            <w:tcW w:w="6570" w:type="dxa"/>
            <w:vAlign w:val="center"/>
          </w:tcPr>
          <w:p w14:paraId="1519DA6A" w14:textId="0DD5F25D" w:rsidR="004537AD" w:rsidRPr="004537AD" w:rsidRDefault="004537AD" w:rsidP="008D2290">
            <w:pPr>
              <w:jc w:val="both"/>
              <w:rPr>
                <w:rFonts w:ascii="Cambria" w:hAnsi="Cambria"/>
                <w:bCs/>
                <w:sz w:val="19"/>
                <w:szCs w:val="19"/>
                <w:lang w:val="es-ES"/>
              </w:rPr>
            </w:pPr>
            <w:r w:rsidRPr="004537AD">
              <w:rPr>
                <w:rFonts w:asciiTheme="majorHAnsi" w:eastAsia="Cambria" w:hAnsiTheme="majorHAnsi" w:cs="Cambria"/>
                <w:sz w:val="19"/>
                <w:szCs w:val="19"/>
                <w:lang w:val="es-ES"/>
              </w:rPr>
              <w:t>19 de marzo de 2014</w:t>
            </w:r>
          </w:p>
        </w:tc>
      </w:tr>
      <w:tr w:rsidR="004537AD" w:rsidRPr="00006B74"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4537AD" w:rsidRPr="0047080D" w:rsidRDefault="004537AD" w:rsidP="00F06354">
            <w:pPr>
              <w:jc w:val="center"/>
              <w:rPr>
                <w:rFonts w:ascii="Cambria" w:hAnsi="Cambria"/>
                <w:bCs/>
                <w:color w:val="FFFFFF" w:themeColor="background1"/>
                <w:sz w:val="19"/>
                <w:szCs w:val="19"/>
                <w:lang w:val="es-ES"/>
              </w:rPr>
            </w:pPr>
            <w:r w:rsidRPr="0047080D">
              <w:rPr>
                <w:rFonts w:ascii="Cambria" w:hAnsi="Cambria"/>
                <w:color w:val="FFFFFF" w:themeColor="background1"/>
                <w:sz w:val="19"/>
                <w:szCs w:val="19"/>
                <w:lang w:val="es-ES"/>
              </w:rPr>
              <w:t>Primera respuesta del Estado</w:t>
            </w:r>
          </w:p>
        </w:tc>
        <w:tc>
          <w:tcPr>
            <w:tcW w:w="6570" w:type="dxa"/>
            <w:vAlign w:val="center"/>
          </w:tcPr>
          <w:p w14:paraId="1972B99E" w14:textId="63BF9953" w:rsidR="004537AD" w:rsidRPr="004537AD" w:rsidRDefault="004537AD" w:rsidP="00F06354">
            <w:pPr>
              <w:jc w:val="both"/>
              <w:rPr>
                <w:rFonts w:ascii="Cambria" w:hAnsi="Cambria"/>
                <w:bCs/>
                <w:sz w:val="19"/>
                <w:szCs w:val="19"/>
                <w:lang w:val="es-ES"/>
              </w:rPr>
            </w:pPr>
            <w:r w:rsidRPr="004537AD">
              <w:rPr>
                <w:rFonts w:asciiTheme="majorHAnsi" w:eastAsia="Cambria" w:hAnsiTheme="majorHAnsi" w:cs="Cambria"/>
                <w:sz w:val="19"/>
                <w:szCs w:val="19"/>
                <w:lang w:val="es-ES"/>
              </w:rPr>
              <w:t>3 de diciembre de 2014</w:t>
            </w:r>
          </w:p>
        </w:tc>
      </w:tr>
      <w:tr w:rsidR="004537AD" w:rsidRPr="00127EEB"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4537AD" w:rsidRPr="0047080D" w:rsidRDefault="004537AD"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Observaciones adicionales de la parte peticionaria</w:t>
            </w:r>
          </w:p>
        </w:tc>
        <w:tc>
          <w:tcPr>
            <w:tcW w:w="6570" w:type="dxa"/>
            <w:vAlign w:val="center"/>
          </w:tcPr>
          <w:p w14:paraId="41D8B862" w14:textId="4869E031" w:rsidR="004537AD" w:rsidRPr="004537AD" w:rsidRDefault="004537AD" w:rsidP="00D77503">
            <w:pPr>
              <w:jc w:val="both"/>
              <w:rPr>
                <w:rFonts w:ascii="Cambria" w:hAnsi="Cambria"/>
                <w:bCs/>
                <w:sz w:val="19"/>
                <w:szCs w:val="19"/>
                <w:lang w:val="es-ES"/>
              </w:rPr>
            </w:pPr>
            <w:r w:rsidRPr="004537AD">
              <w:rPr>
                <w:rFonts w:asciiTheme="majorHAnsi" w:eastAsia="Cambria" w:hAnsiTheme="majorHAnsi" w:cs="Cambria"/>
                <w:sz w:val="19"/>
                <w:szCs w:val="19"/>
                <w:lang w:val="es-ES"/>
              </w:rPr>
              <w:t>22 de mayo, 27 de septiembre y 17 de diciembre de 2015; 10 de mayo de 2016; 21 de junio de 2017; 20 de agosto de 2018</w:t>
            </w:r>
          </w:p>
        </w:tc>
      </w:tr>
      <w:tr w:rsidR="00F06354" w:rsidRPr="00006B74"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7080D" w:rsidRDefault="00F06354" w:rsidP="00F06354">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Obser</w:t>
            </w:r>
            <w:r w:rsidR="00D77503" w:rsidRPr="0047080D">
              <w:rPr>
                <w:rFonts w:ascii="Cambria" w:hAnsi="Cambria"/>
                <w:bCs/>
                <w:color w:val="FFFFFF" w:themeColor="background1"/>
                <w:sz w:val="19"/>
                <w:szCs w:val="19"/>
                <w:lang w:val="es-ES"/>
              </w:rPr>
              <w:t>vaciones adicionales del Estado</w:t>
            </w:r>
          </w:p>
        </w:tc>
        <w:tc>
          <w:tcPr>
            <w:tcW w:w="6570" w:type="dxa"/>
            <w:vAlign w:val="center"/>
          </w:tcPr>
          <w:p w14:paraId="3CE49AFE" w14:textId="7AC06B1C" w:rsidR="00F06354" w:rsidRPr="004537AD" w:rsidRDefault="004537AD" w:rsidP="00F06354">
            <w:pPr>
              <w:jc w:val="both"/>
              <w:rPr>
                <w:rFonts w:ascii="Cambria" w:hAnsi="Cambria"/>
                <w:bCs/>
                <w:sz w:val="19"/>
                <w:szCs w:val="19"/>
                <w:lang w:val="es-ES"/>
              </w:rPr>
            </w:pPr>
            <w:r w:rsidRPr="004537AD">
              <w:rPr>
                <w:rFonts w:ascii="Cambria" w:hAnsi="Cambria"/>
                <w:bCs/>
                <w:sz w:val="19"/>
                <w:szCs w:val="19"/>
                <w:lang w:val="es-ES"/>
              </w:rPr>
              <w:t>24 de junio de 2016</w:t>
            </w:r>
          </w:p>
        </w:tc>
      </w:tr>
    </w:tbl>
    <w:p w14:paraId="21DAA666" w14:textId="5065046E"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III. </w:t>
      </w:r>
      <w:r w:rsidRPr="00006B74">
        <w:rPr>
          <w:rFonts w:asciiTheme="majorHAnsi" w:hAnsiTheme="majorHAnsi"/>
          <w:b/>
          <w:bCs/>
          <w:sz w:val="20"/>
          <w:szCs w:val="20"/>
          <w:lang w:val="es-ES"/>
        </w:rPr>
        <w:tab/>
        <w:t>COMPETENCIA</w:t>
      </w:r>
      <w:r w:rsidR="00EE00E9" w:rsidRPr="00006B74">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4537AD" w:rsidRPr="00006B74" w14:paraId="072532AD" w14:textId="77777777" w:rsidTr="00954B82">
        <w:trPr>
          <w:cantSplit/>
        </w:trPr>
        <w:tc>
          <w:tcPr>
            <w:tcW w:w="2790" w:type="dxa"/>
            <w:tcBorders>
              <w:top w:val="single" w:sz="4" w:space="0" w:color="auto"/>
              <w:bottom w:val="single" w:sz="6" w:space="0" w:color="auto"/>
            </w:tcBorders>
            <w:shd w:val="clear" w:color="auto" w:fill="386294"/>
            <w:vAlign w:val="center"/>
          </w:tcPr>
          <w:p w14:paraId="5C2E4B34" w14:textId="7281AAF8" w:rsidR="004537AD" w:rsidRPr="0047080D" w:rsidRDefault="004537AD" w:rsidP="008D2290">
            <w:pPr>
              <w:jc w:val="center"/>
              <w:rPr>
                <w:rFonts w:ascii="Cambria" w:hAnsi="Cambria"/>
                <w:bCs/>
                <w:i/>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personae</w:t>
            </w:r>
            <w:proofErr w:type="spellEnd"/>
          </w:p>
        </w:tc>
        <w:tc>
          <w:tcPr>
            <w:tcW w:w="6570" w:type="dxa"/>
            <w:vAlign w:val="center"/>
          </w:tcPr>
          <w:p w14:paraId="7707F3E9" w14:textId="1D77BC26" w:rsidR="004537AD" w:rsidRPr="004537AD" w:rsidRDefault="004537AD" w:rsidP="008D2290">
            <w:pPr>
              <w:rPr>
                <w:rFonts w:ascii="Cambria" w:hAnsi="Cambria"/>
                <w:bCs/>
                <w:sz w:val="19"/>
                <w:szCs w:val="19"/>
                <w:lang w:val="es-ES"/>
              </w:rPr>
            </w:pPr>
            <w:r w:rsidRPr="004537AD">
              <w:rPr>
                <w:rFonts w:asciiTheme="majorHAnsi" w:hAnsiTheme="majorHAnsi"/>
                <w:bCs/>
                <w:sz w:val="19"/>
                <w:szCs w:val="19"/>
                <w:lang w:val="es-ES"/>
              </w:rPr>
              <w:t>Sí</w:t>
            </w:r>
          </w:p>
        </w:tc>
      </w:tr>
      <w:tr w:rsidR="004537AD" w:rsidRPr="00006B74" w14:paraId="4B8802DA" w14:textId="77777777" w:rsidTr="00954B82">
        <w:trPr>
          <w:cantSplit/>
        </w:trPr>
        <w:tc>
          <w:tcPr>
            <w:tcW w:w="2790" w:type="dxa"/>
            <w:tcBorders>
              <w:top w:val="single" w:sz="6" w:space="0" w:color="auto"/>
              <w:bottom w:val="single" w:sz="6" w:space="0" w:color="auto"/>
            </w:tcBorders>
            <w:shd w:val="clear" w:color="auto" w:fill="386294"/>
            <w:vAlign w:val="center"/>
          </w:tcPr>
          <w:p w14:paraId="3915C23B" w14:textId="629F623D" w:rsidR="004537AD" w:rsidRPr="0047080D" w:rsidRDefault="004537AD" w:rsidP="00D77503">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loci</w:t>
            </w:r>
            <w:proofErr w:type="spellEnd"/>
          </w:p>
        </w:tc>
        <w:tc>
          <w:tcPr>
            <w:tcW w:w="6570" w:type="dxa"/>
            <w:vAlign w:val="center"/>
          </w:tcPr>
          <w:p w14:paraId="12C931CB" w14:textId="1579CCA2" w:rsidR="004537AD" w:rsidRPr="004537AD" w:rsidRDefault="004537AD" w:rsidP="008D2290">
            <w:pPr>
              <w:rPr>
                <w:rFonts w:ascii="Cambria" w:hAnsi="Cambria"/>
                <w:bCs/>
                <w:sz w:val="19"/>
                <w:szCs w:val="19"/>
                <w:lang w:val="es-ES"/>
              </w:rPr>
            </w:pPr>
            <w:r w:rsidRPr="004537AD">
              <w:rPr>
                <w:rFonts w:asciiTheme="majorHAnsi" w:hAnsiTheme="majorHAnsi"/>
                <w:bCs/>
                <w:sz w:val="19"/>
                <w:szCs w:val="19"/>
                <w:lang w:val="es-ES"/>
              </w:rPr>
              <w:t>Sí</w:t>
            </w:r>
          </w:p>
        </w:tc>
      </w:tr>
      <w:tr w:rsidR="004537AD" w:rsidRPr="00006B74" w14:paraId="4362FDF3" w14:textId="77777777" w:rsidTr="00954B82">
        <w:trPr>
          <w:cantSplit/>
        </w:trPr>
        <w:tc>
          <w:tcPr>
            <w:tcW w:w="2790" w:type="dxa"/>
            <w:tcBorders>
              <w:top w:val="single" w:sz="6" w:space="0" w:color="auto"/>
              <w:bottom w:val="single" w:sz="6" w:space="0" w:color="auto"/>
            </w:tcBorders>
            <w:shd w:val="clear" w:color="auto" w:fill="386294"/>
            <w:vAlign w:val="center"/>
          </w:tcPr>
          <w:p w14:paraId="3BE23153" w14:textId="1788B5D3" w:rsidR="004537AD" w:rsidRPr="0047080D" w:rsidRDefault="004537AD"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temporis</w:t>
            </w:r>
            <w:proofErr w:type="spellEnd"/>
          </w:p>
        </w:tc>
        <w:tc>
          <w:tcPr>
            <w:tcW w:w="6570" w:type="dxa"/>
            <w:vAlign w:val="center"/>
          </w:tcPr>
          <w:p w14:paraId="6F8B059B" w14:textId="7CAC199F" w:rsidR="004537AD" w:rsidRPr="004537AD" w:rsidRDefault="004537AD" w:rsidP="008D2290">
            <w:pPr>
              <w:rPr>
                <w:rFonts w:ascii="Cambria" w:hAnsi="Cambria"/>
                <w:bCs/>
                <w:sz w:val="19"/>
                <w:szCs w:val="19"/>
                <w:lang w:val="es-ES"/>
              </w:rPr>
            </w:pPr>
            <w:r w:rsidRPr="004537AD">
              <w:rPr>
                <w:rFonts w:asciiTheme="majorHAnsi" w:hAnsiTheme="majorHAnsi"/>
                <w:bCs/>
                <w:sz w:val="19"/>
                <w:szCs w:val="19"/>
                <w:lang w:val="es-ES"/>
              </w:rPr>
              <w:t>Sí</w:t>
            </w:r>
          </w:p>
        </w:tc>
      </w:tr>
      <w:tr w:rsidR="003239B8" w:rsidRPr="00127EEB" w14:paraId="30ABEC3E" w14:textId="77777777" w:rsidTr="00954B82">
        <w:trPr>
          <w:cantSplit/>
        </w:trPr>
        <w:tc>
          <w:tcPr>
            <w:tcW w:w="2790" w:type="dxa"/>
            <w:tcBorders>
              <w:top w:val="single" w:sz="6" w:space="0" w:color="auto"/>
              <w:bottom w:val="single" w:sz="6" w:space="0" w:color="auto"/>
            </w:tcBorders>
            <w:shd w:val="clear" w:color="auto" w:fill="386294"/>
            <w:vAlign w:val="center"/>
          </w:tcPr>
          <w:p w14:paraId="47B529D2" w14:textId="72B41633" w:rsidR="003239B8" w:rsidRPr="0047080D" w:rsidRDefault="003239B8" w:rsidP="008D2290">
            <w:pPr>
              <w:jc w:val="center"/>
              <w:rPr>
                <w:rFonts w:ascii="Cambria" w:hAnsi="Cambria"/>
                <w:bCs/>
                <w:color w:val="FFFFFF" w:themeColor="background1"/>
                <w:sz w:val="19"/>
                <w:szCs w:val="19"/>
                <w:lang w:val="es-ES"/>
              </w:rPr>
            </w:pPr>
            <w:proofErr w:type="spellStart"/>
            <w:r w:rsidRPr="0047080D">
              <w:rPr>
                <w:rFonts w:ascii="Cambria" w:hAnsi="Cambria"/>
                <w:bCs/>
                <w:i/>
                <w:color w:val="FFFFFF" w:themeColor="background1"/>
                <w:sz w:val="19"/>
                <w:szCs w:val="19"/>
                <w:lang w:val="es-ES"/>
              </w:rPr>
              <w:t>Ratione</w:t>
            </w:r>
            <w:proofErr w:type="spellEnd"/>
            <w:r w:rsidRPr="0047080D">
              <w:rPr>
                <w:rFonts w:ascii="Cambria" w:hAnsi="Cambria"/>
                <w:bCs/>
                <w:i/>
                <w:color w:val="FFFFFF" w:themeColor="background1"/>
                <w:sz w:val="19"/>
                <w:szCs w:val="19"/>
                <w:lang w:val="es-ES"/>
              </w:rPr>
              <w:t xml:space="preserve"> </w:t>
            </w:r>
            <w:proofErr w:type="spellStart"/>
            <w:r w:rsidRPr="0047080D">
              <w:rPr>
                <w:rFonts w:ascii="Cambria" w:hAnsi="Cambria"/>
                <w:bCs/>
                <w:i/>
                <w:color w:val="FFFFFF" w:themeColor="background1"/>
                <w:sz w:val="19"/>
                <w:szCs w:val="19"/>
                <w:lang w:val="es-ES"/>
              </w:rPr>
              <w:t>materia</w:t>
            </w:r>
            <w:r w:rsidR="00EE00E9" w:rsidRPr="0047080D">
              <w:rPr>
                <w:rFonts w:ascii="Cambria" w:hAnsi="Cambria"/>
                <w:bCs/>
                <w:i/>
                <w:color w:val="FFFFFF" w:themeColor="background1"/>
                <w:sz w:val="19"/>
                <w:szCs w:val="19"/>
                <w:lang w:val="es-ES"/>
              </w:rPr>
              <w:t>e</w:t>
            </w:r>
            <w:proofErr w:type="spellEnd"/>
          </w:p>
        </w:tc>
        <w:tc>
          <w:tcPr>
            <w:tcW w:w="6570" w:type="dxa"/>
            <w:vAlign w:val="center"/>
          </w:tcPr>
          <w:p w14:paraId="0C122F44" w14:textId="5A567C14" w:rsidR="003239B8" w:rsidRPr="004537AD" w:rsidRDefault="004537AD" w:rsidP="008D2290">
            <w:pPr>
              <w:jc w:val="both"/>
              <w:rPr>
                <w:rFonts w:ascii="Cambria" w:hAnsi="Cambria"/>
                <w:bCs/>
                <w:sz w:val="19"/>
                <w:szCs w:val="19"/>
                <w:lang w:val="es-ES"/>
              </w:rPr>
            </w:pPr>
            <w:r w:rsidRPr="004537AD">
              <w:rPr>
                <w:rFonts w:ascii="Cambria" w:hAnsi="Cambria"/>
                <w:bCs/>
                <w:sz w:val="19"/>
                <w:szCs w:val="19"/>
                <w:lang w:val="es-ES"/>
              </w:rPr>
              <w:t>Sí, Convención Americana sobre Derechos Humanos</w:t>
            </w:r>
            <w:r w:rsidRPr="004537AD">
              <w:rPr>
                <w:rFonts w:ascii="Cambria" w:hAnsi="Cambria"/>
                <w:bCs/>
                <w:sz w:val="19"/>
                <w:szCs w:val="19"/>
                <w:vertAlign w:val="superscript"/>
                <w:lang w:val="es-ES"/>
              </w:rPr>
              <w:footnoteReference w:id="4"/>
            </w:r>
            <w:r w:rsidRPr="004537AD">
              <w:rPr>
                <w:rFonts w:ascii="Cambria" w:hAnsi="Cambria"/>
                <w:bCs/>
                <w:sz w:val="19"/>
                <w:szCs w:val="19"/>
                <w:lang w:val="es-ES"/>
              </w:rPr>
              <w:t xml:space="preserve"> (depósito de instrumento realizado el 28 de julio de 1978)</w:t>
            </w:r>
          </w:p>
        </w:tc>
      </w:tr>
    </w:tbl>
    <w:p w14:paraId="4E92C444" w14:textId="1DAF1B79" w:rsidR="003239B8" w:rsidRPr="00006B74" w:rsidRDefault="003239B8" w:rsidP="007C402A">
      <w:pPr>
        <w:spacing w:before="120" w:after="120"/>
        <w:ind w:firstLine="720"/>
        <w:jc w:val="both"/>
        <w:rPr>
          <w:rFonts w:asciiTheme="majorHAnsi" w:hAnsiTheme="majorHAnsi"/>
          <w:b/>
          <w:bCs/>
          <w:sz w:val="20"/>
          <w:szCs w:val="20"/>
          <w:lang w:val="es-ES"/>
        </w:rPr>
      </w:pPr>
      <w:r w:rsidRPr="00006B74">
        <w:rPr>
          <w:rFonts w:asciiTheme="majorHAnsi" w:hAnsiTheme="majorHAnsi"/>
          <w:b/>
          <w:bCs/>
          <w:sz w:val="20"/>
          <w:szCs w:val="20"/>
          <w:lang w:val="es-ES"/>
        </w:rPr>
        <w:t xml:space="preserve">IV. </w:t>
      </w:r>
      <w:r w:rsidRPr="00006B74">
        <w:rPr>
          <w:rFonts w:asciiTheme="majorHAnsi" w:hAnsiTheme="majorHAnsi"/>
          <w:b/>
          <w:bCs/>
          <w:sz w:val="20"/>
          <w:szCs w:val="20"/>
          <w:lang w:val="es-ES"/>
        </w:rPr>
        <w:tab/>
      </w:r>
      <w:r w:rsidR="00EE00E9" w:rsidRPr="00006B74">
        <w:rPr>
          <w:rFonts w:asciiTheme="majorHAnsi" w:hAnsiTheme="majorHAnsi"/>
          <w:b/>
          <w:bCs/>
          <w:sz w:val="20"/>
          <w:szCs w:val="20"/>
          <w:lang w:val="es-ES"/>
        </w:rPr>
        <w:t>DUPLICACIÓN</w:t>
      </w:r>
      <w:r w:rsidR="00EE00E9" w:rsidRPr="00006B74">
        <w:rPr>
          <w:rFonts w:asciiTheme="majorHAnsi" w:hAnsiTheme="majorHAnsi"/>
          <w:b/>
          <w:bCs/>
          <w:color w:val="FFFFFF" w:themeColor="background1"/>
          <w:sz w:val="20"/>
          <w:szCs w:val="20"/>
          <w:lang w:val="es-ES"/>
        </w:rPr>
        <w:t xml:space="preserve"> </w:t>
      </w:r>
      <w:r w:rsidR="00EE00E9" w:rsidRPr="00006B74">
        <w:rPr>
          <w:rFonts w:asciiTheme="majorHAnsi" w:hAnsiTheme="majorHAnsi"/>
          <w:b/>
          <w:bCs/>
          <w:sz w:val="20"/>
          <w:szCs w:val="20"/>
          <w:lang w:val="es-ES"/>
        </w:rPr>
        <w:t>DE PROCEDIMIENTOS Y COSA JUZGADA</w:t>
      </w:r>
      <w:r w:rsidR="00EE00E9" w:rsidRPr="00006B74">
        <w:rPr>
          <w:rFonts w:asciiTheme="majorHAnsi" w:hAnsiTheme="majorHAnsi"/>
          <w:b/>
          <w:bCs/>
          <w:i/>
          <w:sz w:val="20"/>
          <w:szCs w:val="20"/>
          <w:lang w:val="es-ES"/>
        </w:rPr>
        <w:t xml:space="preserve"> </w:t>
      </w:r>
      <w:r w:rsidR="00EE00E9" w:rsidRPr="00006B74">
        <w:rPr>
          <w:rFonts w:asciiTheme="majorHAnsi" w:hAnsiTheme="majorHAnsi"/>
          <w:b/>
          <w:bCs/>
          <w:sz w:val="20"/>
          <w:szCs w:val="20"/>
          <w:lang w:val="es-ES"/>
        </w:rPr>
        <w:t xml:space="preserve">INTERNACIONAL, </w:t>
      </w:r>
      <w:r w:rsidRPr="00006B74">
        <w:rPr>
          <w:rFonts w:asciiTheme="majorHAnsi" w:hAnsiTheme="majorHAnsi"/>
          <w:b/>
          <w:bCs/>
          <w:sz w:val="20"/>
          <w:szCs w:val="20"/>
          <w:lang w:val="es-ES"/>
        </w:rPr>
        <w:t xml:space="preserve"> CARACTERIZACIÓN, </w:t>
      </w:r>
      <w:r w:rsidRPr="00006B74">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4537AD" w:rsidRPr="004537AD" w14:paraId="1231C988" w14:textId="77777777" w:rsidTr="00954B82">
        <w:trPr>
          <w:cantSplit/>
        </w:trPr>
        <w:tc>
          <w:tcPr>
            <w:tcW w:w="2790" w:type="dxa"/>
            <w:tcBorders>
              <w:top w:val="single" w:sz="4" w:space="0" w:color="auto"/>
              <w:bottom w:val="single" w:sz="6" w:space="0" w:color="auto"/>
            </w:tcBorders>
            <w:shd w:val="clear" w:color="auto" w:fill="386294"/>
            <w:vAlign w:val="center"/>
          </w:tcPr>
          <w:p w14:paraId="6F8031F4" w14:textId="03D8D2D1" w:rsidR="004537AD" w:rsidRPr="0047080D" w:rsidRDefault="004537AD" w:rsidP="00954B82">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Duplicación y cosa juzgada internacional</w:t>
            </w:r>
          </w:p>
        </w:tc>
        <w:tc>
          <w:tcPr>
            <w:tcW w:w="6570" w:type="dxa"/>
            <w:vAlign w:val="center"/>
          </w:tcPr>
          <w:p w14:paraId="240941E6" w14:textId="4D62D3AB" w:rsidR="004537AD" w:rsidRPr="0047080D" w:rsidRDefault="004537AD" w:rsidP="008D2290">
            <w:pPr>
              <w:jc w:val="both"/>
              <w:rPr>
                <w:rFonts w:ascii="Cambria" w:hAnsi="Cambria"/>
                <w:bCs/>
                <w:sz w:val="19"/>
                <w:szCs w:val="19"/>
                <w:lang w:val="es-ES"/>
              </w:rPr>
            </w:pPr>
            <w:r w:rsidRPr="00D30680">
              <w:rPr>
                <w:rFonts w:asciiTheme="majorHAnsi" w:hAnsiTheme="majorHAnsi"/>
                <w:bCs/>
                <w:sz w:val="19"/>
                <w:szCs w:val="19"/>
                <w:lang w:val="es-ES"/>
              </w:rPr>
              <w:t>No</w:t>
            </w:r>
          </w:p>
        </w:tc>
      </w:tr>
      <w:tr w:rsidR="004537AD" w:rsidRPr="00127EEB" w14:paraId="15FAA7D1" w14:textId="77777777" w:rsidTr="00954B82">
        <w:trPr>
          <w:cantSplit/>
        </w:trPr>
        <w:tc>
          <w:tcPr>
            <w:tcW w:w="2790" w:type="dxa"/>
            <w:tcBorders>
              <w:top w:val="single" w:sz="4" w:space="0" w:color="auto"/>
              <w:bottom w:val="single" w:sz="6" w:space="0" w:color="auto"/>
            </w:tcBorders>
            <w:shd w:val="clear" w:color="auto" w:fill="386294"/>
            <w:vAlign w:val="center"/>
          </w:tcPr>
          <w:p w14:paraId="1B0D29FF" w14:textId="4FE01870" w:rsidR="004537AD" w:rsidRPr="0047080D" w:rsidRDefault="004537AD" w:rsidP="00954B82">
            <w:pPr>
              <w:jc w:val="center"/>
              <w:rPr>
                <w:rFonts w:ascii="Cambria" w:hAnsi="Cambria"/>
                <w:bCs/>
                <w:i/>
                <w:color w:val="FFFFFF" w:themeColor="background1"/>
                <w:sz w:val="19"/>
                <w:szCs w:val="19"/>
                <w:lang w:val="es-ES"/>
              </w:rPr>
            </w:pPr>
            <w:r w:rsidRPr="0047080D">
              <w:rPr>
                <w:rFonts w:ascii="Cambria" w:hAnsi="Cambria"/>
                <w:bCs/>
                <w:color w:val="FFFFFF" w:themeColor="background1"/>
                <w:sz w:val="19"/>
                <w:szCs w:val="19"/>
                <w:lang w:val="es-ES"/>
              </w:rPr>
              <w:t>Derechos admitidos</w:t>
            </w:r>
          </w:p>
        </w:tc>
        <w:tc>
          <w:tcPr>
            <w:tcW w:w="6570" w:type="dxa"/>
            <w:vAlign w:val="center"/>
          </w:tcPr>
          <w:p w14:paraId="6310C8F7" w14:textId="635F1BB7" w:rsidR="004537AD" w:rsidRPr="0047080D" w:rsidRDefault="004537AD" w:rsidP="001479C0">
            <w:pPr>
              <w:jc w:val="both"/>
              <w:rPr>
                <w:rFonts w:ascii="Cambria" w:hAnsi="Cambria"/>
                <w:bCs/>
                <w:sz w:val="19"/>
                <w:szCs w:val="19"/>
                <w:lang w:val="es-ES"/>
              </w:rPr>
            </w:pPr>
            <w:r w:rsidRPr="00D30680">
              <w:rPr>
                <w:rFonts w:asciiTheme="majorHAnsi" w:eastAsia="Cambria" w:hAnsiTheme="majorHAnsi" w:cs="Cambria"/>
                <w:sz w:val="19"/>
                <w:szCs w:val="19"/>
                <w:lang w:val="es-ES"/>
              </w:rPr>
              <w:t>Artículos 8 (garantías judiciales) y 25 (protección judicial) de la Convención Americana en concordancia con los artículos 1.1 (obligación de respetar los derechos) y 2 (deber de adoptar disposiciones del derecho interno) del mismo instrumento</w:t>
            </w:r>
          </w:p>
        </w:tc>
      </w:tr>
      <w:tr w:rsidR="004537AD" w:rsidRPr="00127EEB" w14:paraId="4EFD141E" w14:textId="77777777" w:rsidTr="00954B82">
        <w:trPr>
          <w:cantSplit/>
        </w:trPr>
        <w:tc>
          <w:tcPr>
            <w:tcW w:w="2790" w:type="dxa"/>
            <w:tcBorders>
              <w:top w:val="single" w:sz="6" w:space="0" w:color="auto"/>
              <w:bottom w:val="single" w:sz="6" w:space="0" w:color="auto"/>
            </w:tcBorders>
            <w:shd w:val="clear" w:color="auto" w:fill="386294"/>
            <w:vAlign w:val="center"/>
          </w:tcPr>
          <w:p w14:paraId="4C04A89C" w14:textId="058482B9" w:rsidR="004537AD" w:rsidRPr="0047080D" w:rsidRDefault="004537AD" w:rsidP="006775AB">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52B71817" w:rsidR="004537AD" w:rsidRPr="0047080D" w:rsidRDefault="004537AD" w:rsidP="00BB3FBD">
            <w:pPr>
              <w:rPr>
                <w:rFonts w:ascii="Cambria" w:hAnsi="Cambria"/>
                <w:bCs/>
                <w:sz w:val="19"/>
                <w:szCs w:val="19"/>
                <w:lang w:val="es-ES"/>
              </w:rPr>
            </w:pPr>
            <w:r w:rsidRPr="00D30680">
              <w:rPr>
                <w:rFonts w:asciiTheme="majorHAnsi" w:eastAsia="Cambria" w:hAnsiTheme="majorHAnsi" w:cs="Cambria"/>
                <w:sz w:val="19"/>
                <w:szCs w:val="19"/>
                <w:lang w:val="es-ES"/>
              </w:rPr>
              <w:t xml:space="preserve">Sí, el 28 de septiembre de 2010 </w:t>
            </w:r>
          </w:p>
        </w:tc>
      </w:tr>
      <w:tr w:rsidR="003239B8" w:rsidRPr="00127EEB" w14:paraId="52B5BA17" w14:textId="77777777" w:rsidTr="00954B82">
        <w:trPr>
          <w:cantSplit/>
        </w:trPr>
        <w:tc>
          <w:tcPr>
            <w:tcW w:w="2790" w:type="dxa"/>
            <w:tcBorders>
              <w:top w:val="single" w:sz="6" w:space="0" w:color="auto"/>
              <w:bottom w:val="single" w:sz="6" w:space="0" w:color="auto"/>
            </w:tcBorders>
            <w:shd w:val="clear" w:color="auto" w:fill="386294"/>
            <w:vAlign w:val="center"/>
          </w:tcPr>
          <w:p w14:paraId="5DF99086" w14:textId="392A0ECF" w:rsidR="003239B8" w:rsidRPr="0047080D" w:rsidRDefault="00D77503" w:rsidP="008D2290">
            <w:pPr>
              <w:jc w:val="center"/>
              <w:rPr>
                <w:rFonts w:ascii="Cambria" w:hAnsi="Cambria"/>
                <w:bCs/>
                <w:color w:val="FFFFFF" w:themeColor="background1"/>
                <w:sz w:val="19"/>
                <w:szCs w:val="19"/>
                <w:lang w:val="es-ES"/>
              </w:rPr>
            </w:pPr>
            <w:r w:rsidRPr="0047080D">
              <w:rPr>
                <w:rFonts w:ascii="Cambria" w:hAnsi="Cambria"/>
                <w:bCs/>
                <w:color w:val="FFFFFF" w:themeColor="background1"/>
                <w:sz w:val="19"/>
                <w:szCs w:val="19"/>
                <w:lang w:val="es-ES"/>
              </w:rPr>
              <w:t>Presentación dentro de plazo</w:t>
            </w:r>
          </w:p>
        </w:tc>
        <w:tc>
          <w:tcPr>
            <w:tcW w:w="6570" w:type="dxa"/>
            <w:vAlign w:val="center"/>
          </w:tcPr>
          <w:p w14:paraId="4A2A4569" w14:textId="0413BCB3" w:rsidR="003239B8" w:rsidRPr="0047080D" w:rsidRDefault="004537AD" w:rsidP="008D2290">
            <w:pPr>
              <w:rPr>
                <w:rFonts w:ascii="Cambria" w:hAnsi="Cambria"/>
                <w:bCs/>
                <w:sz w:val="19"/>
                <w:szCs w:val="19"/>
                <w:lang w:val="es-ES"/>
              </w:rPr>
            </w:pPr>
            <w:r w:rsidRPr="004537AD">
              <w:rPr>
                <w:rFonts w:ascii="Cambria" w:hAnsi="Cambria"/>
                <w:bCs/>
                <w:sz w:val="19"/>
                <w:szCs w:val="19"/>
                <w:lang w:val="es-ES"/>
              </w:rPr>
              <w:t>Sí, el 16 de marzo de 2011</w:t>
            </w:r>
          </w:p>
        </w:tc>
      </w:tr>
    </w:tbl>
    <w:p w14:paraId="18E6423B" w14:textId="5FDE25B0" w:rsidR="003239B8" w:rsidRPr="00006B74" w:rsidRDefault="00223A29" w:rsidP="00647756">
      <w:pPr>
        <w:spacing w:before="120" w:after="120"/>
        <w:ind w:firstLine="720"/>
        <w:jc w:val="both"/>
        <w:rPr>
          <w:rFonts w:asciiTheme="majorHAnsi" w:hAnsiTheme="majorHAnsi"/>
          <w:b/>
          <w:sz w:val="20"/>
          <w:szCs w:val="20"/>
          <w:lang w:val="es-ES"/>
        </w:rPr>
      </w:pPr>
      <w:r w:rsidRPr="00006B74">
        <w:rPr>
          <w:rFonts w:asciiTheme="majorHAnsi" w:hAnsiTheme="majorHAnsi"/>
          <w:b/>
          <w:sz w:val="20"/>
          <w:szCs w:val="20"/>
          <w:lang w:val="es-ES"/>
        </w:rPr>
        <w:t xml:space="preserve">V. </w:t>
      </w:r>
      <w:r w:rsidRPr="00006B74">
        <w:rPr>
          <w:rFonts w:asciiTheme="majorHAnsi" w:hAnsiTheme="majorHAnsi"/>
          <w:b/>
          <w:sz w:val="20"/>
          <w:szCs w:val="20"/>
          <w:lang w:val="es-ES"/>
        </w:rPr>
        <w:tab/>
      </w:r>
      <w:r w:rsidR="0034224A" w:rsidRPr="00006B74">
        <w:rPr>
          <w:rFonts w:asciiTheme="majorHAnsi" w:hAnsiTheme="majorHAnsi"/>
          <w:b/>
          <w:sz w:val="20"/>
          <w:szCs w:val="20"/>
          <w:lang w:val="es-ES"/>
        </w:rPr>
        <w:t>RESUMEN DE LOS HECHOS ALEGADOS</w:t>
      </w:r>
    </w:p>
    <w:p w14:paraId="602D4064" w14:textId="05EAEF12" w:rsidR="004537AD" w:rsidRPr="004537AD" w:rsidRDefault="004537AD" w:rsidP="008967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537AD">
        <w:rPr>
          <w:rFonts w:ascii="Cambria" w:hAnsi="Cambria"/>
          <w:sz w:val="20"/>
          <w:szCs w:val="20"/>
          <w:lang w:val="es-ES"/>
        </w:rPr>
        <w:t xml:space="preserve">El </w:t>
      </w:r>
      <w:r w:rsidR="001C261B">
        <w:rPr>
          <w:rFonts w:ascii="Cambria" w:hAnsi="Cambria"/>
          <w:sz w:val="20"/>
          <w:szCs w:val="20"/>
          <w:lang w:val="es-ES"/>
        </w:rPr>
        <w:t xml:space="preserve">peticionario F.N. </w:t>
      </w:r>
      <w:r w:rsidRPr="004537AD">
        <w:rPr>
          <w:rFonts w:ascii="Cambria" w:hAnsi="Cambria"/>
          <w:sz w:val="20"/>
          <w:szCs w:val="20"/>
          <w:lang w:val="es-ES"/>
        </w:rPr>
        <w:t xml:space="preserve">alega que el Estado peruano violó </w:t>
      </w:r>
      <w:r w:rsidR="001C261B">
        <w:rPr>
          <w:rFonts w:ascii="Cambria" w:hAnsi="Cambria"/>
          <w:sz w:val="20"/>
          <w:szCs w:val="20"/>
          <w:lang w:val="es-ES"/>
        </w:rPr>
        <w:t>los</w:t>
      </w:r>
      <w:r w:rsidRPr="004537AD">
        <w:rPr>
          <w:rFonts w:ascii="Cambria" w:hAnsi="Cambria"/>
          <w:sz w:val="20"/>
          <w:szCs w:val="20"/>
          <w:lang w:val="es-ES"/>
        </w:rPr>
        <w:t xml:space="preserve"> derechos humanos</w:t>
      </w:r>
      <w:r w:rsidR="001C261B">
        <w:rPr>
          <w:rFonts w:ascii="Cambria" w:hAnsi="Cambria"/>
          <w:sz w:val="20"/>
          <w:szCs w:val="20"/>
          <w:lang w:val="es-ES"/>
        </w:rPr>
        <w:t xml:space="preserve"> del </w:t>
      </w:r>
      <w:r w:rsidR="001C261B" w:rsidRPr="004537AD">
        <w:rPr>
          <w:rFonts w:ascii="Cambria" w:hAnsi="Cambria"/>
          <w:sz w:val="20"/>
          <w:szCs w:val="20"/>
          <w:lang w:val="es-ES"/>
        </w:rPr>
        <w:t xml:space="preserve">señor Walter Alejandro García </w:t>
      </w:r>
      <w:proofErr w:type="spellStart"/>
      <w:r w:rsidR="001C261B" w:rsidRPr="004537AD">
        <w:rPr>
          <w:rFonts w:ascii="Cambria" w:hAnsi="Cambria"/>
          <w:sz w:val="20"/>
          <w:szCs w:val="20"/>
          <w:lang w:val="es-ES"/>
        </w:rPr>
        <w:t>Jaimes</w:t>
      </w:r>
      <w:proofErr w:type="spellEnd"/>
      <w:r w:rsidR="001C261B" w:rsidRPr="004537AD">
        <w:rPr>
          <w:rFonts w:ascii="Cambria" w:hAnsi="Cambria"/>
          <w:sz w:val="20"/>
          <w:szCs w:val="20"/>
          <w:lang w:val="es-ES"/>
        </w:rPr>
        <w:t xml:space="preserve"> (en adelante “la presunta víctima”) </w:t>
      </w:r>
      <w:r w:rsidRPr="004537AD">
        <w:rPr>
          <w:rFonts w:ascii="Cambria" w:hAnsi="Cambria"/>
          <w:sz w:val="20"/>
          <w:szCs w:val="20"/>
          <w:lang w:val="es-ES"/>
        </w:rPr>
        <w:t xml:space="preserve">al denegarle acceso a un recurso ordinario que permitiera la revisión integral de su sentencia condenatoria, tras haberle condenado por primera vez en segunda instancia. </w:t>
      </w:r>
    </w:p>
    <w:p w14:paraId="430C1ABD" w14:textId="6D83E245" w:rsidR="004537AD" w:rsidRPr="004537AD" w:rsidRDefault="004537AD" w:rsidP="008967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537AD">
        <w:rPr>
          <w:rFonts w:ascii="Cambria" w:hAnsi="Cambria"/>
          <w:sz w:val="20"/>
          <w:szCs w:val="20"/>
          <w:lang w:val="es-ES"/>
        </w:rPr>
        <w:t xml:space="preserve">Según </w:t>
      </w:r>
      <w:r w:rsidR="001C261B">
        <w:rPr>
          <w:rFonts w:ascii="Cambria" w:hAnsi="Cambria"/>
          <w:sz w:val="20"/>
          <w:szCs w:val="20"/>
          <w:lang w:val="es-ES"/>
        </w:rPr>
        <w:t>el peticionario</w:t>
      </w:r>
      <w:r w:rsidRPr="004537AD">
        <w:rPr>
          <w:rFonts w:ascii="Cambria" w:hAnsi="Cambria"/>
          <w:sz w:val="20"/>
          <w:szCs w:val="20"/>
          <w:lang w:val="es-ES"/>
        </w:rPr>
        <w:t>, en 2007 se inició un proceso penal en contra</w:t>
      </w:r>
      <w:r w:rsidR="001C261B">
        <w:rPr>
          <w:rFonts w:ascii="Cambria" w:hAnsi="Cambria"/>
          <w:sz w:val="20"/>
          <w:szCs w:val="20"/>
          <w:lang w:val="es-ES"/>
        </w:rPr>
        <w:t xml:space="preserve"> de la presunta víctima</w:t>
      </w:r>
      <w:r w:rsidRPr="004537AD">
        <w:rPr>
          <w:rFonts w:ascii="Cambria" w:hAnsi="Cambria"/>
          <w:sz w:val="20"/>
          <w:szCs w:val="20"/>
          <w:lang w:val="es-ES"/>
        </w:rPr>
        <w:t xml:space="preserve"> por un supuesto delito contra la libertad sexual de un adolescente.  El 6 de diciembre de 2007 la presunta víctima fue absuelta en primera instancia. La sentencia fue anulada por la Corte Superior de Justicia de Huaura (en adelante, “la Corte Superior”) el 28 de abril de 2008 y ordenó que se llevara a cabo un nuevo juicio oral. El 24 de septiembre de 2008 la presunta víctima fue absuelta nuevamente en primera instancia. Tras la interposición </w:t>
      </w:r>
      <w:r w:rsidRPr="004537AD">
        <w:rPr>
          <w:rFonts w:ascii="Cambria" w:hAnsi="Cambria"/>
          <w:sz w:val="20"/>
          <w:szCs w:val="20"/>
          <w:lang w:val="es-ES"/>
        </w:rPr>
        <w:lastRenderedPageBreak/>
        <w:t xml:space="preserve">de una apelación por parte del Ministerio Público, el 28 de enero de 2009 la Corte Superior revocó la segunda absolución y reformó la sentencia para condenarla a siete años de pena privativa de libertad. </w:t>
      </w:r>
    </w:p>
    <w:p w14:paraId="426A9967" w14:textId="77777777" w:rsidR="004537AD" w:rsidRPr="004537AD" w:rsidRDefault="004537AD" w:rsidP="008967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537AD">
        <w:rPr>
          <w:rFonts w:ascii="Cambria" w:hAnsi="Cambria"/>
          <w:sz w:val="20"/>
          <w:szCs w:val="20"/>
          <w:lang w:val="es-ES"/>
        </w:rPr>
        <w:t>Ante la sentencia condenatoria, la presunta víctima interpuso un recurso de casación, el cual fue declarado inadmisible por la Corte Suprema de Justicia de la República (en adelante, “la Corte Suprema”) el 28 de enero de 2009. El 20 de octubre de 2009, la presunta víctima interpuso un recurso de habeas corpus con el objeto de que se declarara la nulidad de la condena y el 16 de agosto de 2010 dicho recurso fue declarado improcedente por el Tribunal Constitucional.</w:t>
      </w:r>
    </w:p>
    <w:p w14:paraId="0E8BEEF8" w14:textId="4763A103" w:rsidR="004537AD" w:rsidRPr="004537AD" w:rsidRDefault="001C261B" w:rsidP="008967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Pr>
          <w:rFonts w:ascii="Cambria" w:hAnsi="Cambria"/>
          <w:sz w:val="20"/>
          <w:szCs w:val="20"/>
          <w:lang w:val="es-ES"/>
        </w:rPr>
        <w:t>El peticionario alega</w:t>
      </w:r>
      <w:r w:rsidR="004537AD" w:rsidRPr="004537AD">
        <w:rPr>
          <w:rFonts w:ascii="Cambria" w:hAnsi="Cambria"/>
          <w:sz w:val="20"/>
          <w:szCs w:val="20"/>
          <w:lang w:val="es-ES"/>
        </w:rPr>
        <w:t xml:space="preserve"> que toda persona condenada debe contar con un recurso sencillo y eficaz para obtener una revisión integral de su condena. Afirma que en la legislación peruana no existe un recurso ordinario que permita la revisión integral de la sentencia condenatoria emitida por prim</w:t>
      </w:r>
      <w:r w:rsidR="00B0311E">
        <w:rPr>
          <w:rFonts w:ascii="Cambria" w:hAnsi="Cambria"/>
          <w:sz w:val="20"/>
          <w:szCs w:val="20"/>
          <w:lang w:val="es-ES"/>
        </w:rPr>
        <w:t>era vez en la segunda instancia</w:t>
      </w:r>
      <w:r w:rsidR="004537AD" w:rsidRPr="004537AD">
        <w:rPr>
          <w:rFonts w:ascii="Cambria" w:hAnsi="Cambria"/>
          <w:sz w:val="20"/>
          <w:szCs w:val="20"/>
          <w:lang w:val="es-ES"/>
        </w:rPr>
        <w:t xml:space="preserve">. Señala que la opción disponible para ello es el recurso de casación, de carácter extraordinario residual, con causales taxativas y de interpretación restringida. Indica que él intentó una revisión integral de su condena con los medios recursivos disponibles, como son el recurso de casación y de habeas corpus, aunque ambos fueron denegados por razones meramente formalistas. Asimismo, cuestiona la utilización del recurso de revisión como opción ordinaria pues la naturaleza del mismo exige la presencia de una sentencia firme con valor de cosa juzgada, que busca iniciar un nuevo proceso contra uno ya culminado.  </w:t>
      </w:r>
    </w:p>
    <w:p w14:paraId="295B5ECF" w14:textId="77777777" w:rsidR="004537AD" w:rsidRPr="004537AD" w:rsidRDefault="004537AD" w:rsidP="008967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537AD">
        <w:rPr>
          <w:rFonts w:ascii="Cambria" w:hAnsi="Cambria"/>
          <w:sz w:val="20"/>
          <w:szCs w:val="20"/>
          <w:lang w:val="es-ES"/>
        </w:rPr>
        <w:t xml:space="preserve">El Estado aduce que la petición debe ser declarada inadmisible por falta de agotamiento de los recursos internos, por extemporaneidad y porque los hechos alegados no tienden a caracterizar una violación de derechos humanos. </w:t>
      </w:r>
    </w:p>
    <w:p w14:paraId="31510650" w14:textId="77777777" w:rsidR="004537AD" w:rsidRPr="004537AD" w:rsidRDefault="004537AD" w:rsidP="008967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537AD">
        <w:rPr>
          <w:rFonts w:ascii="Cambria" w:hAnsi="Cambria"/>
          <w:sz w:val="20"/>
          <w:szCs w:val="20"/>
          <w:lang w:val="es-ES"/>
        </w:rPr>
        <w:t>Sobre los recursos internos, por un lado afirma que en los recursos interpuestos la presunta víctima no se refirió a la vulneración al principio del doble conforme y por tanto, no ha dado a las autoridades la oportunidad de pronunciarse sobre esta supuesta violación. Además, aduce que la presunta víctima tenía disponible un recurso idóneo y efectivo, como es la acción de revisión, para revisar su condena. Este recurso podría haber sido interpuesto en cualquier momento del proceso penal para impugnar el supuesto “hecho falso e inexistente” alegado como sustento de la condena.  Por otro lado, afirma que la casación y el habeas corpus fueron mal interpuestos por la presunta víctima y rechazados por defectos formales. Por tanto, no se podría decir que estos recursos fueron agotados. Asimismo, indica que el peticionario es contradictorio al afirmar que el recurso de casación no es idóneo y a la vez afirmar que fue agotado.</w:t>
      </w:r>
    </w:p>
    <w:p w14:paraId="0C6C001C" w14:textId="099D2D8F" w:rsidR="004537AD" w:rsidRPr="004537AD" w:rsidRDefault="004537AD" w:rsidP="008967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537AD">
        <w:rPr>
          <w:rFonts w:ascii="Cambria" w:hAnsi="Cambria"/>
          <w:sz w:val="20"/>
          <w:szCs w:val="20"/>
          <w:lang w:val="es-ES"/>
        </w:rPr>
        <w:t>En relación con el plazo de interposición de la petición, el Estado alega que como mucho se podría considerar el recurso de casación agotado y que no se debería considerar el recurso de hábeas corpus como un recurso idóneo, pues el propio Tribunal Constitucional consideró el recurso</w:t>
      </w:r>
      <w:r w:rsidR="007A6674">
        <w:rPr>
          <w:rFonts w:ascii="Cambria" w:hAnsi="Cambria"/>
          <w:sz w:val="20"/>
          <w:szCs w:val="20"/>
          <w:lang w:val="es-ES"/>
        </w:rPr>
        <w:t xml:space="preserve"> improcedente</w:t>
      </w:r>
      <w:r w:rsidRPr="004537AD">
        <w:rPr>
          <w:rFonts w:ascii="Cambria" w:hAnsi="Cambria"/>
          <w:sz w:val="20"/>
          <w:szCs w:val="20"/>
          <w:lang w:val="es-ES"/>
        </w:rPr>
        <w:t xml:space="preserve">. Por tanto, si se considerara el recurso de casación como idóneo, la resolución que rechazó el recurso fue notificada a la presunta víctima el 5 de octubre de 2009 y la petición sería extemporánea. </w:t>
      </w:r>
    </w:p>
    <w:p w14:paraId="5A501771" w14:textId="7001783D" w:rsidR="004537AD" w:rsidRDefault="004537AD" w:rsidP="008967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537AD">
        <w:rPr>
          <w:rFonts w:ascii="Cambria" w:hAnsi="Cambria"/>
          <w:sz w:val="20"/>
          <w:szCs w:val="20"/>
          <w:lang w:val="es-ES"/>
        </w:rPr>
        <w:t>Por último, sobre la falta de caracterización, alega que no es una violación de derechos humanos condenar una persona en segunda instancia. Además, alega que la presunta víctima tuvo a su alcance recursos idóneos y eficaces para revisar su condena y ahora acude a la CIDH como un tribunal de cuarta instancia por no estar conforme con el resultado de su proceso y las decisiones de las autoridades judiciales. Aduce que lo que quiere la presunta víctima es que la Comisión vuelva a evaluar las pruebas presentadas en el proceso penal interno y que la CIDH no es competente para ello</w:t>
      </w:r>
      <w:r>
        <w:rPr>
          <w:rFonts w:ascii="Cambria" w:hAnsi="Cambria"/>
          <w:sz w:val="20"/>
          <w:szCs w:val="20"/>
          <w:lang w:val="es-ES"/>
        </w:rPr>
        <w:t>.</w:t>
      </w:r>
    </w:p>
    <w:p w14:paraId="3FE6F5AE" w14:textId="5838016A" w:rsidR="004C616A" w:rsidRPr="00006B74" w:rsidRDefault="004C616A" w:rsidP="00896784">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 xml:space="preserve">VI. </w:t>
      </w:r>
      <w:r w:rsidRPr="00006B74">
        <w:rPr>
          <w:rFonts w:asciiTheme="majorHAnsi" w:hAnsiTheme="majorHAnsi"/>
          <w:b/>
          <w:bCs/>
          <w:sz w:val="20"/>
          <w:szCs w:val="20"/>
          <w:lang w:val="es-ES"/>
        </w:rPr>
        <w:tab/>
        <w:t>AGOTAMIENTO DE LOS RECURSOS INTERNOS Y PLAZO DE PRESENTACIÓN</w:t>
      </w:r>
    </w:p>
    <w:p w14:paraId="03497167" w14:textId="1FB85F36" w:rsidR="004537AD" w:rsidRPr="004537AD" w:rsidRDefault="004537AD" w:rsidP="008967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537AD">
        <w:rPr>
          <w:rFonts w:ascii="Cambria" w:hAnsi="Cambria"/>
          <w:sz w:val="20"/>
          <w:szCs w:val="20"/>
          <w:lang w:val="es-ES"/>
        </w:rPr>
        <w:t xml:space="preserve">La CIDH observa que el objetivo de la </w:t>
      </w:r>
      <w:r w:rsidR="001C261B">
        <w:rPr>
          <w:rFonts w:ascii="Cambria" w:hAnsi="Cambria"/>
          <w:sz w:val="20"/>
          <w:szCs w:val="20"/>
          <w:lang w:val="es-ES"/>
        </w:rPr>
        <w:t>petición</w:t>
      </w:r>
      <w:r w:rsidRPr="004537AD">
        <w:rPr>
          <w:rFonts w:ascii="Cambria" w:hAnsi="Cambria"/>
          <w:sz w:val="20"/>
          <w:szCs w:val="20"/>
          <w:lang w:val="es-ES"/>
        </w:rPr>
        <w:t xml:space="preserve"> no es cuestionar la condena en segunda instancia tras haber sido absuelto, sino que el cuestionamiento va dirigido a la imposibilidad de obtener una revisión integral de la sentencia condenatoria. </w:t>
      </w:r>
      <w:r w:rsidR="00F731A0">
        <w:rPr>
          <w:rFonts w:ascii="Cambria" w:hAnsi="Cambria"/>
          <w:sz w:val="20"/>
          <w:szCs w:val="20"/>
          <w:lang w:val="es-ES"/>
        </w:rPr>
        <w:t>El peticionario</w:t>
      </w:r>
      <w:r w:rsidRPr="004537AD">
        <w:rPr>
          <w:rFonts w:ascii="Cambria" w:hAnsi="Cambria"/>
          <w:sz w:val="20"/>
          <w:szCs w:val="20"/>
          <w:lang w:val="es-ES"/>
        </w:rPr>
        <w:t xml:space="preserve"> manifiesta que en la legislación peruana no hay un recurso idóneo para el reexamen de su condena en segunda instancia. No obstante ello, la presunta víctima buscó por medio de un recurso extraordinario, como es el recurso de casación, una revaluación de la prueba. La Comisión nota que, según el Estado, dicho recurso no fue admitido por defectos formales. No obstante, de la lectura de esta decisión se desprende que la inadmisibilidad del recurso se debe a que la presunta víctima había </w:t>
      </w:r>
      <w:r w:rsidRPr="004537AD">
        <w:rPr>
          <w:rFonts w:ascii="Cambria" w:hAnsi="Cambria"/>
          <w:sz w:val="20"/>
          <w:szCs w:val="20"/>
          <w:lang w:val="es-ES"/>
        </w:rPr>
        <w:lastRenderedPageBreak/>
        <w:t>solicitado la revaloración de la prueba a t</w:t>
      </w:r>
      <w:r w:rsidR="007A6674">
        <w:rPr>
          <w:rFonts w:ascii="Cambria" w:hAnsi="Cambria"/>
          <w:sz w:val="20"/>
          <w:szCs w:val="20"/>
          <w:lang w:val="es-ES"/>
        </w:rPr>
        <w:t>ravés de un recurso de casación</w:t>
      </w:r>
      <w:r w:rsidRPr="004537AD">
        <w:rPr>
          <w:rFonts w:ascii="Cambria" w:hAnsi="Cambria"/>
          <w:sz w:val="20"/>
          <w:szCs w:val="20"/>
          <w:lang w:val="es-ES"/>
        </w:rPr>
        <w:t xml:space="preserve">. La presunta víctima impugnó esta decisión mediante la interposición del recurso de habeas corpus y el Tribunal Constitucional declaró el recurso improcedente por entender que no se podía hacer un reexamen de la prueba mediante un hábeas corpus. El Tribunal Constitucional entendió que la valoración de la prueba no estaba suficientemente vinculada con una supuesta afectación a la privación de libertad de la presunta víctima y por tanto no podría ser </w:t>
      </w:r>
      <w:r w:rsidR="007A6674">
        <w:rPr>
          <w:rFonts w:ascii="Cambria" w:hAnsi="Cambria"/>
          <w:sz w:val="20"/>
          <w:szCs w:val="20"/>
          <w:lang w:val="es-ES"/>
        </w:rPr>
        <w:t>resuelto mediante dicho recurso</w:t>
      </w:r>
      <w:r w:rsidRPr="004537AD">
        <w:rPr>
          <w:rFonts w:ascii="Cambria" w:hAnsi="Cambria"/>
          <w:sz w:val="20"/>
          <w:szCs w:val="20"/>
          <w:lang w:val="es-ES"/>
        </w:rPr>
        <w:t xml:space="preserve">. </w:t>
      </w:r>
    </w:p>
    <w:p w14:paraId="33902ACD" w14:textId="70A38F68" w:rsidR="004537AD" w:rsidRPr="004537AD" w:rsidRDefault="004537AD" w:rsidP="008967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537AD">
        <w:rPr>
          <w:rFonts w:ascii="Cambria" w:hAnsi="Cambria"/>
          <w:sz w:val="20"/>
          <w:szCs w:val="20"/>
          <w:lang w:val="es-ES"/>
        </w:rPr>
        <w:t xml:space="preserve">En relación al recurso de revisión, la CIDH recuerda que si bien los recursos extraordinarios en algunos casos pueden ser adecuados para enfrentar violaciones de derechos humanos, como norma general los únicos recursos que son necesarios agotar son aquellos cuyas funciones, dentro del sistema jurídico, son apropiados para brindar protección tendiente a remediar una infracción de determinado derecho legal. En principio, se trata de recursos </w:t>
      </w:r>
      <w:r w:rsidR="007A6674">
        <w:rPr>
          <w:rFonts w:ascii="Cambria" w:hAnsi="Cambria"/>
          <w:sz w:val="20"/>
          <w:szCs w:val="20"/>
          <w:lang w:val="es-ES"/>
        </w:rPr>
        <w:t>ordinarios y no extraordinarios</w:t>
      </w:r>
      <w:r w:rsidRPr="004537AD">
        <w:rPr>
          <w:rFonts w:ascii="Cambria" w:hAnsi="Cambria"/>
          <w:sz w:val="20"/>
          <w:szCs w:val="20"/>
          <w:lang w:val="es-ES"/>
        </w:rPr>
        <w:t>. Asimismo, recuerda que toda vez que un Estado alega la falta de agotamiento de los recursos internos por parte de los peticionarios, tiene la carga de identificar cuáles serían los recursos a agotarse y demostrar que los recursos que no han sido agotados resultan “adecuados” para subsanar la violación alegada, vale decir que la función de esos recursos dentro del sistema del derecho interno es idónea para proteger la situación jurídica infringida. En el presente caso, la CIDH considera que el Estado no ha demostrado que este recurso extraordinario hubiera sido idóneo para impugnar la sentencia condenatoria emitida por primera vez en la segunda instancia.</w:t>
      </w:r>
    </w:p>
    <w:p w14:paraId="72870D02" w14:textId="2F8D2F1D" w:rsidR="004537AD" w:rsidRDefault="004537AD" w:rsidP="008967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537AD">
        <w:rPr>
          <w:rFonts w:ascii="Cambria" w:hAnsi="Cambria"/>
          <w:sz w:val="20"/>
          <w:szCs w:val="20"/>
          <w:lang w:val="es-ES"/>
        </w:rPr>
        <w:t>Ante lo anterior, la CIDH considera que se aplica al presente caso la excepción prevista en el artículo 46.2.a de la Convención Americana dado que, según la información del expediente, prima facie se evidencia que en aquel momento no había previsión legal de un recurso ordinario y efectivo que pudiera haber sido interpuesto por la presunta víctima para obtener una revisión integral de la sentencia condenatoria. En efecto, la presunta víctima intentó obtener dicha revisión a través de un recurso extraordinario para que el Estado pudiera, excepcionalmente, hacer dicha revisión y sus recursos fueron declarados improcedentes justamente por haber solicitado una revisión de la prueba. Considerando que la sentencia condenatoria de segunda instancia es de 28 de abril de 2009, que antes de acudir a la CIDH la presunta víctima dio al Estado la oportunidad de excepcionalmente realizar una revisión integral de la sentencia mediante la interposición de recursos extraordinarios, que al momento de presentar la petición la presunta víctima aún no había obtenido una revisión integral de la condena y esta situación persistiría hasta la actualidad, la CIDH considera que la petición fue presentada dentro de un plazo razonable en conformidad con el artículo 32.2 del Reglamento de la CIDH</w:t>
      </w:r>
      <w:r>
        <w:rPr>
          <w:rFonts w:ascii="Cambria" w:hAnsi="Cambria"/>
          <w:sz w:val="20"/>
          <w:szCs w:val="20"/>
          <w:lang w:val="es-ES"/>
        </w:rPr>
        <w:t>.</w:t>
      </w:r>
    </w:p>
    <w:p w14:paraId="7090A929" w14:textId="115AB145" w:rsidR="00F04591" w:rsidRPr="00006B74" w:rsidRDefault="00F04591" w:rsidP="00896784">
      <w:pPr>
        <w:pStyle w:val="ListParagraph"/>
        <w:spacing w:before="120" w:after="240"/>
        <w:jc w:val="both"/>
        <w:rPr>
          <w:rFonts w:asciiTheme="majorHAnsi" w:hAnsiTheme="majorHAnsi"/>
          <w:b/>
          <w:bCs/>
          <w:sz w:val="20"/>
          <w:szCs w:val="20"/>
          <w:lang w:val="es-ES"/>
        </w:rPr>
      </w:pPr>
      <w:r w:rsidRPr="00006B74">
        <w:rPr>
          <w:rFonts w:asciiTheme="majorHAnsi" w:hAnsiTheme="majorHAnsi"/>
          <w:b/>
          <w:bCs/>
          <w:sz w:val="20"/>
          <w:szCs w:val="20"/>
          <w:lang w:val="es-ES"/>
        </w:rPr>
        <w:t>V</w:t>
      </w:r>
      <w:r w:rsidR="000E2789" w:rsidRPr="00006B74">
        <w:rPr>
          <w:rFonts w:asciiTheme="majorHAnsi" w:hAnsiTheme="majorHAnsi"/>
          <w:b/>
          <w:bCs/>
          <w:sz w:val="20"/>
          <w:szCs w:val="20"/>
          <w:lang w:val="es-ES"/>
        </w:rPr>
        <w:t>I</w:t>
      </w:r>
      <w:r w:rsidRPr="00006B74">
        <w:rPr>
          <w:rFonts w:asciiTheme="majorHAnsi" w:hAnsiTheme="majorHAnsi"/>
          <w:b/>
          <w:bCs/>
          <w:sz w:val="20"/>
          <w:szCs w:val="20"/>
          <w:lang w:val="es-ES"/>
        </w:rPr>
        <w:t xml:space="preserve">I. </w:t>
      </w:r>
      <w:r w:rsidRPr="00006B74">
        <w:rPr>
          <w:rFonts w:asciiTheme="majorHAnsi" w:hAnsiTheme="majorHAnsi"/>
          <w:b/>
          <w:bCs/>
          <w:sz w:val="20"/>
          <w:szCs w:val="20"/>
          <w:lang w:val="es-ES"/>
        </w:rPr>
        <w:tab/>
        <w:t>CARACTERIZACIÓN</w:t>
      </w:r>
    </w:p>
    <w:p w14:paraId="2B568B25" w14:textId="77777777" w:rsidR="004537AD" w:rsidRPr="004537AD" w:rsidRDefault="004537AD" w:rsidP="008967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537AD">
        <w:rPr>
          <w:rFonts w:ascii="Cambria" w:hAnsi="Cambria"/>
          <w:sz w:val="20"/>
          <w:szCs w:val="20"/>
          <w:lang w:val="es-ES"/>
        </w:rPr>
        <w:t xml:space="preserve">Respecto a los alegatos del Estado referidos a la fórmula de cuarta instancia, la Comisión reconoce que no es competente para revisar las sentencias dictadas por tribunales nacionales que actúen en la esfera de su competencia y apliquen el debido proceso y las garantías judiciales. No obstante, reitera que dentro del marco de su mandato sí es competente para declarar admisible una petición y fallar sobre el fondo cuando ésta se refiere a procesos internos que podrían ser violatorios de derechos garantizados por la Convención Americana. </w:t>
      </w:r>
    </w:p>
    <w:p w14:paraId="7B2A0162" w14:textId="4959D23B" w:rsidR="004537AD" w:rsidRDefault="004537AD" w:rsidP="00896784">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537AD">
        <w:rPr>
          <w:rFonts w:ascii="Cambria" w:hAnsi="Cambria"/>
          <w:sz w:val="20"/>
          <w:szCs w:val="20"/>
          <w:lang w:val="es-ES"/>
        </w:rPr>
        <w:t>La CIDH considera que la alegada imposibilidad de la presunta víctima de obtener una revisión integral de la condena que le fue impuesta por primera vez por un tribunal de segunda instancia, de probarse, podría configurar una violación a los derechos consagrados en los artículos 8 (garantías judiciales) y 25 (judicial) de la Convención Americana en concordancia con los artículos 1.1 (obligación de respetar los derechos) y 2 (deber de adoptar disposiciones del derecho interno) del mismo instrumento</w:t>
      </w:r>
      <w:r>
        <w:rPr>
          <w:rFonts w:ascii="Cambria" w:hAnsi="Cambria"/>
          <w:sz w:val="20"/>
          <w:szCs w:val="20"/>
          <w:lang w:val="es-ES"/>
        </w:rPr>
        <w:t>.</w:t>
      </w:r>
    </w:p>
    <w:p w14:paraId="29BB41F5" w14:textId="2851F5F9" w:rsidR="003239B8" w:rsidRPr="00006B74" w:rsidRDefault="00EC72AB" w:rsidP="008967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left="720"/>
        <w:jc w:val="both"/>
        <w:rPr>
          <w:rFonts w:asciiTheme="majorHAnsi" w:hAnsiTheme="majorHAnsi"/>
          <w:b/>
          <w:bCs/>
          <w:sz w:val="20"/>
          <w:szCs w:val="20"/>
          <w:lang w:val="es-ES"/>
        </w:rPr>
      </w:pPr>
      <w:r w:rsidRPr="00006B74">
        <w:rPr>
          <w:rFonts w:asciiTheme="majorHAnsi" w:hAnsiTheme="majorHAnsi"/>
          <w:b/>
          <w:bCs/>
          <w:sz w:val="20"/>
          <w:szCs w:val="20"/>
          <w:lang w:val="es-ES"/>
        </w:rPr>
        <w:t>VI</w:t>
      </w:r>
      <w:r w:rsidR="00F04591" w:rsidRPr="00006B74">
        <w:rPr>
          <w:rFonts w:asciiTheme="majorHAnsi" w:hAnsiTheme="majorHAnsi"/>
          <w:b/>
          <w:bCs/>
          <w:sz w:val="20"/>
          <w:szCs w:val="20"/>
          <w:lang w:val="es-ES"/>
        </w:rPr>
        <w:t>II</w:t>
      </w:r>
      <w:r w:rsidR="003239B8" w:rsidRPr="00006B74">
        <w:rPr>
          <w:rFonts w:asciiTheme="majorHAnsi" w:hAnsiTheme="majorHAnsi"/>
          <w:b/>
          <w:bCs/>
          <w:sz w:val="20"/>
          <w:szCs w:val="20"/>
          <w:lang w:val="es-ES"/>
        </w:rPr>
        <w:t xml:space="preserve">. </w:t>
      </w:r>
      <w:r w:rsidR="003239B8" w:rsidRPr="00006B74">
        <w:rPr>
          <w:rFonts w:asciiTheme="majorHAnsi" w:hAnsiTheme="majorHAnsi"/>
          <w:b/>
          <w:bCs/>
          <w:sz w:val="20"/>
          <w:szCs w:val="20"/>
          <w:lang w:val="es-ES"/>
        </w:rPr>
        <w:tab/>
        <w:t>DECISIÓN</w:t>
      </w:r>
    </w:p>
    <w:p w14:paraId="2345C3AA" w14:textId="77777777" w:rsidR="004537AD" w:rsidRPr="004537AD" w:rsidRDefault="004537AD" w:rsidP="0089678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537AD">
        <w:rPr>
          <w:rFonts w:ascii="Cambria" w:hAnsi="Cambria"/>
          <w:sz w:val="20"/>
          <w:szCs w:val="20"/>
          <w:lang w:val="es-ES"/>
        </w:rPr>
        <w:t xml:space="preserve">Declarar admisible la presente petición en relación con los artículos 8 y 25 de la Convención Americana en concordancia con los artículos 1.1 y 2 del mismo instrumento; </w:t>
      </w:r>
    </w:p>
    <w:p w14:paraId="17D6A68D" w14:textId="17D6FEC1" w:rsidR="004537AD" w:rsidRDefault="004537AD" w:rsidP="00896784">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jc w:val="both"/>
        <w:rPr>
          <w:rFonts w:ascii="Cambria" w:hAnsi="Cambria"/>
          <w:sz w:val="20"/>
          <w:szCs w:val="20"/>
          <w:lang w:val="es-ES"/>
        </w:rPr>
      </w:pPr>
      <w:r w:rsidRPr="004537AD">
        <w:rPr>
          <w:rFonts w:ascii="Cambria" w:hAnsi="Cambria"/>
          <w:sz w:val="20"/>
          <w:szCs w:val="20"/>
          <w:lang w:val="es-ES"/>
        </w:rPr>
        <w:lastRenderedPageBreak/>
        <w:t>Notificar a las partes la presente decisión; continuar con el análisis del fondo del asunto; publicar esta decisión e incluirla en su Informe Anual a la Asamblea General de la Organización de los Estados Americanos</w:t>
      </w:r>
      <w:r>
        <w:rPr>
          <w:rFonts w:ascii="Cambria" w:hAnsi="Cambria"/>
          <w:sz w:val="20"/>
          <w:szCs w:val="20"/>
          <w:lang w:val="es-ES"/>
        </w:rPr>
        <w:t>.</w:t>
      </w:r>
    </w:p>
    <w:p w14:paraId="5AA82E76" w14:textId="77777777" w:rsidR="008B40F4" w:rsidRPr="00C12C79" w:rsidRDefault="008B40F4" w:rsidP="00896784">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240"/>
        <w:ind w:firstLine="720"/>
        <w:jc w:val="both"/>
        <w:rPr>
          <w:rFonts w:ascii="Cambria" w:hAnsi="Cambria"/>
          <w:sz w:val="20"/>
          <w:szCs w:val="20"/>
          <w:lang w:val="es-ES"/>
        </w:rPr>
      </w:pPr>
      <w:r w:rsidRPr="00C12C79">
        <w:rPr>
          <w:rFonts w:ascii="Cambria" w:hAnsi="Cambria"/>
          <w:sz w:val="20"/>
          <w:szCs w:val="20"/>
          <w:lang w:val="es-ES"/>
        </w:rPr>
        <w:t xml:space="preserve">Aprobado por la Comisión Interamericana de Derechos Humanos a los </w:t>
      </w:r>
      <w:r>
        <w:rPr>
          <w:rFonts w:ascii="Cambria" w:hAnsi="Cambria"/>
          <w:sz w:val="20"/>
          <w:szCs w:val="20"/>
          <w:lang w:val="es-ES"/>
        </w:rPr>
        <w:t>6</w:t>
      </w:r>
      <w:r w:rsidRPr="00C12C79">
        <w:rPr>
          <w:rFonts w:ascii="Cambria" w:hAnsi="Cambria"/>
          <w:sz w:val="20"/>
          <w:szCs w:val="20"/>
          <w:lang w:val="es-ES"/>
        </w:rPr>
        <w:t xml:space="preserve"> días del mes de </w:t>
      </w:r>
      <w:r>
        <w:rPr>
          <w:rFonts w:ascii="Cambria" w:hAnsi="Cambria" w:cs="Arial"/>
          <w:noProof/>
          <w:spacing w:val="-2"/>
          <w:sz w:val="20"/>
          <w:szCs w:val="20"/>
          <w:lang w:val="es-CL"/>
        </w:rPr>
        <w:t>diciembre</w:t>
      </w:r>
      <w:r w:rsidRPr="00C12C79">
        <w:rPr>
          <w:rFonts w:ascii="Cambria" w:hAnsi="Cambria"/>
          <w:sz w:val="20"/>
          <w:szCs w:val="20"/>
          <w:lang w:val="es-ES"/>
        </w:rPr>
        <w:t xml:space="preserve"> de 2019.  </w:t>
      </w:r>
      <w:bookmarkStart w:id="2" w:name="_Hlk16468123"/>
      <w:r w:rsidRPr="00C12C79">
        <w:rPr>
          <w:rFonts w:ascii="Cambria" w:hAnsi="Cambria"/>
          <w:sz w:val="20"/>
          <w:szCs w:val="20"/>
          <w:lang w:val="es-ES"/>
        </w:rPr>
        <w:t>(Firmado): Esmeralda E. Arosemena Bernal de Troitiño, Presidenta; Joel Hernández García, Primer Vicepresidente; Antonia Urrejola Noguera, Segunda Vicepresidenta; Margarette May Macaulay, Luis Ernesto Vargas Silva y Flávia Piovesan, Miembros de la Comisión.</w:t>
      </w:r>
      <w:bookmarkEnd w:id="2"/>
    </w:p>
    <w:sectPr w:rsidR="008B40F4" w:rsidRPr="00C12C79"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9201DE" w14:textId="77777777" w:rsidR="00E100BD" w:rsidRDefault="00E100BD">
      <w:r>
        <w:separator/>
      </w:r>
    </w:p>
  </w:endnote>
  <w:endnote w:type="continuationSeparator" w:id="0">
    <w:p w14:paraId="0F822DCA" w14:textId="77777777" w:rsidR="00E100BD" w:rsidRDefault="00E100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D73C8A" w14:textId="77777777" w:rsidR="00127EEB" w:rsidRDefault="00127EE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2C263FC7"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127EEB">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C7592" w14:textId="77777777" w:rsidR="00E100BD" w:rsidRPr="000F35ED" w:rsidRDefault="00E100BD">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320F8296" w14:textId="77777777" w:rsidR="00E100BD" w:rsidRPr="000F35ED" w:rsidRDefault="00E100BD" w:rsidP="000F35ED">
      <w:pPr>
        <w:rPr>
          <w:rFonts w:asciiTheme="majorHAnsi" w:hAnsiTheme="majorHAnsi"/>
          <w:sz w:val="16"/>
          <w:szCs w:val="16"/>
        </w:rPr>
      </w:pPr>
      <w:r w:rsidRPr="000F35ED">
        <w:rPr>
          <w:rFonts w:asciiTheme="majorHAnsi" w:hAnsiTheme="majorHAnsi"/>
          <w:sz w:val="16"/>
          <w:szCs w:val="16"/>
        </w:rPr>
        <w:separator/>
      </w:r>
    </w:p>
    <w:p w14:paraId="1811862B" w14:textId="77777777" w:rsidR="00E100BD" w:rsidRPr="000F35ED" w:rsidRDefault="00E100BD"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1821F888" w14:textId="77777777" w:rsidR="00E100BD" w:rsidRPr="000F35ED" w:rsidRDefault="00E100BD"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719EC97F" w14:textId="77777777" w:rsidR="004537AD" w:rsidRPr="00D30680" w:rsidRDefault="004537AD" w:rsidP="004537AD">
      <w:pPr>
        <w:pStyle w:val="FootnoteText"/>
        <w:jc w:val="both"/>
        <w:rPr>
          <w:rFonts w:ascii="Cambria" w:hAnsi="Cambria"/>
          <w:sz w:val="16"/>
          <w:szCs w:val="16"/>
          <w:lang w:val="es-ES"/>
        </w:rPr>
      </w:pPr>
      <w:r w:rsidRPr="00D30680">
        <w:rPr>
          <w:rStyle w:val="FootnoteReference"/>
          <w:rFonts w:ascii="Cambria" w:hAnsi="Cambria"/>
          <w:sz w:val="16"/>
          <w:szCs w:val="16"/>
          <w:lang w:val="es-ES"/>
        </w:rPr>
        <w:footnoteRef/>
      </w:r>
      <w:r w:rsidRPr="00D30680">
        <w:rPr>
          <w:rFonts w:ascii="Cambria" w:hAnsi="Cambria"/>
          <w:sz w:val="16"/>
          <w:szCs w:val="16"/>
          <w:lang w:val="es-ES"/>
        </w:rPr>
        <w:t xml:space="preserve"> Conforme a lo dispuesto en el artículo 17.2.a del Reglamento de la Comisión, el Comisionado Francisco José Eguiguren Praeli, de nacionalidad peruana, no participó en el debate ni en la decisión del presente asunto</w:t>
      </w:r>
    </w:p>
  </w:footnote>
  <w:footnote w:id="3">
    <w:p w14:paraId="79F07139" w14:textId="77777777" w:rsidR="008E3BFE" w:rsidRPr="00DD061E" w:rsidRDefault="008E3BFE" w:rsidP="004537AD">
      <w:pPr>
        <w:pStyle w:val="FootnoteText"/>
        <w:jc w:val="both"/>
        <w:rPr>
          <w:rFonts w:ascii="Cambria" w:hAnsi="Cambria"/>
          <w:sz w:val="16"/>
          <w:szCs w:val="16"/>
          <w:lang w:val="es-ES"/>
        </w:rPr>
      </w:pPr>
      <w:r w:rsidRPr="00DD061E">
        <w:rPr>
          <w:rStyle w:val="FootnoteReference"/>
          <w:rFonts w:ascii="Cambria" w:hAnsi="Cambria"/>
          <w:sz w:val="16"/>
          <w:szCs w:val="16"/>
        </w:rPr>
        <w:footnoteRef/>
      </w:r>
      <w:r w:rsidRPr="00DD061E">
        <w:rPr>
          <w:rFonts w:ascii="Cambria" w:hAnsi="Cambria"/>
          <w:sz w:val="16"/>
          <w:szCs w:val="16"/>
          <w:lang w:val="es-ES"/>
        </w:rPr>
        <w:t xml:space="preserve"> Las observaciones de cada parte fueron debidamente trasladadas a la parte contraria.</w:t>
      </w:r>
    </w:p>
  </w:footnote>
  <w:footnote w:id="4">
    <w:p w14:paraId="42E2E9FA" w14:textId="77777777" w:rsidR="004537AD" w:rsidRPr="00D30680" w:rsidRDefault="004537AD" w:rsidP="004537AD">
      <w:pPr>
        <w:pStyle w:val="FootnoteText"/>
        <w:spacing w:after="240"/>
        <w:rPr>
          <w:rFonts w:ascii="Cambria" w:hAnsi="Cambria"/>
          <w:sz w:val="16"/>
          <w:szCs w:val="16"/>
          <w:lang w:val="es-ES"/>
        </w:rPr>
      </w:pPr>
      <w:r w:rsidRPr="00D30680">
        <w:rPr>
          <w:rStyle w:val="FootnoteReference"/>
          <w:rFonts w:ascii="Cambria" w:hAnsi="Cambria"/>
          <w:sz w:val="16"/>
          <w:szCs w:val="16"/>
          <w:lang w:val="es-ES"/>
        </w:rPr>
        <w:footnoteRef/>
      </w:r>
      <w:r w:rsidRPr="00D30680">
        <w:rPr>
          <w:rFonts w:ascii="Cambria" w:hAnsi="Cambria"/>
          <w:sz w:val="16"/>
          <w:szCs w:val="16"/>
          <w:lang w:val="es-ES"/>
        </w:rPr>
        <w:t xml:space="preserve"> En adelante </w:t>
      </w:r>
      <w:r w:rsidRPr="00D30680">
        <w:rPr>
          <w:rFonts w:ascii="Cambria" w:hAnsi="Cambria"/>
          <w:bCs/>
          <w:sz w:val="16"/>
          <w:szCs w:val="16"/>
          <w:lang w:val="es-ES"/>
        </w:rPr>
        <w:t>“la Convención” o la “Convención Americana”.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E100BD" w:rsidP="00A50FCF">
    <w:pPr>
      <w:pStyle w:val="Header"/>
      <w:tabs>
        <w:tab w:val="clear" w:pos="4320"/>
        <w:tab w:val="clear" w:pos="8640"/>
      </w:tabs>
      <w:jc w:val="center"/>
      <w:rPr>
        <w:sz w:val="22"/>
        <w:szCs w:val="22"/>
      </w:rPr>
    </w:pPr>
    <w:r>
      <w:rPr>
        <w:sz w:val="22"/>
        <w:szCs w:val="22"/>
      </w:rPr>
      <w:pict w14:anchorId="4367A34C">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1992A5" w14:textId="77777777" w:rsidR="00127EEB" w:rsidRDefault="00127EE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1"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0"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4"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5"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53"/>
  </w:num>
  <w:num w:numId="4">
    <w:abstractNumId w:val="22"/>
  </w:num>
  <w:num w:numId="5">
    <w:abstractNumId w:val="47"/>
  </w:num>
  <w:num w:numId="6">
    <w:abstractNumId w:val="27"/>
  </w:num>
  <w:num w:numId="7">
    <w:abstractNumId w:val="7"/>
  </w:num>
  <w:num w:numId="8">
    <w:abstractNumId w:val="17"/>
  </w:num>
  <w:num w:numId="9">
    <w:abstractNumId w:val="41"/>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3"/>
  </w:num>
  <w:num w:numId="28">
    <w:abstractNumId w:val="24"/>
  </w:num>
  <w:num w:numId="29">
    <w:abstractNumId w:val="25"/>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39"/>
  </w:num>
  <w:num w:numId="41">
    <w:abstractNumId w:val="45"/>
  </w:num>
  <w:num w:numId="42">
    <w:abstractNumId w:val="48"/>
  </w:num>
  <w:num w:numId="43">
    <w:abstractNumId w:val="49"/>
  </w:num>
  <w:num w:numId="44">
    <w:abstractNumId w:val="51"/>
  </w:num>
  <w:num w:numId="45">
    <w:abstractNumId w:val="52"/>
  </w:num>
  <w:num w:numId="46">
    <w:abstractNumId w:val="54"/>
  </w:num>
  <w:num w:numId="47">
    <w:abstractNumId w:val="55"/>
  </w:num>
  <w:num w:numId="48">
    <w:abstractNumId w:val="56"/>
  </w:num>
  <w:num w:numId="49">
    <w:abstractNumId w:val="57"/>
  </w:num>
  <w:num w:numId="50">
    <w:abstractNumId w:val="59"/>
  </w:num>
  <w:num w:numId="51">
    <w:abstractNumId w:val="21"/>
  </w:num>
  <w:num w:numId="52">
    <w:abstractNumId w:val="40"/>
  </w:num>
  <w:num w:numId="53">
    <w:abstractNumId w:val="50"/>
  </w:num>
  <w:num w:numId="54">
    <w:abstractNumId w:val="44"/>
  </w:num>
  <w:num w:numId="55">
    <w:abstractNumId w:val="5"/>
  </w:num>
  <w:num w:numId="56">
    <w:abstractNumId w:val="42"/>
  </w:num>
  <w:num w:numId="57">
    <w:abstractNumId w:val="58"/>
  </w:num>
  <w:num w:numId="58">
    <w:abstractNumId w:val="20"/>
  </w:num>
  <w:num w:numId="59">
    <w:abstractNumId w:val="3"/>
  </w:num>
  <w:num w:numId="60">
    <w:abstractNumId w:val="46"/>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65D0"/>
    <w:rsid w:val="00006B74"/>
    <w:rsid w:val="00006E1F"/>
    <w:rsid w:val="000070D7"/>
    <w:rsid w:val="000104F5"/>
    <w:rsid w:val="00015701"/>
    <w:rsid w:val="0001788C"/>
    <w:rsid w:val="0002186F"/>
    <w:rsid w:val="000337EF"/>
    <w:rsid w:val="00040C3A"/>
    <w:rsid w:val="000419AD"/>
    <w:rsid w:val="000716C5"/>
    <w:rsid w:val="00075E23"/>
    <w:rsid w:val="0009006E"/>
    <w:rsid w:val="0009344A"/>
    <w:rsid w:val="000A19F8"/>
    <w:rsid w:val="000A3254"/>
    <w:rsid w:val="000A392E"/>
    <w:rsid w:val="000A575F"/>
    <w:rsid w:val="000A63D0"/>
    <w:rsid w:val="000B0579"/>
    <w:rsid w:val="000C1C69"/>
    <w:rsid w:val="000C3A31"/>
    <w:rsid w:val="000D10DB"/>
    <w:rsid w:val="000E2789"/>
    <w:rsid w:val="000E5EB5"/>
    <w:rsid w:val="000F35ED"/>
    <w:rsid w:val="00107131"/>
    <w:rsid w:val="0010736F"/>
    <w:rsid w:val="00111A8A"/>
    <w:rsid w:val="00113F73"/>
    <w:rsid w:val="00121CC2"/>
    <w:rsid w:val="00127EEB"/>
    <w:rsid w:val="00131D8B"/>
    <w:rsid w:val="00133EE5"/>
    <w:rsid w:val="00136E3D"/>
    <w:rsid w:val="00143EFE"/>
    <w:rsid w:val="001479C0"/>
    <w:rsid w:val="0015330B"/>
    <w:rsid w:val="00167A34"/>
    <w:rsid w:val="00176BB3"/>
    <w:rsid w:val="00177EEF"/>
    <w:rsid w:val="001A7870"/>
    <w:rsid w:val="001B3A00"/>
    <w:rsid w:val="001B4C00"/>
    <w:rsid w:val="001C1B41"/>
    <w:rsid w:val="001C261B"/>
    <w:rsid w:val="001D65EF"/>
    <w:rsid w:val="001E49E7"/>
    <w:rsid w:val="001F271B"/>
    <w:rsid w:val="001F7201"/>
    <w:rsid w:val="00204931"/>
    <w:rsid w:val="00223A29"/>
    <w:rsid w:val="002250A3"/>
    <w:rsid w:val="00231294"/>
    <w:rsid w:val="00235217"/>
    <w:rsid w:val="002355A9"/>
    <w:rsid w:val="00246D1F"/>
    <w:rsid w:val="00247403"/>
    <w:rsid w:val="00247542"/>
    <w:rsid w:val="00266B61"/>
    <w:rsid w:val="0026712A"/>
    <w:rsid w:val="002704DB"/>
    <w:rsid w:val="00277BDA"/>
    <w:rsid w:val="0029575A"/>
    <w:rsid w:val="002A0AAE"/>
    <w:rsid w:val="002A5820"/>
    <w:rsid w:val="002C3350"/>
    <w:rsid w:val="002D2B26"/>
    <w:rsid w:val="002D7EA2"/>
    <w:rsid w:val="002E187C"/>
    <w:rsid w:val="002E7512"/>
    <w:rsid w:val="002F3724"/>
    <w:rsid w:val="00302733"/>
    <w:rsid w:val="003121D5"/>
    <w:rsid w:val="00314078"/>
    <w:rsid w:val="0031535D"/>
    <w:rsid w:val="003239B8"/>
    <w:rsid w:val="0033169F"/>
    <w:rsid w:val="0034224A"/>
    <w:rsid w:val="00343438"/>
    <w:rsid w:val="00344977"/>
    <w:rsid w:val="00346C95"/>
    <w:rsid w:val="00351155"/>
    <w:rsid w:val="00356185"/>
    <w:rsid w:val="00360380"/>
    <w:rsid w:val="0037519E"/>
    <w:rsid w:val="00386C6C"/>
    <w:rsid w:val="00386CF0"/>
    <w:rsid w:val="003942EC"/>
    <w:rsid w:val="003A6337"/>
    <w:rsid w:val="003B4FF6"/>
    <w:rsid w:val="003B70FB"/>
    <w:rsid w:val="003C6112"/>
    <w:rsid w:val="003C676B"/>
    <w:rsid w:val="003D0A55"/>
    <w:rsid w:val="003D3BC2"/>
    <w:rsid w:val="003E614F"/>
    <w:rsid w:val="003E6CA1"/>
    <w:rsid w:val="004065A8"/>
    <w:rsid w:val="004153F5"/>
    <w:rsid w:val="004165C2"/>
    <w:rsid w:val="004304AD"/>
    <w:rsid w:val="00441ECB"/>
    <w:rsid w:val="00445193"/>
    <w:rsid w:val="00447CCF"/>
    <w:rsid w:val="004537AD"/>
    <w:rsid w:val="004565BA"/>
    <w:rsid w:val="00462C1B"/>
    <w:rsid w:val="00467B7E"/>
    <w:rsid w:val="0047080D"/>
    <w:rsid w:val="00473BB4"/>
    <w:rsid w:val="00476211"/>
    <w:rsid w:val="00477592"/>
    <w:rsid w:val="00486F1C"/>
    <w:rsid w:val="0049419D"/>
    <w:rsid w:val="004A59CC"/>
    <w:rsid w:val="004A6A54"/>
    <w:rsid w:val="004C20D2"/>
    <w:rsid w:val="004C2312"/>
    <w:rsid w:val="004C4B62"/>
    <w:rsid w:val="004C54C9"/>
    <w:rsid w:val="004C616A"/>
    <w:rsid w:val="004D4ABA"/>
    <w:rsid w:val="004D6025"/>
    <w:rsid w:val="004E19B1"/>
    <w:rsid w:val="004E2649"/>
    <w:rsid w:val="00501399"/>
    <w:rsid w:val="00501652"/>
    <w:rsid w:val="0050633D"/>
    <w:rsid w:val="00507BC4"/>
    <w:rsid w:val="005128E4"/>
    <w:rsid w:val="005133DB"/>
    <w:rsid w:val="00525560"/>
    <w:rsid w:val="005415E6"/>
    <w:rsid w:val="00544216"/>
    <w:rsid w:val="00544C49"/>
    <w:rsid w:val="005516A1"/>
    <w:rsid w:val="00563557"/>
    <w:rsid w:val="0057402A"/>
    <w:rsid w:val="00574CB7"/>
    <w:rsid w:val="005771D0"/>
    <w:rsid w:val="0059191A"/>
    <w:rsid w:val="005921FF"/>
    <w:rsid w:val="00594707"/>
    <w:rsid w:val="005A24ED"/>
    <w:rsid w:val="005A6D0E"/>
    <w:rsid w:val="005B37CC"/>
    <w:rsid w:val="005B52B0"/>
    <w:rsid w:val="005B6806"/>
    <w:rsid w:val="005B6D22"/>
    <w:rsid w:val="005C261A"/>
    <w:rsid w:val="005C4225"/>
    <w:rsid w:val="005C7989"/>
    <w:rsid w:val="005D66AD"/>
    <w:rsid w:val="005E0B65"/>
    <w:rsid w:val="005E11B2"/>
    <w:rsid w:val="005F0DAD"/>
    <w:rsid w:val="005F0F33"/>
    <w:rsid w:val="00600DEB"/>
    <w:rsid w:val="00604EBA"/>
    <w:rsid w:val="006068B7"/>
    <w:rsid w:val="006277DE"/>
    <w:rsid w:val="00627C9F"/>
    <w:rsid w:val="006311E9"/>
    <w:rsid w:val="00632354"/>
    <w:rsid w:val="00642810"/>
    <w:rsid w:val="00647756"/>
    <w:rsid w:val="006509DA"/>
    <w:rsid w:val="00652333"/>
    <w:rsid w:val="006775AB"/>
    <w:rsid w:val="0068009E"/>
    <w:rsid w:val="006819E9"/>
    <w:rsid w:val="00686471"/>
    <w:rsid w:val="0068794B"/>
    <w:rsid w:val="00691BBE"/>
    <w:rsid w:val="00692219"/>
    <w:rsid w:val="0069402E"/>
    <w:rsid w:val="006A17D2"/>
    <w:rsid w:val="006A73E6"/>
    <w:rsid w:val="006B2D5C"/>
    <w:rsid w:val="006B2EE8"/>
    <w:rsid w:val="006C4EB1"/>
    <w:rsid w:val="006E0166"/>
    <w:rsid w:val="006E772A"/>
    <w:rsid w:val="006E7B34"/>
    <w:rsid w:val="00706925"/>
    <w:rsid w:val="0070697F"/>
    <w:rsid w:val="0072199C"/>
    <w:rsid w:val="00722C9F"/>
    <w:rsid w:val="007253B8"/>
    <w:rsid w:val="00727B0E"/>
    <w:rsid w:val="0073598C"/>
    <w:rsid w:val="0073741F"/>
    <w:rsid w:val="0076643F"/>
    <w:rsid w:val="00777F63"/>
    <w:rsid w:val="007852B5"/>
    <w:rsid w:val="00796A37"/>
    <w:rsid w:val="007A5817"/>
    <w:rsid w:val="007A6674"/>
    <w:rsid w:val="007B05C4"/>
    <w:rsid w:val="007B60E9"/>
    <w:rsid w:val="007B6CC3"/>
    <w:rsid w:val="007C3334"/>
    <w:rsid w:val="007C402A"/>
    <w:rsid w:val="007D2B98"/>
    <w:rsid w:val="007D7C02"/>
    <w:rsid w:val="007E21BC"/>
    <w:rsid w:val="007E58FE"/>
    <w:rsid w:val="007E7C82"/>
    <w:rsid w:val="007F588D"/>
    <w:rsid w:val="00802748"/>
    <w:rsid w:val="00803F1C"/>
    <w:rsid w:val="0080600E"/>
    <w:rsid w:val="00817612"/>
    <w:rsid w:val="00824544"/>
    <w:rsid w:val="008338A4"/>
    <w:rsid w:val="00834D49"/>
    <w:rsid w:val="00837C45"/>
    <w:rsid w:val="008411F0"/>
    <w:rsid w:val="008439BC"/>
    <w:rsid w:val="00844730"/>
    <w:rsid w:val="008457C2"/>
    <w:rsid w:val="00857A82"/>
    <w:rsid w:val="00871526"/>
    <w:rsid w:val="00873836"/>
    <w:rsid w:val="00875668"/>
    <w:rsid w:val="00885737"/>
    <w:rsid w:val="00890650"/>
    <w:rsid w:val="00896784"/>
    <w:rsid w:val="00897E12"/>
    <w:rsid w:val="008A0F81"/>
    <w:rsid w:val="008A310C"/>
    <w:rsid w:val="008A7E0F"/>
    <w:rsid w:val="008B12F5"/>
    <w:rsid w:val="008B40F4"/>
    <w:rsid w:val="008B5932"/>
    <w:rsid w:val="008C5751"/>
    <w:rsid w:val="008D768D"/>
    <w:rsid w:val="008E0FD8"/>
    <w:rsid w:val="008E328A"/>
    <w:rsid w:val="008E3759"/>
    <w:rsid w:val="008E3BFE"/>
    <w:rsid w:val="008E7900"/>
    <w:rsid w:val="008F1912"/>
    <w:rsid w:val="0090270B"/>
    <w:rsid w:val="009041DC"/>
    <w:rsid w:val="00917B5A"/>
    <w:rsid w:val="00920A58"/>
    <w:rsid w:val="00920A8C"/>
    <w:rsid w:val="00934A2C"/>
    <w:rsid w:val="00935F06"/>
    <w:rsid w:val="00937B3A"/>
    <w:rsid w:val="00954B82"/>
    <w:rsid w:val="00957000"/>
    <w:rsid w:val="00962436"/>
    <w:rsid w:val="0096706E"/>
    <w:rsid w:val="00974491"/>
    <w:rsid w:val="00975C4E"/>
    <w:rsid w:val="00981FBA"/>
    <w:rsid w:val="00997BC5"/>
    <w:rsid w:val="009A4F41"/>
    <w:rsid w:val="009B0776"/>
    <w:rsid w:val="009B381B"/>
    <w:rsid w:val="009C2FC5"/>
    <w:rsid w:val="009D1753"/>
    <w:rsid w:val="009D6502"/>
    <w:rsid w:val="009D7611"/>
    <w:rsid w:val="009D78A5"/>
    <w:rsid w:val="009E08DD"/>
    <w:rsid w:val="009E0B61"/>
    <w:rsid w:val="009E53DE"/>
    <w:rsid w:val="009E7C00"/>
    <w:rsid w:val="00A0691C"/>
    <w:rsid w:val="00A11E44"/>
    <w:rsid w:val="00A154C8"/>
    <w:rsid w:val="00A22397"/>
    <w:rsid w:val="00A32313"/>
    <w:rsid w:val="00A328B3"/>
    <w:rsid w:val="00A50FCF"/>
    <w:rsid w:val="00A528D1"/>
    <w:rsid w:val="00A610CD"/>
    <w:rsid w:val="00A625E0"/>
    <w:rsid w:val="00A74947"/>
    <w:rsid w:val="00A758AA"/>
    <w:rsid w:val="00A92093"/>
    <w:rsid w:val="00AA09A2"/>
    <w:rsid w:val="00AA7996"/>
    <w:rsid w:val="00AC19CB"/>
    <w:rsid w:val="00AD1886"/>
    <w:rsid w:val="00AE5488"/>
    <w:rsid w:val="00AE6F91"/>
    <w:rsid w:val="00AF5571"/>
    <w:rsid w:val="00B0311E"/>
    <w:rsid w:val="00B06B4E"/>
    <w:rsid w:val="00B07341"/>
    <w:rsid w:val="00B202B5"/>
    <w:rsid w:val="00B30539"/>
    <w:rsid w:val="00B314DB"/>
    <w:rsid w:val="00B361F2"/>
    <w:rsid w:val="00B3718B"/>
    <w:rsid w:val="00B4632A"/>
    <w:rsid w:val="00B5067D"/>
    <w:rsid w:val="00B530F1"/>
    <w:rsid w:val="00B57297"/>
    <w:rsid w:val="00B736AF"/>
    <w:rsid w:val="00B742BE"/>
    <w:rsid w:val="00B87359"/>
    <w:rsid w:val="00B97946"/>
    <w:rsid w:val="00BA276C"/>
    <w:rsid w:val="00BA5544"/>
    <w:rsid w:val="00BB306F"/>
    <w:rsid w:val="00BB3FBD"/>
    <w:rsid w:val="00BC6CD0"/>
    <w:rsid w:val="00BD4B89"/>
    <w:rsid w:val="00BD5922"/>
    <w:rsid w:val="00BD76D9"/>
    <w:rsid w:val="00BF02CB"/>
    <w:rsid w:val="00BF514A"/>
    <w:rsid w:val="00BF6FD8"/>
    <w:rsid w:val="00BF775D"/>
    <w:rsid w:val="00C03680"/>
    <w:rsid w:val="00C054DF"/>
    <w:rsid w:val="00C10AFC"/>
    <w:rsid w:val="00C21562"/>
    <w:rsid w:val="00C21762"/>
    <w:rsid w:val="00C21FEF"/>
    <w:rsid w:val="00C24543"/>
    <w:rsid w:val="00C256A2"/>
    <w:rsid w:val="00C35A26"/>
    <w:rsid w:val="00C51515"/>
    <w:rsid w:val="00C53910"/>
    <w:rsid w:val="00C5660B"/>
    <w:rsid w:val="00C56854"/>
    <w:rsid w:val="00C5788A"/>
    <w:rsid w:val="00C66B72"/>
    <w:rsid w:val="00C87AC4"/>
    <w:rsid w:val="00C9567A"/>
    <w:rsid w:val="00CA48A3"/>
    <w:rsid w:val="00CB212D"/>
    <w:rsid w:val="00CB2660"/>
    <w:rsid w:val="00CC5E90"/>
    <w:rsid w:val="00CD046C"/>
    <w:rsid w:val="00CD186A"/>
    <w:rsid w:val="00CE076C"/>
    <w:rsid w:val="00CE5199"/>
    <w:rsid w:val="00CE66D5"/>
    <w:rsid w:val="00CF637A"/>
    <w:rsid w:val="00D059DE"/>
    <w:rsid w:val="00D05ABD"/>
    <w:rsid w:val="00D13FCE"/>
    <w:rsid w:val="00D17E8C"/>
    <w:rsid w:val="00D306D1"/>
    <w:rsid w:val="00D30800"/>
    <w:rsid w:val="00D34786"/>
    <w:rsid w:val="00D37BFC"/>
    <w:rsid w:val="00D42822"/>
    <w:rsid w:val="00D47A8E"/>
    <w:rsid w:val="00D52D14"/>
    <w:rsid w:val="00D55256"/>
    <w:rsid w:val="00D56D93"/>
    <w:rsid w:val="00D712D3"/>
    <w:rsid w:val="00D71422"/>
    <w:rsid w:val="00D72DC6"/>
    <w:rsid w:val="00D73F5E"/>
    <w:rsid w:val="00D7558D"/>
    <w:rsid w:val="00D77503"/>
    <w:rsid w:val="00D81D92"/>
    <w:rsid w:val="00D876F9"/>
    <w:rsid w:val="00D877B6"/>
    <w:rsid w:val="00D93A90"/>
    <w:rsid w:val="00DA7B5F"/>
    <w:rsid w:val="00DC11E7"/>
    <w:rsid w:val="00DC7023"/>
    <w:rsid w:val="00DC769A"/>
    <w:rsid w:val="00DD061E"/>
    <w:rsid w:val="00DD3D86"/>
    <w:rsid w:val="00DE12F0"/>
    <w:rsid w:val="00DF1EC4"/>
    <w:rsid w:val="00DF51E9"/>
    <w:rsid w:val="00E01943"/>
    <w:rsid w:val="00E0340B"/>
    <w:rsid w:val="00E04A90"/>
    <w:rsid w:val="00E0551F"/>
    <w:rsid w:val="00E100BD"/>
    <w:rsid w:val="00E219C7"/>
    <w:rsid w:val="00E26CCA"/>
    <w:rsid w:val="00E27F56"/>
    <w:rsid w:val="00E4118C"/>
    <w:rsid w:val="00E43157"/>
    <w:rsid w:val="00E461CE"/>
    <w:rsid w:val="00E720CA"/>
    <w:rsid w:val="00E84EB5"/>
    <w:rsid w:val="00E85662"/>
    <w:rsid w:val="00E8789F"/>
    <w:rsid w:val="00E92747"/>
    <w:rsid w:val="00E97B71"/>
    <w:rsid w:val="00EA3D34"/>
    <w:rsid w:val="00EB454D"/>
    <w:rsid w:val="00EC26E9"/>
    <w:rsid w:val="00EC72AB"/>
    <w:rsid w:val="00ED2F03"/>
    <w:rsid w:val="00ED549D"/>
    <w:rsid w:val="00ED76BE"/>
    <w:rsid w:val="00ED7F05"/>
    <w:rsid w:val="00EE00E9"/>
    <w:rsid w:val="00EE014D"/>
    <w:rsid w:val="00EF35AB"/>
    <w:rsid w:val="00EF4C44"/>
    <w:rsid w:val="00EF619B"/>
    <w:rsid w:val="00F00B55"/>
    <w:rsid w:val="00F02AD1"/>
    <w:rsid w:val="00F04591"/>
    <w:rsid w:val="00F06354"/>
    <w:rsid w:val="00F253CC"/>
    <w:rsid w:val="00F332EF"/>
    <w:rsid w:val="00F37106"/>
    <w:rsid w:val="00F519CF"/>
    <w:rsid w:val="00F53168"/>
    <w:rsid w:val="00F56BA5"/>
    <w:rsid w:val="00F60E22"/>
    <w:rsid w:val="00F63B39"/>
    <w:rsid w:val="00F731A0"/>
    <w:rsid w:val="00F81395"/>
    <w:rsid w:val="00F81887"/>
    <w:rsid w:val="00F81BB8"/>
    <w:rsid w:val="00F917D1"/>
    <w:rsid w:val="00F9342C"/>
    <w:rsid w:val="00F9653B"/>
    <w:rsid w:val="00FA56EA"/>
    <w:rsid w:val="00FB62CF"/>
    <w:rsid w:val="00FC0F4A"/>
    <w:rsid w:val="00FC3330"/>
    <w:rsid w:val="00FD3C3B"/>
    <w:rsid w:val="00FE07DD"/>
    <w:rsid w:val="00FE6B45"/>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uiPriority w:val="99"/>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6342-A268-4F9F-A8CB-C5E53D520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1914</Words>
  <Characters>10011</Characters>
  <Application>Microsoft Office Word</Application>
  <DocSecurity>0</DocSecurity>
  <Lines>200</Lines>
  <Paragraphs>56</Paragraphs>
  <ScaleCrop>false</ScaleCrop>
  <Company/>
  <LinksUpToDate>false</LinksUpToDate>
  <CharactersWithSpaces>11869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205/19</dc:title>
  <dc:creator/>
  <cp:lastModifiedBy/>
  <cp:revision>1</cp:revision>
  <dcterms:created xsi:type="dcterms:W3CDTF">2020-03-27T14:45:00Z</dcterms:created>
  <dcterms:modified xsi:type="dcterms:W3CDTF">2020-03-27T14:45:00Z</dcterms:modified>
</cp:coreProperties>
</file>