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D31E39" w:rsidRDefault="00D306D1" w:rsidP="00DB4BE4">
      <w:pPr>
        <w:ind w:firstLine="720"/>
        <w:jc w:val="both"/>
        <w:rPr>
          <w:rFonts w:asciiTheme="majorHAnsi" w:hAnsiTheme="majorHAnsi" w:cs="Univers"/>
          <w:b/>
          <w:bCs/>
          <w:sz w:val="20"/>
          <w:szCs w:val="20"/>
          <w:lang w:val="es-ES_tradnl"/>
        </w:rPr>
      </w:pPr>
      <w:r w:rsidRPr="00D31E39">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56CFF61C" wp14:editId="032167D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62298A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31E39">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33996A83" wp14:editId="1F98016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1704" w:rsidRDefault="00551704" w:rsidP="00AE5488">
                            <w:r>
                              <w:rPr>
                                <w:noProof/>
                              </w:rPr>
                              <w:drawing>
                                <wp:inline distT="0" distB="0" distL="0" distR="0" wp14:anchorId="61A5249E" wp14:editId="177A99E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3996A8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551704" w:rsidRDefault="00551704" w:rsidP="00AE5488">
                      <w:r>
                        <w:rPr>
                          <w:noProof/>
                        </w:rPr>
                        <w:drawing>
                          <wp:inline distT="0" distB="0" distL="0" distR="0" wp14:anchorId="61A5249E" wp14:editId="177A99E4">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D31E39" w:rsidRDefault="00040C3A" w:rsidP="00DB4BE4">
      <w:pPr>
        <w:tabs>
          <w:tab w:val="center" w:pos="5400"/>
        </w:tabs>
        <w:suppressAutoHyphens/>
        <w:ind w:firstLine="720"/>
        <w:jc w:val="both"/>
        <w:rPr>
          <w:rFonts w:asciiTheme="majorHAnsi" w:hAnsiTheme="majorHAnsi"/>
          <w:sz w:val="20"/>
          <w:szCs w:val="20"/>
          <w:lang w:val="es-ES"/>
        </w:rPr>
      </w:pPr>
    </w:p>
    <w:p w:rsidR="00040C3A" w:rsidRPr="00D31E39" w:rsidRDefault="00040C3A" w:rsidP="00DB4BE4">
      <w:pPr>
        <w:tabs>
          <w:tab w:val="center" w:pos="5400"/>
        </w:tabs>
        <w:suppressAutoHyphens/>
        <w:ind w:firstLine="720"/>
        <w:jc w:val="both"/>
        <w:rPr>
          <w:rFonts w:asciiTheme="majorHAnsi" w:hAnsiTheme="majorHAnsi"/>
          <w:sz w:val="20"/>
          <w:szCs w:val="20"/>
          <w:lang w:val="es-ES"/>
        </w:rPr>
      </w:pPr>
    </w:p>
    <w:p w:rsidR="005128E4" w:rsidRPr="00D31E39" w:rsidRDefault="005128E4" w:rsidP="00DB4BE4">
      <w:pPr>
        <w:tabs>
          <w:tab w:val="center" w:pos="5400"/>
        </w:tabs>
        <w:suppressAutoHyphens/>
        <w:ind w:firstLine="720"/>
        <w:jc w:val="both"/>
        <w:rPr>
          <w:rFonts w:asciiTheme="majorHAnsi" w:hAnsiTheme="majorHAnsi"/>
          <w:sz w:val="20"/>
          <w:szCs w:val="20"/>
          <w:lang w:val="es-ES_tradnl"/>
        </w:rPr>
      </w:pPr>
    </w:p>
    <w:p w:rsidR="005128E4" w:rsidRPr="00D31E39" w:rsidRDefault="005128E4" w:rsidP="00DB4BE4">
      <w:pPr>
        <w:tabs>
          <w:tab w:val="center" w:pos="5400"/>
        </w:tabs>
        <w:suppressAutoHyphens/>
        <w:ind w:firstLine="720"/>
        <w:jc w:val="both"/>
        <w:rPr>
          <w:rFonts w:asciiTheme="majorHAnsi" w:hAnsiTheme="majorHAnsi"/>
          <w:sz w:val="20"/>
          <w:szCs w:val="20"/>
          <w:lang w:val="es-ES_tradnl"/>
        </w:rPr>
      </w:pPr>
    </w:p>
    <w:p w:rsidR="005128E4" w:rsidRPr="00D31E39" w:rsidRDefault="005128E4" w:rsidP="00DB4BE4">
      <w:pPr>
        <w:tabs>
          <w:tab w:val="center" w:pos="5400"/>
        </w:tabs>
        <w:suppressAutoHyphens/>
        <w:ind w:firstLine="720"/>
        <w:jc w:val="both"/>
        <w:rPr>
          <w:rFonts w:asciiTheme="majorHAnsi" w:hAnsiTheme="majorHAnsi"/>
          <w:sz w:val="20"/>
          <w:szCs w:val="20"/>
          <w:lang w:val="es-ES_tradnl"/>
        </w:rPr>
      </w:pPr>
      <w:bookmarkStart w:id="0" w:name="_GoBack"/>
      <w:bookmarkEnd w:id="0"/>
    </w:p>
    <w:p w:rsidR="00040C3A" w:rsidRPr="00D31E39" w:rsidRDefault="00040C3A" w:rsidP="00DB4BE4">
      <w:pPr>
        <w:tabs>
          <w:tab w:val="center" w:pos="5400"/>
        </w:tabs>
        <w:suppressAutoHyphens/>
        <w:ind w:firstLine="720"/>
        <w:jc w:val="both"/>
        <w:rPr>
          <w:rFonts w:asciiTheme="majorHAnsi" w:hAnsiTheme="majorHAnsi"/>
          <w:sz w:val="20"/>
          <w:szCs w:val="20"/>
          <w:lang w:val="es-ES_tradnl"/>
        </w:rPr>
      </w:pPr>
    </w:p>
    <w:p w:rsidR="00040C3A" w:rsidRPr="00D31E39" w:rsidRDefault="00040C3A" w:rsidP="00DB4BE4">
      <w:pPr>
        <w:tabs>
          <w:tab w:val="center" w:pos="5400"/>
        </w:tabs>
        <w:suppressAutoHyphens/>
        <w:ind w:firstLine="720"/>
        <w:jc w:val="both"/>
        <w:rPr>
          <w:rFonts w:asciiTheme="majorHAnsi" w:hAnsiTheme="majorHAnsi"/>
          <w:sz w:val="20"/>
          <w:szCs w:val="20"/>
          <w:lang w:val="es-ES_tradnl"/>
        </w:rPr>
      </w:pPr>
    </w:p>
    <w:p w:rsidR="005B52B0" w:rsidRPr="00D31E39" w:rsidRDefault="005B52B0" w:rsidP="00DB4BE4">
      <w:pPr>
        <w:tabs>
          <w:tab w:val="center" w:pos="5400"/>
        </w:tabs>
        <w:suppressAutoHyphens/>
        <w:ind w:firstLine="720"/>
        <w:jc w:val="both"/>
        <w:rPr>
          <w:rFonts w:asciiTheme="majorHAnsi" w:hAnsiTheme="majorHAnsi"/>
          <w:sz w:val="20"/>
          <w:szCs w:val="20"/>
          <w:lang w:val="es-ES_tradnl"/>
        </w:rPr>
      </w:pPr>
    </w:p>
    <w:p w:rsidR="005B52B0" w:rsidRPr="00D31E39" w:rsidRDefault="005B52B0" w:rsidP="00DB4BE4">
      <w:pPr>
        <w:tabs>
          <w:tab w:val="center" w:pos="5400"/>
        </w:tabs>
        <w:suppressAutoHyphens/>
        <w:ind w:firstLine="720"/>
        <w:jc w:val="both"/>
        <w:rPr>
          <w:rFonts w:asciiTheme="majorHAnsi" w:hAnsiTheme="majorHAnsi"/>
          <w:sz w:val="20"/>
          <w:szCs w:val="20"/>
          <w:lang w:val="es-ES_tradnl"/>
        </w:rPr>
      </w:pPr>
    </w:p>
    <w:p w:rsidR="005B52B0" w:rsidRPr="00D31E39" w:rsidRDefault="005B52B0" w:rsidP="00DB4BE4">
      <w:pPr>
        <w:tabs>
          <w:tab w:val="center" w:pos="5400"/>
        </w:tabs>
        <w:suppressAutoHyphens/>
        <w:ind w:firstLine="720"/>
        <w:jc w:val="both"/>
        <w:rPr>
          <w:rFonts w:asciiTheme="majorHAnsi" w:hAnsiTheme="majorHAnsi"/>
          <w:sz w:val="20"/>
          <w:szCs w:val="20"/>
          <w:lang w:val="es-ES_tradnl"/>
        </w:rPr>
      </w:pPr>
    </w:p>
    <w:p w:rsidR="00040C3A" w:rsidRPr="00D31E39" w:rsidRDefault="00040C3A" w:rsidP="00DB4BE4">
      <w:pPr>
        <w:tabs>
          <w:tab w:val="center" w:pos="5400"/>
        </w:tabs>
        <w:suppressAutoHyphens/>
        <w:ind w:firstLine="720"/>
        <w:jc w:val="both"/>
        <w:rPr>
          <w:rFonts w:asciiTheme="majorHAnsi" w:hAnsiTheme="majorHAnsi"/>
          <w:sz w:val="20"/>
          <w:szCs w:val="20"/>
          <w:lang w:val="es-ES_tradnl"/>
        </w:rPr>
      </w:pPr>
    </w:p>
    <w:p w:rsidR="00040C3A" w:rsidRPr="00D31E39" w:rsidRDefault="00040C3A" w:rsidP="00DB4BE4">
      <w:pPr>
        <w:tabs>
          <w:tab w:val="center" w:pos="5400"/>
        </w:tabs>
        <w:suppressAutoHyphens/>
        <w:ind w:firstLine="720"/>
        <w:jc w:val="both"/>
        <w:rPr>
          <w:rFonts w:asciiTheme="majorHAnsi" w:hAnsiTheme="majorHAnsi"/>
          <w:sz w:val="20"/>
          <w:szCs w:val="20"/>
          <w:lang w:val="es-ES_tradnl"/>
        </w:rPr>
      </w:pPr>
    </w:p>
    <w:p w:rsidR="00040C3A" w:rsidRPr="00D31E39" w:rsidRDefault="003D3BC2" w:rsidP="00DB4BE4">
      <w:pPr>
        <w:tabs>
          <w:tab w:val="center" w:pos="5400"/>
        </w:tabs>
        <w:suppressAutoHyphens/>
        <w:ind w:firstLine="720"/>
        <w:jc w:val="both"/>
        <w:rPr>
          <w:rFonts w:asciiTheme="majorHAnsi" w:hAnsiTheme="majorHAnsi"/>
          <w:sz w:val="20"/>
          <w:szCs w:val="20"/>
          <w:lang w:val="es-ES_tradnl"/>
        </w:rPr>
      </w:pPr>
      <w:r w:rsidRPr="00D31E39">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257AA6C9" wp14:editId="6D5D22B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1704" w:rsidRPr="008B7F11" w:rsidRDefault="00551704" w:rsidP="00997BC5">
                            <w:pPr>
                              <w:spacing w:line="276" w:lineRule="auto"/>
                              <w:rPr>
                                <w:rFonts w:asciiTheme="majorHAnsi" w:hAnsiTheme="majorHAnsi" w:cs="Arial"/>
                                <w:b/>
                                <w:bCs/>
                                <w:color w:val="0D0D0D" w:themeColor="text1" w:themeTint="F2"/>
                                <w:sz w:val="36"/>
                                <w:szCs w:val="22"/>
                                <w:lang w:val="es-ES_tradnl"/>
                              </w:rPr>
                            </w:pPr>
                            <w:r w:rsidRPr="008B7F11">
                              <w:rPr>
                                <w:rFonts w:asciiTheme="majorHAnsi" w:hAnsiTheme="majorHAnsi" w:cs="Arial"/>
                                <w:b/>
                                <w:bCs/>
                                <w:color w:val="0D0D0D" w:themeColor="text1" w:themeTint="F2"/>
                                <w:sz w:val="36"/>
                                <w:szCs w:val="22"/>
                                <w:lang w:val="es-ES_tradnl"/>
                              </w:rPr>
                              <w:t xml:space="preserve">INFORME </w:t>
                            </w:r>
                            <w:r w:rsidRPr="008B7F11">
                              <w:rPr>
                                <w:rFonts w:asciiTheme="majorHAnsi" w:hAnsiTheme="majorHAnsi" w:cs="Arial"/>
                                <w:b/>
                                <w:bCs/>
                                <w:color w:val="0D0D0D" w:themeColor="text1" w:themeTint="F2"/>
                                <w:sz w:val="36"/>
                                <w:szCs w:val="40"/>
                                <w:lang w:val="es-ES_tradnl"/>
                              </w:rPr>
                              <w:t>No.</w:t>
                            </w:r>
                            <w:r w:rsidRPr="008B7F11">
                              <w:rPr>
                                <w:rFonts w:asciiTheme="majorHAnsi" w:hAnsiTheme="majorHAnsi" w:cs="Arial"/>
                                <w:b/>
                                <w:bCs/>
                                <w:color w:val="0D0D0D" w:themeColor="text1" w:themeTint="F2"/>
                                <w:sz w:val="36"/>
                                <w:szCs w:val="22"/>
                                <w:lang w:val="es-ES_tradnl"/>
                              </w:rPr>
                              <w:t xml:space="preserve"> </w:t>
                            </w:r>
                            <w:r>
                              <w:rPr>
                                <w:rFonts w:asciiTheme="majorHAnsi" w:hAnsiTheme="majorHAnsi" w:cs="Arial"/>
                                <w:b/>
                                <w:bCs/>
                                <w:color w:val="0D0D0D" w:themeColor="text1" w:themeTint="F2"/>
                                <w:sz w:val="36"/>
                                <w:szCs w:val="22"/>
                                <w:lang w:val="es-ES_tradnl"/>
                              </w:rPr>
                              <w:t>91</w:t>
                            </w:r>
                            <w:r w:rsidRPr="008B7F11">
                              <w:rPr>
                                <w:rFonts w:asciiTheme="majorHAnsi" w:hAnsiTheme="majorHAnsi" w:cs="Arial"/>
                                <w:b/>
                                <w:bCs/>
                                <w:color w:val="0D0D0D" w:themeColor="text1" w:themeTint="F2"/>
                                <w:sz w:val="36"/>
                                <w:szCs w:val="22"/>
                                <w:lang w:val="es-ES_tradnl"/>
                              </w:rPr>
                              <w:t>/19</w:t>
                            </w:r>
                          </w:p>
                          <w:p w:rsidR="00551704" w:rsidRPr="008B7F11" w:rsidRDefault="00551704"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w:t>
                            </w:r>
                            <w:r w:rsidRPr="008B7F11">
                              <w:rPr>
                                <w:rFonts w:asciiTheme="majorHAnsi" w:hAnsiTheme="majorHAnsi" w:cs="Arial"/>
                                <w:b/>
                                <w:color w:val="0D0D0D" w:themeColor="text1" w:themeTint="F2"/>
                                <w:sz w:val="36"/>
                                <w:szCs w:val="22"/>
                                <w:lang w:val="es-ES_tradnl"/>
                              </w:rPr>
                              <w:t xml:space="preserve"> </w:t>
                            </w:r>
                            <w:r>
                              <w:rPr>
                                <w:rFonts w:asciiTheme="majorHAnsi" w:hAnsiTheme="majorHAnsi" w:cs="Arial"/>
                                <w:b/>
                                <w:color w:val="0D0D0D" w:themeColor="text1" w:themeTint="F2"/>
                                <w:sz w:val="36"/>
                                <w:szCs w:val="22"/>
                                <w:lang w:val="es-ES_tradnl"/>
                              </w:rPr>
                              <w:t>13.017 C</w:t>
                            </w:r>
                          </w:p>
                          <w:p w:rsidR="00551704" w:rsidRPr="008B7F11" w:rsidRDefault="00551704" w:rsidP="00997BC5">
                            <w:pPr>
                              <w:spacing w:line="276" w:lineRule="auto"/>
                              <w:rPr>
                                <w:rFonts w:asciiTheme="majorHAnsi" w:hAnsiTheme="majorHAnsi" w:cs="Arial"/>
                                <w:color w:val="0D0D0D" w:themeColor="text1" w:themeTint="F2"/>
                                <w:szCs w:val="22"/>
                                <w:lang w:val="es-ES_tradnl"/>
                              </w:rPr>
                            </w:pPr>
                            <w:r w:rsidRPr="008B7F11">
                              <w:rPr>
                                <w:rFonts w:asciiTheme="majorHAnsi" w:hAnsiTheme="majorHAnsi" w:cs="Arial"/>
                                <w:color w:val="0D0D0D" w:themeColor="text1" w:themeTint="F2"/>
                                <w:szCs w:val="22"/>
                                <w:lang w:val="es-ES_tradnl"/>
                              </w:rPr>
                              <w:t xml:space="preserve">INFORME DE SOLUCIÓN AMISTOSA </w:t>
                            </w:r>
                            <w:bookmarkStart w:id="1" w:name="_ftnref1"/>
                          </w:p>
                          <w:p w:rsidR="00551704" w:rsidRDefault="00551704" w:rsidP="00997BC5">
                            <w:pPr>
                              <w:spacing w:line="276" w:lineRule="auto"/>
                              <w:rPr>
                                <w:rFonts w:asciiTheme="majorHAnsi" w:hAnsiTheme="majorHAnsi" w:cs="Arial"/>
                                <w:color w:val="0D0D0D" w:themeColor="text1" w:themeTint="F2"/>
                                <w:szCs w:val="22"/>
                                <w:lang w:val="es-ES_tradnl"/>
                              </w:rPr>
                            </w:pPr>
                          </w:p>
                          <w:bookmarkEnd w:id="1"/>
                          <w:p w:rsidR="00551704" w:rsidRDefault="00551704" w:rsidP="00997BC5">
                            <w:pPr>
                              <w:spacing w:line="276" w:lineRule="auto"/>
                              <w:rPr>
                                <w:rFonts w:asciiTheme="majorHAnsi" w:hAnsiTheme="majorHAnsi" w:cs="Arial"/>
                                <w:color w:val="0D0D0D" w:themeColor="text1" w:themeTint="F2"/>
                                <w:szCs w:val="22"/>
                                <w:lang w:val="es-ES"/>
                              </w:rPr>
                            </w:pPr>
                            <w:r w:rsidRPr="00D35EA7">
                              <w:rPr>
                                <w:rFonts w:asciiTheme="majorHAnsi" w:hAnsiTheme="majorHAnsi" w:cs="Arial"/>
                                <w:color w:val="0D0D0D" w:themeColor="text1" w:themeTint="F2"/>
                                <w:szCs w:val="22"/>
                                <w:lang w:val="es-ES"/>
                              </w:rPr>
                              <w:t>FAMILIARES DE VÍCTIMAS DE LA DICTADURA MILITAR</w:t>
                            </w:r>
                            <w:r>
                              <w:rPr>
                                <w:rFonts w:asciiTheme="majorHAnsi" w:hAnsiTheme="majorHAnsi" w:cs="Arial"/>
                                <w:color w:val="0D0D0D" w:themeColor="text1" w:themeTint="F2"/>
                                <w:szCs w:val="22"/>
                                <w:lang w:val="es-ES"/>
                              </w:rPr>
                              <w:t xml:space="preserve">, </w:t>
                            </w:r>
                            <w:r w:rsidRPr="001268F5">
                              <w:rPr>
                                <w:rFonts w:asciiTheme="majorHAnsi" w:hAnsiTheme="majorHAnsi" w:cs="Arial"/>
                                <w:color w:val="0D0D0D" w:themeColor="text1" w:themeTint="F2"/>
                                <w:szCs w:val="22"/>
                                <w:lang w:val="es-ES"/>
                              </w:rPr>
                              <w:t>OCTUBRE DE 1968 A DICIEMBRE DE 1989</w:t>
                            </w:r>
                          </w:p>
                          <w:p w:rsidR="00551704" w:rsidRPr="008B7F11" w:rsidRDefault="0055170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PANAMÁ</w:t>
                            </w:r>
                          </w:p>
                          <w:p w:rsidR="00551704" w:rsidRPr="00AE5488" w:rsidRDefault="0055170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AA6C9"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51704" w:rsidRPr="008B7F11" w:rsidRDefault="00551704" w:rsidP="00997BC5">
                      <w:pPr>
                        <w:spacing w:line="276" w:lineRule="auto"/>
                        <w:rPr>
                          <w:rFonts w:asciiTheme="majorHAnsi" w:hAnsiTheme="majorHAnsi" w:cs="Arial"/>
                          <w:b/>
                          <w:bCs/>
                          <w:color w:val="0D0D0D" w:themeColor="text1" w:themeTint="F2"/>
                          <w:sz w:val="36"/>
                          <w:szCs w:val="22"/>
                          <w:lang w:val="es-ES_tradnl"/>
                        </w:rPr>
                      </w:pPr>
                      <w:r w:rsidRPr="008B7F11">
                        <w:rPr>
                          <w:rFonts w:asciiTheme="majorHAnsi" w:hAnsiTheme="majorHAnsi" w:cs="Arial"/>
                          <w:b/>
                          <w:bCs/>
                          <w:color w:val="0D0D0D" w:themeColor="text1" w:themeTint="F2"/>
                          <w:sz w:val="36"/>
                          <w:szCs w:val="22"/>
                          <w:lang w:val="es-ES_tradnl"/>
                        </w:rPr>
                        <w:t xml:space="preserve">INFORME </w:t>
                      </w:r>
                      <w:r w:rsidRPr="008B7F11">
                        <w:rPr>
                          <w:rFonts w:asciiTheme="majorHAnsi" w:hAnsiTheme="majorHAnsi" w:cs="Arial"/>
                          <w:b/>
                          <w:bCs/>
                          <w:color w:val="0D0D0D" w:themeColor="text1" w:themeTint="F2"/>
                          <w:sz w:val="36"/>
                          <w:szCs w:val="40"/>
                          <w:lang w:val="es-ES_tradnl"/>
                        </w:rPr>
                        <w:t>No.</w:t>
                      </w:r>
                      <w:r w:rsidRPr="008B7F11">
                        <w:rPr>
                          <w:rFonts w:asciiTheme="majorHAnsi" w:hAnsiTheme="majorHAnsi" w:cs="Arial"/>
                          <w:b/>
                          <w:bCs/>
                          <w:color w:val="0D0D0D" w:themeColor="text1" w:themeTint="F2"/>
                          <w:sz w:val="36"/>
                          <w:szCs w:val="22"/>
                          <w:lang w:val="es-ES_tradnl"/>
                        </w:rPr>
                        <w:t xml:space="preserve"> </w:t>
                      </w:r>
                      <w:r>
                        <w:rPr>
                          <w:rFonts w:asciiTheme="majorHAnsi" w:hAnsiTheme="majorHAnsi" w:cs="Arial"/>
                          <w:b/>
                          <w:bCs/>
                          <w:color w:val="0D0D0D" w:themeColor="text1" w:themeTint="F2"/>
                          <w:sz w:val="36"/>
                          <w:szCs w:val="22"/>
                          <w:lang w:val="es-ES_tradnl"/>
                        </w:rPr>
                        <w:t>91</w:t>
                      </w:r>
                      <w:r w:rsidRPr="008B7F11">
                        <w:rPr>
                          <w:rFonts w:asciiTheme="majorHAnsi" w:hAnsiTheme="majorHAnsi" w:cs="Arial"/>
                          <w:b/>
                          <w:bCs/>
                          <w:color w:val="0D0D0D" w:themeColor="text1" w:themeTint="F2"/>
                          <w:sz w:val="36"/>
                          <w:szCs w:val="22"/>
                          <w:lang w:val="es-ES_tradnl"/>
                        </w:rPr>
                        <w:t>/19</w:t>
                      </w:r>
                    </w:p>
                    <w:p w:rsidR="00551704" w:rsidRPr="008B7F11" w:rsidRDefault="00551704"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Caso</w:t>
                      </w:r>
                      <w:r w:rsidRPr="008B7F11">
                        <w:rPr>
                          <w:rFonts w:asciiTheme="majorHAnsi" w:hAnsiTheme="majorHAnsi" w:cs="Arial"/>
                          <w:b/>
                          <w:color w:val="0D0D0D" w:themeColor="text1" w:themeTint="F2"/>
                          <w:sz w:val="36"/>
                          <w:szCs w:val="22"/>
                          <w:lang w:val="es-ES_tradnl"/>
                        </w:rPr>
                        <w:t xml:space="preserve"> </w:t>
                      </w:r>
                      <w:r>
                        <w:rPr>
                          <w:rFonts w:asciiTheme="majorHAnsi" w:hAnsiTheme="majorHAnsi" w:cs="Arial"/>
                          <w:b/>
                          <w:color w:val="0D0D0D" w:themeColor="text1" w:themeTint="F2"/>
                          <w:sz w:val="36"/>
                          <w:szCs w:val="22"/>
                          <w:lang w:val="es-ES_tradnl"/>
                        </w:rPr>
                        <w:t>13.017 C</w:t>
                      </w:r>
                    </w:p>
                    <w:p w:rsidR="00551704" w:rsidRPr="008B7F11" w:rsidRDefault="00551704" w:rsidP="00997BC5">
                      <w:pPr>
                        <w:spacing w:line="276" w:lineRule="auto"/>
                        <w:rPr>
                          <w:rFonts w:asciiTheme="majorHAnsi" w:hAnsiTheme="majorHAnsi" w:cs="Arial"/>
                          <w:color w:val="0D0D0D" w:themeColor="text1" w:themeTint="F2"/>
                          <w:szCs w:val="22"/>
                          <w:lang w:val="es-ES_tradnl"/>
                        </w:rPr>
                      </w:pPr>
                      <w:r w:rsidRPr="008B7F11">
                        <w:rPr>
                          <w:rFonts w:asciiTheme="majorHAnsi" w:hAnsiTheme="majorHAnsi" w:cs="Arial"/>
                          <w:color w:val="0D0D0D" w:themeColor="text1" w:themeTint="F2"/>
                          <w:szCs w:val="22"/>
                          <w:lang w:val="es-ES_tradnl"/>
                        </w:rPr>
                        <w:t xml:space="preserve">INFORME DE SOLUCIÓN AMISTOSA </w:t>
                      </w:r>
                      <w:bookmarkStart w:id="2" w:name="_ftnref1"/>
                    </w:p>
                    <w:p w:rsidR="00551704" w:rsidRDefault="00551704" w:rsidP="00997BC5">
                      <w:pPr>
                        <w:spacing w:line="276" w:lineRule="auto"/>
                        <w:rPr>
                          <w:rFonts w:asciiTheme="majorHAnsi" w:hAnsiTheme="majorHAnsi" w:cs="Arial"/>
                          <w:color w:val="0D0D0D" w:themeColor="text1" w:themeTint="F2"/>
                          <w:szCs w:val="22"/>
                          <w:lang w:val="es-ES_tradnl"/>
                        </w:rPr>
                      </w:pPr>
                    </w:p>
                    <w:bookmarkEnd w:id="2"/>
                    <w:p w:rsidR="00551704" w:rsidRDefault="00551704" w:rsidP="00997BC5">
                      <w:pPr>
                        <w:spacing w:line="276" w:lineRule="auto"/>
                        <w:rPr>
                          <w:rFonts w:asciiTheme="majorHAnsi" w:hAnsiTheme="majorHAnsi" w:cs="Arial"/>
                          <w:color w:val="0D0D0D" w:themeColor="text1" w:themeTint="F2"/>
                          <w:szCs w:val="22"/>
                          <w:lang w:val="es-ES"/>
                        </w:rPr>
                      </w:pPr>
                      <w:r w:rsidRPr="00D35EA7">
                        <w:rPr>
                          <w:rFonts w:asciiTheme="majorHAnsi" w:hAnsiTheme="majorHAnsi" w:cs="Arial"/>
                          <w:color w:val="0D0D0D" w:themeColor="text1" w:themeTint="F2"/>
                          <w:szCs w:val="22"/>
                          <w:lang w:val="es-ES"/>
                        </w:rPr>
                        <w:t>FAMILIARES DE VÍCTIMAS DE LA DICTADURA MILITAR</w:t>
                      </w:r>
                      <w:r>
                        <w:rPr>
                          <w:rFonts w:asciiTheme="majorHAnsi" w:hAnsiTheme="majorHAnsi" w:cs="Arial"/>
                          <w:color w:val="0D0D0D" w:themeColor="text1" w:themeTint="F2"/>
                          <w:szCs w:val="22"/>
                          <w:lang w:val="es-ES"/>
                        </w:rPr>
                        <w:t xml:space="preserve">, </w:t>
                      </w:r>
                      <w:r w:rsidRPr="001268F5">
                        <w:rPr>
                          <w:rFonts w:asciiTheme="majorHAnsi" w:hAnsiTheme="majorHAnsi" w:cs="Arial"/>
                          <w:color w:val="0D0D0D" w:themeColor="text1" w:themeTint="F2"/>
                          <w:szCs w:val="22"/>
                          <w:lang w:val="es-ES"/>
                        </w:rPr>
                        <w:t>OCTUBRE DE 1968 A DICIEMBRE DE 1989</w:t>
                      </w:r>
                    </w:p>
                    <w:p w:rsidR="00551704" w:rsidRPr="008B7F11" w:rsidRDefault="0055170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PANAMÁ</w:t>
                      </w:r>
                    </w:p>
                    <w:p w:rsidR="00551704" w:rsidRPr="00AE5488" w:rsidRDefault="00551704" w:rsidP="007A5817">
                      <w:pPr>
                        <w:rPr>
                          <w:color w:val="0D0D0D" w:themeColor="text1" w:themeTint="F2"/>
                          <w:lang w:val="es-ES_tradnl"/>
                        </w:rPr>
                      </w:pPr>
                    </w:p>
                  </w:txbxContent>
                </v:textbox>
              </v:shape>
            </w:pict>
          </mc:Fallback>
        </mc:AlternateContent>
      </w:r>
      <w:r w:rsidR="004E2649" w:rsidRPr="00D31E39">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290AB5EE" wp14:editId="1AF23C50">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1704" w:rsidRPr="00710289" w:rsidRDefault="00551704" w:rsidP="007A5817">
                            <w:pPr>
                              <w:spacing w:line="276" w:lineRule="auto"/>
                              <w:jc w:val="right"/>
                              <w:rPr>
                                <w:rFonts w:asciiTheme="minorHAnsi" w:hAnsiTheme="minorHAnsi"/>
                                <w:color w:val="FFFFFF" w:themeColor="background1"/>
                                <w:sz w:val="22"/>
                                <w:lang w:val="pt-BR"/>
                              </w:rPr>
                            </w:pPr>
                            <w:r w:rsidRPr="00710289">
                              <w:rPr>
                                <w:rFonts w:asciiTheme="minorHAnsi" w:hAnsiTheme="minorHAnsi"/>
                                <w:color w:val="FFFFFF" w:themeColor="background1"/>
                                <w:sz w:val="22"/>
                                <w:lang w:val="pt-BR"/>
                              </w:rPr>
                              <w:t>OEA/Ser.L/V/II.</w:t>
                            </w:r>
                          </w:p>
                          <w:p w:rsidR="00551704" w:rsidRPr="00710289" w:rsidRDefault="00551704" w:rsidP="007A5817">
                            <w:pPr>
                              <w:spacing w:line="276" w:lineRule="auto"/>
                              <w:jc w:val="right"/>
                              <w:rPr>
                                <w:rFonts w:asciiTheme="minorHAnsi" w:hAnsiTheme="minorHAnsi"/>
                                <w:color w:val="FFFFFF" w:themeColor="background1"/>
                                <w:sz w:val="22"/>
                                <w:lang w:val="pt-BR"/>
                              </w:rPr>
                            </w:pPr>
                            <w:r w:rsidRPr="00710289">
                              <w:rPr>
                                <w:rFonts w:asciiTheme="minorHAnsi" w:hAnsiTheme="minorHAnsi"/>
                                <w:color w:val="FFFFFF" w:themeColor="background1"/>
                                <w:sz w:val="22"/>
                                <w:lang w:val="pt-BR"/>
                              </w:rPr>
                              <w:t>Doc. 100</w:t>
                            </w:r>
                          </w:p>
                          <w:p w:rsidR="00551704" w:rsidRPr="00241A07" w:rsidRDefault="00551704" w:rsidP="007A5817">
                            <w:pPr>
                              <w:spacing w:line="276" w:lineRule="auto"/>
                              <w:jc w:val="right"/>
                              <w:rPr>
                                <w:rFonts w:asciiTheme="minorHAnsi" w:hAnsiTheme="minorHAnsi"/>
                                <w:color w:val="FFFFFF" w:themeColor="background1"/>
                                <w:sz w:val="22"/>
                                <w:lang w:val="es-BO"/>
                              </w:rPr>
                            </w:pPr>
                            <w:r w:rsidRPr="00551704">
                              <w:rPr>
                                <w:rFonts w:asciiTheme="minorHAnsi" w:hAnsiTheme="minorHAnsi"/>
                                <w:color w:val="FFFFFF" w:themeColor="background1"/>
                                <w:sz w:val="22"/>
                                <w:lang w:val="es-VE"/>
                              </w:rPr>
                              <w:t xml:space="preserve">25 </w:t>
                            </w:r>
                            <w:r w:rsidRPr="00551704">
                              <w:rPr>
                                <w:rFonts w:asciiTheme="minorHAnsi" w:hAnsiTheme="minorHAnsi"/>
                                <w:color w:val="FFFFFF" w:themeColor="background1"/>
                                <w:sz w:val="22"/>
                                <w:lang w:val="es-BO"/>
                              </w:rPr>
                              <w:t>junio 2019</w:t>
                            </w:r>
                          </w:p>
                          <w:p w:rsidR="00551704" w:rsidRPr="00241A07" w:rsidRDefault="00551704" w:rsidP="007A5817">
                            <w:pPr>
                              <w:spacing w:line="276" w:lineRule="auto"/>
                              <w:jc w:val="right"/>
                              <w:rPr>
                                <w:rFonts w:asciiTheme="minorHAnsi" w:hAnsiTheme="minorHAnsi"/>
                                <w:color w:val="FFFFFF" w:themeColor="background1"/>
                                <w:sz w:val="22"/>
                                <w:lang w:val="es-BO"/>
                              </w:rPr>
                            </w:pPr>
                            <w:r w:rsidRPr="00241A07">
                              <w:rPr>
                                <w:rFonts w:asciiTheme="minorHAnsi" w:hAnsiTheme="minorHAnsi"/>
                                <w:color w:val="FFFFFF" w:themeColor="background1"/>
                                <w:sz w:val="22"/>
                                <w:lang w:val="es-BO"/>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0AB5E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551704" w:rsidRPr="00710289" w:rsidRDefault="00551704" w:rsidP="007A5817">
                      <w:pPr>
                        <w:spacing w:line="276" w:lineRule="auto"/>
                        <w:jc w:val="right"/>
                        <w:rPr>
                          <w:rFonts w:asciiTheme="minorHAnsi" w:hAnsiTheme="minorHAnsi"/>
                          <w:color w:val="FFFFFF" w:themeColor="background1"/>
                          <w:sz w:val="22"/>
                          <w:lang w:val="pt-BR"/>
                        </w:rPr>
                      </w:pPr>
                      <w:r w:rsidRPr="00710289">
                        <w:rPr>
                          <w:rFonts w:asciiTheme="minorHAnsi" w:hAnsiTheme="minorHAnsi"/>
                          <w:color w:val="FFFFFF" w:themeColor="background1"/>
                          <w:sz w:val="22"/>
                          <w:lang w:val="pt-BR"/>
                        </w:rPr>
                        <w:t>OEA/Ser.L/V/II.</w:t>
                      </w:r>
                    </w:p>
                    <w:p w:rsidR="00551704" w:rsidRPr="00710289" w:rsidRDefault="00551704" w:rsidP="007A5817">
                      <w:pPr>
                        <w:spacing w:line="276" w:lineRule="auto"/>
                        <w:jc w:val="right"/>
                        <w:rPr>
                          <w:rFonts w:asciiTheme="minorHAnsi" w:hAnsiTheme="minorHAnsi"/>
                          <w:color w:val="FFFFFF" w:themeColor="background1"/>
                          <w:sz w:val="22"/>
                          <w:lang w:val="pt-BR"/>
                        </w:rPr>
                      </w:pPr>
                      <w:r w:rsidRPr="00710289">
                        <w:rPr>
                          <w:rFonts w:asciiTheme="minorHAnsi" w:hAnsiTheme="minorHAnsi"/>
                          <w:color w:val="FFFFFF" w:themeColor="background1"/>
                          <w:sz w:val="22"/>
                          <w:lang w:val="pt-BR"/>
                        </w:rPr>
                        <w:t>Doc. 100</w:t>
                      </w:r>
                    </w:p>
                    <w:p w:rsidR="00551704" w:rsidRPr="00241A07" w:rsidRDefault="00551704" w:rsidP="007A5817">
                      <w:pPr>
                        <w:spacing w:line="276" w:lineRule="auto"/>
                        <w:jc w:val="right"/>
                        <w:rPr>
                          <w:rFonts w:asciiTheme="minorHAnsi" w:hAnsiTheme="minorHAnsi"/>
                          <w:color w:val="FFFFFF" w:themeColor="background1"/>
                          <w:sz w:val="22"/>
                          <w:lang w:val="es-BO"/>
                        </w:rPr>
                      </w:pPr>
                      <w:r w:rsidRPr="00551704">
                        <w:rPr>
                          <w:rFonts w:asciiTheme="minorHAnsi" w:hAnsiTheme="minorHAnsi"/>
                          <w:color w:val="FFFFFF" w:themeColor="background1"/>
                          <w:sz w:val="22"/>
                          <w:lang w:val="es-VE"/>
                        </w:rPr>
                        <w:t xml:space="preserve">25 </w:t>
                      </w:r>
                      <w:r w:rsidRPr="00551704">
                        <w:rPr>
                          <w:rFonts w:asciiTheme="minorHAnsi" w:hAnsiTheme="minorHAnsi"/>
                          <w:color w:val="FFFFFF" w:themeColor="background1"/>
                          <w:sz w:val="22"/>
                          <w:lang w:val="es-BO"/>
                        </w:rPr>
                        <w:t>junio 2019</w:t>
                      </w:r>
                    </w:p>
                    <w:p w:rsidR="00551704" w:rsidRPr="00241A07" w:rsidRDefault="00551704" w:rsidP="007A5817">
                      <w:pPr>
                        <w:spacing w:line="276" w:lineRule="auto"/>
                        <w:jc w:val="right"/>
                        <w:rPr>
                          <w:rFonts w:asciiTheme="minorHAnsi" w:hAnsiTheme="minorHAnsi"/>
                          <w:color w:val="FFFFFF" w:themeColor="background1"/>
                          <w:sz w:val="22"/>
                          <w:lang w:val="es-BO"/>
                        </w:rPr>
                      </w:pPr>
                      <w:r w:rsidRPr="00241A07">
                        <w:rPr>
                          <w:rFonts w:asciiTheme="minorHAnsi" w:hAnsiTheme="minorHAnsi"/>
                          <w:color w:val="FFFFFF" w:themeColor="background1"/>
                          <w:sz w:val="22"/>
                          <w:lang w:val="es-BO"/>
                        </w:rPr>
                        <w:t>Original: español</w:t>
                      </w:r>
                    </w:p>
                  </w:txbxContent>
                </v:textbox>
              </v:shape>
            </w:pict>
          </mc:Fallback>
        </mc:AlternateContent>
      </w:r>
    </w:p>
    <w:p w:rsidR="00040C3A" w:rsidRPr="00D31E39" w:rsidRDefault="00040C3A" w:rsidP="00DB4BE4">
      <w:pPr>
        <w:tabs>
          <w:tab w:val="center" w:pos="5400"/>
        </w:tabs>
        <w:suppressAutoHyphens/>
        <w:ind w:firstLine="720"/>
        <w:jc w:val="both"/>
        <w:rPr>
          <w:rFonts w:asciiTheme="majorHAnsi" w:hAnsiTheme="majorHAnsi"/>
          <w:sz w:val="20"/>
          <w:szCs w:val="20"/>
          <w:lang w:val="es-ES_tradnl"/>
        </w:rPr>
      </w:pPr>
    </w:p>
    <w:p w:rsidR="00040C3A" w:rsidRPr="00D31E39" w:rsidRDefault="00040C3A" w:rsidP="00DB4BE4">
      <w:pPr>
        <w:tabs>
          <w:tab w:val="center" w:pos="5400"/>
        </w:tabs>
        <w:suppressAutoHyphens/>
        <w:ind w:firstLine="720"/>
        <w:jc w:val="both"/>
        <w:rPr>
          <w:rFonts w:asciiTheme="majorHAnsi" w:hAnsiTheme="majorHAnsi"/>
          <w:sz w:val="20"/>
          <w:szCs w:val="20"/>
          <w:lang w:val="es-ES_tradnl"/>
        </w:rPr>
      </w:pPr>
    </w:p>
    <w:p w:rsidR="00040C3A" w:rsidRPr="00D31E39" w:rsidRDefault="00040C3A" w:rsidP="00DB4BE4">
      <w:pPr>
        <w:tabs>
          <w:tab w:val="center" w:pos="5400"/>
        </w:tabs>
        <w:suppressAutoHyphens/>
        <w:ind w:firstLine="720"/>
        <w:jc w:val="both"/>
        <w:rPr>
          <w:rFonts w:asciiTheme="majorHAnsi" w:hAnsiTheme="majorHAnsi" w:cs="Arial"/>
          <w:sz w:val="20"/>
          <w:szCs w:val="20"/>
          <w:lang w:val="es-ES_tradnl"/>
        </w:rPr>
      </w:pPr>
    </w:p>
    <w:p w:rsidR="00040C3A" w:rsidRPr="00D31E39" w:rsidRDefault="00040C3A" w:rsidP="00DB4BE4">
      <w:pPr>
        <w:tabs>
          <w:tab w:val="center" w:pos="5400"/>
        </w:tabs>
        <w:suppressAutoHyphens/>
        <w:ind w:firstLine="720"/>
        <w:jc w:val="both"/>
        <w:rPr>
          <w:rFonts w:asciiTheme="majorHAnsi" w:hAnsiTheme="majorHAnsi"/>
          <w:sz w:val="20"/>
          <w:szCs w:val="20"/>
          <w:lang w:val="es-ES_tradnl"/>
        </w:rPr>
      </w:pPr>
    </w:p>
    <w:p w:rsidR="00040C3A" w:rsidRPr="00D31E39" w:rsidRDefault="00040C3A" w:rsidP="00DB4BE4">
      <w:pPr>
        <w:tabs>
          <w:tab w:val="center" w:pos="5400"/>
        </w:tabs>
        <w:suppressAutoHyphens/>
        <w:ind w:firstLine="720"/>
        <w:jc w:val="both"/>
        <w:rPr>
          <w:rFonts w:asciiTheme="majorHAnsi" w:hAnsiTheme="majorHAnsi"/>
          <w:sz w:val="20"/>
          <w:szCs w:val="20"/>
          <w:lang w:val="es-ES_tradnl"/>
        </w:rPr>
      </w:pPr>
    </w:p>
    <w:p w:rsidR="00040C3A" w:rsidRPr="00D31E39" w:rsidRDefault="00040C3A" w:rsidP="00DB4BE4">
      <w:pPr>
        <w:tabs>
          <w:tab w:val="center" w:pos="5400"/>
        </w:tabs>
        <w:suppressAutoHyphens/>
        <w:ind w:firstLine="720"/>
        <w:jc w:val="both"/>
        <w:rPr>
          <w:rFonts w:asciiTheme="majorHAnsi" w:hAnsiTheme="majorHAnsi"/>
          <w:sz w:val="20"/>
          <w:szCs w:val="20"/>
          <w:lang w:val="es-ES_tradnl"/>
        </w:rPr>
      </w:pPr>
    </w:p>
    <w:p w:rsidR="00040C3A" w:rsidRPr="00D31E39" w:rsidRDefault="00040C3A" w:rsidP="00DB4BE4">
      <w:pPr>
        <w:tabs>
          <w:tab w:val="center" w:pos="5400"/>
        </w:tabs>
        <w:suppressAutoHyphens/>
        <w:ind w:firstLine="720"/>
        <w:jc w:val="both"/>
        <w:rPr>
          <w:rFonts w:asciiTheme="majorHAnsi" w:hAnsiTheme="majorHAnsi"/>
          <w:sz w:val="20"/>
          <w:szCs w:val="20"/>
          <w:lang w:val="es-ES_tradnl"/>
        </w:rPr>
      </w:pPr>
    </w:p>
    <w:p w:rsidR="005128E4" w:rsidRPr="00D31E39" w:rsidRDefault="005128E4" w:rsidP="00DB4BE4">
      <w:pPr>
        <w:tabs>
          <w:tab w:val="center" w:pos="5400"/>
        </w:tabs>
        <w:suppressAutoHyphens/>
        <w:ind w:firstLine="720"/>
        <w:jc w:val="both"/>
        <w:rPr>
          <w:rFonts w:asciiTheme="majorHAnsi" w:hAnsiTheme="majorHAnsi"/>
          <w:sz w:val="20"/>
          <w:szCs w:val="20"/>
          <w:lang w:val="es-ES_tradnl"/>
        </w:rPr>
      </w:pPr>
    </w:p>
    <w:p w:rsidR="00040C3A" w:rsidRPr="00D31E39" w:rsidRDefault="00040C3A" w:rsidP="00DB4BE4">
      <w:pPr>
        <w:tabs>
          <w:tab w:val="center" w:pos="5400"/>
        </w:tabs>
        <w:suppressAutoHyphens/>
        <w:ind w:firstLine="720"/>
        <w:jc w:val="both"/>
        <w:rPr>
          <w:rFonts w:asciiTheme="majorHAnsi" w:hAnsiTheme="majorHAnsi"/>
          <w:sz w:val="20"/>
          <w:szCs w:val="20"/>
          <w:lang w:val="es-ES_tradnl"/>
        </w:rPr>
      </w:pPr>
    </w:p>
    <w:p w:rsidR="005128E4" w:rsidRPr="00D31E39" w:rsidRDefault="005128E4" w:rsidP="00DB4BE4">
      <w:pPr>
        <w:tabs>
          <w:tab w:val="center" w:pos="5400"/>
        </w:tabs>
        <w:suppressAutoHyphens/>
        <w:ind w:firstLine="720"/>
        <w:jc w:val="both"/>
        <w:rPr>
          <w:rFonts w:asciiTheme="majorHAnsi" w:hAnsiTheme="majorHAnsi"/>
          <w:sz w:val="20"/>
          <w:szCs w:val="20"/>
          <w:lang w:val="es-ES_tradnl"/>
        </w:rPr>
      </w:pPr>
    </w:p>
    <w:p w:rsidR="005128E4" w:rsidRPr="00D31E39" w:rsidRDefault="005128E4" w:rsidP="00DB4BE4">
      <w:pPr>
        <w:tabs>
          <w:tab w:val="center" w:pos="5400"/>
        </w:tabs>
        <w:suppressAutoHyphens/>
        <w:ind w:firstLine="720"/>
        <w:jc w:val="both"/>
        <w:rPr>
          <w:rFonts w:asciiTheme="majorHAnsi" w:hAnsiTheme="majorHAnsi"/>
          <w:sz w:val="20"/>
          <w:szCs w:val="20"/>
          <w:lang w:val="es-ES_tradnl"/>
        </w:rPr>
      </w:pPr>
    </w:p>
    <w:p w:rsidR="005128E4" w:rsidRPr="00D31E39" w:rsidRDefault="005128E4" w:rsidP="00DB4BE4">
      <w:pPr>
        <w:tabs>
          <w:tab w:val="center" w:pos="5400"/>
        </w:tabs>
        <w:suppressAutoHyphens/>
        <w:ind w:firstLine="720"/>
        <w:jc w:val="both"/>
        <w:rPr>
          <w:rFonts w:asciiTheme="majorHAnsi" w:hAnsiTheme="majorHAnsi"/>
          <w:sz w:val="20"/>
          <w:szCs w:val="20"/>
          <w:lang w:val="es-ES_tradnl"/>
        </w:rPr>
      </w:pPr>
    </w:p>
    <w:p w:rsidR="00040C3A" w:rsidRPr="00D31E39" w:rsidRDefault="00040C3A" w:rsidP="00DB4BE4">
      <w:pPr>
        <w:tabs>
          <w:tab w:val="center" w:pos="5400"/>
        </w:tabs>
        <w:suppressAutoHyphens/>
        <w:ind w:firstLine="720"/>
        <w:jc w:val="both"/>
        <w:rPr>
          <w:rFonts w:asciiTheme="majorHAnsi" w:hAnsiTheme="majorHAnsi"/>
          <w:sz w:val="20"/>
          <w:szCs w:val="20"/>
          <w:lang w:val="es-ES_tradnl"/>
        </w:rPr>
      </w:pPr>
    </w:p>
    <w:p w:rsidR="00040C3A" w:rsidRPr="00D31E39" w:rsidRDefault="00040C3A"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90270B" w:rsidP="00DB4BE4">
      <w:pPr>
        <w:tabs>
          <w:tab w:val="center" w:pos="5400"/>
        </w:tabs>
        <w:suppressAutoHyphens/>
        <w:ind w:firstLine="720"/>
        <w:jc w:val="both"/>
        <w:rPr>
          <w:rFonts w:asciiTheme="majorHAnsi" w:hAnsiTheme="majorHAnsi"/>
          <w:sz w:val="20"/>
          <w:szCs w:val="20"/>
          <w:lang w:val="es-ES_tradnl"/>
        </w:rPr>
      </w:pPr>
      <w:r w:rsidRPr="00D31E39">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5A007C2A" wp14:editId="5FA82C73">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1704" w:rsidRPr="00ED3AE6" w:rsidRDefault="00551704" w:rsidP="008B7F11">
                            <w:pPr>
                              <w:tabs>
                                <w:tab w:val="center" w:pos="5400"/>
                              </w:tabs>
                              <w:suppressAutoHyphens/>
                              <w:spacing w:before="60"/>
                              <w:rPr>
                                <w:rFonts w:asciiTheme="majorHAnsi" w:hAnsiTheme="majorHAnsi"/>
                                <w:color w:val="0D0D0D" w:themeColor="text1" w:themeTint="F2"/>
                                <w:sz w:val="18"/>
                                <w:szCs w:val="22"/>
                                <w:lang w:val="es-CO"/>
                              </w:rPr>
                            </w:pPr>
                            <w:r w:rsidRPr="00ED3AE6">
                              <w:rPr>
                                <w:rFonts w:asciiTheme="majorHAnsi" w:hAnsiTheme="majorHAnsi"/>
                                <w:color w:val="0D0D0D" w:themeColor="text1" w:themeTint="F2"/>
                                <w:sz w:val="18"/>
                                <w:szCs w:val="22"/>
                                <w:lang w:val="es-CO"/>
                              </w:rPr>
                              <w:t xml:space="preserve">Aprobado electrónicamente por la Comisión el </w:t>
                            </w:r>
                            <w:r w:rsidRPr="00551704">
                              <w:rPr>
                                <w:rFonts w:asciiTheme="majorHAnsi" w:hAnsiTheme="majorHAnsi"/>
                                <w:color w:val="0D0D0D" w:themeColor="text1" w:themeTint="F2"/>
                                <w:sz w:val="18"/>
                                <w:szCs w:val="22"/>
                                <w:lang w:val="es-CO"/>
                              </w:rPr>
                              <w:t>25 de junio de 2019.</w:t>
                            </w:r>
                          </w:p>
                          <w:p w:rsidR="00551704" w:rsidRPr="00ED3AE6" w:rsidRDefault="00551704" w:rsidP="00247403">
                            <w:pPr>
                              <w:tabs>
                                <w:tab w:val="center" w:pos="5400"/>
                              </w:tabs>
                              <w:suppressAutoHyphens/>
                              <w:spacing w:before="60"/>
                              <w:rPr>
                                <w:rFonts w:asciiTheme="minorHAnsi" w:hAnsiTheme="minorHAnsi" w:cs="Univers"/>
                                <w:color w:val="0D0D0D" w:themeColor="text1" w:themeTint="F2"/>
                                <w:sz w:val="20"/>
                                <w:szCs w:val="20"/>
                                <w:lang w:val="es-CO"/>
                              </w:rPr>
                            </w:pPr>
                          </w:p>
                          <w:p w:rsidR="00551704" w:rsidRPr="00167A34" w:rsidRDefault="0055170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A007C2A"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551704" w:rsidRPr="00ED3AE6" w:rsidRDefault="00551704" w:rsidP="008B7F11">
                      <w:pPr>
                        <w:tabs>
                          <w:tab w:val="center" w:pos="5400"/>
                        </w:tabs>
                        <w:suppressAutoHyphens/>
                        <w:spacing w:before="60"/>
                        <w:rPr>
                          <w:rFonts w:asciiTheme="majorHAnsi" w:hAnsiTheme="majorHAnsi"/>
                          <w:color w:val="0D0D0D" w:themeColor="text1" w:themeTint="F2"/>
                          <w:sz w:val="18"/>
                          <w:szCs w:val="22"/>
                          <w:lang w:val="es-CO"/>
                        </w:rPr>
                      </w:pPr>
                      <w:r w:rsidRPr="00ED3AE6">
                        <w:rPr>
                          <w:rFonts w:asciiTheme="majorHAnsi" w:hAnsiTheme="majorHAnsi"/>
                          <w:color w:val="0D0D0D" w:themeColor="text1" w:themeTint="F2"/>
                          <w:sz w:val="18"/>
                          <w:szCs w:val="22"/>
                          <w:lang w:val="es-CO"/>
                        </w:rPr>
                        <w:t xml:space="preserve">Aprobado electrónicamente por la Comisión el </w:t>
                      </w:r>
                      <w:r w:rsidRPr="00551704">
                        <w:rPr>
                          <w:rFonts w:asciiTheme="majorHAnsi" w:hAnsiTheme="majorHAnsi"/>
                          <w:color w:val="0D0D0D" w:themeColor="text1" w:themeTint="F2"/>
                          <w:sz w:val="18"/>
                          <w:szCs w:val="22"/>
                          <w:lang w:val="es-CO"/>
                        </w:rPr>
                        <w:t>25 de junio de 2019.</w:t>
                      </w:r>
                    </w:p>
                    <w:p w:rsidR="00551704" w:rsidRPr="00ED3AE6" w:rsidRDefault="00551704" w:rsidP="00247403">
                      <w:pPr>
                        <w:tabs>
                          <w:tab w:val="center" w:pos="5400"/>
                        </w:tabs>
                        <w:suppressAutoHyphens/>
                        <w:spacing w:before="60"/>
                        <w:rPr>
                          <w:rFonts w:asciiTheme="minorHAnsi" w:hAnsiTheme="minorHAnsi" w:cs="Univers"/>
                          <w:color w:val="0D0D0D" w:themeColor="text1" w:themeTint="F2"/>
                          <w:sz w:val="20"/>
                          <w:szCs w:val="20"/>
                          <w:lang w:val="es-CO"/>
                        </w:rPr>
                      </w:pPr>
                    </w:p>
                    <w:p w:rsidR="00551704" w:rsidRPr="00167A34" w:rsidRDefault="0055170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A50FCF" w:rsidRPr="00D31E39" w:rsidRDefault="0090270B" w:rsidP="00DB4BE4">
      <w:pPr>
        <w:tabs>
          <w:tab w:val="center" w:pos="5400"/>
        </w:tabs>
        <w:suppressAutoHyphens/>
        <w:ind w:firstLine="720"/>
        <w:jc w:val="both"/>
        <w:rPr>
          <w:rFonts w:asciiTheme="majorHAnsi" w:hAnsiTheme="majorHAnsi"/>
          <w:sz w:val="20"/>
          <w:szCs w:val="20"/>
          <w:lang w:val="es-ES_tradnl"/>
        </w:rPr>
      </w:pPr>
      <w:r w:rsidRPr="00D31E39">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51BE25C5" wp14:editId="06BBE94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1704" w:rsidRPr="005700FF" w:rsidRDefault="00551704" w:rsidP="00113F73">
                            <w:pPr>
                              <w:spacing w:line="276" w:lineRule="auto"/>
                              <w:rPr>
                                <w:rFonts w:asciiTheme="majorHAnsi" w:hAnsiTheme="majorHAnsi"/>
                                <w:color w:val="595959" w:themeColor="text1" w:themeTint="A6"/>
                                <w:sz w:val="18"/>
                                <w:szCs w:val="18"/>
                                <w:lang w:val="es-VE"/>
                              </w:rPr>
                            </w:pPr>
                            <w:r w:rsidRPr="00551704">
                              <w:rPr>
                                <w:rFonts w:asciiTheme="majorHAnsi" w:hAnsiTheme="majorHAnsi"/>
                                <w:b/>
                                <w:color w:val="595959" w:themeColor="text1" w:themeTint="A6"/>
                                <w:sz w:val="18"/>
                                <w:szCs w:val="18"/>
                                <w:lang w:val="es-US"/>
                              </w:rPr>
                              <w:t>Citar como:</w:t>
                            </w:r>
                            <w:r w:rsidRPr="00551704">
                              <w:rPr>
                                <w:rFonts w:asciiTheme="majorHAnsi" w:hAnsiTheme="majorHAnsi"/>
                                <w:color w:val="595959" w:themeColor="text1" w:themeTint="A6"/>
                                <w:sz w:val="18"/>
                                <w:szCs w:val="18"/>
                                <w:lang w:val="es-US"/>
                              </w:rPr>
                              <w:t xml:space="preserve"> CIDH, Informe No. </w:t>
                            </w:r>
                            <w:r w:rsidRPr="00551704">
                              <w:rPr>
                                <w:rFonts w:asciiTheme="majorHAnsi" w:hAnsiTheme="majorHAnsi"/>
                                <w:color w:val="595959" w:themeColor="text1" w:themeTint="A6"/>
                                <w:sz w:val="18"/>
                                <w:szCs w:val="18"/>
                                <w:lang w:val="es-ES_tradnl"/>
                              </w:rPr>
                              <w:t xml:space="preserve">91/19, Caso 13.017 C. Solución Amistosa. </w:t>
                            </w:r>
                            <w:r w:rsidRPr="00551704">
                              <w:rPr>
                                <w:rFonts w:asciiTheme="majorHAnsi" w:hAnsiTheme="majorHAnsi"/>
                                <w:color w:val="595959" w:themeColor="text1" w:themeTint="A6"/>
                                <w:sz w:val="18"/>
                                <w:szCs w:val="18"/>
                                <w:lang w:val="es-ES"/>
                              </w:rPr>
                              <w:t>Familiares de víctimas de la dictadura militar, octubre de 1968 a diciembre de 1989</w:t>
                            </w:r>
                            <w:r w:rsidRPr="00551704">
                              <w:rPr>
                                <w:rFonts w:asciiTheme="majorHAnsi" w:hAnsiTheme="majorHAnsi"/>
                                <w:color w:val="595959" w:themeColor="text1" w:themeTint="A6"/>
                                <w:sz w:val="18"/>
                                <w:szCs w:val="18"/>
                                <w:lang w:val="es-ES_tradnl"/>
                              </w:rPr>
                              <w:t>. Panamá. 25 de junio de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1BE25C5"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551704" w:rsidRPr="005700FF" w:rsidRDefault="00551704" w:rsidP="00113F73">
                      <w:pPr>
                        <w:spacing w:line="276" w:lineRule="auto"/>
                        <w:rPr>
                          <w:rFonts w:asciiTheme="majorHAnsi" w:hAnsiTheme="majorHAnsi"/>
                          <w:color w:val="595959" w:themeColor="text1" w:themeTint="A6"/>
                          <w:sz w:val="18"/>
                          <w:szCs w:val="18"/>
                          <w:lang w:val="es-VE"/>
                        </w:rPr>
                      </w:pPr>
                      <w:r w:rsidRPr="00551704">
                        <w:rPr>
                          <w:rFonts w:asciiTheme="majorHAnsi" w:hAnsiTheme="majorHAnsi"/>
                          <w:b/>
                          <w:color w:val="595959" w:themeColor="text1" w:themeTint="A6"/>
                          <w:sz w:val="18"/>
                          <w:szCs w:val="18"/>
                          <w:lang w:val="es-US"/>
                        </w:rPr>
                        <w:t>Citar como:</w:t>
                      </w:r>
                      <w:r w:rsidRPr="00551704">
                        <w:rPr>
                          <w:rFonts w:asciiTheme="majorHAnsi" w:hAnsiTheme="majorHAnsi"/>
                          <w:color w:val="595959" w:themeColor="text1" w:themeTint="A6"/>
                          <w:sz w:val="18"/>
                          <w:szCs w:val="18"/>
                          <w:lang w:val="es-US"/>
                        </w:rPr>
                        <w:t xml:space="preserve"> CIDH, Informe No. </w:t>
                      </w:r>
                      <w:r w:rsidRPr="00551704">
                        <w:rPr>
                          <w:rFonts w:asciiTheme="majorHAnsi" w:hAnsiTheme="majorHAnsi"/>
                          <w:color w:val="595959" w:themeColor="text1" w:themeTint="A6"/>
                          <w:sz w:val="18"/>
                          <w:szCs w:val="18"/>
                          <w:lang w:val="es-ES_tradnl"/>
                        </w:rPr>
                        <w:t xml:space="preserve">91/19, Caso 13.017 C. Solución Amistosa. </w:t>
                      </w:r>
                      <w:r w:rsidRPr="00551704">
                        <w:rPr>
                          <w:rFonts w:asciiTheme="majorHAnsi" w:hAnsiTheme="majorHAnsi"/>
                          <w:color w:val="595959" w:themeColor="text1" w:themeTint="A6"/>
                          <w:sz w:val="18"/>
                          <w:szCs w:val="18"/>
                          <w:lang w:val="es-ES"/>
                        </w:rPr>
                        <w:t>Familiares de víctimas de la dictadura militar, octubre de 1968 a diciembre de 1989</w:t>
                      </w:r>
                      <w:r w:rsidRPr="00551704">
                        <w:rPr>
                          <w:rFonts w:asciiTheme="majorHAnsi" w:hAnsiTheme="majorHAnsi"/>
                          <w:color w:val="595959" w:themeColor="text1" w:themeTint="A6"/>
                          <w:sz w:val="18"/>
                          <w:szCs w:val="18"/>
                          <w:lang w:val="es-ES_tradnl"/>
                        </w:rPr>
                        <w:t>. Panamá. 25 de junio de 2019.</w:t>
                      </w:r>
                    </w:p>
                  </w:txbxContent>
                </v:textbox>
              </v:shape>
            </w:pict>
          </mc:Fallback>
        </mc:AlternateContent>
      </w:r>
    </w:p>
    <w:p w:rsidR="00A50FCF" w:rsidRPr="00D31E39" w:rsidRDefault="00A50FCF" w:rsidP="00DB4BE4">
      <w:pPr>
        <w:tabs>
          <w:tab w:val="center" w:pos="5400"/>
        </w:tabs>
        <w:suppressAutoHyphens/>
        <w:ind w:firstLine="720"/>
        <w:jc w:val="both"/>
        <w:rPr>
          <w:rFonts w:asciiTheme="majorHAnsi" w:hAnsiTheme="majorHAnsi"/>
          <w:sz w:val="20"/>
          <w:szCs w:val="20"/>
          <w:lang w:val="es-ES_tradnl"/>
        </w:rPr>
      </w:pPr>
    </w:p>
    <w:p w:rsidR="0090270B" w:rsidRPr="00D31E39" w:rsidRDefault="00D306D1" w:rsidP="00DB4BE4">
      <w:pPr>
        <w:tabs>
          <w:tab w:val="center" w:pos="5400"/>
        </w:tabs>
        <w:suppressAutoHyphens/>
        <w:ind w:firstLine="720"/>
        <w:jc w:val="both"/>
        <w:rPr>
          <w:rFonts w:asciiTheme="majorHAnsi" w:hAnsiTheme="majorHAnsi"/>
          <w:b/>
          <w:sz w:val="20"/>
          <w:szCs w:val="20"/>
          <w:lang w:val="es-ES_tradnl"/>
        </w:rPr>
      </w:pPr>
      <w:r w:rsidRPr="00D31E39">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71F14C84" wp14:editId="51114A3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1704" w:rsidRPr="00D72DC6" w:rsidRDefault="00551704"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721BC4F" wp14:editId="3441CDB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1F14C84"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551704" w:rsidRPr="00D72DC6" w:rsidRDefault="00551704"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721BC4F" wp14:editId="3441CDB6">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D31E39">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1F599107" wp14:editId="4A1D79F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1704" w:rsidRPr="004B7EB6" w:rsidRDefault="0055170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F59910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551704" w:rsidRPr="004B7EB6" w:rsidRDefault="0055170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D31E39" w:rsidRDefault="0070697F" w:rsidP="00DB4BE4">
      <w:pPr>
        <w:tabs>
          <w:tab w:val="center" w:pos="5400"/>
        </w:tabs>
        <w:suppressAutoHyphens/>
        <w:ind w:firstLine="720"/>
        <w:jc w:val="both"/>
        <w:rPr>
          <w:rFonts w:asciiTheme="majorHAnsi" w:hAnsiTheme="majorHAnsi"/>
          <w:b/>
          <w:sz w:val="20"/>
          <w:szCs w:val="20"/>
          <w:lang w:val="es-ES_tradnl"/>
        </w:rPr>
        <w:sectPr w:rsidR="0070697F" w:rsidRPr="00D31E39"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rsidR="00722C9F" w:rsidRPr="00D31E39" w:rsidRDefault="00722C9F" w:rsidP="00DB4BE4">
      <w:pPr>
        <w:tabs>
          <w:tab w:val="center" w:pos="5400"/>
        </w:tabs>
        <w:suppressAutoHyphens/>
        <w:ind w:firstLine="720"/>
        <w:jc w:val="center"/>
        <w:rPr>
          <w:rFonts w:asciiTheme="majorHAnsi" w:hAnsiTheme="majorHAnsi"/>
          <w:b/>
          <w:sz w:val="18"/>
          <w:szCs w:val="18"/>
          <w:lang w:val="es-ES_tradnl"/>
        </w:rPr>
      </w:pPr>
      <w:r w:rsidRPr="00D31E39">
        <w:rPr>
          <w:rFonts w:asciiTheme="majorHAnsi" w:hAnsiTheme="majorHAnsi"/>
          <w:b/>
          <w:sz w:val="18"/>
          <w:szCs w:val="18"/>
          <w:lang w:val="es-ES_tradnl"/>
        </w:rPr>
        <w:lastRenderedPageBreak/>
        <w:t>I</w:t>
      </w:r>
      <w:r w:rsidR="00D04B96" w:rsidRPr="00D31E39">
        <w:rPr>
          <w:rFonts w:asciiTheme="majorHAnsi" w:hAnsiTheme="majorHAnsi"/>
          <w:b/>
          <w:sz w:val="18"/>
          <w:szCs w:val="18"/>
          <w:lang w:val="es-ES_tradnl"/>
        </w:rPr>
        <w:t>NFORME No.</w:t>
      </w:r>
      <w:r w:rsidR="001A03D1" w:rsidRPr="00D31E39">
        <w:rPr>
          <w:rFonts w:asciiTheme="majorHAnsi" w:hAnsiTheme="majorHAnsi"/>
          <w:b/>
          <w:sz w:val="18"/>
          <w:szCs w:val="18"/>
          <w:lang w:val="es-ES_tradnl"/>
        </w:rPr>
        <w:t xml:space="preserve"> </w:t>
      </w:r>
      <w:r w:rsidR="00551704" w:rsidRPr="00551704">
        <w:rPr>
          <w:rFonts w:asciiTheme="majorHAnsi" w:hAnsiTheme="majorHAnsi"/>
          <w:b/>
          <w:sz w:val="18"/>
          <w:szCs w:val="18"/>
          <w:lang w:val="es-ES_tradnl"/>
        </w:rPr>
        <w:t>91</w:t>
      </w:r>
      <w:r w:rsidR="00D04B96" w:rsidRPr="00551704">
        <w:rPr>
          <w:rFonts w:asciiTheme="majorHAnsi" w:hAnsiTheme="majorHAnsi"/>
          <w:b/>
          <w:sz w:val="18"/>
          <w:szCs w:val="18"/>
          <w:lang w:val="es-ES_tradnl"/>
        </w:rPr>
        <w:t>/19</w:t>
      </w:r>
    </w:p>
    <w:p w:rsidR="00722C9F" w:rsidRPr="00D31E39" w:rsidRDefault="00655185" w:rsidP="00DB4BE4">
      <w:pPr>
        <w:tabs>
          <w:tab w:val="center" w:pos="5400"/>
        </w:tabs>
        <w:suppressAutoHyphens/>
        <w:ind w:firstLine="720"/>
        <w:jc w:val="center"/>
        <w:rPr>
          <w:rFonts w:asciiTheme="majorHAnsi" w:hAnsiTheme="majorHAnsi"/>
          <w:b/>
          <w:sz w:val="18"/>
          <w:szCs w:val="18"/>
          <w:lang w:val="es-ES_tradnl"/>
        </w:rPr>
      </w:pPr>
      <w:r w:rsidRPr="00D31E39">
        <w:rPr>
          <w:rFonts w:asciiTheme="majorHAnsi" w:hAnsiTheme="majorHAnsi"/>
          <w:b/>
          <w:sz w:val="18"/>
          <w:szCs w:val="18"/>
          <w:lang w:val="es-ES_tradnl"/>
        </w:rPr>
        <w:t>CASO</w:t>
      </w:r>
      <w:r w:rsidR="00722C9F" w:rsidRPr="00D31E39">
        <w:rPr>
          <w:rFonts w:asciiTheme="majorHAnsi" w:hAnsiTheme="majorHAnsi"/>
          <w:b/>
          <w:sz w:val="18"/>
          <w:szCs w:val="18"/>
          <w:lang w:val="es-ES_tradnl"/>
        </w:rPr>
        <w:t xml:space="preserve"> </w:t>
      </w:r>
      <w:r w:rsidRPr="00D31E39">
        <w:rPr>
          <w:rFonts w:asciiTheme="majorHAnsi" w:hAnsiTheme="majorHAnsi"/>
          <w:b/>
          <w:sz w:val="18"/>
          <w:szCs w:val="18"/>
          <w:lang w:val="es-ES_tradnl"/>
        </w:rPr>
        <w:t>13.017 C</w:t>
      </w:r>
    </w:p>
    <w:p w:rsidR="00722C9F" w:rsidRPr="00D31E39" w:rsidRDefault="00722C9F" w:rsidP="00DB4BE4">
      <w:pPr>
        <w:tabs>
          <w:tab w:val="center" w:pos="5400"/>
        </w:tabs>
        <w:suppressAutoHyphens/>
        <w:ind w:firstLine="720"/>
        <w:jc w:val="center"/>
        <w:rPr>
          <w:rFonts w:asciiTheme="majorHAnsi" w:hAnsiTheme="majorHAnsi"/>
          <w:sz w:val="18"/>
          <w:szCs w:val="18"/>
          <w:lang w:val="es-ES_tradnl"/>
        </w:rPr>
      </w:pPr>
      <w:r w:rsidRPr="00D31E39">
        <w:rPr>
          <w:rFonts w:asciiTheme="majorHAnsi" w:hAnsiTheme="majorHAnsi"/>
          <w:sz w:val="18"/>
          <w:szCs w:val="18"/>
          <w:lang w:val="es-ES_tradnl"/>
        </w:rPr>
        <w:t xml:space="preserve">INFORME DE </w:t>
      </w:r>
      <w:r w:rsidR="004D1412" w:rsidRPr="00D31E39">
        <w:rPr>
          <w:rFonts w:asciiTheme="majorHAnsi" w:hAnsiTheme="majorHAnsi"/>
          <w:sz w:val="18"/>
          <w:szCs w:val="18"/>
          <w:lang w:val="es-ES_tradnl"/>
        </w:rPr>
        <w:t>SOLUCIÓN AMISTOSA</w:t>
      </w:r>
    </w:p>
    <w:p w:rsidR="001268F5" w:rsidRPr="00D31E39" w:rsidRDefault="001268F5" w:rsidP="001268F5">
      <w:pPr>
        <w:tabs>
          <w:tab w:val="center" w:pos="5400"/>
        </w:tabs>
        <w:suppressAutoHyphens/>
        <w:ind w:firstLine="720"/>
        <w:jc w:val="center"/>
        <w:rPr>
          <w:rFonts w:asciiTheme="majorHAnsi" w:hAnsiTheme="majorHAnsi"/>
          <w:sz w:val="18"/>
          <w:szCs w:val="18"/>
          <w:lang w:val="es-ES"/>
        </w:rPr>
      </w:pPr>
      <w:r w:rsidRPr="00D31E39">
        <w:rPr>
          <w:rFonts w:asciiTheme="majorHAnsi" w:hAnsiTheme="majorHAnsi"/>
          <w:sz w:val="18"/>
          <w:szCs w:val="18"/>
          <w:lang w:val="es-ES"/>
        </w:rPr>
        <w:t xml:space="preserve">FAMILIARES DE VÍCTIMAS DE LA DICTADURA MILITAR, </w:t>
      </w:r>
    </w:p>
    <w:p w:rsidR="001268F5" w:rsidRPr="00D31E39" w:rsidRDefault="001268F5" w:rsidP="001268F5">
      <w:pPr>
        <w:tabs>
          <w:tab w:val="center" w:pos="5400"/>
        </w:tabs>
        <w:suppressAutoHyphens/>
        <w:ind w:firstLine="720"/>
        <w:jc w:val="center"/>
        <w:rPr>
          <w:rFonts w:asciiTheme="majorHAnsi" w:hAnsiTheme="majorHAnsi"/>
          <w:sz w:val="18"/>
          <w:szCs w:val="18"/>
          <w:lang w:val="es-ES"/>
        </w:rPr>
      </w:pPr>
      <w:r w:rsidRPr="00D31E39">
        <w:rPr>
          <w:rFonts w:asciiTheme="majorHAnsi" w:hAnsiTheme="majorHAnsi"/>
          <w:sz w:val="18"/>
          <w:szCs w:val="18"/>
          <w:lang w:val="es-ES"/>
        </w:rPr>
        <w:t>OCTUBRE DE 1968 A DICIEMBRE DE 1989</w:t>
      </w:r>
    </w:p>
    <w:p w:rsidR="00722C9F" w:rsidRPr="00D31E39" w:rsidRDefault="00655185" w:rsidP="00DB4BE4">
      <w:pPr>
        <w:tabs>
          <w:tab w:val="center" w:pos="5400"/>
        </w:tabs>
        <w:suppressAutoHyphens/>
        <w:ind w:firstLine="720"/>
        <w:jc w:val="center"/>
        <w:rPr>
          <w:rFonts w:asciiTheme="majorHAnsi" w:hAnsiTheme="majorHAnsi"/>
          <w:sz w:val="18"/>
          <w:szCs w:val="18"/>
          <w:lang w:val="es-ES_tradnl"/>
        </w:rPr>
      </w:pPr>
      <w:r w:rsidRPr="00D31E39">
        <w:rPr>
          <w:rFonts w:asciiTheme="majorHAnsi" w:hAnsiTheme="majorHAnsi"/>
          <w:sz w:val="18"/>
          <w:szCs w:val="18"/>
          <w:lang w:val="es-ES_tradnl"/>
        </w:rPr>
        <w:t>PANAMÁ</w:t>
      </w:r>
    </w:p>
    <w:p w:rsidR="00722C9F" w:rsidRPr="00D31E39" w:rsidRDefault="00551704" w:rsidP="00DB4BE4">
      <w:pPr>
        <w:tabs>
          <w:tab w:val="center" w:pos="5400"/>
        </w:tabs>
        <w:suppressAutoHyphens/>
        <w:ind w:firstLine="720"/>
        <w:jc w:val="center"/>
        <w:rPr>
          <w:rFonts w:asciiTheme="majorHAnsi" w:hAnsiTheme="majorHAnsi"/>
          <w:sz w:val="18"/>
          <w:szCs w:val="18"/>
          <w:lang w:val="es-ES_tradnl"/>
        </w:rPr>
      </w:pPr>
      <w:r w:rsidRPr="00551704">
        <w:rPr>
          <w:rFonts w:asciiTheme="majorHAnsi" w:hAnsiTheme="majorHAnsi"/>
          <w:sz w:val="18"/>
          <w:szCs w:val="18"/>
          <w:lang w:val="es-ES_tradnl"/>
        </w:rPr>
        <w:t>25</w:t>
      </w:r>
      <w:r w:rsidR="008B7F11" w:rsidRPr="00551704">
        <w:rPr>
          <w:rFonts w:asciiTheme="majorHAnsi" w:hAnsiTheme="majorHAnsi"/>
          <w:sz w:val="18"/>
          <w:szCs w:val="18"/>
          <w:lang w:val="es-ES_tradnl"/>
        </w:rPr>
        <w:t xml:space="preserve"> </w:t>
      </w:r>
      <w:r w:rsidR="00E03F12" w:rsidRPr="00551704">
        <w:rPr>
          <w:rFonts w:asciiTheme="majorHAnsi" w:hAnsiTheme="majorHAnsi"/>
          <w:sz w:val="18"/>
          <w:szCs w:val="18"/>
          <w:lang w:val="es-ES_tradnl"/>
        </w:rPr>
        <w:t>DE</w:t>
      </w:r>
      <w:r w:rsidRPr="00551704">
        <w:rPr>
          <w:rFonts w:asciiTheme="majorHAnsi" w:hAnsiTheme="majorHAnsi"/>
          <w:sz w:val="18"/>
          <w:szCs w:val="18"/>
          <w:lang w:val="es-ES_tradnl"/>
        </w:rPr>
        <w:t xml:space="preserve"> JUNIO </w:t>
      </w:r>
      <w:r w:rsidR="00E03F12" w:rsidRPr="00551704">
        <w:rPr>
          <w:rFonts w:asciiTheme="majorHAnsi" w:hAnsiTheme="majorHAnsi"/>
          <w:sz w:val="18"/>
          <w:szCs w:val="18"/>
          <w:lang w:val="es-ES_tradnl"/>
        </w:rPr>
        <w:t>DE</w:t>
      </w:r>
      <w:r w:rsidR="00D04B96" w:rsidRPr="00551704">
        <w:rPr>
          <w:rFonts w:asciiTheme="majorHAnsi" w:hAnsiTheme="majorHAnsi"/>
          <w:sz w:val="18"/>
          <w:szCs w:val="18"/>
          <w:lang w:val="es-ES_tradnl"/>
        </w:rPr>
        <w:t xml:space="preserve"> 2019</w:t>
      </w:r>
      <w:r w:rsidR="00FC499C" w:rsidRPr="00D31E39">
        <w:rPr>
          <w:rStyle w:val="FootnoteReference"/>
          <w:rFonts w:asciiTheme="majorHAnsi" w:hAnsiTheme="majorHAnsi"/>
          <w:sz w:val="18"/>
          <w:szCs w:val="18"/>
          <w:lang w:val="es-ES_tradnl"/>
        </w:rPr>
        <w:footnoteReference w:id="2"/>
      </w:r>
    </w:p>
    <w:p w:rsidR="004D1412" w:rsidRPr="00D31E39" w:rsidRDefault="004D1412" w:rsidP="00DB4BE4">
      <w:pPr>
        <w:tabs>
          <w:tab w:val="center" w:pos="5400"/>
        </w:tabs>
        <w:suppressAutoHyphens/>
        <w:ind w:firstLine="720"/>
        <w:jc w:val="both"/>
        <w:rPr>
          <w:rFonts w:asciiTheme="majorHAnsi" w:hAnsiTheme="majorHAnsi"/>
          <w:sz w:val="20"/>
          <w:szCs w:val="20"/>
          <w:lang w:val="es-ES_tradnl"/>
        </w:rPr>
      </w:pPr>
    </w:p>
    <w:p w:rsidR="008B7F11" w:rsidRPr="00D31E39" w:rsidRDefault="008B7F11" w:rsidP="00921A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Theme="majorHAnsi" w:hAnsiTheme="majorHAnsi"/>
          <w:b/>
          <w:sz w:val="20"/>
          <w:szCs w:val="20"/>
          <w:lang w:val="es-BO"/>
        </w:rPr>
      </w:pPr>
      <w:r w:rsidRPr="00D31E39">
        <w:rPr>
          <w:rFonts w:asciiTheme="majorHAnsi" w:hAnsiTheme="majorHAnsi"/>
          <w:b/>
          <w:sz w:val="20"/>
          <w:szCs w:val="20"/>
          <w:lang w:val="es-BO"/>
        </w:rPr>
        <w:t>RESUMEN Y ASPECTOS PROCESALES RELEVANTES DEL PROCESO DE SOLUCIÓN AMISTOSA</w:t>
      </w:r>
    </w:p>
    <w:p w:rsidR="004D1412" w:rsidRPr="00D31E39" w:rsidRDefault="004D1412" w:rsidP="00354758">
      <w:pPr>
        <w:ind w:firstLine="720"/>
        <w:jc w:val="both"/>
        <w:rPr>
          <w:rFonts w:asciiTheme="majorHAnsi" w:eastAsia="MS Mincho" w:hAnsiTheme="majorHAnsi"/>
          <w:sz w:val="20"/>
          <w:szCs w:val="20"/>
          <w:lang w:val="es-BO"/>
        </w:rPr>
      </w:pPr>
    </w:p>
    <w:p w:rsidR="005700FF" w:rsidRPr="00D31E39" w:rsidRDefault="005700FF" w:rsidP="00921AE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AR"/>
        </w:rPr>
      </w:pPr>
      <w:r w:rsidRPr="00D31E39">
        <w:rPr>
          <w:rFonts w:asciiTheme="majorHAnsi" w:eastAsia="Times New Roman" w:hAnsiTheme="majorHAnsi"/>
          <w:sz w:val="20"/>
          <w:szCs w:val="20"/>
          <w:bdr w:val="none" w:sz="0" w:space="0" w:color="auto"/>
          <w:lang w:val="es-ES"/>
        </w:rPr>
        <w:t xml:space="preserve">El 23 de octubre de 2003 la Comisión Interamericana de Derechos Humanos (en adelante "la Comisión Interamericana", "la Comisión" o "la CIDH") recibió una petición  presentada por Alberto Santiago </w:t>
      </w:r>
      <w:proofErr w:type="spellStart"/>
      <w:r w:rsidRPr="00D31E39">
        <w:rPr>
          <w:rFonts w:asciiTheme="majorHAnsi" w:eastAsia="Times New Roman" w:hAnsiTheme="majorHAnsi"/>
          <w:sz w:val="20"/>
          <w:szCs w:val="20"/>
          <w:bdr w:val="none" w:sz="0" w:space="0" w:color="auto"/>
          <w:lang w:val="es-ES"/>
        </w:rPr>
        <w:t>Almaza</w:t>
      </w:r>
      <w:proofErr w:type="spellEnd"/>
      <w:r w:rsidRPr="00D31E39">
        <w:rPr>
          <w:rFonts w:asciiTheme="majorHAnsi" w:eastAsia="Times New Roman" w:hAnsiTheme="majorHAnsi"/>
          <w:sz w:val="20"/>
          <w:szCs w:val="20"/>
          <w:bdr w:val="none" w:sz="0" w:space="0" w:color="auto"/>
          <w:lang w:val="es-ES"/>
        </w:rPr>
        <w:t xml:space="preserve"> Henríquez, Director General de la Oficina de Seguimiento de los Objetivos de la Comisión de la Verdad, y Jacinto González Rodríguez, miembro de Apoyo Legal de la Oficina de Seguimiento de los Objetivos de la Comisión de la Verdad, en representación del Comité de Familiares Asesinados y Desapare</w:t>
      </w:r>
      <w:r w:rsidR="00745840" w:rsidRPr="00D31E39">
        <w:rPr>
          <w:rFonts w:asciiTheme="majorHAnsi" w:eastAsia="Times New Roman" w:hAnsiTheme="majorHAnsi"/>
          <w:sz w:val="20"/>
          <w:szCs w:val="20"/>
          <w:bdr w:val="none" w:sz="0" w:space="0" w:color="auto"/>
          <w:lang w:val="es-ES"/>
        </w:rPr>
        <w:t>cidos de Panamá, Héctor Gallego</w:t>
      </w:r>
      <w:r w:rsidRPr="00D31E39">
        <w:rPr>
          <w:rFonts w:asciiTheme="majorHAnsi" w:eastAsia="Times New Roman" w:hAnsiTheme="majorHAnsi"/>
          <w:sz w:val="20"/>
          <w:szCs w:val="20"/>
          <w:bdr w:val="none" w:sz="0" w:space="0" w:color="auto"/>
          <w:lang w:val="es-ES"/>
        </w:rPr>
        <w:t xml:space="preserve"> </w:t>
      </w:r>
      <w:r w:rsidR="00745840" w:rsidRPr="00D31E39">
        <w:rPr>
          <w:rFonts w:asciiTheme="majorHAnsi" w:eastAsia="Times New Roman" w:hAnsiTheme="majorHAnsi"/>
          <w:sz w:val="20"/>
          <w:szCs w:val="20"/>
          <w:bdr w:val="none" w:sz="0" w:space="0" w:color="auto"/>
          <w:lang w:val="es-ES"/>
        </w:rPr>
        <w:t>(</w:t>
      </w:r>
      <w:r w:rsidRPr="00D31E39">
        <w:rPr>
          <w:rFonts w:asciiTheme="majorHAnsi" w:eastAsia="Times New Roman" w:hAnsiTheme="majorHAnsi"/>
          <w:sz w:val="20"/>
          <w:szCs w:val="20"/>
          <w:bdr w:val="none" w:sz="0" w:space="0" w:color="auto"/>
          <w:lang w:val="es-ES"/>
        </w:rPr>
        <w:t>COFADEPA</w:t>
      </w:r>
      <w:r w:rsidR="00BD30B4">
        <w:rPr>
          <w:rFonts w:asciiTheme="majorHAnsi" w:eastAsia="Times New Roman" w:hAnsiTheme="majorHAnsi"/>
          <w:sz w:val="20"/>
          <w:szCs w:val="20"/>
          <w:bdr w:val="none" w:sz="0" w:space="0" w:color="auto"/>
          <w:lang w:val="es-ES"/>
        </w:rPr>
        <w:t>-HG</w:t>
      </w:r>
      <w:r w:rsidR="00745840" w:rsidRPr="00D31E39">
        <w:rPr>
          <w:rFonts w:asciiTheme="majorHAnsi" w:eastAsia="Times New Roman" w:hAnsiTheme="majorHAnsi"/>
          <w:sz w:val="20"/>
          <w:szCs w:val="20"/>
          <w:bdr w:val="none" w:sz="0" w:space="0" w:color="auto"/>
          <w:lang w:val="es-ES"/>
        </w:rPr>
        <w:t>)</w:t>
      </w:r>
      <w:r w:rsidRPr="00D31E39">
        <w:rPr>
          <w:rFonts w:asciiTheme="majorHAnsi" w:eastAsia="Times New Roman" w:hAnsiTheme="majorHAnsi"/>
          <w:sz w:val="20"/>
          <w:szCs w:val="20"/>
          <w:bdr w:val="none" w:sz="0" w:space="0" w:color="auto"/>
          <w:lang w:val="es-ES"/>
        </w:rPr>
        <w:t xml:space="preserve"> y del Comité de Familiare</w:t>
      </w:r>
      <w:r w:rsidR="00B564B9" w:rsidRPr="00D31E39">
        <w:rPr>
          <w:rFonts w:asciiTheme="majorHAnsi" w:eastAsia="Times New Roman" w:hAnsiTheme="majorHAnsi"/>
          <w:sz w:val="20"/>
          <w:szCs w:val="20"/>
          <w:bdr w:val="none" w:sz="0" w:space="0" w:color="auto"/>
          <w:lang w:val="es-ES"/>
        </w:rPr>
        <w:t>s de Desaparecidos de Chiriquí (</w:t>
      </w:r>
      <w:r w:rsidRPr="00D31E39">
        <w:rPr>
          <w:rFonts w:asciiTheme="majorHAnsi" w:eastAsia="Times New Roman" w:hAnsiTheme="majorHAnsi"/>
          <w:sz w:val="20"/>
          <w:szCs w:val="20"/>
          <w:bdr w:val="none" w:sz="0" w:space="0" w:color="auto"/>
          <w:lang w:val="es-ES"/>
        </w:rPr>
        <w:t>COFADECHI</w:t>
      </w:r>
      <w:r w:rsidR="00B564B9" w:rsidRPr="00D31E39">
        <w:rPr>
          <w:rFonts w:asciiTheme="majorHAnsi" w:eastAsia="Times New Roman" w:hAnsiTheme="majorHAnsi"/>
          <w:sz w:val="20"/>
          <w:szCs w:val="20"/>
          <w:bdr w:val="none" w:sz="0" w:space="0" w:color="auto"/>
          <w:lang w:val="es-ES"/>
        </w:rPr>
        <w:t>)</w:t>
      </w:r>
      <w:r w:rsidRPr="00D31E39">
        <w:rPr>
          <w:rFonts w:asciiTheme="majorHAnsi" w:eastAsia="Times New Roman" w:hAnsiTheme="majorHAnsi"/>
          <w:sz w:val="20"/>
          <w:szCs w:val="20"/>
          <w:bdr w:val="none" w:sz="0" w:space="0" w:color="auto"/>
          <w:lang w:val="es-ES"/>
        </w:rPr>
        <w:t>, (en adelante "l</w:t>
      </w:r>
      <w:r w:rsidR="002E7484" w:rsidRPr="00D31E39">
        <w:rPr>
          <w:rFonts w:asciiTheme="majorHAnsi" w:eastAsia="Times New Roman" w:hAnsiTheme="majorHAnsi"/>
          <w:sz w:val="20"/>
          <w:szCs w:val="20"/>
          <w:bdr w:val="none" w:sz="0" w:space="0" w:color="auto"/>
          <w:lang w:val="es-ES"/>
        </w:rPr>
        <w:t>os peticionarios”) a favor de lo</w:t>
      </w:r>
      <w:r w:rsidRPr="00D31E39">
        <w:rPr>
          <w:rFonts w:asciiTheme="majorHAnsi" w:eastAsia="Times New Roman" w:hAnsiTheme="majorHAnsi"/>
          <w:sz w:val="20"/>
          <w:szCs w:val="20"/>
          <w:bdr w:val="none" w:sz="0" w:space="0" w:color="auto"/>
          <w:lang w:val="es-ES"/>
        </w:rPr>
        <w:t>s</w:t>
      </w:r>
      <w:r w:rsidR="002E7484" w:rsidRPr="00D31E39">
        <w:rPr>
          <w:rFonts w:asciiTheme="majorHAnsi" w:eastAsia="Times New Roman" w:hAnsiTheme="majorHAnsi"/>
          <w:sz w:val="20"/>
          <w:szCs w:val="20"/>
          <w:bdr w:val="none" w:sz="0" w:space="0" w:color="auto"/>
          <w:lang w:val="es-ES"/>
        </w:rPr>
        <w:t xml:space="preserve"> familiares de </w:t>
      </w:r>
      <w:r w:rsidRPr="00D31E39">
        <w:rPr>
          <w:rFonts w:asciiTheme="majorHAnsi" w:eastAsia="Times New Roman" w:hAnsiTheme="majorHAnsi"/>
          <w:sz w:val="20"/>
          <w:szCs w:val="20"/>
          <w:bdr w:val="none" w:sz="0" w:space="0" w:color="auto"/>
          <w:lang w:val="es-ES"/>
        </w:rPr>
        <w:t>víctimas de la dictadura militar ocurrida en Panamá entre los años 1968 y 1989, contra la República de Panamá (en adelante el “Estado panameño”, “Panamá” o el “Estado”). En la petición se aleg</w:t>
      </w:r>
      <w:r w:rsidR="002E7484" w:rsidRPr="00D31E39">
        <w:rPr>
          <w:rFonts w:asciiTheme="majorHAnsi" w:eastAsia="Times New Roman" w:hAnsiTheme="majorHAnsi"/>
          <w:sz w:val="20"/>
          <w:szCs w:val="20"/>
          <w:bdr w:val="none" w:sz="0" w:space="0" w:color="auto"/>
          <w:lang w:val="es-ES"/>
        </w:rPr>
        <w:t>ó que</w:t>
      </w:r>
      <w:r w:rsidRPr="00D31E39">
        <w:rPr>
          <w:rFonts w:asciiTheme="majorHAnsi" w:eastAsia="Times New Roman" w:hAnsiTheme="majorHAnsi"/>
          <w:sz w:val="20"/>
          <w:szCs w:val="20"/>
          <w:bdr w:val="none" w:sz="0" w:space="0" w:color="auto"/>
          <w:lang w:val="es-ES"/>
        </w:rPr>
        <w:t xml:space="preserve"> en un contexto de violencia y abuso de poder que habría imperado durante la dictadura militar instaurada en Panamá desde el 11 de octubre de 1968 hasta el 20 de diciembre de 1989, 109 personas (en adelante, “las presuntas víctimas”) habrían sido víctimas de ejecuciones extrajudiciales o desapariciones forzadas presuntamente atribuibles a elementos de las fuerzas de seguridad del Estado. </w:t>
      </w:r>
    </w:p>
    <w:p w:rsidR="005700FF" w:rsidRPr="00D31E39" w:rsidRDefault="005700FF" w:rsidP="0035475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Theme="majorHAnsi" w:eastAsia="Times New Roman" w:hAnsiTheme="majorHAnsi"/>
          <w:sz w:val="20"/>
          <w:szCs w:val="20"/>
          <w:bdr w:val="none" w:sz="0" w:space="0" w:color="auto"/>
          <w:lang w:val="es-AR"/>
        </w:rPr>
      </w:pPr>
    </w:p>
    <w:p w:rsidR="00312C3A" w:rsidRPr="00D31E39" w:rsidRDefault="005700FF" w:rsidP="00921AE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ES"/>
        </w:rPr>
      </w:pPr>
      <w:r w:rsidRPr="00D31E39">
        <w:rPr>
          <w:rFonts w:asciiTheme="majorHAnsi" w:eastAsia="Times New Roman" w:hAnsiTheme="majorHAnsi"/>
          <w:sz w:val="20"/>
          <w:szCs w:val="20"/>
          <w:bdr w:val="none" w:sz="0" w:space="0" w:color="auto"/>
          <w:lang w:val="es-ES"/>
        </w:rPr>
        <w:t>Los peticionarios alega</w:t>
      </w:r>
      <w:r w:rsidR="002E7484" w:rsidRPr="00D31E39">
        <w:rPr>
          <w:rFonts w:asciiTheme="majorHAnsi" w:eastAsia="Times New Roman" w:hAnsiTheme="majorHAnsi"/>
          <w:sz w:val="20"/>
          <w:szCs w:val="20"/>
          <w:bdr w:val="none" w:sz="0" w:space="0" w:color="auto"/>
          <w:lang w:val="es-ES"/>
        </w:rPr>
        <w:t>ron</w:t>
      </w:r>
      <w:r w:rsidRPr="00D31E39">
        <w:rPr>
          <w:rFonts w:asciiTheme="majorHAnsi" w:eastAsia="Times New Roman" w:hAnsiTheme="majorHAnsi"/>
          <w:sz w:val="20"/>
          <w:szCs w:val="20"/>
          <w:bdr w:val="none" w:sz="0" w:space="0" w:color="auto"/>
          <w:lang w:val="es-ES"/>
        </w:rPr>
        <w:t xml:space="preserve"> que el Estado de Panamá violó los artículos 4 (derecho a la vida), 5 (integridad personal) y 7 (derecho a la libertad personal) contemplados en la Convención Americana sobre Derechos Humanos (en adelante “Convención” o “Convención Americana”), en perjuicio de las presuntas víctimas. Además, afirma</w:t>
      </w:r>
      <w:r w:rsidR="008C0D6D" w:rsidRPr="00D31E39">
        <w:rPr>
          <w:rFonts w:asciiTheme="majorHAnsi" w:eastAsia="Times New Roman" w:hAnsiTheme="majorHAnsi"/>
          <w:sz w:val="20"/>
          <w:szCs w:val="20"/>
          <w:bdr w:val="none" w:sz="0" w:space="0" w:color="auto"/>
          <w:lang w:val="es-ES"/>
        </w:rPr>
        <w:t>ron</w:t>
      </w:r>
      <w:r w:rsidRPr="00D31E39">
        <w:rPr>
          <w:rFonts w:asciiTheme="majorHAnsi" w:eastAsia="Times New Roman" w:hAnsiTheme="majorHAnsi"/>
          <w:sz w:val="20"/>
          <w:szCs w:val="20"/>
          <w:bdr w:val="none" w:sz="0" w:space="0" w:color="auto"/>
          <w:lang w:val="es-ES"/>
        </w:rPr>
        <w:t xml:space="preserve"> que el Estado e</w:t>
      </w:r>
      <w:r w:rsidR="008C0D6D" w:rsidRPr="00D31E39">
        <w:rPr>
          <w:rFonts w:asciiTheme="majorHAnsi" w:eastAsia="Times New Roman" w:hAnsiTheme="majorHAnsi"/>
          <w:sz w:val="20"/>
          <w:szCs w:val="20"/>
          <w:bdr w:val="none" w:sz="0" w:space="0" w:color="auto"/>
          <w:lang w:val="es-ES"/>
        </w:rPr>
        <w:t>ra</w:t>
      </w:r>
      <w:r w:rsidRPr="00D31E39">
        <w:rPr>
          <w:rFonts w:asciiTheme="majorHAnsi" w:eastAsia="Times New Roman" w:hAnsiTheme="majorHAnsi"/>
          <w:sz w:val="20"/>
          <w:szCs w:val="20"/>
          <w:bdr w:val="none" w:sz="0" w:space="0" w:color="auto"/>
          <w:lang w:val="es-ES"/>
        </w:rPr>
        <w:t xml:space="preserve"> responsable por la violación del artículo I (derecho a la vida, a la libertad, a la seguridad e integridad de la persona) de la Declaración Americana de los Derechos y Deberes del Hombre (en adelante, “la Declaración Americana”); así como de los artículos I, III y XI de la Convención Interamericana sobre Desaparición Forzada de Personas. En relación con los requisi</w:t>
      </w:r>
      <w:r w:rsidR="00BD30B4">
        <w:rPr>
          <w:rFonts w:asciiTheme="majorHAnsi" w:eastAsia="Times New Roman" w:hAnsiTheme="majorHAnsi"/>
          <w:sz w:val="20"/>
          <w:szCs w:val="20"/>
          <w:bdr w:val="none" w:sz="0" w:space="0" w:color="auto"/>
          <w:lang w:val="es-ES"/>
        </w:rPr>
        <w:t>tos de admisibilidad, argumentaron</w:t>
      </w:r>
      <w:r w:rsidRPr="00D31E39">
        <w:rPr>
          <w:rFonts w:asciiTheme="majorHAnsi" w:eastAsia="Times New Roman" w:hAnsiTheme="majorHAnsi"/>
          <w:sz w:val="20"/>
          <w:szCs w:val="20"/>
          <w:bdr w:val="none" w:sz="0" w:space="0" w:color="auto"/>
          <w:lang w:val="es-ES"/>
        </w:rPr>
        <w:t xml:space="preserve"> que su petición es admisible por cuanto en aquellos casos en los cuales no se habrían agotado los recursos de jurisdicción interna, resultarían aplicables las excepciones consagradas en el artículo 31.2 del Reglamento de la Comisión Interamericana de Derechos Humanos (en adelante, “el Reglamento”).</w:t>
      </w:r>
    </w:p>
    <w:p w:rsidR="00312C3A" w:rsidRPr="00D31E39" w:rsidRDefault="00551704" w:rsidP="0035475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Theme="majorHAnsi" w:eastAsia="Times New Roman" w:hAnsiTheme="majorHAnsi"/>
          <w:sz w:val="20"/>
          <w:szCs w:val="20"/>
          <w:bdr w:val="none" w:sz="0" w:space="0" w:color="auto"/>
          <w:lang w:val="es-VE"/>
        </w:rPr>
      </w:pPr>
      <w:r>
        <w:rPr>
          <w:rFonts w:asciiTheme="majorHAnsi" w:eastAsia="Times New Roman" w:hAnsiTheme="majorHAnsi"/>
          <w:sz w:val="20"/>
          <w:szCs w:val="20"/>
          <w:bdr w:val="none" w:sz="0" w:space="0" w:color="auto"/>
          <w:lang w:val="es-VE"/>
        </w:rPr>
        <w:tab/>
      </w:r>
    </w:p>
    <w:p w:rsidR="00312C3A" w:rsidRPr="00D31E39" w:rsidRDefault="00312C3A" w:rsidP="00921AE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VE"/>
        </w:rPr>
      </w:pPr>
      <w:r w:rsidRPr="00D31E39">
        <w:rPr>
          <w:rFonts w:asciiTheme="majorHAnsi" w:eastAsia="Times New Roman" w:hAnsiTheme="majorHAnsi"/>
          <w:sz w:val="20"/>
          <w:szCs w:val="20"/>
          <w:bdr w:val="none" w:sz="0" w:space="0" w:color="auto"/>
          <w:lang w:val="es-VE"/>
        </w:rPr>
        <w:t xml:space="preserve">El 27 de octubre de 2015, la CIDH emitió el Informe de Admisibilidad No. 68/15. En su informe, la CIDH concluyó que era competente para examinar la presunta violación de los artículos: </w:t>
      </w:r>
      <w:r w:rsidR="00BD30B4">
        <w:rPr>
          <w:rFonts w:asciiTheme="majorHAnsi" w:eastAsia="Times New Roman" w:hAnsiTheme="majorHAnsi"/>
          <w:sz w:val="20"/>
          <w:szCs w:val="20"/>
          <w:bdr w:val="none" w:sz="0" w:space="0" w:color="auto"/>
          <w:lang w:val="es-VE"/>
        </w:rPr>
        <w:t xml:space="preserve">a) </w:t>
      </w:r>
      <w:r w:rsidRPr="00D31E39">
        <w:rPr>
          <w:rFonts w:asciiTheme="majorHAnsi" w:eastAsia="Times New Roman" w:hAnsiTheme="majorHAnsi"/>
          <w:sz w:val="20"/>
          <w:szCs w:val="20"/>
          <w:bdr w:val="none" w:sz="0" w:space="0" w:color="auto"/>
          <w:lang w:val="es-VE"/>
        </w:rPr>
        <w:t>3 (</w:t>
      </w:r>
      <w:r w:rsidR="00902DB5" w:rsidRPr="00D31E39">
        <w:rPr>
          <w:rFonts w:asciiTheme="majorHAnsi" w:eastAsia="Times New Roman" w:hAnsiTheme="majorHAnsi"/>
          <w:sz w:val="20"/>
          <w:szCs w:val="20"/>
          <w:bdr w:val="none" w:sz="0" w:space="0" w:color="auto"/>
          <w:lang w:val="es-VE"/>
        </w:rPr>
        <w:t>derecho al reconocimiento de la personalidad jurídica</w:t>
      </w:r>
      <w:r w:rsidRPr="00D31E39">
        <w:rPr>
          <w:rFonts w:asciiTheme="majorHAnsi" w:eastAsia="Times New Roman" w:hAnsiTheme="majorHAnsi"/>
          <w:sz w:val="20"/>
          <w:szCs w:val="20"/>
          <w:bdr w:val="none" w:sz="0" w:space="0" w:color="auto"/>
          <w:lang w:val="es-VE"/>
        </w:rPr>
        <w:t>), 4 (</w:t>
      </w:r>
      <w:r w:rsidR="00902DB5" w:rsidRPr="00D31E39">
        <w:rPr>
          <w:rFonts w:asciiTheme="majorHAnsi" w:eastAsia="Times New Roman" w:hAnsiTheme="majorHAnsi"/>
          <w:sz w:val="20"/>
          <w:szCs w:val="20"/>
          <w:bdr w:val="none" w:sz="0" w:space="0" w:color="auto"/>
          <w:lang w:val="es-VE"/>
        </w:rPr>
        <w:t>derecho a la vida</w:t>
      </w:r>
      <w:r w:rsidRPr="00D31E39">
        <w:rPr>
          <w:rFonts w:asciiTheme="majorHAnsi" w:eastAsia="Times New Roman" w:hAnsiTheme="majorHAnsi"/>
          <w:sz w:val="20"/>
          <w:szCs w:val="20"/>
          <w:bdr w:val="none" w:sz="0" w:space="0" w:color="auto"/>
          <w:lang w:val="es-VE"/>
        </w:rPr>
        <w:t>), 5 (</w:t>
      </w:r>
      <w:r w:rsidR="00902DB5" w:rsidRPr="00D31E39">
        <w:rPr>
          <w:rFonts w:asciiTheme="majorHAnsi" w:eastAsia="Times New Roman" w:hAnsiTheme="majorHAnsi"/>
          <w:sz w:val="20"/>
          <w:szCs w:val="20"/>
          <w:bdr w:val="none" w:sz="0" w:space="0" w:color="auto"/>
          <w:lang w:val="es-VE"/>
        </w:rPr>
        <w:t>derecho a la integridad personal</w:t>
      </w:r>
      <w:r w:rsidRPr="00D31E39">
        <w:rPr>
          <w:rFonts w:asciiTheme="majorHAnsi" w:eastAsia="Times New Roman" w:hAnsiTheme="majorHAnsi"/>
          <w:sz w:val="20"/>
          <w:szCs w:val="20"/>
          <w:bdr w:val="none" w:sz="0" w:space="0" w:color="auto"/>
          <w:lang w:val="es-VE"/>
        </w:rPr>
        <w:t>), 7 (</w:t>
      </w:r>
      <w:r w:rsidR="00902DB5" w:rsidRPr="00D31E39">
        <w:rPr>
          <w:rFonts w:asciiTheme="majorHAnsi" w:eastAsia="Times New Roman" w:hAnsiTheme="majorHAnsi"/>
          <w:sz w:val="20"/>
          <w:szCs w:val="20"/>
          <w:bdr w:val="none" w:sz="0" w:space="0" w:color="auto"/>
          <w:lang w:val="es-VE"/>
        </w:rPr>
        <w:t>derecho a la libertad personal</w:t>
      </w:r>
      <w:r w:rsidRPr="00D31E39">
        <w:rPr>
          <w:rFonts w:asciiTheme="majorHAnsi" w:eastAsia="Times New Roman" w:hAnsiTheme="majorHAnsi"/>
          <w:sz w:val="20"/>
          <w:szCs w:val="20"/>
          <w:bdr w:val="none" w:sz="0" w:space="0" w:color="auto"/>
          <w:lang w:val="es-VE"/>
        </w:rPr>
        <w:t>), 8 (</w:t>
      </w:r>
      <w:r w:rsidR="00902DB5" w:rsidRPr="00D31E39">
        <w:rPr>
          <w:rFonts w:asciiTheme="majorHAnsi" w:eastAsia="Times New Roman" w:hAnsiTheme="majorHAnsi"/>
          <w:sz w:val="20"/>
          <w:szCs w:val="20"/>
          <w:bdr w:val="none" w:sz="0" w:space="0" w:color="auto"/>
          <w:lang w:val="es-VE"/>
        </w:rPr>
        <w:t>garantías judiciales</w:t>
      </w:r>
      <w:r w:rsidRPr="00D31E39">
        <w:rPr>
          <w:rFonts w:asciiTheme="majorHAnsi" w:eastAsia="Times New Roman" w:hAnsiTheme="majorHAnsi"/>
          <w:sz w:val="20"/>
          <w:szCs w:val="20"/>
          <w:bdr w:val="none" w:sz="0" w:space="0" w:color="auto"/>
          <w:lang w:val="es-VE"/>
        </w:rPr>
        <w:t>) y 25 (</w:t>
      </w:r>
      <w:r w:rsidR="00902DB5" w:rsidRPr="00D31E39">
        <w:rPr>
          <w:rFonts w:asciiTheme="majorHAnsi" w:eastAsia="Times New Roman" w:hAnsiTheme="majorHAnsi"/>
          <w:sz w:val="20"/>
          <w:szCs w:val="20"/>
          <w:bdr w:val="none" w:sz="0" w:space="0" w:color="auto"/>
          <w:lang w:val="es-VE"/>
        </w:rPr>
        <w:t>protección judicial</w:t>
      </w:r>
      <w:r w:rsidRPr="00D31E39">
        <w:rPr>
          <w:rFonts w:asciiTheme="majorHAnsi" w:eastAsia="Times New Roman" w:hAnsiTheme="majorHAnsi"/>
          <w:sz w:val="20"/>
          <w:szCs w:val="20"/>
          <w:bdr w:val="none" w:sz="0" w:space="0" w:color="auto"/>
          <w:lang w:val="es-VE"/>
        </w:rPr>
        <w:t xml:space="preserve">) de la Convención Americana, en relación con las obligaciones establecidas en los artículos 1.1 y 2 de dicho instrumento, en perjuicio de las 39 presuntas víctimas presuntamente desaparecidas; </w:t>
      </w:r>
      <w:r w:rsidR="008C0D6D" w:rsidRPr="00D31E39">
        <w:rPr>
          <w:rFonts w:asciiTheme="majorHAnsi" w:eastAsia="Times New Roman" w:hAnsiTheme="majorHAnsi"/>
          <w:sz w:val="20"/>
          <w:szCs w:val="20"/>
          <w:bdr w:val="none" w:sz="0" w:space="0" w:color="auto"/>
          <w:lang w:val="es-VE"/>
        </w:rPr>
        <w:t>b</w:t>
      </w:r>
      <w:r w:rsidRPr="00D31E39">
        <w:rPr>
          <w:rFonts w:asciiTheme="majorHAnsi" w:eastAsia="Times New Roman" w:hAnsiTheme="majorHAnsi"/>
          <w:sz w:val="20"/>
          <w:szCs w:val="20"/>
          <w:bdr w:val="none" w:sz="0" w:space="0" w:color="auto"/>
          <w:lang w:val="es-VE"/>
        </w:rPr>
        <w:t xml:space="preserve">) I, III y XI de la Convención Interamericana sobre Desaparición Forzada de Personas, en perjuicio de las 39 presuntas víctimas desaparecidas; </w:t>
      </w:r>
      <w:r w:rsidR="008C0D6D" w:rsidRPr="00D31E39">
        <w:rPr>
          <w:rFonts w:asciiTheme="majorHAnsi" w:eastAsia="Times New Roman" w:hAnsiTheme="majorHAnsi"/>
          <w:sz w:val="20"/>
          <w:szCs w:val="20"/>
          <w:bdr w:val="none" w:sz="0" w:space="0" w:color="auto"/>
          <w:lang w:val="es-VE"/>
        </w:rPr>
        <w:t>c</w:t>
      </w:r>
      <w:r w:rsidRPr="00D31E39">
        <w:rPr>
          <w:rFonts w:asciiTheme="majorHAnsi" w:eastAsia="Times New Roman" w:hAnsiTheme="majorHAnsi"/>
          <w:sz w:val="20"/>
          <w:szCs w:val="20"/>
          <w:bdr w:val="none" w:sz="0" w:space="0" w:color="auto"/>
          <w:lang w:val="es-VE"/>
        </w:rPr>
        <w:t>) 19</w:t>
      </w:r>
      <w:r w:rsidR="00902DB5" w:rsidRPr="00D31E39">
        <w:rPr>
          <w:rFonts w:asciiTheme="majorHAnsi" w:eastAsia="Times New Roman" w:hAnsiTheme="majorHAnsi"/>
          <w:sz w:val="20"/>
          <w:szCs w:val="20"/>
          <w:bdr w:val="none" w:sz="0" w:space="0" w:color="auto"/>
          <w:lang w:val="es-VE"/>
        </w:rPr>
        <w:t xml:space="preserve"> (derechos del niño)</w:t>
      </w:r>
      <w:r w:rsidRPr="00D31E39">
        <w:rPr>
          <w:rFonts w:asciiTheme="majorHAnsi" w:eastAsia="Times New Roman" w:hAnsiTheme="majorHAnsi"/>
          <w:sz w:val="20"/>
          <w:szCs w:val="20"/>
          <w:bdr w:val="none" w:sz="0" w:space="0" w:color="auto"/>
          <w:lang w:val="es-VE"/>
        </w:rPr>
        <w:t xml:space="preserve"> de la Convención Americana en perjuicio de los dos menores de edad presuntamente desaparecidos; </w:t>
      </w:r>
      <w:r w:rsidR="008C0D6D" w:rsidRPr="00D31E39">
        <w:rPr>
          <w:rFonts w:asciiTheme="majorHAnsi" w:eastAsia="Times New Roman" w:hAnsiTheme="majorHAnsi"/>
          <w:sz w:val="20"/>
          <w:szCs w:val="20"/>
          <w:bdr w:val="none" w:sz="0" w:space="0" w:color="auto"/>
          <w:lang w:val="es-VE"/>
        </w:rPr>
        <w:t>d</w:t>
      </w:r>
      <w:r w:rsidRPr="00D31E39">
        <w:rPr>
          <w:rFonts w:asciiTheme="majorHAnsi" w:eastAsia="Times New Roman" w:hAnsiTheme="majorHAnsi"/>
          <w:sz w:val="20"/>
          <w:szCs w:val="20"/>
          <w:bdr w:val="none" w:sz="0" w:space="0" w:color="auto"/>
          <w:lang w:val="es-VE"/>
        </w:rPr>
        <w:t xml:space="preserve">) I, XXV y XXVI de la Declaración Americana, en perjuicio de las 28 presuntas víctimas presuntamente ejecutadas antes de junio de 1978; </w:t>
      </w:r>
      <w:r w:rsidR="008C0D6D" w:rsidRPr="00D31E39">
        <w:rPr>
          <w:rFonts w:asciiTheme="majorHAnsi" w:eastAsia="Times New Roman" w:hAnsiTheme="majorHAnsi"/>
          <w:sz w:val="20"/>
          <w:szCs w:val="20"/>
          <w:bdr w:val="none" w:sz="0" w:space="0" w:color="auto"/>
          <w:lang w:val="es-VE"/>
        </w:rPr>
        <w:t>e</w:t>
      </w:r>
      <w:r w:rsidRPr="00D31E39">
        <w:rPr>
          <w:rFonts w:asciiTheme="majorHAnsi" w:eastAsia="Times New Roman" w:hAnsiTheme="majorHAnsi"/>
          <w:sz w:val="20"/>
          <w:szCs w:val="20"/>
          <w:bdr w:val="none" w:sz="0" w:space="0" w:color="auto"/>
          <w:lang w:val="es-VE"/>
        </w:rPr>
        <w:t>) 4</w:t>
      </w:r>
      <w:r w:rsidR="00902DB5" w:rsidRPr="00D31E39">
        <w:rPr>
          <w:rFonts w:asciiTheme="majorHAnsi" w:eastAsia="Times New Roman" w:hAnsiTheme="majorHAnsi"/>
          <w:sz w:val="20"/>
          <w:szCs w:val="20"/>
          <w:bdr w:val="none" w:sz="0" w:space="0" w:color="auto"/>
          <w:lang w:val="es-VE"/>
        </w:rPr>
        <w:t xml:space="preserve"> (derecho a la vida)</w:t>
      </w:r>
      <w:r w:rsidRPr="00D31E39">
        <w:rPr>
          <w:rFonts w:asciiTheme="majorHAnsi" w:eastAsia="Times New Roman" w:hAnsiTheme="majorHAnsi"/>
          <w:sz w:val="20"/>
          <w:szCs w:val="20"/>
          <w:bdr w:val="none" w:sz="0" w:space="0" w:color="auto"/>
          <w:lang w:val="es-VE"/>
        </w:rPr>
        <w:t>, 5</w:t>
      </w:r>
      <w:r w:rsidR="00902DB5" w:rsidRPr="00D31E39">
        <w:rPr>
          <w:rFonts w:asciiTheme="majorHAnsi" w:eastAsia="Times New Roman" w:hAnsiTheme="majorHAnsi"/>
          <w:sz w:val="20"/>
          <w:szCs w:val="20"/>
          <w:bdr w:val="none" w:sz="0" w:space="0" w:color="auto"/>
          <w:lang w:val="es-VE"/>
        </w:rPr>
        <w:t xml:space="preserve"> (derecho a la integridad personal)</w:t>
      </w:r>
      <w:r w:rsidRPr="00D31E39">
        <w:rPr>
          <w:rFonts w:asciiTheme="majorHAnsi" w:eastAsia="Times New Roman" w:hAnsiTheme="majorHAnsi"/>
          <w:sz w:val="20"/>
          <w:szCs w:val="20"/>
          <w:bdr w:val="none" w:sz="0" w:space="0" w:color="auto"/>
          <w:lang w:val="es-VE"/>
        </w:rPr>
        <w:t>,</w:t>
      </w:r>
      <w:r w:rsidR="00902DB5" w:rsidRPr="00D31E39">
        <w:rPr>
          <w:rFonts w:asciiTheme="majorHAnsi" w:eastAsia="Times New Roman" w:hAnsiTheme="majorHAnsi"/>
          <w:sz w:val="20"/>
          <w:szCs w:val="20"/>
          <w:bdr w:val="none" w:sz="0" w:space="0" w:color="auto"/>
          <w:lang w:val="es-VE"/>
        </w:rPr>
        <w:t xml:space="preserve"> </w:t>
      </w:r>
      <w:r w:rsidRPr="00D31E39">
        <w:rPr>
          <w:rFonts w:asciiTheme="majorHAnsi" w:eastAsia="Times New Roman" w:hAnsiTheme="majorHAnsi"/>
          <w:sz w:val="20"/>
          <w:szCs w:val="20"/>
          <w:bdr w:val="none" w:sz="0" w:space="0" w:color="auto"/>
          <w:lang w:val="es-VE"/>
        </w:rPr>
        <w:t>7</w:t>
      </w:r>
      <w:r w:rsidR="00902DB5" w:rsidRPr="00D31E39">
        <w:rPr>
          <w:rFonts w:asciiTheme="majorHAnsi" w:eastAsia="Times New Roman" w:hAnsiTheme="majorHAnsi"/>
          <w:sz w:val="20"/>
          <w:szCs w:val="20"/>
          <w:bdr w:val="none" w:sz="0" w:space="0" w:color="auto"/>
          <w:lang w:val="es-VE"/>
        </w:rPr>
        <w:t xml:space="preserve"> (derecho a la libertad personal), </w:t>
      </w:r>
      <w:r w:rsidRPr="00D31E39">
        <w:rPr>
          <w:rFonts w:asciiTheme="majorHAnsi" w:eastAsia="Times New Roman" w:hAnsiTheme="majorHAnsi"/>
          <w:sz w:val="20"/>
          <w:szCs w:val="20"/>
          <w:bdr w:val="none" w:sz="0" w:space="0" w:color="auto"/>
          <w:lang w:val="es-VE"/>
        </w:rPr>
        <w:t>8</w:t>
      </w:r>
      <w:r w:rsidR="00902DB5" w:rsidRPr="00D31E39">
        <w:rPr>
          <w:rFonts w:asciiTheme="majorHAnsi" w:eastAsia="Times New Roman" w:hAnsiTheme="majorHAnsi"/>
          <w:sz w:val="20"/>
          <w:szCs w:val="20"/>
          <w:bdr w:val="none" w:sz="0" w:space="0" w:color="auto"/>
          <w:lang w:val="es-VE"/>
        </w:rPr>
        <w:t xml:space="preserve"> (garantías judiciales)</w:t>
      </w:r>
      <w:r w:rsidRPr="00D31E39">
        <w:rPr>
          <w:rFonts w:asciiTheme="majorHAnsi" w:eastAsia="Times New Roman" w:hAnsiTheme="majorHAnsi"/>
          <w:sz w:val="20"/>
          <w:szCs w:val="20"/>
          <w:bdr w:val="none" w:sz="0" w:space="0" w:color="auto"/>
          <w:lang w:val="es-VE"/>
        </w:rPr>
        <w:t xml:space="preserve"> y 25</w:t>
      </w:r>
      <w:r w:rsidR="00902DB5" w:rsidRPr="00D31E39">
        <w:rPr>
          <w:rFonts w:asciiTheme="majorHAnsi" w:eastAsia="Times New Roman" w:hAnsiTheme="majorHAnsi"/>
          <w:sz w:val="20"/>
          <w:szCs w:val="20"/>
          <w:bdr w:val="none" w:sz="0" w:space="0" w:color="auto"/>
          <w:lang w:val="es-VE"/>
        </w:rPr>
        <w:t xml:space="preserve"> (protección judicial)</w:t>
      </w:r>
      <w:r w:rsidRPr="00D31E39">
        <w:rPr>
          <w:rFonts w:asciiTheme="majorHAnsi" w:eastAsia="Times New Roman" w:hAnsiTheme="majorHAnsi"/>
          <w:sz w:val="20"/>
          <w:szCs w:val="20"/>
          <w:bdr w:val="none" w:sz="0" w:space="0" w:color="auto"/>
          <w:lang w:val="es-VE"/>
        </w:rPr>
        <w:t xml:space="preserve"> de la Convención en perjuicio de las 39 presuntas víctimas presuntamente ejecutadas después de junio 1978; </w:t>
      </w:r>
      <w:r w:rsidR="008C0D6D" w:rsidRPr="00D31E39">
        <w:rPr>
          <w:rFonts w:asciiTheme="majorHAnsi" w:eastAsia="Times New Roman" w:hAnsiTheme="majorHAnsi"/>
          <w:sz w:val="20"/>
          <w:szCs w:val="20"/>
          <w:bdr w:val="none" w:sz="0" w:space="0" w:color="auto"/>
          <w:lang w:val="es-VE"/>
        </w:rPr>
        <w:t>f</w:t>
      </w:r>
      <w:r w:rsidRPr="00D31E39">
        <w:rPr>
          <w:rFonts w:asciiTheme="majorHAnsi" w:eastAsia="Times New Roman" w:hAnsiTheme="majorHAnsi"/>
          <w:sz w:val="20"/>
          <w:szCs w:val="20"/>
          <w:bdr w:val="none" w:sz="0" w:space="0" w:color="auto"/>
          <w:lang w:val="es-VE"/>
        </w:rPr>
        <w:t>) 19</w:t>
      </w:r>
      <w:r w:rsidR="00902DB5" w:rsidRPr="00D31E39">
        <w:rPr>
          <w:rFonts w:asciiTheme="majorHAnsi" w:eastAsia="Times New Roman" w:hAnsiTheme="majorHAnsi"/>
          <w:sz w:val="20"/>
          <w:szCs w:val="20"/>
          <w:bdr w:val="none" w:sz="0" w:space="0" w:color="auto"/>
          <w:lang w:val="es-VE"/>
        </w:rPr>
        <w:t xml:space="preserve"> (derechos del niño)</w:t>
      </w:r>
      <w:r w:rsidRPr="00D31E39">
        <w:rPr>
          <w:rFonts w:asciiTheme="majorHAnsi" w:eastAsia="Times New Roman" w:hAnsiTheme="majorHAnsi"/>
          <w:sz w:val="20"/>
          <w:szCs w:val="20"/>
          <w:bdr w:val="none" w:sz="0" w:space="0" w:color="auto"/>
          <w:lang w:val="es-VE"/>
        </w:rPr>
        <w:t xml:space="preserve"> de la Convención Americana en perjuicio de la menor presuntamente ejecutada extrajudicialmente; </w:t>
      </w:r>
      <w:r w:rsidR="008C0D6D" w:rsidRPr="00D31E39">
        <w:rPr>
          <w:rFonts w:asciiTheme="majorHAnsi" w:eastAsia="Times New Roman" w:hAnsiTheme="majorHAnsi"/>
          <w:sz w:val="20"/>
          <w:szCs w:val="20"/>
          <w:bdr w:val="none" w:sz="0" w:space="0" w:color="auto"/>
          <w:lang w:val="es-VE"/>
        </w:rPr>
        <w:t>g</w:t>
      </w:r>
      <w:r w:rsidRPr="00D31E39">
        <w:rPr>
          <w:rFonts w:asciiTheme="majorHAnsi" w:eastAsia="Times New Roman" w:hAnsiTheme="majorHAnsi"/>
          <w:sz w:val="20"/>
          <w:szCs w:val="20"/>
          <w:bdr w:val="none" w:sz="0" w:space="0" w:color="auto"/>
          <w:lang w:val="es-VE"/>
        </w:rPr>
        <w:t>) 5</w:t>
      </w:r>
      <w:r w:rsidR="00902DB5" w:rsidRPr="00D31E39">
        <w:rPr>
          <w:rFonts w:asciiTheme="majorHAnsi" w:eastAsia="Times New Roman" w:hAnsiTheme="majorHAnsi"/>
          <w:sz w:val="20"/>
          <w:szCs w:val="20"/>
          <w:bdr w:val="none" w:sz="0" w:space="0" w:color="auto"/>
          <w:lang w:val="es-VE"/>
        </w:rPr>
        <w:t xml:space="preserve"> (derecho a la integridad personal)</w:t>
      </w:r>
      <w:r w:rsidRPr="00D31E39">
        <w:rPr>
          <w:rFonts w:asciiTheme="majorHAnsi" w:eastAsia="Times New Roman" w:hAnsiTheme="majorHAnsi"/>
          <w:sz w:val="20"/>
          <w:szCs w:val="20"/>
          <w:bdr w:val="none" w:sz="0" w:space="0" w:color="auto"/>
          <w:lang w:val="es-VE"/>
        </w:rPr>
        <w:t>, 8</w:t>
      </w:r>
      <w:r w:rsidR="00902DB5" w:rsidRPr="00D31E39">
        <w:rPr>
          <w:rFonts w:asciiTheme="majorHAnsi" w:eastAsia="Times New Roman" w:hAnsiTheme="majorHAnsi"/>
          <w:sz w:val="20"/>
          <w:szCs w:val="20"/>
          <w:bdr w:val="none" w:sz="0" w:space="0" w:color="auto"/>
          <w:lang w:val="es-VE"/>
        </w:rPr>
        <w:t xml:space="preserve"> (garantías judiciales)  y 25 (protección judicial)</w:t>
      </w:r>
      <w:r w:rsidRPr="00D31E39">
        <w:rPr>
          <w:rFonts w:asciiTheme="majorHAnsi" w:eastAsia="Times New Roman" w:hAnsiTheme="majorHAnsi"/>
          <w:sz w:val="20"/>
          <w:szCs w:val="20"/>
          <w:bdr w:val="none" w:sz="0" w:space="0" w:color="auto"/>
          <w:lang w:val="es-VE"/>
        </w:rPr>
        <w:t xml:space="preserve"> de la Convención Americana en relación con las obligaciones establecidas en los artículos 1.1 y 2 de dicho instrumento; y </w:t>
      </w:r>
      <w:r w:rsidR="008C0D6D" w:rsidRPr="00D31E39">
        <w:rPr>
          <w:rFonts w:asciiTheme="majorHAnsi" w:eastAsia="Times New Roman" w:hAnsiTheme="majorHAnsi"/>
          <w:sz w:val="20"/>
          <w:szCs w:val="20"/>
          <w:bdr w:val="none" w:sz="0" w:space="0" w:color="auto"/>
          <w:lang w:val="es-VE"/>
        </w:rPr>
        <w:t>h</w:t>
      </w:r>
      <w:r w:rsidRPr="00D31E39">
        <w:rPr>
          <w:rFonts w:asciiTheme="majorHAnsi" w:eastAsia="Times New Roman" w:hAnsiTheme="majorHAnsi"/>
          <w:sz w:val="20"/>
          <w:szCs w:val="20"/>
          <w:bdr w:val="none" w:sz="0" w:space="0" w:color="auto"/>
          <w:lang w:val="es-VE"/>
        </w:rPr>
        <w:t xml:space="preserve">) XVIII de la Declaración Americana, en perjuicio de los familiares de todas las 106 presuntas víctimas. </w:t>
      </w:r>
    </w:p>
    <w:p w:rsidR="00A435EB" w:rsidRPr="00D31E39" w:rsidRDefault="00A435EB" w:rsidP="0055170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Theme="majorHAnsi" w:hAnsiTheme="majorHAnsi" w:cs="Cambria"/>
          <w:color w:val="000000"/>
          <w:sz w:val="20"/>
          <w:szCs w:val="20"/>
          <w:lang w:val="es-VE" w:eastAsia="es-ES"/>
        </w:rPr>
      </w:pPr>
    </w:p>
    <w:p w:rsidR="005A443C" w:rsidRPr="00D31E39" w:rsidRDefault="005A443C" w:rsidP="00921AE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ES"/>
        </w:rPr>
      </w:pPr>
      <w:r w:rsidRPr="00D31E39">
        <w:rPr>
          <w:rFonts w:asciiTheme="majorHAnsi" w:eastAsia="Times New Roman" w:hAnsiTheme="majorHAnsi"/>
          <w:sz w:val="20"/>
          <w:szCs w:val="20"/>
          <w:bdr w:val="none" w:sz="0" w:space="0" w:color="auto" w:frame="1"/>
          <w:lang w:val="es-AR"/>
        </w:rPr>
        <w:lastRenderedPageBreak/>
        <w:t>En diciembre de 2018, la Comisión fue informada de que l</w:t>
      </w:r>
      <w:r w:rsidR="00A435EB" w:rsidRPr="00D31E39">
        <w:rPr>
          <w:rFonts w:asciiTheme="majorHAnsi" w:eastAsia="Times New Roman" w:hAnsiTheme="majorHAnsi"/>
          <w:sz w:val="20"/>
          <w:szCs w:val="20"/>
          <w:bdr w:val="none" w:sz="0" w:space="0" w:color="auto" w:frame="1"/>
          <w:lang w:val="es-AR"/>
        </w:rPr>
        <w:t>as partes</w:t>
      </w:r>
      <w:r w:rsidRPr="00D31E39">
        <w:rPr>
          <w:rFonts w:asciiTheme="majorHAnsi" w:eastAsia="Times New Roman" w:hAnsiTheme="majorHAnsi"/>
          <w:sz w:val="20"/>
          <w:szCs w:val="20"/>
          <w:bdr w:val="none" w:sz="0" w:space="0" w:color="auto" w:frame="1"/>
          <w:lang w:val="es-AR"/>
        </w:rPr>
        <w:t xml:space="preserve"> habían</w:t>
      </w:r>
      <w:r w:rsidR="00A435EB" w:rsidRPr="00D31E39">
        <w:rPr>
          <w:rFonts w:asciiTheme="majorHAnsi" w:eastAsia="Times New Roman" w:hAnsiTheme="majorHAnsi"/>
          <w:sz w:val="20"/>
          <w:szCs w:val="20"/>
          <w:bdr w:val="none" w:sz="0" w:space="0" w:color="auto" w:frame="1"/>
          <w:lang w:val="es-AR"/>
        </w:rPr>
        <w:t xml:space="preserve"> </w:t>
      </w:r>
      <w:r w:rsidRPr="00D31E39">
        <w:rPr>
          <w:rFonts w:asciiTheme="majorHAnsi" w:eastAsia="Times New Roman" w:hAnsiTheme="majorHAnsi"/>
          <w:sz w:val="20"/>
          <w:szCs w:val="20"/>
          <w:bdr w:val="none" w:sz="0" w:space="0" w:color="auto" w:frame="1"/>
          <w:lang w:val="es-AR"/>
        </w:rPr>
        <w:t>inicia</w:t>
      </w:r>
      <w:r w:rsidR="008C0D6D" w:rsidRPr="00D31E39">
        <w:rPr>
          <w:rFonts w:asciiTheme="majorHAnsi" w:eastAsia="Times New Roman" w:hAnsiTheme="majorHAnsi"/>
          <w:sz w:val="20"/>
          <w:szCs w:val="20"/>
          <w:bdr w:val="none" w:sz="0" w:space="0" w:color="auto" w:frame="1"/>
          <w:lang w:val="es-AR"/>
        </w:rPr>
        <w:t>do</w:t>
      </w:r>
      <w:r w:rsidRPr="00D31E39">
        <w:rPr>
          <w:rFonts w:asciiTheme="majorHAnsi" w:eastAsia="Times New Roman" w:hAnsiTheme="majorHAnsi"/>
          <w:sz w:val="20"/>
          <w:szCs w:val="20"/>
          <w:bdr w:val="none" w:sz="0" w:space="0" w:color="auto" w:frame="1"/>
          <w:lang w:val="es-AR"/>
        </w:rPr>
        <w:t xml:space="preserve"> de manera bilateral la negociación de un acuerdo de solución amistosa. Adicionalmente, las partes informaron que </w:t>
      </w:r>
      <w:r w:rsidRPr="00D31E39">
        <w:rPr>
          <w:rFonts w:asciiTheme="majorHAnsi" w:eastAsia="Times New Roman" w:hAnsiTheme="majorHAnsi"/>
          <w:sz w:val="20"/>
          <w:szCs w:val="20"/>
          <w:bdr w:val="none" w:sz="0" w:space="0" w:color="auto" w:frame="1"/>
          <w:lang w:val="es-ES"/>
        </w:rPr>
        <w:t xml:space="preserve">desde el año 2003 hasta el año 2005 estuvo en  funcionamiento una Comisión de la Verdad de Panamá, y que en el año 2010 inició una </w:t>
      </w:r>
      <w:r w:rsidR="008C0D6D" w:rsidRPr="00D31E39">
        <w:rPr>
          <w:rFonts w:asciiTheme="majorHAnsi" w:eastAsia="Times New Roman" w:hAnsiTheme="majorHAnsi"/>
          <w:sz w:val="20"/>
          <w:szCs w:val="20"/>
          <w:bdr w:val="none" w:sz="0" w:space="0" w:color="auto" w:frame="1"/>
          <w:lang w:val="es-ES"/>
        </w:rPr>
        <w:t>m</w:t>
      </w:r>
      <w:r w:rsidRPr="00D31E39">
        <w:rPr>
          <w:rFonts w:asciiTheme="majorHAnsi" w:eastAsia="Times New Roman" w:hAnsiTheme="majorHAnsi"/>
          <w:sz w:val="20"/>
          <w:szCs w:val="20"/>
          <w:bdr w:val="none" w:sz="0" w:space="0" w:color="auto" w:frame="1"/>
          <w:lang w:val="es-ES"/>
        </w:rPr>
        <w:t xml:space="preserve">esa de </w:t>
      </w:r>
      <w:r w:rsidR="008C0D6D" w:rsidRPr="00D31E39">
        <w:rPr>
          <w:rFonts w:asciiTheme="majorHAnsi" w:eastAsia="Times New Roman" w:hAnsiTheme="majorHAnsi"/>
          <w:sz w:val="20"/>
          <w:szCs w:val="20"/>
          <w:bdr w:val="none" w:sz="0" w:space="0" w:color="auto" w:frame="1"/>
          <w:lang w:val="es-ES"/>
        </w:rPr>
        <w:t>e</w:t>
      </w:r>
      <w:r w:rsidRPr="00D31E39">
        <w:rPr>
          <w:rFonts w:asciiTheme="majorHAnsi" w:eastAsia="Times New Roman" w:hAnsiTheme="majorHAnsi"/>
          <w:sz w:val="20"/>
          <w:szCs w:val="20"/>
          <w:bdr w:val="none" w:sz="0" w:space="0" w:color="auto" w:frame="1"/>
          <w:lang w:val="es-ES"/>
        </w:rPr>
        <w:t xml:space="preserve">ntendimiento entre organizaciones de familiares de víctimas  y el Estado. </w:t>
      </w:r>
    </w:p>
    <w:p w:rsidR="005A443C" w:rsidRPr="00D31E39" w:rsidRDefault="005A443C" w:rsidP="00354758">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720"/>
        <w:jc w:val="both"/>
        <w:rPr>
          <w:rFonts w:asciiTheme="majorHAnsi" w:eastAsia="Times New Roman" w:hAnsiTheme="majorHAnsi"/>
          <w:sz w:val="20"/>
          <w:szCs w:val="20"/>
          <w:bdr w:val="none" w:sz="0" w:space="0" w:color="auto"/>
          <w:lang w:val="es-ES"/>
        </w:rPr>
      </w:pPr>
    </w:p>
    <w:p w:rsidR="002E7484" w:rsidRPr="00550511" w:rsidRDefault="008B7F11" w:rsidP="00921AE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frame="1"/>
          <w:lang w:val="es-AR"/>
        </w:rPr>
      </w:pPr>
      <w:r w:rsidRPr="00D31E39">
        <w:rPr>
          <w:rFonts w:asciiTheme="majorHAnsi" w:eastAsia="Times New Roman" w:hAnsiTheme="majorHAnsi"/>
          <w:sz w:val="20"/>
          <w:szCs w:val="20"/>
          <w:bdr w:val="none" w:sz="0" w:space="0" w:color="auto" w:frame="1"/>
          <w:lang w:val="es-AR"/>
        </w:rPr>
        <w:t xml:space="preserve">El </w:t>
      </w:r>
      <w:r w:rsidR="002D726D" w:rsidRPr="00D31E39">
        <w:rPr>
          <w:rFonts w:asciiTheme="majorHAnsi" w:eastAsia="Times New Roman" w:hAnsiTheme="majorHAnsi"/>
          <w:sz w:val="20"/>
          <w:szCs w:val="20"/>
          <w:bdr w:val="none" w:sz="0" w:space="0" w:color="auto" w:frame="1"/>
          <w:lang w:val="es-AR"/>
        </w:rPr>
        <w:t>12 de febrero de 2019</w:t>
      </w:r>
      <w:r w:rsidR="007D6F41" w:rsidRPr="00D31E39">
        <w:rPr>
          <w:rFonts w:asciiTheme="majorHAnsi" w:eastAsia="Times New Roman" w:hAnsiTheme="majorHAnsi"/>
          <w:sz w:val="20"/>
          <w:szCs w:val="20"/>
          <w:bdr w:val="none" w:sz="0" w:space="0" w:color="auto" w:frame="1"/>
          <w:lang w:val="es-AR"/>
        </w:rPr>
        <w:t>,</w:t>
      </w:r>
      <w:r w:rsidR="00B470C4" w:rsidRPr="00D31E39">
        <w:rPr>
          <w:rFonts w:asciiTheme="majorHAnsi" w:eastAsia="Times New Roman" w:hAnsiTheme="majorHAnsi"/>
          <w:sz w:val="20"/>
          <w:szCs w:val="20"/>
          <w:bdr w:val="none" w:sz="0" w:space="0" w:color="auto" w:frame="1"/>
          <w:lang w:val="es-AR"/>
        </w:rPr>
        <w:t xml:space="preserve"> las partes sostuvieron una reunión de trabajo, celebrada </w:t>
      </w:r>
      <w:r w:rsidRPr="00D31E39">
        <w:rPr>
          <w:rFonts w:asciiTheme="majorHAnsi" w:eastAsia="Times New Roman" w:hAnsiTheme="majorHAnsi"/>
          <w:sz w:val="20"/>
          <w:szCs w:val="20"/>
          <w:bdr w:val="none" w:sz="0" w:space="0" w:color="auto" w:frame="1"/>
          <w:lang w:val="es-AR"/>
        </w:rPr>
        <w:t xml:space="preserve">en </w:t>
      </w:r>
      <w:r w:rsidR="002E7484" w:rsidRPr="00D31E39">
        <w:rPr>
          <w:rFonts w:asciiTheme="majorHAnsi" w:eastAsia="Times New Roman" w:hAnsiTheme="majorHAnsi"/>
          <w:sz w:val="20"/>
          <w:szCs w:val="20"/>
          <w:bdr w:val="none" w:sz="0" w:space="0" w:color="auto" w:frame="1"/>
          <w:lang w:val="es-AR"/>
        </w:rPr>
        <w:t>Bolivia</w:t>
      </w:r>
      <w:r w:rsidRPr="00D31E39">
        <w:rPr>
          <w:rFonts w:asciiTheme="majorHAnsi" w:eastAsia="Times New Roman" w:hAnsiTheme="majorHAnsi"/>
          <w:sz w:val="20"/>
          <w:szCs w:val="20"/>
          <w:bdr w:val="none" w:sz="0" w:space="0" w:color="auto" w:frame="1"/>
          <w:lang w:val="es-AR"/>
        </w:rPr>
        <w:t xml:space="preserve">, en </w:t>
      </w:r>
      <w:r w:rsidR="002E7484" w:rsidRPr="00D31E39">
        <w:rPr>
          <w:rFonts w:asciiTheme="majorHAnsi" w:eastAsia="Times New Roman" w:hAnsiTheme="majorHAnsi"/>
          <w:sz w:val="20"/>
          <w:szCs w:val="20"/>
          <w:bdr w:val="none" w:sz="0" w:space="0" w:color="auto" w:frame="1"/>
          <w:lang w:val="es-AR"/>
        </w:rPr>
        <w:t xml:space="preserve">el marco del 171 Período de Sesiones de la Comisión, facilitada por la Comisionada </w:t>
      </w:r>
      <w:proofErr w:type="spellStart"/>
      <w:r w:rsidR="002E7484" w:rsidRPr="00D31E39">
        <w:rPr>
          <w:rFonts w:asciiTheme="majorHAnsi" w:eastAsia="Times New Roman" w:hAnsiTheme="majorHAnsi"/>
          <w:sz w:val="20"/>
          <w:szCs w:val="20"/>
          <w:bdr w:val="none" w:sz="0" w:space="0" w:color="auto" w:frame="1"/>
          <w:lang w:val="es-VE"/>
        </w:rPr>
        <w:t>Flávia</w:t>
      </w:r>
      <w:proofErr w:type="spellEnd"/>
      <w:r w:rsidR="002E7484" w:rsidRPr="00D31E39">
        <w:rPr>
          <w:rFonts w:asciiTheme="majorHAnsi" w:eastAsia="Times New Roman" w:hAnsiTheme="majorHAnsi"/>
          <w:sz w:val="20"/>
          <w:szCs w:val="20"/>
          <w:bdr w:val="none" w:sz="0" w:space="0" w:color="auto" w:frame="1"/>
          <w:lang w:val="es-VE"/>
        </w:rPr>
        <w:t xml:space="preserve"> </w:t>
      </w:r>
      <w:proofErr w:type="spellStart"/>
      <w:r w:rsidR="002E7484" w:rsidRPr="00D31E39">
        <w:rPr>
          <w:rFonts w:asciiTheme="majorHAnsi" w:eastAsia="Times New Roman" w:hAnsiTheme="majorHAnsi"/>
          <w:sz w:val="20"/>
          <w:szCs w:val="20"/>
          <w:bdr w:val="none" w:sz="0" w:space="0" w:color="auto" w:frame="1"/>
          <w:lang w:val="es-VE"/>
        </w:rPr>
        <w:t>Piovesan</w:t>
      </w:r>
      <w:proofErr w:type="spellEnd"/>
      <w:r w:rsidR="002E7484" w:rsidRPr="00D31E39">
        <w:rPr>
          <w:rFonts w:asciiTheme="majorHAnsi" w:eastAsia="Times New Roman" w:hAnsiTheme="majorHAnsi"/>
          <w:sz w:val="20"/>
          <w:szCs w:val="20"/>
          <w:lang w:val="es-ES_tradnl"/>
        </w:rPr>
        <w:t xml:space="preserve"> </w:t>
      </w:r>
      <w:r w:rsidR="002E7484" w:rsidRPr="00D31E39">
        <w:rPr>
          <w:rFonts w:asciiTheme="majorHAnsi" w:eastAsia="Times New Roman" w:hAnsiTheme="majorHAnsi"/>
          <w:sz w:val="20"/>
          <w:szCs w:val="20"/>
          <w:bdr w:val="none" w:sz="0" w:space="0" w:color="auto"/>
          <w:lang w:val="es-ES_tradnl"/>
        </w:rPr>
        <w:t>en su calidad de Relatora del país.</w:t>
      </w:r>
      <w:r w:rsidR="006F6497">
        <w:rPr>
          <w:rFonts w:asciiTheme="majorHAnsi" w:eastAsia="Times New Roman" w:hAnsiTheme="majorHAnsi"/>
          <w:sz w:val="20"/>
          <w:szCs w:val="20"/>
          <w:bdr w:val="none" w:sz="0" w:space="0" w:color="auto"/>
          <w:lang w:val="es-ES_tradnl"/>
        </w:rPr>
        <w:t xml:space="preserve"> </w:t>
      </w:r>
      <w:r w:rsidR="006F6497" w:rsidRPr="006F6497">
        <w:rPr>
          <w:rFonts w:asciiTheme="majorHAnsi" w:eastAsia="Times New Roman" w:hAnsiTheme="majorHAnsi"/>
          <w:sz w:val="20"/>
          <w:szCs w:val="20"/>
          <w:bdr w:val="none" w:sz="0" w:space="0" w:color="auto"/>
          <w:lang w:val="es-ES_tradnl"/>
        </w:rPr>
        <w:t>Posteriormente, el 23 de mayo de 2019, las partes sostuvieron una reunión de trabajo facilitada por la Relatora de País, en la cual suscribieron un acuerdo</w:t>
      </w:r>
      <w:r w:rsidR="00500208">
        <w:rPr>
          <w:rFonts w:asciiTheme="majorHAnsi" w:eastAsia="Times New Roman" w:hAnsiTheme="majorHAnsi"/>
          <w:sz w:val="20"/>
          <w:szCs w:val="20"/>
          <w:bdr w:val="none" w:sz="0" w:space="0" w:color="auto"/>
          <w:lang w:val="es-ES_tradnl"/>
        </w:rPr>
        <w:t xml:space="preserve"> de solución amistosa </w:t>
      </w:r>
      <w:r w:rsidR="00FD2D8A" w:rsidRPr="00D31E39">
        <w:rPr>
          <w:rFonts w:asciiTheme="majorHAnsi" w:eastAsia="Times New Roman" w:hAnsiTheme="majorHAnsi"/>
          <w:sz w:val="20"/>
          <w:szCs w:val="20"/>
          <w:bdr w:val="none" w:sz="0" w:space="0" w:color="auto" w:frame="1"/>
          <w:lang w:val="es-VE"/>
        </w:rPr>
        <w:t>(en adelante “ASA” o “acuerdo”)</w:t>
      </w:r>
      <w:r w:rsidR="00FD2D8A">
        <w:rPr>
          <w:rFonts w:asciiTheme="majorHAnsi" w:eastAsia="Times New Roman" w:hAnsiTheme="majorHAnsi"/>
          <w:sz w:val="20"/>
          <w:szCs w:val="20"/>
          <w:bdr w:val="none" w:sz="0" w:space="0" w:color="auto" w:frame="1"/>
          <w:lang w:val="es-VE"/>
        </w:rPr>
        <w:t xml:space="preserve"> </w:t>
      </w:r>
      <w:r w:rsidR="00500208">
        <w:rPr>
          <w:rFonts w:asciiTheme="majorHAnsi" w:eastAsia="Times New Roman" w:hAnsiTheme="majorHAnsi"/>
          <w:sz w:val="20"/>
          <w:szCs w:val="20"/>
          <w:bdr w:val="none" w:sz="0" w:space="0" w:color="auto"/>
          <w:lang w:val="es-ES_tradnl"/>
        </w:rPr>
        <w:t>en relaci</w:t>
      </w:r>
      <w:r w:rsidR="00500208" w:rsidRPr="006F6497">
        <w:rPr>
          <w:rFonts w:asciiTheme="majorHAnsi" w:eastAsia="Times New Roman" w:hAnsiTheme="majorHAnsi"/>
          <w:sz w:val="20"/>
          <w:szCs w:val="20"/>
          <w:bdr w:val="none" w:sz="0" w:space="0" w:color="auto"/>
          <w:lang w:val="es-ES_tradnl"/>
        </w:rPr>
        <w:t>ó</w:t>
      </w:r>
      <w:r w:rsidR="006F6497" w:rsidRPr="006F6497">
        <w:rPr>
          <w:rFonts w:asciiTheme="majorHAnsi" w:eastAsia="Times New Roman" w:hAnsiTheme="majorHAnsi"/>
          <w:sz w:val="20"/>
          <w:szCs w:val="20"/>
          <w:bdr w:val="none" w:sz="0" w:space="0" w:color="auto"/>
          <w:lang w:val="es-ES_tradnl"/>
        </w:rPr>
        <w:t>n a 15 víctimas representadas por la organización COFADECHI.</w:t>
      </w:r>
      <w:r w:rsidR="006F6497">
        <w:rPr>
          <w:rFonts w:asciiTheme="majorHAnsi" w:eastAsia="Times New Roman" w:hAnsiTheme="majorHAnsi"/>
          <w:sz w:val="20"/>
          <w:szCs w:val="20"/>
          <w:bdr w:val="none" w:sz="0" w:space="0" w:color="auto"/>
          <w:lang w:val="es-ES_tradnl"/>
        </w:rPr>
        <w:t xml:space="preserve">  </w:t>
      </w:r>
    </w:p>
    <w:p w:rsidR="00550511" w:rsidRDefault="00550511" w:rsidP="00550511">
      <w:pPr>
        <w:pStyle w:val="ListParagraph"/>
        <w:rPr>
          <w:rFonts w:asciiTheme="majorHAnsi" w:eastAsia="Times New Roman" w:hAnsiTheme="majorHAnsi"/>
          <w:sz w:val="20"/>
          <w:szCs w:val="20"/>
          <w:bdr w:val="none" w:sz="0" w:space="0" w:color="auto" w:frame="1"/>
          <w:lang w:val="es-AR"/>
        </w:rPr>
      </w:pPr>
    </w:p>
    <w:p w:rsidR="00550511" w:rsidRPr="006F6497" w:rsidRDefault="00550511" w:rsidP="00921AE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frame="1"/>
          <w:lang w:val="es-AR"/>
        </w:rPr>
      </w:pPr>
      <w:r>
        <w:rPr>
          <w:rFonts w:asciiTheme="majorHAnsi" w:eastAsia="Times New Roman" w:hAnsiTheme="majorHAnsi"/>
          <w:sz w:val="20"/>
          <w:szCs w:val="20"/>
          <w:bdr w:val="none" w:sz="0" w:space="0" w:color="auto" w:frame="1"/>
          <w:lang w:val="es-AR"/>
        </w:rPr>
        <w:t xml:space="preserve">El </w:t>
      </w:r>
      <w:r w:rsidR="000132CC">
        <w:rPr>
          <w:rFonts w:asciiTheme="majorHAnsi" w:eastAsia="Times New Roman" w:hAnsiTheme="majorHAnsi"/>
          <w:sz w:val="20"/>
          <w:szCs w:val="20"/>
          <w:bdr w:val="none" w:sz="0" w:space="0" w:color="auto" w:frame="1"/>
          <w:lang w:val="es-AR"/>
        </w:rPr>
        <w:t xml:space="preserve">20 </w:t>
      </w:r>
      <w:r>
        <w:rPr>
          <w:rFonts w:asciiTheme="majorHAnsi" w:eastAsia="Times New Roman" w:hAnsiTheme="majorHAnsi"/>
          <w:sz w:val="20"/>
          <w:szCs w:val="20"/>
          <w:bdr w:val="none" w:sz="0" w:space="0" w:color="auto" w:frame="1"/>
          <w:lang w:val="es-AR"/>
        </w:rPr>
        <w:t>de junio de 201</w:t>
      </w:r>
      <w:r w:rsidR="00D60C23">
        <w:rPr>
          <w:rFonts w:asciiTheme="majorHAnsi" w:eastAsia="Times New Roman" w:hAnsiTheme="majorHAnsi"/>
          <w:sz w:val="20"/>
          <w:szCs w:val="20"/>
          <w:bdr w:val="none" w:sz="0" w:space="0" w:color="auto" w:frame="1"/>
          <w:lang w:val="es-AR"/>
        </w:rPr>
        <w:t>9</w:t>
      </w:r>
      <w:r>
        <w:rPr>
          <w:rFonts w:asciiTheme="majorHAnsi" w:eastAsia="Times New Roman" w:hAnsiTheme="majorHAnsi"/>
          <w:sz w:val="20"/>
          <w:szCs w:val="20"/>
          <w:bdr w:val="none" w:sz="0" w:space="0" w:color="auto" w:frame="1"/>
          <w:lang w:val="es-AR"/>
        </w:rPr>
        <w:t xml:space="preserve">, las partes remitieron a la CIDH </w:t>
      </w:r>
      <w:r w:rsidR="000132CC">
        <w:rPr>
          <w:rFonts w:asciiTheme="majorHAnsi" w:eastAsia="Times New Roman" w:hAnsiTheme="majorHAnsi"/>
          <w:sz w:val="20"/>
          <w:szCs w:val="20"/>
          <w:bdr w:val="none" w:sz="0" w:space="0" w:color="auto" w:frame="1"/>
          <w:lang w:val="es-AR"/>
        </w:rPr>
        <w:t xml:space="preserve">una comunicación indicando la aprobación del ASA por parte del Consejo de </w:t>
      </w:r>
      <w:r w:rsidR="00F11A54">
        <w:rPr>
          <w:rFonts w:asciiTheme="majorHAnsi" w:eastAsia="Times New Roman" w:hAnsiTheme="majorHAnsi"/>
          <w:sz w:val="20"/>
          <w:szCs w:val="20"/>
          <w:bdr w:val="none" w:sz="0" w:space="0" w:color="auto" w:frame="1"/>
          <w:lang w:val="es-AR"/>
        </w:rPr>
        <w:t>Gabinete</w:t>
      </w:r>
      <w:r w:rsidR="000132CC">
        <w:rPr>
          <w:rFonts w:asciiTheme="majorHAnsi" w:eastAsia="Times New Roman" w:hAnsiTheme="majorHAnsi"/>
          <w:sz w:val="20"/>
          <w:szCs w:val="20"/>
          <w:bdr w:val="none" w:sz="0" w:space="0" w:color="auto" w:frame="1"/>
          <w:lang w:val="es-AR"/>
        </w:rPr>
        <w:t xml:space="preserve"> a través del Decreto de Gabinete No. 16 de 11 de junio de 2019</w:t>
      </w:r>
      <w:r w:rsidR="00F11A54">
        <w:rPr>
          <w:rFonts w:asciiTheme="majorHAnsi" w:eastAsia="Times New Roman" w:hAnsiTheme="majorHAnsi"/>
          <w:sz w:val="20"/>
          <w:szCs w:val="20"/>
          <w:bdr w:val="none" w:sz="0" w:space="0" w:color="auto" w:frame="1"/>
          <w:lang w:val="es-AR"/>
        </w:rPr>
        <w:t>,</w:t>
      </w:r>
      <w:r w:rsidR="000132CC">
        <w:rPr>
          <w:rFonts w:asciiTheme="majorHAnsi" w:eastAsia="Times New Roman" w:hAnsiTheme="majorHAnsi"/>
          <w:sz w:val="20"/>
          <w:szCs w:val="20"/>
          <w:bdr w:val="none" w:sz="0" w:space="0" w:color="auto" w:frame="1"/>
          <w:lang w:val="es-AR"/>
        </w:rPr>
        <w:t xml:space="preserve"> publicado en Gaceta Oficial Digital No. 28794-A de miércoles 12</w:t>
      </w:r>
      <w:r w:rsidR="00F11A54">
        <w:rPr>
          <w:rFonts w:asciiTheme="majorHAnsi" w:eastAsia="Times New Roman" w:hAnsiTheme="majorHAnsi"/>
          <w:sz w:val="20"/>
          <w:szCs w:val="20"/>
          <w:bdr w:val="none" w:sz="0" w:space="0" w:color="auto" w:frame="1"/>
          <w:lang w:val="es-AR"/>
        </w:rPr>
        <w:t xml:space="preserve"> de junio de 2019 y No. 29794-B</w:t>
      </w:r>
      <w:r>
        <w:rPr>
          <w:rFonts w:asciiTheme="majorHAnsi" w:eastAsia="Times New Roman" w:hAnsiTheme="majorHAnsi"/>
          <w:sz w:val="20"/>
          <w:szCs w:val="20"/>
          <w:bdr w:val="none" w:sz="0" w:space="0" w:color="auto" w:frame="1"/>
          <w:lang w:val="es-AR"/>
        </w:rPr>
        <w:t xml:space="preserve">, así como la constancia de su publicación en Gaceta Oficial, y solicitaron su homologación. </w:t>
      </w:r>
    </w:p>
    <w:p w:rsidR="006F6497" w:rsidRDefault="006F6497" w:rsidP="006F6497">
      <w:pPr>
        <w:pStyle w:val="ListParagraph"/>
        <w:rPr>
          <w:rFonts w:asciiTheme="majorHAnsi" w:eastAsia="Times New Roman" w:hAnsiTheme="majorHAnsi"/>
          <w:sz w:val="20"/>
          <w:szCs w:val="20"/>
          <w:bdr w:val="none" w:sz="0" w:space="0" w:color="auto" w:frame="1"/>
          <w:lang w:val="es-AR"/>
        </w:rPr>
      </w:pPr>
    </w:p>
    <w:p w:rsidR="006F6497" w:rsidRPr="00D31E39" w:rsidRDefault="006F6497" w:rsidP="00921AE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frame="1"/>
          <w:lang w:val="es-AR"/>
        </w:rPr>
      </w:pPr>
      <w:r>
        <w:rPr>
          <w:rFonts w:asciiTheme="majorHAnsi" w:eastAsia="Times New Roman" w:hAnsiTheme="majorHAnsi"/>
          <w:sz w:val="20"/>
          <w:szCs w:val="20"/>
          <w:bdr w:val="none" w:sz="0" w:space="0" w:color="auto" w:frame="1"/>
          <w:lang w:val="es-AR"/>
        </w:rPr>
        <w:t>Sobre lo anterior, es de indicar que el Estado panameño se encuentra avanzando en otros procesos de negociación de solución amistosa relacionados con las demás víctimas, y que los efectos de este informe de homologación se circunscriben únicamente al universo de las 15 víctimas y</w:t>
      </w:r>
      <w:r w:rsidR="00500208">
        <w:rPr>
          <w:rFonts w:asciiTheme="majorHAnsi" w:eastAsia="Times New Roman" w:hAnsiTheme="majorHAnsi"/>
          <w:sz w:val="20"/>
          <w:szCs w:val="20"/>
          <w:bdr w:val="none" w:sz="0" w:space="0" w:color="auto" w:frame="1"/>
          <w:lang w:val="es-AR"/>
        </w:rPr>
        <w:t xml:space="preserve"> los 66</w:t>
      </w:r>
      <w:r>
        <w:rPr>
          <w:rFonts w:asciiTheme="majorHAnsi" w:eastAsia="Times New Roman" w:hAnsiTheme="majorHAnsi"/>
          <w:sz w:val="20"/>
          <w:szCs w:val="20"/>
          <w:bdr w:val="none" w:sz="0" w:space="0" w:color="auto" w:frame="1"/>
          <w:lang w:val="es-AR"/>
        </w:rPr>
        <w:t xml:space="preserve"> familiares que se adhirieron a este ASA. </w:t>
      </w:r>
    </w:p>
    <w:p w:rsidR="004D1412" w:rsidRPr="00D31E39" w:rsidRDefault="004D1412" w:rsidP="00354758">
      <w:pPr>
        <w:tabs>
          <w:tab w:val="left" w:pos="0"/>
          <w:tab w:val="left" w:pos="1440"/>
        </w:tabs>
        <w:ind w:firstLine="720"/>
        <w:jc w:val="both"/>
        <w:rPr>
          <w:rFonts w:asciiTheme="majorHAnsi" w:hAnsiTheme="majorHAnsi"/>
          <w:sz w:val="20"/>
          <w:szCs w:val="20"/>
          <w:bdr w:val="none" w:sz="0" w:space="0" w:color="auto"/>
          <w:lang w:val="es-ES_tradnl"/>
        </w:rPr>
      </w:pPr>
    </w:p>
    <w:p w:rsidR="004D1412" w:rsidRPr="00D31E39" w:rsidRDefault="004D1412" w:rsidP="00921AE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sz w:val="20"/>
          <w:szCs w:val="20"/>
          <w:lang w:val="es-ES"/>
        </w:rPr>
      </w:pPr>
      <w:r w:rsidRPr="00D31E39">
        <w:rPr>
          <w:rFonts w:asciiTheme="majorHAnsi" w:eastAsia="Times New Roman" w:hAnsiTheme="majorHAnsi"/>
          <w:sz w:val="20"/>
          <w:szCs w:val="20"/>
          <w:lang w:val="es-AR"/>
        </w:rPr>
        <w:t>En</w:t>
      </w:r>
      <w:r w:rsidRPr="00D31E39">
        <w:rPr>
          <w:rFonts w:asciiTheme="majorHAnsi" w:eastAsia="Times New Roman" w:hAnsiTheme="majorHAnsi"/>
          <w:sz w:val="20"/>
          <w:szCs w:val="20"/>
          <w:lang w:val="es-ES_tradnl"/>
        </w:rPr>
        <w:t xml:space="preserve"> el presente informe de solución amistosa, según lo establecido en el artículo 49 de la Convención y en el artículo 40.5 del Reglamento de la Comisión, se efectúa una reseña de los hechos alegados por </w:t>
      </w:r>
      <w:r w:rsidRPr="00D31E39">
        <w:rPr>
          <w:rFonts w:asciiTheme="majorHAnsi" w:eastAsia="Times New Roman" w:hAnsiTheme="majorHAnsi"/>
          <w:sz w:val="20"/>
          <w:szCs w:val="20"/>
          <w:lang w:val="es-ES"/>
        </w:rPr>
        <w:t>el peticionario</w:t>
      </w:r>
      <w:r w:rsidRPr="00D31E39">
        <w:rPr>
          <w:rFonts w:asciiTheme="majorHAnsi" w:eastAsia="Times New Roman" w:hAnsiTheme="majorHAnsi"/>
          <w:sz w:val="20"/>
          <w:szCs w:val="20"/>
          <w:lang w:val="es-AR"/>
        </w:rPr>
        <w:t xml:space="preserve"> </w:t>
      </w:r>
      <w:r w:rsidRPr="00D31E39">
        <w:rPr>
          <w:rFonts w:asciiTheme="majorHAnsi" w:eastAsia="Times New Roman" w:hAnsiTheme="majorHAnsi"/>
          <w:sz w:val="20"/>
          <w:szCs w:val="20"/>
          <w:lang w:val="es-ES_tradnl"/>
        </w:rPr>
        <w:t xml:space="preserve">y se transcribe el acuerdo de solución amistosa, suscrito el </w:t>
      </w:r>
      <w:r w:rsidR="00EB6A85" w:rsidRPr="00D31E39">
        <w:rPr>
          <w:rFonts w:asciiTheme="majorHAnsi" w:eastAsia="Times New Roman" w:hAnsiTheme="majorHAnsi"/>
          <w:sz w:val="20"/>
          <w:szCs w:val="20"/>
          <w:lang w:val="es-ES_tradnl"/>
        </w:rPr>
        <w:t xml:space="preserve">23 de </w:t>
      </w:r>
      <w:r w:rsidR="00F60748" w:rsidRPr="00D31E39">
        <w:rPr>
          <w:rFonts w:asciiTheme="majorHAnsi" w:eastAsia="Times New Roman" w:hAnsiTheme="majorHAnsi"/>
          <w:sz w:val="20"/>
          <w:szCs w:val="20"/>
          <w:lang w:val="es-ES_tradnl"/>
        </w:rPr>
        <w:t>mayo de 2019</w:t>
      </w:r>
      <w:r w:rsidRPr="00D31E39">
        <w:rPr>
          <w:rFonts w:asciiTheme="majorHAnsi" w:eastAsia="Times New Roman" w:hAnsiTheme="majorHAnsi"/>
          <w:sz w:val="20"/>
          <w:szCs w:val="20"/>
          <w:lang w:val="es-ES_tradnl"/>
        </w:rPr>
        <w:t xml:space="preserve"> por el p</w:t>
      </w:r>
      <w:proofErr w:type="spellStart"/>
      <w:r w:rsidRPr="00D31E39">
        <w:rPr>
          <w:rFonts w:asciiTheme="majorHAnsi" w:eastAsia="Times New Roman" w:hAnsiTheme="majorHAnsi"/>
          <w:sz w:val="20"/>
          <w:szCs w:val="20"/>
          <w:lang w:val="es-ES"/>
        </w:rPr>
        <w:t>eticionario</w:t>
      </w:r>
      <w:proofErr w:type="spellEnd"/>
      <w:r w:rsidRPr="00D31E39">
        <w:rPr>
          <w:rFonts w:asciiTheme="majorHAnsi" w:eastAsia="Times New Roman" w:hAnsiTheme="majorHAnsi"/>
          <w:sz w:val="20"/>
          <w:szCs w:val="20"/>
          <w:lang w:val="es-ES_tradnl"/>
        </w:rPr>
        <w:t xml:space="preserve"> y representantes del Estado </w:t>
      </w:r>
      <w:r w:rsidR="00F60748" w:rsidRPr="00D31E39">
        <w:rPr>
          <w:rFonts w:asciiTheme="majorHAnsi" w:eastAsia="Times New Roman" w:hAnsiTheme="majorHAnsi"/>
          <w:sz w:val="20"/>
          <w:szCs w:val="20"/>
          <w:lang w:val="es-ES_tradnl"/>
        </w:rPr>
        <w:t>panameño</w:t>
      </w:r>
      <w:r w:rsidRPr="00D31E39">
        <w:rPr>
          <w:rFonts w:asciiTheme="majorHAnsi" w:eastAsia="Times New Roman" w:hAnsiTheme="majorHAnsi"/>
          <w:sz w:val="20"/>
          <w:szCs w:val="20"/>
          <w:lang w:val="es-ES_tradnl"/>
        </w:rPr>
        <w:t>. Asimismo, se aprueba el acuerdo suscrito entre las partes y se acuerda la publicación del presente informe</w:t>
      </w:r>
      <w:r w:rsidRPr="00D31E39">
        <w:rPr>
          <w:rFonts w:asciiTheme="majorHAnsi" w:eastAsia="Times New Roman" w:hAnsiTheme="majorHAnsi"/>
          <w:sz w:val="20"/>
          <w:szCs w:val="20"/>
          <w:lang w:val="es-PE"/>
        </w:rPr>
        <w:t xml:space="preserve"> en el Informe Anual de la CIDH a la Asamblea General de la Organización de los Estados Americanos. </w:t>
      </w:r>
    </w:p>
    <w:p w:rsidR="00D523C4" w:rsidRPr="00D31E39" w:rsidRDefault="00D523C4" w:rsidP="00551704">
      <w:pPr>
        <w:ind w:left="720"/>
        <w:jc w:val="both"/>
        <w:rPr>
          <w:rFonts w:asciiTheme="majorHAnsi" w:eastAsia="Times New Roman" w:hAnsiTheme="majorHAnsi"/>
          <w:sz w:val="20"/>
          <w:szCs w:val="20"/>
          <w:lang w:val="es-ES_tradnl"/>
        </w:rPr>
      </w:pPr>
    </w:p>
    <w:p w:rsidR="004D1412" w:rsidRPr="00D31E39" w:rsidRDefault="004D1412" w:rsidP="00921AE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1440"/>
        <w:jc w:val="both"/>
        <w:rPr>
          <w:rFonts w:asciiTheme="majorHAnsi" w:eastAsia="MS Mincho" w:hAnsiTheme="majorHAnsi"/>
          <w:b/>
          <w:sz w:val="20"/>
          <w:szCs w:val="20"/>
          <w:lang w:val="es-ES"/>
        </w:rPr>
      </w:pPr>
      <w:r w:rsidRPr="00D31E39">
        <w:rPr>
          <w:rFonts w:asciiTheme="majorHAnsi" w:eastAsia="MS Mincho" w:hAnsiTheme="majorHAnsi"/>
          <w:b/>
          <w:sz w:val="20"/>
          <w:szCs w:val="20"/>
          <w:lang w:val="es-ES"/>
        </w:rPr>
        <w:t xml:space="preserve">LOS HECHOS ALEGADOS </w:t>
      </w:r>
    </w:p>
    <w:p w:rsidR="00BB36EA" w:rsidRPr="00D31E39" w:rsidRDefault="00BB36EA" w:rsidP="00354758">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sz w:val="20"/>
          <w:szCs w:val="20"/>
          <w:bdr w:val="none" w:sz="0" w:space="0" w:color="auto" w:frame="1"/>
          <w:lang w:val="es-AR"/>
        </w:rPr>
      </w:pPr>
    </w:p>
    <w:p w:rsidR="00510BE3" w:rsidRPr="00E166C4" w:rsidRDefault="00B50811" w:rsidP="00921AE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lang w:val="es-AR"/>
        </w:rPr>
      </w:pPr>
      <w:r w:rsidRPr="00E166C4">
        <w:rPr>
          <w:rFonts w:asciiTheme="majorHAnsi" w:eastAsia="Times New Roman" w:hAnsiTheme="majorHAnsi"/>
          <w:sz w:val="20"/>
          <w:szCs w:val="20"/>
          <w:bdr w:val="none" w:sz="0" w:space="0" w:color="auto" w:frame="1"/>
          <w:lang w:val="es-VE"/>
        </w:rPr>
        <w:t>Los peticionarios alegaron la desaparición forzada y ejecución extrajudicial de 109 personas entre octubre de 1968 y diciembre de 1989</w:t>
      </w:r>
      <w:r w:rsidR="00151AF1" w:rsidRPr="00E166C4">
        <w:rPr>
          <w:rFonts w:asciiTheme="majorHAnsi" w:eastAsia="Times New Roman" w:hAnsiTheme="majorHAnsi"/>
          <w:sz w:val="20"/>
          <w:szCs w:val="20"/>
          <w:bdr w:val="none" w:sz="0" w:space="0" w:color="auto" w:frame="1"/>
          <w:lang w:val="es-VE"/>
        </w:rPr>
        <w:t>,</w:t>
      </w:r>
      <w:r w:rsidRPr="00E166C4">
        <w:rPr>
          <w:rFonts w:asciiTheme="majorHAnsi" w:eastAsia="Times New Roman" w:hAnsiTheme="majorHAnsi"/>
          <w:sz w:val="20"/>
          <w:szCs w:val="20"/>
          <w:bdr w:val="none" w:sz="0" w:space="0" w:color="auto" w:frame="1"/>
          <w:lang w:val="es-VE"/>
        </w:rPr>
        <w:t xml:space="preserve"> en Panamá. Según lo alegado, estas violaciones habrían sido cometidas por funcionarios del régimen militar, en conformidad con la política general de eliminación de opositores que habría sido instaurada por el gobierno militar.</w:t>
      </w:r>
      <w:r w:rsidR="00510BE3" w:rsidRPr="00E166C4">
        <w:rPr>
          <w:rFonts w:asciiTheme="majorHAnsi" w:eastAsia="Times New Roman" w:hAnsiTheme="majorHAnsi"/>
          <w:sz w:val="20"/>
          <w:szCs w:val="20"/>
          <w:bdr w:val="none" w:sz="0" w:space="0" w:color="auto" w:frame="1"/>
          <w:lang w:val="es-VE"/>
        </w:rPr>
        <w:t xml:space="preserve"> </w:t>
      </w:r>
    </w:p>
    <w:p w:rsidR="00510BE3" w:rsidRPr="00D31E39" w:rsidRDefault="00510BE3" w:rsidP="00354758">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imes New Roman" w:hAnsiTheme="majorHAnsi"/>
          <w:sz w:val="20"/>
          <w:szCs w:val="20"/>
          <w:bdr w:val="none" w:sz="0" w:space="0" w:color="auto" w:frame="1"/>
          <w:lang w:val="es-AR"/>
        </w:rPr>
      </w:pPr>
    </w:p>
    <w:p w:rsidR="00510BE3" w:rsidRPr="00D31E39" w:rsidRDefault="00510BE3" w:rsidP="00921AE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lang w:val="es-AR"/>
        </w:rPr>
      </w:pPr>
      <w:r w:rsidRPr="00D31E39">
        <w:rPr>
          <w:rFonts w:asciiTheme="majorHAnsi" w:eastAsia="Times New Roman" w:hAnsiTheme="majorHAnsi"/>
          <w:sz w:val="20"/>
          <w:szCs w:val="20"/>
          <w:bdr w:val="none" w:sz="0" w:space="0" w:color="auto" w:frame="1"/>
          <w:lang w:val="es-AR"/>
        </w:rPr>
        <w:t xml:space="preserve">Los peticionarios alegaron </w:t>
      </w:r>
      <w:r w:rsidR="004C36AA" w:rsidRPr="00D31E39">
        <w:rPr>
          <w:rFonts w:asciiTheme="majorHAnsi" w:eastAsia="Times New Roman" w:hAnsiTheme="majorHAnsi"/>
          <w:sz w:val="20"/>
          <w:szCs w:val="20"/>
          <w:bdr w:val="none" w:sz="0" w:space="0" w:color="auto" w:frame="1"/>
          <w:lang w:val="es-AR"/>
        </w:rPr>
        <w:t xml:space="preserve">que </w:t>
      </w:r>
      <w:r w:rsidRPr="00D31E39">
        <w:rPr>
          <w:rFonts w:asciiTheme="majorHAnsi" w:eastAsia="Times New Roman" w:hAnsiTheme="majorHAnsi"/>
          <w:bCs/>
          <w:sz w:val="20"/>
          <w:szCs w:val="20"/>
          <w:bdr w:val="none" w:sz="0" w:space="0" w:color="auto" w:frame="1"/>
          <w:lang w:val="es-AR"/>
        </w:rPr>
        <w:t xml:space="preserve">durante esa dictadura, la oficialidad de la Guardia Nacional disolvió la Asamblea Nacional y nombró una Junta Provisional de Gobierno presidida por militares. Asimismo, indicaron </w:t>
      </w:r>
      <w:r w:rsidRPr="00D31E39">
        <w:rPr>
          <w:rFonts w:asciiTheme="majorHAnsi" w:eastAsia="Times New Roman" w:hAnsiTheme="majorHAnsi"/>
          <w:sz w:val="20"/>
          <w:szCs w:val="20"/>
          <w:bdr w:val="none" w:sz="0" w:space="0" w:color="auto" w:frame="1"/>
          <w:lang w:val="es-AR"/>
        </w:rPr>
        <w:t>que en este período la actividad política fue prácticamente suprimida por un duro régimen militar que se dedicó a la persecución y detención arbitraria y sistemática de opositores al gobierno dictatorial. En particular, afirma</w:t>
      </w:r>
      <w:r w:rsidR="0088024B" w:rsidRPr="00D31E39">
        <w:rPr>
          <w:rFonts w:asciiTheme="majorHAnsi" w:eastAsia="Times New Roman" w:hAnsiTheme="majorHAnsi"/>
          <w:sz w:val="20"/>
          <w:szCs w:val="20"/>
          <w:bdr w:val="none" w:sz="0" w:space="0" w:color="auto" w:frame="1"/>
          <w:lang w:val="es-AR"/>
        </w:rPr>
        <w:t>ron</w:t>
      </w:r>
      <w:r w:rsidRPr="00D31E39">
        <w:rPr>
          <w:rFonts w:asciiTheme="majorHAnsi" w:eastAsia="Times New Roman" w:hAnsiTheme="majorHAnsi"/>
          <w:sz w:val="20"/>
          <w:szCs w:val="20"/>
          <w:bdr w:val="none" w:sz="0" w:space="0" w:color="auto" w:frame="1"/>
          <w:lang w:val="es-AR"/>
        </w:rPr>
        <w:t xml:space="preserve"> que se habría ejecutado un plan de represión en contra de dirigentes comunales, movimientos estudiantiles y partidarios del Frente Cívico  que no apoyaban al gobierno militar, que se habría manifestado a través de la ejecución de múltiples actos de violencia y que, presuntamente, sería la causa del incremento en el número de enfrentamientos armados, encarcelamientos y muertes en circunstancias irregulares que se experimentaron durante este período.</w:t>
      </w:r>
    </w:p>
    <w:p w:rsidR="00BB36EA" w:rsidRPr="00D31E39" w:rsidRDefault="00BB36EA" w:rsidP="00354758">
      <w:pPr>
        <w:pStyle w:val="ListParagraph"/>
        <w:tabs>
          <w:tab w:val="left" w:pos="1440"/>
        </w:tabs>
        <w:ind w:firstLine="720"/>
        <w:jc w:val="both"/>
        <w:rPr>
          <w:rFonts w:asciiTheme="majorHAnsi" w:eastAsia="Times New Roman" w:hAnsiTheme="majorHAnsi"/>
          <w:sz w:val="20"/>
          <w:szCs w:val="20"/>
          <w:bdr w:val="none" w:sz="0" w:space="0" w:color="auto" w:frame="1"/>
          <w:lang w:val="es-VE"/>
        </w:rPr>
      </w:pPr>
    </w:p>
    <w:p w:rsidR="00BB36EA" w:rsidRPr="00D31E39" w:rsidRDefault="001944C3" w:rsidP="00921AED">
      <w:pPr>
        <w:pStyle w:val="ListParagraph"/>
        <w:numPr>
          <w:ilvl w:val="0"/>
          <w:numId w:val="57"/>
        </w:numPr>
        <w:tabs>
          <w:tab w:val="left" w:pos="1440"/>
        </w:tabs>
        <w:ind w:left="0" w:firstLine="720"/>
        <w:jc w:val="both"/>
        <w:rPr>
          <w:rFonts w:asciiTheme="majorHAnsi" w:eastAsia="Times New Roman" w:hAnsiTheme="majorHAnsi"/>
          <w:bCs/>
          <w:sz w:val="20"/>
          <w:szCs w:val="20"/>
          <w:bdr w:val="none" w:sz="0" w:space="0" w:color="auto" w:frame="1"/>
          <w:lang w:val="es-AR"/>
        </w:rPr>
      </w:pPr>
      <w:r w:rsidRPr="00D31E39">
        <w:rPr>
          <w:rFonts w:asciiTheme="majorHAnsi" w:eastAsia="Times New Roman" w:hAnsiTheme="majorHAnsi"/>
          <w:bCs/>
          <w:sz w:val="20"/>
          <w:szCs w:val="20"/>
          <w:bdr w:val="none" w:sz="0" w:space="0" w:color="auto" w:frame="1"/>
          <w:lang w:val="es-AR"/>
        </w:rPr>
        <w:t>En el marco de este contexto de violencia y abuso de poder, los peticionarios alegaron las presuntas violaciones a derechos fundamentales respecto de 109 personas. Por cada presunta víctima los peticionarios hicieron un recuento de la identificación de la víctima, los hechos particulares de las violaciones que se documentaron ante la Comisión de la Verdad y la actividad judicial que surtió por los hechos. Además, establecieron el perfil de las víctimas como personas jóvenes al momento de su muerte o desaparición y que, en su mayoría, pertenecían a sectores sociales de bajo ingreso económico.</w:t>
      </w:r>
    </w:p>
    <w:p w:rsidR="00BB36EA" w:rsidRPr="00D31E39" w:rsidRDefault="00BB36EA" w:rsidP="00354758">
      <w:pPr>
        <w:pStyle w:val="ListParagraph"/>
        <w:tabs>
          <w:tab w:val="left" w:pos="1440"/>
        </w:tabs>
        <w:ind w:firstLine="720"/>
        <w:jc w:val="both"/>
        <w:rPr>
          <w:rFonts w:asciiTheme="majorHAnsi" w:eastAsia="Times New Roman" w:hAnsiTheme="majorHAnsi"/>
          <w:sz w:val="20"/>
          <w:szCs w:val="20"/>
          <w:bdr w:val="none" w:sz="0" w:space="0" w:color="auto" w:frame="1"/>
          <w:lang w:val="es-AR"/>
        </w:rPr>
      </w:pPr>
    </w:p>
    <w:p w:rsidR="000B7FE0" w:rsidRPr="00D31E39" w:rsidRDefault="00BB36EA" w:rsidP="00921AE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sz w:val="20"/>
          <w:szCs w:val="20"/>
          <w:bdr w:val="none" w:sz="0" w:space="0" w:color="auto" w:frame="1"/>
          <w:lang w:val="es-AR"/>
        </w:rPr>
      </w:pPr>
      <w:r w:rsidRPr="00D31E39">
        <w:rPr>
          <w:rFonts w:asciiTheme="majorHAnsi" w:eastAsia="Times New Roman" w:hAnsiTheme="majorHAnsi"/>
          <w:sz w:val="20"/>
          <w:szCs w:val="20"/>
          <w:bdr w:val="none" w:sz="0" w:space="0" w:color="auto" w:frame="1"/>
          <w:lang w:val="es-AR"/>
        </w:rPr>
        <w:t xml:space="preserve">Según lo relatado por </w:t>
      </w:r>
      <w:r w:rsidR="00360553" w:rsidRPr="00D31E39">
        <w:rPr>
          <w:rFonts w:asciiTheme="majorHAnsi" w:eastAsia="Times New Roman" w:hAnsiTheme="majorHAnsi"/>
          <w:sz w:val="20"/>
          <w:szCs w:val="20"/>
          <w:bdr w:val="none" w:sz="0" w:space="0" w:color="auto" w:frame="1"/>
          <w:lang w:val="es-AR"/>
        </w:rPr>
        <w:t>los peticionarios</w:t>
      </w:r>
      <w:r w:rsidRPr="00D31E39">
        <w:rPr>
          <w:rFonts w:asciiTheme="majorHAnsi" w:eastAsia="Times New Roman" w:hAnsiTheme="majorHAnsi"/>
          <w:sz w:val="20"/>
          <w:szCs w:val="20"/>
          <w:bdr w:val="none" w:sz="0" w:space="0" w:color="auto" w:frame="1"/>
          <w:lang w:val="es-AR"/>
        </w:rPr>
        <w:t xml:space="preserve">, </w:t>
      </w:r>
      <w:r w:rsidR="001944C3" w:rsidRPr="00D31E39">
        <w:rPr>
          <w:rFonts w:asciiTheme="majorHAnsi" w:eastAsia="Times New Roman" w:hAnsiTheme="majorHAnsi"/>
          <w:bCs/>
          <w:sz w:val="20"/>
          <w:szCs w:val="20"/>
          <w:bdr w:val="none" w:sz="0" w:space="0" w:color="auto" w:frame="1"/>
          <w:lang w:val="es-AR"/>
        </w:rPr>
        <w:t>39 personas habrían sido víctimas de desapariciones forzadas, de las cuales 2 se habrían perpetrado en perjuicio de niños.</w:t>
      </w:r>
      <w:r w:rsidR="001944C3" w:rsidRPr="00D31E39">
        <w:rPr>
          <w:rFonts w:asciiTheme="majorHAnsi" w:eastAsia="Times New Roman" w:hAnsiTheme="majorHAnsi" w:cs="Times New Roman"/>
          <w:bCs/>
          <w:color w:val="auto"/>
          <w:kern w:val="36"/>
          <w:sz w:val="20"/>
          <w:szCs w:val="20"/>
          <w:bdr w:val="none" w:sz="0" w:space="0" w:color="auto"/>
          <w:lang w:val="es-AR" w:eastAsia="en-US"/>
        </w:rPr>
        <w:t xml:space="preserve"> Asimismo, alegaron que </w:t>
      </w:r>
      <w:r w:rsidR="001944C3" w:rsidRPr="00D31E39">
        <w:rPr>
          <w:rFonts w:asciiTheme="majorHAnsi" w:eastAsia="Times New Roman" w:hAnsiTheme="majorHAnsi"/>
          <w:bCs/>
          <w:sz w:val="20"/>
          <w:szCs w:val="20"/>
          <w:bdr w:val="none" w:sz="0" w:space="0" w:color="auto" w:frame="1"/>
          <w:lang w:val="es-AR"/>
        </w:rPr>
        <w:t xml:space="preserve">70 personas </w:t>
      </w:r>
      <w:r w:rsidR="001944C3" w:rsidRPr="00D31E39">
        <w:rPr>
          <w:rFonts w:asciiTheme="majorHAnsi" w:eastAsia="Times New Roman" w:hAnsiTheme="majorHAnsi"/>
          <w:bCs/>
          <w:sz w:val="20"/>
          <w:szCs w:val="20"/>
          <w:bdr w:val="none" w:sz="0" w:space="0" w:color="auto" w:frame="1"/>
          <w:lang w:val="es-AR"/>
        </w:rPr>
        <w:lastRenderedPageBreak/>
        <w:t>habrían sido víctimas de ejecuciones extrajudiciales, y en una de las cuales se habría atentado contra la vida de una niña.</w:t>
      </w:r>
      <w:r w:rsidR="001944C3" w:rsidRPr="00D31E39">
        <w:rPr>
          <w:rFonts w:asciiTheme="majorHAnsi" w:eastAsia="Times New Roman" w:hAnsiTheme="majorHAnsi" w:cs="Times New Roman"/>
          <w:bCs/>
          <w:color w:val="auto"/>
          <w:sz w:val="20"/>
          <w:szCs w:val="20"/>
          <w:bdr w:val="none" w:sz="0" w:space="0" w:color="auto" w:frame="1"/>
          <w:lang w:val="es-AR" w:eastAsia="en-US"/>
        </w:rPr>
        <w:t xml:space="preserve"> Todas las violaciones mencionadas, </w:t>
      </w:r>
      <w:r w:rsidR="001944C3" w:rsidRPr="00D31E39">
        <w:rPr>
          <w:rFonts w:asciiTheme="majorHAnsi" w:eastAsia="Times New Roman" w:hAnsiTheme="majorHAnsi"/>
          <w:bCs/>
          <w:sz w:val="20"/>
          <w:szCs w:val="20"/>
          <w:bdr w:val="none" w:sz="0" w:space="0" w:color="auto" w:frame="1"/>
          <w:lang w:val="es-AR"/>
        </w:rPr>
        <w:t>presuntamente atribuibles a agentes del Ejército panameño</w:t>
      </w:r>
    </w:p>
    <w:p w:rsidR="000B7FE0" w:rsidRPr="00D31E39" w:rsidRDefault="000B7FE0" w:rsidP="00354758">
      <w:pPr>
        <w:pStyle w:val="ListParagraph"/>
        <w:rPr>
          <w:rFonts w:asciiTheme="majorHAnsi" w:eastAsia="Times New Roman" w:hAnsiTheme="majorHAnsi"/>
          <w:sz w:val="20"/>
          <w:szCs w:val="20"/>
          <w:bdr w:val="none" w:sz="0" w:space="0" w:color="auto" w:frame="1"/>
          <w:lang w:val="es-AR"/>
        </w:rPr>
      </w:pPr>
    </w:p>
    <w:p w:rsidR="00974411" w:rsidRPr="00D31E39" w:rsidRDefault="00360553" w:rsidP="00921AED">
      <w:pPr>
        <w:pStyle w:val="ListParagraph"/>
        <w:numPr>
          <w:ilvl w:val="0"/>
          <w:numId w:val="57"/>
        </w:numPr>
        <w:tabs>
          <w:tab w:val="left" w:pos="1440"/>
        </w:tabs>
        <w:ind w:left="0" w:firstLine="720"/>
        <w:jc w:val="both"/>
        <w:rPr>
          <w:rFonts w:asciiTheme="majorHAnsi" w:eastAsia="Times New Roman" w:hAnsiTheme="majorHAnsi"/>
          <w:bCs/>
          <w:sz w:val="20"/>
          <w:szCs w:val="20"/>
          <w:bdr w:val="none" w:sz="0" w:space="0" w:color="auto" w:frame="1"/>
          <w:lang w:val="es-AR"/>
        </w:rPr>
      </w:pPr>
      <w:r w:rsidRPr="00D31E39">
        <w:rPr>
          <w:rFonts w:asciiTheme="majorHAnsi" w:eastAsia="Times New Roman" w:hAnsiTheme="majorHAnsi"/>
          <w:bCs/>
          <w:sz w:val="20"/>
          <w:szCs w:val="20"/>
          <w:bdr w:val="none" w:sz="0" w:space="0" w:color="auto" w:frame="1"/>
          <w:lang w:val="es-AR"/>
        </w:rPr>
        <w:t>Con respecto al</w:t>
      </w:r>
      <w:r w:rsidR="000B7FE0" w:rsidRPr="00D31E39">
        <w:rPr>
          <w:rFonts w:asciiTheme="majorHAnsi" w:eastAsia="Times New Roman" w:hAnsiTheme="majorHAnsi"/>
          <w:bCs/>
          <w:sz w:val="20"/>
          <w:szCs w:val="20"/>
          <w:bdr w:val="none" w:sz="0" w:space="0" w:color="auto" w:frame="1"/>
          <w:lang w:val="es-AR"/>
        </w:rPr>
        <w:t xml:space="preserve"> agotamiento de los recursos de jurisdicción interna, los peticionarios señalaron que en 103 de los 109 casos</w:t>
      </w:r>
      <w:r w:rsidR="000B7FE0" w:rsidRPr="00D31E39">
        <w:rPr>
          <w:rStyle w:val="FootnoteReference"/>
          <w:rFonts w:asciiTheme="majorHAnsi" w:eastAsia="Times New Roman" w:hAnsiTheme="majorHAnsi"/>
          <w:bCs/>
          <w:sz w:val="20"/>
          <w:szCs w:val="20"/>
          <w:bdr w:val="none" w:sz="0" w:space="0" w:color="auto" w:frame="1"/>
          <w:lang w:val="es-AR"/>
        </w:rPr>
        <w:footnoteReference w:id="3"/>
      </w:r>
      <w:r w:rsidR="000B7FE0" w:rsidRPr="00D31E39">
        <w:rPr>
          <w:rFonts w:asciiTheme="majorHAnsi" w:eastAsia="Times New Roman" w:hAnsiTheme="majorHAnsi"/>
          <w:bCs/>
          <w:sz w:val="20"/>
          <w:szCs w:val="20"/>
          <w:bdr w:val="none" w:sz="0" w:space="0" w:color="auto" w:frame="1"/>
          <w:lang w:val="es-AR"/>
        </w:rPr>
        <w:t>, los hechos fueron denunciados ante las autoridades correspondientes, entre 1970 y 2003. Indicaron que la mayoría de los casos seguían en etapa de instrucción preliminar, algunos desde hace más de 36 años al momento de presentar la petición, o hubo sobreseimiento de los imputados. Adicionalmente, indicaron que de la totalidad de los procesos mencionados, solamente se dictaron 6 sentencias condenatorias, extensivas a 14 de los casos presentados por los peticionarios, ya que a través de una de ellas se habría condenado a los responsables de la ejecución extrajudicial de 9 presuntas víctimas identificadas por los peticionarios.</w:t>
      </w:r>
      <w:r w:rsidR="000B7FE0" w:rsidRPr="00D31E39">
        <w:rPr>
          <w:rFonts w:asciiTheme="majorHAnsi" w:eastAsia="Times New Roman" w:hAnsiTheme="majorHAnsi"/>
          <w:bCs/>
          <w:sz w:val="20"/>
          <w:szCs w:val="20"/>
          <w:bdr w:val="none" w:sz="0" w:space="0" w:color="auto" w:frame="1"/>
          <w:lang w:val="es-ES"/>
        </w:rPr>
        <w:t xml:space="preserve"> De las restantes 5 sentencias condenatorias, dos fueron dictadas en rebeldía</w:t>
      </w:r>
      <w:r w:rsidR="000B7FE0" w:rsidRPr="00D31E39">
        <w:rPr>
          <w:rFonts w:asciiTheme="majorHAnsi" w:eastAsia="Times New Roman" w:hAnsiTheme="majorHAnsi"/>
          <w:bCs/>
          <w:sz w:val="20"/>
          <w:szCs w:val="20"/>
          <w:bdr w:val="none" w:sz="0" w:space="0" w:color="auto" w:frame="1"/>
          <w:vertAlign w:val="superscript"/>
          <w:lang w:val="es-ES"/>
        </w:rPr>
        <w:footnoteReference w:id="4"/>
      </w:r>
      <w:r w:rsidR="000B7FE0" w:rsidRPr="00D31E39">
        <w:rPr>
          <w:rFonts w:asciiTheme="majorHAnsi" w:eastAsia="Times New Roman" w:hAnsiTheme="majorHAnsi"/>
          <w:bCs/>
          <w:sz w:val="20"/>
          <w:szCs w:val="20"/>
          <w:bdr w:val="none" w:sz="0" w:space="0" w:color="auto" w:frame="1"/>
          <w:lang w:val="es-ES"/>
        </w:rPr>
        <w:t>.</w:t>
      </w:r>
      <w:r w:rsidR="00676F06" w:rsidRPr="00D31E39">
        <w:rPr>
          <w:rFonts w:asciiTheme="majorHAnsi" w:eastAsia="Times New Roman" w:hAnsiTheme="majorHAnsi"/>
          <w:bCs/>
          <w:kern w:val="36"/>
          <w:sz w:val="20"/>
          <w:szCs w:val="20"/>
          <w:bdr w:val="none" w:sz="0" w:space="0" w:color="auto"/>
          <w:lang w:val="es-AR"/>
        </w:rPr>
        <w:t xml:space="preserve"> </w:t>
      </w:r>
      <w:r w:rsidR="00676F06" w:rsidRPr="00D31E39">
        <w:rPr>
          <w:rFonts w:asciiTheme="majorHAnsi" w:eastAsia="Times New Roman" w:hAnsiTheme="majorHAnsi"/>
          <w:bCs/>
          <w:sz w:val="20"/>
          <w:szCs w:val="20"/>
          <w:bdr w:val="none" w:sz="0" w:space="0" w:color="auto" w:frame="1"/>
          <w:lang w:val="es-AR"/>
        </w:rPr>
        <w:t>Respecto a los 89 casos restantes, los peticionarios informaron que 33 se encontrarían en etapa de instrucción y en 11 de ellos se habría</w:t>
      </w:r>
      <w:r w:rsidR="00E166C4">
        <w:rPr>
          <w:rFonts w:asciiTheme="majorHAnsi" w:eastAsia="Times New Roman" w:hAnsiTheme="majorHAnsi"/>
          <w:bCs/>
          <w:sz w:val="20"/>
          <w:szCs w:val="20"/>
          <w:bdr w:val="none" w:sz="0" w:space="0" w:color="auto" w:frame="1"/>
          <w:lang w:val="es-AR"/>
        </w:rPr>
        <w:t>n</w:t>
      </w:r>
      <w:r w:rsidR="00676F06" w:rsidRPr="00D31E39">
        <w:rPr>
          <w:rFonts w:asciiTheme="majorHAnsi" w:eastAsia="Times New Roman" w:hAnsiTheme="majorHAnsi"/>
          <w:bCs/>
          <w:sz w:val="20"/>
          <w:szCs w:val="20"/>
          <w:bdr w:val="none" w:sz="0" w:space="0" w:color="auto" w:frame="1"/>
          <w:lang w:val="es-AR"/>
        </w:rPr>
        <w:t xml:space="preserve"> interpuesto recursos de apelación que aún no habrían sido resueltos. Asimismo, se habría ordenado el archivo de 8 causas y 3 habrían sido finalizadas bajo el argumento de prescripción de la acción penal; en 26 oportunidades las autoridades judiciales habrían decidido el sobreseimiento de la o las personas imputadas. Además, se habrían ordenado 5 absoluciones, en un caso se habría indultado a los presuntos responsables y en 2 casos no se encontraría el expediente.</w:t>
      </w:r>
    </w:p>
    <w:p w:rsidR="00974411" w:rsidRPr="00D31E39" w:rsidRDefault="00974411" w:rsidP="00354758">
      <w:pPr>
        <w:pStyle w:val="ListParagraph"/>
        <w:tabs>
          <w:tab w:val="left" w:pos="1440"/>
        </w:tabs>
        <w:jc w:val="both"/>
        <w:rPr>
          <w:rFonts w:asciiTheme="majorHAnsi" w:eastAsia="Times New Roman" w:hAnsiTheme="majorHAnsi"/>
          <w:bCs/>
          <w:sz w:val="20"/>
          <w:szCs w:val="20"/>
          <w:bdr w:val="none" w:sz="0" w:space="0" w:color="auto" w:frame="1"/>
          <w:lang w:val="es-AR"/>
        </w:rPr>
      </w:pPr>
    </w:p>
    <w:p w:rsidR="00974411" w:rsidRPr="00D31E39" w:rsidRDefault="00974411" w:rsidP="00921AED">
      <w:pPr>
        <w:pStyle w:val="ListParagraph"/>
        <w:numPr>
          <w:ilvl w:val="0"/>
          <w:numId w:val="57"/>
        </w:numPr>
        <w:tabs>
          <w:tab w:val="left" w:pos="1440"/>
        </w:tabs>
        <w:ind w:left="0" w:firstLine="720"/>
        <w:jc w:val="both"/>
        <w:rPr>
          <w:rFonts w:asciiTheme="majorHAnsi" w:eastAsia="Times New Roman" w:hAnsiTheme="majorHAnsi"/>
          <w:bCs/>
          <w:sz w:val="20"/>
          <w:szCs w:val="20"/>
          <w:bdr w:val="none" w:sz="0" w:space="0" w:color="auto" w:frame="1"/>
          <w:lang w:val="es-AR"/>
        </w:rPr>
      </w:pPr>
      <w:r w:rsidRPr="00D31E39">
        <w:rPr>
          <w:rFonts w:asciiTheme="majorHAnsi" w:eastAsia="Times New Roman" w:hAnsiTheme="majorHAnsi"/>
          <w:bCs/>
          <w:kern w:val="36"/>
          <w:sz w:val="20"/>
          <w:szCs w:val="20"/>
          <w:bdr w:val="none" w:sz="0" w:space="0" w:color="auto"/>
          <w:lang w:val="es-AR"/>
        </w:rPr>
        <w:t>Finalmente, alegaron que, sin perjuicio de que en algunos de los casos se ha</w:t>
      </w:r>
      <w:r w:rsidR="00360553" w:rsidRPr="00D31E39">
        <w:rPr>
          <w:rFonts w:asciiTheme="majorHAnsi" w:eastAsia="Times New Roman" w:hAnsiTheme="majorHAnsi"/>
          <w:bCs/>
          <w:kern w:val="36"/>
          <w:sz w:val="20"/>
          <w:szCs w:val="20"/>
          <w:bdr w:val="none" w:sz="0" w:space="0" w:color="auto"/>
          <w:lang w:val="es-AR"/>
        </w:rPr>
        <w:t>bía</w:t>
      </w:r>
      <w:r w:rsidRPr="00D31E39">
        <w:rPr>
          <w:rFonts w:asciiTheme="majorHAnsi" w:eastAsia="Times New Roman" w:hAnsiTheme="majorHAnsi"/>
          <w:bCs/>
          <w:kern w:val="36"/>
          <w:sz w:val="20"/>
          <w:szCs w:val="20"/>
          <w:bdr w:val="none" w:sz="0" w:space="0" w:color="auto"/>
          <w:lang w:val="es-AR"/>
        </w:rPr>
        <w:t xml:space="preserve"> producido el dictado de sentencias judiciales, existía en Panamá una situación estructural de impunidad respecto de los crímenes cometidos durante la dictadura militar</w:t>
      </w:r>
      <w:r w:rsidR="00360553" w:rsidRPr="00D31E39">
        <w:rPr>
          <w:rFonts w:asciiTheme="majorHAnsi" w:eastAsia="Times New Roman" w:hAnsiTheme="majorHAnsi"/>
          <w:bCs/>
          <w:kern w:val="36"/>
          <w:sz w:val="20"/>
          <w:szCs w:val="20"/>
          <w:bdr w:val="none" w:sz="0" w:space="0" w:color="auto"/>
          <w:lang w:val="es-AR"/>
        </w:rPr>
        <w:t>. S</w:t>
      </w:r>
      <w:r w:rsidRPr="00D31E39">
        <w:rPr>
          <w:rFonts w:asciiTheme="majorHAnsi" w:eastAsia="Times New Roman" w:hAnsiTheme="majorHAnsi"/>
          <w:bCs/>
          <w:kern w:val="36"/>
          <w:sz w:val="20"/>
          <w:szCs w:val="20"/>
          <w:bdr w:val="none" w:sz="0" w:space="0" w:color="auto"/>
          <w:lang w:val="es-AR"/>
        </w:rPr>
        <w:t>ituación que, según los peticionarios, derivaría en la manipulación que los mismos responsables del terror de Estado habrían ejercido sobre los órganos de administración de justicia. En ese sentido, señalaron que la consolidación de la alegada impunidad se habría concretado a través de la utilización de mecanismos procesales tales como la prescripción de la acción penal y de la denegación de justicia que se hizo patente en los procesos impulsados por los familiares de las víctimas.</w:t>
      </w:r>
      <w:r w:rsidRPr="00D31E39">
        <w:rPr>
          <w:rFonts w:asciiTheme="majorHAnsi" w:hAnsiTheme="majorHAnsi"/>
          <w:sz w:val="20"/>
          <w:szCs w:val="20"/>
          <w:lang w:val="es-ES"/>
        </w:rPr>
        <w:t xml:space="preserve"> </w:t>
      </w:r>
    </w:p>
    <w:p w:rsidR="004D1412" w:rsidRPr="00D31E39" w:rsidRDefault="004D1412" w:rsidP="00354758">
      <w:pPr>
        <w:jc w:val="both"/>
        <w:rPr>
          <w:rFonts w:asciiTheme="majorHAnsi" w:eastAsia="Times New Roman" w:hAnsiTheme="majorHAnsi"/>
          <w:sz w:val="20"/>
          <w:szCs w:val="20"/>
          <w:lang w:val="es-ES"/>
        </w:rPr>
      </w:pPr>
    </w:p>
    <w:p w:rsidR="004D1412" w:rsidRPr="00D31E39" w:rsidRDefault="004D1412" w:rsidP="00921AE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lang w:val="es-ES"/>
        </w:rPr>
      </w:pPr>
      <w:r w:rsidRPr="00D31E39">
        <w:rPr>
          <w:rFonts w:asciiTheme="majorHAnsi" w:eastAsia="MS Mincho" w:hAnsiTheme="majorHAnsi"/>
          <w:b/>
          <w:sz w:val="20"/>
          <w:szCs w:val="20"/>
          <w:lang w:val="es-ES"/>
        </w:rPr>
        <w:t>SOLUCIÓN AMISTOSA</w:t>
      </w:r>
    </w:p>
    <w:p w:rsidR="004D1412" w:rsidRPr="00D31E39" w:rsidRDefault="004D1412" w:rsidP="00354758">
      <w:pPr>
        <w:pStyle w:val="ListParagraph"/>
        <w:ind w:firstLine="720"/>
        <w:jc w:val="both"/>
        <w:rPr>
          <w:rFonts w:asciiTheme="majorHAnsi" w:eastAsia="Times New Roman" w:hAnsiTheme="majorHAnsi"/>
          <w:sz w:val="20"/>
          <w:szCs w:val="20"/>
          <w:bdr w:val="none" w:sz="0" w:space="0" w:color="auto" w:frame="1"/>
          <w:lang w:val="es-AR"/>
        </w:rPr>
      </w:pPr>
    </w:p>
    <w:p w:rsidR="005B34EB" w:rsidRPr="00D31E39" w:rsidRDefault="00746762" w:rsidP="00921AE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lang w:val="es-ES_tradnl"/>
        </w:rPr>
      </w:pPr>
      <w:r w:rsidRPr="00D31E39">
        <w:rPr>
          <w:rFonts w:asciiTheme="majorHAnsi" w:eastAsia="Times New Roman" w:hAnsiTheme="majorHAnsi"/>
          <w:sz w:val="20"/>
          <w:szCs w:val="20"/>
          <w:lang w:val="es-ES_tradnl"/>
        </w:rPr>
        <w:t xml:space="preserve">El 23 de </w:t>
      </w:r>
      <w:r w:rsidR="005B34EB" w:rsidRPr="00D31E39">
        <w:rPr>
          <w:rFonts w:asciiTheme="majorHAnsi" w:eastAsia="Times New Roman" w:hAnsiTheme="majorHAnsi"/>
          <w:sz w:val="20"/>
          <w:szCs w:val="20"/>
          <w:lang w:val="es-ES_tradnl"/>
        </w:rPr>
        <w:t>mayo de 2019</w:t>
      </w:r>
      <w:r w:rsidRPr="00D31E39">
        <w:rPr>
          <w:rFonts w:asciiTheme="majorHAnsi" w:eastAsia="Times New Roman" w:hAnsiTheme="majorHAnsi"/>
          <w:sz w:val="20"/>
          <w:szCs w:val="20"/>
          <w:lang w:val="es-ES_tradnl"/>
        </w:rPr>
        <w:t xml:space="preserve">, las partes </w:t>
      </w:r>
      <w:r w:rsidR="005B34EB" w:rsidRPr="00D31E39">
        <w:rPr>
          <w:rFonts w:asciiTheme="majorHAnsi" w:eastAsia="Times New Roman" w:hAnsiTheme="majorHAnsi"/>
          <w:sz w:val="20"/>
          <w:szCs w:val="20"/>
          <w:lang w:val="es-ES_tradnl"/>
        </w:rPr>
        <w:t xml:space="preserve">firmaron un </w:t>
      </w:r>
      <w:r w:rsidR="005B34EB" w:rsidRPr="00D31E39">
        <w:rPr>
          <w:rFonts w:asciiTheme="majorHAnsi" w:eastAsia="Times New Roman" w:hAnsiTheme="majorHAnsi"/>
          <w:sz w:val="20"/>
          <w:szCs w:val="20"/>
          <w:lang w:val="es-ES"/>
        </w:rPr>
        <w:t xml:space="preserve">acuerdo de solución amistosa </w:t>
      </w:r>
      <w:r w:rsidRPr="00D31E39">
        <w:rPr>
          <w:rFonts w:asciiTheme="majorHAnsi" w:eastAsia="Times New Roman" w:hAnsiTheme="majorHAnsi"/>
          <w:sz w:val="20"/>
          <w:szCs w:val="20"/>
          <w:lang w:val="es-ES"/>
        </w:rPr>
        <w:t>con el acompañamiento de</w:t>
      </w:r>
      <w:r w:rsidR="005B34EB" w:rsidRPr="00D31E39">
        <w:rPr>
          <w:rFonts w:asciiTheme="majorHAnsi" w:eastAsia="Times New Roman" w:hAnsiTheme="majorHAnsi"/>
          <w:sz w:val="20"/>
          <w:szCs w:val="20"/>
          <w:lang w:val="es-ES"/>
        </w:rPr>
        <w:t xml:space="preserve"> </w:t>
      </w:r>
      <w:r w:rsidRPr="00D31E39">
        <w:rPr>
          <w:rFonts w:asciiTheme="majorHAnsi" w:eastAsia="Times New Roman" w:hAnsiTheme="majorHAnsi"/>
          <w:sz w:val="20"/>
          <w:szCs w:val="20"/>
          <w:lang w:val="es-ES"/>
        </w:rPr>
        <w:t>l</w:t>
      </w:r>
      <w:r w:rsidR="005B34EB" w:rsidRPr="00D31E39">
        <w:rPr>
          <w:rFonts w:asciiTheme="majorHAnsi" w:eastAsia="Times New Roman" w:hAnsiTheme="majorHAnsi"/>
          <w:sz w:val="20"/>
          <w:szCs w:val="20"/>
          <w:lang w:val="es-ES"/>
        </w:rPr>
        <w:t>a Comisionada</w:t>
      </w:r>
      <w:r w:rsidRPr="00D31E39">
        <w:rPr>
          <w:rFonts w:asciiTheme="majorHAnsi" w:eastAsia="Times New Roman" w:hAnsiTheme="majorHAnsi"/>
          <w:sz w:val="20"/>
          <w:szCs w:val="20"/>
          <w:lang w:val="es-ES"/>
        </w:rPr>
        <w:t xml:space="preserve"> </w:t>
      </w:r>
      <w:proofErr w:type="spellStart"/>
      <w:r w:rsidR="005B34EB" w:rsidRPr="00D31E39">
        <w:rPr>
          <w:rFonts w:asciiTheme="majorHAnsi" w:eastAsia="Times New Roman" w:hAnsiTheme="majorHAnsi"/>
          <w:sz w:val="20"/>
          <w:szCs w:val="20"/>
          <w:lang w:val="es-VE"/>
        </w:rPr>
        <w:t>Flávia</w:t>
      </w:r>
      <w:proofErr w:type="spellEnd"/>
      <w:r w:rsidR="005B34EB" w:rsidRPr="00D31E39">
        <w:rPr>
          <w:rFonts w:asciiTheme="majorHAnsi" w:eastAsia="Times New Roman" w:hAnsiTheme="majorHAnsi"/>
          <w:sz w:val="20"/>
          <w:szCs w:val="20"/>
          <w:lang w:val="es-VE"/>
        </w:rPr>
        <w:t xml:space="preserve"> </w:t>
      </w:r>
      <w:proofErr w:type="spellStart"/>
      <w:r w:rsidR="005B34EB" w:rsidRPr="00D31E39">
        <w:rPr>
          <w:rFonts w:asciiTheme="majorHAnsi" w:eastAsia="Times New Roman" w:hAnsiTheme="majorHAnsi"/>
          <w:sz w:val="20"/>
          <w:szCs w:val="20"/>
          <w:lang w:val="es-VE"/>
        </w:rPr>
        <w:t>Piovesan</w:t>
      </w:r>
      <w:proofErr w:type="spellEnd"/>
      <w:r w:rsidRPr="00D31E39">
        <w:rPr>
          <w:rFonts w:asciiTheme="majorHAnsi" w:eastAsia="Times New Roman" w:hAnsiTheme="majorHAnsi"/>
          <w:sz w:val="20"/>
          <w:szCs w:val="20"/>
          <w:lang w:val="es-ES"/>
        </w:rPr>
        <w:t>, en su calidad de Relator</w:t>
      </w:r>
      <w:r w:rsidR="005B34EB" w:rsidRPr="00D31E39">
        <w:rPr>
          <w:rFonts w:asciiTheme="majorHAnsi" w:eastAsia="Times New Roman" w:hAnsiTheme="majorHAnsi"/>
          <w:sz w:val="20"/>
          <w:szCs w:val="20"/>
          <w:lang w:val="es-ES"/>
        </w:rPr>
        <w:t>a</w:t>
      </w:r>
      <w:r w:rsidRPr="00D31E39">
        <w:rPr>
          <w:rFonts w:asciiTheme="majorHAnsi" w:eastAsia="Times New Roman" w:hAnsiTheme="majorHAnsi"/>
          <w:sz w:val="20"/>
          <w:szCs w:val="20"/>
          <w:lang w:val="es-ES"/>
        </w:rPr>
        <w:t xml:space="preserve"> de</w:t>
      </w:r>
      <w:r w:rsidR="005B34EB" w:rsidRPr="00D31E39">
        <w:rPr>
          <w:rFonts w:asciiTheme="majorHAnsi" w:eastAsia="Times New Roman" w:hAnsiTheme="majorHAnsi"/>
          <w:sz w:val="20"/>
          <w:szCs w:val="20"/>
          <w:lang w:val="es-ES_tradnl"/>
        </w:rPr>
        <w:t xml:space="preserve"> país</w:t>
      </w:r>
      <w:r w:rsidR="006F6497">
        <w:rPr>
          <w:rFonts w:asciiTheme="majorHAnsi" w:eastAsia="Times New Roman" w:hAnsiTheme="majorHAnsi"/>
          <w:sz w:val="20"/>
          <w:szCs w:val="20"/>
          <w:lang w:val="es-ES"/>
        </w:rPr>
        <w:t xml:space="preserve">, a favor de 15 víctimas y sus </w:t>
      </w:r>
      <w:r w:rsidR="00500208">
        <w:rPr>
          <w:rFonts w:asciiTheme="majorHAnsi" w:eastAsia="Times New Roman" w:hAnsiTheme="majorHAnsi"/>
          <w:sz w:val="20"/>
          <w:szCs w:val="20"/>
          <w:lang w:val="es-ES"/>
        </w:rPr>
        <w:t xml:space="preserve">66 </w:t>
      </w:r>
      <w:r w:rsidR="006F6497">
        <w:rPr>
          <w:rFonts w:asciiTheme="majorHAnsi" w:eastAsia="Times New Roman" w:hAnsiTheme="majorHAnsi"/>
          <w:sz w:val="20"/>
          <w:szCs w:val="20"/>
          <w:lang w:val="es-ES"/>
        </w:rPr>
        <w:t xml:space="preserve">familiares. </w:t>
      </w:r>
      <w:r w:rsidRPr="00D31E39">
        <w:rPr>
          <w:rFonts w:asciiTheme="majorHAnsi" w:eastAsia="Times New Roman" w:hAnsiTheme="majorHAnsi"/>
          <w:sz w:val="20"/>
          <w:szCs w:val="20"/>
          <w:lang w:val="es-ES"/>
        </w:rPr>
        <w:t xml:space="preserve">A continuación se incluye el texto del acuerdo de </w:t>
      </w:r>
      <w:r w:rsidR="00102F77" w:rsidRPr="00D31E39">
        <w:rPr>
          <w:rFonts w:asciiTheme="majorHAnsi" w:eastAsia="Times New Roman" w:hAnsiTheme="majorHAnsi"/>
          <w:sz w:val="20"/>
          <w:szCs w:val="20"/>
          <w:lang w:val="es-ES"/>
        </w:rPr>
        <w:t>solución</w:t>
      </w:r>
      <w:r w:rsidRPr="00D31E39">
        <w:rPr>
          <w:rFonts w:asciiTheme="majorHAnsi" w:eastAsia="Times New Roman" w:hAnsiTheme="majorHAnsi"/>
          <w:sz w:val="20"/>
          <w:szCs w:val="20"/>
          <w:lang w:val="es-ES"/>
        </w:rPr>
        <w:t xml:space="preserve"> amistosa remitido a la CIDH el 2</w:t>
      </w:r>
      <w:r w:rsidR="005B34EB" w:rsidRPr="00D31E39">
        <w:rPr>
          <w:rFonts w:asciiTheme="majorHAnsi" w:eastAsia="Times New Roman" w:hAnsiTheme="majorHAnsi"/>
          <w:sz w:val="20"/>
          <w:szCs w:val="20"/>
          <w:lang w:val="es-ES"/>
        </w:rPr>
        <w:t>3</w:t>
      </w:r>
      <w:r w:rsidRPr="00D31E39">
        <w:rPr>
          <w:rFonts w:asciiTheme="majorHAnsi" w:eastAsia="Times New Roman" w:hAnsiTheme="majorHAnsi"/>
          <w:sz w:val="20"/>
          <w:szCs w:val="20"/>
          <w:lang w:val="es-ES"/>
        </w:rPr>
        <w:t xml:space="preserve"> de</w:t>
      </w:r>
      <w:r w:rsidR="005B34EB" w:rsidRPr="00D31E39">
        <w:rPr>
          <w:rFonts w:asciiTheme="majorHAnsi" w:eastAsia="Times New Roman" w:hAnsiTheme="majorHAnsi"/>
          <w:sz w:val="20"/>
          <w:szCs w:val="20"/>
          <w:lang w:val="es-ES"/>
        </w:rPr>
        <w:t xml:space="preserve"> mayo</w:t>
      </w:r>
      <w:r w:rsidRPr="00D31E39">
        <w:rPr>
          <w:rFonts w:asciiTheme="majorHAnsi" w:eastAsia="Times New Roman" w:hAnsiTheme="majorHAnsi"/>
          <w:sz w:val="20"/>
          <w:szCs w:val="20"/>
          <w:lang w:val="es-ES"/>
        </w:rPr>
        <w:t xml:space="preserve"> de 201</w:t>
      </w:r>
      <w:r w:rsidR="005B34EB" w:rsidRPr="00D31E39">
        <w:rPr>
          <w:rFonts w:asciiTheme="majorHAnsi" w:eastAsia="Times New Roman" w:hAnsiTheme="majorHAnsi"/>
          <w:sz w:val="20"/>
          <w:szCs w:val="20"/>
          <w:lang w:val="es-ES"/>
        </w:rPr>
        <w:t>9</w:t>
      </w:r>
      <w:r w:rsidRPr="00D31E39">
        <w:rPr>
          <w:rFonts w:asciiTheme="majorHAnsi" w:eastAsia="Times New Roman" w:hAnsiTheme="majorHAnsi"/>
          <w:sz w:val="20"/>
          <w:szCs w:val="20"/>
          <w:lang w:val="es-ES"/>
        </w:rPr>
        <w:t>:</w:t>
      </w:r>
    </w:p>
    <w:p w:rsidR="004D1412" w:rsidRPr="00D31E39" w:rsidRDefault="004D1412" w:rsidP="00354758">
      <w:pPr>
        <w:ind w:left="720" w:firstLine="720"/>
        <w:jc w:val="both"/>
        <w:rPr>
          <w:rFonts w:asciiTheme="majorHAnsi" w:eastAsia="Times New Roman" w:hAnsiTheme="majorHAnsi"/>
          <w:sz w:val="20"/>
          <w:szCs w:val="20"/>
          <w:lang w:val="es-ES_tradnl"/>
        </w:rPr>
      </w:pPr>
    </w:p>
    <w:p w:rsidR="00DB0BFE" w:rsidRPr="00D31E39" w:rsidRDefault="00DB0BFE" w:rsidP="00354758">
      <w:pPr>
        <w:tabs>
          <w:tab w:val="left" w:pos="180"/>
          <w:tab w:val="left" w:pos="1440"/>
          <w:tab w:val="center" w:pos="5400"/>
        </w:tabs>
        <w:suppressAutoHyphens/>
        <w:ind w:left="720" w:right="720"/>
        <w:jc w:val="center"/>
        <w:rPr>
          <w:rFonts w:asciiTheme="majorHAnsi" w:eastAsia="MS Mincho" w:hAnsiTheme="majorHAnsi"/>
          <w:b/>
          <w:sz w:val="20"/>
          <w:szCs w:val="20"/>
          <w:lang w:val="es-CO"/>
        </w:rPr>
      </w:pPr>
      <w:r w:rsidRPr="00D31E39">
        <w:rPr>
          <w:rFonts w:asciiTheme="majorHAnsi" w:eastAsia="MS Mincho" w:hAnsiTheme="majorHAnsi"/>
          <w:b/>
          <w:sz w:val="20"/>
          <w:szCs w:val="20"/>
          <w:lang w:val="es-CO"/>
        </w:rPr>
        <w:t>CASO 13.017 C</w:t>
      </w:r>
    </w:p>
    <w:p w:rsidR="00DB0BFE" w:rsidRPr="00D31E39" w:rsidRDefault="00DB0BFE" w:rsidP="00354758">
      <w:pPr>
        <w:tabs>
          <w:tab w:val="left" w:pos="180"/>
          <w:tab w:val="left" w:pos="1440"/>
          <w:tab w:val="center" w:pos="5400"/>
        </w:tabs>
        <w:suppressAutoHyphens/>
        <w:ind w:left="720" w:right="720"/>
        <w:jc w:val="center"/>
        <w:rPr>
          <w:rFonts w:asciiTheme="majorHAnsi" w:eastAsia="MS Mincho" w:hAnsiTheme="majorHAnsi"/>
          <w:b/>
          <w:sz w:val="20"/>
          <w:szCs w:val="20"/>
          <w:lang w:val="es-CO"/>
        </w:rPr>
      </w:pPr>
      <w:r w:rsidRPr="00D31E39">
        <w:rPr>
          <w:rFonts w:asciiTheme="majorHAnsi" w:eastAsia="MS Mincho" w:hAnsiTheme="majorHAnsi"/>
          <w:b/>
          <w:sz w:val="20"/>
          <w:szCs w:val="20"/>
          <w:lang w:val="es-CO"/>
        </w:rPr>
        <w:t>FAMILIARES DE LAS VÍCTIMAS DE LA DICTADURA MILITAR, OCTUBRE DE 1968 A DICIEMBRE DE 1989.</w:t>
      </w:r>
    </w:p>
    <w:p w:rsidR="00EC70F3" w:rsidRPr="00A371FE" w:rsidRDefault="00EC70F3" w:rsidP="00EC70F3">
      <w:pPr>
        <w:ind w:left="720" w:right="720"/>
        <w:jc w:val="center"/>
        <w:rPr>
          <w:rFonts w:asciiTheme="majorHAnsi" w:eastAsia="Arial" w:hAnsiTheme="majorHAnsi" w:cs="Arial"/>
          <w:b/>
          <w:sz w:val="20"/>
          <w:szCs w:val="20"/>
          <w:lang w:val="es-ES"/>
        </w:rPr>
      </w:pPr>
      <w:r w:rsidRPr="00A371FE">
        <w:rPr>
          <w:rFonts w:asciiTheme="majorHAnsi" w:eastAsia="Arial" w:hAnsiTheme="majorHAnsi" w:cs="Arial"/>
          <w:b/>
          <w:sz w:val="20"/>
          <w:szCs w:val="20"/>
          <w:lang w:val="es-ES"/>
        </w:rPr>
        <w:t>ACUERDO DE SOLUCIÓN AMISTOSA</w:t>
      </w:r>
    </w:p>
    <w:p w:rsidR="00DB0BFE" w:rsidRPr="00D31E39" w:rsidRDefault="00DB0BFE" w:rsidP="00354758">
      <w:pPr>
        <w:tabs>
          <w:tab w:val="left" w:pos="180"/>
          <w:tab w:val="left" w:pos="1440"/>
          <w:tab w:val="center" w:pos="5400"/>
        </w:tabs>
        <w:suppressAutoHyphens/>
        <w:ind w:left="720" w:right="720"/>
        <w:jc w:val="center"/>
        <w:rPr>
          <w:rFonts w:asciiTheme="majorHAnsi" w:eastAsia="MS Mincho" w:hAnsiTheme="majorHAnsi"/>
          <w:b/>
          <w:sz w:val="20"/>
          <w:szCs w:val="20"/>
          <w:lang w:val="es-CO"/>
        </w:rPr>
      </w:pPr>
      <w:r w:rsidRPr="00D31E39">
        <w:rPr>
          <w:rFonts w:asciiTheme="majorHAnsi" w:eastAsia="MS Mincho" w:hAnsiTheme="majorHAnsi"/>
          <w:b/>
          <w:sz w:val="20"/>
          <w:szCs w:val="20"/>
          <w:lang w:val="es-CO"/>
        </w:rPr>
        <w:t>ENTRE LA ASOCIACION DENOMINADA COMITE DE FAMILIARES  ASESINADOS Y DESAPARECIDOS DE CHIRIQUI (COFADECHI) Y EL ESTADO PANAMEÑO.</w:t>
      </w:r>
    </w:p>
    <w:p w:rsidR="00DB0BFE" w:rsidRPr="00D31E39" w:rsidRDefault="00DB0BFE" w:rsidP="00354758">
      <w:pPr>
        <w:tabs>
          <w:tab w:val="left" w:pos="180"/>
          <w:tab w:val="left" w:pos="1440"/>
          <w:tab w:val="center" w:pos="5400"/>
        </w:tabs>
        <w:suppressAutoHyphens/>
        <w:ind w:left="720" w:right="720"/>
        <w:jc w:val="both"/>
        <w:rPr>
          <w:rFonts w:asciiTheme="majorHAnsi" w:eastAsia="MS Mincho" w:hAnsiTheme="majorHAnsi"/>
          <w:sz w:val="20"/>
          <w:szCs w:val="20"/>
          <w:lang w:val="es-CO"/>
        </w:rPr>
      </w:pPr>
    </w:p>
    <w:p w:rsidR="00A073AF" w:rsidRPr="00D31E39" w:rsidRDefault="00A073AF" w:rsidP="00A073AF">
      <w:pPr>
        <w:ind w:left="720" w:right="720"/>
        <w:jc w:val="both"/>
        <w:rPr>
          <w:rFonts w:asciiTheme="majorHAnsi" w:eastAsia="Arial" w:hAnsiTheme="majorHAnsi" w:cs="Arial"/>
          <w:sz w:val="20"/>
          <w:szCs w:val="20"/>
          <w:lang w:val="es-CO"/>
        </w:rPr>
      </w:pPr>
      <w:r w:rsidRPr="00D31E39">
        <w:rPr>
          <w:rFonts w:asciiTheme="majorHAnsi" w:eastAsia="Arial" w:hAnsiTheme="majorHAnsi" w:cs="Arial"/>
          <w:sz w:val="20"/>
          <w:szCs w:val="20"/>
          <w:lang w:val="es-CO"/>
        </w:rPr>
        <w:t>La República de Panamá presenta sus atentos saludos a la Honorable Comisión Interamericana de Derechos Humanos y tiene a bien hacer referencia al Proceso de Solución Amistosa que mantiene el gobierno de la República de Panamá con la Asociación</w:t>
      </w:r>
      <w:r w:rsidRPr="00D31E39">
        <w:rPr>
          <w:rFonts w:asciiTheme="majorHAnsi" w:eastAsia="Arial" w:hAnsiTheme="majorHAnsi" w:cs="Arial"/>
          <w:b/>
          <w:sz w:val="20"/>
          <w:szCs w:val="20"/>
          <w:lang w:val="es-CO"/>
        </w:rPr>
        <w:t xml:space="preserve"> </w:t>
      </w:r>
      <w:r w:rsidRPr="00D31E39">
        <w:rPr>
          <w:rFonts w:asciiTheme="majorHAnsi" w:eastAsia="Arial" w:hAnsiTheme="majorHAnsi" w:cs="Arial"/>
          <w:sz w:val="20"/>
          <w:szCs w:val="20"/>
          <w:lang w:val="es-CO"/>
        </w:rPr>
        <w:t>denominada</w:t>
      </w:r>
      <w:r w:rsidRPr="00D31E39">
        <w:rPr>
          <w:rFonts w:asciiTheme="majorHAnsi" w:eastAsia="Arial" w:hAnsiTheme="majorHAnsi" w:cs="Arial"/>
          <w:b/>
          <w:sz w:val="20"/>
          <w:szCs w:val="20"/>
          <w:lang w:val="es-CO"/>
        </w:rPr>
        <w:t xml:space="preserve"> Comité</w:t>
      </w:r>
      <w:r w:rsidRPr="00D31E39">
        <w:rPr>
          <w:rFonts w:asciiTheme="majorHAnsi" w:eastAsia="Arial" w:hAnsiTheme="majorHAnsi" w:cs="Arial"/>
          <w:b/>
          <w:color w:val="000000"/>
          <w:sz w:val="20"/>
          <w:szCs w:val="20"/>
          <w:lang w:val="es-CO"/>
        </w:rPr>
        <w:t xml:space="preserve"> de Familiares  Asesinados y Desaparecidos de Chiriquí</w:t>
      </w:r>
      <w:r w:rsidRPr="00D31E39">
        <w:rPr>
          <w:rFonts w:asciiTheme="majorHAnsi" w:eastAsia="Arial" w:hAnsiTheme="majorHAnsi" w:cs="Arial"/>
          <w:color w:val="000000"/>
          <w:sz w:val="20"/>
          <w:szCs w:val="20"/>
          <w:lang w:val="es-CO"/>
        </w:rPr>
        <w:t>,</w:t>
      </w:r>
      <w:r w:rsidRPr="00D31E39">
        <w:rPr>
          <w:rFonts w:asciiTheme="majorHAnsi" w:eastAsia="Arial" w:hAnsiTheme="majorHAnsi" w:cs="Arial"/>
          <w:b/>
          <w:color w:val="000000"/>
          <w:sz w:val="20"/>
          <w:szCs w:val="20"/>
          <w:lang w:val="es-CO"/>
        </w:rPr>
        <w:t xml:space="preserve"> </w:t>
      </w:r>
      <w:r w:rsidRPr="00D31E39">
        <w:rPr>
          <w:rFonts w:asciiTheme="majorHAnsi" w:eastAsia="Arial" w:hAnsiTheme="majorHAnsi" w:cs="Arial"/>
          <w:color w:val="000000"/>
          <w:sz w:val="20"/>
          <w:szCs w:val="20"/>
          <w:lang w:val="es-CO"/>
        </w:rPr>
        <w:t>la cual es  una</w:t>
      </w:r>
      <w:r w:rsidRPr="00D31E39">
        <w:rPr>
          <w:rFonts w:asciiTheme="majorHAnsi" w:eastAsia="Arial" w:hAnsiTheme="majorHAnsi" w:cs="Arial"/>
          <w:b/>
          <w:color w:val="000000"/>
          <w:sz w:val="20"/>
          <w:szCs w:val="20"/>
          <w:lang w:val="es-CO"/>
        </w:rPr>
        <w:t xml:space="preserve"> </w:t>
      </w:r>
      <w:r w:rsidRPr="00D31E39">
        <w:rPr>
          <w:rFonts w:asciiTheme="majorHAnsi" w:eastAsia="Arial" w:hAnsiTheme="majorHAnsi" w:cs="Arial"/>
          <w:color w:val="000000"/>
          <w:sz w:val="20"/>
          <w:szCs w:val="20"/>
          <w:lang w:val="es-CO"/>
        </w:rPr>
        <w:t xml:space="preserve">organización inscrita en el Registro Público de la República de Panamá mediante registro de liquidación N° 1402121680, como persona jurídica sin fines de lucro con Escritura Pública N° </w:t>
      </w:r>
      <w:r w:rsidRPr="00D31E39">
        <w:rPr>
          <w:rFonts w:asciiTheme="majorHAnsi" w:eastAsia="Arial" w:hAnsiTheme="majorHAnsi" w:cs="Arial"/>
          <w:color w:val="000000"/>
          <w:sz w:val="20"/>
          <w:szCs w:val="20"/>
          <w:lang w:val="es-CO"/>
        </w:rPr>
        <w:lastRenderedPageBreak/>
        <w:t xml:space="preserve">1085 de la Notaría Primera del Circuito de Chiriquí) en adelante </w:t>
      </w:r>
      <w:r w:rsidRPr="00D31E39">
        <w:rPr>
          <w:rFonts w:asciiTheme="majorHAnsi" w:eastAsia="Arial" w:hAnsiTheme="majorHAnsi" w:cs="Arial"/>
          <w:b/>
          <w:color w:val="000000"/>
          <w:sz w:val="20"/>
          <w:szCs w:val="20"/>
          <w:lang w:val="es-CO"/>
        </w:rPr>
        <w:t>COFADECHI</w:t>
      </w:r>
      <w:r w:rsidRPr="00D31E39">
        <w:rPr>
          <w:rFonts w:asciiTheme="majorHAnsi" w:eastAsia="Arial" w:hAnsiTheme="majorHAnsi" w:cs="Arial"/>
          <w:color w:val="000000"/>
          <w:sz w:val="20"/>
          <w:szCs w:val="20"/>
          <w:lang w:val="es-CO"/>
        </w:rPr>
        <w:t xml:space="preserve">, </w:t>
      </w:r>
      <w:r w:rsidRPr="00D31E39">
        <w:rPr>
          <w:rFonts w:asciiTheme="majorHAnsi" w:eastAsia="Arial" w:hAnsiTheme="majorHAnsi" w:cs="Arial"/>
          <w:sz w:val="20"/>
          <w:szCs w:val="20"/>
          <w:lang w:val="es-CO"/>
        </w:rPr>
        <w:t>con fundamento en el Artículo 40 del Reglamento de la Comisión Interamericana de Derechos Humanos.</w:t>
      </w:r>
    </w:p>
    <w:p w:rsidR="00A073AF" w:rsidRPr="00D31E39" w:rsidRDefault="00A073AF" w:rsidP="00A073AF">
      <w:pPr>
        <w:ind w:left="720" w:right="720"/>
        <w:jc w:val="both"/>
        <w:rPr>
          <w:rFonts w:asciiTheme="majorHAnsi" w:eastAsia="Arial" w:hAnsiTheme="majorHAnsi" w:cs="Arial"/>
          <w:sz w:val="20"/>
          <w:szCs w:val="20"/>
          <w:lang w:val="es-CO"/>
        </w:rPr>
      </w:pPr>
    </w:p>
    <w:p w:rsidR="00A073AF" w:rsidRPr="00D31E39" w:rsidRDefault="00A073AF" w:rsidP="00A073AF">
      <w:pPr>
        <w:ind w:left="720" w:right="720"/>
        <w:jc w:val="both"/>
        <w:rPr>
          <w:rFonts w:asciiTheme="majorHAnsi" w:eastAsia="Arial" w:hAnsiTheme="majorHAnsi" w:cs="Arial"/>
          <w:sz w:val="20"/>
          <w:szCs w:val="20"/>
          <w:lang w:val="es-CO"/>
        </w:rPr>
      </w:pPr>
      <w:r w:rsidRPr="00D31E39">
        <w:rPr>
          <w:rFonts w:asciiTheme="majorHAnsi" w:eastAsia="Arial" w:hAnsiTheme="majorHAnsi" w:cs="Arial"/>
          <w:sz w:val="20"/>
          <w:szCs w:val="20"/>
          <w:lang w:val="es-CO"/>
        </w:rPr>
        <w:t xml:space="preserve">El Estado panameño se complace en informar a la Honorable Comisión, que por consentimiento de ambas partes el pasado 17 de mayo de 2019, el proceso de solución amistosa entre la República de Panamá y </w:t>
      </w:r>
      <w:r w:rsidRPr="00D31E39">
        <w:rPr>
          <w:rFonts w:asciiTheme="majorHAnsi" w:eastAsia="Arial" w:hAnsiTheme="majorHAnsi" w:cs="Arial"/>
          <w:b/>
          <w:color w:val="000000"/>
          <w:sz w:val="20"/>
          <w:szCs w:val="20"/>
          <w:lang w:val="es-CO"/>
        </w:rPr>
        <w:t>COFADECHI</w:t>
      </w:r>
      <w:r w:rsidRPr="00D31E39">
        <w:rPr>
          <w:rFonts w:asciiTheme="majorHAnsi" w:eastAsia="Arial" w:hAnsiTheme="majorHAnsi" w:cs="Arial"/>
          <w:sz w:val="20"/>
          <w:szCs w:val="20"/>
          <w:lang w:val="es-CO"/>
        </w:rPr>
        <w:t xml:space="preserve"> culminó satisfactoriamente y con un compromiso de Estado fundado en el respeto de los derechos humanos establecidos en la Convención Americana sobre Derechos Humanos, la Declaración Americana y otros elementos aplicables como jurisprudencia de la Corte Interamericana en la materia.</w:t>
      </w:r>
    </w:p>
    <w:p w:rsidR="00A073AF" w:rsidRPr="00D31E39" w:rsidRDefault="00A073AF" w:rsidP="00A073AF">
      <w:pPr>
        <w:ind w:left="720" w:right="720"/>
        <w:jc w:val="both"/>
        <w:rPr>
          <w:rFonts w:asciiTheme="majorHAnsi" w:eastAsia="Arial" w:hAnsiTheme="majorHAnsi" w:cs="Arial"/>
          <w:sz w:val="20"/>
          <w:szCs w:val="20"/>
          <w:lang w:val="es-CO"/>
        </w:rPr>
      </w:pPr>
    </w:p>
    <w:p w:rsidR="00A073AF" w:rsidRPr="00D31E39" w:rsidRDefault="00A073AF" w:rsidP="00A073AF">
      <w:pPr>
        <w:ind w:left="720" w:right="720"/>
        <w:jc w:val="both"/>
        <w:rPr>
          <w:rFonts w:asciiTheme="majorHAnsi" w:eastAsia="Arial" w:hAnsiTheme="majorHAnsi" w:cs="Arial"/>
          <w:sz w:val="20"/>
          <w:szCs w:val="20"/>
          <w:lang w:val="es-CO"/>
        </w:rPr>
      </w:pPr>
      <w:r w:rsidRPr="00D31E39">
        <w:rPr>
          <w:rFonts w:asciiTheme="majorHAnsi" w:eastAsia="Arial" w:hAnsiTheme="majorHAnsi" w:cs="Arial"/>
          <w:sz w:val="20"/>
          <w:szCs w:val="20"/>
          <w:lang w:val="es-CO"/>
        </w:rPr>
        <w:t xml:space="preserve">La Ministra de Relaciones Exteriores, S.E. </w:t>
      </w:r>
      <w:r w:rsidRPr="00D31E39">
        <w:rPr>
          <w:rFonts w:asciiTheme="majorHAnsi" w:eastAsia="Arial" w:hAnsiTheme="majorHAnsi" w:cs="Arial"/>
          <w:b/>
          <w:sz w:val="20"/>
          <w:szCs w:val="20"/>
          <w:lang w:val="es-CO"/>
        </w:rPr>
        <w:t>ISABEL DE SAINT MALO DE ALVARADO</w:t>
      </w:r>
      <w:r w:rsidRPr="00D31E39">
        <w:rPr>
          <w:rFonts w:asciiTheme="majorHAnsi" w:eastAsia="Arial" w:hAnsiTheme="majorHAnsi" w:cs="Arial"/>
          <w:sz w:val="20"/>
          <w:szCs w:val="20"/>
          <w:lang w:val="es-CO"/>
        </w:rPr>
        <w:t xml:space="preserve"> presentará este Acuerdo al Consejo de Gabinete, que tiene entre sus funciones con fundamento en el Artículo 200 numeral 4 de la Constitución Política "acordar con el Presidente de la República que éste pueda transigir o someter a arbitraje los asuntos litigiosos en que el Estado sea parte, para lo cual es necesario el concepto favorable del Procurador General de la Nación..."</w:t>
      </w:r>
      <w:r w:rsidR="00E166C4">
        <w:rPr>
          <w:rFonts w:asciiTheme="majorHAnsi" w:eastAsia="Arial" w:hAnsiTheme="majorHAnsi" w:cs="Arial"/>
          <w:sz w:val="20"/>
          <w:szCs w:val="20"/>
          <w:lang w:val="es-CO"/>
        </w:rPr>
        <w:t>.</w:t>
      </w:r>
    </w:p>
    <w:p w:rsidR="00A073AF" w:rsidRPr="00D31E39" w:rsidRDefault="00A073AF" w:rsidP="00A073AF">
      <w:pPr>
        <w:ind w:left="720" w:right="720"/>
        <w:jc w:val="both"/>
        <w:rPr>
          <w:rFonts w:asciiTheme="majorHAnsi" w:eastAsia="Arial" w:hAnsiTheme="majorHAnsi" w:cs="Arial"/>
          <w:sz w:val="20"/>
          <w:szCs w:val="20"/>
          <w:lang w:val="es-CO"/>
        </w:rPr>
      </w:pPr>
    </w:p>
    <w:p w:rsidR="00A073AF" w:rsidRPr="00D31E39" w:rsidRDefault="00A073AF" w:rsidP="00A073AF">
      <w:pPr>
        <w:ind w:left="720" w:right="720"/>
        <w:jc w:val="both"/>
        <w:rPr>
          <w:rFonts w:asciiTheme="majorHAnsi" w:eastAsia="Arial" w:hAnsiTheme="majorHAnsi" w:cs="Arial"/>
          <w:sz w:val="20"/>
          <w:szCs w:val="20"/>
          <w:lang w:val="es-CO"/>
        </w:rPr>
      </w:pPr>
      <w:r w:rsidRPr="00D31E39">
        <w:rPr>
          <w:rFonts w:asciiTheme="majorHAnsi" w:eastAsia="Arial" w:hAnsiTheme="majorHAnsi" w:cs="Arial"/>
          <w:sz w:val="20"/>
          <w:szCs w:val="20"/>
          <w:lang w:val="es-CO"/>
        </w:rPr>
        <w:t>En ese sentido, tenemos a bien presentar el documento que finiquita este arreglo amistoso y las cláusulas consensuadas, tomando como referencia los criterios que sobre reparación del daño ha desarrollado el Sistema Interamericano de Derechos Humanos:</w:t>
      </w:r>
    </w:p>
    <w:p w:rsidR="00A073AF" w:rsidRPr="00D31E39" w:rsidRDefault="00A073AF" w:rsidP="00A073AF">
      <w:pPr>
        <w:ind w:left="720" w:right="720"/>
        <w:jc w:val="both"/>
        <w:rPr>
          <w:rFonts w:asciiTheme="majorHAnsi" w:eastAsia="Arial" w:hAnsiTheme="majorHAnsi" w:cs="Arial"/>
          <w:sz w:val="20"/>
          <w:szCs w:val="20"/>
          <w:lang w:val="es-CO"/>
        </w:rPr>
      </w:pPr>
    </w:p>
    <w:p w:rsidR="00A073AF" w:rsidRPr="00D31E39" w:rsidRDefault="00A073AF" w:rsidP="00921AE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firstLine="0"/>
        <w:contextualSpacing/>
        <w:jc w:val="both"/>
        <w:rPr>
          <w:rFonts w:asciiTheme="majorHAnsi" w:hAnsiTheme="majorHAnsi" w:cs="Arial"/>
          <w:b/>
          <w:sz w:val="20"/>
          <w:szCs w:val="20"/>
          <w:lang w:val="es-CO"/>
        </w:rPr>
      </w:pPr>
      <w:r w:rsidRPr="00D31E39">
        <w:rPr>
          <w:rFonts w:asciiTheme="majorHAnsi" w:hAnsiTheme="majorHAnsi" w:cs="Arial"/>
          <w:b/>
          <w:sz w:val="20"/>
          <w:szCs w:val="20"/>
          <w:lang w:val="es-CO"/>
        </w:rPr>
        <w:t>Daño Material.</w:t>
      </w:r>
    </w:p>
    <w:p w:rsidR="00A073AF" w:rsidRPr="00D31E39" w:rsidRDefault="00A073AF" w:rsidP="00A073AF">
      <w:pPr>
        <w:tabs>
          <w:tab w:val="left" w:pos="1080"/>
        </w:tabs>
        <w:ind w:left="720" w:right="720"/>
        <w:jc w:val="both"/>
        <w:rPr>
          <w:rFonts w:asciiTheme="majorHAnsi" w:eastAsia="Arial" w:hAnsiTheme="majorHAnsi" w:cs="Arial"/>
          <w:b/>
          <w:sz w:val="20"/>
          <w:szCs w:val="20"/>
          <w:lang w:val="es-CO"/>
        </w:rPr>
      </w:pP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r w:rsidRPr="00D31E39">
        <w:rPr>
          <w:rFonts w:asciiTheme="majorHAnsi" w:eastAsia="Arial" w:hAnsiTheme="majorHAnsi" w:cs="Arial"/>
          <w:sz w:val="20"/>
          <w:szCs w:val="20"/>
          <w:lang w:val="es-CO"/>
        </w:rPr>
        <w:t xml:space="preserve">Supone la pérdida o detrimento de los ingresos de las víctimas [y en su caso de los familiares], los gastos efectuados con motivo de los hechos y las consecuencias de carácter pecuniario que tengan un nexo causal con los hechos del caso </w:t>
      </w:r>
      <w:r w:rsidRPr="00D31E39">
        <w:rPr>
          <w:rFonts w:asciiTheme="majorHAnsi" w:eastAsia="Arial" w:hAnsiTheme="majorHAnsi" w:cs="Arial"/>
          <w:i/>
          <w:sz w:val="20"/>
          <w:szCs w:val="20"/>
          <w:lang w:val="es-CO"/>
        </w:rPr>
        <w:t>sub judice</w:t>
      </w:r>
      <w:r w:rsidRPr="00D31E39">
        <w:rPr>
          <w:rFonts w:asciiTheme="majorHAnsi" w:eastAsia="Arial" w:hAnsiTheme="majorHAnsi" w:cs="Arial"/>
          <w:sz w:val="20"/>
          <w:szCs w:val="20"/>
          <w:lang w:val="es-CO"/>
        </w:rPr>
        <w:t xml:space="preserve"> para lo cual, cuando corresponde, se fija un monto indemnizatorio que busque compensar las consecuencias patrimoniales de las violaciones que han sido declaradas. Este se divide en daño emergente y lucro cesante. </w:t>
      </w: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p>
    <w:p w:rsidR="00A073AF" w:rsidRPr="00D31E39" w:rsidRDefault="00A073AF" w:rsidP="00921AE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firstLine="0"/>
        <w:contextualSpacing/>
        <w:jc w:val="both"/>
        <w:rPr>
          <w:rFonts w:asciiTheme="majorHAnsi" w:hAnsiTheme="majorHAnsi" w:cs="Arial"/>
          <w:b/>
          <w:sz w:val="20"/>
          <w:szCs w:val="20"/>
          <w:lang w:val="es-CO"/>
        </w:rPr>
      </w:pPr>
      <w:r w:rsidRPr="00D31E39">
        <w:rPr>
          <w:rFonts w:asciiTheme="majorHAnsi" w:hAnsiTheme="majorHAnsi" w:cs="Arial"/>
          <w:b/>
          <w:sz w:val="20"/>
          <w:szCs w:val="20"/>
          <w:lang w:val="es-CO"/>
        </w:rPr>
        <w:t xml:space="preserve">Daño Emergente. </w:t>
      </w:r>
    </w:p>
    <w:p w:rsidR="00A073AF" w:rsidRPr="00D31E39" w:rsidRDefault="00A073AF" w:rsidP="00A073AF">
      <w:pPr>
        <w:tabs>
          <w:tab w:val="left" w:pos="1080"/>
        </w:tabs>
        <w:ind w:left="720" w:right="720"/>
        <w:jc w:val="both"/>
        <w:rPr>
          <w:rFonts w:asciiTheme="majorHAnsi" w:eastAsia="Arial" w:hAnsiTheme="majorHAnsi" w:cs="Arial"/>
          <w:b/>
          <w:sz w:val="20"/>
          <w:szCs w:val="20"/>
          <w:lang w:val="es-CO"/>
        </w:rPr>
      </w:pP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r w:rsidRPr="00D31E39">
        <w:rPr>
          <w:rFonts w:asciiTheme="majorHAnsi" w:eastAsia="Arial" w:hAnsiTheme="majorHAnsi" w:cs="Arial"/>
          <w:sz w:val="20"/>
          <w:szCs w:val="20"/>
          <w:lang w:val="es-CO"/>
        </w:rPr>
        <w:t>El daño emergente descrito como el detrimento directo, menoscabo o destrucción material de lo</w:t>
      </w:r>
      <w:r w:rsidR="00E166C4">
        <w:rPr>
          <w:rFonts w:asciiTheme="majorHAnsi" w:eastAsia="Arial" w:hAnsiTheme="majorHAnsi" w:cs="Arial"/>
          <w:sz w:val="20"/>
          <w:szCs w:val="20"/>
          <w:lang w:val="es-CO"/>
        </w:rPr>
        <w:t>s bienes, con independencia de l</w:t>
      </w:r>
      <w:r w:rsidRPr="00D31E39">
        <w:rPr>
          <w:rFonts w:asciiTheme="majorHAnsi" w:eastAsia="Arial" w:hAnsiTheme="majorHAnsi" w:cs="Arial"/>
          <w:sz w:val="20"/>
          <w:szCs w:val="20"/>
          <w:lang w:val="es-CO"/>
        </w:rPr>
        <w:t xml:space="preserve">os otros efectos, patrimoniales o de otra índole, que puedan derivar del acto que los causó y comprende el valor de los bienes destruidos, los gastos realizados para obtener información acerca del paradero de las víctimas y cualquier costo adicional que la violación cometida pueda haber causado a la víctima a sus familiares. </w:t>
      </w: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r w:rsidRPr="00D31E39">
        <w:rPr>
          <w:rFonts w:asciiTheme="majorHAnsi" w:eastAsia="Arial" w:hAnsiTheme="majorHAnsi" w:cs="Arial"/>
          <w:sz w:val="20"/>
          <w:szCs w:val="20"/>
          <w:lang w:val="es-CO"/>
        </w:rPr>
        <w:t xml:space="preserve">La Corte Interamericana ha manifestado en casos anteriores que el daño material comprende los diversos gastos en que incurren los familiares con el fin de indagar el paradero de la víctima, ante el encubrimiento de lo ocurrido y la abstención de investigar los hechos por parte de las autoridades. Estos gastos incluyen visitas a instituciones públicas, gastos por concepto de transporte, hospedaje y otros. </w:t>
      </w: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p>
    <w:p w:rsidR="00A073AF" w:rsidRPr="00D31E39" w:rsidRDefault="00A073AF" w:rsidP="00A073AF">
      <w:pPr>
        <w:tabs>
          <w:tab w:val="left" w:pos="1080"/>
        </w:tabs>
        <w:ind w:left="720" w:right="720"/>
        <w:jc w:val="both"/>
        <w:rPr>
          <w:rFonts w:asciiTheme="majorHAnsi" w:eastAsia="Arial" w:hAnsiTheme="majorHAnsi" w:cs="Arial"/>
          <w:color w:val="000000"/>
          <w:sz w:val="20"/>
          <w:szCs w:val="20"/>
          <w:lang w:val="es-CO"/>
        </w:rPr>
      </w:pPr>
      <w:r w:rsidRPr="00D31E39">
        <w:rPr>
          <w:rFonts w:asciiTheme="majorHAnsi" w:eastAsia="Arial" w:hAnsiTheme="majorHAnsi" w:cs="Arial"/>
          <w:color w:val="000000"/>
          <w:sz w:val="20"/>
          <w:szCs w:val="20"/>
          <w:lang w:val="es-CO"/>
        </w:rPr>
        <w:t xml:space="preserve">En el presente caso, las familias de las víctimas organizadas en la </w:t>
      </w:r>
      <w:r w:rsidRPr="00D31E39">
        <w:rPr>
          <w:rFonts w:asciiTheme="majorHAnsi" w:eastAsia="Arial" w:hAnsiTheme="majorHAnsi" w:cs="Arial"/>
          <w:sz w:val="20"/>
          <w:szCs w:val="20"/>
          <w:lang w:val="es-CO"/>
        </w:rPr>
        <w:t>Asociación denominada Comité de Familiares  Asesinados y  Desaparecidos de Chiriquí</w:t>
      </w:r>
      <w:r w:rsidRPr="00D31E39">
        <w:rPr>
          <w:rFonts w:asciiTheme="majorHAnsi" w:eastAsia="Arial" w:hAnsiTheme="majorHAnsi" w:cs="Arial"/>
          <w:color w:val="FF0000"/>
          <w:sz w:val="20"/>
          <w:szCs w:val="20"/>
          <w:lang w:val="es-CO"/>
        </w:rPr>
        <w:t xml:space="preserve">  </w:t>
      </w:r>
      <w:r w:rsidRPr="00D31E39">
        <w:rPr>
          <w:rFonts w:asciiTheme="majorHAnsi" w:eastAsia="Arial" w:hAnsiTheme="majorHAnsi" w:cs="Arial"/>
          <w:b/>
          <w:color w:val="000000"/>
          <w:sz w:val="20"/>
          <w:szCs w:val="20"/>
          <w:lang w:val="es-CO"/>
        </w:rPr>
        <w:t>COFADECHI</w:t>
      </w:r>
      <w:r w:rsidRPr="00D31E39">
        <w:rPr>
          <w:rFonts w:asciiTheme="majorHAnsi" w:eastAsia="Arial" w:hAnsiTheme="majorHAnsi" w:cs="Arial"/>
          <w:color w:val="000000"/>
          <w:sz w:val="20"/>
          <w:szCs w:val="20"/>
          <w:lang w:val="es-CO"/>
        </w:rPr>
        <w:t xml:space="preserve">, siempre han realizado enormes esfuerzos para tratar de dar con el paradero de los restos de los familiares desaparecidos, en este sentido, las familias realizaron las denuncias respectivas ante el Departamento Nacional de Investigaciones – DENI - existente en esa época. </w:t>
      </w:r>
    </w:p>
    <w:p w:rsidR="00A073AF" w:rsidRPr="00D31E39" w:rsidRDefault="00A073AF" w:rsidP="00A073AF">
      <w:pPr>
        <w:tabs>
          <w:tab w:val="left" w:pos="1080"/>
        </w:tabs>
        <w:ind w:left="720" w:right="720"/>
        <w:jc w:val="both"/>
        <w:rPr>
          <w:rFonts w:asciiTheme="majorHAnsi" w:eastAsia="Arial" w:hAnsiTheme="majorHAnsi" w:cs="Arial"/>
          <w:color w:val="000000"/>
          <w:sz w:val="20"/>
          <w:szCs w:val="20"/>
          <w:lang w:val="es-CO"/>
        </w:rPr>
      </w:pPr>
    </w:p>
    <w:p w:rsidR="00A073AF" w:rsidRPr="00D31E39" w:rsidRDefault="00A073AF" w:rsidP="00A073AF">
      <w:pPr>
        <w:tabs>
          <w:tab w:val="left" w:pos="1080"/>
        </w:tabs>
        <w:ind w:left="720" w:right="720"/>
        <w:jc w:val="both"/>
        <w:rPr>
          <w:rFonts w:asciiTheme="majorHAnsi" w:eastAsia="Arial" w:hAnsiTheme="majorHAnsi" w:cs="Arial"/>
          <w:color w:val="000000"/>
          <w:sz w:val="20"/>
          <w:szCs w:val="20"/>
          <w:lang w:val="es-CO"/>
        </w:rPr>
      </w:pPr>
      <w:r w:rsidRPr="00D31E39">
        <w:rPr>
          <w:rFonts w:asciiTheme="majorHAnsi" w:eastAsia="Arial" w:hAnsiTheme="majorHAnsi" w:cs="Arial"/>
          <w:color w:val="000000"/>
          <w:sz w:val="20"/>
          <w:szCs w:val="20"/>
          <w:lang w:val="es-CO"/>
        </w:rPr>
        <w:t xml:space="preserve">A lo largo de más de cincuenta años, se han presentado las denuncias que constan en diferentes expedientes en las diferentes fiscalías de la provincia de Chiriquí, así como en otras provincias. En algunos casos se ha logrado determinar la desaparición y muerte de algunas de las víctimas, las cuales representan una violación de sus derechos a la vida, consagrados en el artículo 19 de la Constitución de 1946, en el artículo 1 de la Declaración Americana de Derechos y Deberes del Hombre y en el artículo 3 de la Declaración Universal de los Derechos </w:t>
      </w:r>
      <w:r w:rsidRPr="00D31E39">
        <w:rPr>
          <w:rFonts w:asciiTheme="majorHAnsi" w:eastAsia="Arial" w:hAnsiTheme="majorHAnsi" w:cs="Arial"/>
          <w:color w:val="000000"/>
          <w:sz w:val="20"/>
          <w:szCs w:val="20"/>
          <w:lang w:val="es-CO"/>
        </w:rPr>
        <w:lastRenderedPageBreak/>
        <w:t xml:space="preserve">Humanos, siendo este un caso de Lesa Humanidad, dada la muerte violenta y desaparición de las víctimas. </w:t>
      </w:r>
    </w:p>
    <w:p w:rsidR="00A073AF" w:rsidRPr="00D31E39" w:rsidRDefault="00A073AF" w:rsidP="00A073AF">
      <w:pPr>
        <w:tabs>
          <w:tab w:val="left" w:pos="1080"/>
        </w:tabs>
        <w:ind w:left="720" w:right="720"/>
        <w:jc w:val="both"/>
        <w:rPr>
          <w:rFonts w:asciiTheme="majorHAnsi" w:eastAsia="Arial" w:hAnsiTheme="majorHAnsi" w:cs="Arial"/>
          <w:b/>
          <w:sz w:val="20"/>
          <w:szCs w:val="20"/>
          <w:lang w:val="es-CO"/>
        </w:rPr>
      </w:pPr>
    </w:p>
    <w:p w:rsidR="00A073AF" w:rsidRPr="00D31E39" w:rsidRDefault="00A073AF" w:rsidP="00921AED">
      <w:pPr>
        <w:pStyle w:val="ListParagraph"/>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firstLine="0"/>
        <w:contextualSpacing/>
        <w:jc w:val="both"/>
        <w:rPr>
          <w:rFonts w:asciiTheme="majorHAnsi" w:hAnsiTheme="majorHAnsi" w:cs="Arial"/>
          <w:b/>
          <w:sz w:val="20"/>
          <w:szCs w:val="20"/>
          <w:lang w:val="es-CO"/>
        </w:rPr>
      </w:pPr>
      <w:r w:rsidRPr="00D31E39">
        <w:rPr>
          <w:rFonts w:asciiTheme="majorHAnsi" w:hAnsiTheme="majorHAnsi" w:cs="Arial"/>
          <w:b/>
          <w:sz w:val="20"/>
          <w:szCs w:val="20"/>
          <w:lang w:val="es-CO"/>
        </w:rPr>
        <w:t>Lucro Cesante.</w:t>
      </w: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r w:rsidRPr="00D31E39">
        <w:rPr>
          <w:rFonts w:asciiTheme="majorHAnsi" w:eastAsia="Arial" w:hAnsiTheme="majorHAnsi" w:cs="Arial"/>
          <w:sz w:val="20"/>
          <w:szCs w:val="20"/>
          <w:lang w:val="es-CO"/>
        </w:rPr>
        <w:t>El lucro cesante reconocido como el perjuicio económico sufrido como consecuencia directa de la violación sufrida, es decir, el lucro perdido o la reducción patrimonial futura.</w:t>
      </w: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r w:rsidRPr="00D31E39">
        <w:rPr>
          <w:rFonts w:asciiTheme="majorHAnsi" w:eastAsia="Arial" w:hAnsiTheme="majorHAnsi" w:cs="Arial"/>
          <w:sz w:val="20"/>
          <w:szCs w:val="20"/>
          <w:lang w:val="es-CO"/>
        </w:rPr>
        <w:t>De acuerdo con el Informe Final de la Comisión de la Verdad de Panamá, (“La verdad os hará libres” - Panamá: Comisión de la Verdad, 2002, 219 p. ISBN 9962-8837-0-9), se presentan las historias de las víctimas, los relatos testimoniales de la forma como fueron torturados, maltratados, ejecutados y desaparecidos muchos hombres y mujeres productivos, los cuales tenían sus respectivos trabajos y actividades que les permitían llevar el sustento a sus familias.</w:t>
      </w: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p>
    <w:p w:rsidR="00A073AF" w:rsidRPr="00D31E39" w:rsidRDefault="00A073AF" w:rsidP="00921AE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firstLine="0"/>
        <w:contextualSpacing/>
        <w:jc w:val="both"/>
        <w:rPr>
          <w:rFonts w:asciiTheme="majorHAnsi" w:hAnsiTheme="majorHAnsi" w:cs="Arial"/>
          <w:b/>
          <w:sz w:val="20"/>
          <w:szCs w:val="20"/>
          <w:lang w:val="es-CO"/>
        </w:rPr>
      </w:pPr>
      <w:r w:rsidRPr="00D31E39">
        <w:rPr>
          <w:rFonts w:asciiTheme="majorHAnsi" w:hAnsiTheme="majorHAnsi" w:cs="Arial"/>
          <w:b/>
          <w:sz w:val="20"/>
          <w:szCs w:val="20"/>
          <w:lang w:val="es-CO"/>
        </w:rPr>
        <w:t xml:space="preserve">Daño Inmaterial. </w:t>
      </w: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r w:rsidRPr="00D31E39">
        <w:rPr>
          <w:rFonts w:asciiTheme="majorHAnsi" w:eastAsia="Arial" w:hAnsiTheme="majorHAnsi" w:cs="Arial"/>
          <w:sz w:val="20"/>
          <w:szCs w:val="20"/>
          <w:lang w:val="es-CO"/>
        </w:rPr>
        <w:t xml:space="preserve">De acuerdo con el concepto de la Corte Interamericana de Derechos Humanos, el daño inmaterial puede comprender tanto los sufrimientos y las aflicciones causados a las víctimas directas y a sus allegados, el menoscabo de valores muy significativos para las personas, así como las alteraciones, de carácter no pecuniario, en las condiciones de existencia de la víctima o de su familia. </w:t>
      </w: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r w:rsidRPr="00D31E39">
        <w:rPr>
          <w:rFonts w:asciiTheme="majorHAnsi" w:eastAsia="Arial" w:hAnsiTheme="majorHAnsi" w:cs="Arial"/>
          <w:sz w:val="20"/>
          <w:szCs w:val="20"/>
          <w:lang w:val="es-CO"/>
        </w:rPr>
        <w:t xml:space="preserve">Al tratarse en el caso de las víctimas de muerte y desaparición forzada, se presume que las víctimas sufrieron una profunda angustia antes de ser ejecutados por miembros de la Dictadura Militar, y en el caso de los miembros de </w:t>
      </w:r>
      <w:r w:rsidRPr="00D31E39">
        <w:rPr>
          <w:rFonts w:asciiTheme="majorHAnsi" w:eastAsia="Arial" w:hAnsiTheme="majorHAnsi" w:cs="Arial"/>
          <w:b/>
          <w:color w:val="000000"/>
          <w:sz w:val="20"/>
          <w:szCs w:val="20"/>
          <w:lang w:val="es-CO"/>
        </w:rPr>
        <w:t>COFADECHI</w:t>
      </w:r>
      <w:r w:rsidRPr="00D31E39">
        <w:rPr>
          <w:rFonts w:asciiTheme="majorHAnsi" w:eastAsia="Arial" w:hAnsiTheme="majorHAnsi" w:cs="Arial"/>
          <w:color w:val="000000"/>
          <w:sz w:val="20"/>
          <w:szCs w:val="20"/>
          <w:lang w:val="es-CO"/>
        </w:rPr>
        <w:t xml:space="preserve">, </w:t>
      </w:r>
      <w:r w:rsidRPr="00D31E39">
        <w:rPr>
          <w:rFonts w:asciiTheme="majorHAnsi" w:eastAsia="Arial" w:hAnsiTheme="majorHAnsi" w:cs="Arial"/>
          <w:sz w:val="20"/>
          <w:szCs w:val="20"/>
          <w:lang w:val="es-CO"/>
        </w:rPr>
        <w:t xml:space="preserve">la desaparición y muerte de sus familiares causó aún a las familias angustia, incertidumbre, desesperación, impotencia y frustración. Además, transcurridos 50 años, se han encontrado a una parte de los responsables de la muerte y desaparición, los cuales fueron llevados a juicio y se dictó sentencia, pero todavía quedan personas acusadas, pero en situación actual de prófugos de la justicia por crímenes de lesa humanidad, aumentando el sufrimiento de la familia de la víctima. </w:t>
      </w: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r w:rsidRPr="00D31E39">
        <w:rPr>
          <w:rFonts w:asciiTheme="majorHAnsi" w:eastAsia="Arial" w:hAnsiTheme="majorHAnsi" w:cs="Arial"/>
          <w:sz w:val="20"/>
          <w:szCs w:val="20"/>
          <w:lang w:val="es-CO"/>
        </w:rPr>
        <w:t xml:space="preserve">Existen otros aspectos que han afectado a los familiares, por un lado, no poder celebrar el duelo por la posible muerte de sus desaparecidos, lo cual ha causado, aun pasados los años, inestabilidad y dolor de los familiares de las víctimas, y, por otro lado, la falta de un lugar donde descansen los restos de las víctimas mantiene la incertidumbre de las familias sobre sus paraderos. </w:t>
      </w: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p>
    <w:p w:rsidR="00A073AF" w:rsidRPr="00D31E39" w:rsidRDefault="00A073AF" w:rsidP="00921AE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firstLine="0"/>
        <w:contextualSpacing/>
        <w:jc w:val="both"/>
        <w:rPr>
          <w:rFonts w:asciiTheme="majorHAnsi" w:hAnsiTheme="majorHAnsi" w:cs="Arial"/>
          <w:b/>
          <w:sz w:val="20"/>
          <w:szCs w:val="20"/>
          <w:lang w:val="es-CO"/>
        </w:rPr>
      </w:pPr>
      <w:r w:rsidRPr="00D31E39">
        <w:rPr>
          <w:rFonts w:asciiTheme="majorHAnsi" w:hAnsiTheme="majorHAnsi" w:cs="Arial"/>
          <w:b/>
          <w:sz w:val="20"/>
          <w:szCs w:val="20"/>
          <w:lang w:val="es-CO"/>
        </w:rPr>
        <w:t xml:space="preserve">Pago de Reparación Pecuniaria. </w:t>
      </w:r>
    </w:p>
    <w:p w:rsidR="00A073AF" w:rsidRPr="00D31E39" w:rsidRDefault="00A073AF" w:rsidP="00A073AF">
      <w:pPr>
        <w:tabs>
          <w:tab w:val="left" w:pos="1080"/>
        </w:tabs>
        <w:ind w:left="720" w:right="720"/>
        <w:jc w:val="both"/>
        <w:rPr>
          <w:rFonts w:asciiTheme="majorHAnsi" w:eastAsia="Arial" w:hAnsiTheme="majorHAnsi" w:cs="Arial"/>
          <w:b/>
          <w:sz w:val="20"/>
          <w:szCs w:val="20"/>
          <w:lang w:val="es-CO"/>
        </w:rPr>
      </w:pPr>
    </w:p>
    <w:p w:rsidR="00A073AF" w:rsidRDefault="00A073AF" w:rsidP="00A073AF">
      <w:pPr>
        <w:tabs>
          <w:tab w:val="left" w:pos="1080"/>
        </w:tabs>
        <w:ind w:left="720" w:right="720"/>
        <w:jc w:val="both"/>
        <w:rPr>
          <w:rStyle w:val="ilfuvd"/>
          <w:rFonts w:asciiTheme="majorHAnsi" w:hAnsiTheme="majorHAnsi" w:cs="Arial"/>
          <w:sz w:val="20"/>
          <w:szCs w:val="20"/>
          <w:lang w:val="es-CO"/>
        </w:rPr>
      </w:pPr>
      <w:r w:rsidRPr="00D31E39">
        <w:rPr>
          <w:rFonts w:asciiTheme="majorHAnsi" w:hAnsiTheme="majorHAnsi" w:cs="Arial"/>
          <w:color w:val="000000" w:themeColor="text1"/>
          <w:sz w:val="20"/>
          <w:szCs w:val="20"/>
          <w:lang w:val="es-CO"/>
        </w:rPr>
        <w:t xml:space="preserve">Las partes reconocen los peritajes técnicos actuariales elaborados por el Magister </w:t>
      </w:r>
      <w:r w:rsidRPr="00D31E39">
        <w:rPr>
          <w:rFonts w:asciiTheme="majorHAnsi" w:hAnsiTheme="majorHAnsi" w:cs="Arial"/>
          <w:sz w:val="20"/>
          <w:szCs w:val="20"/>
          <w:lang w:val="es-CO"/>
        </w:rPr>
        <w:t xml:space="preserve">Marcelo </w:t>
      </w:r>
      <w:proofErr w:type="spellStart"/>
      <w:r w:rsidRPr="00D31E39">
        <w:rPr>
          <w:rFonts w:asciiTheme="majorHAnsi" w:hAnsiTheme="majorHAnsi" w:cs="Arial"/>
          <w:sz w:val="20"/>
          <w:szCs w:val="20"/>
          <w:lang w:val="es-CO"/>
        </w:rPr>
        <w:t>Araúz</w:t>
      </w:r>
      <w:proofErr w:type="spellEnd"/>
      <w:r w:rsidRPr="00D31E39">
        <w:rPr>
          <w:rFonts w:asciiTheme="majorHAnsi" w:hAnsiTheme="majorHAnsi" w:cs="Arial"/>
          <w:sz w:val="20"/>
          <w:szCs w:val="20"/>
          <w:lang w:val="es-CO"/>
        </w:rPr>
        <w:t xml:space="preserve"> Moreno, Economista con licencia N° 265 y de Contador Público Autorizado N° 0633-2009, entregados de conformidad a los requerimientos del Ministerio de Economía y Finanzas, el día 13 de abril de 2019, </w:t>
      </w:r>
      <w:r w:rsidRPr="00D31E39">
        <w:rPr>
          <w:rStyle w:val="ilfuvd"/>
          <w:rFonts w:asciiTheme="majorHAnsi" w:hAnsiTheme="majorHAnsi" w:cs="Arial"/>
          <w:sz w:val="20"/>
          <w:szCs w:val="20"/>
          <w:lang w:val="es-CO"/>
        </w:rPr>
        <w:t>acerca de los daños o perjuicios sufridos por los familiares de las víctimas de la dictadura militar, a saber, las siguientes:</w:t>
      </w:r>
    </w:p>
    <w:p w:rsidR="0086670B" w:rsidRPr="00D31E39" w:rsidRDefault="0086670B" w:rsidP="00A073AF">
      <w:pPr>
        <w:tabs>
          <w:tab w:val="left" w:pos="1080"/>
        </w:tabs>
        <w:ind w:left="720" w:right="720"/>
        <w:jc w:val="both"/>
        <w:rPr>
          <w:rStyle w:val="ilfuvd"/>
          <w:rFonts w:asciiTheme="majorHAnsi" w:hAnsiTheme="majorHAnsi" w:cs="Arial"/>
          <w:sz w:val="20"/>
          <w:szCs w:val="20"/>
          <w:lang w:val="es-CO"/>
        </w:rPr>
      </w:pPr>
    </w:p>
    <w:p w:rsidR="00A073AF" w:rsidRPr="00D31E39" w:rsidRDefault="00A073AF" w:rsidP="00921AE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1440"/>
          <w:tab w:val="left" w:pos="1800"/>
        </w:tabs>
        <w:spacing w:after="160" w:line="259" w:lineRule="auto"/>
        <w:ind w:left="1440" w:right="720" w:firstLine="0"/>
        <w:contextualSpacing/>
        <w:jc w:val="both"/>
        <w:rPr>
          <w:rStyle w:val="ilfuvd"/>
          <w:rFonts w:asciiTheme="majorHAnsi" w:hAnsiTheme="majorHAnsi" w:cs="Arial"/>
          <w:color w:val="000000" w:themeColor="text1"/>
          <w:sz w:val="20"/>
          <w:szCs w:val="20"/>
          <w:lang w:val="es-CO"/>
        </w:rPr>
      </w:pPr>
      <w:r w:rsidRPr="00D31E39">
        <w:rPr>
          <w:rStyle w:val="ilfuvd"/>
          <w:rFonts w:asciiTheme="majorHAnsi" w:hAnsiTheme="majorHAnsi" w:cs="Arial"/>
          <w:color w:val="000000" w:themeColor="text1"/>
          <w:sz w:val="20"/>
          <w:szCs w:val="20"/>
          <w:lang w:val="es-CO"/>
        </w:rPr>
        <w:t>Julio Mario Villarreal de las Casas</w:t>
      </w:r>
    </w:p>
    <w:p w:rsidR="00A073AF" w:rsidRPr="00D31E39" w:rsidRDefault="00A073AF" w:rsidP="00921AE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1440"/>
          <w:tab w:val="left" w:pos="1800"/>
        </w:tabs>
        <w:spacing w:after="160" w:line="259" w:lineRule="auto"/>
        <w:ind w:left="1440" w:right="720" w:firstLine="0"/>
        <w:contextualSpacing/>
        <w:jc w:val="both"/>
        <w:rPr>
          <w:rStyle w:val="ilfuvd"/>
          <w:rFonts w:asciiTheme="majorHAnsi" w:hAnsiTheme="majorHAnsi" w:cs="Arial"/>
          <w:color w:val="000000" w:themeColor="text1"/>
          <w:sz w:val="20"/>
          <w:szCs w:val="20"/>
          <w:lang w:val="es-CO"/>
        </w:rPr>
      </w:pPr>
      <w:r w:rsidRPr="00D31E39">
        <w:rPr>
          <w:rStyle w:val="ilfuvd"/>
          <w:rFonts w:asciiTheme="majorHAnsi" w:hAnsiTheme="majorHAnsi" w:cs="Arial"/>
          <w:color w:val="000000" w:themeColor="text1"/>
          <w:sz w:val="20"/>
          <w:szCs w:val="20"/>
          <w:lang w:val="es-CO"/>
        </w:rPr>
        <w:t xml:space="preserve">José Manuel </w:t>
      </w:r>
      <w:proofErr w:type="spellStart"/>
      <w:r w:rsidRPr="00D31E39">
        <w:rPr>
          <w:rStyle w:val="ilfuvd"/>
          <w:rFonts w:asciiTheme="majorHAnsi" w:hAnsiTheme="majorHAnsi" w:cs="Arial"/>
          <w:color w:val="000000" w:themeColor="text1"/>
          <w:sz w:val="20"/>
          <w:szCs w:val="20"/>
          <w:lang w:val="es-CO"/>
        </w:rPr>
        <w:t>Morantes</w:t>
      </w:r>
      <w:proofErr w:type="spellEnd"/>
      <w:r w:rsidRPr="00D31E39">
        <w:rPr>
          <w:rStyle w:val="ilfuvd"/>
          <w:rFonts w:asciiTheme="majorHAnsi" w:hAnsiTheme="majorHAnsi" w:cs="Arial"/>
          <w:color w:val="000000" w:themeColor="text1"/>
          <w:sz w:val="20"/>
          <w:szCs w:val="20"/>
          <w:lang w:val="es-CO"/>
        </w:rPr>
        <w:t xml:space="preserve"> Madrid</w:t>
      </w:r>
    </w:p>
    <w:p w:rsidR="00A073AF" w:rsidRPr="00D31E39" w:rsidRDefault="00A073AF" w:rsidP="00921AE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1440"/>
          <w:tab w:val="left" w:pos="1800"/>
        </w:tabs>
        <w:spacing w:after="160" w:line="259" w:lineRule="auto"/>
        <w:ind w:left="1440" w:right="720" w:firstLine="0"/>
        <w:contextualSpacing/>
        <w:jc w:val="both"/>
        <w:rPr>
          <w:rStyle w:val="ilfuvd"/>
          <w:rFonts w:asciiTheme="majorHAnsi" w:hAnsiTheme="majorHAnsi" w:cs="Arial"/>
          <w:color w:val="000000" w:themeColor="text1"/>
          <w:sz w:val="20"/>
          <w:szCs w:val="20"/>
          <w:lang w:val="es-CO"/>
        </w:rPr>
      </w:pPr>
      <w:r w:rsidRPr="00D31E39">
        <w:rPr>
          <w:rStyle w:val="ilfuvd"/>
          <w:rFonts w:asciiTheme="majorHAnsi" w:hAnsiTheme="majorHAnsi" w:cs="Arial"/>
          <w:color w:val="000000" w:themeColor="text1"/>
          <w:sz w:val="20"/>
          <w:szCs w:val="20"/>
          <w:lang w:val="es-CO"/>
        </w:rPr>
        <w:t xml:space="preserve">Everett Clayton </w:t>
      </w:r>
      <w:proofErr w:type="spellStart"/>
      <w:r w:rsidRPr="00D31E39">
        <w:rPr>
          <w:rStyle w:val="ilfuvd"/>
          <w:rFonts w:asciiTheme="majorHAnsi" w:hAnsiTheme="majorHAnsi" w:cs="Arial"/>
          <w:color w:val="000000" w:themeColor="text1"/>
          <w:sz w:val="20"/>
          <w:szCs w:val="20"/>
          <w:lang w:val="es-CO"/>
        </w:rPr>
        <w:t>Kimble</w:t>
      </w:r>
      <w:proofErr w:type="spellEnd"/>
      <w:r w:rsidRPr="00D31E39">
        <w:rPr>
          <w:rStyle w:val="ilfuvd"/>
          <w:rFonts w:asciiTheme="majorHAnsi" w:hAnsiTheme="majorHAnsi" w:cs="Arial"/>
          <w:color w:val="000000" w:themeColor="text1"/>
          <w:sz w:val="20"/>
          <w:szCs w:val="20"/>
          <w:lang w:val="es-CO"/>
        </w:rPr>
        <w:t xml:space="preserve"> Guerra</w:t>
      </w:r>
    </w:p>
    <w:p w:rsidR="00A073AF" w:rsidRPr="00D31E39" w:rsidRDefault="00A073AF" w:rsidP="00921AE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1440"/>
          <w:tab w:val="left" w:pos="1800"/>
        </w:tabs>
        <w:spacing w:after="160" w:line="259" w:lineRule="auto"/>
        <w:ind w:left="1440" w:right="720" w:firstLine="0"/>
        <w:contextualSpacing/>
        <w:jc w:val="both"/>
        <w:rPr>
          <w:rStyle w:val="ilfuvd"/>
          <w:rFonts w:asciiTheme="majorHAnsi" w:hAnsiTheme="majorHAnsi" w:cs="Arial"/>
          <w:color w:val="000000" w:themeColor="text1"/>
          <w:sz w:val="20"/>
          <w:szCs w:val="20"/>
          <w:lang w:val="es-CO"/>
        </w:rPr>
      </w:pPr>
      <w:r w:rsidRPr="00D31E39">
        <w:rPr>
          <w:rStyle w:val="ilfuvd"/>
          <w:rFonts w:asciiTheme="majorHAnsi" w:hAnsiTheme="majorHAnsi" w:cs="Arial"/>
          <w:color w:val="000000" w:themeColor="text1"/>
          <w:sz w:val="20"/>
          <w:szCs w:val="20"/>
          <w:lang w:val="es-CO"/>
        </w:rPr>
        <w:t>Ariosto González Gómez</w:t>
      </w:r>
    </w:p>
    <w:p w:rsidR="00A073AF" w:rsidRPr="00D31E39" w:rsidRDefault="00A073AF" w:rsidP="00921AE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1440"/>
          <w:tab w:val="left" w:pos="1800"/>
        </w:tabs>
        <w:spacing w:after="160" w:line="259" w:lineRule="auto"/>
        <w:ind w:left="1440" w:right="720" w:firstLine="0"/>
        <w:contextualSpacing/>
        <w:jc w:val="both"/>
        <w:rPr>
          <w:rStyle w:val="ilfuvd"/>
          <w:rFonts w:asciiTheme="majorHAnsi" w:hAnsiTheme="majorHAnsi" w:cs="Arial"/>
          <w:color w:val="000000" w:themeColor="text1"/>
          <w:sz w:val="20"/>
          <w:szCs w:val="20"/>
          <w:lang w:val="es-CO"/>
        </w:rPr>
      </w:pPr>
      <w:r w:rsidRPr="00D31E39">
        <w:rPr>
          <w:rStyle w:val="ilfuvd"/>
          <w:rFonts w:asciiTheme="majorHAnsi" w:hAnsiTheme="majorHAnsi" w:cs="Arial"/>
          <w:color w:val="000000" w:themeColor="text1"/>
          <w:sz w:val="20"/>
          <w:szCs w:val="20"/>
          <w:lang w:val="es-CO"/>
        </w:rPr>
        <w:t>Cruz Mojica Flórez</w:t>
      </w:r>
    </w:p>
    <w:p w:rsidR="00A073AF" w:rsidRPr="00D31E39" w:rsidRDefault="00A073AF" w:rsidP="00921AE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1440"/>
          <w:tab w:val="left" w:pos="1800"/>
        </w:tabs>
        <w:spacing w:after="160" w:line="259" w:lineRule="auto"/>
        <w:ind w:left="1440" w:right="720" w:firstLine="0"/>
        <w:contextualSpacing/>
        <w:jc w:val="both"/>
        <w:rPr>
          <w:rStyle w:val="ilfuvd"/>
          <w:rFonts w:asciiTheme="majorHAnsi" w:hAnsiTheme="majorHAnsi" w:cs="Arial"/>
          <w:color w:val="000000" w:themeColor="text1"/>
          <w:sz w:val="20"/>
          <w:szCs w:val="20"/>
          <w:lang w:val="es-CO"/>
        </w:rPr>
      </w:pPr>
      <w:r w:rsidRPr="00D31E39">
        <w:rPr>
          <w:rStyle w:val="ilfuvd"/>
          <w:rFonts w:asciiTheme="majorHAnsi" w:hAnsiTheme="majorHAnsi" w:cs="Arial"/>
          <w:color w:val="000000" w:themeColor="text1"/>
          <w:sz w:val="20"/>
          <w:szCs w:val="20"/>
          <w:lang w:val="es-CO"/>
        </w:rPr>
        <w:t>Candelario Torres Sánchez</w:t>
      </w:r>
    </w:p>
    <w:p w:rsidR="00A073AF" w:rsidRPr="00D31E39" w:rsidRDefault="00A073AF" w:rsidP="00921AE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1440"/>
          <w:tab w:val="left" w:pos="1800"/>
        </w:tabs>
        <w:spacing w:after="160" w:line="259" w:lineRule="auto"/>
        <w:ind w:left="1440" w:right="720" w:firstLine="0"/>
        <w:contextualSpacing/>
        <w:jc w:val="both"/>
        <w:rPr>
          <w:rStyle w:val="ilfuvd"/>
          <w:rFonts w:asciiTheme="majorHAnsi" w:hAnsiTheme="majorHAnsi" w:cs="Arial"/>
          <w:color w:val="000000" w:themeColor="text1"/>
          <w:sz w:val="20"/>
          <w:szCs w:val="20"/>
          <w:lang w:val="es-CO"/>
        </w:rPr>
      </w:pPr>
      <w:r w:rsidRPr="00D31E39">
        <w:rPr>
          <w:rStyle w:val="ilfuvd"/>
          <w:rFonts w:asciiTheme="majorHAnsi" w:hAnsiTheme="majorHAnsi" w:cs="Arial"/>
          <w:color w:val="000000" w:themeColor="text1"/>
          <w:sz w:val="20"/>
          <w:szCs w:val="20"/>
          <w:lang w:val="es-CO"/>
        </w:rPr>
        <w:t xml:space="preserve">Julio Alberto </w:t>
      </w:r>
      <w:proofErr w:type="spellStart"/>
      <w:r w:rsidRPr="00D31E39">
        <w:rPr>
          <w:rStyle w:val="ilfuvd"/>
          <w:rFonts w:asciiTheme="majorHAnsi" w:hAnsiTheme="majorHAnsi" w:cs="Arial"/>
          <w:color w:val="000000" w:themeColor="text1"/>
          <w:sz w:val="20"/>
          <w:szCs w:val="20"/>
          <w:lang w:val="es-CO"/>
        </w:rPr>
        <w:t>Samudio</w:t>
      </w:r>
      <w:proofErr w:type="spellEnd"/>
      <w:r w:rsidRPr="00D31E39">
        <w:rPr>
          <w:rStyle w:val="ilfuvd"/>
          <w:rFonts w:asciiTheme="majorHAnsi" w:hAnsiTheme="majorHAnsi" w:cs="Arial"/>
          <w:color w:val="000000" w:themeColor="text1"/>
          <w:sz w:val="20"/>
          <w:szCs w:val="20"/>
          <w:lang w:val="es-CO"/>
        </w:rPr>
        <w:t xml:space="preserve"> Silvera</w:t>
      </w:r>
    </w:p>
    <w:p w:rsidR="00A073AF" w:rsidRPr="00D31E39" w:rsidRDefault="00A073AF" w:rsidP="00921AE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1440"/>
          <w:tab w:val="left" w:pos="1800"/>
        </w:tabs>
        <w:spacing w:after="160" w:line="259" w:lineRule="auto"/>
        <w:ind w:left="1440" w:right="720" w:firstLine="0"/>
        <w:contextualSpacing/>
        <w:jc w:val="both"/>
        <w:rPr>
          <w:rStyle w:val="ilfuvd"/>
          <w:rFonts w:asciiTheme="majorHAnsi" w:hAnsiTheme="majorHAnsi" w:cs="Arial"/>
          <w:color w:val="000000" w:themeColor="text1"/>
          <w:sz w:val="20"/>
          <w:szCs w:val="20"/>
          <w:lang w:val="es-CO"/>
        </w:rPr>
      </w:pPr>
      <w:r w:rsidRPr="00D31E39">
        <w:rPr>
          <w:rStyle w:val="ilfuvd"/>
          <w:rFonts w:asciiTheme="majorHAnsi" w:hAnsiTheme="majorHAnsi" w:cs="Arial"/>
          <w:color w:val="000000" w:themeColor="text1"/>
          <w:sz w:val="20"/>
          <w:szCs w:val="20"/>
          <w:lang w:val="es-CO"/>
        </w:rPr>
        <w:t xml:space="preserve">Luis Antonio </w:t>
      </w:r>
      <w:proofErr w:type="spellStart"/>
      <w:r w:rsidRPr="00D31E39">
        <w:rPr>
          <w:rStyle w:val="ilfuvd"/>
          <w:rFonts w:asciiTheme="majorHAnsi" w:hAnsiTheme="majorHAnsi" w:cs="Arial"/>
          <w:color w:val="000000" w:themeColor="text1"/>
          <w:sz w:val="20"/>
          <w:szCs w:val="20"/>
          <w:lang w:val="es-CO"/>
        </w:rPr>
        <w:t>Quiróz</w:t>
      </w:r>
      <w:proofErr w:type="spellEnd"/>
      <w:r w:rsidRPr="00D31E39">
        <w:rPr>
          <w:rStyle w:val="ilfuvd"/>
          <w:rFonts w:asciiTheme="majorHAnsi" w:hAnsiTheme="majorHAnsi" w:cs="Arial"/>
          <w:color w:val="000000" w:themeColor="text1"/>
          <w:sz w:val="20"/>
          <w:szCs w:val="20"/>
          <w:lang w:val="es-CO"/>
        </w:rPr>
        <w:t xml:space="preserve"> Morales</w:t>
      </w:r>
    </w:p>
    <w:p w:rsidR="00A073AF" w:rsidRPr="00D31E39" w:rsidRDefault="00A073AF" w:rsidP="00921AE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1440"/>
          <w:tab w:val="left" w:pos="1800"/>
        </w:tabs>
        <w:spacing w:after="160" w:line="259" w:lineRule="auto"/>
        <w:ind w:left="1440" w:right="720" w:firstLine="0"/>
        <w:contextualSpacing/>
        <w:jc w:val="both"/>
        <w:rPr>
          <w:rStyle w:val="ilfuvd"/>
          <w:rFonts w:asciiTheme="majorHAnsi" w:hAnsiTheme="majorHAnsi" w:cs="Arial"/>
          <w:color w:val="000000" w:themeColor="text1"/>
          <w:sz w:val="20"/>
          <w:szCs w:val="20"/>
          <w:lang w:val="es-CO"/>
        </w:rPr>
      </w:pPr>
      <w:r w:rsidRPr="00D31E39">
        <w:rPr>
          <w:rStyle w:val="ilfuvd"/>
          <w:rFonts w:asciiTheme="majorHAnsi" w:hAnsiTheme="majorHAnsi" w:cs="Arial"/>
          <w:color w:val="000000" w:themeColor="text1"/>
          <w:sz w:val="20"/>
          <w:szCs w:val="20"/>
          <w:lang w:val="es-CO"/>
        </w:rPr>
        <w:t xml:space="preserve">Cecilio Fuentes </w:t>
      </w:r>
      <w:proofErr w:type="spellStart"/>
      <w:r w:rsidRPr="00D31E39">
        <w:rPr>
          <w:rStyle w:val="ilfuvd"/>
          <w:rFonts w:asciiTheme="majorHAnsi" w:hAnsiTheme="majorHAnsi" w:cs="Arial"/>
          <w:color w:val="000000" w:themeColor="text1"/>
          <w:sz w:val="20"/>
          <w:szCs w:val="20"/>
          <w:lang w:val="es-CO"/>
        </w:rPr>
        <w:t>Justavino</w:t>
      </w:r>
      <w:proofErr w:type="spellEnd"/>
    </w:p>
    <w:p w:rsidR="00A073AF" w:rsidRPr="00D31E39" w:rsidRDefault="00A073AF" w:rsidP="00921AE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1440"/>
          <w:tab w:val="left" w:pos="1800"/>
        </w:tabs>
        <w:spacing w:after="160" w:line="259" w:lineRule="auto"/>
        <w:ind w:left="1440" w:right="720" w:firstLine="0"/>
        <w:contextualSpacing/>
        <w:jc w:val="both"/>
        <w:rPr>
          <w:rStyle w:val="ilfuvd"/>
          <w:rFonts w:asciiTheme="majorHAnsi" w:hAnsiTheme="majorHAnsi" w:cs="Arial"/>
          <w:color w:val="000000" w:themeColor="text1"/>
          <w:sz w:val="20"/>
          <w:szCs w:val="20"/>
          <w:lang w:val="es-CO"/>
        </w:rPr>
      </w:pPr>
      <w:r w:rsidRPr="00D31E39">
        <w:rPr>
          <w:rStyle w:val="ilfuvd"/>
          <w:rFonts w:asciiTheme="majorHAnsi" w:hAnsiTheme="majorHAnsi" w:cs="Arial"/>
          <w:color w:val="000000" w:themeColor="text1"/>
          <w:sz w:val="20"/>
          <w:szCs w:val="20"/>
          <w:lang w:val="es-CO"/>
        </w:rPr>
        <w:lastRenderedPageBreak/>
        <w:t>Diego Villarreal Serrano</w:t>
      </w:r>
    </w:p>
    <w:p w:rsidR="00A073AF" w:rsidRPr="00D31E39" w:rsidRDefault="00A073AF" w:rsidP="00921AE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1440"/>
          <w:tab w:val="left" w:pos="1800"/>
        </w:tabs>
        <w:spacing w:after="160" w:line="259" w:lineRule="auto"/>
        <w:ind w:left="1440" w:right="720" w:firstLine="0"/>
        <w:contextualSpacing/>
        <w:jc w:val="both"/>
        <w:rPr>
          <w:rStyle w:val="ilfuvd"/>
          <w:rFonts w:asciiTheme="majorHAnsi" w:hAnsiTheme="majorHAnsi" w:cs="Arial"/>
          <w:color w:val="000000" w:themeColor="text1"/>
          <w:sz w:val="20"/>
          <w:szCs w:val="20"/>
          <w:lang w:val="es-CO"/>
        </w:rPr>
      </w:pPr>
      <w:r w:rsidRPr="00D31E39">
        <w:rPr>
          <w:rStyle w:val="ilfuvd"/>
          <w:rFonts w:asciiTheme="majorHAnsi" w:hAnsiTheme="majorHAnsi" w:cs="Arial"/>
          <w:color w:val="000000" w:themeColor="text1"/>
          <w:sz w:val="20"/>
          <w:szCs w:val="20"/>
          <w:lang w:val="es-CO"/>
        </w:rPr>
        <w:t>Alonso Sabin Castillo</w:t>
      </w:r>
    </w:p>
    <w:p w:rsidR="00A073AF" w:rsidRPr="00D31E39" w:rsidRDefault="00A073AF" w:rsidP="00921AE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1440"/>
          <w:tab w:val="left" w:pos="1800"/>
        </w:tabs>
        <w:spacing w:after="160" w:line="259" w:lineRule="auto"/>
        <w:ind w:left="1440" w:right="720" w:firstLine="0"/>
        <w:contextualSpacing/>
        <w:jc w:val="both"/>
        <w:rPr>
          <w:rStyle w:val="ilfuvd"/>
          <w:rFonts w:asciiTheme="majorHAnsi" w:hAnsiTheme="majorHAnsi" w:cs="Arial"/>
          <w:color w:val="000000" w:themeColor="text1"/>
          <w:sz w:val="20"/>
          <w:szCs w:val="20"/>
          <w:lang w:val="es-CO"/>
        </w:rPr>
      </w:pPr>
      <w:r w:rsidRPr="00D31E39">
        <w:rPr>
          <w:rStyle w:val="ilfuvd"/>
          <w:rFonts w:asciiTheme="majorHAnsi" w:hAnsiTheme="majorHAnsi" w:cs="Arial"/>
          <w:color w:val="000000" w:themeColor="text1"/>
          <w:sz w:val="20"/>
          <w:szCs w:val="20"/>
          <w:lang w:val="es-CO"/>
        </w:rPr>
        <w:t xml:space="preserve">Edwin </w:t>
      </w:r>
      <w:proofErr w:type="spellStart"/>
      <w:r w:rsidRPr="00D31E39">
        <w:rPr>
          <w:rStyle w:val="ilfuvd"/>
          <w:rFonts w:asciiTheme="majorHAnsi" w:hAnsiTheme="majorHAnsi" w:cs="Arial"/>
          <w:color w:val="000000" w:themeColor="text1"/>
          <w:sz w:val="20"/>
          <w:szCs w:val="20"/>
          <w:lang w:val="es-CO"/>
        </w:rPr>
        <w:t>Eredio</w:t>
      </w:r>
      <w:proofErr w:type="spellEnd"/>
      <w:r w:rsidRPr="00D31E39">
        <w:rPr>
          <w:rStyle w:val="ilfuvd"/>
          <w:rFonts w:asciiTheme="majorHAnsi" w:hAnsiTheme="majorHAnsi" w:cs="Arial"/>
          <w:color w:val="000000" w:themeColor="text1"/>
          <w:sz w:val="20"/>
          <w:szCs w:val="20"/>
          <w:lang w:val="es-CO"/>
        </w:rPr>
        <w:t xml:space="preserve"> Amaya</w:t>
      </w:r>
    </w:p>
    <w:p w:rsidR="00A073AF" w:rsidRPr="00D31E39" w:rsidRDefault="00A073AF" w:rsidP="00921AE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1440"/>
          <w:tab w:val="left" w:pos="1800"/>
        </w:tabs>
        <w:spacing w:after="160" w:line="259" w:lineRule="auto"/>
        <w:ind w:left="1440" w:right="720" w:firstLine="0"/>
        <w:contextualSpacing/>
        <w:jc w:val="both"/>
        <w:rPr>
          <w:rStyle w:val="ilfuvd"/>
          <w:rFonts w:asciiTheme="majorHAnsi" w:hAnsiTheme="majorHAnsi" w:cs="Arial"/>
          <w:color w:val="000000" w:themeColor="text1"/>
          <w:sz w:val="20"/>
          <w:szCs w:val="20"/>
          <w:lang w:val="es-CO"/>
        </w:rPr>
      </w:pPr>
      <w:r w:rsidRPr="00D31E39">
        <w:rPr>
          <w:rStyle w:val="ilfuvd"/>
          <w:rFonts w:asciiTheme="majorHAnsi" w:hAnsiTheme="majorHAnsi" w:cs="Arial"/>
          <w:color w:val="000000" w:themeColor="text1"/>
          <w:sz w:val="20"/>
          <w:szCs w:val="20"/>
          <w:lang w:val="es-CO"/>
        </w:rPr>
        <w:t>Marta Morán Jiménez</w:t>
      </w:r>
    </w:p>
    <w:p w:rsidR="00A073AF" w:rsidRPr="00D31E39" w:rsidRDefault="00A073AF" w:rsidP="00921AE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1440"/>
          <w:tab w:val="left" w:pos="1800"/>
        </w:tabs>
        <w:spacing w:after="160" w:line="259" w:lineRule="auto"/>
        <w:ind w:left="1440" w:right="720" w:firstLine="0"/>
        <w:contextualSpacing/>
        <w:jc w:val="both"/>
        <w:rPr>
          <w:rStyle w:val="ilfuvd"/>
          <w:rFonts w:asciiTheme="majorHAnsi" w:hAnsiTheme="majorHAnsi" w:cs="Arial"/>
          <w:color w:val="000000" w:themeColor="text1"/>
          <w:sz w:val="20"/>
          <w:szCs w:val="20"/>
          <w:lang w:val="es-CO"/>
        </w:rPr>
      </w:pPr>
      <w:r w:rsidRPr="00D31E39">
        <w:rPr>
          <w:rStyle w:val="ilfuvd"/>
          <w:rFonts w:asciiTheme="majorHAnsi" w:hAnsiTheme="majorHAnsi" w:cs="Arial"/>
          <w:color w:val="000000" w:themeColor="text1"/>
          <w:sz w:val="20"/>
          <w:szCs w:val="20"/>
          <w:lang w:val="es-CO"/>
        </w:rPr>
        <w:t>Félix Antonio Serrano Rodríguez</w:t>
      </w:r>
    </w:p>
    <w:p w:rsidR="00A073AF" w:rsidRPr="00D31E39" w:rsidRDefault="00A073AF" w:rsidP="00921AED">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 w:val="left" w:pos="1440"/>
          <w:tab w:val="left" w:pos="1800"/>
        </w:tabs>
        <w:spacing w:after="160" w:line="259" w:lineRule="auto"/>
        <w:ind w:left="1440" w:right="720" w:firstLine="0"/>
        <w:contextualSpacing/>
        <w:jc w:val="both"/>
        <w:rPr>
          <w:rStyle w:val="ilfuvd"/>
          <w:rFonts w:asciiTheme="majorHAnsi" w:hAnsiTheme="majorHAnsi" w:cs="Arial"/>
          <w:color w:val="000000" w:themeColor="text1"/>
          <w:sz w:val="20"/>
          <w:szCs w:val="20"/>
          <w:lang w:val="es-CO"/>
        </w:rPr>
      </w:pPr>
      <w:r w:rsidRPr="00D31E39">
        <w:rPr>
          <w:rStyle w:val="ilfuvd"/>
          <w:rFonts w:asciiTheme="majorHAnsi" w:hAnsiTheme="majorHAnsi" w:cs="Arial"/>
          <w:color w:val="000000" w:themeColor="text1"/>
          <w:sz w:val="20"/>
          <w:szCs w:val="20"/>
          <w:lang w:val="es-CO"/>
        </w:rPr>
        <w:t>Carlos Efraín Guzmán Baúles</w:t>
      </w:r>
    </w:p>
    <w:p w:rsidR="00A073AF" w:rsidRDefault="00A073AF" w:rsidP="00A073AF">
      <w:pPr>
        <w:tabs>
          <w:tab w:val="left" w:pos="1080"/>
        </w:tabs>
        <w:ind w:left="720" w:right="720"/>
        <w:jc w:val="both"/>
        <w:rPr>
          <w:rStyle w:val="ilfuvd"/>
          <w:rFonts w:asciiTheme="majorHAnsi" w:hAnsiTheme="majorHAnsi" w:cs="Arial"/>
          <w:sz w:val="20"/>
          <w:szCs w:val="20"/>
          <w:lang w:val="es-CO"/>
        </w:rPr>
      </w:pPr>
      <w:r w:rsidRPr="00D31E39">
        <w:rPr>
          <w:rStyle w:val="ilfuvd"/>
          <w:rFonts w:asciiTheme="majorHAnsi" w:hAnsiTheme="majorHAnsi" w:cs="Arial"/>
          <w:sz w:val="20"/>
          <w:szCs w:val="20"/>
          <w:lang w:val="es-CO"/>
        </w:rPr>
        <w:t xml:space="preserve">En el ANEXO A del presente Acuerdo, las partes incluyen la lista de familiares de víctimas reconocidas por las partes </w:t>
      </w:r>
      <w:r w:rsidR="00266172">
        <w:rPr>
          <w:rStyle w:val="ilfuvd"/>
          <w:rFonts w:asciiTheme="majorHAnsi" w:hAnsiTheme="majorHAnsi" w:cs="Arial"/>
          <w:sz w:val="20"/>
          <w:szCs w:val="20"/>
          <w:lang w:val="es-CO"/>
        </w:rPr>
        <w:t>en relación con el Caso 13.017 C</w:t>
      </w:r>
      <w:r w:rsidRPr="00D31E39">
        <w:rPr>
          <w:rStyle w:val="ilfuvd"/>
          <w:rFonts w:asciiTheme="majorHAnsi" w:hAnsiTheme="majorHAnsi" w:cs="Arial"/>
          <w:sz w:val="20"/>
          <w:szCs w:val="20"/>
          <w:lang w:val="es-CO"/>
        </w:rPr>
        <w:t xml:space="preserve"> “Familiares de Víctimas de la Dictadura de Panamá de octubre de 1968 a diciembre de 1989”, misma que consideran consistente con el Informe Final de la Comisión de la Verdad de Panamá. Las p</w:t>
      </w:r>
      <w:r w:rsidR="0086670B">
        <w:rPr>
          <w:rStyle w:val="ilfuvd"/>
          <w:rFonts w:asciiTheme="majorHAnsi" w:hAnsiTheme="majorHAnsi" w:cs="Arial"/>
          <w:sz w:val="20"/>
          <w:szCs w:val="20"/>
          <w:lang w:val="es-CO"/>
        </w:rPr>
        <w:t>artes consideran que el Anexo A</w:t>
      </w:r>
      <w:r w:rsidRPr="00D31E39">
        <w:rPr>
          <w:rStyle w:val="ilfuvd"/>
          <w:rFonts w:asciiTheme="majorHAnsi" w:hAnsiTheme="majorHAnsi" w:cs="Arial"/>
          <w:sz w:val="20"/>
          <w:szCs w:val="20"/>
          <w:lang w:val="es-CO"/>
        </w:rPr>
        <w:t xml:space="preserve"> hace parte integral de este acuerdo de solución amistosa. </w:t>
      </w:r>
    </w:p>
    <w:p w:rsidR="0086670B" w:rsidRPr="00D31E39" w:rsidRDefault="0086670B" w:rsidP="00A073AF">
      <w:pPr>
        <w:tabs>
          <w:tab w:val="left" w:pos="1080"/>
        </w:tabs>
        <w:ind w:left="720" w:right="720"/>
        <w:jc w:val="both"/>
        <w:rPr>
          <w:rStyle w:val="ilfuvd"/>
          <w:rFonts w:asciiTheme="majorHAnsi" w:hAnsiTheme="majorHAnsi" w:cs="Arial"/>
          <w:sz w:val="20"/>
          <w:szCs w:val="20"/>
          <w:lang w:val="es-CO"/>
        </w:rPr>
      </w:pPr>
    </w:p>
    <w:p w:rsidR="00A073AF" w:rsidRDefault="00A073AF" w:rsidP="00A073AF">
      <w:pPr>
        <w:tabs>
          <w:tab w:val="left" w:pos="1080"/>
        </w:tabs>
        <w:ind w:left="720" w:right="720"/>
        <w:jc w:val="both"/>
        <w:rPr>
          <w:rStyle w:val="ilfuvd"/>
          <w:rFonts w:asciiTheme="majorHAnsi" w:hAnsiTheme="majorHAnsi" w:cs="Arial"/>
          <w:sz w:val="20"/>
          <w:szCs w:val="20"/>
          <w:lang w:val="es-CO"/>
        </w:rPr>
      </w:pPr>
      <w:r w:rsidRPr="00D31E39">
        <w:rPr>
          <w:rStyle w:val="ilfuvd"/>
          <w:rFonts w:asciiTheme="majorHAnsi" w:hAnsiTheme="majorHAnsi" w:cs="Arial"/>
          <w:color w:val="000000" w:themeColor="text1"/>
          <w:sz w:val="20"/>
          <w:szCs w:val="20"/>
          <w:lang w:val="es-CO"/>
        </w:rPr>
        <w:t xml:space="preserve">El Estado a través del Ministerio de </w:t>
      </w:r>
      <w:r w:rsidRPr="00D31E39">
        <w:rPr>
          <w:rStyle w:val="ilfuvd"/>
          <w:rFonts w:asciiTheme="majorHAnsi" w:hAnsiTheme="majorHAnsi" w:cs="Arial"/>
          <w:sz w:val="20"/>
          <w:szCs w:val="20"/>
          <w:lang w:val="es-CO"/>
        </w:rPr>
        <w:t>Economía y Finanzas se compromete a revisar dichos peritajes técnicos actuariales a fin de determinar si los mismos cumplen con los procedimientos establecidos por el Ministerio de Economía y Finanzas y la legislación panameña en concepto de indemnizaciones por casos de Derechos Humanos y crímenes de lesa humanidad.</w:t>
      </w:r>
    </w:p>
    <w:p w:rsidR="0086670B" w:rsidRPr="00D31E39" w:rsidRDefault="0086670B" w:rsidP="00A073AF">
      <w:pPr>
        <w:tabs>
          <w:tab w:val="left" w:pos="1080"/>
        </w:tabs>
        <w:ind w:left="720" w:right="720"/>
        <w:jc w:val="both"/>
        <w:rPr>
          <w:rStyle w:val="ilfuvd"/>
          <w:rFonts w:asciiTheme="majorHAnsi" w:hAnsiTheme="majorHAnsi" w:cs="Arial"/>
          <w:sz w:val="20"/>
          <w:szCs w:val="20"/>
          <w:lang w:val="es-CO"/>
        </w:rPr>
      </w:pP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r w:rsidRPr="00D31E39">
        <w:rPr>
          <w:rFonts w:asciiTheme="majorHAnsi" w:eastAsia="Arial" w:hAnsiTheme="majorHAnsi" w:cs="Arial"/>
          <w:sz w:val="20"/>
          <w:szCs w:val="20"/>
          <w:lang w:val="es-CO"/>
        </w:rPr>
        <w:t xml:space="preserve">El Estado  designará al Ministerio de Economía y Finanzas como la entidad encargada, en nombre de la República de Panamá, para ejecutar diligentemente y oportunamente, el trámite correspondiente al pago de las obligaciones económicas antes señaladas, </w:t>
      </w:r>
      <w:r w:rsidRPr="00D31E39">
        <w:rPr>
          <w:rFonts w:asciiTheme="majorHAnsi" w:eastAsia="Arial" w:hAnsiTheme="majorHAnsi" w:cs="Arial"/>
          <w:b/>
          <w:sz w:val="20"/>
          <w:szCs w:val="20"/>
          <w:u w:val="single"/>
          <w:lang w:val="es-CO"/>
        </w:rPr>
        <w:t>sin el cobro del respectivo impuesto sobre la renta</w:t>
      </w:r>
      <w:r w:rsidRPr="00D31E39">
        <w:rPr>
          <w:rFonts w:asciiTheme="majorHAnsi" w:eastAsia="Arial" w:hAnsiTheme="majorHAnsi" w:cs="Arial"/>
          <w:sz w:val="20"/>
          <w:szCs w:val="20"/>
          <w:lang w:val="es-CO"/>
        </w:rPr>
        <w:t>, tal como se estableció como precedente  y compromiso por parte del Estado en el artículo 7, del Decreto de Gabinete N° 42 del 13 de noviembre de 2012, publicado en la Gaceta Oficial N° 27164-A del jueves 15 de noviembre de 2012.</w:t>
      </w: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p>
    <w:p w:rsidR="00A073AF" w:rsidRPr="00D31E39" w:rsidRDefault="00A073AF" w:rsidP="00A073AF">
      <w:pPr>
        <w:pStyle w:val="Default"/>
        <w:tabs>
          <w:tab w:val="left" w:pos="1080"/>
        </w:tabs>
        <w:ind w:left="720" w:right="720"/>
        <w:jc w:val="both"/>
        <w:rPr>
          <w:rFonts w:asciiTheme="majorHAnsi" w:hAnsiTheme="majorHAnsi" w:cs="Arial"/>
          <w:sz w:val="20"/>
          <w:szCs w:val="20"/>
          <w:lang w:val="es-CO"/>
        </w:rPr>
      </w:pPr>
      <w:r w:rsidRPr="00D31E39">
        <w:rPr>
          <w:rFonts w:asciiTheme="majorHAnsi" w:hAnsiTheme="majorHAnsi" w:cs="Arial"/>
          <w:sz w:val="20"/>
          <w:szCs w:val="20"/>
          <w:lang w:val="es-CO"/>
        </w:rPr>
        <w:t xml:space="preserve">Los peticionarios renuncian, de manera definitiva e irrevocable, a iniciar otro reclamo de naturaleza pecuniaria contra el Estado Nacional en relación con el presente caso. </w:t>
      </w: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p>
    <w:p w:rsidR="00A073AF" w:rsidRPr="00D31E39" w:rsidRDefault="00A073AF" w:rsidP="00921AE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firstLine="0"/>
        <w:contextualSpacing/>
        <w:jc w:val="both"/>
        <w:rPr>
          <w:rFonts w:asciiTheme="majorHAnsi" w:hAnsiTheme="majorHAnsi" w:cs="Arial"/>
          <w:b/>
          <w:sz w:val="20"/>
          <w:szCs w:val="20"/>
          <w:lang w:val="es-CO"/>
        </w:rPr>
      </w:pPr>
      <w:r w:rsidRPr="00D31E39">
        <w:rPr>
          <w:rFonts w:asciiTheme="majorHAnsi" w:hAnsiTheme="majorHAnsi" w:cs="Arial"/>
          <w:b/>
          <w:sz w:val="20"/>
          <w:szCs w:val="20"/>
          <w:lang w:val="es-CO"/>
        </w:rPr>
        <w:t xml:space="preserve">Medidas de satisfacción y garantías de no repetición. </w:t>
      </w: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r w:rsidRPr="00D31E39">
        <w:rPr>
          <w:rFonts w:asciiTheme="majorHAnsi" w:eastAsia="Arial" w:hAnsiTheme="majorHAnsi" w:cs="Arial"/>
          <w:sz w:val="20"/>
          <w:szCs w:val="20"/>
          <w:lang w:val="es-CO"/>
        </w:rPr>
        <w:t xml:space="preserve">Este apartado da cumplimiento a la segunda modalidad de reparación del daño inmaterial, al que hace referencia la jurisprudencia de la Corte, </w:t>
      </w:r>
      <w:r w:rsidR="00E442EA">
        <w:rPr>
          <w:rFonts w:asciiTheme="majorHAnsi" w:eastAsia="Arial" w:hAnsiTheme="majorHAnsi" w:cs="Arial"/>
          <w:sz w:val="20"/>
          <w:szCs w:val="20"/>
          <w:lang w:val="es-CO"/>
        </w:rPr>
        <w:t xml:space="preserve">[que] </w:t>
      </w:r>
      <w:r w:rsidRPr="00D31E39">
        <w:rPr>
          <w:rFonts w:asciiTheme="majorHAnsi" w:eastAsia="Arial" w:hAnsiTheme="majorHAnsi" w:cs="Arial"/>
          <w:sz w:val="20"/>
          <w:szCs w:val="20"/>
          <w:lang w:val="es-CO"/>
        </w:rPr>
        <w:t xml:space="preserve">por sus características no puede ser compensado económicamente, sino que tiene como finalidad dignificar a las víctimas de los hechos y al mismo tiempo garantizar que las violaciones de derechos humanos no se repetirán en el futuro. </w:t>
      </w: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r w:rsidRPr="00D31E39">
        <w:rPr>
          <w:rFonts w:asciiTheme="majorHAnsi" w:eastAsia="Arial" w:hAnsiTheme="majorHAnsi" w:cs="Arial"/>
          <w:sz w:val="20"/>
          <w:szCs w:val="20"/>
          <w:lang w:val="es-CO"/>
        </w:rPr>
        <w:t xml:space="preserve">De acuerdo con la Corte Interamericana de Derechos Humanos, implican aquellas medidas de satisfacción que buscan reparar el daño inmaterial, que no tienen alcance pecuniario, así como también, medidas de alcance o repercusión pública. En el mismo sentido, la Corte también ha establecido que éstas medidas se derivan de "otros efectos lesivos de los hechos, que no tienen carácter económico o patrimonial y que podrían ser reparados mediante la realización de actos del poder público; que incluyen la investigación y sanción de los responsables, la reivindicación de la memoria de la víctima y el consuelo a sus deudos; y que signifiquen una reprobación oficial de las violaciones de los derechos humanos acaecidas y entrañen compromiso que hechos como los del presente caso no vuelvan a ocurrir. </w:t>
      </w: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p>
    <w:p w:rsidR="00A073AF" w:rsidRPr="00D31E39" w:rsidRDefault="00A073AF" w:rsidP="00921AED">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0"/>
        <w:contextualSpacing/>
        <w:jc w:val="both"/>
        <w:rPr>
          <w:rFonts w:asciiTheme="majorHAnsi" w:hAnsiTheme="majorHAnsi" w:cs="Arial"/>
          <w:b/>
          <w:sz w:val="20"/>
          <w:szCs w:val="20"/>
          <w:lang w:val="es-CO"/>
        </w:rPr>
      </w:pPr>
      <w:r w:rsidRPr="00D31E39">
        <w:rPr>
          <w:rFonts w:asciiTheme="majorHAnsi" w:hAnsiTheme="majorHAnsi" w:cs="Arial"/>
          <w:b/>
          <w:sz w:val="20"/>
          <w:szCs w:val="20"/>
          <w:lang w:val="es-CO"/>
        </w:rPr>
        <w:t xml:space="preserve">Pronunciamiento Público sobre los hechos. </w:t>
      </w: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r w:rsidRPr="00D31E39">
        <w:rPr>
          <w:rFonts w:asciiTheme="majorHAnsi" w:eastAsia="Arial" w:hAnsiTheme="majorHAnsi" w:cs="Arial"/>
          <w:sz w:val="20"/>
          <w:szCs w:val="20"/>
          <w:lang w:val="es-CO"/>
        </w:rPr>
        <w:t xml:space="preserve">El Estado se compromete a realizar un pronunciamiento público de Perdón y Reconocimiento de Responsabilidad Internacional para aceptar y responsabilizarse como Estado de los hechos  ocurridos. El Estado se compromete a que en dicho acto se les pedirá perdón público a los familiares </w:t>
      </w:r>
      <w:r w:rsidRPr="00D31E39">
        <w:rPr>
          <w:rFonts w:asciiTheme="majorHAnsi" w:eastAsia="Arial" w:hAnsiTheme="majorHAnsi" w:cs="Arial"/>
          <w:color w:val="000000"/>
          <w:sz w:val="20"/>
          <w:szCs w:val="20"/>
          <w:lang w:val="es-CO"/>
        </w:rPr>
        <w:t xml:space="preserve">de </w:t>
      </w:r>
      <w:r w:rsidRPr="00D31E39">
        <w:rPr>
          <w:rFonts w:asciiTheme="majorHAnsi" w:eastAsia="Arial" w:hAnsiTheme="majorHAnsi" w:cs="Arial"/>
          <w:b/>
          <w:color w:val="000000"/>
          <w:sz w:val="20"/>
          <w:szCs w:val="20"/>
          <w:lang w:val="es-CO"/>
        </w:rPr>
        <w:t>COFADECHI</w:t>
      </w:r>
      <w:r w:rsidRPr="00D31E39">
        <w:rPr>
          <w:rFonts w:asciiTheme="majorHAnsi" w:eastAsia="Arial" w:hAnsiTheme="majorHAnsi" w:cs="Arial"/>
          <w:color w:val="000000"/>
          <w:sz w:val="20"/>
          <w:szCs w:val="20"/>
          <w:lang w:val="es-CO"/>
        </w:rPr>
        <w:t xml:space="preserve"> </w:t>
      </w:r>
      <w:r w:rsidRPr="00D31E39">
        <w:rPr>
          <w:rFonts w:asciiTheme="majorHAnsi" w:eastAsia="Arial" w:hAnsiTheme="majorHAnsi" w:cs="Arial"/>
          <w:sz w:val="20"/>
          <w:szCs w:val="20"/>
          <w:lang w:val="es-CO"/>
        </w:rPr>
        <w:t xml:space="preserve">por los hechos denunciados ante la Comisión Interamericana de Derechos Humanos. </w:t>
      </w: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r w:rsidRPr="00D31E39">
        <w:rPr>
          <w:rFonts w:asciiTheme="majorHAnsi" w:eastAsia="Arial" w:hAnsiTheme="majorHAnsi" w:cs="Arial"/>
          <w:sz w:val="20"/>
          <w:szCs w:val="20"/>
          <w:lang w:val="es-CO"/>
        </w:rPr>
        <w:lastRenderedPageBreak/>
        <w:t>Dicho acto se llevará a cabo en la provincia de Chiriquí con la presencia de autoridades del Estado, los familiares de COFADECHI y familiares de COFADEPA que deseen participar.</w:t>
      </w: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r w:rsidRPr="00D31E39">
        <w:rPr>
          <w:rFonts w:asciiTheme="majorHAnsi" w:eastAsia="Arial" w:hAnsiTheme="majorHAnsi" w:cs="Arial"/>
          <w:sz w:val="20"/>
          <w:szCs w:val="20"/>
          <w:lang w:val="es-CO"/>
        </w:rPr>
        <w:t xml:space="preserve">De igual forma el Estado se compromete a publicar el pronunciamiento público en un periódico de circulación nacional y en la Gaceta Oficial; así como, a entregar una copia de este a cada uno de los peticionarios del Acuerdo de Solución Amistosa, miembros de </w:t>
      </w:r>
      <w:r w:rsidRPr="00D31E39">
        <w:rPr>
          <w:rFonts w:asciiTheme="majorHAnsi" w:eastAsia="Arial" w:hAnsiTheme="majorHAnsi" w:cs="Arial"/>
          <w:b/>
          <w:color w:val="000000"/>
          <w:sz w:val="20"/>
          <w:szCs w:val="20"/>
          <w:lang w:val="es-CO"/>
        </w:rPr>
        <w:t>COFADECHI</w:t>
      </w:r>
      <w:r w:rsidRPr="00D31E39">
        <w:rPr>
          <w:rFonts w:asciiTheme="majorHAnsi" w:eastAsia="Arial" w:hAnsiTheme="majorHAnsi" w:cs="Arial"/>
          <w:color w:val="000000"/>
          <w:sz w:val="20"/>
          <w:szCs w:val="20"/>
          <w:lang w:val="es-CO"/>
        </w:rPr>
        <w:t xml:space="preserve">. </w:t>
      </w: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p>
    <w:p w:rsidR="00A073AF" w:rsidRPr="00D31E39" w:rsidRDefault="00A073AF" w:rsidP="00921AED">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0"/>
        <w:contextualSpacing/>
        <w:jc w:val="both"/>
        <w:rPr>
          <w:rFonts w:asciiTheme="majorHAnsi" w:hAnsiTheme="majorHAnsi" w:cs="Arial"/>
          <w:b/>
          <w:sz w:val="20"/>
          <w:szCs w:val="20"/>
          <w:lang w:val="es-CO"/>
        </w:rPr>
      </w:pPr>
      <w:r w:rsidRPr="00D31E39">
        <w:rPr>
          <w:rFonts w:asciiTheme="majorHAnsi" w:hAnsiTheme="majorHAnsi" w:cs="Arial"/>
          <w:b/>
          <w:sz w:val="20"/>
          <w:szCs w:val="20"/>
          <w:lang w:val="es-CO"/>
        </w:rPr>
        <w:t xml:space="preserve">Investigación y sanción de los responsables. </w:t>
      </w: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p>
    <w:p w:rsidR="00A073AF" w:rsidRDefault="00A073AF" w:rsidP="00A073AF">
      <w:pPr>
        <w:tabs>
          <w:tab w:val="left" w:pos="1080"/>
        </w:tabs>
        <w:ind w:left="720" w:right="720"/>
        <w:jc w:val="both"/>
        <w:rPr>
          <w:rFonts w:asciiTheme="majorHAnsi" w:hAnsiTheme="majorHAnsi" w:cs="Arial"/>
          <w:sz w:val="20"/>
          <w:szCs w:val="20"/>
          <w:lang w:val="es-CO"/>
        </w:rPr>
      </w:pPr>
      <w:r w:rsidRPr="00D31E39">
        <w:rPr>
          <w:rFonts w:asciiTheme="majorHAnsi" w:hAnsiTheme="majorHAnsi" w:cs="Arial"/>
          <w:sz w:val="20"/>
          <w:szCs w:val="20"/>
          <w:lang w:val="es-CO"/>
        </w:rPr>
        <w:t>Las partes declaran y reconocen los avances y el balance positivo en las acciones del Estado en la investigación y aplicación de sentencias condenatorias en los siguientes casos:</w:t>
      </w:r>
    </w:p>
    <w:p w:rsidR="005F0C19" w:rsidRPr="00D31E39" w:rsidRDefault="005F0C19" w:rsidP="00A073AF">
      <w:pPr>
        <w:tabs>
          <w:tab w:val="left" w:pos="1080"/>
        </w:tabs>
        <w:ind w:left="720" w:right="720"/>
        <w:jc w:val="both"/>
        <w:rPr>
          <w:rFonts w:asciiTheme="majorHAnsi" w:hAnsiTheme="majorHAnsi"/>
          <w:sz w:val="20"/>
          <w:szCs w:val="20"/>
          <w:lang w:val="es-CO"/>
        </w:rPr>
      </w:pPr>
    </w:p>
    <w:p w:rsidR="00A073AF" w:rsidRPr="00D31E39" w:rsidRDefault="00A073AF" w:rsidP="00921AED">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1080" w:right="720" w:firstLine="0"/>
        <w:contextualSpacing/>
        <w:jc w:val="both"/>
        <w:rPr>
          <w:rFonts w:asciiTheme="majorHAnsi" w:hAnsiTheme="majorHAnsi"/>
          <w:sz w:val="20"/>
          <w:szCs w:val="20"/>
          <w:lang w:val="es-CO"/>
        </w:rPr>
      </w:pPr>
      <w:r w:rsidRPr="00D31E39">
        <w:rPr>
          <w:rFonts w:asciiTheme="majorHAnsi" w:hAnsiTheme="majorHAnsi" w:cs="Arial"/>
          <w:sz w:val="20"/>
          <w:szCs w:val="20"/>
          <w:lang w:val="es-CO"/>
        </w:rPr>
        <w:t xml:space="preserve">Everett Clayton </w:t>
      </w:r>
      <w:proofErr w:type="spellStart"/>
      <w:r w:rsidRPr="00D31E39">
        <w:rPr>
          <w:rFonts w:asciiTheme="majorHAnsi" w:hAnsiTheme="majorHAnsi" w:cs="Arial"/>
          <w:sz w:val="20"/>
          <w:szCs w:val="20"/>
          <w:lang w:val="es-CO"/>
        </w:rPr>
        <w:t>Kimble</w:t>
      </w:r>
      <w:proofErr w:type="spellEnd"/>
      <w:r w:rsidRPr="00D31E39">
        <w:rPr>
          <w:rFonts w:asciiTheme="majorHAnsi" w:hAnsiTheme="majorHAnsi" w:cs="Arial"/>
          <w:sz w:val="20"/>
          <w:szCs w:val="20"/>
          <w:lang w:val="es-CO"/>
        </w:rPr>
        <w:t xml:space="preserve"> (caso N°CV-D-049-01) con sentencia penal de la Corte Suprema de Justicia</w:t>
      </w:r>
      <w:r w:rsidR="005F0C19">
        <w:rPr>
          <w:rFonts w:asciiTheme="majorHAnsi" w:hAnsiTheme="majorHAnsi" w:cs="Arial"/>
          <w:sz w:val="20"/>
          <w:szCs w:val="20"/>
          <w:lang w:val="es-CO"/>
        </w:rPr>
        <w:t>.</w:t>
      </w:r>
      <w:r w:rsidRPr="00D31E39">
        <w:rPr>
          <w:rFonts w:asciiTheme="majorHAnsi" w:hAnsiTheme="majorHAnsi" w:cs="Arial"/>
          <w:sz w:val="20"/>
          <w:szCs w:val="20"/>
          <w:lang w:val="es-CO"/>
        </w:rPr>
        <w:t xml:space="preserve"> </w:t>
      </w:r>
    </w:p>
    <w:p w:rsidR="00A073AF" w:rsidRPr="00D31E39" w:rsidRDefault="00A073AF" w:rsidP="00921AED">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1080" w:right="720" w:firstLine="0"/>
        <w:contextualSpacing/>
        <w:jc w:val="both"/>
        <w:rPr>
          <w:rFonts w:asciiTheme="majorHAnsi" w:hAnsiTheme="majorHAnsi"/>
          <w:sz w:val="20"/>
          <w:szCs w:val="20"/>
          <w:lang w:val="es-CO"/>
        </w:rPr>
      </w:pPr>
      <w:r w:rsidRPr="00D31E39">
        <w:rPr>
          <w:rFonts w:asciiTheme="majorHAnsi" w:hAnsiTheme="majorHAnsi" w:cs="Arial"/>
          <w:sz w:val="20"/>
          <w:szCs w:val="20"/>
          <w:lang w:val="es-CO"/>
        </w:rPr>
        <w:t xml:space="preserve">Edwin </w:t>
      </w:r>
      <w:proofErr w:type="spellStart"/>
      <w:r w:rsidRPr="00D31E39">
        <w:rPr>
          <w:rFonts w:asciiTheme="majorHAnsi" w:hAnsiTheme="majorHAnsi" w:cs="Arial"/>
          <w:sz w:val="20"/>
          <w:szCs w:val="20"/>
          <w:lang w:val="es-CO"/>
        </w:rPr>
        <w:t>Eredio</w:t>
      </w:r>
      <w:proofErr w:type="spellEnd"/>
      <w:r w:rsidRPr="00D31E39">
        <w:rPr>
          <w:rFonts w:asciiTheme="majorHAnsi" w:hAnsiTheme="majorHAnsi" w:cs="Arial"/>
          <w:sz w:val="20"/>
          <w:szCs w:val="20"/>
          <w:lang w:val="es-CO"/>
        </w:rPr>
        <w:t xml:space="preserve"> Amaya (caso N°CV-D-007-01) con sentencia penal de la Sala Segunda de lo Penal de la Fiscalía Segunda Superior del Primer Distrito Judicial</w:t>
      </w:r>
      <w:r w:rsidR="005F0C19">
        <w:rPr>
          <w:rFonts w:asciiTheme="majorHAnsi" w:hAnsiTheme="majorHAnsi" w:cs="Arial"/>
          <w:sz w:val="20"/>
          <w:szCs w:val="20"/>
          <w:lang w:val="es-CO"/>
        </w:rPr>
        <w:t>.</w:t>
      </w:r>
      <w:r w:rsidRPr="00D31E39">
        <w:rPr>
          <w:rFonts w:asciiTheme="majorHAnsi" w:hAnsiTheme="majorHAnsi" w:cs="Arial"/>
          <w:sz w:val="20"/>
          <w:szCs w:val="20"/>
          <w:lang w:val="es-CO"/>
        </w:rPr>
        <w:t xml:space="preserve"> </w:t>
      </w:r>
    </w:p>
    <w:p w:rsidR="00A073AF" w:rsidRPr="00D31E39" w:rsidRDefault="00A073AF" w:rsidP="00921AED">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1080" w:right="720" w:firstLine="0"/>
        <w:contextualSpacing/>
        <w:jc w:val="both"/>
        <w:rPr>
          <w:rFonts w:asciiTheme="majorHAnsi" w:hAnsiTheme="majorHAnsi"/>
          <w:sz w:val="20"/>
          <w:szCs w:val="20"/>
          <w:lang w:val="es-CO"/>
        </w:rPr>
      </w:pPr>
      <w:r w:rsidRPr="00D31E39">
        <w:rPr>
          <w:rFonts w:asciiTheme="majorHAnsi" w:hAnsiTheme="majorHAnsi" w:cs="Arial"/>
          <w:sz w:val="20"/>
          <w:szCs w:val="20"/>
          <w:lang w:val="es-CO"/>
        </w:rPr>
        <w:t>Julio Mario Villarreal De las Casas (caso N°CV-D-102-01) con sentencia penal por el Delito Contra la Vida Humana, dictada por el  Juzgado Superior del Tercer Distrito Judicial de Chiriquí el 19 de septiembre de 2012 y las posteriores sentencias de la Corte Suprema de Justicia en su Sala Segunda de lo Penal, del 31 de agosto y 27 de noviembre de 2015.</w:t>
      </w:r>
    </w:p>
    <w:p w:rsidR="00A073AF" w:rsidRPr="00D31E39" w:rsidRDefault="00A073AF" w:rsidP="00921AED">
      <w:pPr>
        <w:pStyle w:val="ListParagraph"/>
        <w:numPr>
          <w:ilvl w:val="1"/>
          <w:numId w:val="61"/>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1080" w:right="720" w:firstLine="0"/>
        <w:contextualSpacing/>
        <w:jc w:val="both"/>
        <w:rPr>
          <w:rFonts w:asciiTheme="majorHAnsi" w:hAnsiTheme="majorHAnsi"/>
          <w:sz w:val="20"/>
          <w:szCs w:val="20"/>
          <w:lang w:val="es-CO"/>
        </w:rPr>
      </w:pPr>
      <w:r w:rsidRPr="00D31E39">
        <w:rPr>
          <w:rFonts w:asciiTheme="majorHAnsi" w:hAnsiTheme="majorHAnsi" w:cs="Arial"/>
          <w:sz w:val="20"/>
          <w:szCs w:val="20"/>
          <w:lang w:val="es-CO"/>
        </w:rPr>
        <w:t xml:space="preserve">José Manuel </w:t>
      </w:r>
      <w:proofErr w:type="spellStart"/>
      <w:r w:rsidRPr="00D31E39">
        <w:rPr>
          <w:rFonts w:asciiTheme="majorHAnsi" w:hAnsiTheme="majorHAnsi" w:cs="Arial"/>
          <w:sz w:val="20"/>
          <w:szCs w:val="20"/>
          <w:lang w:val="es-CO"/>
        </w:rPr>
        <w:t>Morantes</w:t>
      </w:r>
      <w:proofErr w:type="spellEnd"/>
      <w:r w:rsidRPr="00D31E39">
        <w:rPr>
          <w:rFonts w:asciiTheme="majorHAnsi" w:hAnsiTheme="majorHAnsi" w:cs="Arial"/>
          <w:sz w:val="20"/>
          <w:szCs w:val="20"/>
          <w:lang w:val="es-CO"/>
        </w:rPr>
        <w:t xml:space="preserve"> Madrid (caso N°CV-D-066-01) con sentencia penal por el Delito Contra la Vida Humana, dictada por el  Juzgado Superior del Tercer Distrito Judicial de Chiriquí el 19 de septiembre de 2012 y las posteriores sentencias de la Corte Suprema de Justicia en su Sala Segunda de lo Penal, del 31 de agosto y 27 de noviembre de 2015.</w:t>
      </w:r>
    </w:p>
    <w:p w:rsidR="00A073AF" w:rsidRPr="00D31E39" w:rsidRDefault="00A073AF" w:rsidP="00A073AF">
      <w:pPr>
        <w:tabs>
          <w:tab w:val="left" w:pos="1080"/>
        </w:tabs>
        <w:ind w:left="720" w:right="720"/>
        <w:jc w:val="both"/>
        <w:rPr>
          <w:rFonts w:asciiTheme="majorHAnsi" w:eastAsia="Calibri" w:hAnsiTheme="majorHAnsi" w:cs="Arial"/>
          <w:sz w:val="20"/>
          <w:szCs w:val="20"/>
          <w:lang w:val="es-CO"/>
        </w:rPr>
      </w:pPr>
    </w:p>
    <w:p w:rsidR="00A073AF" w:rsidRPr="00D31E39" w:rsidRDefault="00A073AF" w:rsidP="00921AED">
      <w:pPr>
        <w:pStyle w:val="ListParagraph"/>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right="720" w:firstLine="0"/>
        <w:contextualSpacing/>
        <w:jc w:val="both"/>
        <w:rPr>
          <w:rFonts w:asciiTheme="majorHAnsi" w:hAnsiTheme="majorHAnsi" w:cs="Arial"/>
          <w:b/>
          <w:sz w:val="20"/>
          <w:szCs w:val="20"/>
          <w:lang w:val="es-CO"/>
        </w:rPr>
      </w:pPr>
      <w:r w:rsidRPr="00D31E39">
        <w:rPr>
          <w:rFonts w:asciiTheme="majorHAnsi" w:hAnsiTheme="majorHAnsi" w:cs="Arial"/>
          <w:b/>
          <w:sz w:val="20"/>
          <w:szCs w:val="20"/>
          <w:lang w:val="es-CO"/>
        </w:rPr>
        <w:t>Monumento en memoria de los Asesinados y Desaparecidos</w:t>
      </w: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r w:rsidRPr="00D31E39">
        <w:rPr>
          <w:rFonts w:asciiTheme="majorHAnsi" w:eastAsia="Arial" w:hAnsiTheme="majorHAnsi" w:cs="Arial"/>
          <w:sz w:val="20"/>
          <w:szCs w:val="20"/>
          <w:lang w:val="es-CO"/>
        </w:rPr>
        <w:t>El Estado se compromete a la remoción y colocación de una nueva placa al monumento obelisco que se encuentra ubicado en la Plaza Municipal en Volcán, provincia de Chiriquí y que fue construido en memoria de los asesinados y desaparecidos durante la dictadura militar en Panamá.</w:t>
      </w: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p>
    <w:p w:rsidR="00A073AF" w:rsidRPr="00D31E39" w:rsidRDefault="00A073AF" w:rsidP="00921AE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firstLine="0"/>
        <w:contextualSpacing/>
        <w:jc w:val="both"/>
        <w:rPr>
          <w:rFonts w:asciiTheme="majorHAnsi" w:hAnsiTheme="majorHAnsi" w:cs="Arial"/>
          <w:b/>
          <w:sz w:val="20"/>
          <w:szCs w:val="20"/>
          <w:lang w:val="es-CO"/>
        </w:rPr>
      </w:pPr>
      <w:r w:rsidRPr="00D31E39">
        <w:rPr>
          <w:rFonts w:asciiTheme="majorHAnsi" w:hAnsiTheme="majorHAnsi" w:cs="Arial"/>
          <w:b/>
          <w:sz w:val="20"/>
          <w:szCs w:val="20"/>
          <w:lang w:val="es-CO"/>
        </w:rPr>
        <w:t xml:space="preserve">Calendario de Ejecución. </w:t>
      </w: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r w:rsidRPr="00D31E39">
        <w:rPr>
          <w:rFonts w:asciiTheme="majorHAnsi" w:eastAsia="Arial" w:hAnsiTheme="majorHAnsi" w:cs="Arial"/>
          <w:sz w:val="20"/>
          <w:szCs w:val="20"/>
          <w:lang w:val="es-CO"/>
        </w:rPr>
        <w:t xml:space="preserve">El Estado se compromete, una vez revisados los estudios actuariales señalados en el numeral tres (3) del presente acuerdo, a cumplir con el pago de las reparaciones pecuniarias a cada uno de los beneficiarios de </w:t>
      </w:r>
      <w:r w:rsidRPr="00D31E39">
        <w:rPr>
          <w:rFonts w:asciiTheme="majorHAnsi" w:eastAsia="Arial" w:hAnsiTheme="majorHAnsi" w:cs="Arial"/>
          <w:b/>
          <w:sz w:val="20"/>
          <w:szCs w:val="20"/>
          <w:lang w:val="es-CO"/>
        </w:rPr>
        <w:t>COFADECHI</w:t>
      </w:r>
      <w:r w:rsidRPr="00D31E39">
        <w:rPr>
          <w:rFonts w:asciiTheme="majorHAnsi" w:eastAsia="Arial" w:hAnsiTheme="majorHAnsi" w:cs="Arial"/>
          <w:sz w:val="20"/>
          <w:szCs w:val="20"/>
          <w:lang w:val="es-CO"/>
        </w:rPr>
        <w:t xml:space="preserve"> en un plazo perentorio y justo para con los familiares de las víctimas. Del mismo modo, el Estado se compromete al cumplimiento del resto de las obligaciones del presente acuerdo amistoso en el mismo plazo antes señalado.</w:t>
      </w: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p>
    <w:p w:rsidR="00A073AF" w:rsidRPr="00D31E39" w:rsidRDefault="00A073AF" w:rsidP="00921AE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firstLine="0"/>
        <w:contextualSpacing/>
        <w:jc w:val="both"/>
        <w:rPr>
          <w:rFonts w:asciiTheme="majorHAnsi" w:hAnsiTheme="majorHAnsi" w:cs="Arial"/>
          <w:b/>
          <w:sz w:val="20"/>
          <w:szCs w:val="20"/>
          <w:lang w:val="es-CO"/>
        </w:rPr>
      </w:pPr>
      <w:r w:rsidRPr="00D31E39">
        <w:rPr>
          <w:rFonts w:asciiTheme="majorHAnsi" w:hAnsiTheme="majorHAnsi" w:cs="Arial"/>
          <w:b/>
          <w:sz w:val="20"/>
          <w:szCs w:val="20"/>
          <w:lang w:val="es-CO"/>
        </w:rPr>
        <w:t>Homologación, seguimiento.</w:t>
      </w:r>
    </w:p>
    <w:p w:rsidR="00A073AF" w:rsidRPr="00D31E39" w:rsidRDefault="00A073AF" w:rsidP="00A073AF">
      <w:pPr>
        <w:tabs>
          <w:tab w:val="left" w:pos="1080"/>
        </w:tabs>
        <w:ind w:left="720" w:right="720"/>
        <w:jc w:val="both"/>
        <w:rPr>
          <w:rFonts w:asciiTheme="majorHAnsi" w:eastAsia="Arial" w:hAnsiTheme="majorHAnsi" w:cs="Arial"/>
          <w:b/>
          <w:sz w:val="20"/>
          <w:szCs w:val="20"/>
          <w:lang w:val="es-CO"/>
        </w:rPr>
      </w:pP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r w:rsidRPr="00D31E39">
        <w:rPr>
          <w:rFonts w:asciiTheme="majorHAnsi" w:eastAsia="Arial" w:hAnsiTheme="majorHAnsi" w:cs="Arial"/>
          <w:sz w:val="20"/>
          <w:szCs w:val="20"/>
          <w:lang w:val="es-CO"/>
        </w:rPr>
        <w:t>Las partes solicitan a la Comisión Interamericana de Derechos Humamos que se emita la homologación a la firma del presente acuerdo</w:t>
      </w:r>
      <w:r w:rsidRPr="00D31E39">
        <w:rPr>
          <w:rFonts w:asciiTheme="majorHAnsi" w:eastAsia="Arial" w:hAnsiTheme="majorHAnsi" w:cs="Arial"/>
          <w:b/>
          <w:sz w:val="20"/>
          <w:szCs w:val="20"/>
          <w:lang w:val="es-CO"/>
        </w:rPr>
        <w:t>.</w:t>
      </w:r>
      <w:r w:rsidRPr="00D31E39">
        <w:rPr>
          <w:rFonts w:asciiTheme="majorHAnsi" w:eastAsia="Arial" w:hAnsiTheme="majorHAnsi" w:cs="Arial"/>
          <w:sz w:val="20"/>
          <w:szCs w:val="20"/>
          <w:lang w:val="es-CO"/>
        </w:rPr>
        <w:t xml:space="preserve"> Una vez firmado este acuerdo, las partes presentarán ante la Comisión Interamericana de Derechos Humanos el documento que representa la Solución Amistosa para su homologación y publicación de conformidad con lo dispuesto en el artículo 49 de la Convención Americana sobre Derechos Humanos y 40.5 del Reglamento de la Comisión Interamericana de Derechos Humanos. </w:t>
      </w: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r w:rsidRPr="00D31E39">
        <w:rPr>
          <w:rFonts w:asciiTheme="majorHAnsi" w:eastAsia="Arial" w:hAnsiTheme="majorHAnsi" w:cs="Arial"/>
          <w:sz w:val="20"/>
          <w:szCs w:val="20"/>
          <w:lang w:val="es-CO"/>
        </w:rPr>
        <w:t>Las partes solicitan a la Comisión Interamericana de Derechos Humanos que continúe con el seguimiento de los demás puntos que se encuentren pendientes de cumplimiento con posterioridad a la emisión del informe de homologación, ya sea solicitando informes de cumplimiento y realizando reuniones periódicas cada dos meses con las partes.</w:t>
      </w:r>
    </w:p>
    <w:p w:rsidR="00A073AF" w:rsidRPr="00D31E39" w:rsidRDefault="00A073AF" w:rsidP="00A073AF">
      <w:pPr>
        <w:tabs>
          <w:tab w:val="left" w:pos="1080"/>
        </w:tabs>
        <w:ind w:left="720" w:right="720"/>
        <w:jc w:val="both"/>
        <w:rPr>
          <w:rFonts w:asciiTheme="majorHAnsi" w:eastAsia="Arial" w:hAnsiTheme="majorHAnsi" w:cs="Arial"/>
          <w:b/>
          <w:sz w:val="20"/>
          <w:szCs w:val="20"/>
          <w:lang w:val="es-CO"/>
        </w:rPr>
      </w:pPr>
    </w:p>
    <w:p w:rsidR="00DA47DF" w:rsidRDefault="00DA47DF">
      <w:pPr>
        <w:rPr>
          <w:rFonts w:asciiTheme="majorHAnsi" w:eastAsia="Cambria" w:hAnsiTheme="majorHAnsi" w:cs="Arial"/>
          <w:b/>
          <w:color w:val="000000"/>
          <w:sz w:val="20"/>
          <w:szCs w:val="20"/>
          <w:u w:color="000000"/>
          <w:lang w:val="es-CO" w:eastAsia="es-ES"/>
        </w:rPr>
      </w:pPr>
      <w:r>
        <w:rPr>
          <w:rFonts w:asciiTheme="majorHAnsi" w:hAnsiTheme="majorHAnsi" w:cs="Arial"/>
          <w:b/>
          <w:sz w:val="20"/>
          <w:szCs w:val="20"/>
          <w:lang w:val="es-CO"/>
        </w:rPr>
        <w:br w:type="page"/>
      </w:r>
    </w:p>
    <w:p w:rsidR="00A073AF" w:rsidRPr="00D31E39" w:rsidRDefault="00A073AF" w:rsidP="00921AE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firstLine="0"/>
        <w:contextualSpacing/>
        <w:jc w:val="both"/>
        <w:rPr>
          <w:rFonts w:asciiTheme="majorHAnsi" w:hAnsiTheme="majorHAnsi" w:cs="Arial"/>
          <w:b/>
          <w:sz w:val="20"/>
          <w:szCs w:val="20"/>
          <w:lang w:val="es-CO"/>
        </w:rPr>
      </w:pPr>
      <w:r w:rsidRPr="00D31E39">
        <w:rPr>
          <w:rFonts w:asciiTheme="majorHAnsi" w:hAnsiTheme="majorHAnsi" w:cs="Arial"/>
          <w:b/>
          <w:sz w:val="20"/>
          <w:szCs w:val="20"/>
          <w:lang w:val="es-CO"/>
        </w:rPr>
        <w:lastRenderedPageBreak/>
        <w:t xml:space="preserve">Publicación y terminación de acuerdo. </w:t>
      </w: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r w:rsidRPr="00D31E39">
        <w:rPr>
          <w:rFonts w:asciiTheme="majorHAnsi" w:eastAsia="Arial" w:hAnsiTheme="majorHAnsi" w:cs="Arial"/>
          <w:sz w:val="20"/>
          <w:szCs w:val="20"/>
          <w:lang w:val="es-CO"/>
        </w:rPr>
        <w:t xml:space="preserve">El cumplimiento y cierre del procedimiento ante la Comisión Interamericana de Derechos Humanos se verificará y será aceptado por la partes como terminado con la emisión de Decreto Gabinete, publicado en la Gaceta Oficial de la República de Panamá donde se indique que se ha dado cumplimiento sustantivo del Acuerdo de Solución Amistosa entre las partes, o al menos el principio de ejecución que evidencia de manera inequívoca que se ha cumplido con reparación económica por el daño material e inmaterial causado a las víctimas y a los peticionarios y beneficiarios, y de que existe la voluntad del Estado de cumplir los compromisos adquiridos mediante el acuerdo concernido. </w:t>
      </w: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p>
    <w:p w:rsidR="00A073AF" w:rsidRPr="00D31E39" w:rsidRDefault="00A073AF" w:rsidP="00921AED">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080"/>
        </w:tabs>
        <w:ind w:left="720" w:right="720" w:firstLine="0"/>
        <w:contextualSpacing/>
        <w:jc w:val="both"/>
        <w:rPr>
          <w:rFonts w:asciiTheme="majorHAnsi" w:hAnsiTheme="majorHAnsi" w:cs="Arial"/>
          <w:b/>
          <w:sz w:val="20"/>
          <w:szCs w:val="20"/>
          <w:lang w:val="es-CO"/>
        </w:rPr>
      </w:pPr>
      <w:r w:rsidRPr="00D31E39">
        <w:rPr>
          <w:rFonts w:asciiTheme="majorHAnsi" w:hAnsiTheme="majorHAnsi" w:cs="Arial"/>
          <w:b/>
          <w:sz w:val="20"/>
          <w:szCs w:val="20"/>
          <w:lang w:val="es-CO"/>
        </w:rPr>
        <w:t xml:space="preserve">Supervisión y cumplimiento. </w:t>
      </w: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p>
    <w:p w:rsidR="00A073AF" w:rsidRPr="00D31E39" w:rsidRDefault="00A073AF" w:rsidP="00A073AF">
      <w:pPr>
        <w:tabs>
          <w:tab w:val="left" w:pos="1080"/>
        </w:tabs>
        <w:ind w:left="720" w:right="720"/>
        <w:jc w:val="both"/>
        <w:rPr>
          <w:rFonts w:asciiTheme="majorHAnsi" w:eastAsia="Arial" w:hAnsiTheme="majorHAnsi" w:cs="Arial"/>
          <w:sz w:val="20"/>
          <w:szCs w:val="20"/>
          <w:lang w:val="es-CO"/>
        </w:rPr>
      </w:pPr>
      <w:r w:rsidRPr="00D31E39">
        <w:rPr>
          <w:rFonts w:asciiTheme="majorHAnsi" w:eastAsia="Arial" w:hAnsiTheme="majorHAnsi" w:cs="Arial"/>
          <w:sz w:val="20"/>
          <w:szCs w:val="20"/>
          <w:lang w:val="es-CO"/>
        </w:rPr>
        <w:t xml:space="preserve">El presente acuerdo y su cumplimiento serán supervisados por la Comisión Interamericana de Derechos Humanos, la que conserva sus facultades para continuar con el trámite del caso cuando las circunstancias así lo exijan. </w:t>
      </w:r>
    </w:p>
    <w:p w:rsidR="006F6497" w:rsidRDefault="006F6497" w:rsidP="00DB4BE4">
      <w:pPr>
        <w:tabs>
          <w:tab w:val="center" w:pos="5400"/>
        </w:tabs>
        <w:suppressAutoHyphens/>
        <w:jc w:val="both"/>
        <w:rPr>
          <w:rFonts w:asciiTheme="majorHAnsi" w:eastAsia="MS Mincho" w:hAnsiTheme="majorHAnsi"/>
          <w:sz w:val="20"/>
          <w:szCs w:val="20"/>
          <w:lang w:val="es-VE"/>
        </w:rPr>
      </w:pPr>
    </w:p>
    <w:p w:rsidR="00500208" w:rsidRPr="00550511" w:rsidRDefault="006F6497" w:rsidP="00500208">
      <w:pPr>
        <w:tabs>
          <w:tab w:val="left" w:pos="180"/>
          <w:tab w:val="left" w:pos="1440"/>
          <w:tab w:val="center" w:pos="5400"/>
        </w:tabs>
        <w:suppressAutoHyphens/>
        <w:ind w:left="720" w:right="720"/>
        <w:jc w:val="center"/>
        <w:rPr>
          <w:rFonts w:asciiTheme="majorHAnsi" w:eastAsia="MS Mincho" w:hAnsiTheme="majorHAnsi"/>
          <w:b/>
          <w:sz w:val="20"/>
          <w:szCs w:val="20"/>
          <w:lang w:val="es-ES"/>
        </w:rPr>
      </w:pPr>
      <w:r w:rsidRPr="00550511">
        <w:rPr>
          <w:rFonts w:asciiTheme="majorHAnsi" w:eastAsia="MS Mincho" w:hAnsiTheme="majorHAnsi"/>
          <w:b/>
          <w:sz w:val="20"/>
          <w:szCs w:val="20"/>
          <w:lang w:val="es-ES"/>
        </w:rPr>
        <w:t>ANEXO A</w:t>
      </w:r>
    </w:p>
    <w:p w:rsidR="00500208" w:rsidRPr="00550511" w:rsidRDefault="006F6497" w:rsidP="00500208">
      <w:pPr>
        <w:tabs>
          <w:tab w:val="left" w:pos="180"/>
          <w:tab w:val="left" w:pos="1440"/>
          <w:tab w:val="center" w:pos="5400"/>
        </w:tabs>
        <w:suppressAutoHyphens/>
        <w:ind w:left="720" w:right="720"/>
        <w:jc w:val="center"/>
        <w:rPr>
          <w:rFonts w:asciiTheme="majorHAnsi" w:eastAsia="MS Mincho" w:hAnsiTheme="majorHAnsi"/>
          <w:b/>
          <w:sz w:val="20"/>
          <w:szCs w:val="20"/>
          <w:lang w:val="es-CO"/>
        </w:rPr>
      </w:pPr>
      <w:r w:rsidRPr="00550511">
        <w:rPr>
          <w:rFonts w:asciiTheme="majorHAnsi" w:eastAsia="MS Mincho" w:hAnsiTheme="majorHAnsi"/>
          <w:b/>
          <w:sz w:val="20"/>
          <w:szCs w:val="20"/>
          <w:lang w:val="es-ES"/>
        </w:rPr>
        <w:t xml:space="preserve"> CASO 13.017 C</w:t>
      </w:r>
      <w:r w:rsidR="00500208" w:rsidRPr="00550511">
        <w:rPr>
          <w:rFonts w:asciiTheme="majorHAnsi" w:eastAsia="MS Mincho" w:hAnsiTheme="majorHAnsi"/>
          <w:sz w:val="20"/>
          <w:szCs w:val="20"/>
          <w:lang w:val="es-ES"/>
        </w:rPr>
        <w:t xml:space="preserve"> </w:t>
      </w:r>
      <w:r w:rsidR="00500208" w:rsidRPr="00550511">
        <w:rPr>
          <w:rFonts w:asciiTheme="majorHAnsi" w:eastAsia="MS Mincho" w:hAnsiTheme="majorHAnsi"/>
          <w:b/>
          <w:sz w:val="20"/>
          <w:szCs w:val="20"/>
          <w:lang w:val="es-CO"/>
        </w:rPr>
        <w:t>FAMILIARES DE LAS VÍCTIMAS DE LA DICTADURA MILITAR, OCTUBRE DE 1968 A DICIEMBRE DE 1989.</w:t>
      </w:r>
    </w:p>
    <w:p w:rsidR="00500208" w:rsidRPr="00D31E39" w:rsidRDefault="00500208" w:rsidP="00500208">
      <w:pPr>
        <w:tabs>
          <w:tab w:val="left" w:pos="180"/>
          <w:tab w:val="left" w:pos="1440"/>
          <w:tab w:val="center" w:pos="5400"/>
        </w:tabs>
        <w:suppressAutoHyphens/>
        <w:ind w:left="720" w:right="720"/>
        <w:jc w:val="center"/>
        <w:rPr>
          <w:rFonts w:asciiTheme="majorHAnsi" w:eastAsia="MS Mincho" w:hAnsiTheme="majorHAnsi"/>
          <w:b/>
          <w:sz w:val="20"/>
          <w:szCs w:val="20"/>
          <w:lang w:val="es-CO"/>
        </w:rPr>
      </w:pPr>
      <w:r w:rsidRPr="00550511">
        <w:rPr>
          <w:rFonts w:asciiTheme="majorHAnsi" w:eastAsia="MS Mincho" w:hAnsiTheme="majorHAnsi"/>
          <w:b/>
          <w:sz w:val="20"/>
          <w:szCs w:val="20"/>
          <w:lang w:val="es-CO"/>
        </w:rPr>
        <w:t xml:space="preserve">Listado de </w:t>
      </w:r>
      <w:r w:rsidRPr="00550511">
        <w:rPr>
          <w:rFonts w:asciiTheme="majorHAnsi" w:eastAsia="Times New Roman" w:hAnsiTheme="majorHAnsi"/>
          <w:b/>
          <w:sz w:val="20"/>
          <w:szCs w:val="20"/>
          <w:lang w:val="es-ES"/>
        </w:rPr>
        <w:t>Víctimas</w:t>
      </w:r>
      <w:r w:rsidRPr="00550511">
        <w:rPr>
          <w:rFonts w:asciiTheme="majorHAnsi" w:eastAsia="Times New Roman" w:hAnsiTheme="majorHAnsi"/>
          <w:sz w:val="20"/>
          <w:szCs w:val="20"/>
          <w:lang w:val="es-ES"/>
        </w:rPr>
        <w:t xml:space="preserve"> </w:t>
      </w:r>
      <w:r w:rsidRPr="00550511">
        <w:rPr>
          <w:rFonts w:asciiTheme="majorHAnsi" w:eastAsia="MS Mincho" w:hAnsiTheme="majorHAnsi"/>
          <w:b/>
          <w:sz w:val="20"/>
          <w:szCs w:val="20"/>
          <w:lang w:val="es-CO"/>
        </w:rPr>
        <w:t>y sus Familiares</w:t>
      </w:r>
    </w:p>
    <w:p w:rsidR="006F6497" w:rsidRPr="00500208" w:rsidRDefault="006F6497" w:rsidP="00DB4BE4">
      <w:pPr>
        <w:tabs>
          <w:tab w:val="center" w:pos="5400"/>
        </w:tabs>
        <w:suppressAutoHyphens/>
        <w:jc w:val="both"/>
        <w:rPr>
          <w:rFonts w:asciiTheme="majorHAnsi" w:eastAsia="MS Mincho" w:hAnsiTheme="majorHAnsi"/>
          <w:sz w:val="20"/>
          <w:szCs w:val="20"/>
          <w:lang w:val="es-CO"/>
        </w:rPr>
      </w:pPr>
    </w:p>
    <w:tbl>
      <w:tblPr>
        <w:tblW w:w="10080" w:type="dxa"/>
        <w:jc w:val="center"/>
        <w:tblCellMar>
          <w:left w:w="70" w:type="dxa"/>
          <w:right w:w="70" w:type="dxa"/>
        </w:tblCellMar>
        <w:tblLook w:val="04A0" w:firstRow="1" w:lastRow="0" w:firstColumn="1" w:lastColumn="0" w:noHBand="0" w:noVBand="1"/>
      </w:tblPr>
      <w:tblGrid>
        <w:gridCol w:w="425"/>
        <w:gridCol w:w="2635"/>
        <w:gridCol w:w="1440"/>
        <w:gridCol w:w="3060"/>
        <w:gridCol w:w="2076"/>
        <w:gridCol w:w="444"/>
      </w:tblGrid>
      <w:tr w:rsidR="006F6497" w:rsidRPr="006F6497" w:rsidTr="00500208">
        <w:trPr>
          <w:trHeight w:val="900"/>
          <w:jc w:val="center"/>
        </w:trPr>
        <w:tc>
          <w:tcPr>
            <w:tcW w:w="425" w:type="dxa"/>
            <w:vMerge w:val="restar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bCs/>
                <w:sz w:val="18"/>
                <w:szCs w:val="20"/>
                <w:bdr w:val="none" w:sz="0" w:space="0" w:color="auto"/>
                <w:lang w:val="es-ES" w:eastAsia="es-ES"/>
              </w:rPr>
            </w:pPr>
            <w:r w:rsidRPr="000A0657">
              <w:rPr>
                <w:rFonts w:asciiTheme="majorHAnsi" w:eastAsia="Times New Roman" w:hAnsiTheme="majorHAnsi"/>
                <w:b/>
                <w:bCs/>
                <w:sz w:val="18"/>
                <w:szCs w:val="20"/>
                <w:bdr w:val="none" w:sz="0" w:space="0" w:color="auto"/>
                <w:lang w:val="es-ES" w:eastAsia="es-ES"/>
              </w:rPr>
              <w:t>N°</w:t>
            </w:r>
          </w:p>
        </w:tc>
        <w:tc>
          <w:tcPr>
            <w:tcW w:w="2635" w:type="dxa"/>
            <w:vMerge w:val="restar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bCs/>
                <w:sz w:val="18"/>
                <w:szCs w:val="20"/>
                <w:bdr w:val="none" w:sz="0" w:space="0" w:color="auto"/>
                <w:lang w:val="es-ES" w:eastAsia="es-ES"/>
              </w:rPr>
            </w:pPr>
            <w:r w:rsidRPr="000A0657">
              <w:rPr>
                <w:rFonts w:asciiTheme="majorHAnsi" w:eastAsia="Times New Roman" w:hAnsiTheme="majorHAnsi"/>
                <w:b/>
                <w:bCs/>
                <w:sz w:val="18"/>
                <w:szCs w:val="20"/>
                <w:bdr w:val="none" w:sz="0" w:space="0" w:color="auto"/>
                <w:lang w:val="es-ES" w:eastAsia="es-ES"/>
              </w:rPr>
              <w:t>Nombre de la Víctima</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bCs/>
                <w:sz w:val="18"/>
                <w:szCs w:val="20"/>
                <w:bdr w:val="none" w:sz="0" w:space="0" w:color="auto"/>
                <w:lang w:val="es-ES" w:eastAsia="es-ES"/>
              </w:rPr>
            </w:pPr>
            <w:r w:rsidRPr="000A0657">
              <w:rPr>
                <w:rFonts w:asciiTheme="majorHAnsi" w:eastAsia="Times New Roman" w:hAnsiTheme="majorHAnsi"/>
                <w:b/>
                <w:bCs/>
                <w:sz w:val="18"/>
                <w:szCs w:val="20"/>
                <w:bdr w:val="none" w:sz="0" w:space="0" w:color="auto"/>
                <w:lang w:val="es-ES" w:eastAsia="es-ES"/>
              </w:rPr>
              <w:t>N° de Caso Comisión de la Verdad de Panamá</w:t>
            </w:r>
          </w:p>
        </w:tc>
        <w:tc>
          <w:tcPr>
            <w:tcW w:w="3060"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bCs/>
                <w:sz w:val="18"/>
                <w:szCs w:val="20"/>
                <w:bdr w:val="none" w:sz="0" w:space="0" w:color="auto"/>
                <w:lang w:val="es-ES" w:eastAsia="es-ES"/>
              </w:rPr>
            </w:pPr>
            <w:r w:rsidRPr="000A0657">
              <w:rPr>
                <w:rFonts w:asciiTheme="majorHAnsi" w:eastAsia="Times New Roman" w:hAnsiTheme="majorHAnsi"/>
                <w:b/>
                <w:bCs/>
                <w:sz w:val="18"/>
                <w:szCs w:val="20"/>
                <w:bdr w:val="none" w:sz="0" w:space="0" w:color="auto"/>
                <w:lang w:val="es-ES" w:eastAsia="es-ES"/>
              </w:rPr>
              <w:t>Nombre del Familiar de la Víctima</w:t>
            </w:r>
          </w:p>
        </w:tc>
        <w:tc>
          <w:tcPr>
            <w:tcW w:w="2076"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rsidR="006F6497" w:rsidRPr="000A0657" w:rsidRDefault="00A04103"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bCs/>
                <w:sz w:val="18"/>
                <w:szCs w:val="20"/>
                <w:bdr w:val="none" w:sz="0" w:space="0" w:color="auto"/>
                <w:lang w:val="es-ES" w:eastAsia="es-ES"/>
              </w:rPr>
            </w:pPr>
            <w:r>
              <w:rPr>
                <w:rFonts w:asciiTheme="majorHAnsi" w:eastAsia="Times New Roman" w:hAnsiTheme="majorHAnsi"/>
                <w:b/>
                <w:bCs/>
                <w:sz w:val="18"/>
                <w:szCs w:val="20"/>
                <w:bdr w:val="none" w:sz="0" w:space="0" w:color="auto"/>
                <w:lang w:val="es-ES" w:eastAsia="es-ES"/>
              </w:rPr>
              <w:t>Parentesco con la Ví</w:t>
            </w:r>
            <w:r w:rsidR="006F6497" w:rsidRPr="000A0657">
              <w:rPr>
                <w:rFonts w:asciiTheme="majorHAnsi" w:eastAsia="Times New Roman" w:hAnsiTheme="majorHAnsi"/>
                <w:b/>
                <w:bCs/>
                <w:sz w:val="18"/>
                <w:szCs w:val="20"/>
                <w:bdr w:val="none" w:sz="0" w:space="0" w:color="auto"/>
                <w:lang w:val="es-ES" w:eastAsia="es-ES"/>
              </w:rPr>
              <w:t>ctima</w:t>
            </w:r>
          </w:p>
        </w:tc>
        <w:tc>
          <w:tcPr>
            <w:tcW w:w="444" w:type="dxa"/>
            <w:vMerge w:val="restar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b/>
                <w:bCs/>
                <w:sz w:val="18"/>
                <w:szCs w:val="20"/>
                <w:bdr w:val="none" w:sz="0" w:space="0" w:color="auto"/>
                <w:lang w:val="es-ES" w:eastAsia="es-ES"/>
              </w:rPr>
            </w:pPr>
            <w:r w:rsidRPr="000A0657">
              <w:rPr>
                <w:rFonts w:asciiTheme="majorHAnsi" w:eastAsia="Times New Roman" w:hAnsiTheme="majorHAnsi"/>
                <w:b/>
                <w:bCs/>
                <w:sz w:val="18"/>
                <w:szCs w:val="20"/>
                <w:bdr w:val="none" w:sz="0" w:space="0" w:color="auto"/>
                <w:lang w:val="es-ES" w:eastAsia="es-ES"/>
              </w:rPr>
              <w:t>N°</w:t>
            </w:r>
          </w:p>
        </w:tc>
      </w:tr>
      <w:tr w:rsidR="006F6497" w:rsidRPr="006F6497" w:rsidTr="00500208">
        <w:trPr>
          <w:trHeight w:val="276"/>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b/>
                <w:bCs/>
                <w:sz w:val="18"/>
                <w:szCs w:val="20"/>
                <w:bdr w:val="none" w:sz="0" w:space="0" w:color="auto"/>
                <w:lang w:val="es-ES" w:eastAsia="es-ES"/>
              </w:rPr>
            </w:pPr>
          </w:p>
        </w:tc>
        <w:tc>
          <w:tcPr>
            <w:tcW w:w="2635" w:type="dxa"/>
            <w:vMerge/>
            <w:tcBorders>
              <w:top w:val="single" w:sz="4" w:space="0" w:color="auto"/>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b/>
                <w:bCs/>
                <w:sz w:val="18"/>
                <w:szCs w:val="20"/>
                <w:bdr w:val="none" w:sz="0" w:space="0" w:color="auto"/>
                <w:lang w:val="es-ES" w:eastAsia="es-E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b/>
                <w:bCs/>
                <w:sz w:val="18"/>
                <w:szCs w:val="20"/>
                <w:bdr w:val="none" w:sz="0" w:space="0" w:color="auto"/>
                <w:lang w:val="es-ES" w:eastAsia="es-ES"/>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b/>
                <w:bCs/>
                <w:sz w:val="18"/>
                <w:szCs w:val="20"/>
                <w:bdr w:val="none" w:sz="0" w:space="0" w:color="auto"/>
                <w:lang w:val="es-ES" w:eastAsia="es-ES"/>
              </w:rPr>
            </w:pPr>
          </w:p>
        </w:tc>
        <w:tc>
          <w:tcPr>
            <w:tcW w:w="2076" w:type="dxa"/>
            <w:vMerge/>
            <w:tcBorders>
              <w:top w:val="single" w:sz="4" w:space="0" w:color="auto"/>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b/>
                <w:bCs/>
                <w:sz w:val="18"/>
                <w:szCs w:val="20"/>
                <w:bdr w:val="none" w:sz="0" w:space="0" w:color="auto"/>
                <w:lang w:val="es-ES" w:eastAsia="es-ES"/>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b/>
                <w:bCs/>
                <w:sz w:val="18"/>
                <w:szCs w:val="20"/>
                <w:bdr w:val="none" w:sz="0" w:space="0" w:color="auto"/>
                <w:lang w:val="es-ES" w:eastAsia="es-ES"/>
              </w:rPr>
            </w:pPr>
          </w:p>
        </w:tc>
      </w:tr>
      <w:tr w:rsidR="006F6497" w:rsidRPr="006F6497" w:rsidTr="00500208">
        <w:trPr>
          <w:trHeight w:val="398"/>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1</w:t>
            </w:r>
          </w:p>
        </w:tc>
        <w:tc>
          <w:tcPr>
            <w:tcW w:w="2635"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Julio Mario Villarreal De Las Casas</w:t>
            </w:r>
          </w:p>
        </w:tc>
        <w:tc>
          <w:tcPr>
            <w:tcW w:w="144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CV-D-102-01</w:t>
            </w: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Julio Mario Villarreal Castillo</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Hijo/Peticionario</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1</w:t>
            </w:r>
          </w:p>
        </w:tc>
      </w:tr>
      <w:tr w:rsidR="006F6497" w:rsidRPr="006F6497" w:rsidTr="00500208">
        <w:trPr>
          <w:trHeight w:val="398"/>
          <w:jc w:val="center"/>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2</w:t>
            </w:r>
          </w:p>
        </w:tc>
        <w:tc>
          <w:tcPr>
            <w:tcW w:w="26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 xml:space="preserve">José Manuel </w:t>
            </w:r>
            <w:proofErr w:type="spellStart"/>
            <w:r w:rsidRPr="000A0657">
              <w:rPr>
                <w:rFonts w:asciiTheme="majorHAnsi" w:eastAsia="Times New Roman" w:hAnsiTheme="majorHAnsi"/>
                <w:sz w:val="18"/>
                <w:szCs w:val="20"/>
                <w:bdr w:val="none" w:sz="0" w:space="0" w:color="auto"/>
                <w:lang w:val="es-ES" w:eastAsia="es-ES"/>
              </w:rPr>
              <w:t>Morantes</w:t>
            </w:r>
            <w:proofErr w:type="spellEnd"/>
            <w:r w:rsidRPr="000A0657">
              <w:rPr>
                <w:rFonts w:asciiTheme="majorHAnsi" w:eastAsia="Times New Roman" w:hAnsiTheme="majorHAnsi"/>
                <w:sz w:val="18"/>
                <w:szCs w:val="20"/>
                <w:bdr w:val="none" w:sz="0" w:space="0" w:color="auto"/>
                <w:lang w:val="es-ES" w:eastAsia="es-ES"/>
              </w:rPr>
              <w:t xml:space="preserve"> Madrid</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CV-D-066-01</w:t>
            </w: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 xml:space="preserve">Edgar </w:t>
            </w:r>
            <w:proofErr w:type="spellStart"/>
            <w:r w:rsidRPr="000A0657">
              <w:rPr>
                <w:rFonts w:asciiTheme="majorHAnsi" w:eastAsia="Times New Roman" w:hAnsiTheme="majorHAnsi"/>
                <w:sz w:val="18"/>
                <w:szCs w:val="20"/>
                <w:bdr w:val="none" w:sz="0" w:space="0" w:color="auto"/>
                <w:lang w:val="es-ES" w:eastAsia="es-ES"/>
              </w:rPr>
              <w:t>Morantes</w:t>
            </w:r>
            <w:proofErr w:type="spellEnd"/>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Hijo/Peticionario</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2</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proofErr w:type="spellStart"/>
            <w:r w:rsidRPr="000A0657">
              <w:rPr>
                <w:rFonts w:asciiTheme="majorHAnsi" w:eastAsia="Times New Roman" w:hAnsiTheme="majorHAnsi"/>
                <w:sz w:val="18"/>
                <w:szCs w:val="20"/>
                <w:bdr w:val="none" w:sz="0" w:space="0" w:color="auto"/>
                <w:lang w:val="es-ES" w:eastAsia="es-ES"/>
              </w:rPr>
              <w:t>Edis</w:t>
            </w:r>
            <w:proofErr w:type="spellEnd"/>
            <w:r w:rsidRPr="000A0657">
              <w:rPr>
                <w:rFonts w:asciiTheme="majorHAnsi" w:eastAsia="Times New Roman" w:hAnsiTheme="majorHAnsi"/>
                <w:sz w:val="18"/>
                <w:szCs w:val="20"/>
                <w:bdr w:val="none" w:sz="0" w:space="0" w:color="auto"/>
                <w:lang w:val="es-ES" w:eastAsia="es-ES"/>
              </w:rPr>
              <w:t xml:space="preserve"> Vda. de </w:t>
            </w:r>
            <w:proofErr w:type="spellStart"/>
            <w:r w:rsidRPr="000A0657">
              <w:rPr>
                <w:rFonts w:asciiTheme="majorHAnsi" w:eastAsia="Times New Roman" w:hAnsiTheme="majorHAnsi"/>
                <w:sz w:val="18"/>
                <w:szCs w:val="20"/>
                <w:bdr w:val="none" w:sz="0" w:space="0" w:color="auto"/>
                <w:lang w:val="es-ES" w:eastAsia="es-ES"/>
              </w:rPr>
              <w:t>Morantes</w:t>
            </w:r>
            <w:proofErr w:type="spellEnd"/>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Viuda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3</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 xml:space="preserve">Ricardo Adolfo </w:t>
            </w:r>
            <w:proofErr w:type="spellStart"/>
            <w:r w:rsidRPr="000A0657">
              <w:rPr>
                <w:rFonts w:asciiTheme="majorHAnsi" w:eastAsia="Times New Roman" w:hAnsiTheme="majorHAnsi"/>
                <w:sz w:val="18"/>
                <w:szCs w:val="20"/>
                <w:bdr w:val="none" w:sz="0" w:space="0" w:color="auto"/>
                <w:lang w:val="es-ES" w:eastAsia="es-ES"/>
              </w:rPr>
              <w:t>Morantes</w:t>
            </w:r>
            <w:proofErr w:type="spellEnd"/>
            <w:r w:rsidRPr="000A0657">
              <w:rPr>
                <w:rFonts w:asciiTheme="majorHAnsi" w:eastAsia="Times New Roman" w:hAnsiTheme="majorHAnsi"/>
                <w:sz w:val="18"/>
                <w:szCs w:val="20"/>
                <w:bdr w:val="none" w:sz="0" w:space="0" w:color="auto"/>
                <w:lang w:val="es-ES" w:eastAsia="es-ES"/>
              </w:rPr>
              <w:t xml:space="preserve"> </w:t>
            </w:r>
            <w:proofErr w:type="spellStart"/>
            <w:r w:rsidRPr="000A0657">
              <w:rPr>
                <w:rFonts w:asciiTheme="majorHAnsi" w:eastAsia="Times New Roman" w:hAnsiTheme="majorHAnsi"/>
                <w:sz w:val="18"/>
                <w:szCs w:val="20"/>
                <w:bdr w:val="none" w:sz="0" w:space="0" w:color="auto"/>
                <w:lang w:val="es-ES" w:eastAsia="es-ES"/>
              </w:rPr>
              <w:t>Araúz</w:t>
            </w:r>
            <w:proofErr w:type="spellEnd"/>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Hijo</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4</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 xml:space="preserve">José Manuel </w:t>
            </w:r>
            <w:proofErr w:type="spellStart"/>
            <w:r w:rsidRPr="000A0657">
              <w:rPr>
                <w:rFonts w:asciiTheme="majorHAnsi" w:eastAsia="Times New Roman" w:hAnsiTheme="majorHAnsi"/>
                <w:sz w:val="18"/>
                <w:szCs w:val="20"/>
                <w:bdr w:val="none" w:sz="0" w:space="0" w:color="auto"/>
                <w:lang w:val="es-ES" w:eastAsia="es-ES"/>
              </w:rPr>
              <w:t>Morantes</w:t>
            </w:r>
            <w:proofErr w:type="spellEnd"/>
            <w:r w:rsidRPr="000A0657">
              <w:rPr>
                <w:rFonts w:asciiTheme="majorHAnsi" w:eastAsia="Times New Roman" w:hAnsiTheme="majorHAnsi"/>
                <w:sz w:val="18"/>
                <w:szCs w:val="20"/>
                <w:bdr w:val="none" w:sz="0" w:space="0" w:color="auto"/>
                <w:lang w:val="es-ES" w:eastAsia="es-ES"/>
              </w:rPr>
              <w:t xml:space="preserve"> </w:t>
            </w:r>
            <w:proofErr w:type="spellStart"/>
            <w:r w:rsidRPr="000A0657">
              <w:rPr>
                <w:rFonts w:asciiTheme="majorHAnsi" w:eastAsia="Times New Roman" w:hAnsiTheme="majorHAnsi"/>
                <w:sz w:val="18"/>
                <w:szCs w:val="20"/>
                <w:bdr w:val="none" w:sz="0" w:space="0" w:color="auto"/>
                <w:lang w:val="es-ES" w:eastAsia="es-ES"/>
              </w:rPr>
              <w:t>Araúz</w:t>
            </w:r>
            <w:proofErr w:type="spellEnd"/>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Hijo</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5</w:t>
            </w:r>
          </w:p>
        </w:tc>
      </w:tr>
      <w:tr w:rsidR="006F6497" w:rsidRPr="006F6497" w:rsidTr="00500208">
        <w:trPr>
          <w:trHeight w:val="398"/>
          <w:jc w:val="center"/>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3</w:t>
            </w:r>
          </w:p>
        </w:tc>
        <w:tc>
          <w:tcPr>
            <w:tcW w:w="26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 xml:space="preserve">Everett Clayton </w:t>
            </w:r>
            <w:proofErr w:type="spellStart"/>
            <w:r w:rsidRPr="000A0657">
              <w:rPr>
                <w:rFonts w:asciiTheme="majorHAnsi" w:eastAsia="Times New Roman" w:hAnsiTheme="majorHAnsi"/>
                <w:sz w:val="18"/>
                <w:szCs w:val="20"/>
                <w:bdr w:val="none" w:sz="0" w:space="0" w:color="auto"/>
                <w:lang w:val="es-ES" w:eastAsia="es-ES"/>
              </w:rPr>
              <w:t>Kimble</w:t>
            </w:r>
            <w:proofErr w:type="spellEnd"/>
            <w:r w:rsidRPr="000A0657">
              <w:rPr>
                <w:rFonts w:asciiTheme="majorHAnsi" w:eastAsia="Times New Roman" w:hAnsiTheme="majorHAnsi"/>
                <w:sz w:val="18"/>
                <w:szCs w:val="20"/>
                <w:bdr w:val="none" w:sz="0" w:space="0" w:color="auto"/>
                <w:lang w:val="es-ES" w:eastAsia="es-ES"/>
              </w:rPr>
              <w:t xml:space="preserve"> Guerra</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CV-D-049-01</w:t>
            </w: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 xml:space="preserve">Mary Ann </w:t>
            </w:r>
            <w:proofErr w:type="spellStart"/>
            <w:r w:rsidRPr="000A0657">
              <w:rPr>
                <w:rFonts w:asciiTheme="majorHAnsi" w:eastAsia="Times New Roman" w:hAnsiTheme="majorHAnsi"/>
                <w:sz w:val="18"/>
                <w:szCs w:val="20"/>
                <w:bdr w:val="none" w:sz="0" w:space="0" w:color="auto"/>
                <w:lang w:val="es-ES" w:eastAsia="es-ES"/>
              </w:rPr>
              <w:t>Kimble</w:t>
            </w:r>
            <w:proofErr w:type="spellEnd"/>
            <w:r w:rsidRPr="000A0657">
              <w:rPr>
                <w:rFonts w:asciiTheme="majorHAnsi" w:eastAsia="Times New Roman" w:hAnsiTheme="majorHAnsi"/>
                <w:sz w:val="18"/>
                <w:szCs w:val="20"/>
                <w:bdr w:val="none" w:sz="0" w:space="0" w:color="auto"/>
                <w:lang w:val="es-ES" w:eastAsia="es-ES"/>
              </w:rPr>
              <w:t xml:space="preserve"> Guerra</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Hermana/Peticionaria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6</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000000" w:fill="FFFFFF"/>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 xml:space="preserve">Christie </w:t>
            </w:r>
            <w:proofErr w:type="spellStart"/>
            <w:r w:rsidRPr="000A0657">
              <w:rPr>
                <w:rFonts w:asciiTheme="majorHAnsi" w:eastAsia="Times New Roman" w:hAnsiTheme="majorHAnsi"/>
                <w:sz w:val="18"/>
                <w:szCs w:val="20"/>
                <w:bdr w:val="none" w:sz="0" w:space="0" w:color="auto"/>
                <w:lang w:val="es-ES" w:eastAsia="es-ES"/>
              </w:rPr>
              <w:t>Carrol</w:t>
            </w:r>
            <w:proofErr w:type="spellEnd"/>
            <w:r w:rsidRPr="000A0657">
              <w:rPr>
                <w:rFonts w:asciiTheme="majorHAnsi" w:eastAsia="Times New Roman" w:hAnsiTheme="majorHAnsi"/>
                <w:sz w:val="18"/>
                <w:szCs w:val="20"/>
                <w:bdr w:val="none" w:sz="0" w:space="0" w:color="auto"/>
                <w:lang w:val="es-ES" w:eastAsia="es-ES"/>
              </w:rPr>
              <w:t xml:space="preserve"> Murgas Bernal</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7</w:t>
            </w:r>
          </w:p>
        </w:tc>
      </w:tr>
      <w:tr w:rsidR="006F6497" w:rsidRPr="006F6497" w:rsidTr="00500208">
        <w:trPr>
          <w:trHeight w:val="398"/>
          <w:jc w:val="center"/>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4</w:t>
            </w:r>
          </w:p>
        </w:tc>
        <w:tc>
          <w:tcPr>
            <w:tcW w:w="26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Ariosto González Gómez</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CV-A-032-01</w:t>
            </w: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proofErr w:type="spellStart"/>
            <w:r w:rsidRPr="000A0657">
              <w:rPr>
                <w:rFonts w:asciiTheme="majorHAnsi" w:eastAsia="Times New Roman" w:hAnsiTheme="majorHAnsi"/>
                <w:sz w:val="18"/>
                <w:szCs w:val="20"/>
                <w:bdr w:val="none" w:sz="0" w:space="0" w:color="auto"/>
                <w:lang w:val="es-ES" w:eastAsia="es-ES"/>
              </w:rPr>
              <w:t>Arelys</w:t>
            </w:r>
            <w:proofErr w:type="spellEnd"/>
            <w:r w:rsidRPr="000A0657">
              <w:rPr>
                <w:rFonts w:asciiTheme="majorHAnsi" w:eastAsia="Times New Roman" w:hAnsiTheme="majorHAnsi"/>
                <w:sz w:val="18"/>
                <w:szCs w:val="20"/>
                <w:bdr w:val="none" w:sz="0" w:space="0" w:color="auto"/>
                <w:lang w:val="es-ES" w:eastAsia="es-ES"/>
              </w:rPr>
              <w:t xml:space="preserve"> Gonzalez</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Hija /Peticionaria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8</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proofErr w:type="spellStart"/>
            <w:r w:rsidRPr="000A0657">
              <w:rPr>
                <w:rFonts w:asciiTheme="majorHAnsi" w:eastAsia="Times New Roman" w:hAnsiTheme="majorHAnsi"/>
                <w:sz w:val="18"/>
                <w:szCs w:val="20"/>
                <w:bdr w:val="none" w:sz="0" w:space="0" w:color="auto"/>
                <w:lang w:val="es-ES" w:eastAsia="es-ES"/>
              </w:rPr>
              <w:t>Yenis</w:t>
            </w:r>
            <w:proofErr w:type="spellEnd"/>
            <w:r w:rsidRPr="000A0657">
              <w:rPr>
                <w:rFonts w:asciiTheme="majorHAnsi" w:eastAsia="Times New Roman" w:hAnsiTheme="majorHAnsi"/>
                <w:sz w:val="18"/>
                <w:szCs w:val="20"/>
                <w:bdr w:val="none" w:sz="0" w:space="0" w:color="auto"/>
                <w:lang w:val="es-ES" w:eastAsia="es-ES"/>
              </w:rPr>
              <w:t xml:space="preserve"> Gonzalez </w:t>
            </w:r>
            <w:proofErr w:type="spellStart"/>
            <w:r w:rsidRPr="000A0657">
              <w:rPr>
                <w:rFonts w:asciiTheme="majorHAnsi" w:eastAsia="Times New Roman" w:hAnsiTheme="majorHAnsi"/>
                <w:sz w:val="18"/>
                <w:szCs w:val="20"/>
                <w:bdr w:val="none" w:sz="0" w:space="0" w:color="auto"/>
                <w:lang w:val="es-ES" w:eastAsia="es-ES"/>
              </w:rPr>
              <w:t>Gonzalez</w:t>
            </w:r>
            <w:proofErr w:type="spellEnd"/>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9</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 xml:space="preserve">Reina Gonzalez </w:t>
            </w:r>
            <w:proofErr w:type="spellStart"/>
            <w:r w:rsidRPr="000A0657">
              <w:rPr>
                <w:rFonts w:asciiTheme="majorHAnsi" w:eastAsia="Times New Roman" w:hAnsiTheme="majorHAnsi"/>
                <w:sz w:val="18"/>
                <w:szCs w:val="20"/>
                <w:bdr w:val="none" w:sz="0" w:space="0" w:color="auto"/>
                <w:lang w:val="es-ES" w:eastAsia="es-ES"/>
              </w:rPr>
              <w:t>Gonzalez</w:t>
            </w:r>
            <w:proofErr w:type="spellEnd"/>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10</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 xml:space="preserve">Daisy Gonzalez </w:t>
            </w:r>
            <w:proofErr w:type="spellStart"/>
            <w:r w:rsidRPr="000A0657">
              <w:rPr>
                <w:rFonts w:asciiTheme="majorHAnsi" w:eastAsia="Times New Roman" w:hAnsiTheme="majorHAnsi"/>
                <w:sz w:val="18"/>
                <w:szCs w:val="20"/>
                <w:bdr w:val="none" w:sz="0" w:space="0" w:color="auto"/>
                <w:lang w:val="es-ES" w:eastAsia="es-ES"/>
              </w:rPr>
              <w:t>Gonzalez</w:t>
            </w:r>
            <w:proofErr w:type="spellEnd"/>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11</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 xml:space="preserve">Ariosto Gonzalez </w:t>
            </w:r>
            <w:proofErr w:type="spellStart"/>
            <w:r w:rsidRPr="000A0657">
              <w:rPr>
                <w:rFonts w:asciiTheme="majorHAnsi" w:eastAsia="Times New Roman" w:hAnsiTheme="majorHAnsi"/>
                <w:sz w:val="18"/>
                <w:szCs w:val="20"/>
                <w:bdr w:val="none" w:sz="0" w:space="0" w:color="auto"/>
                <w:lang w:val="es-ES" w:eastAsia="es-ES"/>
              </w:rPr>
              <w:t>Gonzalez</w:t>
            </w:r>
            <w:proofErr w:type="spellEnd"/>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hijo</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12</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 xml:space="preserve">Sonia Gonzalez </w:t>
            </w:r>
            <w:proofErr w:type="spellStart"/>
            <w:r w:rsidRPr="000A0657">
              <w:rPr>
                <w:rFonts w:asciiTheme="majorHAnsi" w:eastAsia="Times New Roman" w:hAnsiTheme="majorHAnsi"/>
                <w:sz w:val="18"/>
                <w:szCs w:val="20"/>
                <w:bdr w:val="none" w:sz="0" w:space="0" w:color="auto"/>
                <w:lang w:val="es-ES" w:eastAsia="es-ES"/>
              </w:rPr>
              <w:t>Gonzalez</w:t>
            </w:r>
            <w:proofErr w:type="spellEnd"/>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13</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proofErr w:type="spellStart"/>
            <w:r w:rsidRPr="000A0657">
              <w:rPr>
                <w:rFonts w:asciiTheme="majorHAnsi" w:eastAsia="Times New Roman" w:hAnsiTheme="majorHAnsi"/>
                <w:sz w:val="18"/>
                <w:szCs w:val="20"/>
                <w:bdr w:val="none" w:sz="0" w:space="0" w:color="auto"/>
                <w:lang w:val="es-ES" w:eastAsia="es-ES"/>
              </w:rPr>
              <w:t>Marleny</w:t>
            </w:r>
            <w:proofErr w:type="spellEnd"/>
            <w:r w:rsidRPr="000A0657">
              <w:rPr>
                <w:rFonts w:asciiTheme="majorHAnsi" w:eastAsia="Times New Roman" w:hAnsiTheme="majorHAnsi"/>
                <w:sz w:val="18"/>
                <w:szCs w:val="20"/>
                <w:bdr w:val="none" w:sz="0" w:space="0" w:color="auto"/>
                <w:lang w:val="es-ES" w:eastAsia="es-ES"/>
              </w:rPr>
              <w:t xml:space="preserve">  Gonzalez </w:t>
            </w:r>
            <w:proofErr w:type="spellStart"/>
            <w:r w:rsidRPr="000A0657">
              <w:rPr>
                <w:rFonts w:asciiTheme="majorHAnsi" w:eastAsia="Times New Roman" w:hAnsiTheme="majorHAnsi"/>
                <w:sz w:val="18"/>
                <w:szCs w:val="20"/>
                <w:bdr w:val="none" w:sz="0" w:space="0" w:color="auto"/>
                <w:lang w:val="es-ES" w:eastAsia="es-ES"/>
              </w:rPr>
              <w:t>Gonzalez</w:t>
            </w:r>
            <w:proofErr w:type="spellEnd"/>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14</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 xml:space="preserve">Sixto Gonzalez </w:t>
            </w:r>
            <w:proofErr w:type="spellStart"/>
            <w:r w:rsidRPr="000A0657">
              <w:rPr>
                <w:rFonts w:asciiTheme="majorHAnsi" w:eastAsia="Times New Roman" w:hAnsiTheme="majorHAnsi"/>
                <w:sz w:val="18"/>
                <w:szCs w:val="20"/>
                <w:bdr w:val="none" w:sz="0" w:space="0" w:color="auto"/>
                <w:lang w:val="es-ES" w:eastAsia="es-ES"/>
              </w:rPr>
              <w:t>Gonzalez</w:t>
            </w:r>
            <w:proofErr w:type="spellEnd"/>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hijo</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15</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proofErr w:type="spellStart"/>
            <w:r w:rsidRPr="000A0657">
              <w:rPr>
                <w:rFonts w:asciiTheme="majorHAnsi" w:eastAsia="Times New Roman" w:hAnsiTheme="majorHAnsi"/>
                <w:sz w:val="18"/>
                <w:szCs w:val="20"/>
                <w:bdr w:val="none" w:sz="0" w:space="0" w:color="auto"/>
                <w:lang w:val="es-ES" w:eastAsia="es-ES"/>
              </w:rPr>
              <w:t>Ediorgina</w:t>
            </w:r>
            <w:proofErr w:type="spellEnd"/>
            <w:r w:rsidRPr="000A0657">
              <w:rPr>
                <w:rFonts w:asciiTheme="majorHAnsi" w:eastAsia="Times New Roman" w:hAnsiTheme="majorHAnsi"/>
                <w:sz w:val="18"/>
                <w:szCs w:val="20"/>
                <w:bdr w:val="none" w:sz="0" w:space="0" w:color="auto"/>
                <w:lang w:val="es-ES" w:eastAsia="es-ES"/>
              </w:rPr>
              <w:t xml:space="preserve"> Gonzalez </w:t>
            </w:r>
            <w:proofErr w:type="spellStart"/>
            <w:r w:rsidRPr="000A0657">
              <w:rPr>
                <w:rFonts w:asciiTheme="majorHAnsi" w:eastAsia="Times New Roman" w:hAnsiTheme="majorHAnsi"/>
                <w:sz w:val="18"/>
                <w:szCs w:val="20"/>
                <w:bdr w:val="none" w:sz="0" w:space="0" w:color="auto"/>
                <w:lang w:val="es-ES" w:eastAsia="es-ES"/>
              </w:rPr>
              <w:t>Gonzalez</w:t>
            </w:r>
            <w:proofErr w:type="spellEnd"/>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16</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proofErr w:type="spellStart"/>
            <w:r w:rsidRPr="000A0657">
              <w:rPr>
                <w:rFonts w:asciiTheme="majorHAnsi" w:eastAsia="Times New Roman" w:hAnsiTheme="majorHAnsi"/>
                <w:sz w:val="18"/>
                <w:szCs w:val="20"/>
                <w:bdr w:val="none" w:sz="0" w:space="0" w:color="auto"/>
                <w:lang w:val="es-ES" w:eastAsia="es-ES"/>
              </w:rPr>
              <w:t>Ismenia</w:t>
            </w:r>
            <w:proofErr w:type="spellEnd"/>
            <w:r w:rsidRPr="000A0657">
              <w:rPr>
                <w:rFonts w:asciiTheme="majorHAnsi" w:eastAsia="Times New Roman" w:hAnsiTheme="majorHAnsi"/>
                <w:sz w:val="18"/>
                <w:szCs w:val="20"/>
                <w:bdr w:val="none" w:sz="0" w:space="0" w:color="auto"/>
                <w:lang w:val="es-ES" w:eastAsia="es-ES"/>
              </w:rPr>
              <w:t xml:space="preserve"> Gonzalez </w:t>
            </w:r>
            <w:proofErr w:type="spellStart"/>
            <w:r w:rsidRPr="000A0657">
              <w:rPr>
                <w:rFonts w:asciiTheme="majorHAnsi" w:eastAsia="Times New Roman" w:hAnsiTheme="majorHAnsi"/>
                <w:sz w:val="18"/>
                <w:szCs w:val="20"/>
                <w:bdr w:val="none" w:sz="0" w:space="0" w:color="auto"/>
                <w:lang w:val="es-ES" w:eastAsia="es-ES"/>
              </w:rPr>
              <w:t>Gonzalez</w:t>
            </w:r>
            <w:proofErr w:type="spellEnd"/>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17</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 xml:space="preserve">Jose Antonio González </w:t>
            </w:r>
            <w:proofErr w:type="spellStart"/>
            <w:r w:rsidRPr="000A0657">
              <w:rPr>
                <w:rFonts w:asciiTheme="majorHAnsi" w:eastAsia="Times New Roman" w:hAnsiTheme="majorHAnsi"/>
                <w:sz w:val="18"/>
                <w:szCs w:val="20"/>
                <w:bdr w:val="none" w:sz="0" w:space="0" w:color="auto"/>
                <w:lang w:val="es-ES" w:eastAsia="es-ES"/>
              </w:rPr>
              <w:t>González</w:t>
            </w:r>
            <w:proofErr w:type="spellEnd"/>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Nieto</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18</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 xml:space="preserve">Ida </w:t>
            </w:r>
            <w:proofErr w:type="spellStart"/>
            <w:r w:rsidRPr="000A0657">
              <w:rPr>
                <w:rFonts w:asciiTheme="majorHAnsi" w:eastAsia="Times New Roman" w:hAnsiTheme="majorHAnsi"/>
                <w:sz w:val="18"/>
                <w:szCs w:val="20"/>
                <w:bdr w:val="none" w:sz="0" w:space="0" w:color="auto"/>
                <w:lang w:val="es-ES" w:eastAsia="es-ES"/>
              </w:rPr>
              <w:t>Lineth</w:t>
            </w:r>
            <w:proofErr w:type="spellEnd"/>
            <w:r w:rsidRPr="000A0657">
              <w:rPr>
                <w:rFonts w:asciiTheme="majorHAnsi" w:eastAsia="Times New Roman" w:hAnsiTheme="majorHAnsi"/>
                <w:sz w:val="18"/>
                <w:szCs w:val="20"/>
                <w:bdr w:val="none" w:sz="0" w:space="0" w:color="auto"/>
                <w:lang w:val="es-ES" w:eastAsia="es-ES"/>
              </w:rPr>
              <w:t xml:space="preserve"> Lasso González</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Nieta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19</w:t>
            </w:r>
          </w:p>
        </w:tc>
      </w:tr>
      <w:tr w:rsidR="006F6497" w:rsidRPr="006F6497" w:rsidTr="00500208">
        <w:trPr>
          <w:trHeight w:val="398"/>
          <w:jc w:val="center"/>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5</w:t>
            </w:r>
          </w:p>
        </w:tc>
        <w:tc>
          <w:tcPr>
            <w:tcW w:w="26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 xml:space="preserve">Cruz Mojica </w:t>
            </w:r>
            <w:proofErr w:type="spellStart"/>
            <w:r w:rsidRPr="000A0657">
              <w:rPr>
                <w:rFonts w:asciiTheme="majorHAnsi" w:eastAsia="Times New Roman" w:hAnsiTheme="majorHAnsi"/>
                <w:sz w:val="18"/>
                <w:szCs w:val="20"/>
                <w:bdr w:val="none" w:sz="0" w:space="0" w:color="auto"/>
                <w:lang w:val="es-ES" w:eastAsia="es-ES"/>
              </w:rPr>
              <w:t>Florez</w:t>
            </w:r>
            <w:proofErr w:type="spellEnd"/>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CV-A-060-01</w:t>
            </w: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Arnulfo Mojica</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Hijo/Peticionario</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20</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Colombia Mojica</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21</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proofErr w:type="spellStart"/>
            <w:r w:rsidRPr="000A0657">
              <w:rPr>
                <w:rFonts w:asciiTheme="majorHAnsi" w:eastAsia="Times New Roman" w:hAnsiTheme="majorHAnsi"/>
                <w:sz w:val="18"/>
                <w:szCs w:val="20"/>
                <w:bdr w:val="none" w:sz="0" w:space="0" w:color="auto"/>
                <w:lang w:val="es-ES" w:eastAsia="es-ES"/>
              </w:rPr>
              <w:t>Ubaldino</w:t>
            </w:r>
            <w:proofErr w:type="spellEnd"/>
            <w:r w:rsidRPr="000A0657">
              <w:rPr>
                <w:rFonts w:asciiTheme="majorHAnsi" w:eastAsia="Times New Roman" w:hAnsiTheme="majorHAnsi"/>
                <w:sz w:val="18"/>
                <w:szCs w:val="20"/>
                <w:bdr w:val="none" w:sz="0" w:space="0" w:color="auto"/>
                <w:lang w:val="es-ES" w:eastAsia="es-ES"/>
              </w:rPr>
              <w:t xml:space="preserve"> Mojica</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Hijo</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22</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Amalia Mojica</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23</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Gabriel Mojica</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Hijo</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24</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 xml:space="preserve">Carmen Cecilia Mojica </w:t>
            </w:r>
            <w:proofErr w:type="spellStart"/>
            <w:r w:rsidRPr="000A0657">
              <w:rPr>
                <w:rFonts w:asciiTheme="majorHAnsi" w:eastAsia="Times New Roman" w:hAnsiTheme="majorHAnsi"/>
                <w:sz w:val="18"/>
                <w:szCs w:val="20"/>
                <w:bdr w:val="none" w:sz="0" w:space="0" w:color="auto"/>
                <w:lang w:val="es-ES" w:eastAsia="es-ES"/>
              </w:rPr>
              <w:t>Pitti</w:t>
            </w:r>
            <w:proofErr w:type="spellEnd"/>
            <w:r w:rsidRPr="000A0657">
              <w:rPr>
                <w:rFonts w:asciiTheme="majorHAnsi" w:eastAsia="Times New Roman" w:hAnsiTheme="majorHAnsi"/>
                <w:sz w:val="18"/>
                <w:szCs w:val="20"/>
                <w:bdr w:val="none" w:sz="0" w:space="0" w:color="auto"/>
                <w:lang w:val="es-ES" w:eastAsia="es-ES"/>
              </w:rPr>
              <w:t xml:space="preserve"> de Vargas</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25</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Cruz Mojica</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26</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proofErr w:type="spellStart"/>
            <w:r w:rsidRPr="000A0657">
              <w:rPr>
                <w:rFonts w:asciiTheme="majorHAnsi" w:eastAsia="Times New Roman" w:hAnsiTheme="majorHAnsi"/>
                <w:sz w:val="18"/>
                <w:szCs w:val="20"/>
                <w:bdr w:val="none" w:sz="0" w:space="0" w:color="auto"/>
                <w:lang w:val="es-ES" w:eastAsia="es-ES"/>
              </w:rPr>
              <w:t>Erodita</w:t>
            </w:r>
            <w:proofErr w:type="spellEnd"/>
            <w:r w:rsidRPr="000A0657">
              <w:rPr>
                <w:rFonts w:asciiTheme="majorHAnsi" w:eastAsia="Times New Roman" w:hAnsiTheme="majorHAnsi"/>
                <w:sz w:val="18"/>
                <w:szCs w:val="20"/>
                <w:bdr w:val="none" w:sz="0" w:space="0" w:color="auto"/>
                <w:lang w:val="es-ES" w:eastAsia="es-ES"/>
              </w:rPr>
              <w:t xml:space="preserve"> Mojica</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27</w:t>
            </w:r>
          </w:p>
        </w:tc>
      </w:tr>
      <w:tr w:rsidR="006F6497" w:rsidRPr="006F6497" w:rsidTr="00500208">
        <w:trPr>
          <w:trHeight w:val="398"/>
          <w:jc w:val="center"/>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6</w:t>
            </w:r>
          </w:p>
        </w:tc>
        <w:tc>
          <w:tcPr>
            <w:tcW w:w="26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Candelario Torres Sánchez</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CV-A-095-01</w:t>
            </w: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Olivia Torres Gómez</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Hija/Peticionaria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28</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Candelario Torres Gómez</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Hijo</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29</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Hilda Torres Gómez de Santos</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30</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 xml:space="preserve">Xiomara </w:t>
            </w:r>
            <w:proofErr w:type="spellStart"/>
            <w:r w:rsidRPr="000A0657">
              <w:rPr>
                <w:rFonts w:asciiTheme="majorHAnsi" w:eastAsia="Times New Roman" w:hAnsiTheme="majorHAnsi"/>
                <w:sz w:val="18"/>
                <w:szCs w:val="20"/>
                <w:bdr w:val="none" w:sz="0" w:space="0" w:color="auto"/>
                <w:lang w:val="es-ES" w:eastAsia="es-ES"/>
              </w:rPr>
              <w:t>Idced</w:t>
            </w:r>
            <w:proofErr w:type="spellEnd"/>
            <w:r w:rsidRPr="000A0657">
              <w:rPr>
                <w:rFonts w:asciiTheme="majorHAnsi" w:eastAsia="Times New Roman" w:hAnsiTheme="majorHAnsi"/>
                <w:sz w:val="18"/>
                <w:szCs w:val="20"/>
                <w:bdr w:val="none" w:sz="0" w:space="0" w:color="auto"/>
                <w:lang w:val="es-ES" w:eastAsia="es-ES"/>
              </w:rPr>
              <w:t xml:space="preserve"> Torres Gómez</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31</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Rodolfo Torres Gómez</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Hijo</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32</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Esther María Aguilar Gómez</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33</w:t>
            </w:r>
          </w:p>
        </w:tc>
      </w:tr>
      <w:tr w:rsidR="006F6497" w:rsidRPr="006F6497" w:rsidTr="00500208">
        <w:trPr>
          <w:trHeight w:val="398"/>
          <w:jc w:val="center"/>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7</w:t>
            </w:r>
          </w:p>
        </w:tc>
        <w:tc>
          <w:tcPr>
            <w:tcW w:w="26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 xml:space="preserve">Julio Alberto </w:t>
            </w:r>
            <w:proofErr w:type="spellStart"/>
            <w:r w:rsidRPr="000A0657">
              <w:rPr>
                <w:rFonts w:asciiTheme="majorHAnsi" w:eastAsia="Times New Roman" w:hAnsiTheme="majorHAnsi"/>
                <w:sz w:val="18"/>
                <w:szCs w:val="20"/>
                <w:bdr w:val="none" w:sz="0" w:space="0" w:color="auto"/>
                <w:lang w:val="es-ES" w:eastAsia="es-ES"/>
              </w:rPr>
              <w:t>Samudio</w:t>
            </w:r>
            <w:proofErr w:type="spellEnd"/>
            <w:r w:rsidRPr="000A0657">
              <w:rPr>
                <w:rFonts w:asciiTheme="majorHAnsi" w:eastAsia="Times New Roman" w:hAnsiTheme="majorHAnsi"/>
                <w:sz w:val="18"/>
                <w:szCs w:val="20"/>
                <w:bdr w:val="none" w:sz="0" w:space="0" w:color="auto"/>
                <w:lang w:val="es-ES" w:eastAsia="es-ES"/>
              </w:rPr>
              <w:t xml:space="preserve"> Silvera</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CV-D-091-01</w:t>
            </w: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proofErr w:type="spellStart"/>
            <w:r w:rsidRPr="000A0657">
              <w:rPr>
                <w:rFonts w:asciiTheme="majorHAnsi" w:eastAsia="Times New Roman" w:hAnsiTheme="majorHAnsi"/>
                <w:sz w:val="18"/>
                <w:szCs w:val="20"/>
                <w:bdr w:val="none" w:sz="0" w:space="0" w:color="auto"/>
                <w:lang w:val="es-ES" w:eastAsia="es-ES"/>
              </w:rPr>
              <w:t>Ladie</w:t>
            </w:r>
            <w:proofErr w:type="spellEnd"/>
            <w:r w:rsidRPr="000A0657">
              <w:rPr>
                <w:rFonts w:asciiTheme="majorHAnsi" w:eastAsia="Times New Roman" w:hAnsiTheme="majorHAnsi"/>
                <w:sz w:val="18"/>
                <w:szCs w:val="20"/>
                <w:bdr w:val="none" w:sz="0" w:space="0" w:color="auto"/>
                <w:lang w:val="es-ES" w:eastAsia="es-ES"/>
              </w:rPr>
              <w:t xml:space="preserve"> Esther </w:t>
            </w:r>
            <w:proofErr w:type="spellStart"/>
            <w:r w:rsidRPr="000A0657">
              <w:rPr>
                <w:rFonts w:asciiTheme="majorHAnsi" w:eastAsia="Times New Roman" w:hAnsiTheme="majorHAnsi"/>
                <w:sz w:val="18"/>
                <w:szCs w:val="20"/>
                <w:bdr w:val="none" w:sz="0" w:space="0" w:color="auto"/>
                <w:lang w:val="es-ES" w:eastAsia="es-ES"/>
              </w:rPr>
              <w:t>Samudio</w:t>
            </w:r>
            <w:proofErr w:type="spellEnd"/>
            <w:r w:rsidRPr="000A0657">
              <w:rPr>
                <w:rFonts w:asciiTheme="majorHAnsi" w:eastAsia="Times New Roman" w:hAnsiTheme="majorHAnsi"/>
                <w:sz w:val="18"/>
                <w:szCs w:val="20"/>
                <w:bdr w:val="none" w:sz="0" w:space="0" w:color="auto"/>
                <w:lang w:val="es-ES" w:eastAsia="es-ES"/>
              </w:rPr>
              <w:t xml:space="preserve"> de Aguirre</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Hermana/Peticionaria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34</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 xml:space="preserve">Liliana Isabel </w:t>
            </w:r>
            <w:proofErr w:type="spellStart"/>
            <w:r w:rsidRPr="000A0657">
              <w:rPr>
                <w:rFonts w:asciiTheme="majorHAnsi" w:eastAsia="Times New Roman" w:hAnsiTheme="majorHAnsi"/>
                <w:sz w:val="18"/>
                <w:szCs w:val="20"/>
                <w:bdr w:val="none" w:sz="0" w:space="0" w:color="auto"/>
                <w:lang w:val="es-ES" w:eastAsia="es-ES"/>
              </w:rPr>
              <w:t>Samudio</w:t>
            </w:r>
            <w:proofErr w:type="spellEnd"/>
            <w:r w:rsidRPr="000A0657">
              <w:rPr>
                <w:rFonts w:asciiTheme="majorHAnsi" w:eastAsia="Times New Roman" w:hAnsiTheme="majorHAnsi"/>
                <w:sz w:val="18"/>
                <w:szCs w:val="20"/>
                <w:bdr w:val="none" w:sz="0" w:space="0" w:color="auto"/>
                <w:lang w:val="es-ES" w:eastAsia="es-ES"/>
              </w:rPr>
              <w:t xml:space="preserve"> Parra</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35</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 xml:space="preserve">Ana Julia </w:t>
            </w:r>
            <w:proofErr w:type="spellStart"/>
            <w:r w:rsidRPr="000A0657">
              <w:rPr>
                <w:rFonts w:asciiTheme="majorHAnsi" w:eastAsia="Times New Roman" w:hAnsiTheme="majorHAnsi"/>
                <w:sz w:val="18"/>
                <w:szCs w:val="20"/>
                <w:bdr w:val="none" w:sz="0" w:space="0" w:color="auto"/>
                <w:lang w:val="es-ES" w:eastAsia="es-ES"/>
              </w:rPr>
              <w:t>Samudio</w:t>
            </w:r>
            <w:proofErr w:type="spellEnd"/>
            <w:r w:rsidRPr="000A0657">
              <w:rPr>
                <w:rFonts w:asciiTheme="majorHAnsi" w:eastAsia="Times New Roman" w:hAnsiTheme="majorHAnsi"/>
                <w:sz w:val="18"/>
                <w:szCs w:val="20"/>
                <w:bdr w:val="none" w:sz="0" w:space="0" w:color="auto"/>
                <w:lang w:val="es-ES" w:eastAsia="es-ES"/>
              </w:rPr>
              <w:t xml:space="preserve"> Parra</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36</w:t>
            </w:r>
          </w:p>
        </w:tc>
      </w:tr>
      <w:tr w:rsidR="006F6497" w:rsidRPr="006F6497" w:rsidTr="00500208">
        <w:trPr>
          <w:trHeight w:val="398"/>
          <w:jc w:val="center"/>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8</w:t>
            </w:r>
          </w:p>
        </w:tc>
        <w:tc>
          <w:tcPr>
            <w:tcW w:w="26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Luis Antonio Quiroz Morales</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CV-D-077-01</w:t>
            </w: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Ricardo Santiago Morales</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Hermano/Peticionario</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37</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 xml:space="preserve">Javier Morales </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Hermano</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38</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proofErr w:type="spellStart"/>
            <w:r w:rsidRPr="000A0657">
              <w:rPr>
                <w:rFonts w:asciiTheme="majorHAnsi" w:eastAsia="Times New Roman" w:hAnsiTheme="majorHAnsi"/>
                <w:sz w:val="18"/>
                <w:szCs w:val="20"/>
                <w:bdr w:val="none" w:sz="0" w:space="0" w:color="auto"/>
                <w:lang w:val="es-ES" w:eastAsia="es-ES"/>
              </w:rPr>
              <w:t>Eduina</w:t>
            </w:r>
            <w:proofErr w:type="spellEnd"/>
            <w:r w:rsidRPr="000A0657">
              <w:rPr>
                <w:rFonts w:asciiTheme="majorHAnsi" w:eastAsia="Times New Roman" w:hAnsiTheme="majorHAnsi"/>
                <w:sz w:val="18"/>
                <w:szCs w:val="20"/>
                <w:bdr w:val="none" w:sz="0" w:space="0" w:color="auto"/>
                <w:lang w:val="es-ES" w:eastAsia="es-ES"/>
              </w:rPr>
              <w:t xml:space="preserve"> Ríos Morales</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Hermana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39</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Santiago Montilla Morales</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Hermano</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40</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Roberto Santamaría</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Hermano</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41</w:t>
            </w:r>
          </w:p>
        </w:tc>
      </w:tr>
      <w:tr w:rsidR="006F6497" w:rsidRPr="006F6497" w:rsidTr="00500208">
        <w:trPr>
          <w:trHeight w:val="398"/>
          <w:jc w:val="center"/>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9</w:t>
            </w:r>
          </w:p>
        </w:tc>
        <w:tc>
          <w:tcPr>
            <w:tcW w:w="26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 xml:space="preserve">Cecilio Fuentes </w:t>
            </w:r>
            <w:proofErr w:type="spellStart"/>
            <w:r w:rsidRPr="000A0657">
              <w:rPr>
                <w:rFonts w:asciiTheme="majorHAnsi" w:eastAsia="Times New Roman" w:hAnsiTheme="majorHAnsi"/>
                <w:sz w:val="18"/>
                <w:szCs w:val="20"/>
                <w:bdr w:val="none" w:sz="0" w:space="0" w:color="auto"/>
                <w:lang w:val="es-ES" w:eastAsia="es-ES"/>
              </w:rPr>
              <w:t>Justavino</w:t>
            </w:r>
            <w:proofErr w:type="spellEnd"/>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CV-D-096-01</w:t>
            </w: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Denis Trejos Fuentes</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Hermano/Peticionario</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42</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proofErr w:type="spellStart"/>
            <w:r w:rsidRPr="000A0657">
              <w:rPr>
                <w:rFonts w:asciiTheme="majorHAnsi" w:eastAsia="Times New Roman" w:hAnsiTheme="majorHAnsi"/>
                <w:sz w:val="18"/>
                <w:szCs w:val="20"/>
                <w:bdr w:val="none" w:sz="0" w:space="0" w:color="auto"/>
                <w:lang w:val="es-ES" w:eastAsia="es-ES"/>
              </w:rPr>
              <w:t>Anel</w:t>
            </w:r>
            <w:proofErr w:type="spellEnd"/>
            <w:r w:rsidRPr="000A0657">
              <w:rPr>
                <w:rFonts w:asciiTheme="majorHAnsi" w:eastAsia="Times New Roman" w:hAnsiTheme="majorHAnsi"/>
                <w:sz w:val="18"/>
                <w:szCs w:val="20"/>
                <w:bdr w:val="none" w:sz="0" w:space="0" w:color="auto"/>
                <w:lang w:val="es-ES" w:eastAsia="es-ES"/>
              </w:rPr>
              <w:t xml:space="preserve"> Trejos Fuentes</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Hermano</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43</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000000" w:fill="FFFFFF"/>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proofErr w:type="spellStart"/>
            <w:r w:rsidRPr="000A0657">
              <w:rPr>
                <w:rFonts w:asciiTheme="majorHAnsi" w:eastAsia="Times New Roman" w:hAnsiTheme="majorHAnsi"/>
                <w:sz w:val="18"/>
                <w:szCs w:val="20"/>
                <w:bdr w:val="none" w:sz="0" w:space="0" w:color="auto"/>
                <w:lang w:val="es-ES" w:eastAsia="es-ES"/>
              </w:rPr>
              <w:t>Donard</w:t>
            </w:r>
            <w:proofErr w:type="spellEnd"/>
            <w:r w:rsidRPr="000A0657">
              <w:rPr>
                <w:rFonts w:asciiTheme="majorHAnsi" w:eastAsia="Times New Roman" w:hAnsiTheme="majorHAnsi"/>
                <w:sz w:val="18"/>
                <w:szCs w:val="20"/>
                <w:bdr w:val="none" w:sz="0" w:space="0" w:color="auto"/>
                <w:lang w:val="es-ES" w:eastAsia="es-ES"/>
              </w:rPr>
              <w:t xml:space="preserve"> Tejos Fuentes</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Hermano</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44</w:t>
            </w:r>
          </w:p>
        </w:tc>
      </w:tr>
      <w:tr w:rsidR="006F6497" w:rsidRPr="006F6497" w:rsidTr="00500208">
        <w:trPr>
          <w:trHeight w:val="398"/>
          <w:jc w:val="center"/>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10</w:t>
            </w:r>
          </w:p>
        </w:tc>
        <w:tc>
          <w:tcPr>
            <w:tcW w:w="26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Diego Villarreal Serrano</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CV-A-102-01</w:t>
            </w: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Claudia Villarreal</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Hijo</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45</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Diego Villarreal</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46</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 xml:space="preserve">Nubia Gisela </w:t>
            </w:r>
            <w:proofErr w:type="spellStart"/>
            <w:r w:rsidRPr="000A0657">
              <w:rPr>
                <w:rFonts w:asciiTheme="majorHAnsi" w:eastAsia="Times New Roman" w:hAnsiTheme="majorHAnsi"/>
                <w:sz w:val="18"/>
                <w:szCs w:val="20"/>
                <w:bdr w:val="none" w:sz="0" w:space="0" w:color="auto"/>
                <w:lang w:val="es-ES" w:eastAsia="es-ES"/>
              </w:rPr>
              <w:t>Pitti</w:t>
            </w:r>
            <w:proofErr w:type="spellEnd"/>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Viuda/Peticionaria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47</w:t>
            </w:r>
          </w:p>
        </w:tc>
      </w:tr>
      <w:tr w:rsidR="006F6497" w:rsidRPr="006F6497" w:rsidTr="00500208">
        <w:trPr>
          <w:trHeight w:val="398"/>
          <w:jc w:val="center"/>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lastRenderedPageBreak/>
              <w:t>11</w:t>
            </w:r>
          </w:p>
        </w:tc>
        <w:tc>
          <w:tcPr>
            <w:tcW w:w="26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Alonso Sabin Castillo</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CV- D-084-01</w:t>
            </w: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proofErr w:type="spellStart"/>
            <w:r w:rsidRPr="000A0657">
              <w:rPr>
                <w:rFonts w:asciiTheme="majorHAnsi" w:eastAsia="Times New Roman" w:hAnsiTheme="majorHAnsi"/>
                <w:sz w:val="18"/>
                <w:szCs w:val="20"/>
                <w:bdr w:val="none" w:sz="0" w:space="0" w:color="auto"/>
                <w:lang w:val="es-ES" w:eastAsia="es-ES"/>
              </w:rPr>
              <w:t>Aramus</w:t>
            </w:r>
            <w:proofErr w:type="spellEnd"/>
            <w:r w:rsidRPr="000A0657">
              <w:rPr>
                <w:rFonts w:asciiTheme="majorHAnsi" w:eastAsia="Times New Roman" w:hAnsiTheme="majorHAnsi"/>
                <w:sz w:val="18"/>
                <w:szCs w:val="20"/>
                <w:bdr w:val="none" w:sz="0" w:space="0" w:color="auto"/>
                <w:lang w:val="es-ES" w:eastAsia="es-ES"/>
              </w:rPr>
              <w:t xml:space="preserve"> Sabin</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Hermano/Peticionario</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48</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Dora Eneida Sabin Castillo</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Hermana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49</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Delfina Margarita Sabin Castillo</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Hermana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50</w:t>
            </w:r>
          </w:p>
        </w:tc>
      </w:tr>
      <w:tr w:rsidR="006F6497" w:rsidRPr="006F6497" w:rsidTr="00500208">
        <w:trPr>
          <w:trHeight w:val="398"/>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Lucas Francisco Sabin Castillo</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Hermano</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51</w:t>
            </w:r>
          </w:p>
        </w:tc>
      </w:tr>
      <w:tr w:rsidR="006F6497" w:rsidRPr="006F6497" w:rsidTr="00500208">
        <w:trPr>
          <w:trHeight w:val="398"/>
          <w:jc w:val="center"/>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13</w:t>
            </w:r>
          </w:p>
        </w:tc>
        <w:tc>
          <w:tcPr>
            <w:tcW w:w="26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 xml:space="preserve">Edwin </w:t>
            </w:r>
            <w:proofErr w:type="spellStart"/>
            <w:r w:rsidRPr="000A0657">
              <w:rPr>
                <w:rFonts w:asciiTheme="majorHAnsi" w:eastAsia="Times New Roman" w:hAnsiTheme="majorHAnsi"/>
                <w:sz w:val="18"/>
                <w:szCs w:val="20"/>
                <w:bdr w:val="none" w:sz="0" w:space="0" w:color="auto"/>
                <w:lang w:val="es-ES" w:eastAsia="es-ES"/>
              </w:rPr>
              <w:t>Eredio</w:t>
            </w:r>
            <w:proofErr w:type="spellEnd"/>
            <w:r w:rsidRPr="000A0657">
              <w:rPr>
                <w:rFonts w:asciiTheme="majorHAnsi" w:eastAsia="Times New Roman" w:hAnsiTheme="majorHAnsi"/>
                <w:sz w:val="18"/>
                <w:szCs w:val="20"/>
                <w:bdr w:val="none" w:sz="0" w:space="0" w:color="auto"/>
                <w:lang w:val="es-ES" w:eastAsia="es-ES"/>
              </w:rPr>
              <w:t xml:space="preserve"> Amaya</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CV-D-007-01</w:t>
            </w: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 xml:space="preserve">Lesbia </w:t>
            </w:r>
            <w:proofErr w:type="spellStart"/>
            <w:r w:rsidRPr="000A0657">
              <w:rPr>
                <w:rFonts w:asciiTheme="majorHAnsi" w:eastAsia="Times New Roman" w:hAnsiTheme="majorHAnsi"/>
                <w:sz w:val="18"/>
                <w:szCs w:val="20"/>
                <w:bdr w:val="none" w:sz="0" w:space="0" w:color="auto"/>
                <w:lang w:val="es-ES" w:eastAsia="es-ES"/>
              </w:rPr>
              <w:t>Aminta</w:t>
            </w:r>
            <w:proofErr w:type="spellEnd"/>
            <w:r w:rsidRPr="000A0657">
              <w:rPr>
                <w:rFonts w:asciiTheme="majorHAnsi" w:eastAsia="Times New Roman" w:hAnsiTheme="majorHAnsi"/>
                <w:sz w:val="18"/>
                <w:szCs w:val="20"/>
                <w:bdr w:val="none" w:sz="0" w:space="0" w:color="auto"/>
                <w:lang w:val="es-ES" w:eastAsia="es-ES"/>
              </w:rPr>
              <w:t xml:space="preserve"> Amaya </w:t>
            </w:r>
            <w:proofErr w:type="spellStart"/>
            <w:r w:rsidRPr="000A0657">
              <w:rPr>
                <w:rFonts w:asciiTheme="majorHAnsi" w:eastAsia="Times New Roman" w:hAnsiTheme="majorHAnsi"/>
                <w:sz w:val="18"/>
                <w:szCs w:val="20"/>
                <w:bdr w:val="none" w:sz="0" w:space="0" w:color="auto"/>
                <w:lang w:val="es-ES" w:eastAsia="es-ES"/>
              </w:rPr>
              <w:t>Amaya</w:t>
            </w:r>
            <w:proofErr w:type="spellEnd"/>
            <w:r w:rsidRPr="000A0657">
              <w:rPr>
                <w:rFonts w:asciiTheme="majorHAnsi" w:eastAsia="Times New Roman" w:hAnsiTheme="majorHAnsi"/>
                <w:sz w:val="18"/>
                <w:szCs w:val="20"/>
                <w:bdr w:val="none" w:sz="0" w:space="0" w:color="auto"/>
                <w:lang w:val="es-ES" w:eastAsia="es-ES"/>
              </w:rPr>
              <w:t xml:space="preserve"> de Singh</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Hermana/Peticionaria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52</w:t>
            </w:r>
          </w:p>
        </w:tc>
      </w:tr>
      <w:tr w:rsidR="006F6497" w:rsidRPr="006F6497" w:rsidTr="00500208">
        <w:trPr>
          <w:trHeight w:val="300"/>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proofErr w:type="spellStart"/>
            <w:r w:rsidRPr="000A0657">
              <w:rPr>
                <w:rFonts w:asciiTheme="majorHAnsi" w:eastAsia="Times New Roman" w:hAnsiTheme="majorHAnsi"/>
                <w:sz w:val="18"/>
                <w:szCs w:val="20"/>
                <w:bdr w:val="none" w:sz="0" w:space="0" w:color="auto"/>
                <w:lang w:val="es-ES" w:eastAsia="es-ES"/>
              </w:rPr>
              <w:t>Olindo</w:t>
            </w:r>
            <w:proofErr w:type="spellEnd"/>
            <w:r w:rsidRPr="000A0657">
              <w:rPr>
                <w:rFonts w:asciiTheme="majorHAnsi" w:eastAsia="Times New Roman" w:hAnsiTheme="majorHAnsi"/>
                <w:sz w:val="18"/>
                <w:szCs w:val="20"/>
                <w:bdr w:val="none" w:sz="0" w:space="0" w:color="auto"/>
                <w:lang w:val="es-ES" w:eastAsia="es-ES"/>
              </w:rPr>
              <w:t xml:space="preserve"> Heriberto Amaya </w:t>
            </w:r>
            <w:proofErr w:type="spellStart"/>
            <w:r w:rsidRPr="000A0657">
              <w:rPr>
                <w:rFonts w:asciiTheme="majorHAnsi" w:eastAsia="Times New Roman" w:hAnsiTheme="majorHAnsi"/>
                <w:sz w:val="18"/>
                <w:szCs w:val="20"/>
                <w:bdr w:val="none" w:sz="0" w:space="0" w:color="auto"/>
                <w:lang w:val="es-ES" w:eastAsia="es-ES"/>
              </w:rPr>
              <w:t>Amaya</w:t>
            </w:r>
            <w:proofErr w:type="spellEnd"/>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Hermano</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53</w:t>
            </w:r>
          </w:p>
        </w:tc>
      </w:tr>
      <w:tr w:rsidR="006F6497" w:rsidRPr="006F6497" w:rsidTr="00500208">
        <w:trPr>
          <w:trHeight w:val="300"/>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Eneida Amaya Bravo</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Hermana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54</w:t>
            </w:r>
          </w:p>
        </w:tc>
      </w:tr>
      <w:tr w:rsidR="006F6497" w:rsidRPr="006F6497" w:rsidTr="00500208">
        <w:trPr>
          <w:trHeight w:val="300"/>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proofErr w:type="spellStart"/>
            <w:r w:rsidRPr="000A0657">
              <w:rPr>
                <w:rFonts w:asciiTheme="majorHAnsi" w:eastAsia="Times New Roman" w:hAnsiTheme="majorHAnsi"/>
                <w:sz w:val="18"/>
                <w:szCs w:val="20"/>
                <w:bdr w:val="none" w:sz="0" w:space="0" w:color="auto"/>
                <w:lang w:val="es-ES" w:eastAsia="es-ES"/>
              </w:rPr>
              <w:t>Eina</w:t>
            </w:r>
            <w:proofErr w:type="spellEnd"/>
            <w:r w:rsidRPr="000A0657">
              <w:rPr>
                <w:rFonts w:asciiTheme="majorHAnsi" w:eastAsia="Times New Roman" w:hAnsiTheme="majorHAnsi"/>
                <w:sz w:val="18"/>
                <w:szCs w:val="20"/>
                <w:bdr w:val="none" w:sz="0" w:space="0" w:color="auto"/>
                <w:lang w:val="es-ES" w:eastAsia="es-ES"/>
              </w:rPr>
              <w:t xml:space="preserve"> Migdalia Amaya Bravo</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Hermana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55</w:t>
            </w:r>
          </w:p>
        </w:tc>
      </w:tr>
      <w:tr w:rsidR="006F6497" w:rsidRPr="006F6497" w:rsidTr="00500208">
        <w:trPr>
          <w:trHeight w:val="300"/>
          <w:jc w:val="center"/>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14</w:t>
            </w:r>
          </w:p>
        </w:tc>
        <w:tc>
          <w:tcPr>
            <w:tcW w:w="26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Marta Morán Jiménez</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CV-D-065-01</w:t>
            </w: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 xml:space="preserve">Valentín </w:t>
            </w:r>
            <w:proofErr w:type="spellStart"/>
            <w:r w:rsidRPr="000A0657">
              <w:rPr>
                <w:rFonts w:asciiTheme="majorHAnsi" w:eastAsia="Times New Roman" w:hAnsiTheme="majorHAnsi"/>
                <w:sz w:val="18"/>
                <w:szCs w:val="20"/>
                <w:bdr w:val="none" w:sz="0" w:space="0" w:color="auto"/>
                <w:lang w:val="es-ES" w:eastAsia="es-ES"/>
              </w:rPr>
              <w:t>Gordón</w:t>
            </w:r>
            <w:proofErr w:type="spellEnd"/>
            <w:r w:rsidRPr="000A0657">
              <w:rPr>
                <w:rFonts w:asciiTheme="majorHAnsi" w:eastAsia="Times New Roman" w:hAnsiTheme="majorHAnsi"/>
                <w:sz w:val="18"/>
                <w:szCs w:val="20"/>
                <w:bdr w:val="none" w:sz="0" w:space="0" w:color="auto"/>
                <w:lang w:val="es-ES" w:eastAsia="es-ES"/>
              </w:rPr>
              <w:t xml:space="preserve"> Morán</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Hijo</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56</w:t>
            </w:r>
          </w:p>
        </w:tc>
      </w:tr>
      <w:tr w:rsidR="006F6497" w:rsidRPr="006F6497" w:rsidTr="00500208">
        <w:trPr>
          <w:trHeight w:val="300"/>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proofErr w:type="spellStart"/>
            <w:r w:rsidRPr="000A0657">
              <w:rPr>
                <w:rFonts w:asciiTheme="majorHAnsi" w:eastAsia="Times New Roman" w:hAnsiTheme="majorHAnsi"/>
                <w:sz w:val="18"/>
                <w:szCs w:val="20"/>
                <w:bdr w:val="none" w:sz="0" w:space="0" w:color="auto"/>
                <w:lang w:val="es-ES" w:eastAsia="es-ES"/>
              </w:rPr>
              <w:t>Humberta</w:t>
            </w:r>
            <w:proofErr w:type="spellEnd"/>
            <w:r w:rsidRPr="000A0657">
              <w:rPr>
                <w:rFonts w:asciiTheme="majorHAnsi" w:eastAsia="Times New Roman" w:hAnsiTheme="majorHAnsi"/>
                <w:sz w:val="18"/>
                <w:szCs w:val="20"/>
                <w:bdr w:val="none" w:sz="0" w:space="0" w:color="auto"/>
                <w:lang w:val="es-ES" w:eastAsia="es-ES"/>
              </w:rPr>
              <w:t xml:space="preserve"> </w:t>
            </w:r>
            <w:proofErr w:type="spellStart"/>
            <w:r w:rsidRPr="000A0657">
              <w:rPr>
                <w:rFonts w:asciiTheme="majorHAnsi" w:eastAsia="Times New Roman" w:hAnsiTheme="majorHAnsi"/>
                <w:sz w:val="18"/>
                <w:szCs w:val="20"/>
                <w:bdr w:val="none" w:sz="0" w:space="0" w:color="auto"/>
                <w:lang w:val="es-ES" w:eastAsia="es-ES"/>
              </w:rPr>
              <w:t>Gordón</w:t>
            </w:r>
            <w:proofErr w:type="spellEnd"/>
            <w:r w:rsidRPr="000A0657">
              <w:rPr>
                <w:rFonts w:asciiTheme="majorHAnsi" w:eastAsia="Times New Roman" w:hAnsiTheme="majorHAnsi"/>
                <w:sz w:val="18"/>
                <w:szCs w:val="20"/>
                <w:bdr w:val="none" w:sz="0" w:space="0" w:color="auto"/>
                <w:lang w:val="es-ES" w:eastAsia="es-ES"/>
              </w:rPr>
              <w:t xml:space="preserve"> Morán</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57</w:t>
            </w:r>
          </w:p>
        </w:tc>
      </w:tr>
      <w:tr w:rsidR="006F6497" w:rsidRPr="006F6497" w:rsidTr="00500208">
        <w:trPr>
          <w:trHeight w:val="300"/>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 xml:space="preserve">Daniel Ángel Morán </w:t>
            </w:r>
            <w:proofErr w:type="spellStart"/>
            <w:r w:rsidRPr="000A0657">
              <w:rPr>
                <w:rFonts w:asciiTheme="majorHAnsi" w:eastAsia="Times New Roman" w:hAnsiTheme="majorHAnsi"/>
                <w:sz w:val="18"/>
                <w:szCs w:val="20"/>
                <w:bdr w:val="none" w:sz="0" w:space="0" w:color="auto"/>
                <w:lang w:val="es-ES" w:eastAsia="es-ES"/>
              </w:rPr>
              <w:t>Gordón</w:t>
            </w:r>
            <w:proofErr w:type="spellEnd"/>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Sobrino, Peticionario</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58</w:t>
            </w:r>
          </w:p>
        </w:tc>
      </w:tr>
      <w:tr w:rsidR="006F6497" w:rsidRPr="006F6497" w:rsidTr="00500208">
        <w:trPr>
          <w:trHeight w:val="375"/>
          <w:jc w:val="center"/>
        </w:trPr>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15</w:t>
            </w:r>
          </w:p>
        </w:tc>
        <w:tc>
          <w:tcPr>
            <w:tcW w:w="26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Félix Antonio Serrano Rodriguez</w:t>
            </w:r>
          </w:p>
        </w:tc>
        <w:tc>
          <w:tcPr>
            <w:tcW w:w="14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CV-D-089-01</w:t>
            </w: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Bolívar Augusto Serrano Rodríguez</w:t>
            </w:r>
            <w:r w:rsidRPr="000A0657">
              <w:rPr>
                <w:rFonts w:asciiTheme="majorHAnsi" w:eastAsia="Times New Roman" w:hAnsiTheme="majorHAnsi"/>
                <w:color w:val="000000"/>
                <w:sz w:val="18"/>
                <w:szCs w:val="20"/>
                <w:bdr w:val="none" w:sz="0" w:space="0" w:color="auto"/>
                <w:lang w:val="es-ES" w:eastAsia="es-ES"/>
              </w:rPr>
              <w:t xml:space="preserve"> </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Hermano, Peticionario</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59</w:t>
            </w:r>
          </w:p>
        </w:tc>
      </w:tr>
      <w:tr w:rsidR="006F6497" w:rsidRPr="006F6497" w:rsidTr="00500208">
        <w:trPr>
          <w:trHeight w:val="375"/>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Stella del Carmen Serrano Rodríguez</w:t>
            </w:r>
            <w:r w:rsidRPr="000A0657">
              <w:rPr>
                <w:rFonts w:asciiTheme="majorHAnsi" w:eastAsia="Times New Roman" w:hAnsiTheme="majorHAnsi"/>
                <w:color w:val="000000"/>
                <w:sz w:val="18"/>
                <w:szCs w:val="20"/>
                <w:bdr w:val="none" w:sz="0" w:space="0" w:color="auto"/>
                <w:lang w:val="es-ES" w:eastAsia="es-ES"/>
              </w:rPr>
              <w:t xml:space="preserve"> </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Hermana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60</w:t>
            </w:r>
          </w:p>
        </w:tc>
      </w:tr>
      <w:tr w:rsidR="006F6497" w:rsidRPr="006F6497" w:rsidTr="00500208">
        <w:trPr>
          <w:trHeight w:val="375"/>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Graciela Serrano Rodríguez</w:t>
            </w:r>
            <w:r w:rsidRPr="000A0657">
              <w:rPr>
                <w:rFonts w:asciiTheme="majorHAnsi" w:eastAsia="Times New Roman" w:hAnsiTheme="majorHAnsi"/>
                <w:color w:val="000000"/>
                <w:sz w:val="18"/>
                <w:szCs w:val="20"/>
                <w:bdr w:val="none" w:sz="0" w:space="0" w:color="auto"/>
                <w:lang w:val="es-ES" w:eastAsia="es-ES"/>
              </w:rPr>
              <w:t xml:space="preserve"> </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Hermana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61</w:t>
            </w:r>
          </w:p>
        </w:tc>
      </w:tr>
      <w:tr w:rsidR="006F6497" w:rsidRPr="006F6497" w:rsidTr="00500208">
        <w:trPr>
          <w:trHeight w:val="375"/>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Rossana Serrano Rodríguez</w:t>
            </w:r>
            <w:r w:rsidRPr="000A0657">
              <w:rPr>
                <w:rFonts w:asciiTheme="majorHAnsi" w:eastAsia="Times New Roman" w:hAnsiTheme="majorHAnsi"/>
                <w:color w:val="000000"/>
                <w:sz w:val="18"/>
                <w:szCs w:val="20"/>
                <w:bdr w:val="none" w:sz="0" w:space="0" w:color="auto"/>
                <w:lang w:val="es-ES" w:eastAsia="es-ES"/>
              </w:rPr>
              <w:t xml:space="preserve"> </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Hermana</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62</w:t>
            </w:r>
          </w:p>
        </w:tc>
      </w:tr>
      <w:tr w:rsidR="006F6497" w:rsidRPr="006F6497" w:rsidTr="00500208">
        <w:trPr>
          <w:trHeight w:val="375"/>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1440"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proofErr w:type="spellStart"/>
            <w:r w:rsidRPr="000A0657">
              <w:rPr>
                <w:rFonts w:asciiTheme="majorHAnsi" w:eastAsia="Times New Roman" w:hAnsiTheme="majorHAnsi"/>
                <w:sz w:val="18"/>
                <w:szCs w:val="20"/>
                <w:bdr w:val="none" w:sz="0" w:space="0" w:color="auto"/>
                <w:lang w:val="es-ES" w:eastAsia="es-ES"/>
              </w:rPr>
              <w:t>Joshué</w:t>
            </w:r>
            <w:proofErr w:type="spellEnd"/>
            <w:r w:rsidRPr="000A0657">
              <w:rPr>
                <w:rFonts w:asciiTheme="majorHAnsi" w:eastAsia="Times New Roman" w:hAnsiTheme="majorHAnsi"/>
                <w:sz w:val="18"/>
                <w:szCs w:val="20"/>
                <w:bdr w:val="none" w:sz="0" w:space="0" w:color="auto"/>
                <w:lang w:val="es-ES" w:eastAsia="es-ES"/>
              </w:rPr>
              <w:t xml:space="preserve"> Antonio Serrano</w:t>
            </w:r>
            <w:r w:rsidRPr="000A0657">
              <w:rPr>
                <w:rFonts w:asciiTheme="majorHAnsi" w:eastAsia="Times New Roman" w:hAnsiTheme="majorHAnsi"/>
                <w:color w:val="000000"/>
                <w:sz w:val="18"/>
                <w:szCs w:val="20"/>
                <w:bdr w:val="none" w:sz="0" w:space="0" w:color="auto"/>
                <w:lang w:val="es-ES" w:eastAsia="es-ES"/>
              </w:rPr>
              <w:t xml:space="preserve"> </w:t>
            </w:r>
            <w:proofErr w:type="spellStart"/>
            <w:r w:rsidRPr="000A0657">
              <w:rPr>
                <w:rFonts w:asciiTheme="majorHAnsi" w:eastAsia="Times New Roman" w:hAnsiTheme="majorHAnsi"/>
                <w:color w:val="000000"/>
                <w:sz w:val="18"/>
                <w:szCs w:val="20"/>
                <w:bdr w:val="none" w:sz="0" w:space="0" w:color="auto"/>
                <w:lang w:val="es-ES" w:eastAsia="es-ES"/>
              </w:rPr>
              <w:t>Hubbard</w:t>
            </w:r>
            <w:proofErr w:type="spellEnd"/>
            <w:r w:rsidRPr="000A0657">
              <w:rPr>
                <w:rFonts w:asciiTheme="majorHAnsi" w:eastAsia="Times New Roman" w:hAnsiTheme="majorHAnsi"/>
                <w:color w:val="000000"/>
                <w:sz w:val="18"/>
                <w:szCs w:val="20"/>
                <w:bdr w:val="none" w:sz="0" w:space="0" w:color="auto"/>
                <w:lang w:val="es-ES" w:eastAsia="es-ES"/>
              </w:rPr>
              <w:t xml:space="preserve"> </w:t>
            </w:r>
          </w:p>
        </w:tc>
        <w:tc>
          <w:tcPr>
            <w:tcW w:w="2076"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Hijo</w:t>
            </w:r>
          </w:p>
        </w:tc>
        <w:tc>
          <w:tcPr>
            <w:tcW w:w="444" w:type="dxa"/>
            <w:tcBorders>
              <w:top w:val="nil"/>
              <w:left w:val="nil"/>
              <w:bottom w:val="single" w:sz="4" w:space="0" w:color="auto"/>
              <w:right w:val="single" w:sz="4" w:space="0" w:color="auto"/>
            </w:tcBorders>
            <w:shd w:val="clear" w:color="auto" w:fill="auto"/>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63</w:t>
            </w:r>
          </w:p>
        </w:tc>
      </w:tr>
      <w:tr w:rsidR="006F6497" w:rsidRPr="006F6497" w:rsidTr="00500208">
        <w:trPr>
          <w:trHeight w:val="375"/>
          <w:jc w:val="center"/>
        </w:trPr>
        <w:tc>
          <w:tcPr>
            <w:tcW w:w="42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16</w:t>
            </w:r>
          </w:p>
        </w:tc>
        <w:tc>
          <w:tcPr>
            <w:tcW w:w="2635"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 xml:space="preserve">Carlos Efraín Guzmán </w:t>
            </w:r>
            <w:proofErr w:type="spellStart"/>
            <w:r w:rsidRPr="000A0657">
              <w:rPr>
                <w:rFonts w:asciiTheme="majorHAnsi" w:eastAsia="Times New Roman" w:hAnsiTheme="majorHAnsi"/>
                <w:color w:val="000000"/>
                <w:sz w:val="18"/>
                <w:szCs w:val="20"/>
                <w:bdr w:val="none" w:sz="0" w:space="0" w:color="auto"/>
                <w:lang w:val="es-ES" w:eastAsia="es-ES"/>
              </w:rPr>
              <w:t>Baules</w:t>
            </w:r>
            <w:proofErr w:type="spellEnd"/>
          </w:p>
        </w:tc>
        <w:tc>
          <w:tcPr>
            <w:tcW w:w="14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CV-A-044-01</w:t>
            </w:r>
          </w:p>
        </w:tc>
        <w:tc>
          <w:tcPr>
            <w:tcW w:w="3060" w:type="dxa"/>
            <w:tcBorders>
              <w:top w:val="nil"/>
              <w:left w:val="nil"/>
              <w:bottom w:val="single" w:sz="4" w:space="0" w:color="auto"/>
              <w:right w:val="single" w:sz="4" w:space="0" w:color="auto"/>
            </w:tcBorders>
            <w:shd w:val="clear" w:color="000000" w:fill="FFFFFF"/>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Adriana Guzmán Lee de Bonilla</w:t>
            </w:r>
          </w:p>
        </w:tc>
        <w:tc>
          <w:tcPr>
            <w:tcW w:w="2076" w:type="dxa"/>
            <w:tcBorders>
              <w:top w:val="nil"/>
              <w:left w:val="nil"/>
              <w:bottom w:val="single" w:sz="4" w:space="0" w:color="auto"/>
              <w:right w:val="single" w:sz="4" w:space="0" w:color="auto"/>
            </w:tcBorders>
            <w:shd w:val="clear" w:color="000000" w:fill="FFFFFF"/>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Hija</w:t>
            </w:r>
          </w:p>
        </w:tc>
        <w:tc>
          <w:tcPr>
            <w:tcW w:w="444" w:type="dxa"/>
            <w:tcBorders>
              <w:top w:val="nil"/>
              <w:left w:val="nil"/>
              <w:bottom w:val="single" w:sz="4" w:space="0" w:color="auto"/>
              <w:right w:val="single" w:sz="4" w:space="0" w:color="auto"/>
            </w:tcBorders>
            <w:shd w:val="clear" w:color="000000" w:fill="FFFFFF"/>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64</w:t>
            </w:r>
          </w:p>
        </w:tc>
      </w:tr>
      <w:tr w:rsidR="006F6497" w:rsidRPr="006F6497" w:rsidTr="00500208">
        <w:trPr>
          <w:trHeight w:val="375"/>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olor w:val="000000"/>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olor w:val="000000"/>
                <w:sz w:val="18"/>
                <w:szCs w:val="20"/>
                <w:bdr w:val="none" w:sz="0" w:space="0" w:color="auto"/>
                <w:lang w:val="es-ES" w:eastAsia="es-ES"/>
              </w:rPr>
            </w:pPr>
          </w:p>
        </w:tc>
        <w:tc>
          <w:tcPr>
            <w:tcW w:w="1440" w:type="dxa"/>
            <w:vMerge/>
            <w:tcBorders>
              <w:top w:val="nil"/>
              <w:left w:val="single" w:sz="4" w:space="0" w:color="auto"/>
              <w:bottom w:val="single" w:sz="4" w:space="0" w:color="000000"/>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olor w:val="000000"/>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000000" w:fill="FFFFFF"/>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Carlos Efraín Guzmán Lee</w:t>
            </w:r>
          </w:p>
        </w:tc>
        <w:tc>
          <w:tcPr>
            <w:tcW w:w="2076" w:type="dxa"/>
            <w:tcBorders>
              <w:top w:val="nil"/>
              <w:left w:val="nil"/>
              <w:bottom w:val="single" w:sz="4" w:space="0" w:color="auto"/>
              <w:right w:val="single" w:sz="4" w:space="0" w:color="auto"/>
            </w:tcBorders>
            <w:shd w:val="clear" w:color="000000" w:fill="FFFFFF"/>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Hijo, Peticionario</w:t>
            </w:r>
          </w:p>
        </w:tc>
        <w:tc>
          <w:tcPr>
            <w:tcW w:w="444" w:type="dxa"/>
            <w:tcBorders>
              <w:top w:val="nil"/>
              <w:left w:val="nil"/>
              <w:bottom w:val="single" w:sz="4" w:space="0" w:color="auto"/>
              <w:right w:val="single" w:sz="4" w:space="0" w:color="auto"/>
            </w:tcBorders>
            <w:shd w:val="clear" w:color="000000" w:fill="FFFFFF"/>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65</w:t>
            </w:r>
          </w:p>
        </w:tc>
      </w:tr>
      <w:tr w:rsidR="006F6497" w:rsidRPr="006F6497" w:rsidTr="00500208">
        <w:trPr>
          <w:trHeight w:val="375"/>
          <w:jc w:val="center"/>
        </w:trPr>
        <w:tc>
          <w:tcPr>
            <w:tcW w:w="42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olor w:val="000000"/>
                <w:sz w:val="18"/>
                <w:szCs w:val="20"/>
                <w:bdr w:val="none" w:sz="0" w:space="0" w:color="auto"/>
                <w:lang w:val="es-ES" w:eastAsia="es-ES"/>
              </w:rPr>
            </w:pPr>
          </w:p>
        </w:tc>
        <w:tc>
          <w:tcPr>
            <w:tcW w:w="2635" w:type="dxa"/>
            <w:vMerge/>
            <w:tcBorders>
              <w:top w:val="nil"/>
              <w:left w:val="single" w:sz="4" w:space="0" w:color="auto"/>
              <w:bottom w:val="single" w:sz="4" w:space="0" w:color="auto"/>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olor w:val="000000"/>
                <w:sz w:val="18"/>
                <w:szCs w:val="20"/>
                <w:bdr w:val="none" w:sz="0" w:space="0" w:color="auto"/>
                <w:lang w:val="es-ES" w:eastAsia="es-ES"/>
              </w:rPr>
            </w:pPr>
          </w:p>
        </w:tc>
        <w:tc>
          <w:tcPr>
            <w:tcW w:w="1440" w:type="dxa"/>
            <w:vMerge/>
            <w:tcBorders>
              <w:top w:val="nil"/>
              <w:left w:val="single" w:sz="4" w:space="0" w:color="auto"/>
              <w:bottom w:val="single" w:sz="4" w:space="0" w:color="000000"/>
              <w:right w:val="single" w:sz="4" w:space="0" w:color="auto"/>
            </w:tcBorders>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olor w:val="000000"/>
                <w:sz w:val="18"/>
                <w:szCs w:val="20"/>
                <w:bdr w:val="none" w:sz="0" w:space="0" w:color="auto"/>
                <w:lang w:val="es-ES" w:eastAsia="es-ES"/>
              </w:rPr>
            </w:pPr>
          </w:p>
        </w:tc>
        <w:tc>
          <w:tcPr>
            <w:tcW w:w="3060" w:type="dxa"/>
            <w:tcBorders>
              <w:top w:val="nil"/>
              <w:left w:val="nil"/>
              <w:bottom w:val="single" w:sz="4" w:space="0" w:color="auto"/>
              <w:right w:val="single" w:sz="4" w:space="0" w:color="auto"/>
            </w:tcBorders>
            <w:shd w:val="clear" w:color="000000" w:fill="FFFFFF"/>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180"/>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 xml:space="preserve">Xenia </w:t>
            </w:r>
            <w:proofErr w:type="spellStart"/>
            <w:r w:rsidRPr="000A0657">
              <w:rPr>
                <w:rFonts w:asciiTheme="majorHAnsi" w:eastAsia="Times New Roman" w:hAnsiTheme="majorHAnsi"/>
                <w:sz w:val="18"/>
                <w:szCs w:val="20"/>
                <w:bdr w:val="none" w:sz="0" w:space="0" w:color="auto"/>
                <w:lang w:val="es-ES" w:eastAsia="es-ES"/>
              </w:rPr>
              <w:t>Arritola</w:t>
            </w:r>
            <w:proofErr w:type="spellEnd"/>
            <w:r w:rsidRPr="000A0657">
              <w:rPr>
                <w:rFonts w:asciiTheme="majorHAnsi" w:eastAsia="Times New Roman" w:hAnsiTheme="majorHAnsi"/>
                <w:sz w:val="18"/>
                <w:szCs w:val="20"/>
                <w:bdr w:val="none" w:sz="0" w:space="0" w:color="auto"/>
                <w:lang w:val="es-ES" w:eastAsia="es-ES"/>
              </w:rPr>
              <w:t xml:space="preserve"> Hurtado</w:t>
            </w:r>
          </w:p>
        </w:tc>
        <w:tc>
          <w:tcPr>
            <w:tcW w:w="2076" w:type="dxa"/>
            <w:tcBorders>
              <w:top w:val="nil"/>
              <w:left w:val="nil"/>
              <w:bottom w:val="single" w:sz="4" w:space="0" w:color="auto"/>
              <w:right w:val="single" w:sz="4" w:space="0" w:color="auto"/>
            </w:tcBorders>
            <w:shd w:val="clear" w:color="000000" w:fill="FFFFFF"/>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sz w:val="18"/>
                <w:szCs w:val="20"/>
                <w:bdr w:val="none" w:sz="0" w:space="0" w:color="auto"/>
                <w:lang w:val="es-ES" w:eastAsia="es-ES"/>
              </w:rPr>
            </w:pPr>
            <w:r w:rsidRPr="000A0657">
              <w:rPr>
                <w:rFonts w:asciiTheme="majorHAnsi" w:eastAsia="Times New Roman" w:hAnsiTheme="majorHAnsi"/>
                <w:sz w:val="18"/>
                <w:szCs w:val="20"/>
                <w:bdr w:val="none" w:sz="0" w:space="0" w:color="auto"/>
                <w:lang w:val="es-ES" w:eastAsia="es-ES"/>
              </w:rPr>
              <w:t>Esposa</w:t>
            </w:r>
          </w:p>
        </w:tc>
        <w:tc>
          <w:tcPr>
            <w:tcW w:w="444" w:type="dxa"/>
            <w:tcBorders>
              <w:top w:val="nil"/>
              <w:left w:val="nil"/>
              <w:bottom w:val="single" w:sz="4" w:space="0" w:color="auto"/>
              <w:right w:val="single" w:sz="4" w:space="0" w:color="auto"/>
            </w:tcBorders>
            <w:shd w:val="clear" w:color="000000" w:fill="FFFFFF"/>
            <w:noWrap/>
            <w:vAlign w:val="center"/>
            <w:hideMark/>
          </w:tcPr>
          <w:p w:rsidR="006F6497" w:rsidRPr="000A0657" w:rsidRDefault="006F6497" w:rsidP="000A065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olor w:val="000000"/>
                <w:sz w:val="18"/>
                <w:szCs w:val="20"/>
                <w:bdr w:val="none" w:sz="0" w:space="0" w:color="auto"/>
                <w:lang w:val="es-ES" w:eastAsia="es-ES"/>
              </w:rPr>
            </w:pPr>
            <w:r w:rsidRPr="000A0657">
              <w:rPr>
                <w:rFonts w:asciiTheme="majorHAnsi" w:eastAsia="Times New Roman" w:hAnsiTheme="majorHAnsi"/>
                <w:color w:val="000000"/>
                <w:sz w:val="18"/>
                <w:szCs w:val="20"/>
                <w:bdr w:val="none" w:sz="0" w:space="0" w:color="auto"/>
                <w:lang w:val="es-ES" w:eastAsia="es-ES"/>
              </w:rPr>
              <w:t>66</w:t>
            </w:r>
          </w:p>
        </w:tc>
      </w:tr>
    </w:tbl>
    <w:p w:rsidR="006F6497" w:rsidRPr="00D31E39" w:rsidRDefault="006F6497" w:rsidP="00DB4BE4">
      <w:pPr>
        <w:tabs>
          <w:tab w:val="center" w:pos="5400"/>
        </w:tabs>
        <w:suppressAutoHyphens/>
        <w:jc w:val="both"/>
        <w:rPr>
          <w:rFonts w:asciiTheme="majorHAnsi" w:eastAsia="MS Mincho" w:hAnsiTheme="majorHAnsi"/>
          <w:sz w:val="20"/>
          <w:szCs w:val="20"/>
          <w:lang w:val="es-VE"/>
        </w:rPr>
      </w:pPr>
    </w:p>
    <w:p w:rsidR="004D1412" w:rsidRPr="00D31E39" w:rsidRDefault="004D1412" w:rsidP="00921AED">
      <w:pPr>
        <w:pStyle w:val="ListParagraph"/>
        <w:numPr>
          <w:ilvl w:val="0"/>
          <w:numId w:val="56"/>
        </w:numPr>
        <w:ind w:left="1440"/>
        <w:jc w:val="both"/>
        <w:rPr>
          <w:rFonts w:asciiTheme="majorHAnsi" w:eastAsia="MS Mincho" w:hAnsiTheme="majorHAnsi"/>
          <w:b/>
          <w:sz w:val="20"/>
          <w:szCs w:val="20"/>
          <w:lang w:val="es-ES"/>
        </w:rPr>
      </w:pPr>
      <w:r w:rsidRPr="00D31E39">
        <w:rPr>
          <w:rFonts w:asciiTheme="majorHAnsi" w:eastAsia="MS Mincho" w:hAnsiTheme="majorHAnsi"/>
          <w:b/>
          <w:sz w:val="20"/>
          <w:szCs w:val="20"/>
          <w:lang w:val="es-ES"/>
        </w:rPr>
        <w:t>DETERMINACIÓN DE COMPATIBILIDAD Y CUMPLIMIENTO</w:t>
      </w:r>
    </w:p>
    <w:p w:rsidR="00C96D4F" w:rsidRPr="00D31E39" w:rsidRDefault="00C96D4F" w:rsidP="00DB4BE4">
      <w:pPr>
        <w:tabs>
          <w:tab w:val="num" w:pos="1440"/>
        </w:tabs>
        <w:jc w:val="both"/>
        <w:rPr>
          <w:rFonts w:asciiTheme="majorHAnsi" w:eastAsia="MS Mincho" w:hAnsiTheme="majorHAnsi"/>
          <w:b/>
          <w:sz w:val="20"/>
          <w:szCs w:val="20"/>
          <w:lang w:val="es-ES"/>
        </w:rPr>
      </w:pPr>
    </w:p>
    <w:p w:rsidR="00C96D4F" w:rsidRPr="00D31E39" w:rsidRDefault="00C96D4F" w:rsidP="00921AED">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ES"/>
        </w:rPr>
      </w:pPr>
      <w:r w:rsidRPr="00D31E39">
        <w:rPr>
          <w:rFonts w:asciiTheme="majorHAnsi" w:eastAsia="MS Mincho" w:hAnsiTheme="majorHAnsi"/>
          <w:sz w:val="20"/>
          <w:szCs w:val="20"/>
          <w:bdr w:val="none" w:sz="0" w:space="0" w:color="auto" w:frame="1"/>
          <w:lang w:val="es-AR"/>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D31E39">
        <w:rPr>
          <w:rFonts w:asciiTheme="majorHAnsi" w:eastAsia="MS Mincho" w:hAnsiTheme="majorHAnsi"/>
          <w:i/>
          <w:sz w:val="20"/>
          <w:szCs w:val="20"/>
          <w:bdr w:val="none" w:sz="0" w:space="0" w:color="auto" w:frame="1"/>
          <w:lang w:val="es-AR"/>
        </w:rPr>
        <w:t xml:space="preserve">pacta </w:t>
      </w:r>
      <w:proofErr w:type="spellStart"/>
      <w:r w:rsidRPr="00D31E39">
        <w:rPr>
          <w:rFonts w:asciiTheme="majorHAnsi" w:eastAsia="MS Mincho" w:hAnsiTheme="majorHAnsi"/>
          <w:i/>
          <w:sz w:val="20"/>
          <w:szCs w:val="20"/>
          <w:bdr w:val="none" w:sz="0" w:space="0" w:color="auto" w:frame="1"/>
          <w:lang w:val="es-AR"/>
        </w:rPr>
        <w:t>sunt</w:t>
      </w:r>
      <w:proofErr w:type="spellEnd"/>
      <w:r w:rsidRPr="00D31E39">
        <w:rPr>
          <w:rFonts w:asciiTheme="majorHAnsi" w:eastAsia="MS Mincho" w:hAnsiTheme="majorHAnsi"/>
          <w:i/>
          <w:sz w:val="20"/>
          <w:szCs w:val="20"/>
          <w:bdr w:val="none" w:sz="0" w:space="0" w:color="auto" w:frame="1"/>
          <w:lang w:val="es-AR"/>
        </w:rPr>
        <w:t xml:space="preserve"> </w:t>
      </w:r>
      <w:proofErr w:type="spellStart"/>
      <w:r w:rsidRPr="00D31E39">
        <w:rPr>
          <w:rFonts w:asciiTheme="majorHAnsi" w:eastAsia="MS Mincho" w:hAnsiTheme="majorHAnsi"/>
          <w:i/>
          <w:sz w:val="20"/>
          <w:szCs w:val="20"/>
          <w:bdr w:val="none" w:sz="0" w:space="0" w:color="auto" w:frame="1"/>
          <w:lang w:val="es-AR"/>
        </w:rPr>
        <w:t>servanda</w:t>
      </w:r>
      <w:proofErr w:type="spellEnd"/>
      <w:r w:rsidRPr="00D31E39">
        <w:rPr>
          <w:rFonts w:asciiTheme="majorHAnsi" w:eastAsia="MS Mincho" w:hAnsiTheme="majorHAnsi"/>
          <w:sz w:val="20"/>
          <w:szCs w:val="20"/>
          <w:bdr w:val="none" w:sz="0" w:space="0" w:color="auto" w:frame="1"/>
          <w:lang w:val="es-AR"/>
        </w:rPr>
        <w:t>, por el cual los Estados deben cumplir de buena fe las obligaciones asumidas en los tratados</w:t>
      </w:r>
      <w:r w:rsidRPr="00D31E39">
        <w:rPr>
          <w:rFonts w:asciiTheme="majorHAnsi" w:hAnsiTheme="majorHAnsi"/>
          <w:sz w:val="20"/>
          <w:szCs w:val="20"/>
          <w:bdr w:val="none" w:sz="0" w:space="0" w:color="auto" w:frame="1"/>
          <w:vertAlign w:val="superscript"/>
          <w:lang w:val="es-AR"/>
        </w:rPr>
        <w:footnoteReference w:id="5"/>
      </w:r>
      <w:r w:rsidRPr="00D31E39">
        <w:rPr>
          <w:rFonts w:asciiTheme="majorHAnsi" w:eastAsia="MS Mincho" w:hAnsiTheme="majorHAnsi"/>
          <w:sz w:val="20"/>
          <w:szCs w:val="20"/>
          <w:bdr w:val="none" w:sz="0" w:space="0" w:color="auto" w:frame="1"/>
          <w:lang w:val="es-AR"/>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rsidR="00C96D4F" w:rsidRPr="00D31E39" w:rsidRDefault="00C96D4F" w:rsidP="00DB4BE4">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color w:val="000000"/>
          <w:sz w:val="20"/>
          <w:szCs w:val="20"/>
          <w:lang w:val="es-ES"/>
        </w:rPr>
      </w:pPr>
    </w:p>
    <w:p w:rsidR="004E5A52" w:rsidRPr="00D31E39" w:rsidRDefault="00C96D4F" w:rsidP="00921AE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D31E39">
        <w:rPr>
          <w:rFonts w:asciiTheme="majorHAnsi" w:eastAsia="MS Mincho" w:hAnsiTheme="majorHAnsi"/>
          <w:sz w:val="20"/>
          <w:szCs w:val="20"/>
          <w:lang w:val="es-ES"/>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rsidR="007F1B2F" w:rsidRPr="00D31E39" w:rsidRDefault="007F1B2F" w:rsidP="007F1B2F">
      <w:pPr>
        <w:pStyle w:val="ListParagraph"/>
        <w:rPr>
          <w:rFonts w:asciiTheme="majorHAnsi" w:eastAsia="MS Mincho" w:hAnsiTheme="majorHAnsi"/>
          <w:sz w:val="20"/>
          <w:szCs w:val="20"/>
          <w:lang w:val="es-ES"/>
        </w:rPr>
      </w:pPr>
    </w:p>
    <w:p w:rsidR="007F1B2F" w:rsidRPr="00D31E39" w:rsidRDefault="007F1B2F" w:rsidP="00921AE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VE"/>
        </w:rPr>
      </w:pPr>
      <w:r w:rsidRPr="00D31E39">
        <w:rPr>
          <w:rFonts w:asciiTheme="majorHAnsi" w:eastAsia="MS Mincho" w:hAnsiTheme="majorHAnsi"/>
          <w:color w:val="000000"/>
          <w:sz w:val="20"/>
          <w:szCs w:val="20"/>
          <w:lang w:val="es-ES"/>
        </w:rPr>
        <w:t xml:space="preserve">La Comisión observa que las partes proporcionaron un Anexo A del acuerdo de solución amistosa, el cual contiene un listado de víctimas y sus familiares con su respectiva información personal, </w:t>
      </w:r>
      <w:r w:rsidRPr="00D31E39">
        <w:rPr>
          <w:rFonts w:asciiTheme="majorHAnsi" w:eastAsia="MS Mincho" w:hAnsiTheme="majorHAnsi"/>
          <w:color w:val="000000"/>
          <w:sz w:val="20"/>
          <w:szCs w:val="20"/>
          <w:lang w:val="es-VE"/>
        </w:rPr>
        <w:t xml:space="preserve">por lo que declara que el mismo hace parte integral del acuerdo suscrito entre las partes. </w:t>
      </w:r>
    </w:p>
    <w:p w:rsidR="004E5A52" w:rsidRPr="00D31E39" w:rsidRDefault="004E5A52" w:rsidP="004E5A52">
      <w:pPr>
        <w:pStyle w:val="ListParagraph"/>
        <w:rPr>
          <w:rFonts w:asciiTheme="majorHAnsi" w:hAnsiTheme="majorHAnsi" w:cs="Calibri"/>
          <w:sz w:val="20"/>
          <w:szCs w:val="20"/>
          <w:lang w:val="es-ES_tradnl"/>
        </w:rPr>
      </w:pPr>
    </w:p>
    <w:p w:rsidR="00063C25" w:rsidRPr="00D31E39" w:rsidRDefault="004E5A52" w:rsidP="00921AE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D31E39">
        <w:rPr>
          <w:rFonts w:asciiTheme="majorHAnsi" w:hAnsiTheme="majorHAnsi" w:cs="Calibri"/>
          <w:sz w:val="20"/>
          <w:szCs w:val="20"/>
          <w:lang w:val="es-ES_tradnl"/>
        </w:rPr>
        <w:t xml:space="preserve">De conformidad a lo establecido en </w:t>
      </w:r>
      <w:r w:rsidR="00063C25" w:rsidRPr="00D31E39">
        <w:rPr>
          <w:rFonts w:asciiTheme="majorHAnsi" w:hAnsiTheme="majorHAnsi" w:cs="Calibri"/>
          <w:sz w:val="20"/>
          <w:szCs w:val="20"/>
          <w:lang w:val="es-ES_tradnl"/>
        </w:rPr>
        <w:t xml:space="preserve">la cláusula 6 del </w:t>
      </w:r>
      <w:r w:rsidR="00741E3E" w:rsidRPr="00D31E39">
        <w:rPr>
          <w:rFonts w:asciiTheme="majorHAnsi" w:hAnsiTheme="majorHAnsi" w:cs="Calibri"/>
          <w:sz w:val="20"/>
          <w:szCs w:val="20"/>
          <w:lang w:val="es-ES_tradnl"/>
        </w:rPr>
        <w:t xml:space="preserve">acuerdo de solución amistosa, </w:t>
      </w:r>
      <w:r w:rsidRPr="00D31E39">
        <w:rPr>
          <w:rFonts w:asciiTheme="majorHAnsi" w:hAnsiTheme="majorHAnsi" w:cs="Calibri"/>
          <w:sz w:val="20"/>
          <w:szCs w:val="20"/>
          <w:lang w:val="es-ES_tradnl"/>
        </w:rPr>
        <w:t>las partes</w:t>
      </w:r>
      <w:r w:rsidR="00063C25" w:rsidRPr="00D31E39">
        <w:rPr>
          <w:rFonts w:asciiTheme="majorHAnsi" w:hAnsiTheme="majorHAnsi" w:cs="Calibri"/>
          <w:sz w:val="20"/>
          <w:szCs w:val="20"/>
          <w:lang w:val="es-ES_tradnl"/>
        </w:rPr>
        <w:t xml:space="preserve"> acordaron solicitar a la </w:t>
      </w:r>
      <w:r w:rsidRPr="00D31E39">
        <w:rPr>
          <w:rFonts w:asciiTheme="majorHAnsi" w:hAnsiTheme="majorHAnsi" w:cs="Calibri"/>
          <w:sz w:val="20"/>
          <w:szCs w:val="20"/>
          <w:lang w:val="es-ES_tradnl"/>
        </w:rPr>
        <w:t xml:space="preserve">Comisión que </w:t>
      </w:r>
      <w:r w:rsidR="00063C25" w:rsidRPr="00D31E39">
        <w:rPr>
          <w:rFonts w:asciiTheme="majorHAnsi" w:hAnsiTheme="majorHAnsi" w:cs="Calibri"/>
          <w:sz w:val="20"/>
          <w:szCs w:val="20"/>
          <w:lang w:val="es-ES_tradnl"/>
        </w:rPr>
        <w:t>emitiera</w:t>
      </w:r>
      <w:r w:rsidRPr="00D31E39">
        <w:rPr>
          <w:rFonts w:asciiTheme="majorHAnsi" w:hAnsiTheme="majorHAnsi" w:cs="Calibri"/>
          <w:sz w:val="20"/>
          <w:szCs w:val="20"/>
          <w:lang w:val="es-ES_tradnl"/>
        </w:rPr>
        <w:t xml:space="preserve"> el informe contemplado en el artículo 49 de la Convención </w:t>
      </w:r>
      <w:r w:rsidRPr="00D31E39">
        <w:rPr>
          <w:rFonts w:asciiTheme="majorHAnsi" w:hAnsiTheme="majorHAnsi" w:cs="Calibri"/>
          <w:sz w:val="20"/>
          <w:szCs w:val="20"/>
          <w:lang w:val="es-ES_tradnl"/>
        </w:rPr>
        <w:lastRenderedPageBreak/>
        <w:t>Americana</w:t>
      </w:r>
      <w:r w:rsidR="00063C25" w:rsidRPr="00D31E39">
        <w:rPr>
          <w:rFonts w:asciiTheme="majorHAnsi" w:hAnsiTheme="majorHAnsi" w:cs="Calibri"/>
          <w:sz w:val="20"/>
          <w:szCs w:val="20"/>
          <w:lang w:val="es-ES_tradnl"/>
        </w:rPr>
        <w:t>, una vez firmado el acuerdo de solución amistosa</w:t>
      </w:r>
      <w:r w:rsidRPr="00D31E39">
        <w:rPr>
          <w:rFonts w:asciiTheme="majorHAnsi" w:hAnsiTheme="majorHAnsi" w:cs="Calibri"/>
          <w:sz w:val="20"/>
          <w:szCs w:val="20"/>
          <w:lang w:val="es-ES_tradnl"/>
        </w:rPr>
        <w:t>.</w:t>
      </w:r>
      <w:r w:rsidR="00415D40">
        <w:rPr>
          <w:rFonts w:asciiTheme="majorHAnsi" w:hAnsiTheme="majorHAnsi" w:cs="Calibri"/>
          <w:sz w:val="20"/>
          <w:szCs w:val="20"/>
          <w:lang w:val="es-ES_tradnl"/>
        </w:rPr>
        <w:t xml:space="preserve"> Dic</w:t>
      </w:r>
      <w:r w:rsidR="000A0657">
        <w:rPr>
          <w:rFonts w:asciiTheme="majorHAnsi" w:hAnsiTheme="majorHAnsi" w:cs="Calibri"/>
          <w:sz w:val="20"/>
          <w:szCs w:val="20"/>
          <w:lang w:val="es-ES_tradnl"/>
        </w:rPr>
        <w:t>ha solicitud fue reiterada el 20</w:t>
      </w:r>
      <w:r w:rsidR="00415D40">
        <w:rPr>
          <w:rFonts w:asciiTheme="majorHAnsi" w:hAnsiTheme="majorHAnsi" w:cs="Calibri"/>
          <w:sz w:val="20"/>
          <w:szCs w:val="20"/>
          <w:lang w:val="es-ES_tradnl"/>
        </w:rPr>
        <w:t xml:space="preserve"> de junio de 2019, a través de un escrito en el cual las partes informaron a la CIDH de la aprobación del ASA por parte del </w:t>
      </w:r>
      <w:r w:rsidR="00415D40" w:rsidRPr="000A0657">
        <w:rPr>
          <w:rFonts w:asciiTheme="majorHAnsi" w:hAnsiTheme="majorHAnsi" w:cs="Calibri"/>
          <w:sz w:val="20"/>
          <w:szCs w:val="20"/>
          <w:lang w:val="es-ES_tradnl"/>
        </w:rPr>
        <w:t xml:space="preserve">Concejo de </w:t>
      </w:r>
      <w:r w:rsidR="000A0657">
        <w:rPr>
          <w:rFonts w:asciiTheme="majorHAnsi" w:hAnsiTheme="majorHAnsi" w:cs="Calibri"/>
          <w:sz w:val="20"/>
          <w:szCs w:val="20"/>
          <w:lang w:val="es-ES_tradnl"/>
        </w:rPr>
        <w:t>G</w:t>
      </w:r>
      <w:r w:rsidR="000A0657" w:rsidRPr="000A0657">
        <w:rPr>
          <w:rFonts w:asciiTheme="majorHAnsi" w:hAnsiTheme="majorHAnsi" w:cs="Calibri"/>
          <w:sz w:val="20"/>
          <w:szCs w:val="20"/>
          <w:lang w:val="es-ES_tradnl"/>
        </w:rPr>
        <w:t>abinete</w:t>
      </w:r>
      <w:r w:rsidR="00415D40" w:rsidRPr="000A0657">
        <w:rPr>
          <w:rFonts w:asciiTheme="majorHAnsi" w:hAnsiTheme="majorHAnsi" w:cs="Calibri"/>
          <w:sz w:val="20"/>
          <w:szCs w:val="20"/>
          <w:lang w:val="es-ES_tradnl"/>
        </w:rPr>
        <w:t>,</w:t>
      </w:r>
      <w:r w:rsidR="00415D40">
        <w:rPr>
          <w:rFonts w:asciiTheme="majorHAnsi" w:hAnsiTheme="majorHAnsi" w:cs="Calibri"/>
          <w:sz w:val="20"/>
          <w:szCs w:val="20"/>
          <w:lang w:val="es-ES_tradnl"/>
        </w:rPr>
        <w:t xml:space="preserve"> así como la publicación del ASA en la Gaceta Oficial y solicitaron conjuntamente a la CIDH que procediera con su homologación</w:t>
      </w:r>
      <w:r w:rsidR="00415D40">
        <w:rPr>
          <w:rFonts w:asciiTheme="majorHAnsi" w:eastAsia="Times New Roman" w:hAnsiTheme="majorHAnsi"/>
          <w:sz w:val="20"/>
          <w:szCs w:val="20"/>
          <w:bdr w:val="none" w:sz="0" w:space="0" w:color="auto" w:frame="1"/>
          <w:lang w:val="es-AR"/>
        </w:rPr>
        <w:t>.</w:t>
      </w:r>
    </w:p>
    <w:p w:rsidR="00063C25" w:rsidRPr="00D31E39" w:rsidRDefault="00063C25" w:rsidP="00063C25">
      <w:pPr>
        <w:pStyle w:val="ListParagraph"/>
        <w:rPr>
          <w:rFonts w:asciiTheme="majorHAnsi" w:hAnsiTheme="majorHAnsi" w:cs="Calibri"/>
          <w:sz w:val="20"/>
          <w:szCs w:val="20"/>
          <w:lang w:val="es-VE"/>
        </w:rPr>
      </w:pPr>
    </w:p>
    <w:p w:rsidR="00A041E1" w:rsidRPr="00D31E39" w:rsidRDefault="00063C25" w:rsidP="00921AE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Calibri"/>
          <w:sz w:val="20"/>
          <w:szCs w:val="20"/>
          <w:lang w:val="es-VE"/>
        </w:rPr>
      </w:pPr>
      <w:r w:rsidRPr="00D31E39">
        <w:rPr>
          <w:rFonts w:asciiTheme="majorHAnsi" w:hAnsiTheme="majorHAnsi" w:cs="Calibri"/>
          <w:sz w:val="20"/>
          <w:szCs w:val="20"/>
          <w:lang w:val="es-VE"/>
        </w:rPr>
        <w:t>La Comisión toma nota de</w:t>
      </w:r>
      <w:r w:rsidR="00A041E1" w:rsidRPr="00D31E39">
        <w:rPr>
          <w:rFonts w:asciiTheme="majorHAnsi" w:hAnsiTheme="majorHAnsi" w:cs="Calibri"/>
          <w:sz w:val="20"/>
          <w:szCs w:val="20"/>
          <w:lang w:val="es-VE"/>
        </w:rPr>
        <w:t xml:space="preserve"> </w:t>
      </w:r>
      <w:r w:rsidRPr="00D31E39">
        <w:rPr>
          <w:rFonts w:asciiTheme="majorHAnsi" w:hAnsiTheme="majorHAnsi" w:cs="Calibri"/>
          <w:sz w:val="20"/>
          <w:szCs w:val="20"/>
          <w:lang w:val="es-VE"/>
        </w:rPr>
        <w:t>l</w:t>
      </w:r>
      <w:r w:rsidR="00A041E1" w:rsidRPr="00D31E39">
        <w:rPr>
          <w:rFonts w:asciiTheme="majorHAnsi" w:hAnsiTheme="majorHAnsi" w:cs="Calibri"/>
          <w:sz w:val="20"/>
          <w:szCs w:val="20"/>
          <w:lang w:val="es-VE"/>
        </w:rPr>
        <w:t>os</w:t>
      </w:r>
      <w:r w:rsidRPr="00D31E39">
        <w:rPr>
          <w:rFonts w:asciiTheme="majorHAnsi" w:hAnsiTheme="majorHAnsi" w:cs="Calibri"/>
          <w:sz w:val="20"/>
          <w:szCs w:val="20"/>
          <w:lang w:val="es-VE"/>
        </w:rPr>
        <w:t xml:space="preserve"> compromiso</w:t>
      </w:r>
      <w:r w:rsidR="00A041E1" w:rsidRPr="00D31E39">
        <w:rPr>
          <w:rFonts w:asciiTheme="majorHAnsi" w:hAnsiTheme="majorHAnsi" w:cs="Calibri"/>
          <w:sz w:val="20"/>
          <w:szCs w:val="20"/>
          <w:lang w:val="es-VE"/>
        </w:rPr>
        <w:t>s</w:t>
      </w:r>
      <w:r w:rsidRPr="00D31E39">
        <w:rPr>
          <w:rFonts w:asciiTheme="majorHAnsi" w:hAnsiTheme="majorHAnsi" w:cs="Calibri"/>
          <w:sz w:val="20"/>
          <w:szCs w:val="20"/>
          <w:lang w:val="es-VE"/>
        </w:rPr>
        <w:t xml:space="preserve"> asumido</w:t>
      </w:r>
      <w:r w:rsidR="00A041E1" w:rsidRPr="00D31E39">
        <w:rPr>
          <w:rFonts w:asciiTheme="majorHAnsi" w:hAnsiTheme="majorHAnsi" w:cs="Calibri"/>
          <w:sz w:val="20"/>
          <w:szCs w:val="20"/>
          <w:lang w:val="es-VE"/>
        </w:rPr>
        <w:t>s por el Estado en las cláusulas 1 y 2  que comprenden la obligación de reparar a las víctimas, mediante el reconocimiento del daño material, lucro cesante y daño inmaterial. Asimismo, toma nota de lo establecido en la cláusula 3, referida al pago de la reparación pecuniaria en beneficio de las 15 víctimas</w:t>
      </w:r>
      <w:r w:rsidR="00E24ABE">
        <w:rPr>
          <w:rFonts w:asciiTheme="majorHAnsi" w:hAnsiTheme="majorHAnsi" w:cs="Calibri"/>
          <w:sz w:val="20"/>
          <w:szCs w:val="20"/>
          <w:lang w:val="es-VE"/>
        </w:rPr>
        <w:t xml:space="preserve"> y sus 66 familiares</w:t>
      </w:r>
      <w:r w:rsidR="00A041E1" w:rsidRPr="00D31E39">
        <w:rPr>
          <w:rFonts w:asciiTheme="majorHAnsi" w:hAnsiTheme="majorHAnsi" w:cs="Calibri"/>
          <w:sz w:val="20"/>
          <w:szCs w:val="20"/>
          <w:lang w:val="es-VE"/>
        </w:rPr>
        <w:t xml:space="preserve"> </w:t>
      </w:r>
      <w:r w:rsidR="00E24ABE">
        <w:rPr>
          <w:rFonts w:asciiTheme="majorHAnsi" w:hAnsiTheme="majorHAnsi" w:cs="Calibri"/>
          <w:sz w:val="20"/>
          <w:szCs w:val="20"/>
          <w:lang w:val="es-VE"/>
        </w:rPr>
        <w:t>reconocido</w:t>
      </w:r>
      <w:r w:rsidR="007F1B2F" w:rsidRPr="00D31E39">
        <w:rPr>
          <w:rFonts w:asciiTheme="majorHAnsi" w:hAnsiTheme="majorHAnsi" w:cs="Calibri"/>
          <w:sz w:val="20"/>
          <w:szCs w:val="20"/>
          <w:lang w:val="es-VE"/>
        </w:rPr>
        <w:t>s</w:t>
      </w:r>
      <w:r w:rsidR="00A041E1" w:rsidRPr="00D31E39">
        <w:rPr>
          <w:rFonts w:asciiTheme="majorHAnsi" w:hAnsiTheme="majorHAnsi" w:cs="Calibri"/>
          <w:sz w:val="20"/>
          <w:szCs w:val="20"/>
          <w:lang w:val="es-VE"/>
        </w:rPr>
        <w:t xml:space="preserve"> </w:t>
      </w:r>
      <w:r w:rsidR="00E24ABE">
        <w:rPr>
          <w:rFonts w:asciiTheme="majorHAnsi" w:hAnsiTheme="majorHAnsi" w:cs="Calibri"/>
          <w:sz w:val="20"/>
          <w:szCs w:val="20"/>
          <w:lang w:val="es-VE"/>
        </w:rPr>
        <w:t xml:space="preserve">como tales por las partes </w:t>
      </w:r>
      <w:r w:rsidR="00A041E1" w:rsidRPr="00D31E39">
        <w:rPr>
          <w:rFonts w:asciiTheme="majorHAnsi" w:hAnsiTheme="majorHAnsi" w:cs="Calibri"/>
          <w:sz w:val="20"/>
          <w:szCs w:val="20"/>
          <w:lang w:val="es-VE"/>
        </w:rPr>
        <w:t>en el A</w:t>
      </w:r>
      <w:r w:rsidR="007F1B2F" w:rsidRPr="00D31E39">
        <w:rPr>
          <w:rFonts w:asciiTheme="majorHAnsi" w:hAnsiTheme="majorHAnsi" w:cs="Calibri"/>
          <w:sz w:val="20"/>
          <w:szCs w:val="20"/>
          <w:lang w:val="es-VE"/>
        </w:rPr>
        <w:t xml:space="preserve">nexo A del acuerdo de </w:t>
      </w:r>
      <w:r w:rsidR="006E245A" w:rsidRPr="00D31E39">
        <w:rPr>
          <w:rFonts w:asciiTheme="majorHAnsi" w:hAnsiTheme="majorHAnsi" w:cs="Calibri"/>
          <w:sz w:val="20"/>
          <w:szCs w:val="20"/>
          <w:lang w:val="es-VE"/>
        </w:rPr>
        <w:t>solución</w:t>
      </w:r>
      <w:r w:rsidR="007F1B2F" w:rsidRPr="00D31E39">
        <w:rPr>
          <w:rFonts w:asciiTheme="majorHAnsi" w:hAnsiTheme="majorHAnsi" w:cs="Calibri"/>
          <w:sz w:val="20"/>
          <w:szCs w:val="20"/>
          <w:lang w:val="es-VE"/>
        </w:rPr>
        <w:t xml:space="preserve"> amistosa</w:t>
      </w:r>
      <w:r w:rsidR="006E245A" w:rsidRPr="00D31E39">
        <w:rPr>
          <w:rFonts w:asciiTheme="majorHAnsi" w:hAnsiTheme="majorHAnsi" w:cs="Calibri"/>
          <w:sz w:val="20"/>
          <w:szCs w:val="20"/>
          <w:lang w:val="es-VE"/>
        </w:rPr>
        <w:t>. Por lo que declara que las cláusulas 1, 2 y 3 se encuen</w:t>
      </w:r>
      <w:r w:rsidR="006C52A9" w:rsidRPr="00D31E39">
        <w:rPr>
          <w:rFonts w:asciiTheme="majorHAnsi" w:hAnsiTheme="majorHAnsi" w:cs="Calibri"/>
          <w:sz w:val="20"/>
          <w:szCs w:val="20"/>
          <w:lang w:val="es-VE"/>
        </w:rPr>
        <w:t>tran pendientes de cumplimiento.</w:t>
      </w:r>
    </w:p>
    <w:p w:rsidR="006C52A9" w:rsidRPr="00D31E39" w:rsidRDefault="00551704" w:rsidP="006C52A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cs="Calibri"/>
          <w:sz w:val="20"/>
          <w:szCs w:val="20"/>
          <w:lang w:val="es-VE"/>
        </w:rPr>
      </w:pPr>
      <w:r>
        <w:rPr>
          <w:rFonts w:asciiTheme="majorHAnsi" w:hAnsiTheme="majorHAnsi" w:cs="Calibri"/>
          <w:sz w:val="20"/>
          <w:szCs w:val="20"/>
          <w:lang w:val="es-VE"/>
        </w:rPr>
        <w:tab/>
      </w:r>
    </w:p>
    <w:p w:rsidR="00A041E1" w:rsidRPr="00D31E39" w:rsidRDefault="006E245A" w:rsidP="00921AE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D31E39">
        <w:rPr>
          <w:rFonts w:asciiTheme="majorHAnsi" w:eastAsia="MS Mincho" w:hAnsiTheme="majorHAnsi"/>
          <w:color w:val="000000"/>
          <w:sz w:val="20"/>
          <w:szCs w:val="20"/>
          <w:lang w:val="es-ES"/>
        </w:rPr>
        <w:t xml:space="preserve">En </w:t>
      </w:r>
      <w:r w:rsidR="00AD2AA3" w:rsidRPr="00D31E39">
        <w:rPr>
          <w:rFonts w:asciiTheme="majorHAnsi" w:eastAsia="MS Mincho" w:hAnsiTheme="majorHAnsi"/>
          <w:color w:val="000000"/>
          <w:sz w:val="20"/>
          <w:szCs w:val="20"/>
          <w:lang w:val="es-ES"/>
        </w:rPr>
        <w:t>relación</w:t>
      </w:r>
      <w:r w:rsidRPr="00D31E39">
        <w:rPr>
          <w:rFonts w:asciiTheme="majorHAnsi" w:eastAsia="MS Mincho" w:hAnsiTheme="majorHAnsi"/>
          <w:color w:val="000000"/>
          <w:sz w:val="20"/>
          <w:szCs w:val="20"/>
          <w:lang w:val="es-ES"/>
        </w:rPr>
        <w:t xml:space="preserve"> a la cláusula </w:t>
      </w:r>
      <w:r w:rsidR="00AD2AA3" w:rsidRPr="00D31E39">
        <w:rPr>
          <w:rFonts w:asciiTheme="majorHAnsi" w:eastAsia="MS Mincho" w:hAnsiTheme="majorHAnsi"/>
          <w:color w:val="000000"/>
          <w:sz w:val="20"/>
          <w:szCs w:val="20"/>
          <w:lang w:val="es-ES"/>
        </w:rPr>
        <w:t xml:space="preserve">4, relativa a las medidas de satisfacción y garantías de no repetición, </w:t>
      </w:r>
      <w:r w:rsidR="00E24ABE">
        <w:rPr>
          <w:rFonts w:asciiTheme="majorHAnsi" w:eastAsia="MS Mincho" w:hAnsiTheme="majorHAnsi"/>
          <w:color w:val="000000"/>
          <w:sz w:val="20"/>
          <w:szCs w:val="20"/>
          <w:lang w:val="es-ES"/>
        </w:rPr>
        <w:t xml:space="preserve">y la cláusula </w:t>
      </w:r>
      <w:r w:rsidR="00E24ABE" w:rsidRPr="00D31E39">
        <w:rPr>
          <w:rFonts w:asciiTheme="majorHAnsi" w:eastAsia="MS Mincho" w:hAnsiTheme="majorHAnsi"/>
          <w:color w:val="000000"/>
          <w:sz w:val="20"/>
          <w:szCs w:val="20"/>
          <w:lang w:val="es-ES"/>
        </w:rPr>
        <w:t>4.2 (Investigación y sanción de los responsables)</w:t>
      </w:r>
      <w:r w:rsidR="00E24ABE">
        <w:rPr>
          <w:rFonts w:asciiTheme="majorHAnsi" w:eastAsia="MS Mincho" w:hAnsiTheme="majorHAnsi"/>
          <w:color w:val="000000"/>
          <w:sz w:val="20"/>
          <w:szCs w:val="20"/>
          <w:lang w:val="es-ES"/>
        </w:rPr>
        <w:t xml:space="preserve"> </w:t>
      </w:r>
      <w:r w:rsidR="00AD2AA3" w:rsidRPr="00D31E39">
        <w:rPr>
          <w:rFonts w:asciiTheme="majorHAnsi" w:eastAsia="MS Mincho" w:hAnsiTheme="majorHAnsi"/>
          <w:color w:val="000000"/>
          <w:sz w:val="20"/>
          <w:szCs w:val="20"/>
          <w:lang w:val="es-ES"/>
        </w:rPr>
        <w:t xml:space="preserve">la Comisión </w:t>
      </w:r>
      <w:r w:rsidR="00E24ABE">
        <w:rPr>
          <w:rFonts w:asciiTheme="majorHAnsi" w:eastAsia="MS Mincho" w:hAnsiTheme="majorHAnsi"/>
          <w:color w:val="000000"/>
          <w:sz w:val="20"/>
          <w:szCs w:val="20"/>
          <w:lang w:val="es-ES"/>
        </w:rPr>
        <w:t>considera</w:t>
      </w:r>
      <w:r w:rsidR="00AD2AA3" w:rsidRPr="00D31E39">
        <w:rPr>
          <w:rFonts w:asciiTheme="majorHAnsi" w:eastAsia="MS Mincho" w:hAnsiTheme="majorHAnsi"/>
          <w:color w:val="000000"/>
          <w:sz w:val="20"/>
          <w:szCs w:val="20"/>
          <w:lang w:val="es-ES"/>
        </w:rPr>
        <w:t xml:space="preserve"> que </w:t>
      </w:r>
      <w:r w:rsidR="00E24ABE">
        <w:rPr>
          <w:rFonts w:asciiTheme="majorHAnsi" w:eastAsia="MS Mincho" w:hAnsiTheme="majorHAnsi"/>
          <w:color w:val="000000"/>
          <w:sz w:val="20"/>
          <w:szCs w:val="20"/>
          <w:lang w:val="es-ES"/>
        </w:rPr>
        <w:t>son</w:t>
      </w:r>
      <w:r w:rsidR="00AD2AA3" w:rsidRPr="00D31E39">
        <w:rPr>
          <w:rFonts w:asciiTheme="majorHAnsi" w:eastAsia="MS Mincho" w:hAnsiTheme="majorHAnsi"/>
          <w:color w:val="000000"/>
          <w:sz w:val="20"/>
          <w:szCs w:val="20"/>
          <w:lang w:val="es-ES"/>
        </w:rPr>
        <w:t xml:space="preserve"> cláusula</w:t>
      </w:r>
      <w:r w:rsidR="00E24ABE">
        <w:rPr>
          <w:rFonts w:asciiTheme="majorHAnsi" w:eastAsia="MS Mincho" w:hAnsiTheme="majorHAnsi"/>
          <w:color w:val="000000"/>
          <w:sz w:val="20"/>
          <w:szCs w:val="20"/>
          <w:lang w:val="es-ES"/>
        </w:rPr>
        <w:t>s</w:t>
      </w:r>
      <w:r w:rsidR="00AD2AA3" w:rsidRPr="00D31E39">
        <w:rPr>
          <w:rFonts w:asciiTheme="majorHAnsi" w:eastAsia="MS Mincho" w:hAnsiTheme="majorHAnsi"/>
          <w:color w:val="000000"/>
          <w:sz w:val="20"/>
          <w:szCs w:val="20"/>
          <w:lang w:val="es-ES"/>
        </w:rPr>
        <w:t xml:space="preserve"> declarativa</w:t>
      </w:r>
      <w:r w:rsidR="00E24ABE">
        <w:rPr>
          <w:rFonts w:asciiTheme="majorHAnsi" w:eastAsia="MS Mincho" w:hAnsiTheme="majorHAnsi"/>
          <w:color w:val="000000"/>
          <w:sz w:val="20"/>
          <w:szCs w:val="20"/>
          <w:lang w:val="es-ES"/>
        </w:rPr>
        <w:t xml:space="preserve">s, por lo que no corresponde supervisar su ejecución. </w:t>
      </w:r>
    </w:p>
    <w:p w:rsidR="00A041E1" w:rsidRPr="00D31E39" w:rsidRDefault="00A041E1" w:rsidP="00A041E1">
      <w:pPr>
        <w:pStyle w:val="ListParagraph"/>
        <w:rPr>
          <w:rFonts w:asciiTheme="majorHAnsi" w:hAnsiTheme="majorHAnsi" w:cs="Calibri"/>
          <w:sz w:val="20"/>
          <w:szCs w:val="20"/>
          <w:lang w:val="es-VE"/>
        </w:rPr>
      </w:pPr>
    </w:p>
    <w:p w:rsidR="00E24ABE" w:rsidRPr="00E24ABE" w:rsidRDefault="00AD2AA3" w:rsidP="00E24ABE">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VE"/>
        </w:rPr>
      </w:pPr>
      <w:r w:rsidRPr="00D31E39">
        <w:rPr>
          <w:rFonts w:asciiTheme="majorHAnsi" w:eastAsia="MS Mincho" w:hAnsiTheme="majorHAnsi"/>
          <w:color w:val="000000"/>
          <w:sz w:val="20"/>
          <w:szCs w:val="20"/>
          <w:lang w:val="es-ES"/>
        </w:rPr>
        <w:t>En cuanto a las cláusula</w:t>
      </w:r>
      <w:r w:rsidR="00D11CB9" w:rsidRPr="00D31E39">
        <w:rPr>
          <w:rFonts w:asciiTheme="majorHAnsi" w:eastAsia="MS Mincho" w:hAnsiTheme="majorHAnsi"/>
          <w:color w:val="000000"/>
          <w:sz w:val="20"/>
          <w:szCs w:val="20"/>
          <w:lang w:val="es-ES"/>
        </w:rPr>
        <w:t>s</w:t>
      </w:r>
      <w:r w:rsidRPr="00D31E39">
        <w:rPr>
          <w:rFonts w:asciiTheme="majorHAnsi" w:eastAsia="MS Mincho" w:hAnsiTheme="majorHAnsi"/>
          <w:color w:val="000000"/>
          <w:sz w:val="20"/>
          <w:szCs w:val="20"/>
          <w:lang w:val="es-ES"/>
        </w:rPr>
        <w:t xml:space="preserve"> 4.1</w:t>
      </w:r>
      <w:r w:rsidR="00D11CB9" w:rsidRPr="00D31E39">
        <w:rPr>
          <w:rFonts w:asciiTheme="majorHAnsi" w:eastAsia="MS Mincho" w:hAnsiTheme="majorHAnsi"/>
          <w:color w:val="000000"/>
          <w:sz w:val="20"/>
          <w:szCs w:val="20"/>
          <w:lang w:val="es-ES"/>
        </w:rPr>
        <w:t xml:space="preserve"> (Pronunciamiento Público sobre los hechos)</w:t>
      </w:r>
      <w:r w:rsidR="00E24ABE">
        <w:rPr>
          <w:rFonts w:asciiTheme="majorHAnsi" w:eastAsia="MS Mincho" w:hAnsiTheme="majorHAnsi"/>
          <w:color w:val="000000"/>
          <w:sz w:val="20"/>
          <w:szCs w:val="20"/>
          <w:lang w:val="es-ES"/>
        </w:rPr>
        <w:t xml:space="preserve"> </w:t>
      </w:r>
      <w:r w:rsidRPr="00D31E39">
        <w:rPr>
          <w:rFonts w:asciiTheme="majorHAnsi" w:eastAsia="MS Mincho" w:hAnsiTheme="majorHAnsi"/>
          <w:color w:val="000000"/>
          <w:sz w:val="20"/>
          <w:szCs w:val="20"/>
          <w:lang w:val="es-ES"/>
        </w:rPr>
        <w:t>y 4.3</w:t>
      </w:r>
      <w:r w:rsidR="00D11CB9" w:rsidRPr="00D31E39">
        <w:rPr>
          <w:rFonts w:asciiTheme="majorHAnsi" w:eastAsia="MS Mincho" w:hAnsiTheme="majorHAnsi"/>
          <w:color w:val="000000"/>
          <w:sz w:val="20"/>
          <w:szCs w:val="20"/>
          <w:lang w:val="es-ES"/>
        </w:rPr>
        <w:t xml:space="preserve"> (Monumento en memoria de los Asesinados y Desaparecidos), todos relacionados con las Medidas de satisfacci</w:t>
      </w:r>
      <w:r w:rsidR="002350D0">
        <w:rPr>
          <w:rFonts w:asciiTheme="majorHAnsi" w:eastAsia="MS Mincho" w:hAnsiTheme="majorHAnsi"/>
          <w:color w:val="000000"/>
          <w:sz w:val="20"/>
          <w:szCs w:val="20"/>
          <w:lang w:val="es-ES"/>
        </w:rPr>
        <w:t>ón y garantías de no repetición, la</w:t>
      </w:r>
      <w:r w:rsidR="006C52A9" w:rsidRPr="00D31E39">
        <w:rPr>
          <w:rFonts w:asciiTheme="majorHAnsi" w:eastAsia="MS Mincho" w:hAnsiTheme="majorHAnsi"/>
          <w:color w:val="000000"/>
          <w:sz w:val="20"/>
          <w:szCs w:val="20"/>
          <w:lang w:val="es-ES"/>
        </w:rPr>
        <w:t xml:space="preserve"> CIDH</w:t>
      </w:r>
      <w:r w:rsidR="00D11CB9" w:rsidRPr="00D31E39">
        <w:rPr>
          <w:rFonts w:asciiTheme="majorHAnsi" w:eastAsia="MS Mincho" w:hAnsiTheme="majorHAnsi"/>
          <w:color w:val="000000"/>
          <w:sz w:val="20"/>
          <w:szCs w:val="20"/>
          <w:lang w:val="es-ES"/>
        </w:rPr>
        <w:t xml:space="preserve"> </w:t>
      </w:r>
      <w:r w:rsidR="001E433F" w:rsidRPr="00D31E39">
        <w:rPr>
          <w:rFonts w:asciiTheme="majorHAnsi" w:eastAsia="MS Mincho" w:hAnsiTheme="majorHAnsi"/>
          <w:color w:val="000000"/>
          <w:sz w:val="20"/>
          <w:szCs w:val="20"/>
          <w:lang w:val="es-ES"/>
        </w:rPr>
        <w:t xml:space="preserve">declara que se encuentran pendientes de cumplimiento y </w:t>
      </w:r>
      <w:r w:rsidR="00E24ABE">
        <w:rPr>
          <w:rFonts w:asciiTheme="majorHAnsi" w:eastAsia="MS Mincho" w:hAnsiTheme="majorHAnsi"/>
          <w:color w:val="000000"/>
          <w:sz w:val="20"/>
          <w:szCs w:val="20"/>
          <w:lang w:val="es-VE"/>
        </w:rPr>
        <w:t>continuará con su</w:t>
      </w:r>
      <w:r w:rsidR="001E433F" w:rsidRPr="00D31E39">
        <w:rPr>
          <w:rFonts w:asciiTheme="majorHAnsi" w:eastAsia="MS Mincho" w:hAnsiTheme="majorHAnsi"/>
          <w:color w:val="000000"/>
          <w:sz w:val="20"/>
          <w:szCs w:val="20"/>
          <w:lang w:val="es-VE"/>
        </w:rPr>
        <w:t xml:space="preserve"> seguimiento hasta su total cumplimiento. </w:t>
      </w:r>
    </w:p>
    <w:p w:rsidR="001E433F" w:rsidRPr="00D31E39" w:rsidRDefault="001E433F" w:rsidP="001E433F">
      <w:pPr>
        <w:pStyle w:val="ListParagraph"/>
        <w:rPr>
          <w:rFonts w:asciiTheme="majorHAnsi" w:eastAsia="MS Mincho" w:hAnsiTheme="majorHAnsi"/>
          <w:sz w:val="20"/>
          <w:szCs w:val="20"/>
          <w:lang w:val="es-VE"/>
        </w:rPr>
      </w:pPr>
    </w:p>
    <w:p w:rsidR="001E433F" w:rsidRPr="00D31E39" w:rsidRDefault="001E433F" w:rsidP="00921AE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VE"/>
        </w:rPr>
      </w:pPr>
      <w:r w:rsidRPr="00D31E39">
        <w:rPr>
          <w:rFonts w:asciiTheme="majorHAnsi" w:eastAsia="MS Mincho" w:hAnsiTheme="majorHAnsi"/>
          <w:color w:val="000000"/>
          <w:sz w:val="20"/>
          <w:szCs w:val="20"/>
          <w:lang w:val="es-VE"/>
        </w:rPr>
        <w:t xml:space="preserve">En relación con la cláusula 5 del acuerdo, relacionada con el Calendario de Ejecución, la Comisión queda atenta a que el Estado realice la revisión de los estudios actuariales para cumplir con el pago de las </w:t>
      </w:r>
      <w:r w:rsidR="000B611F">
        <w:rPr>
          <w:rFonts w:asciiTheme="majorHAnsi" w:eastAsia="MS Mincho" w:hAnsiTheme="majorHAnsi"/>
          <w:color w:val="000000"/>
          <w:sz w:val="20"/>
          <w:szCs w:val="20"/>
          <w:lang w:val="es-VE"/>
        </w:rPr>
        <w:t>obligaciones</w:t>
      </w:r>
      <w:r w:rsidRPr="00D31E39">
        <w:rPr>
          <w:rFonts w:asciiTheme="majorHAnsi" w:eastAsia="MS Mincho" w:hAnsiTheme="majorHAnsi"/>
          <w:color w:val="000000"/>
          <w:sz w:val="20"/>
          <w:szCs w:val="20"/>
          <w:lang w:val="es-VE"/>
        </w:rPr>
        <w:t xml:space="preserve"> económicas dentro del plazo establecido en dicha cl</w:t>
      </w:r>
      <w:r w:rsidR="00354758" w:rsidRPr="00D31E39">
        <w:rPr>
          <w:rFonts w:asciiTheme="majorHAnsi" w:eastAsia="MS Mincho" w:hAnsiTheme="majorHAnsi"/>
          <w:color w:val="000000"/>
          <w:sz w:val="20"/>
          <w:szCs w:val="20"/>
          <w:lang w:val="es-VE"/>
        </w:rPr>
        <w:t>áusula</w:t>
      </w:r>
      <w:r w:rsidRPr="00D31E39">
        <w:rPr>
          <w:rFonts w:asciiTheme="majorHAnsi" w:eastAsia="MS Mincho" w:hAnsiTheme="majorHAnsi"/>
          <w:color w:val="000000"/>
          <w:sz w:val="20"/>
          <w:szCs w:val="20"/>
          <w:lang w:val="es-VE"/>
        </w:rPr>
        <w:t xml:space="preserve"> e insta a las partes a mante</w:t>
      </w:r>
      <w:r w:rsidR="009B5ED6" w:rsidRPr="00D31E39">
        <w:rPr>
          <w:rFonts w:asciiTheme="majorHAnsi" w:eastAsia="MS Mincho" w:hAnsiTheme="majorHAnsi"/>
          <w:color w:val="000000"/>
          <w:sz w:val="20"/>
          <w:szCs w:val="20"/>
          <w:lang w:val="es-VE"/>
        </w:rPr>
        <w:t>ne</w:t>
      </w:r>
      <w:r w:rsidRPr="00D31E39">
        <w:rPr>
          <w:rFonts w:asciiTheme="majorHAnsi" w:eastAsia="MS Mincho" w:hAnsiTheme="majorHAnsi"/>
          <w:color w:val="000000"/>
          <w:sz w:val="20"/>
          <w:szCs w:val="20"/>
          <w:lang w:val="es-VE"/>
        </w:rPr>
        <w:t>rla informada sobre los a</w:t>
      </w:r>
      <w:r w:rsidR="00E24ABE">
        <w:rPr>
          <w:rFonts w:asciiTheme="majorHAnsi" w:eastAsia="MS Mincho" w:hAnsiTheme="majorHAnsi"/>
          <w:color w:val="000000"/>
          <w:sz w:val="20"/>
          <w:szCs w:val="20"/>
          <w:lang w:val="es-VE"/>
        </w:rPr>
        <w:t>vances en la implementación de dicha</w:t>
      </w:r>
      <w:r w:rsidRPr="00D31E39">
        <w:rPr>
          <w:rFonts w:asciiTheme="majorHAnsi" w:eastAsia="MS Mincho" w:hAnsiTheme="majorHAnsi"/>
          <w:color w:val="000000"/>
          <w:sz w:val="20"/>
          <w:szCs w:val="20"/>
          <w:lang w:val="es-VE"/>
        </w:rPr>
        <w:t xml:space="preserve"> cláusula. Por lo anterior, la CIDH </w:t>
      </w:r>
      <w:r w:rsidR="000732F1" w:rsidRPr="00D31E39">
        <w:rPr>
          <w:rFonts w:asciiTheme="majorHAnsi" w:eastAsia="MS Mincho" w:hAnsiTheme="majorHAnsi"/>
          <w:color w:val="000000"/>
          <w:sz w:val="20"/>
          <w:szCs w:val="20"/>
          <w:lang w:val="es-VE"/>
        </w:rPr>
        <w:t>declara que la cláusula quinta del acuerdo se encu</w:t>
      </w:r>
      <w:r w:rsidR="00E24ABE">
        <w:rPr>
          <w:rFonts w:asciiTheme="majorHAnsi" w:eastAsia="MS Mincho" w:hAnsiTheme="majorHAnsi"/>
          <w:color w:val="000000"/>
          <w:sz w:val="20"/>
          <w:szCs w:val="20"/>
          <w:lang w:val="es-VE"/>
        </w:rPr>
        <w:t xml:space="preserve">entra pendiente de cumplimiento y </w:t>
      </w:r>
      <w:r w:rsidR="00E24ABE" w:rsidRPr="00D31E39">
        <w:rPr>
          <w:rFonts w:asciiTheme="majorHAnsi" w:eastAsia="MS Mincho" w:hAnsiTheme="majorHAnsi"/>
          <w:color w:val="000000"/>
          <w:sz w:val="20"/>
          <w:szCs w:val="20"/>
          <w:lang w:val="es-VE"/>
        </w:rPr>
        <w:t xml:space="preserve">continuará </w:t>
      </w:r>
      <w:r w:rsidR="00E24ABE">
        <w:rPr>
          <w:rFonts w:asciiTheme="majorHAnsi" w:eastAsia="MS Mincho" w:hAnsiTheme="majorHAnsi"/>
          <w:color w:val="000000"/>
          <w:sz w:val="20"/>
          <w:szCs w:val="20"/>
          <w:lang w:val="es-VE"/>
        </w:rPr>
        <w:t>supervisando su implementación.</w:t>
      </w:r>
      <w:r w:rsidR="000732F1" w:rsidRPr="00D31E39">
        <w:rPr>
          <w:rFonts w:asciiTheme="majorHAnsi" w:eastAsia="MS Mincho" w:hAnsiTheme="majorHAnsi"/>
          <w:color w:val="000000"/>
          <w:sz w:val="20"/>
          <w:szCs w:val="20"/>
          <w:lang w:val="es-VE"/>
        </w:rPr>
        <w:t xml:space="preserve"> </w:t>
      </w:r>
    </w:p>
    <w:p w:rsidR="000732F1" w:rsidRPr="00D31E39" w:rsidRDefault="00551704" w:rsidP="000732F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MS Mincho" w:hAnsiTheme="majorHAnsi"/>
          <w:color w:val="000000"/>
          <w:sz w:val="20"/>
          <w:szCs w:val="20"/>
          <w:lang w:val="es-VE"/>
        </w:rPr>
      </w:pPr>
      <w:r>
        <w:rPr>
          <w:rFonts w:asciiTheme="majorHAnsi" w:eastAsia="MS Mincho" w:hAnsiTheme="majorHAnsi"/>
          <w:color w:val="000000"/>
          <w:sz w:val="20"/>
          <w:szCs w:val="20"/>
          <w:lang w:val="es-VE"/>
        </w:rPr>
        <w:tab/>
      </w:r>
    </w:p>
    <w:p w:rsidR="00AD2AA3" w:rsidRPr="00D31E39" w:rsidRDefault="000732F1" w:rsidP="00921AED">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D31E39">
        <w:rPr>
          <w:rFonts w:asciiTheme="majorHAnsi" w:eastAsia="MS Mincho" w:hAnsiTheme="majorHAnsi"/>
          <w:color w:val="000000"/>
          <w:sz w:val="20"/>
          <w:szCs w:val="20"/>
          <w:lang w:val="es-ES"/>
        </w:rPr>
        <w:t>En cuanto a las cláusulas 6 (</w:t>
      </w:r>
      <w:r w:rsidR="00A073AF" w:rsidRPr="00D31E39">
        <w:rPr>
          <w:rFonts w:asciiTheme="majorHAnsi" w:eastAsia="MS Mincho" w:hAnsiTheme="majorHAnsi"/>
          <w:color w:val="000000"/>
          <w:sz w:val="20"/>
          <w:szCs w:val="20"/>
          <w:lang w:val="es-ES"/>
        </w:rPr>
        <w:t>H</w:t>
      </w:r>
      <w:r w:rsidRPr="00D31E39">
        <w:rPr>
          <w:rFonts w:asciiTheme="majorHAnsi" w:eastAsia="MS Mincho" w:hAnsiTheme="majorHAnsi"/>
          <w:color w:val="000000"/>
          <w:sz w:val="20"/>
          <w:szCs w:val="20"/>
          <w:lang w:val="es-ES"/>
        </w:rPr>
        <w:t xml:space="preserve">omologación y </w:t>
      </w:r>
      <w:r w:rsidR="00A073AF" w:rsidRPr="00D31E39">
        <w:rPr>
          <w:rFonts w:asciiTheme="majorHAnsi" w:eastAsia="MS Mincho" w:hAnsiTheme="majorHAnsi"/>
          <w:color w:val="000000"/>
          <w:sz w:val="20"/>
          <w:szCs w:val="20"/>
          <w:lang w:val="es-ES"/>
        </w:rPr>
        <w:t>S</w:t>
      </w:r>
      <w:r w:rsidRPr="00D31E39">
        <w:rPr>
          <w:rFonts w:asciiTheme="majorHAnsi" w:eastAsia="MS Mincho" w:hAnsiTheme="majorHAnsi"/>
          <w:color w:val="000000"/>
          <w:sz w:val="20"/>
          <w:szCs w:val="20"/>
          <w:lang w:val="es-ES"/>
        </w:rPr>
        <w:t>eguimiento), 7 (</w:t>
      </w:r>
      <w:r w:rsidR="00A073AF" w:rsidRPr="00D31E39">
        <w:rPr>
          <w:rFonts w:asciiTheme="majorHAnsi" w:eastAsia="MS Mincho" w:hAnsiTheme="majorHAnsi"/>
          <w:color w:val="000000"/>
          <w:sz w:val="20"/>
          <w:szCs w:val="20"/>
          <w:lang w:val="es-ES"/>
        </w:rPr>
        <w:t>P</w:t>
      </w:r>
      <w:r w:rsidRPr="00D31E39">
        <w:rPr>
          <w:rFonts w:asciiTheme="majorHAnsi" w:eastAsia="MS Mincho" w:hAnsiTheme="majorHAnsi"/>
          <w:color w:val="000000"/>
          <w:sz w:val="20"/>
          <w:szCs w:val="20"/>
          <w:lang w:val="es-ES"/>
        </w:rPr>
        <w:t xml:space="preserve">ublicación y </w:t>
      </w:r>
      <w:r w:rsidR="00A073AF" w:rsidRPr="00D31E39">
        <w:rPr>
          <w:rFonts w:asciiTheme="majorHAnsi" w:eastAsia="MS Mincho" w:hAnsiTheme="majorHAnsi"/>
          <w:color w:val="000000"/>
          <w:sz w:val="20"/>
          <w:szCs w:val="20"/>
          <w:lang w:val="es-ES"/>
        </w:rPr>
        <w:t>T</w:t>
      </w:r>
      <w:r w:rsidRPr="00D31E39">
        <w:rPr>
          <w:rFonts w:asciiTheme="majorHAnsi" w:eastAsia="MS Mincho" w:hAnsiTheme="majorHAnsi"/>
          <w:color w:val="000000"/>
          <w:sz w:val="20"/>
          <w:szCs w:val="20"/>
          <w:lang w:val="es-ES"/>
        </w:rPr>
        <w:t xml:space="preserve">erminación </w:t>
      </w:r>
      <w:r w:rsidR="00A073AF" w:rsidRPr="00D31E39">
        <w:rPr>
          <w:rFonts w:asciiTheme="majorHAnsi" w:eastAsia="MS Mincho" w:hAnsiTheme="majorHAnsi"/>
          <w:color w:val="000000"/>
          <w:sz w:val="20"/>
          <w:szCs w:val="20"/>
          <w:lang w:val="es-ES"/>
        </w:rPr>
        <w:t>del A</w:t>
      </w:r>
      <w:r w:rsidRPr="00D31E39">
        <w:rPr>
          <w:rFonts w:asciiTheme="majorHAnsi" w:eastAsia="MS Mincho" w:hAnsiTheme="majorHAnsi"/>
          <w:color w:val="000000"/>
          <w:sz w:val="20"/>
          <w:szCs w:val="20"/>
          <w:lang w:val="es-ES"/>
        </w:rPr>
        <w:t xml:space="preserve">cuerdo) y 8 </w:t>
      </w:r>
      <w:r w:rsidR="00A073AF" w:rsidRPr="00D31E39">
        <w:rPr>
          <w:rFonts w:asciiTheme="majorHAnsi" w:eastAsia="MS Mincho" w:hAnsiTheme="majorHAnsi"/>
          <w:color w:val="000000"/>
          <w:sz w:val="20"/>
          <w:szCs w:val="20"/>
          <w:lang w:val="es-ES"/>
        </w:rPr>
        <w:t>(S</w:t>
      </w:r>
      <w:r w:rsidR="009B5ED6" w:rsidRPr="00D31E39">
        <w:rPr>
          <w:rFonts w:asciiTheme="majorHAnsi" w:eastAsia="MS Mincho" w:hAnsiTheme="majorHAnsi"/>
          <w:color w:val="000000"/>
          <w:sz w:val="20"/>
          <w:szCs w:val="20"/>
          <w:lang w:val="es-ES"/>
        </w:rPr>
        <w:t>upervisión</w:t>
      </w:r>
      <w:r w:rsidRPr="00D31E39">
        <w:rPr>
          <w:rFonts w:asciiTheme="majorHAnsi" w:eastAsia="MS Mincho" w:hAnsiTheme="majorHAnsi"/>
          <w:color w:val="000000"/>
          <w:sz w:val="20"/>
          <w:szCs w:val="20"/>
          <w:lang w:val="es-ES"/>
        </w:rPr>
        <w:t xml:space="preserve"> </w:t>
      </w:r>
      <w:r w:rsidR="00A073AF" w:rsidRPr="00D31E39">
        <w:rPr>
          <w:rFonts w:asciiTheme="majorHAnsi" w:eastAsia="MS Mincho" w:hAnsiTheme="majorHAnsi"/>
          <w:color w:val="000000"/>
          <w:sz w:val="20"/>
          <w:szCs w:val="20"/>
          <w:lang w:val="es-ES"/>
        </w:rPr>
        <w:t>y C</w:t>
      </w:r>
      <w:r w:rsidR="009B5ED6" w:rsidRPr="00D31E39">
        <w:rPr>
          <w:rFonts w:asciiTheme="majorHAnsi" w:eastAsia="MS Mincho" w:hAnsiTheme="majorHAnsi"/>
          <w:color w:val="000000"/>
          <w:sz w:val="20"/>
          <w:szCs w:val="20"/>
          <w:lang w:val="es-ES"/>
        </w:rPr>
        <w:t xml:space="preserve">umplimiento), la CIDH considera que son de carácter declarativo y así lo declara. </w:t>
      </w:r>
    </w:p>
    <w:p w:rsidR="00AD2AA3" w:rsidRPr="00D31E39" w:rsidRDefault="00AD2AA3" w:rsidP="00AD2AA3">
      <w:pPr>
        <w:pStyle w:val="ListParagraph"/>
        <w:rPr>
          <w:rFonts w:asciiTheme="majorHAnsi" w:hAnsiTheme="majorHAnsi" w:cs="Calibri"/>
          <w:sz w:val="20"/>
          <w:szCs w:val="20"/>
          <w:lang w:val="es-ES"/>
        </w:rPr>
      </w:pPr>
    </w:p>
    <w:p w:rsidR="00E24ABE" w:rsidRDefault="00063C25" w:rsidP="00F11A54">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000000"/>
          <w:sz w:val="20"/>
          <w:szCs w:val="20"/>
          <w:lang w:val="es-ES"/>
        </w:rPr>
      </w:pPr>
      <w:r w:rsidRPr="00D31E39">
        <w:rPr>
          <w:rFonts w:asciiTheme="majorHAnsi" w:hAnsiTheme="majorHAnsi" w:cs="Calibri"/>
          <w:sz w:val="20"/>
          <w:szCs w:val="20"/>
          <w:lang w:val="es-VE"/>
        </w:rPr>
        <w:t xml:space="preserve">La Comisión </w:t>
      </w:r>
      <w:r w:rsidR="009B5ED6" w:rsidRPr="00D31E39">
        <w:rPr>
          <w:rFonts w:asciiTheme="majorHAnsi" w:hAnsiTheme="majorHAnsi" w:cs="Calibri"/>
          <w:sz w:val="20"/>
          <w:szCs w:val="20"/>
          <w:lang w:val="es-VE"/>
        </w:rPr>
        <w:t xml:space="preserve">observa que la totalidad de las cláusulas </w:t>
      </w:r>
      <w:r w:rsidR="00E24ABE">
        <w:rPr>
          <w:rFonts w:asciiTheme="majorHAnsi" w:hAnsiTheme="majorHAnsi" w:cs="Calibri"/>
          <w:sz w:val="20"/>
          <w:szCs w:val="20"/>
          <w:lang w:val="es-VE"/>
        </w:rPr>
        <w:t xml:space="preserve">de ejecución </w:t>
      </w:r>
      <w:r w:rsidR="009B5ED6" w:rsidRPr="00D31E39">
        <w:rPr>
          <w:rFonts w:asciiTheme="majorHAnsi" w:hAnsiTheme="majorHAnsi" w:cs="Calibri"/>
          <w:sz w:val="20"/>
          <w:szCs w:val="20"/>
          <w:lang w:val="es-VE"/>
        </w:rPr>
        <w:t>del presente acuerdo de solución amistosa se encuentra</w:t>
      </w:r>
      <w:r w:rsidR="006C52A9" w:rsidRPr="00D31E39">
        <w:rPr>
          <w:rFonts w:asciiTheme="majorHAnsi" w:hAnsiTheme="majorHAnsi" w:cs="Calibri"/>
          <w:sz w:val="20"/>
          <w:szCs w:val="20"/>
          <w:lang w:val="es-VE"/>
        </w:rPr>
        <w:t>n</w:t>
      </w:r>
      <w:r w:rsidR="009B5ED6" w:rsidRPr="00D31E39">
        <w:rPr>
          <w:rFonts w:asciiTheme="majorHAnsi" w:hAnsiTheme="majorHAnsi" w:cs="Calibri"/>
          <w:sz w:val="20"/>
          <w:szCs w:val="20"/>
          <w:lang w:val="es-VE"/>
        </w:rPr>
        <w:t xml:space="preserve"> pendiente</w:t>
      </w:r>
      <w:r w:rsidR="006C52A9" w:rsidRPr="00D31E39">
        <w:rPr>
          <w:rFonts w:asciiTheme="majorHAnsi" w:hAnsiTheme="majorHAnsi" w:cs="Calibri"/>
          <w:sz w:val="20"/>
          <w:szCs w:val="20"/>
          <w:lang w:val="es-VE"/>
        </w:rPr>
        <w:t>s</w:t>
      </w:r>
      <w:r w:rsidR="009B5ED6" w:rsidRPr="00D31E39">
        <w:rPr>
          <w:rFonts w:asciiTheme="majorHAnsi" w:hAnsiTheme="majorHAnsi" w:cs="Calibri"/>
          <w:sz w:val="20"/>
          <w:szCs w:val="20"/>
          <w:lang w:val="es-VE"/>
        </w:rPr>
        <w:t xml:space="preserve"> de cumplimiento y </w:t>
      </w:r>
      <w:r w:rsidRPr="00D31E39">
        <w:rPr>
          <w:rFonts w:asciiTheme="majorHAnsi" w:hAnsiTheme="majorHAnsi" w:cs="Calibri"/>
          <w:sz w:val="20"/>
          <w:szCs w:val="20"/>
          <w:lang w:val="es-VE"/>
        </w:rPr>
        <w:t xml:space="preserve">requiere que las partes le informen de manera oportuna sobre efectiva </w:t>
      </w:r>
      <w:r w:rsidR="009B5ED6" w:rsidRPr="00D31E39">
        <w:rPr>
          <w:rFonts w:asciiTheme="majorHAnsi" w:hAnsiTheme="majorHAnsi" w:cs="Calibri"/>
          <w:sz w:val="20"/>
          <w:szCs w:val="20"/>
          <w:lang w:val="es-VE"/>
        </w:rPr>
        <w:t>implementación de lo acordado</w:t>
      </w:r>
      <w:r w:rsidRPr="00D31E39">
        <w:rPr>
          <w:rFonts w:asciiTheme="majorHAnsi" w:hAnsiTheme="majorHAnsi" w:cs="Calibri"/>
          <w:sz w:val="20"/>
          <w:szCs w:val="20"/>
          <w:lang w:val="es-VE"/>
        </w:rPr>
        <w:t xml:space="preserve">. La CIDH seguirá de cerca la implementación de las obligaciones asumidas en el acuerdo, aplicando los lineamientos prescritos en el artículo 49 de la Convención. </w:t>
      </w:r>
    </w:p>
    <w:p w:rsidR="00C96D4F" w:rsidRPr="00D31E39" w:rsidRDefault="00C96D4F" w:rsidP="00DB4BE4">
      <w:pPr>
        <w:tabs>
          <w:tab w:val="num" w:pos="1440"/>
        </w:tabs>
        <w:jc w:val="both"/>
        <w:rPr>
          <w:rFonts w:asciiTheme="majorHAnsi" w:eastAsia="MS Mincho" w:hAnsiTheme="majorHAnsi"/>
          <w:b/>
          <w:sz w:val="20"/>
          <w:szCs w:val="20"/>
          <w:lang w:val="es-ES"/>
        </w:rPr>
      </w:pPr>
    </w:p>
    <w:p w:rsidR="00C96D4F" w:rsidRPr="00D31E39" w:rsidRDefault="00C96D4F" w:rsidP="00921AED">
      <w:pPr>
        <w:pStyle w:val="ListParagraph"/>
        <w:numPr>
          <w:ilvl w:val="0"/>
          <w:numId w:val="56"/>
        </w:numPr>
        <w:ind w:left="1440"/>
        <w:rPr>
          <w:rFonts w:asciiTheme="majorHAnsi" w:eastAsia="MS Mincho" w:hAnsiTheme="majorHAnsi"/>
          <w:b/>
          <w:sz w:val="20"/>
          <w:szCs w:val="20"/>
          <w:lang w:val="es-ES"/>
        </w:rPr>
      </w:pPr>
      <w:r w:rsidRPr="00D31E39">
        <w:rPr>
          <w:rFonts w:asciiTheme="majorHAnsi" w:eastAsia="MS Mincho" w:hAnsiTheme="majorHAnsi"/>
          <w:b/>
          <w:sz w:val="20"/>
          <w:szCs w:val="20"/>
          <w:lang w:val="es-ES"/>
        </w:rPr>
        <w:t>CONCLUSIONES</w:t>
      </w:r>
    </w:p>
    <w:p w:rsidR="004D1412" w:rsidRPr="00D31E39" w:rsidRDefault="004D1412" w:rsidP="00DB4BE4">
      <w:pPr>
        <w:pStyle w:val="ListParagraph"/>
        <w:tabs>
          <w:tab w:val="left" w:pos="1440"/>
        </w:tabs>
        <w:ind w:left="0" w:firstLine="720"/>
        <w:jc w:val="both"/>
        <w:rPr>
          <w:rFonts w:asciiTheme="majorHAnsi" w:eastAsia="MS Mincho" w:hAnsiTheme="majorHAnsi"/>
          <w:sz w:val="20"/>
          <w:szCs w:val="20"/>
          <w:lang w:val="es-ES"/>
        </w:rPr>
      </w:pPr>
    </w:p>
    <w:p w:rsidR="00B7288C" w:rsidRPr="00D31E39" w:rsidRDefault="00772702" w:rsidP="00921AED">
      <w:pPr>
        <w:pStyle w:val="ListParagraph"/>
        <w:numPr>
          <w:ilvl w:val="0"/>
          <w:numId w:val="57"/>
        </w:numPr>
        <w:tabs>
          <w:tab w:val="left" w:pos="1440"/>
        </w:tabs>
        <w:ind w:left="0" w:firstLine="720"/>
        <w:jc w:val="both"/>
        <w:rPr>
          <w:rFonts w:asciiTheme="majorHAnsi" w:eastAsia="MS Mincho" w:hAnsiTheme="majorHAnsi"/>
          <w:sz w:val="20"/>
          <w:szCs w:val="20"/>
          <w:lang w:val="es-ES_tradnl"/>
        </w:rPr>
      </w:pPr>
      <w:r w:rsidRPr="00D31E39">
        <w:rPr>
          <w:rFonts w:asciiTheme="majorHAnsi" w:eastAsia="MS Mincho" w:hAnsiTheme="majorHAnsi"/>
          <w:sz w:val="20"/>
          <w:szCs w:val="20"/>
          <w:lang w:val="es-ES_tradnl"/>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rsidR="00B7288C" w:rsidRPr="00D31E39" w:rsidRDefault="00B7288C" w:rsidP="00B7288C">
      <w:pPr>
        <w:pStyle w:val="ListParagraph"/>
        <w:tabs>
          <w:tab w:val="left" w:pos="1440"/>
        </w:tabs>
        <w:jc w:val="both"/>
        <w:rPr>
          <w:rFonts w:asciiTheme="majorHAnsi" w:eastAsia="MS Mincho" w:hAnsiTheme="majorHAnsi"/>
          <w:sz w:val="20"/>
          <w:szCs w:val="20"/>
          <w:lang w:val="es-ES_tradnl"/>
        </w:rPr>
      </w:pPr>
    </w:p>
    <w:p w:rsidR="00772702" w:rsidRPr="00D31E39" w:rsidRDefault="00772702" w:rsidP="00921AED">
      <w:pPr>
        <w:pStyle w:val="ListParagraph"/>
        <w:numPr>
          <w:ilvl w:val="0"/>
          <w:numId w:val="57"/>
        </w:numPr>
        <w:tabs>
          <w:tab w:val="left" w:pos="1440"/>
        </w:tabs>
        <w:ind w:left="0" w:firstLine="720"/>
        <w:jc w:val="both"/>
        <w:rPr>
          <w:rFonts w:asciiTheme="majorHAnsi" w:eastAsia="MS Mincho" w:hAnsiTheme="majorHAnsi"/>
          <w:sz w:val="20"/>
          <w:szCs w:val="20"/>
          <w:lang w:val="es-ES_tradnl"/>
        </w:rPr>
      </w:pPr>
      <w:r w:rsidRPr="00D31E39">
        <w:rPr>
          <w:rFonts w:asciiTheme="majorHAnsi" w:eastAsia="MS Mincho" w:hAnsiTheme="majorHAnsi"/>
          <w:sz w:val="20"/>
          <w:szCs w:val="20"/>
          <w:lang w:val="es-ES_tradnl"/>
        </w:rPr>
        <w:t xml:space="preserve">En virtud de las consideraciones y conclusiones expuestas en este informe, </w:t>
      </w:r>
    </w:p>
    <w:p w:rsidR="004D1412" w:rsidRPr="00D31E39" w:rsidRDefault="004D1412" w:rsidP="00DB4BE4">
      <w:pPr>
        <w:ind w:firstLine="720"/>
        <w:jc w:val="both"/>
        <w:rPr>
          <w:rFonts w:asciiTheme="majorHAnsi" w:eastAsia="MS Mincho" w:hAnsiTheme="majorHAnsi"/>
          <w:sz w:val="20"/>
          <w:szCs w:val="20"/>
          <w:lang w:val="es-ES_tradnl"/>
        </w:rPr>
      </w:pPr>
    </w:p>
    <w:p w:rsidR="004D1412" w:rsidRPr="00D31E39" w:rsidRDefault="004D1412" w:rsidP="00DA47DF">
      <w:pPr>
        <w:tabs>
          <w:tab w:val="left" w:pos="1440"/>
        </w:tabs>
        <w:ind w:firstLine="1440"/>
        <w:jc w:val="both"/>
        <w:rPr>
          <w:rFonts w:asciiTheme="majorHAnsi" w:eastAsia="MS Mincho" w:hAnsiTheme="majorHAnsi"/>
          <w:sz w:val="20"/>
          <w:szCs w:val="20"/>
          <w:lang w:val="es-ES"/>
        </w:rPr>
      </w:pPr>
      <w:r w:rsidRPr="00D31E39">
        <w:rPr>
          <w:rFonts w:asciiTheme="majorHAnsi" w:eastAsia="MS Mincho" w:hAnsiTheme="majorHAnsi"/>
          <w:b/>
          <w:bCs/>
          <w:sz w:val="20"/>
          <w:szCs w:val="20"/>
          <w:lang w:val="es-ES"/>
        </w:rPr>
        <w:t>LA COMISIÓN INTERAMERICANA DE DERECHOS HUMANOS</w:t>
      </w:r>
      <w:r w:rsidR="00DA47DF">
        <w:rPr>
          <w:rFonts w:asciiTheme="majorHAnsi" w:eastAsia="MS Mincho" w:hAnsiTheme="majorHAnsi"/>
          <w:b/>
          <w:bCs/>
          <w:sz w:val="20"/>
          <w:szCs w:val="20"/>
          <w:lang w:val="es-ES"/>
        </w:rPr>
        <w:t xml:space="preserve"> </w:t>
      </w:r>
      <w:r w:rsidRPr="00D31E39">
        <w:rPr>
          <w:rFonts w:asciiTheme="majorHAnsi" w:eastAsia="MS Mincho" w:hAnsiTheme="majorHAnsi"/>
          <w:b/>
          <w:bCs/>
          <w:sz w:val="20"/>
          <w:szCs w:val="20"/>
          <w:lang w:val="es-ES"/>
        </w:rPr>
        <w:t>DECIDE:</w:t>
      </w:r>
    </w:p>
    <w:p w:rsidR="004D1412" w:rsidRPr="00D31E39" w:rsidRDefault="004D1412" w:rsidP="00DB4BE4">
      <w:pPr>
        <w:tabs>
          <w:tab w:val="left" w:pos="1260"/>
        </w:tabs>
        <w:ind w:firstLine="720"/>
        <w:jc w:val="both"/>
        <w:rPr>
          <w:rFonts w:asciiTheme="majorHAnsi" w:eastAsia="MS Mincho" w:hAnsiTheme="majorHAnsi"/>
          <w:sz w:val="20"/>
          <w:szCs w:val="20"/>
          <w:lang w:val="es-ES"/>
        </w:rPr>
      </w:pPr>
    </w:p>
    <w:p w:rsidR="004D1412" w:rsidRPr="00D31E39" w:rsidRDefault="004D1412" w:rsidP="00ED39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lang w:val="es-ES"/>
        </w:rPr>
      </w:pPr>
      <w:r w:rsidRPr="00D31E39">
        <w:rPr>
          <w:rFonts w:asciiTheme="majorHAnsi" w:eastAsia="MS Mincho" w:hAnsiTheme="majorHAnsi"/>
          <w:sz w:val="20"/>
          <w:szCs w:val="20"/>
          <w:lang w:val="es-ES"/>
        </w:rPr>
        <w:t xml:space="preserve">Aprobar los términos del acuerdo suscrito por las partes el </w:t>
      </w:r>
      <w:r w:rsidR="00D83A60" w:rsidRPr="00D31E39">
        <w:rPr>
          <w:rFonts w:asciiTheme="majorHAnsi" w:eastAsia="Times New Roman" w:hAnsiTheme="majorHAnsi"/>
          <w:sz w:val="20"/>
          <w:szCs w:val="20"/>
          <w:lang w:val="es-ES_tradnl"/>
        </w:rPr>
        <w:t xml:space="preserve">23 de </w:t>
      </w:r>
      <w:r w:rsidR="00175E25" w:rsidRPr="00D31E39">
        <w:rPr>
          <w:rFonts w:asciiTheme="majorHAnsi" w:eastAsia="Times New Roman" w:hAnsiTheme="majorHAnsi"/>
          <w:sz w:val="20"/>
          <w:szCs w:val="20"/>
          <w:lang w:val="es-ES_tradnl"/>
        </w:rPr>
        <w:t>mayo de 2019</w:t>
      </w:r>
      <w:r w:rsidR="00745A7A" w:rsidRPr="00D31E39">
        <w:rPr>
          <w:rFonts w:asciiTheme="majorHAnsi" w:eastAsia="Times New Roman" w:hAnsiTheme="majorHAnsi"/>
          <w:sz w:val="20"/>
          <w:szCs w:val="20"/>
          <w:lang w:val="es-ES_tradnl"/>
        </w:rPr>
        <w:t xml:space="preserve">, así como </w:t>
      </w:r>
      <w:r w:rsidR="00175E25" w:rsidRPr="00D31E39">
        <w:rPr>
          <w:rFonts w:asciiTheme="majorHAnsi" w:eastAsia="Times New Roman" w:hAnsiTheme="majorHAnsi"/>
          <w:sz w:val="20"/>
          <w:szCs w:val="20"/>
          <w:lang w:val="es-ES_tradnl"/>
        </w:rPr>
        <w:t>el Anexo A</w:t>
      </w:r>
      <w:r w:rsidR="00745A7A" w:rsidRPr="00D31E39">
        <w:rPr>
          <w:rFonts w:asciiTheme="majorHAnsi" w:eastAsia="Times New Roman" w:hAnsiTheme="majorHAnsi"/>
          <w:sz w:val="20"/>
          <w:szCs w:val="20"/>
          <w:lang w:val="es-ES_tradnl"/>
        </w:rPr>
        <w:t xml:space="preserve"> </w:t>
      </w:r>
      <w:r w:rsidR="00175E25" w:rsidRPr="00D31E39">
        <w:rPr>
          <w:rFonts w:asciiTheme="majorHAnsi" w:eastAsia="Times New Roman" w:hAnsiTheme="majorHAnsi"/>
          <w:sz w:val="20"/>
          <w:szCs w:val="20"/>
          <w:lang w:val="es-ES_tradnl"/>
        </w:rPr>
        <w:t>del</w:t>
      </w:r>
      <w:r w:rsidR="002016F3" w:rsidRPr="00D31E39">
        <w:rPr>
          <w:rFonts w:asciiTheme="majorHAnsi" w:eastAsia="Times New Roman" w:hAnsiTheme="majorHAnsi"/>
          <w:sz w:val="20"/>
          <w:szCs w:val="20"/>
          <w:lang w:val="es-ES_tradnl"/>
        </w:rPr>
        <w:t xml:space="preserve"> acuerdo</w:t>
      </w:r>
      <w:r w:rsidR="00175E25" w:rsidRPr="00D31E39">
        <w:rPr>
          <w:rFonts w:asciiTheme="majorHAnsi" w:eastAsia="Times New Roman" w:hAnsiTheme="majorHAnsi"/>
          <w:sz w:val="20"/>
          <w:szCs w:val="20"/>
          <w:lang w:val="es-ES_tradnl"/>
        </w:rPr>
        <w:t xml:space="preserve"> </w:t>
      </w:r>
      <w:r w:rsidR="002016F3" w:rsidRPr="00D31E39">
        <w:rPr>
          <w:rFonts w:asciiTheme="majorHAnsi" w:eastAsia="Times New Roman" w:hAnsiTheme="majorHAnsi"/>
          <w:sz w:val="20"/>
          <w:szCs w:val="20"/>
          <w:lang w:val="es-ES_tradnl"/>
        </w:rPr>
        <w:t>de solución amistosa</w:t>
      </w:r>
      <w:r w:rsidR="00175E25" w:rsidRPr="00D31E39">
        <w:rPr>
          <w:rFonts w:asciiTheme="majorHAnsi" w:eastAsia="Times New Roman" w:hAnsiTheme="majorHAnsi"/>
          <w:sz w:val="20"/>
          <w:szCs w:val="20"/>
          <w:lang w:val="es-ES_tradnl"/>
        </w:rPr>
        <w:t>.</w:t>
      </w:r>
    </w:p>
    <w:p w:rsidR="006B52AC" w:rsidRPr="00D31E39" w:rsidRDefault="006B52AC" w:rsidP="00175E25">
      <w:pPr>
        <w:rPr>
          <w:rFonts w:asciiTheme="majorHAnsi" w:eastAsia="MS Mincho" w:hAnsiTheme="majorHAnsi"/>
          <w:sz w:val="20"/>
          <w:szCs w:val="20"/>
          <w:lang w:val="es-ES"/>
        </w:rPr>
      </w:pPr>
    </w:p>
    <w:p w:rsidR="00ED39ED" w:rsidRPr="00D31E39" w:rsidRDefault="00ED39ED" w:rsidP="00ED39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D31E39">
        <w:rPr>
          <w:rFonts w:asciiTheme="majorHAnsi" w:eastAsia="MS Mincho" w:hAnsiTheme="majorHAnsi"/>
          <w:sz w:val="20"/>
          <w:szCs w:val="20"/>
          <w:lang w:val="es-ES"/>
        </w:rPr>
        <w:t>Declarar pendiente de cumplimiento la</w:t>
      </w:r>
      <w:r w:rsidR="004865E7" w:rsidRPr="00D31E39">
        <w:rPr>
          <w:rFonts w:asciiTheme="majorHAnsi" w:eastAsia="MS Mincho" w:hAnsiTheme="majorHAnsi"/>
          <w:sz w:val="20"/>
          <w:szCs w:val="20"/>
          <w:lang w:val="es-ES"/>
        </w:rPr>
        <w:t>s</w:t>
      </w:r>
      <w:r w:rsidRPr="00D31E39">
        <w:rPr>
          <w:rFonts w:asciiTheme="majorHAnsi" w:eastAsia="MS Mincho" w:hAnsiTheme="majorHAnsi"/>
          <w:sz w:val="20"/>
          <w:szCs w:val="20"/>
          <w:lang w:val="es-ES"/>
        </w:rPr>
        <w:t xml:space="preserve"> cláusula</w:t>
      </w:r>
      <w:r w:rsidR="004865E7" w:rsidRPr="00D31E39">
        <w:rPr>
          <w:rFonts w:asciiTheme="majorHAnsi" w:eastAsia="MS Mincho" w:hAnsiTheme="majorHAnsi"/>
          <w:sz w:val="20"/>
          <w:szCs w:val="20"/>
          <w:lang w:val="es-ES"/>
        </w:rPr>
        <w:t>s</w:t>
      </w:r>
      <w:r w:rsidRPr="00D31E39">
        <w:rPr>
          <w:rFonts w:asciiTheme="majorHAnsi" w:eastAsia="MS Mincho" w:hAnsiTheme="majorHAnsi"/>
          <w:sz w:val="20"/>
          <w:szCs w:val="20"/>
          <w:lang w:val="es-ES"/>
        </w:rPr>
        <w:t xml:space="preserve"> </w:t>
      </w:r>
      <w:r w:rsidR="004865E7" w:rsidRPr="00D31E39">
        <w:rPr>
          <w:rFonts w:asciiTheme="majorHAnsi" w:eastAsia="MS Mincho" w:hAnsiTheme="majorHAnsi"/>
          <w:sz w:val="20"/>
          <w:szCs w:val="20"/>
          <w:lang w:val="es-ES"/>
        </w:rPr>
        <w:t xml:space="preserve">1 (Daño Material), 2 (Daño Inmaterial), 3 (Pago de Reparación Pecuniaria), </w:t>
      </w:r>
      <w:r w:rsidR="00E24ABE" w:rsidRPr="00D31E39">
        <w:rPr>
          <w:rFonts w:asciiTheme="majorHAnsi" w:eastAsia="MS Mincho" w:hAnsiTheme="majorHAnsi"/>
          <w:color w:val="000000"/>
          <w:sz w:val="20"/>
          <w:szCs w:val="20"/>
          <w:lang w:val="es-ES"/>
        </w:rPr>
        <w:t>4.1 (Pronunciamiento Público sobre los hechos)</w:t>
      </w:r>
      <w:r w:rsidR="00E24ABE">
        <w:rPr>
          <w:rFonts w:asciiTheme="majorHAnsi" w:eastAsia="MS Mincho" w:hAnsiTheme="majorHAnsi"/>
          <w:color w:val="000000"/>
          <w:sz w:val="20"/>
          <w:szCs w:val="20"/>
          <w:lang w:val="es-ES"/>
        </w:rPr>
        <w:t xml:space="preserve">, </w:t>
      </w:r>
      <w:r w:rsidR="00E24ABE" w:rsidRPr="00D31E39">
        <w:rPr>
          <w:rFonts w:asciiTheme="majorHAnsi" w:eastAsia="MS Mincho" w:hAnsiTheme="majorHAnsi"/>
          <w:color w:val="000000"/>
          <w:sz w:val="20"/>
          <w:szCs w:val="20"/>
          <w:lang w:val="es-ES"/>
        </w:rPr>
        <w:t>4.3 (Monumento en memoria de los Asesinados y Desaparecidos)</w:t>
      </w:r>
      <w:r w:rsidR="00E24ABE">
        <w:rPr>
          <w:rFonts w:asciiTheme="majorHAnsi" w:eastAsia="MS Mincho" w:hAnsiTheme="majorHAnsi"/>
          <w:color w:val="000000"/>
          <w:sz w:val="20"/>
          <w:szCs w:val="20"/>
          <w:lang w:val="es-ES"/>
        </w:rPr>
        <w:t xml:space="preserve"> </w:t>
      </w:r>
      <w:r w:rsidR="004865E7" w:rsidRPr="00D31E39">
        <w:rPr>
          <w:rFonts w:asciiTheme="majorHAnsi" w:eastAsia="MS Mincho" w:hAnsiTheme="majorHAnsi"/>
          <w:sz w:val="20"/>
          <w:szCs w:val="20"/>
          <w:lang w:val="es-ES"/>
        </w:rPr>
        <w:t xml:space="preserve">y 5 (Calendario de Ejecución). </w:t>
      </w:r>
    </w:p>
    <w:p w:rsidR="00ED39ED" w:rsidRPr="00D31E39" w:rsidRDefault="00ED39ED" w:rsidP="00ED39ED">
      <w:pPr>
        <w:rPr>
          <w:rFonts w:asciiTheme="majorHAnsi" w:eastAsia="MS Mincho" w:hAnsiTheme="majorHAnsi"/>
          <w:sz w:val="20"/>
          <w:szCs w:val="20"/>
          <w:lang w:val="es-ES"/>
        </w:rPr>
      </w:pPr>
    </w:p>
    <w:p w:rsidR="00745A7A" w:rsidRPr="00D31E39" w:rsidRDefault="00745A7A" w:rsidP="00ED39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D31E39">
        <w:rPr>
          <w:rFonts w:asciiTheme="majorHAnsi" w:eastAsia="MS Mincho" w:hAnsiTheme="majorHAnsi"/>
          <w:sz w:val="20"/>
          <w:szCs w:val="20"/>
          <w:lang w:val="es-ES"/>
        </w:rPr>
        <w:lastRenderedPageBreak/>
        <w:t>Continuar con la supervisión de la</w:t>
      </w:r>
      <w:r w:rsidR="00ED39ED" w:rsidRPr="00D31E39">
        <w:rPr>
          <w:rFonts w:asciiTheme="majorHAnsi" w:eastAsia="MS Mincho" w:hAnsiTheme="majorHAnsi"/>
          <w:sz w:val="20"/>
          <w:szCs w:val="20"/>
          <w:lang w:val="es-ES"/>
        </w:rPr>
        <w:t>s</w:t>
      </w:r>
      <w:r w:rsidRPr="00D31E39">
        <w:rPr>
          <w:rFonts w:asciiTheme="majorHAnsi" w:eastAsia="MS Mincho" w:hAnsiTheme="majorHAnsi"/>
          <w:sz w:val="20"/>
          <w:szCs w:val="20"/>
          <w:lang w:val="es-ES"/>
        </w:rPr>
        <w:t xml:space="preserve"> cláusula</w:t>
      </w:r>
      <w:r w:rsidR="00ED39ED" w:rsidRPr="00D31E39">
        <w:rPr>
          <w:rFonts w:asciiTheme="majorHAnsi" w:eastAsia="MS Mincho" w:hAnsiTheme="majorHAnsi"/>
          <w:sz w:val="20"/>
          <w:szCs w:val="20"/>
          <w:lang w:val="es-ES"/>
        </w:rPr>
        <w:t>s</w:t>
      </w:r>
      <w:r w:rsidRPr="00D31E39">
        <w:rPr>
          <w:rFonts w:asciiTheme="majorHAnsi" w:eastAsia="MS Mincho" w:hAnsiTheme="majorHAnsi"/>
          <w:sz w:val="20"/>
          <w:szCs w:val="20"/>
          <w:lang w:val="es-ES"/>
        </w:rPr>
        <w:t xml:space="preserve"> </w:t>
      </w:r>
      <w:r w:rsidR="004865E7" w:rsidRPr="00D31E39">
        <w:rPr>
          <w:rFonts w:asciiTheme="majorHAnsi" w:eastAsia="MS Mincho" w:hAnsiTheme="majorHAnsi"/>
          <w:sz w:val="20"/>
          <w:szCs w:val="20"/>
          <w:lang w:val="es-ES"/>
        </w:rPr>
        <w:t>1, 2, 3, 4</w:t>
      </w:r>
      <w:r w:rsidR="00E24ABE">
        <w:rPr>
          <w:rFonts w:asciiTheme="majorHAnsi" w:eastAsia="MS Mincho" w:hAnsiTheme="majorHAnsi"/>
          <w:sz w:val="20"/>
          <w:szCs w:val="20"/>
          <w:lang w:val="es-ES"/>
        </w:rPr>
        <w:t>.1, 4.3</w:t>
      </w:r>
      <w:r w:rsidR="004865E7" w:rsidRPr="00D31E39">
        <w:rPr>
          <w:rFonts w:asciiTheme="majorHAnsi" w:eastAsia="MS Mincho" w:hAnsiTheme="majorHAnsi"/>
          <w:sz w:val="20"/>
          <w:szCs w:val="20"/>
          <w:lang w:val="es-ES"/>
        </w:rPr>
        <w:t xml:space="preserve"> y 5 </w:t>
      </w:r>
      <w:r w:rsidRPr="00D31E39">
        <w:rPr>
          <w:rFonts w:asciiTheme="majorHAnsi" w:eastAsia="MS Mincho" w:hAnsiTheme="majorHAnsi"/>
          <w:sz w:val="20"/>
          <w:szCs w:val="20"/>
          <w:lang w:val="es-ES"/>
        </w:rPr>
        <w:t>del acuerdo de solución amistosa hasta su total cumplimiento</w:t>
      </w:r>
      <w:r w:rsidR="00ED39ED" w:rsidRPr="00D31E39">
        <w:rPr>
          <w:rFonts w:asciiTheme="majorHAnsi" w:eastAsia="MS Mincho" w:hAnsiTheme="majorHAnsi"/>
          <w:sz w:val="20"/>
          <w:szCs w:val="20"/>
          <w:lang w:val="es-ES"/>
        </w:rPr>
        <w:t xml:space="preserve"> según el análisis contenido en este Informe</w:t>
      </w:r>
      <w:r w:rsidRPr="00D31E39">
        <w:rPr>
          <w:rFonts w:asciiTheme="majorHAnsi" w:eastAsia="MS Mincho" w:hAnsiTheme="majorHAnsi"/>
          <w:sz w:val="20"/>
          <w:szCs w:val="20"/>
          <w:lang w:val="es-ES"/>
        </w:rPr>
        <w:t>. Con tal finalidad, recordar a las partes su compromiso de informar periódicamente a la CIDH sobre su cumplimiento.</w:t>
      </w:r>
    </w:p>
    <w:p w:rsidR="004D1412" w:rsidRPr="00D31E39" w:rsidRDefault="004D1412" w:rsidP="00DB4BE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260"/>
          <w:tab w:val="left" w:pos="1440"/>
        </w:tabs>
        <w:ind w:firstLine="720"/>
        <w:jc w:val="both"/>
        <w:rPr>
          <w:rFonts w:asciiTheme="majorHAnsi" w:eastAsia="MS Mincho" w:hAnsiTheme="majorHAnsi"/>
          <w:sz w:val="20"/>
          <w:szCs w:val="20"/>
          <w:lang w:val="es-ES"/>
        </w:rPr>
      </w:pPr>
    </w:p>
    <w:p w:rsidR="004D1412" w:rsidRPr="00D31E39" w:rsidRDefault="004D1412" w:rsidP="00ED39E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90"/>
          <w:tab w:val="left" w:pos="1440"/>
          <w:tab w:val="num" w:pos="3240"/>
        </w:tabs>
        <w:jc w:val="both"/>
        <w:rPr>
          <w:rFonts w:asciiTheme="majorHAnsi" w:eastAsia="MS Mincho" w:hAnsiTheme="majorHAnsi"/>
          <w:sz w:val="20"/>
          <w:szCs w:val="20"/>
          <w:lang w:val="es-ES"/>
        </w:rPr>
      </w:pPr>
      <w:r w:rsidRPr="00D31E39">
        <w:rPr>
          <w:rFonts w:asciiTheme="majorHAnsi" w:eastAsia="MS Mincho" w:hAnsiTheme="majorHAnsi"/>
          <w:sz w:val="20"/>
          <w:szCs w:val="20"/>
          <w:lang w:val="es-ES"/>
        </w:rPr>
        <w:t>Hacer público el presente informe e incluirlo en su Informe Anual a la Asamblea General de la OEA.</w:t>
      </w:r>
    </w:p>
    <w:p w:rsidR="004D1412" w:rsidRDefault="004D1412" w:rsidP="00DB4BE4">
      <w:pPr>
        <w:pStyle w:val="ListParagraph"/>
        <w:ind w:firstLine="720"/>
        <w:jc w:val="both"/>
        <w:rPr>
          <w:rFonts w:asciiTheme="majorHAnsi" w:eastAsia="MS Mincho" w:hAnsiTheme="majorHAnsi"/>
          <w:sz w:val="20"/>
          <w:szCs w:val="20"/>
          <w:lang w:val="es-ES"/>
        </w:rPr>
      </w:pPr>
    </w:p>
    <w:p w:rsidR="00DA47DF" w:rsidRPr="00DA47DF" w:rsidRDefault="00E208C3" w:rsidP="00DA47DF">
      <w:pPr>
        <w:suppressAutoHyphens/>
        <w:ind w:firstLine="720"/>
        <w:jc w:val="both"/>
        <w:rPr>
          <w:rFonts w:asciiTheme="majorHAnsi" w:hAnsiTheme="majorHAnsi"/>
          <w:spacing w:val="-2"/>
          <w:sz w:val="20"/>
          <w:szCs w:val="20"/>
          <w:lang w:val="es-ES"/>
        </w:rPr>
      </w:pPr>
      <w:r w:rsidRPr="00DA47DF">
        <w:rPr>
          <w:rFonts w:asciiTheme="majorHAnsi" w:hAnsiTheme="majorHAnsi"/>
          <w:sz w:val="20"/>
          <w:szCs w:val="20"/>
          <w:lang w:val="es-ES"/>
        </w:rPr>
        <w:t xml:space="preserve">Aprobado por la Comisión Interamericana de Derechos Humanos a los 25 días del mes de </w:t>
      </w:r>
      <w:r w:rsidRPr="00DA47DF">
        <w:rPr>
          <w:rFonts w:asciiTheme="majorHAnsi" w:hAnsiTheme="majorHAnsi" w:cs="Arial"/>
          <w:noProof/>
          <w:spacing w:val="-2"/>
          <w:sz w:val="20"/>
          <w:szCs w:val="20"/>
          <w:lang w:val="es-CL"/>
        </w:rPr>
        <w:t>junio</w:t>
      </w:r>
      <w:r w:rsidRPr="00DA47DF">
        <w:rPr>
          <w:rFonts w:asciiTheme="majorHAnsi" w:hAnsiTheme="majorHAnsi"/>
          <w:sz w:val="20"/>
          <w:szCs w:val="20"/>
          <w:lang w:val="es-ES"/>
        </w:rPr>
        <w:t xml:space="preserve"> de 2019. (Firmado): </w:t>
      </w:r>
      <w:r w:rsidR="00DA47DF" w:rsidRPr="00DA47DF">
        <w:rPr>
          <w:rFonts w:asciiTheme="majorHAnsi" w:hAnsiTheme="majorHAnsi"/>
          <w:spacing w:val="-2"/>
          <w:sz w:val="20"/>
          <w:szCs w:val="20"/>
          <w:lang w:val="es-ES_tradnl"/>
        </w:rPr>
        <w:t>Joel Hernández</w:t>
      </w:r>
      <w:r w:rsidR="00DA47DF" w:rsidRPr="00DA47DF">
        <w:rPr>
          <w:rFonts w:asciiTheme="majorHAnsi" w:hAnsiTheme="majorHAnsi"/>
          <w:spacing w:val="-2"/>
          <w:sz w:val="20"/>
          <w:szCs w:val="20"/>
          <w:lang w:val="es-ES_tradnl"/>
        </w:rPr>
        <w:t xml:space="preserve">, </w:t>
      </w:r>
      <w:r w:rsidR="00DA47DF" w:rsidRPr="00DA47DF">
        <w:rPr>
          <w:rFonts w:asciiTheme="majorHAnsi" w:hAnsiTheme="majorHAnsi"/>
          <w:spacing w:val="-2"/>
          <w:sz w:val="20"/>
          <w:szCs w:val="20"/>
          <w:lang w:val="es-ES"/>
        </w:rPr>
        <w:t xml:space="preserve">Primer </w:t>
      </w:r>
      <w:r w:rsidR="00DA47DF" w:rsidRPr="00DA47DF">
        <w:rPr>
          <w:rFonts w:asciiTheme="majorHAnsi" w:hAnsiTheme="majorHAnsi"/>
          <w:spacing w:val="-2"/>
          <w:sz w:val="20"/>
          <w:szCs w:val="20"/>
          <w:lang w:val="es-ES"/>
        </w:rPr>
        <w:t xml:space="preserve">Vicepresidente; </w:t>
      </w:r>
      <w:r w:rsidR="00DA47DF" w:rsidRPr="00DA47DF">
        <w:rPr>
          <w:rFonts w:asciiTheme="majorHAnsi" w:hAnsiTheme="majorHAnsi"/>
          <w:sz w:val="20"/>
          <w:szCs w:val="20"/>
          <w:lang w:val="es-ES"/>
        </w:rPr>
        <w:t>Antonia Urrejola</w:t>
      </w:r>
      <w:r w:rsidR="00DA47DF" w:rsidRPr="00DA47DF">
        <w:rPr>
          <w:rFonts w:asciiTheme="majorHAnsi" w:hAnsiTheme="majorHAnsi"/>
          <w:sz w:val="20"/>
          <w:szCs w:val="20"/>
          <w:lang w:val="es-ES"/>
        </w:rPr>
        <w:t xml:space="preserve">, </w:t>
      </w:r>
      <w:r w:rsidR="00DA47DF" w:rsidRPr="00DA47DF">
        <w:rPr>
          <w:rFonts w:asciiTheme="majorHAnsi" w:hAnsiTheme="majorHAnsi"/>
          <w:spacing w:val="-2"/>
          <w:sz w:val="20"/>
          <w:szCs w:val="20"/>
          <w:lang w:val="es-ES"/>
        </w:rPr>
        <w:t>Segunda Vice Presidenta</w:t>
      </w:r>
      <w:r w:rsidR="00DA47DF" w:rsidRPr="00DA47DF">
        <w:rPr>
          <w:rFonts w:asciiTheme="majorHAnsi" w:hAnsiTheme="majorHAnsi"/>
          <w:spacing w:val="-2"/>
          <w:sz w:val="20"/>
          <w:szCs w:val="20"/>
          <w:lang w:val="es-ES_tradnl"/>
        </w:rPr>
        <w:t xml:space="preserve">; </w:t>
      </w:r>
      <w:r w:rsidR="00DA47DF" w:rsidRPr="00DA47DF">
        <w:rPr>
          <w:rFonts w:asciiTheme="majorHAnsi" w:hAnsiTheme="majorHAnsi"/>
          <w:spacing w:val="-2"/>
          <w:sz w:val="20"/>
          <w:szCs w:val="20"/>
          <w:lang w:val="es-ES_tradnl"/>
        </w:rPr>
        <w:t>Margarette May Macaulay</w:t>
      </w:r>
      <w:r w:rsidR="00DA47DF" w:rsidRPr="00DA47DF">
        <w:rPr>
          <w:rFonts w:asciiTheme="majorHAnsi" w:hAnsiTheme="majorHAnsi"/>
          <w:spacing w:val="-2"/>
          <w:sz w:val="20"/>
          <w:szCs w:val="20"/>
          <w:lang w:val="es-ES_tradnl"/>
        </w:rPr>
        <w:t xml:space="preserve">,  Francisco José Eguiguren, </w:t>
      </w:r>
      <w:r w:rsidR="00DA47DF" w:rsidRPr="00DA47DF">
        <w:rPr>
          <w:rFonts w:asciiTheme="majorHAnsi" w:hAnsiTheme="majorHAnsi"/>
          <w:spacing w:val="-2"/>
          <w:sz w:val="20"/>
          <w:szCs w:val="20"/>
          <w:lang w:val="es-ES"/>
        </w:rPr>
        <w:t xml:space="preserve">Luis Ernesto Vargas Silva, y </w:t>
      </w:r>
      <w:proofErr w:type="spellStart"/>
      <w:r w:rsidR="00DA47DF" w:rsidRPr="00DA47DF">
        <w:rPr>
          <w:rFonts w:asciiTheme="majorHAnsi" w:hAnsiTheme="majorHAnsi"/>
          <w:spacing w:val="-2"/>
          <w:sz w:val="20"/>
          <w:szCs w:val="20"/>
          <w:lang w:val="es-ES"/>
        </w:rPr>
        <w:t>Flávia</w:t>
      </w:r>
      <w:proofErr w:type="spellEnd"/>
      <w:r w:rsidR="00DA47DF" w:rsidRPr="00DA47DF">
        <w:rPr>
          <w:rFonts w:asciiTheme="majorHAnsi" w:hAnsiTheme="majorHAnsi"/>
          <w:spacing w:val="-2"/>
          <w:sz w:val="20"/>
          <w:szCs w:val="20"/>
          <w:lang w:val="es-ES"/>
        </w:rPr>
        <w:t xml:space="preserve"> </w:t>
      </w:r>
      <w:proofErr w:type="spellStart"/>
      <w:r w:rsidR="00DA47DF" w:rsidRPr="00DA47DF">
        <w:rPr>
          <w:rFonts w:asciiTheme="majorHAnsi" w:hAnsiTheme="majorHAnsi"/>
          <w:spacing w:val="-2"/>
          <w:sz w:val="20"/>
          <w:szCs w:val="20"/>
          <w:lang w:val="es-ES"/>
        </w:rPr>
        <w:t>Piovesan</w:t>
      </w:r>
      <w:proofErr w:type="spellEnd"/>
      <w:r w:rsidR="00DA47DF" w:rsidRPr="00DA47DF">
        <w:rPr>
          <w:rFonts w:asciiTheme="majorHAnsi" w:hAnsiTheme="majorHAnsi"/>
          <w:spacing w:val="-2"/>
          <w:sz w:val="20"/>
          <w:szCs w:val="20"/>
          <w:lang w:val="es-ES"/>
        </w:rPr>
        <w:t xml:space="preserve">, </w:t>
      </w:r>
      <w:proofErr w:type="spellStart"/>
      <w:r w:rsidR="00DA47DF" w:rsidRPr="00DA47DF">
        <w:rPr>
          <w:rFonts w:asciiTheme="majorHAnsi" w:hAnsiTheme="majorHAnsi"/>
          <w:spacing w:val="-2"/>
          <w:sz w:val="20"/>
          <w:szCs w:val="20"/>
          <w:lang w:val="es-ES"/>
        </w:rPr>
        <w:t>miebros</w:t>
      </w:r>
      <w:proofErr w:type="spellEnd"/>
      <w:r w:rsidR="00DA47DF" w:rsidRPr="00DA47DF">
        <w:rPr>
          <w:rFonts w:asciiTheme="majorHAnsi" w:hAnsiTheme="majorHAnsi"/>
          <w:spacing w:val="-2"/>
          <w:sz w:val="20"/>
          <w:szCs w:val="20"/>
          <w:lang w:val="es-ES"/>
        </w:rPr>
        <w:t xml:space="preserve"> de la Comisión</w:t>
      </w:r>
      <w:r w:rsidR="00DA47DF" w:rsidRPr="00DA47DF">
        <w:rPr>
          <w:rFonts w:asciiTheme="majorHAnsi" w:hAnsiTheme="majorHAnsi"/>
          <w:spacing w:val="-2"/>
          <w:sz w:val="20"/>
          <w:szCs w:val="20"/>
          <w:lang w:val="es-ES"/>
        </w:rPr>
        <w:br/>
        <w:t xml:space="preserve"> </w:t>
      </w:r>
    </w:p>
    <w:p w:rsidR="00551704" w:rsidRPr="009C0C80" w:rsidRDefault="00D8059A" w:rsidP="00DA47DF">
      <w:pPr>
        <w:pStyle w:val="ListParagraph"/>
        <w:ind w:firstLine="720"/>
        <w:jc w:val="both"/>
        <w:rPr>
          <w:rFonts w:asciiTheme="majorHAnsi" w:hAnsiTheme="majorHAnsi" w:cs="Calibri"/>
          <w:color w:val="808080" w:themeColor="background1" w:themeShade="80"/>
          <w:sz w:val="22"/>
          <w:szCs w:val="22"/>
          <w:lang w:val="es-US"/>
        </w:rPr>
      </w:pPr>
      <w:r w:rsidRPr="00D8059A">
        <w:rPr>
          <w:rFonts w:asciiTheme="majorHAnsi" w:eastAsia="MS Mincho" w:hAnsiTheme="majorHAnsi"/>
          <w:sz w:val="20"/>
          <w:szCs w:val="20"/>
          <w:lang w:val="es-ES"/>
        </w:rPr>
        <w:t xml:space="preserve">                               </w:t>
      </w:r>
      <w:r>
        <w:rPr>
          <w:rFonts w:asciiTheme="majorHAnsi" w:eastAsia="MS Mincho" w:hAnsiTheme="majorHAnsi"/>
          <w:sz w:val="20"/>
          <w:szCs w:val="20"/>
          <w:lang w:val="es-ES"/>
        </w:rPr>
        <w:t xml:space="preserve">                         </w:t>
      </w:r>
    </w:p>
    <w:p w:rsidR="004D1412" w:rsidRPr="00D31E39" w:rsidRDefault="004D1412" w:rsidP="00DB4BE4">
      <w:pPr>
        <w:tabs>
          <w:tab w:val="center" w:pos="4680"/>
          <w:tab w:val="left" w:pos="6511"/>
        </w:tabs>
        <w:ind w:firstLine="720"/>
        <w:jc w:val="both"/>
        <w:rPr>
          <w:rFonts w:asciiTheme="majorHAnsi" w:hAnsiTheme="majorHAnsi" w:cs="Calibri"/>
          <w:color w:val="808080" w:themeColor="background1" w:themeShade="80"/>
          <w:sz w:val="20"/>
          <w:szCs w:val="20"/>
          <w:lang w:val="es-VE"/>
        </w:rPr>
      </w:pPr>
    </w:p>
    <w:sectPr w:rsidR="004D1412" w:rsidRPr="00D31E39" w:rsidSect="006F649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9BB" w:rsidRDefault="00DE19BB">
      <w:r>
        <w:separator/>
      </w:r>
    </w:p>
  </w:endnote>
  <w:endnote w:type="continuationSeparator" w:id="0">
    <w:p w:rsidR="00DE19BB" w:rsidRDefault="00DE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25A" w:rsidRDefault="00DE72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rsidR="00551704" w:rsidRPr="00934A2C" w:rsidRDefault="0055170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E725A">
          <w:rPr>
            <w:noProof/>
            <w:sz w:val="16"/>
            <w:szCs w:val="22"/>
          </w:rPr>
          <w:t>3</w:t>
        </w:r>
        <w:r w:rsidRPr="00934A2C">
          <w:rPr>
            <w:noProof/>
            <w:sz w:val="16"/>
            <w:szCs w:val="22"/>
          </w:rPr>
          <w:fldChar w:fldCharType="end"/>
        </w:r>
      </w:p>
    </w:sdtContent>
  </w:sdt>
  <w:p w:rsidR="00551704" w:rsidRDefault="005517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704" w:rsidRPr="00934A2C" w:rsidRDefault="00551704">
    <w:pPr>
      <w:pStyle w:val="Footer"/>
      <w:jc w:val="center"/>
      <w:rPr>
        <w:sz w:val="16"/>
        <w:szCs w:val="22"/>
      </w:rPr>
    </w:pPr>
  </w:p>
  <w:p w:rsidR="00551704" w:rsidRDefault="005517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9BB" w:rsidRPr="000F35ED" w:rsidRDefault="00DE19BB">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DE19BB" w:rsidRPr="000F35ED" w:rsidRDefault="00DE19BB" w:rsidP="000F35ED">
      <w:pPr>
        <w:rPr>
          <w:rFonts w:asciiTheme="majorHAnsi" w:hAnsiTheme="majorHAnsi"/>
          <w:sz w:val="16"/>
          <w:szCs w:val="16"/>
        </w:rPr>
      </w:pPr>
      <w:r w:rsidRPr="000F35ED">
        <w:rPr>
          <w:rFonts w:asciiTheme="majorHAnsi" w:hAnsiTheme="majorHAnsi"/>
          <w:sz w:val="16"/>
          <w:szCs w:val="16"/>
        </w:rPr>
        <w:separator/>
      </w:r>
    </w:p>
    <w:p w:rsidR="00DE19BB" w:rsidRPr="000F35ED" w:rsidRDefault="00DE19BB"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DE19BB" w:rsidRPr="000F35ED" w:rsidRDefault="00DE19BB"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551704" w:rsidRPr="00D31E39" w:rsidRDefault="00551704" w:rsidP="00F13FBC">
      <w:pPr>
        <w:pStyle w:val="FootnoteText"/>
        <w:jc w:val="both"/>
        <w:rPr>
          <w:rFonts w:asciiTheme="majorHAnsi" w:hAnsiTheme="majorHAnsi"/>
          <w:sz w:val="16"/>
          <w:szCs w:val="16"/>
          <w:lang w:val="es-ES"/>
        </w:rPr>
      </w:pPr>
      <w:r w:rsidRPr="00FC499C">
        <w:rPr>
          <w:rStyle w:val="FootnoteReference"/>
          <w:rFonts w:asciiTheme="majorHAnsi" w:hAnsiTheme="majorHAnsi"/>
          <w:sz w:val="16"/>
          <w:szCs w:val="16"/>
        </w:rPr>
        <w:footnoteRef/>
      </w:r>
      <w:r w:rsidRPr="00FC499C">
        <w:rPr>
          <w:rFonts w:asciiTheme="majorHAnsi" w:hAnsiTheme="majorHAnsi"/>
          <w:sz w:val="16"/>
          <w:szCs w:val="16"/>
          <w:lang w:val="es-ES"/>
        </w:rPr>
        <w:t xml:space="preserve"> </w:t>
      </w:r>
      <w:r w:rsidRPr="00D31E39">
        <w:rPr>
          <w:rFonts w:asciiTheme="majorHAnsi" w:eastAsia="Cambria" w:hAnsiTheme="majorHAnsi"/>
          <w:sz w:val="16"/>
          <w:szCs w:val="16"/>
          <w:lang w:val="es-ES_tradnl"/>
        </w:rPr>
        <w:t xml:space="preserve">La Comisionada Esmeralda Arosemena </w:t>
      </w:r>
      <w:r w:rsidR="00DA47DF">
        <w:rPr>
          <w:rFonts w:asciiTheme="majorHAnsi" w:eastAsia="Cambria" w:hAnsiTheme="majorHAnsi"/>
          <w:sz w:val="16"/>
          <w:szCs w:val="16"/>
          <w:lang w:val="es-ES_tradnl"/>
        </w:rPr>
        <w:t xml:space="preserve">Bernal </w:t>
      </w:r>
      <w:r w:rsidRPr="00D31E39">
        <w:rPr>
          <w:rFonts w:asciiTheme="majorHAnsi" w:eastAsia="Cambria" w:hAnsiTheme="majorHAnsi"/>
          <w:sz w:val="16"/>
          <w:szCs w:val="16"/>
          <w:lang w:val="es-ES_tradnl"/>
        </w:rPr>
        <w:t xml:space="preserve">de </w:t>
      </w:r>
      <w:proofErr w:type="spellStart"/>
      <w:r w:rsidRPr="00D31E39">
        <w:rPr>
          <w:rFonts w:asciiTheme="majorHAnsi" w:eastAsia="Cambria" w:hAnsiTheme="majorHAnsi"/>
          <w:sz w:val="16"/>
          <w:szCs w:val="16"/>
          <w:lang w:val="es-ES_tradnl"/>
        </w:rPr>
        <w:t>Troitiño</w:t>
      </w:r>
      <w:proofErr w:type="spellEnd"/>
      <w:r w:rsidRPr="00D31E39">
        <w:rPr>
          <w:rFonts w:asciiTheme="majorHAnsi" w:eastAsia="Cambria" w:hAnsiTheme="majorHAnsi"/>
          <w:sz w:val="16"/>
          <w:szCs w:val="16"/>
          <w:lang w:val="es-ES_tradnl"/>
        </w:rPr>
        <w:t>, de nacionalidad panameña, no participó de la discusión y decisión del presente caso, conforme al artículo 17.2.a) del Reglamento de la CIDH.</w:t>
      </w:r>
    </w:p>
  </w:footnote>
  <w:footnote w:id="3">
    <w:p w:rsidR="00551704" w:rsidRPr="00D31E39" w:rsidRDefault="00551704" w:rsidP="000B7FE0">
      <w:pPr>
        <w:pStyle w:val="FootnoteText"/>
        <w:jc w:val="both"/>
        <w:rPr>
          <w:rFonts w:asciiTheme="majorHAnsi" w:hAnsiTheme="majorHAnsi"/>
          <w:sz w:val="16"/>
          <w:szCs w:val="16"/>
          <w:lang w:val="es-VE"/>
        </w:rPr>
      </w:pPr>
      <w:r w:rsidRPr="00D31E39">
        <w:rPr>
          <w:rStyle w:val="FootnoteReference"/>
          <w:rFonts w:asciiTheme="majorHAnsi" w:hAnsiTheme="majorHAnsi"/>
          <w:sz w:val="16"/>
          <w:szCs w:val="16"/>
        </w:rPr>
        <w:footnoteRef/>
      </w:r>
      <w:r w:rsidRPr="00D31E39">
        <w:rPr>
          <w:rFonts w:asciiTheme="majorHAnsi" w:hAnsiTheme="majorHAnsi"/>
          <w:sz w:val="16"/>
          <w:szCs w:val="16"/>
          <w:lang w:val="es-VE"/>
        </w:rPr>
        <w:t xml:space="preserve"> </w:t>
      </w:r>
      <w:r w:rsidRPr="00D31E39">
        <w:rPr>
          <w:rFonts w:asciiTheme="majorHAnsi" w:eastAsia="Cambria" w:hAnsiTheme="majorHAnsi"/>
          <w:sz w:val="16"/>
          <w:szCs w:val="16"/>
          <w:lang w:val="es-ES_tradnl"/>
        </w:rPr>
        <w:t xml:space="preserve">Según la petición, no habría existido proceso judicial en relación con las presuntas víctimas: Javier Sánchez, desaparecido en 1969; Carlos </w:t>
      </w:r>
      <w:proofErr w:type="spellStart"/>
      <w:r w:rsidRPr="00D31E39">
        <w:rPr>
          <w:rFonts w:asciiTheme="majorHAnsi" w:eastAsia="Cambria" w:hAnsiTheme="majorHAnsi"/>
          <w:sz w:val="16"/>
          <w:szCs w:val="16"/>
          <w:lang w:val="es-ES_tradnl"/>
        </w:rPr>
        <w:t>Milar</w:t>
      </w:r>
      <w:proofErr w:type="spellEnd"/>
      <w:r w:rsidRPr="00D31E39">
        <w:rPr>
          <w:rFonts w:asciiTheme="majorHAnsi" w:eastAsia="Cambria" w:hAnsiTheme="majorHAnsi"/>
          <w:sz w:val="16"/>
          <w:szCs w:val="16"/>
          <w:lang w:val="es-ES_tradnl"/>
        </w:rPr>
        <w:t xml:space="preserve"> González Caballero, desaparecido en 1969; Marta Morán Jiménez, desaparecida en 1989; Leopoldo Rafael Allen </w:t>
      </w:r>
      <w:proofErr w:type="spellStart"/>
      <w:r w:rsidRPr="00D31E39">
        <w:rPr>
          <w:rFonts w:asciiTheme="majorHAnsi" w:eastAsia="Cambria" w:hAnsiTheme="majorHAnsi"/>
          <w:sz w:val="16"/>
          <w:szCs w:val="16"/>
          <w:lang w:val="es-ES_tradnl"/>
        </w:rPr>
        <w:t>Serracín</w:t>
      </w:r>
      <w:proofErr w:type="spellEnd"/>
      <w:r w:rsidRPr="00D31E39">
        <w:rPr>
          <w:rFonts w:asciiTheme="majorHAnsi" w:eastAsia="Cambria" w:hAnsiTheme="majorHAnsi"/>
          <w:sz w:val="16"/>
          <w:szCs w:val="16"/>
          <w:lang w:val="es-ES_tradnl"/>
        </w:rPr>
        <w:t xml:space="preserve">, ejecutado en 1969; Walter </w:t>
      </w:r>
      <w:proofErr w:type="spellStart"/>
      <w:r w:rsidRPr="00D31E39">
        <w:rPr>
          <w:rFonts w:asciiTheme="majorHAnsi" w:eastAsia="Cambria" w:hAnsiTheme="majorHAnsi"/>
          <w:sz w:val="16"/>
          <w:szCs w:val="16"/>
          <w:lang w:val="es-ES_tradnl"/>
        </w:rPr>
        <w:t>Sandiñas</w:t>
      </w:r>
      <w:proofErr w:type="spellEnd"/>
      <w:r w:rsidRPr="00D31E39">
        <w:rPr>
          <w:rFonts w:asciiTheme="majorHAnsi" w:eastAsia="Cambria" w:hAnsiTheme="majorHAnsi"/>
          <w:sz w:val="16"/>
          <w:szCs w:val="16"/>
          <w:lang w:val="es-ES_tradnl"/>
        </w:rPr>
        <w:t xml:space="preserve"> </w:t>
      </w:r>
      <w:proofErr w:type="spellStart"/>
      <w:r w:rsidRPr="00D31E39">
        <w:rPr>
          <w:rFonts w:asciiTheme="majorHAnsi" w:eastAsia="Cambria" w:hAnsiTheme="majorHAnsi"/>
          <w:sz w:val="16"/>
          <w:szCs w:val="16"/>
          <w:lang w:val="es-ES_tradnl"/>
        </w:rPr>
        <w:t>Iguini</w:t>
      </w:r>
      <w:proofErr w:type="spellEnd"/>
      <w:r w:rsidRPr="00D31E39">
        <w:rPr>
          <w:rFonts w:asciiTheme="majorHAnsi" w:eastAsia="Cambria" w:hAnsiTheme="majorHAnsi"/>
          <w:sz w:val="16"/>
          <w:szCs w:val="16"/>
          <w:lang w:val="es-ES_tradnl"/>
        </w:rPr>
        <w:t xml:space="preserve">, ejecutado en 1970; y Tomás Rojas </w:t>
      </w:r>
      <w:proofErr w:type="spellStart"/>
      <w:r w:rsidRPr="00D31E39">
        <w:rPr>
          <w:rFonts w:asciiTheme="majorHAnsi" w:eastAsia="Cambria" w:hAnsiTheme="majorHAnsi"/>
          <w:sz w:val="16"/>
          <w:szCs w:val="16"/>
          <w:lang w:val="es-ES_tradnl"/>
        </w:rPr>
        <w:t>Hinestroza</w:t>
      </w:r>
      <w:proofErr w:type="spellEnd"/>
      <w:r w:rsidRPr="00D31E39">
        <w:rPr>
          <w:rFonts w:asciiTheme="majorHAnsi" w:eastAsia="Cambria" w:hAnsiTheme="majorHAnsi"/>
          <w:sz w:val="16"/>
          <w:szCs w:val="16"/>
          <w:lang w:val="es-ES_tradnl"/>
        </w:rPr>
        <w:t>, ejecutado en 1979.</w:t>
      </w:r>
    </w:p>
  </w:footnote>
  <w:footnote w:id="4">
    <w:p w:rsidR="00551704" w:rsidRPr="00D31E39" w:rsidRDefault="00551704" w:rsidP="000B7FE0">
      <w:pPr>
        <w:pStyle w:val="FootnoteText"/>
        <w:spacing w:after="120"/>
        <w:jc w:val="both"/>
        <w:rPr>
          <w:rFonts w:asciiTheme="majorHAnsi" w:hAnsiTheme="majorHAnsi"/>
          <w:sz w:val="16"/>
          <w:szCs w:val="16"/>
          <w:lang w:val="es-ES"/>
        </w:rPr>
      </w:pPr>
      <w:r w:rsidRPr="00D31E39">
        <w:rPr>
          <w:rStyle w:val="FootnoteReference"/>
          <w:rFonts w:asciiTheme="majorHAnsi" w:hAnsiTheme="majorHAnsi"/>
          <w:sz w:val="16"/>
          <w:szCs w:val="16"/>
        </w:rPr>
        <w:footnoteRef/>
      </w:r>
      <w:r w:rsidRPr="00D31E39">
        <w:rPr>
          <w:rFonts w:asciiTheme="majorHAnsi" w:hAnsiTheme="majorHAnsi"/>
          <w:sz w:val="16"/>
          <w:szCs w:val="16"/>
          <w:lang w:val="es-ES"/>
        </w:rPr>
        <w:t xml:space="preserve"> </w:t>
      </w:r>
      <w:r w:rsidRPr="00D31E39">
        <w:rPr>
          <w:rFonts w:asciiTheme="majorHAnsi" w:eastAsia="Cambria" w:hAnsiTheme="majorHAnsi"/>
          <w:sz w:val="16"/>
          <w:szCs w:val="16"/>
          <w:lang w:val="es-ES_tradnl"/>
        </w:rPr>
        <w:t xml:space="preserve">Los peticionarios indican que los 5 restantes casos que tuvieron sentencia de condena son: la ejecución de padre Nicolás Johannes Van </w:t>
      </w:r>
      <w:proofErr w:type="spellStart"/>
      <w:r w:rsidRPr="00D31E39">
        <w:rPr>
          <w:rFonts w:asciiTheme="majorHAnsi" w:eastAsia="Cambria" w:hAnsiTheme="majorHAnsi"/>
          <w:sz w:val="16"/>
          <w:szCs w:val="16"/>
          <w:lang w:val="es-ES_tradnl"/>
        </w:rPr>
        <w:t>Kleef</w:t>
      </w:r>
      <w:proofErr w:type="spellEnd"/>
      <w:r w:rsidRPr="00D31E39">
        <w:rPr>
          <w:rFonts w:asciiTheme="majorHAnsi" w:eastAsia="Cambria" w:hAnsiTheme="majorHAnsi"/>
          <w:sz w:val="16"/>
          <w:szCs w:val="16"/>
          <w:lang w:val="es-ES_tradnl"/>
        </w:rPr>
        <w:t xml:space="preserve"> </w:t>
      </w:r>
      <w:proofErr w:type="spellStart"/>
      <w:r w:rsidRPr="00D31E39">
        <w:rPr>
          <w:rFonts w:asciiTheme="majorHAnsi" w:eastAsia="Cambria" w:hAnsiTheme="majorHAnsi"/>
          <w:sz w:val="16"/>
          <w:szCs w:val="16"/>
          <w:lang w:val="es-ES_tradnl"/>
        </w:rPr>
        <w:t>Filcz</w:t>
      </w:r>
      <w:proofErr w:type="spellEnd"/>
      <w:r w:rsidRPr="00D31E39">
        <w:rPr>
          <w:rFonts w:asciiTheme="majorHAnsi" w:eastAsia="Cambria" w:hAnsiTheme="majorHAnsi"/>
          <w:sz w:val="16"/>
          <w:szCs w:val="16"/>
          <w:lang w:val="es-ES_tradnl"/>
        </w:rPr>
        <w:t xml:space="preserve">, mediante sentencia de 1992 se condenó al imputado Olmedo Espinoza </w:t>
      </w:r>
      <w:proofErr w:type="spellStart"/>
      <w:r w:rsidRPr="00D31E39">
        <w:rPr>
          <w:rFonts w:asciiTheme="majorHAnsi" w:eastAsia="Cambria" w:hAnsiTheme="majorHAnsi"/>
          <w:sz w:val="16"/>
          <w:szCs w:val="16"/>
          <w:lang w:val="es-ES_tradnl"/>
        </w:rPr>
        <w:t>Espinoza</w:t>
      </w:r>
      <w:proofErr w:type="spellEnd"/>
      <w:r w:rsidRPr="00D31E39">
        <w:rPr>
          <w:rFonts w:asciiTheme="majorHAnsi" w:eastAsia="Cambria" w:hAnsiTheme="majorHAnsi"/>
          <w:sz w:val="16"/>
          <w:szCs w:val="16"/>
          <w:lang w:val="es-ES_tradnl"/>
        </w:rPr>
        <w:t xml:space="preserve"> a la pena de 16 años de prisión, la cual fue confirmada par la Corte Suprema de Justicia; la desaparición forzada de padre Jesús Héctor Gallego Herrera, en el año 1993 un jurado de conciencia condenó a 15 años de prisión a tres militares; la ejecución de Daniel </w:t>
      </w:r>
      <w:proofErr w:type="spellStart"/>
      <w:r w:rsidRPr="00D31E39">
        <w:rPr>
          <w:rFonts w:asciiTheme="majorHAnsi" w:eastAsia="Cambria" w:hAnsiTheme="majorHAnsi"/>
          <w:sz w:val="16"/>
          <w:szCs w:val="16"/>
          <w:lang w:val="es-ES_tradnl"/>
        </w:rPr>
        <w:t>Simoné</w:t>
      </w:r>
      <w:proofErr w:type="spellEnd"/>
      <w:r w:rsidRPr="00D31E39">
        <w:rPr>
          <w:rFonts w:asciiTheme="majorHAnsi" w:eastAsia="Cambria" w:hAnsiTheme="majorHAnsi"/>
          <w:sz w:val="16"/>
          <w:szCs w:val="16"/>
          <w:lang w:val="es-ES_tradnl"/>
        </w:rPr>
        <w:t xml:space="preserve"> Hernández, se dictó sentencia condenatoria en rebeldía en 1995; la ejecución de Hugo </w:t>
      </w:r>
      <w:proofErr w:type="spellStart"/>
      <w:r w:rsidRPr="00D31E39">
        <w:rPr>
          <w:rFonts w:asciiTheme="majorHAnsi" w:eastAsia="Cambria" w:hAnsiTheme="majorHAnsi"/>
          <w:sz w:val="16"/>
          <w:szCs w:val="16"/>
          <w:lang w:val="es-ES_tradnl"/>
        </w:rPr>
        <w:t>Spadafora</w:t>
      </w:r>
      <w:proofErr w:type="spellEnd"/>
      <w:r w:rsidRPr="00D31E39">
        <w:rPr>
          <w:rFonts w:asciiTheme="majorHAnsi" w:eastAsia="Cambria" w:hAnsiTheme="majorHAnsi"/>
          <w:sz w:val="16"/>
          <w:szCs w:val="16"/>
          <w:lang w:val="es-ES_tradnl"/>
        </w:rPr>
        <w:t xml:space="preserve"> Franco, sentencia condenatoria dictada por el Tribunal Superior del Tercer Distrito Judicial, Chiriquí; la ejecución de </w:t>
      </w:r>
      <w:proofErr w:type="spellStart"/>
      <w:r w:rsidRPr="00D31E39">
        <w:rPr>
          <w:rFonts w:asciiTheme="majorHAnsi" w:eastAsia="Cambria" w:hAnsiTheme="majorHAnsi"/>
          <w:sz w:val="16"/>
          <w:szCs w:val="16"/>
          <w:lang w:val="es-ES_tradnl"/>
        </w:rPr>
        <w:t>Yito</w:t>
      </w:r>
      <w:proofErr w:type="spellEnd"/>
      <w:r w:rsidRPr="00D31E39">
        <w:rPr>
          <w:rFonts w:asciiTheme="majorHAnsi" w:eastAsia="Cambria" w:hAnsiTheme="majorHAnsi"/>
          <w:sz w:val="16"/>
          <w:szCs w:val="16"/>
          <w:lang w:val="es-ES_tradnl"/>
        </w:rPr>
        <w:t xml:space="preserve"> </w:t>
      </w:r>
      <w:proofErr w:type="spellStart"/>
      <w:r w:rsidRPr="00D31E39">
        <w:rPr>
          <w:rFonts w:asciiTheme="majorHAnsi" w:eastAsia="Cambria" w:hAnsiTheme="majorHAnsi"/>
          <w:sz w:val="16"/>
          <w:szCs w:val="16"/>
          <w:lang w:val="es-ES_tradnl"/>
        </w:rPr>
        <w:t>Barrante</w:t>
      </w:r>
      <w:proofErr w:type="spellEnd"/>
      <w:r w:rsidRPr="00D31E39">
        <w:rPr>
          <w:rFonts w:asciiTheme="majorHAnsi" w:eastAsia="Cambria" w:hAnsiTheme="majorHAnsi"/>
          <w:sz w:val="16"/>
          <w:szCs w:val="16"/>
          <w:lang w:val="es-ES_tradnl"/>
        </w:rPr>
        <w:t xml:space="preserve"> Méndez, sentencia de condena en rebeldía del imputado.</w:t>
      </w:r>
    </w:p>
  </w:footnote>
  <w:footnote w:id="5">
    <w:p w:rsidR="00551704" w:rsidRPr="00FC499C" w:rsidRDefault="00551704" w:rsidP="008C134D">
      <w:pPr>
        <w:pStyle w:val="FootnoteText"/>
        <w:jc w:val="both"/>
        <w:rPr>
          <w:rFonts w:asciiTheme="majorHAnsi" w:hAnsiTheme="majorHAnsi"/>
          <w:sz w:val="16"/>
          <w:szCs w:val="16"/>
          <w:bdr w:val="none" w:sz="0" w:space="0" w:color="auto" w:frame="1"/>
          <w:lang w:val="es-CO"/>
        </w:rPr>
      </w:pPr>
      <w:r w:rsidRPr="00D31E39">
        <w:rPr>
          <w:rStyle w:val="FootnoteReference"/>
          <w:rFonts w:asciiTheme="majorHAnsi" w:hAnsiTheme="majorHAnsi"/>
          <w:sz w:val="16"/>
          <w:szCs w:val="16"/>
        </w:rPr>
        <w:footnoteRef/>
      </w:r>
      <w:r w:rsidRPr="00D31E39">
        <w:rPr>
          <w:rFonts w:asciiTheme="majorHAnsi" w:hAnsiTheme="majorHAnsi"/>
          <w:sz w:val="16"/>
          <w:szCs w:val="16"/>
          <w:lang w:val="es-CO"/>
        </w:rPr>
        <w:t xml:space="preserve"> Convención de Viena sobre el Derecho de los Tratados, U.N. </w:t>
      </w:r>
      <w:proofErr w:type="spellStart"/>
      <w:r w:rsidRPr="00D31E39">
        <w:rPr>
          <w:rFonts w:asciiTheme="majorHAnsi" w:hAnsiTheme="majorHAnsi"/>
          <w:sz w:val="16"/>
          <w:szCs w:val="16"/>
          <w:lang w:val="es-CO"/>
        </w:rPr>
        <w:t>Doc</w:t>
      </w:r>
      <w:proofErr w:type="spellEnd"/>
      <w:r w:rsidRPr="00D31E39">
        <w:rPr>
          <w:rFonts w:asciiTheme="majorHAnsi" w:hAnsiTheme="majorHAnsi"/>
          <w:sz w:val="16"/>
          <w:szCs w:val="16"/>
          <w:lang w:val="es-CO"/>
        </w:rPr>
        <w:t xml:space="preserve"> A/CONF.39/27 (1969), Artículo 26:</w:t>
      </w:r>
      <w:r w:rsidRPr="00DA47DF">
        <w:rPr>
          <w:rFonts w:asciiTheme="majorHAnsi" w:hAnsiTheme="majorHAnsi"/>
          <w:sz w:val="16"/>
          <w:szCs w:val="16"/>
          <w:lang w:val="es-CO"/>
        </w:rPr>
        <w:t xml:space="preserve"> </w:t>
      </w:r>
      <w:r w:rsidRPr="00DA47DF">
        <w:rPr>
          <w:rFonts w:asciiTheme="majorHAnsi" w:hAnsiTheme="majorHAnsi"/>
          <w:bCs/>
          <w:sz w:val="16"/>
          <w:szCs w:val="16"/>
          <w:lang w:val="es-CO"/>
        </w:rPr>
        <w:t xml:space="preserve">"Pacta </w:t>
      </w:r>
      <w:proofErr w:type="spellStart"/>
      <w:r w:rsidRPr="00DA47DF">
        <w:rPr>
          <w:rFonts w:asciiTheme="majorHAnsi" w:hAnsiTheme="majorHAnsi"/>
          <w:bCs/>
          <w:sz w:val="16"/>
          <w:szCs w:val="16"/>
          <w:lang w:val="es-CO"/>
        </w:rPr>
        <w:t>sunt</w:t>
      </w:r>
      <w:proofErr w:type="spellEnd"/>
      <w:r w:rsidRPr="00DA47DF">
        <w:rPr>
          <w:rFonts w:asciiTheme="majorHAnsi" w:hAnsiTheme="majorHAnsi"/>
          <w:bCs/>
          <w:sz w:val="16"/>
          <w:szCs w:val="16"/>
          <w:lang w:val="es-CO"/>
        </w:rPr>
        <w:t xml:space="preserve"> </w:t>
      </w:r>
      <w:proofErr w:type="spellStart"/>
      <w:r w:rsidRPr="00DA47DF">
        <w:rPr>
          <w:rFonts w:asciiTheme="majorHAnsi" w:hAnsiTheme="majorHAnsi"/>
          <w:bCs/>
          <w:sz w:val="16"/>
          <w:szCs w:val="16"/>
          <w:lang w:val="es-CO"/>
        </w:rPr>
        <w:t>servanda</w:t>
      </w:r>
      <w:proofErr w:type="spellEnd"/>
      <w:r w:rsidRPr="00DA47DF">
        <w:rPr>
          <w:rFonts w:asciiTheme="majorHAnsi" w:hAnsiTheme="majorHAnsi"/>
          <w:bCs/>
          <w:sz w:val="16"/>
          <w:szCs w:val="16"/>
          <w:lang w:val="es-CO"/>
        </w:rPr>
        <w:t>"</w:t>
      </w:r>
      <w:r w:rsidRPr="00D31E39">
        <w:rPr>
          <w:rFonts w:asciiTheme="majorHAnsi" w:hAnsiTheme="majorHAnsi"/>
          <w:b/>
          <w:bCs/>
          <w:sz w:val="16"/>
          <w:szCs w:val="16"/>
          <w:lang w:val="es-CO"/>
        </w:rPr>
        <w:t>.</w:t>
      </w:r>
      <w:r w:rsidRPr="00D31E39">
        <w:rPr>
          <w:rFonts w:asciiTheme="majorHAnsi" w:hAnsiTheme="majorHAnsi"/>
          <w:sz w:val="16"/>
          <w:szCs w:val="16"/>
          <w:lang w:val="es-CO"/>
        </w:rPr>
        <w:t xml:space="preserve"> </w:t>
      </w:r>
      <w:r w:rsidRPr="00D31E39">
        <w:rPr>
          <w:rFonts w:asciiTheme="majorHAnsi" w:hAnsiTheme="majorHAnsi"/>
          <w:i/>
          <w:sz w:val="16"/>
          <w:szCs w:val="16"/>
          <w:lang w:val="es-CO"/>
        </w:rPr>
        <w:t>Todo tratado en vigor obliga a las partes y debe</w:t>
      </w:r>
      <w:r w:rsidRPr="00FC499C">
        <w:rPr>
          <w:rFonts w:asciiTheme="majorHAnsi" w:hAnsiTheme="majorHAnsi"/>
          <w:i/>
          <w:sz w:val="16"/>
          <w:szCs w:val="16"/>
          <w:lang w:val="es-CO"/>
        </w:rPr>
        <w:t xml:space="preserve"> ser cumplido por ellas de buena fe</w:t>
      </w:r>
      <w:r w:rsidRPr="00FC499C">
        <w:rPr>
          <w:rFonts w:asciiTheme="majorHAnsi" w:hAnsiTheme="majorHAnsi"/>
          <w:sz w:val="16"/>
          <w:szCs w:val="16"/>
          <w:lang w:val="es-C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704" w:rsidRDefault="00551704" w:rsidP="00C12FE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551704" w:rsidRDefault="005517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704" w:rsidRDefault="00551704" w:rsidP="00A50FCF">
    <w:pPr>
      <w:pStyle w:val="Header"/>
      <w:tabs>
        <w:tab w:val="clear" w:pos="4320"/>
        <w:tab w:val="clear" w:pos="8640"/>
      </w:tabs>
      <w:jc w:val="center"/>
      <w:rPr>
        <w:sz w:val="22"/>
        <w:szCs w:val="22"/>
      </w:rPr>
    </w:pPr>
    <w:r>
      <w:rPr>
        <w:noProof/>
        <w:sz w:val="22"/>
        <w:szCs w:val="22"/>
      </w:rPr>
      <w:drawing>
        <wp:inline distT="0" distB="0" distL="0" distR="0" wp14:anchorId="62EDAE5D" wp14:editId="5347108F">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551704" w:rsidRPr="00EC7D62" w:rsidRDefault="00DE19BB" w:rsidP="00A50FCF">
    <w:pPr>
      <w:pStyle w:val="Header"/>
      <w:tabs>
        <w:tab w:val="clear" w:pos="4320"/>
        <w:tab w:val="clear" w:pos="8640"/>
      </w:tabs>
      <w:jc w:val="center"/>
      <w:rPr>
        <w:sz w:val="22"/>
        <w:szCs w:val="22"/>
      </w:rPr>
    </w:pPr>
    <w:r>
      <w:rPr>
        <w:noProof/>
        <w:sz w:val="22"/>
        <w:szCs w:val="22"/>
      </w:rPr>
      <w:pict>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25A" w:rsidRDefault="00DE7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F0F62FD"/>
    <w:multiLevelType w:val="hybridMultilevel"/>
    <w:tmpl w:val="A726F648"/>
    <w:lvl w:ilvl="0" w:tplc="180A000F">
      <w:start w:val="1"/>
      <w:numFmt w:val="decimal"/>
      <w:lvlText w:val="%1."/>
      <w:lvlJc w:val="left"/>
      <w:pPr>
        <w:ind w:left="360" w:hanging="360"/>
      </w:pPr>
    </w:lvl>
    <w:lvl w:ilvl="1" w:tplc="180A0019">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993AD6"/>
    <w:multiLevelType w:val="multilevel"/>
    <w:tmpl w:val="641CEE2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9EA3EF8"/>
    <w:multiLevelType w:val="hybridMultilevel"/>
    <w:tmpl w:val="A46E89F8"/>
    <w:lvl w:ilvl="0" w:tplc="180A0019">
      <w:start w:val="1"/>
      <w:numFmt w:val="lowerLetter"/>
      <w:lvlText w:val="%1."/>
      <w:lvlJc w:val="left"/>
      <w:pPr>
        <w:ind w:left="360" w:hanging="360"/>
      </w:pPr>
    </w:lvl>
    <w:lvl w:ilvl="1" w:tplc="180A0019">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5300302"/>
    <w:multiLevelType w:val="hybridMultilevel"/>
    <w:tmpl w:val="375C3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7147492"/>
    <w:multiLevelType w:val="hybridMultilevel"/>
    <w:tmpl w:val="A82C47B8"/>
    <w:lvl w:ilvl="0" w:tplc="180A000F">
      <w:start w:val="1"/>
      <w:numFmt w:val="decimal"/>
      <w:lvlText w:val="%1."/>
      <w:lvlJc w:val="left"/>
      <w:pPr>
        <w:ind w:left="720" w:hanging="360"/>
      </w:p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6D068A"/>
    <w:multiLevelType w:val="hybridMultilevel"/>
    <w:tmpl w:val="69C2BDD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3"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6"/>
  </w:num>
  <w:num w:numId="4">
    <w:abstractNumId w:val="23"/>
  </w:num>
  <w:num w:numId="5">
    <w:abstractNumId w:val="48"/>
  </w:num>
  <w:num w:numId="6">
    <w:abstractNumId w:val="28"/>
  </w:num>
  <w:num w:numId="7">
    <w:abstractNumId w:val="6"/>
  </w:num>
  <w:num w:numId="8">
    <w:abstractNumId w:val="19"/>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7"/>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5"/>
  </w:num>
  <w:num w:numId="37">
    <w:abstractNumId w:val="36"/>
  </w:num>
  <w:num w:numId="38">
    <w:abstractNumId w:val="37"/>
  </w:num>
  <w:num w:numId="39">
    <w:abstractNumId w:val="40"/>
  </w:num>
  <w:num w:numId="40">
    <w:abstractNumId w:val="41"/>
  </w:num>
  <w:num w:numId="41">
    <w:abstractNumId w:val="47"/>
  </w:num>
  <w:num w:numId="42">
    <w:abstractNumId w:val="49"/>
  </w:num>
  <w:num w:numId="43">
    <w:abstractNumId w:val="50"/>
  </w:num>
  <w:num w:numId="44">
    <w:abstractNumId w:val="53"/>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22"/>
  </w:num>
  <w:num w:numId="52">
    <w:abstractNumId w:val="42"/>
  </w:num>
  <w:num w:numId="53">
    <w:abstractNumId w:val="51"/>
  </w:num>
  <w:num w:numId="54">
    <w:abstractNumId w:val="46"/>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num>
  <w:num w:numId="57">
    <w:abstractNumId w:val="34"/>
  </w:num>
  <w:num w:numId="58">
    <w:abstractNumId w:val="18"/>
  </w:num>
  <w:num w:numId="59">
    <w:abstractNumId w:val="4"/>
  </w:num>
  <w:num w:numId="60">
    <w:abstractNumId w:val="8"/>
  </w:num>
  <w:num w:numId="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266A"/>
    <w:rsid w:val="000057C1"/>
    <w:rsid w:val="00006E1F"/>
    <w:rsid w:val="000070D7"/>
    <w:rsid w:val="00012670"/>
    <w:rsid w:val="000132CC"/>
    <w:rsid w:val="00016B18"/>
    <w:rsid w:val="0001788C"/>
    <w:rsid w:val="000206DF"/>
    <w:rsid w:val="00023BB3"/>
    <w:rsid w:val="0002494E"/>
    <w:rsid w:val="000277CF"/>
    <w:rsid w:val="00040C3A"/>
    <w:rsid w:val="00063C25"/>
    <w:rsid w:val="000716C5"/>
    <w:rsid w:val="000726C1"/>
    <w:rsid w:val="000732F1"/>
    <w:rsid w:val="00075E23"/>
    <w:rsid w:val="000805C7"/>
    <w:rsid w:val="00081DDC"/>
    <w:rsid w:val="00084E9B"/>
    <w:rsid w:val="000874C4"/>
    <w:rsid w:val="0008782B"/>
    <w:rsid w:val="00092107"/>
    <w:rsid w:val="0009344A"/>
    <w:rsid w:val="000A0657"/>
    <w:rsid w:val="000A392E"/>
    <w:rsid w:val="000A575F"/>
    <w:rsid w:val="000B611F"/>
    <w:rsid w:val="000B7A22"/>
    <w:rsid w:val="000B7FE0"/>
    <w:rsid w:val="000C3ADE"/>
    <w:rsid w:val="000D10DB"/>
    <w:rsid w:val="000D2AB1"/>
    <w:rsid w:val="000D70CD"/>
    <w:rsid w:val="000E3CFD"/>
    <w:rsid w:val="000E5EB5"/>
    <w:rsid w:val="000F35ED"/>
    <w:rsid w:val="00102F77"/>
    <w:rsid w:val="00107131"/>
    <w:rsid w:val="0010736F"/>
    <w:rsid w:val="00113F73"/>
    <w:rsid w:val="00120414"/>
    <w:rsid w:val="0012086E"/>
    <w:rsid w:val="00121CC2"/>
    <w:rsid w:val="001244FD"/>
    <w:rsid w:val="001268F5"/>
    <w:rsid w:val="00131CA2"/>
    <w:rsid w:val="00133EE5"/>
    <w:rsid w:val="001372E5"/>
    <w:rsid w:val="00141AA4"/>
    <w:rsid w:val="00151AF1"/>
    <w:rsid w:val="00152C27"/>
    <w:rsid w:val="00164FE5"/>
    <w:rsid w:val="00167A34"/>
    <w:rsid w:val="00175E25"/>
    <w:rsid w:val="001763DB"/>
    <w:rsid w:val="00182A97"/>
    <w:rsid w:val="00186F72"/>
    <w:rsid w:val="001944C3"/>
    <w:rsid w:val="00194A63"/>
    <w:rsid w:val="00194AFE"/>
    <w:rsid w:val="001A03D1"/>
    <w:rsid w:val="001A3DBC"/>
    <w:rsid w:val="001A406B"/>
    <w:rsid w:val="001A7870"/>
    <w:rsid w:val="001C16A9"/>
    <w:rsid w:val="001C1B41"/>
    <w:rsid w:val="001C31CC"/>
    <w:rsid w:val="001C5161"/>
    <w:rsid w:val="001C51CA"/>
    <w:rsid w:val="001D1A93"/>
    <w:rsid w:val="001D2939"/>
    <w:rsid w:val="001D574F"/>
    <w:rsid w:val="001D591D"/>
    <w:rsid w:val="001D65EF"/>
    <w:rsid w:val="001E433F"/>
    <w:rsid w:val="001E7BF2"/>
    <w:rsid w:val="001F5E80"/>
    <w:rsid w:val="001F7F24"/>
    <w:rsid w:val="002016F3"/>
    <w:rsid w:val="00203B99"/>
    <w:rsid w:val="00206093"/>
    <w:rsid w:val="00216386"/>
    <w:rsid w:val="002176E9"/>
    <w:rsid w:val="00221343"/>
    <w:rsid w:val="002250A3"/>
    <w:rsid w:val="002350D0"/>
    <w:rsid w:val="00235217"/>
    <w:rsid w:val="002408C4"/>
    <w:rsid w:val="00241A07"/>
    <w:rsid w:val="0024555F"/>
    <w:rsid w:val="00246D1F"/>
    <w:rsid w:val="00247403"/>
    <w:rsid w:val="00247542"/>
    <w:rsid w:val="00265515"/>
    <w:rsid w:val="00266172"/>
    <w:rsid w:val="00266B61"/>
    <w:rsid w:val="0026712A"/>
    <w:rsid w:val="002704DB"/>
    <w:rsid w:val="00270844"/>
    <w:rsid w:val="00272EC5"/>
    <w:rsid w:val="00272FC1"/>
    <w:rsid w:val="002A0AAE"/>
    <w:rsid w:val="002A5820"/>
    <w:rsid w:val="002A7039"/>
    <w:rsid w:val="002B2AD9"/>
    <w:rsid w:val="002C7642"/>
    <w:rsid w:val="002D2B26"/>
    <w:rsid w:val="002D40EE"/>
    <w:rsid w:val="002D5714"/>
    <w:rsid w:val="002D726D"/>
    <w:rsid w:val="002D7EA2"/>
    <w:rsid w:val="002E187C"/>
    <w:rsid w:val="002E3933"/>
    <w:rsid w:val="002E3A9A"/>
    <w:rsid w:val="002E7484"/>
    <w:rsid w:val="002F0CCF"/>
    <w:rsid w:val="002F133B"/>
    <w:rsid w:val="00302733"/>
    <w:rsid w:val="00312C3A"/>
    <w:rsid w:val="00314078"/>
    <w:rsid w:val="0031535D"/>
    <w:rsid w:val="0033169F"/>
    <w:rsid w:val="003365C0"/>
    <w:rsid w:val="0034058B"/>
    <w:rsid w:val="0034586C"/>
    <w:rsid w:val="00346C95"/>
    <w:rsid w:val="0034760F"/>
    <w:rsid w:val="00354758"/>
    <w:rsid w:val="00356185"/>
    <w:rsid w:val="00360380"/>
    <w:rsid w:val="00360553"/>
    <w:rsid w:val="00371A5C"/>
    <w:rsid w:val="0037519E"/>
    <w:rsid w:val="00376E72"/>
    <w:rsid w:val="00377F54"/>
    <w:rsid w:val="003808DF"/>
    <w:rsid w:val="00386CF0"/>
    <w:rsid w:val="00390C8B"/>
    <w:rsid w:val="003B0A55"/>
    <w:rsid w:val="003B34BA"/>
    <w:rsid w:val="003B6398"/>
    <w:rsid w:val="003B7457"/>
    <w:rsid w:val="003C676B"/>
    <w:rsid w:val="003C73EE"/>
    <w:rsid w:val="003D0D5C"/>
    <w:rsid w:val="003D3BC2"/>
    <w:rsid w:val="003E01F0"/>
    <w:rsid w:val="003E3067"/>
    <w:rsid w:val="003E354E"/>
    <w:rsid w:val="003E6CA1"/>
    <w:rsid w:val="003F1EA8"/>
    <w:rsid w:val="003F52E7"/>
    <w:rsid w:val="003F7E1F"/>
    <w:rsid w:val="00401FCE"/>
    <w:rsid w:val="00414FB7"/>
    <w:rsid w:val="0041581E"/>
    <w:rsid w:val="00415D40"/>
    <w:rsid w:val="004165C2"/>
    <w:rsid w:val="004208F8"/>
    <w:rsid w:val="00441ECB"/>
    <w:rsid w:val="00441FD3"/>
    <w:rsid w:val="00446B50"/>
    <w:rsid w:val="00450419"/>
    <w:rsid w:val="0045322E"/>
    <w:rsid w:val="0045515E"/>
    <w:rsid w:val="0046101D"/>
    <w:rsid w:val="00464A5D"/>
    <w:rsid w:val="00467B7E"/>
    <w:rsid w:val="004701D9"/>
    <w:rsid w:val="00474276"/>
    <w:rsid w:val="00477592"/>
    <w:rsid w:val="004865E7"/>
    <w:rsid w:val="00486ED9"/>
    <w:rsid w:val="00486F1C"/>
    <w:rsid w:val="00492C0A"/>
    <w:rsid w:val="0049419D"/>
    <w:rsid w:val="004A7EBF"/>
    <w:rsid w:val="004B3D05"/>
    <w:rsid w:val="004B5431"/>
    <w:rsid w:val="004C20D2"/>
    <w:rsid w:val="004C36AA"/>
    <w:rsid w:val="004C4B62"/>
    <w:rsid w:val="004C54C9"/>
    <w:rsid w:val="004D1412"/>
    <w:rsid w:val="004D6025"/>
    <w:rsid w:val="004D7DF3"/>
    <w:rsid w:val="004E2649"/>
    <w:rsid w:val="004E5A52"/>
    <w:rsid w:val="00500208"/>
    <w:rsid w:val="00501399"/>
    <w:rsid w:val="0050633D"/>
    <w:rsid w:val="00506FAB"/>
    <w:rsid w:val="00507BC4"/>
    <w:rsid w:val="00510BE3"/>
    <w:rsid w:val="005128E4"/>
    <w:rsid w:val="005133DB"/>
    <w:rsid w:val="005170D3"/>
    <w:rsid w:val="00521AEB"/>
    <w:rsid w:val="005238FE"/>
    <w:rsid w:val="00525560"/>
    <w:rsid w:val="005360A3"/>
    <w:rsid w:val="00536503"/>
    <w:rsid w:val="00544C49"/>
    <w:rsid w:val="0054631F"/>
    <w:rsid w:val="00550511"/>
    <w:rsid w:val="005516A1"/>
    <w:rsid w:val="00551704"/>
    <w:rsid w:val="00564C80"/>
    <w:rsid w:val="0056544F"/>
    <w:rsid w:val="005700FF"/>
    <w:rsid w:val="005730CB"/>
    <w:rsid w:val="0057402A"/>
    <w:rsid w:val="0057596F"/>
    <w:rsid w:val="005771D0"/>
    <w:rsid w:val="005836D6"/>
    <w:rsid w:val="0058735B"/>
    <w:rsid w:val="00587408"/>
    <w:rsid w:val="0059191A"/>
    <w:rsid w:val="005921FF"/>
    <w:rsid w:val="00596B2F"/>
    <w:rsid w:val="005A443C"/>
    <w:rsid w:val="005A6D0E"/>
    <w:rsid w:val="005A7D4C"/>
    <w:rsid w:val="005B3179"/>
    <w:rsid w:val="005B34EB"/>
    <w:rsid w:val="005B52B0"/>
    <w:rsid w:val="005B6806"/>
    <w:rsid w:val="005C4225"/>
    <w:rsid w:val="005C6EB0"/>
    <w:rsid w:val="005E29DC"/>
    <w:rsid w:val="005E7019"/>
    <w:rsid w:val="005E7E3F"/>
    <w:rsid w:val="005F0C19"/>
    <w:rsid w:val="005F0DAD"/>
    <w:rsid w:val="005F0F33"/>
    <w:rsid w:val="005F2589"/>
    <w:rsid w:val="00600DEB"/>
    <w:rsid w:val="00623542"/>
    <w:rsid w:val="00627C9F"/>
    <w:rsid w:val="006311E9"/>
    <w:rsid w:val="00632354"/>
    <w:rsid w:val="00642810"/>
    <w:rsid w:val="00650AB4"/>
    <w:rsid w:val="00652333"/>
    <w:rsid w:val="00655185"/>
    <w:rsid w:val="00661318"/>
    <w:rsid w:val="00661352"/>
    <w:rsid w:val="00670EF7"/>
    <w:rsid w:val="00676F06"/>
    <w:rsid w:val="0068009E"/>
    <w:rsid w:val="00685AE4"/>
    <w:rsid w:val="00685F09"/>
    <w:rsid w:val="00692179"/>
    <w:rsid w:val="00692219"/>
    <w:rsid w:val="006979FA"/>
    <w:rsid w:val="006A17D2"/>
    <w:rsid w:val="006A52D2"/>
    <w:rsid w:val="006A73E6"/>
    <w:rsid w:val="006B2D5C"/>
    <w:rsid w:val="006B52AC"/>
    <w:rsid w:val="006C4EB1"/>
    <w:rsid w:val="006C52A9"/>
    <w:rsid w:val="006C7AEA"/>
    <w:rsid w:val="006C7CE5"/>
    <w:rsid w:val="006D1B74"/>
    <w:rsid w:val="006D2C6D"/>
    <w:rsid w:val="006D2DFB"/>
    <w:rsid w:val="006D5AA8"/>
    <w:rsid w:val="006D5ABC"/>
    <w:rsid w:val="006D6A27"/>
    <w:rsid w:val="006E0166"/>
    <w:rsid w:val="006E1D8C"/>
    <w:rsid w:val="006E245A"/>
    <w:rsid w:val="006E63A6"/>
    <w:rsid w:val="006E7B34"/>
    <w:rsid w:val="006F6497"/>
    <w:rsid w:val="00703A65"/>
    <w:rsid w:val="0070697F"/>
    <w:rsid w:val="00706BF7"/>
    <w:rsid w:val="00710289"/>
    <w:rsid w:val="00714031"/>
    <w:rsid w:val="00720229"/>
    <w:rsid w:val="0072199C"/>
    <w:rsid w:val="00722C9F"/>
    <w:rsid w:val="007253B8"/>
    <w:rsid w:val="0073741F"/>
    <w:rsid w:val="00741E3E"/>
    <w:rsid w:val="00745840"/>
    <w:rsid w:val="00745A7A"/>
    <w:rsid w:val="00745F57"/>
    <w:rsid w:val="00746762"/>
    <w:rsid w:val="00747278"/>
    <w:rsid w:val="0075161F"/>
    <w:rsid w:val="007537A4"/>
    <w:rsid w:val="0076643F"/>
    <w:rsid w:val="00770DE9"/>
    <w:rsid w:val="00772095"/>
    <w:rsid w:val="00772702"/>
    <w:rsid w:val="0077455C"/>
    <w:rsid w:val="0077566E"/>
    <w:rsid w:val="00777F63"/>
    <w:rsid w:val="00797E2A"/>
    <w:rsid w:val="007A10FE"/>
    <w:rsid w:val="007A5817"/>
    <w:rsid w:val="007A5E0F"/>
    <w:rsid w:val="007B29A3"/>
    <w:rsid w:val="007B60E9"/>
    <w:rsid w:val="007B6CC3"/>
    <w:rsid w:val="007C3334"/>
    <w:rsid w:val="007D0024"/>
    <w:rsid w:val="007D2B98"/>
    <w:rsid w:val="007D6F41"/>
    <w:rsid w:val="007E21BC"/>
    <w:rsid w:val="007F1B2F"/>
    <w:rsid w:val="00803F1C"/>
    <w:rsid w:val="0080600E"/>
    <w:rsid w:val="00817211"/>
    <w:rsid w:val="00817612"/>
    <w:rsid w:val="00817BCA"/>
    <w:rsid w:val="008210E9"/>
    <w:rsid w:val="008338A4"/>
    <w:rsid w:val="00834DE2"/>
    <w:rsid w:val="00837C45"/>
    <w:rsid w:val="00841C7B"/>
    <w:rsid w:val="00844730"/>
    <w:rsid w:val="008457C2"/>
    <w:rsid w:val="00857A82"/>
    <w:rsid w:val="00862F94"/>
    <w:rsid w:val="00865860"/>
    <w:rsid w:val="0086670B"/>
    <w:rsid w:val="00866CF0"/>
    <w:rsid w:val="00873836"/>
    <w:rsid w:val="0088024B"/>
    <w:rsid w:val="00885737"/>
    <w:rsid w:val="00890650"/>
    <w:rsid w:val="0089444D"/>
    <w:rsid w:val="00897E12"/>
    <w:rsid w:val="008A5E49"/>
    <w:rsid w:val="008A7E0F"/>
    <w:rsid w:val="008A7E41"/>
    <w:rsid w:val="008B12F5"/>
    <w:rsid w:val="008B1800"/>
    <w:rsid w:val="008B7F11"/>
    <w:rsid w:val="008C028A"/>
    <w:rsid w:val="008C0D6D"/>
    <w:rsid w:val="008C134D"/>
    <w:rsid w:val="008C2617"/>
    <w:rsid w:val="008C6F9F"/>
    <w:rsid w:val="008D768D"/>
    <w:rsid w:val="008E1668"/>
    <w:rsid w:val="008E3759"/>
    <w:rsid w:val="008F0290"/>
    <w:rsid w:val="008F0AD5"/>
    <w:rsid w:val="008F1912"/>
    <w:rsid w:val="0090270B"/>
    <w:rsid w:val="00902DB5"/>
    <w:rsid w:val="00903165"/>
    <w:rsid w:val="009041DC"/>
    <w:rsid w:val="00912CF6"/>
    <w:rsid w:val="00913FAD"/>
    <w:rsid w:val="00917B5A"/>
    <w:rsid w:val="00920A58"/>
    <w:rsid w:val="00920A8C"/>
    <w:rsid w:val="00921AED"/>
    <w:rsid w:val="009238AD"/>
    <w:rsid w:val="00925F71"/>
    <w:rsid w:val="00927E2D"/>
    <w:rsid w:val="00931874"/>
    <w:rsid w:val="00934A2C"/>
    <w:rsid w:val="009438B1"/>
    <w:rsid w:val="00960223"/>
    <w:rsid w:val="009617D8"/>
    <w:rsid w:val="0096706E"/>
    <w:rsid w:val="00972E06"/>
    <w:rsid w:val="00974411"/>
    <w:rsid w:val="00975C4E"/>
    <w:rsid w:val="00981FBA"/>
    <w:rsid w:val="00992FAE"/>
    <w:rsid w:val="009961E6"/>
    <w:rsid w:val="00997BC5"/>
    <w:rsid w:val="009A4F41"/>
    <w:rsid w:val="009B381B"/>
    <w:rsid w:val="009B4AA4"/>
    <w:rsid w:val="009B503F"/>
    <w:rsid w:val="009B5ED6"/>
    <w:rsid w:val="009C072A"/>
    <w:rsid w:val="009D0B62"/>
    <w:rsid w:val="009D1753"/>
    <w:rsid w:val="009D281D"/>
    <w:rsid w:val="009D7611"/>
    <w:rsid w:val="009E0B61"/>
    <w:rsid w:val="009E53DE"/>
    <w:rsid w:val="009E5E65"/>
    <w:rsid w:val="009E7135"/>
    <w:rsid w:val="009F11E7"/>
    <w:rsid w:val="00A0039C"/>
    <w:rsid w:val="00A04103"/>
    <w:rsid w:val="00A041E1"/>
    <w:rsid w:val="00A073AF"/>
    <w:rsid w:val="00A07D89"/>
    <w:rsid w:val="00A136F0"/>
    <w:rsid w:val="00A31959"/>
    <w:rsid w:val="00A328B3"/>
    <w:rsid w:val="00A33C93"/>
    <w:rsid w:val="00A435EB"/>
    <w:rsid w:val="00A50FCF"/>
    <w:rsid w:val="00A528D1"/>
    <w:rsid w:val="00A57783"/>
    <w:rsid w:val="00A610CD"/>
    <w:rsid w:val="00A6438C"/>
    <w:rsid w:val="00A76B02"/>
    <w:rsid w:val="00A85568"/>
    <w:rsid w:val="00A878D0"/>
    <w:rsid w:val="00AA09A2"/>
    <w:rsid w:val="00AA531F"/>
    <w:rsid w:val="00AA7996"/>
    <w:rsid w:val="00AB6C83"/>
    <w:rsid w:val="00AB7545"/>
    <w:rsid w:val="00AC19CB"/>
    <w:rsid w:val="00AC1FFA"/>
    <w:rsid w:val="00AD2AA3"/>
    <w:rsid w:val="00AD37EC"/>
    <w:rsid w:val="00AE2DCF"/>
    <w:rsid w:val="00AE3862"/>
    <w:rsid w:val="00AE45AE"/>
    <w:rsid w:val="00AE5488"/>
    <w:rsid w:val="00AE6F91"/>
    <w:rsid w:val="00AF5571"/>
    <w:rsid w:val="00B07341"/>
    <w:rsid w:val="00B13C61"/>
    <w:rsid w:val="00B15F89"/>
    <w:rsid w:val="00B21162"/>
    <w:rsid w:val="00B30539"/>
    <w:rsid w:val="00B314DB"/>
    <w:rsid w:val="00B361F2"/>
    <w:rsid w:val="00B366F3"/>
    <w:rsid w:val="00B3718B"/>
    <w:rsid w:val="00B40DD8"/>
    <w:rsid w:val="00B4632A"/>
    <w:rsid w:val="00B470C4"/>
    <w:rsid w:val="00B47BCF"/>
    <w:rsid w:val="00B50811"/>
    <w:rsid w:val="00B530F1"/>
    <w:rsid w:val="00B564B9"/>
    <w:rsid w:val="00B662A3"/>
    <w:rsid w:val="00B7288C"/>
    <w:rsid w:val="00B72890"/>
    <w:rsid w:val="00B75934"/>
    <w:rsid w:val="00BA276C"/>
    <w:rsid w:val="00BA3155"/>
    <w:rsid w:val="00BA77C7"/>
    <w:rsid w:val="00BB306F"/>
    <w:rsid w:val="00BB36EA"/>
    <w:rsid w:val="00BC20C7"/>
    <w:rsid w:val="00BC2BC5"/>
    <w:rsid w:val="00BD0294"/>
    <w:rsid w:val="00BD30B4"/>
    <w:rsid w:val="00BD4B89"/>
    <w:rsid w:val="00BE0C55"/>
    <w:rsid w:val="00BE2AEC"/>
    <w:rsid w:val="00BF6FD8"/>
    <w:rsid w:val="00C03680"/>
    <w:rsid w:val="00C054DF"/>
    <w:rsid w:val="00C12FE8"/>
    <w:rsid w:val="00C148AC"/>
    <w:rsid w:val="00C16334"/>
    <w:rsid w:val="00C170CF"/>
    <w:rsid w:val="00C21762"/>
    <w:rsid w:val="00C24543"/>
    <w:rsid w:val="00C256A2"/>
    <w:rsid w:val="00C51515"/>
    <w:rsid w:val="00C5660B"/>
    <w:rsid w:val="00C575FB"/>
    <w:rsid w:val="00C6525A"/>
    <w:rsid w:val="00C66B72"/>
    <w:rsid w:val="00C81434"/>
    <w:rsid w:val="00C902AB"/>
    <w:rsid w:val="00C910B4"/>
    <w:rsid w:val="00C9567A"/>
    <w:rsid w:val="00C959A2"/>
    <w:rsid w:val="00C96D4F"/>
    <w:rsid w:val="00CB13B8"/>
    <w:rsid w:val="00CB212D"/>
    <w:rsid w:val="00CB2660"/>
    <w:rsid w:val="00CB2EE7"/>
    <w:rsid w:val="00CB5981"/>
    <w:rsid w:val="00CB7B52"/>
    <w:rsid w:val="00CC2761"/>
    <w:rsid w:val="00CC5E90"/>
    <w:rsid w:val="00CD046C"/>
    <w:rsid w:val="00CE076C"/>
    <w:rsid w:val="00CE5199"/>
    <w:rsid w:val="00CE66D5"/>
    <w:rsid w:val="00CF4C56"/>
    <w:rsid w:val="00CF637A"/>
    <w:rsid w:val="00D04AF9"/>
    <w:rsid w:val="00D04B96"/>
    <w:rsid w:val="00D059DE"/>
    <w:rsid w:val="00D11098"/>
    <w:rsid w:val="00D11CB9"/>
    <w:rsid w:val="00D13FCE"/>
    <w:rsid w:val="00D306D1"/>
    <w:rsid w:val="00D31E39"/>
    <w:rsid w:val="00D33A0D"/>
    <w:rsid w:val="00D34786"/>
    <w:rsid w:val="00D35EA7"/>
    <w:rsid w:val="00D37BFC"/>
    <w:rsid w:val="00D47A8E"/>
    <w:rsid w:val="00D523C4"/>
    <w:rsid w:val="00D52D14"/>
    <w:rsid w:val="00D54FDC"/>
    <w:rsid w:val="00D607E7"/>
    <w:rsid w:val="00D60C23"/>
    <w:rsid w:val="00D62E81"/>
    <w:rsid w:val="00D65236"/>
    <w:rsid w:val="00D712D3"/>
    <w:rsid w:val="00D71422"/>
    <w:rsid w:val="00D72896"/>
    <w:rsid w:val="00D72DC6"/>
    <w:rsid w:val="00D7558D"/>
    <w:rsid w:val="00D762DD"/>
    <w:rsid w:val="00D8059A"/>
    <w:rsid w:val="00D81D92"/>
    <w:rsid w:val="00D82F79"/>
    <w:rsid w:val="00D83A60"/>
    <w:rsid w:val="00D84395"/>
    <w:rsid w:val="00D9107A"/>
    <w:rsid w:val="00D927F7"/>
    <w:rsid w:val="00D95D84"/>
    <w:rsid w:val="00DA13AD"/>
    <w:rsid w:val="00DA47DF"/>
    <w:rsid w:val="00DA7B5F"/>
    <w:rsid w:val="00DB0BFE"/>
    <w:rsid w:val="00DB3077"/>
    <w:rsid w:val="00DB4BE4"/>
    <w:rsid w:val="00DB5B3B"/>
    <w:rsid w:val="00DB5EA0"/>
    <w:rsid w:val="00DC11E7"/>
    <w:rsid w:val="00DC3617"/>
    <w:rsid w:val="00DC7023"/>
    <w:rsid w:val="00DC7029"/>
    <w:rsid w:val="00DC769A"/>
    <w:rsid w:val="00DD3D86"/>
    <w:rsid w:val="00DE19BB"/>
    <w:rsid w:val="00DE725A"/>
    <w:rsid w:val="00DF0B51"/>
    <w:rsid w:val="00DF1EC4"/>
    <w:rsid w:val="00DF7C92"/>
    <w:rsid w:val="00E0340B"/>
    <w:rsid w:val="00E03F12"/>
    <w:rsid w:val="00E04A90"/>
    <w:rsid w:val="00E10325"/>
    <w:rsid w:val="00E13DB6"/>
    <w:rsid w:val="00E16263"/>
    <w:rsid w:val="00E166C4"/>
    <w:rsid w:val="00E17768"/>
    <w:rsid w:val="00E208C3"/>
    <w:rsid w:val="00E219C7"/>
    <w:rsid w:val="00E225AA"/>
    <w:rsid w:val="00E24ABE"/>
    <w:rsid w:val="00E26716"/>
    <w:rsid w:val="00E32C0A"/>
    <w:rsid w:val="00E35C60"/>
    <w:rsid w:val="00E37B81"/>
    <w:rsid w:val="00E43157"/>
    <w:rsid w:val="00E4322D"/>
    <w:rsid w:val="00E442EA"/>
    <w:rsid w:val="00E45CB4"/>
    <w:rsid w:val="00E461CE"/>
    <w:rsid w:val="00E720CA"/>
    <w:rsid w:val="00E761D9"/>
    <w:rsid w:val="00E805D8"/>
    <w:rsid w:val="00E84EB5"/>
    <w:rsid w:val="00E85662"/>
    <w:rsid w:val="00E8789F"/>
    <w:rsid w:val="00E97B71"/>
    <w:rsid w:val="00EA3D34"/>
    <w:rsid w:val="00EB346F"/>
    <w:rsid w:val="00EB454D"/>
    <w:rsid w:val="00EB6A85"/>
    <w:rsid w:val="00EC3878"/>
    <w:rsid w:val="00EC585C"/>
    <w:rsid w:val="00EC70F3"/>
    <w:rsid w:val="00ED39ED"/>
    <w:rsid w:val="00ED3A13"/>
    <w:rsid w:val="00ED3AE6"/>
    <w:rsid w:val="00ED3E9B"/>
    <w:rsid w:val="00ED76BE"/>
    <w:rsid w:val="00ED79F9"/>
    <w:rsid w:val="00ED7AF5"/>
    <w:rsid w:val="00EE0067"/>
    <w:rsid w:val="00EE1D28"/>
    <w:rsid w:val="00EF619B"/>
    <w:rsid w:val="00F00B55"/>
    <w:rsid w:val="00F02528"/>
    <w:rsid w:val="00F02AD1"/>
    <w:rsid w:val="00F05F12"/>
    <w:rsid w:val="00F11A54"/>
    <w:rsid w:val="00F13FBC"/>
    <w:rsid w:val="00F253CC"/>
    <w:rsid w:val="00F370DA"/>
    <w:rsid w:val="00F37106"/>
    <w:rsid w:val="00F455CF"/>
    <w:rsid w:val="00F5022B"/>
    <w:rsid w:val="00F519CF"/>
    <w:rsid w:val="00F54D12"/>
    <w:rsid w:val="00F56BA5"/>
    <w:rsid w:val="00F60748"/>
    <w:rsid w:val="00F60E22"/>
    <w:rsid w:val="00F64B88"/>
    <w:rsid w:val="00F65108"/>
    <w:rsid w:val="00F656A1"/>
    <w:rsid w:val="00F81395"/>
    <w:rsid w:val="00F85DD9"/>
    <w:rsid w:val="00F909EC"/>
    <w:rsid w:val="00F90B46"/>
    <w:rsid w:val="00F917D1"/>
    <w:rsid w:val="00F939AA"/>
    <w:rsid w:val="00F94D13"/>
    <w:rsid w:val="00F9653B"/>
    <w:rsid w:val="00FA6909"/>
    <w:rsid w:val="00FB62CF"/>
    <w:rsid w:val="00FC1165"/>
    <w:rsid w:val="00FC22EF"/>
    <w:rsid w:val="00FC499C"/>
    <w:rsid w:val="00FD2D8A"/>
    <w:rsid w:val="00FD30F6"/>
    <w:rsid w:val="00FD3C3B"/>
    <w:rsid w:val="00FD7B19"/>
    <w:rsid w:val="00FE35AD"/>
    <w:rsid w:val="00FE6B45"/>
    <w:rsid w:val="00FF4336"/>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uiPriority w:val="99"/>
    <w:semiHidden/>
    <w:unhideWhenUsed/>
    <w:rsid w:val="00BE0C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character" w:customStyle="1" w:styleId="ListParagraphChar">
    <w:name w:val="List Paragraph Char"/>
    <w:link w:val="ListParagraph"/>
    <w:uiPriority w:val="34"/>
    <w:rsid w:val="004E5A52"/>
    <w:rPr>
      <w:rFonts w:ascii="Cambria" w:eastAsia="Cambria" w:hAnsi="Cambria" w:cs="Cambria"/>
      <w:color w:val="000000"/>
      <w:sz w:val="24"/>
      <w:szCs w:val="24"/>
      <w:u w:color="000000"/>
      <w:lang w:val="en-US"/>
    </w:rPr>
  </w:style>
  <w:style w:type="character" w:customStyle="1" w:styleId="ilfuvd">
    <w:name w:val="ilfuvd"/>
    <w:basedOn w:val="DefaultParagraphFont"/>
    <w:rsid w:val="00A07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5139">
      <w:bodyDiv w:val="1"/>
      <w:marLeft w:val="0"/>
      <w:marRight w:val="0"/>
      <w:marTop w:val="0"/>
      <w:marBottom w:val="0"/>
      <w:divBdr>
        <w:top w:val="none" w:sz="0" w:space="0" w:color="auto"/>
        <w:left w:val="none" w:sz="0" w:space="0" w:color="auto"/>
        <w:bottom w:val="none" w:sz="0" w:space="0" w:color="auto"/>
        <w:right w:val="none" w:sz="0" w:space="0" w:color="auto"/>
      </w:divBdr>
    </w:div>
    <w:div w:id="199169116">
      <w:bodyDiv w:val="1"/>
      <w:marLeft w:val="0"/>
      <w:marRight w:val="0"/>
      <w:marTop w:val="0"/>
      <w:marBottom w:val="0"/>
      <w:divBdr>
        <w:top w:val="none" w:sz="0" w:space="0" w:color="auto"/>
        <w:left w:val="none" w:sz="0" w:space="0" w:color="auto"/>
        <w:bottom w:val="none" w:sz="0" w:space="0" w:color="auto"/>
        <w:right w:val="none" w:sz="0" w:space="0" w:color="auto"/>
      </w:divBdr>
    </w:div>
    <w:div w:id="333992891">
      <w:bodyDiv w:val="1"/>
      <w:marLeft w:val="0"/>
      <w:marRight w:val="0"/>
      <w:marTop w:val="0"/>
      <w:marBottom w:val="0"/>
      <w:divBdr>
        <w:top w:val="none" w:sz="0" w:space="0" w:color="auto"/>
        <w:left w:val="none" w:sz="0" w:space="0" w:color="auto"/>
        <w:bottom w:val="none" w:sz="0" w:space="0" w:color="auto"/>
        <w:right w:val="none" w:sz="0" w:space="0" w:color="auto"/>
      </w:divBdr>
    </w:div>
    <w:div w:id="769668888">
      <w:bodyDiv w:val="1"/>
      <w:marLeft w:val="0"/>
      <w:marRight w:val="0"/>
      <w:marTop w:val="0"/>
      <w:marBottom w:val="0"/>
      <w:divBdr>
        <w:top w:val="none" w:sz="0" w:space="0" w:color="auto"/>
        <w:left w:val="none" w:sz="0" w:space="0" w:color="auto"/>
        <w:bottom w:val="none" w:sz="0" w:space="0" w:color="auto"/>
        <w:right w:val="none" w:sz="0" w:space="0" w:color="auto"/>
      </w:divBdr>
    </w:div>
    <w:div w:id="1343044658">
      <w:bodyDiv w:val="1"/>
      <w:marLeft w:val="0"/>
      <w:marRight w:val="0"/>
      <w:marTop w:val="0"/>
      <w:marBottom w:val="0"/>
      <w:divBdr>
        <w:top w:val="none" w:sz="0" w:space="0" w:color="auto"/>
        <w:left w:val="none" w:sz="0" w:space="0" w:color="auto"/>
        <w:bottom w:val="none" w:sz="0" w:space="0" w:color="auto"/>
        <w:right w:val="none" w:sz="0" w:space="0" w:color="auto"/>
      </w:divBdr>
    </w:div>
    <w:div w:id="1464302833">
      <w:bodyDiv w:val="1"/>
      <w:marLeft w:val="0"/>
      <w:marRight w:val="0"/>
      <w:marTop w:val="0"/>
      <w:marBottom w:val="0"/>
      <w:divBdr>
        <w:top w:val="none" w:sz="0" w:space="0" w:color="auto"/>
        <w:left w:val="none" w:sz="0" w:space="0" w:color="auto"/>
        <w:bottom w:val="none" w:sz="0" w:space="0" w:color="auto"/>
        <w:right w:val="none" w:sz="0" w:space="0" w:color="auto"/>
      </w:divBdr>
    </w:div>
    <w:div w:id="1506019951">
      <w:bodyDiv w:val="1"/>
      <w:marLeft w:val="0"/>
      <w:marRight w:val="0"/>
      <w:marTop w:val="0"/>
      <w:marBottom w:val="0"/>
      <w:divBdr>
        <w:top w:val="none" w:sz="0" w:space="0" w:color="auto"/>
        <w:left w:val="none" w:sz="0" w:space="0" w:color="auto"/>
        <w:bottom w:val="none" w:sz="0" w:space="0" w:color="auto"/>
        <w:right w:val="none" w:sz="0" w:space="0" w:color="auto"/>
      </w:divBdr>
    </w:div>
    <w:div w:id="1672752534">
      <w:bodyDiv w:val="1"/>
      <w:marLeft w:val="0"/>
      <w:marRight w:val="0"/>
      <w:marTop w:val="0"/>
      <w:marBottom w:val="0"/>
      <w:divBdr>
        <w:top w:val="none" w:sz="0" w:space="0" w:color="auto"/>
        <w:left w:val="none" w:sz="0" w:space="0" w:color="auto"/>
        <w:bottom w:val="none" w:sz="0" w:space="0" w:color="auto"/>
        <w:right w:val="none" w:sz="0" w:space="0" w:color="auto"/>
      </w:divBdr>
    </w:div>
    <w:div w:id="1691687441">
      <w:bodyDiv w:val="1"/>
      <w:marLeft w:val="0"/>
      <w:marRight w:val="0"/>
      <w:marTop w:val="0"/>
      <w:marBottom w:val="0"/>
      <w:divBdr>
        <w:top w:val="none" w:sz="0" w:space="0" w:color="auto"/>
        <w:left w:val="none" w:sz="0" w:space="0" w:color="auto"/>
        <w:bottom w:val="none" w:sz="0" w:space="0" w:color="auto"/>
        <w:right w:val="none" w:sz="0" w:space="0" w:color="auto"/>
      </w:divBdr>
    </w:div>
    <w:div w:id="174243769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849256">
      <w:bodyDiv w:val="1"/>
      <w:marLeft w:val="0"/>
      <w:marRight w:val="0"/>
      <w:marTop w:val="0"/>
      <w:marBottom w:val="0"/>
      <w:divBdr>
        <w:top w:val="none" w:sz="0" w:space="0" w:color="auto"/>
        <w:left w:val="none" w:sz="0" w:space="0" w:color="auto"/>
        <w:bottom w:val="none" w:sz="0" w:space="0" w:color="auto"/>
        <w:right w:val="none" w:sz="0" w:space="0" w:color="auto"/>
      </w:divBdr>
    </w:div>
    <w:div w:id="1885602964">
      <w:bodyDiv w:val="1"/>
      <w:marLeft w:val="0"/>
      <w:marRight w:val="0"/>
      <w:marTop w:val="0"/>
      <w:marBottom w:val="0"/>
      <w:divBdr>
        <w:top w:val="none" w:sz="0" w:space="0" w:color="auto"/>
        <w:left w:val="none" w:sz="0" w:space="0" w:color="auto"/>
        <w:bottom w:val="none" w:sz="0" w:space="0" w:color="auto"/>
        <w:right w:val="none" w:sz="0" w:space="0" w:color="auto"/>
      </w:divBdr>
    </w:div>
    <w:div w:id="2037078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116F6-FA6E-4816-BE85-A1A0EEE7F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5374</Words>
  <Characters>30632</Characters>
  <Application>Microsoft Office Word</Application>
  <DocSecurity>0</DocSecurity>
  <Lines>255</Lines>
  <Paragraphs>71</Paragraphs>
  <ScaleCrop>false</ScaleCrop>
  <LinksUpToDate>false</LinksUpToDate>
  <CharactersWithSpaces>35935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91/19</dc:title>
  <dc:creator/>
  <cp:lastModifiedBy/>
  <cp:revision>1</cp:revision>
  <dcterms:created xsi:type="dcterms:W3CDTF">2019-06-28T13:19:00Z</dcterms:created>
  <dcterms:modified xsi:type="dcterms:W3CDTF">2019-06-28T13:19:00Z</dcterms:modified>
</cp:coreProperties>
</file>