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830FF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43172" w:rsidRDefault="0024317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43172" w:rsidRDefault="0024317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C8D311" w:rsidR="00243172" w:rsidRPr="004E2649" w:rsidRDefault="0024317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75F81">
                              <w:rPr>
                                <w:rFonts w:asciiTheme="majorHAnsi" w:hAnsiTheme="majorHAnsi" w:cs="Arial"/>
                                <w:b/>
                                <w:bCs/>
                                <w:color w:val="0D0D0D" w:themeColor="text1" w:themeTint="F2"/>
                                <w:sz w:val="36"/>
                                <w:szCs w:val="22"/>
                                <w:lang w:val="es-ES_tradnl"/>
                              </w:rPr>
                              <w:t>222</w:t>
                            </w:r>
                            <w:r>
                              <w:rPr>
                                <w:rFonts w:asciiTheme="majorHAnsi" w:hAnsiTheme="majorHAnsi" w:cs="Arial"/>
                                <w:b/>
                                <w:bCs/>
                                <w:color w:val="0D0D0D" w:themeColor="text1" w:themeTint="F2"/>
                                <w:sz w:val="36"/>
                                <w:szCs w:val="22"/>
                                <w:lang w:val="es-ES_tradnl"/>
                              </w:rPr>
                              <w:t>/19</w:t>
                            </w:r>
                          </w:p>
                          <w:p w14:paraId="09C54AB3" w14:textId="02636AE8" w:rsidR="00243172" w:rsidRDefault="0024317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4EA8">
                              <w:rPr>
                                <w:rFonts w:asciiTheme="majorHAnsi" w:hAnsiTheme="majorHAnsi" w:cs="Arial"/>
                                <w:b/>
                                <w:color w:val="0D0D0D" w:themeColor="text1" w:themeTint="F2"/>
                                <w:sz w:val="36"/>
                                <w:szCs w:val="22"/>
                                <w:lang w:val="es-ES_tradnl"/>
                              </w:rPr>
                              <w:t>1498-10</w:t>
                            </w:r>
                            <w:r w:rsidRPr="004E2649">
                              <w:rPr>
                                <w:rFonts w:asciiTheme="majorHAnsi" w:hAnsiTheme="majorHAnsi" w:cs="Arial"/>
                                <w:b/>
                                <w:color w:val="0D0D0D" w:themeColor="text1" w:themeTint="F2"/>
                                <w:sz w:val="36"/>
                                <w:szCs w:val="22"/>
                                <w:lang w:val="es-ES_tradnl"/>
                              </w:rPr>
                              <w:t xml:space="preserve"> </w:t>
                            </w:r>
                          </w:p>
                          <w:p w14:paraId="70CF6833" w14:textId="0F1E6512" w:rsidR="00243172" w:rsidRDefault="0024317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1E2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C893F21" w14:textId="77777777" w:rsidR="00243172" w:rsidRPr="0010736F" w:rsidRDefault="00243172" w:rsidP="00997BC5">
                            <w:pPr>
                              <w:spacing w:line="276" w:lineRule="auto"/>
                              <w:rPr>
                                <w:rFonts w:asciiTheme="majorHAnsi" w:hAnsiTheme="majorHAnsi" w:cs="Arial"/>
                                <w:color w:val="0D0D0D" w:themeColor="text1" w:themeTint="F2"/>
                                <w:szCs w:val="22"/>
                                <w:lang w:val="es-ES_tradnl"/>
                              </w:rPr>
                            </w:pPr>
                          </w:p>
                          <w:p w14:paraId="5FDD6F0D" w14:textId="7E28D84F" w:rsidR="00243172" w:rsidRPr="00AF2B5C" w:rsidRDefault="00243172" w:rsidP="00997BC5">
                            <w:pPr>
                              <w:spacing w:line="276" w:lineRule="auto"/>
                              <w:rPr>
                                <w:rFonts w:asciiTheme="majorHAnsi" w:hAnsiTheme="majorHAnsi" w:cs="Arial"/>
                                <w:color w:val="0D0D0D" w:themeColor="text1" w:themeTint="F2"/>
                                <w:szCs w:val="22"/>
                                <w:lang w:val="es-PA"/>
                              </w:rPr>
                            </w:pPr>
                            <w:bookmarkStart w:id="1" w:name="_ftnref1"/>
                            <w:r>
                              <w:rPr>
                                <w:rFonts w:asciiTheme="majorHAnsi" w:hAnsiTheme="majorHAnsi" w:cs="Arial"/>
                                <w:color w:val="0D0D0D" w:themeColor="text1" w:themeTint="F2"/>
                                <w:szCs w:val="22"/>
                                <w:lang w:val="es-ES_tradnl"/>
                              </w:rPr>
                              <w:t>MAR</w:t>
                            </w:r>
                            <w:r>
                              <w:rPr>
                                <w:rFonts w:asciiTheme="majorHAnsi" w:hAnsiTheme="majorHAnsi" w:cs="Arial"/>
                                <w:color w:val="0D0D0D" w:themeColor="text1" w:themeTint="F2"/>
                                <w:szCs w:val="22"/>
                                <w:lang w:val="es-PA"/>
                              </w:rPr>
                              <w:t xml:space="preserve">ÍA MEYBER </w:t>
                            </w:r>
                            <w:r w:rsidRPr="00AF2B5C">
                              <w:rPr>
                                <w:rFonts w:asciiTheme="majorHAnsi" w:hAnsiTheme="majorHAnsi" w:cs="Arial"/>
                                <w:lang w:val="es-PA" w:eastAsia="es-ES"/>
                              </w:rPr>
                              <w:t>BICHAKDJIAN ALTOUNIAN</w:t>
                            </w:r>
                            <w:r>
                              <w:rPr>
                                <w:rFonts w:asciiTheme="majorHAnsi" w:hAnsiTheme="majorHAnsi" w:cs="Arial"/>
                                <w:lang w:val="es-PA" w:eastAsia="es-ES"/>
                              </w:rPr>
                              <w:t xml:space="preserve"> Y OTROS</w:t>
                            </w:r>
                          </w:p>
                          <w:bookmarkEnd w:id="1"/>
                          <w:p w14:paraId="35068D0D" w14:textId="74C9E943" w:rsidR="00243172" w:rsidRPr="0010736F" w:rsidRDefault="002431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243172" w:rsidRPr="00AE5488" w:rsidRDefault="0024317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7C8D311" w:rsidR="00243172" w:rsidRPr="004E2649" w:rsidRDefault="0024317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75F81">
                        <w:rPr>
                          <w:rFonts w:asciiTheme="majorHAnsi" w:hAnsiTheme="majorHAnsi" w:cs="Arial"/>
                          <w:b/>
                          <w:bCs/>
                          <w:color w:val="0D0D0D" w:themeColor="text1" w:themeTint="F2"/>
                          <w:sz w:val="36"/>
                          <w:szCs w:val="22"/>
                          <w:lang w:val="es-ES_tradnl"/>
                        </w:rPr>
                        <w:t>222</w:t>
                      </w:r>
                      <w:r>
                        <w:rPr>
                          <w:rFonts w:asciiTheme="majorHAnsi" w:hAnsiTheme="majorHAnsi" w:cs="Arial"/>
                          <w:b/>
                          <w:bCs/>
                          <w:color w:val="0D0D0D" w:themeColor="text1" w:themeTint="F2"/>
                          <w:sz w:val="36"/>
                          <w:szCs w:val="22"/>
                          <w:lang w:val="es-ES_tradnl"/>
                        </w:rPr>
                        <w:t>/19</w:t>
                      </w:r>
                    </w:p>
                    <w:p w14:paraId="09C54AB3" w14:textId="02636AE8" w:rsidR="00243172" w:rsidRDefault="0024317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4EA8">
                        <w:rPr>
                          <w:rFonts w:asciiTheme="majorHAnsi" w:hAnsiTheme="majorHAnsi" w:cs="Arial"/>
                          <w:b/>
                          <w:color w:val="0D0D0D" w:themeColor="text1" w:themeTint="F2"/>
                          <w:sz w:val="36"/>
                          <w:szCs w:val="22"/>
                          <w:lang w:val="es-ES_tradnl"/>
                        </w:rPr>
                        <w:t>1498-10</w:t>
                      </w:r>
                      <w:r w:rsidRPr="004E2649">
                        <w:rPr>
                          <w:rFonts w:asciiTheme="majorHAnsi" w:hAnsiTheme="majorHAnsi" w:cs="Arial"/>
                          <w:b/>
                          <w:color w:val="0D0D0D" w:themeColor="text1" w:themeTint="F2"/>
                          <w:sz w:val="36"/>
                          <w:szCs w:val="22"/>
                          <w:lang w:val="es-ES_tradnl"/>
                        </w:rPr>
                        <w:t xml:space="preserve"> </w:t>
                      </w:r>
                    </w:p>
                    <w:p w14:paraId="70CF6833" w14:textId="0F1E6512" w:rsidR="00243172" w:rsidRDefault="0024317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1E2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C893F21" w14:textId="77777777" w:rsidR="00243172" w:rsidRPr="0010736F" w:rsidRDefault="00243172" w:rsidP="00997BC5">
                      <w:pPr>
                        <w:spacing w:line="276" w:lineRule="auto"/>
                        <w:rPr>
                          <w:rFonts w:asciiTheme="majorHAnsi" w:hAnsiTheme="majorHAnsi" w:cs="Arial"/>
                          <w:color w:val="0D0D0D" w:themeColor="text1" w:themeTint="F2"/>
                          <w:szCs w:val="22"/>
                          <w:lang w:val="es-ES_tradnl"/>
                        </w:rPr>
                      </w:pPr>
                    </w:p>
                    <w:p w14:paraId="5FDD6F0D" w14:textId="7E28D84F" w:rsidR="00243172" w:rsidRPr="00AF2B5C" w:rsidRDefault="00243172" w:rsidP="00997BC5">
                      <w:pPr>
                        <w:spacing w:line="276" w:lineRule="auto"/>
                        <w:rPr>
                          <w:rFonts w:asciiTheme="majorHAnsi" w:hAnsiTheme="majorHAnsi" w:cs="Arial"/>
                          <w:color w:val="0D0D0D" w:themeColor="text1" w:themeTint="F2"/>
                          <w:szCs w:val="22"/>
                          <w:lang w:val="es-PA"/>
                        </w:rPr>
                      </w:pPr>
                      <w:bookmarkStart w:id="1" w:name="_ftnref1"/>
                      <w:r>
                        <w:rPr>
                          <w:rFonts w:asciiTheme="majorHAnsi" w:hAnsiTheme="majorHAnsi" w:cs="Arial"/>
                          <w:color w:val="0D0D0D" w:themeColor="text1" w:themeTint="F2"/>
                          <w:szCs w:val="22"/>
                          <w:lang w:val="es-ES_tradnl"/>
                        </w:rPr>
                        <w:t>MAR</w:t>
                      </w:r>
                      <w:r>
                        <w:rPr>
                          <w:rFonts w:asciiTheme="majorHAnsi" w:hAnsiTheme="majorHAnsi" w:cs="Arial"/>
                          <w:color w:val="0D0D0D" w:themeColor="text1" w:themeTint="F2"/>
                          <w:szCs w:val="22"/>
                          <w:lang w:val="es-PA"/>
                        </w:rPr>
                        <w:t xml:space="preserve">ÍA MEYBER </w:t>
                      </w:r>
                      <w:r w:rsidRPr="00AF2B5C">
                        <w:rPr>
                          <w:rFonts w:asciiTheme="majorHAnsi" w:hAnsiTheme="majorHAnsi" w:cs="Arial"/>
                          <w:lang w:val="es-PA" w:eastAsia="es-ES"/>
                        </w:rPr>
                        <w:t>BICHAKDJIAN ALTOUNIAN</w:t>
                      </w:r>
                      <w:r>
                        <w:rPr>
                          <w:rFonts w:asciiTheme="majorHAnsi" w:hAnsiTheme="majorHAnsi" w:cs="Arial"/>
                          <w:lang w:val="es-PA" w:eastAsia="es-ES"/>
                        </w:rPr>
                        <w:t xml:space="preserve"> Y OTROS</w:t>
                      </w:r>
                    </w:p>
                    <w:bookmarkEnd w:id="1"/>
                    <w:p w14:paraId="35068D0D" w14:textId="74C9E943" w:rsidR="00243172" w:rsidRPr="0010736F" w:rsidRDefault="002431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243172" w:rsidRPr="00AE5488" w:rsidRDefault="0024317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28388EB" w:rsidR="00243172" w:rsidRPr="00A75F81" w:rsidRDefault="00243172"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OEA/</w:t>
                            </w:r>
                            <w:proofErr w:type="spellStart"/>
                            <w:r w:rsidRPr="00A75F81">
                              <w:rPr>
                                <w:rFonts w:asciiTheme="minorHAnsi" w:hAnsiTheme="minorHAnsi"/>
                                <w:color w:val="FFFFFF" w:themeColor="background1"/>
                                <w:sz w:val="22"/>
                                <w:lang w:val="es-419"/>
                              </w:rPr>
                              <w:t>Ser.L</w:t>
                            </w:r>
                            <w:proofErr w:type="spellEnd"/>
                            <w:r w:rsidRPr="00A75F81">
                              <w:rPr>
                                <w:rFonts w:asciiTheme="minorHAnsi" w:hAnsiTheme="minorHAnsi"/>
                                <w:color w:val="FFFFFF" w:themeColor="background1"/>
                                <w:sz w:val="22"/>
                                <w:lang w:val="es-419"/>
                              </w:rPr>
                              <w:t>/V/II.</w:t>
                            </w:r>
                          </w:p>
                          <w:p w14:paraId="6A41611B" w14:textId="51645A08" w:rsidR="00243172" w:rsidRPr="00A75F81" w:rsidRDefault="00A75F81"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Doc. 2</w:t>
                            </w:r>
                            <w:r>
                              <w:rPr>
                                <w:rFonts w:asciiTheme="minorHAnsi" w:hAnsiTheme="minorHAnsi"/>
                                <w:color w:val="FFFFFF" w:themeColor="background1"/>
                                <w:sz w:val="22"/>
                                <w:lang w:val="es-419"/>
                              </w:rPr>
                              <w:t>49</w:t>
                            </w:r>
                          </w:p>
                          <w:p w14:paraId="69373ED2" w14:textId="35474038" w:rsidR="00243172" w:rsidRPr="00A75F81" w:rsidRDefault="00A75F81"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24 octubre</w:t>
                            </w:r>
                            <w:r w:rsidR="00243172" w:rsidRPr="00A75F81">
                              <w:rPr>
                                <w:rFonts w:asciiTheme="minorHAnsi" w:hAnsiTheme="minorHAnsi"/>
                                <w:color w:val="FFFFFF" w:themeColor="background1"/>
                                <w:sz w:val="22"/>
                                <w:lang w:val="es-419"/>
                              </w:rPr>
                              <w:t xml:space="preserve"> 201</w:t>
                            </w:r>
                            <w:r w:rsidR="00B51E47" w:rsidRPr="00A75F81">
                              <w:rPr>
                                <w:rFonts w:asciiTheme="minorHAnsi" w:hAnsiTheme="minorHAnsi"/>
                                <w:color w:val="FFFFFF" w:themeColor="background1"/>
                                <w:sz w:val="22"/>
                                <w:lang w:val="es-419"/>
                              </w:rPr>
                              <w:t>9</w:t>
                            </w:r>
                          </w:p>
                          <w:p w14:paraId="0771DB5B" w14:textId="77777777" w:rsidR="00243172" w:rsidRPr="00A75F81" w:rsidRDefault="00243172"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28388EB" w:rsidR="00243172" w:rsidRPr="00A75F81" w:rsidRDefault="00243172"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OEA/Ser.L/V/II.</w:t>
                      </w:r>
                    </w:p>
                    <w:p w14:paraId="6A41611B" w14:textId="51645A08" w:rsidR="00243172" w:rsidRPr="00A75F81" w:rsidRDefault="00A75F81"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Doc. 2</w:t>
                      </w:r>
                      <w:r>
                        <w:rPr>
                          <w:rFonts w:asciiTheme="minorHAnsi" w:hAnsiTheme="minorHAnsi"/>
                          <w:color w:val="FFFFFF" w:themeColor="background1"/>
                          <w:sz w:val="22"/>
                          <w:lang w:val="es-419"/>
                        </w:rPr>
                        <w:t>49</w:t>
                      </w:r>
                    </w:p>
                    <w:p w14:paraId="69373ED2" w14:textId="35474038" w:rsidR="00243172" w:rsidRPr="00A75F81" w:rsidRDefault="00A75F81"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24 octubre</w:t>
                      </w:r>
                      <w:r w:rsidR="00243172" w:rsidRPr="00A75F81">
                        <w:rPr>
                          <w:rFonts w:asciiTheme="minorHAnsi" w:hAnsiTheme="minorHAnsi"/>
                          <w:color w:val="FFFFFF" w:themeColor="background1"/>
                          <w:sz w:val="22"/>
                          <w:lang w:val="es-419"/>
                        </w:rPr>
                        <w:t xml:space="preserve"> 201</w:t>
                      </w:r>
                      <w:r w:rsidR="00B51E47" w:rsidRPr="00A75F81">
                        <w:rPr>
                          <w:rFonts w:asciiTheme="minorHAnsi" w:hAnsiTheme="minorHAnsi"/>
                          <w:color w:val="FFFFFF" w:themeColor="background1"/>
                          <w:sz w:val="22"/>
                          <w:lang w:val="es-419"/>
                        </w:rPr>
                        <w:t>9</w:t>
                      </w:r>
                    </w:p>
                    <w:p w14:paraId="0771DB5B" w14:textId="77777777" w:rsidR="00243172" w:rsidRPr="00A75F81" w:rsidRDefault="00243172" w:rsidP="007A5817">
                      <w:pPr>
                        <w:spacing w:line="276" w:lineRule="auto"/>
                        <w:jc w:val="right"/>
                        <w:rPr>
                          <w:rFonts w:asciiTheme="minorHAnsi" w:hAnsiTheme="minorHAnsi"/>
                          <w:color w:val="FFFFFF" w:themeColor="background1"/>
                          <w:sz w:val="22"/>
                          <w:lang w:val="es-419"/>
                        </w:rPr>
                      </w:pPr>
                      <w:r w:rsidRPr="00A75F81">
                        <w:rPr>
                          <w:rFonts w:asciiTheme="minorHAnsi" w:hAnsiTheme="minorHAnsi"/>
                          <w:color w:val="FFFFFF" w:themeColor="background1"/>
                          <w:sz w:val="22"/>
                          <w:lang w:val="es-419"/>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07BB92" w:rsidR="00243172" w:rsidRPr="00890650" w:rsidRDefault="002431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5F8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75F8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B74B7">
                              <w:rPr>
                                <w:rFonts w:asciiTheme="majorHAnsi" w:hAnsiTheme="majorHAnsi"/>
                                <w:color w:val="0D0D0D" w:themeColor="text1" w:themeTint="F2"/>
                                <w:sz w:val="18"/>
                                <w:szCs w:val="22"/>
                                <w:lang w:val="es-ES"/>
                              </w:rPr>
                              <w:t>9</w:t>
                            </w:r>
                            <w:r w:rsidR="008638B6">
                              <w:rPr>
                                <w:rFonts w:asciiTheme="majorHAnsi" w:hAnsiTheme="majorHAnsi"/>
                                <w:color w:val="0D0D0D" w:themeColor="text1" w:themeTint="F2"/>
                                <w:sz w:val="18"/>
                                <w:szCs w:val="22"/>
                                <w:lang w:val="es-ES"/>
                              </w:rPr>
                              <w:t>.</w:t>
                            </w:r>
                          </w:p>
                          <w:p w14:paraId="4BDF3581" w14:textId="77777777" w:rsidR="00243172" w:rsidRPr="007A5817" w:rsidRDefault="0024317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43172" w:rsidRPr="00167A34" w:rsidRDefault="0024317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B07BB92" w:rsidR="00243172" w:rsidRPr="00890650" w:rsidRDefault="0024317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5F8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75F8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B74B7">
                        <w:rPr>
                          <w:rFonts w:asciiTheme="majorHAnsi" w:hAnsiTheme="majorHAnsi"/>
                          <w:color w:val="0D0D0D" w:themeColor="text1" w:themeTint="F2"/>
                          <w:sz w:val="18"/>
                          <w:szCs w:val="22"/>
                          <w:lang w:val="es-ES"/>
                        </w:rPr>
                        <w:t>9</w:t>
                      </w:r>
                      <w:r w:rsidR="008638B6">
                        <w:rPr>
                          <w:rFonts w:asciiTheme="majorHAnsi" w:hAnsiTheme="majorHAnsi"/>
                          <w:color w:val="0D0D0D" w:themeColor="text1" w:themeTint="F2"/>
                          <w:sz w:val="18"/>
                          <w:szCs w:val="22"/>
                          <w:lang w:val="es-ES"/>
                        </w:rPr>
                        <w:t>.</w:t>
                      </w:r>
                    </w:p>
                    <w:p w14:paraId="4BDF3581" w14:textId="77777777" w:rsidR="00243172" w:rsidRPr="007A5817" w:rsidRDefault="0024317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43172" w:rsidRPr="00167A34" w:rsidRDefault="0024317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7D4034C" w:rsidR="00243172" w:rsidRPr="00E426E3" w:rsidRDefault="00243172" w:rsidP="00113F73">
                            <w:pPr>
                              <w:spacing w:line="276" w:lineRule="auto"/>
                              <w:rPr>
                                <w:rFonts w:asciiTheme="majorHAnsi" w:hAnsiTheme="majorHAnsi" w:cs="Arial"/>
                                <w:color w:val="0D0D0D" w:themeColor="text1" w:themeTint="F2"/>
                                <w:szCs w:val="22"/>
                                <w:lang w:val="es-PA"/>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5F81" w:rsidRPr="00A75F81">
                              <w:rPr>
                                <w:rFonts w:asciiTheme="majorHAnsi" w:hAnsiTheme="majorHAnsi"/>
                                <w:color w:val="595959" w:themeColor="text1" w:themeTint="A6"/>
                                <w:sz w:val="18"/>
                                <w:szCs w:val="18"/>
                                <w:lang w:val="pt-BR"/>
                              </w:rPr>
                              <w:t>222</w:t>
                            </w:r>
                            <w:r w:rsidRPr="00A75F81">
                              <w:rPr>
                                <w:rFonts w:asciiTheme="majorHAnsi" w:hAnsiTheme="majorHAnsi"/>
                                <w:color w:val="595959" w:themeColor="text1" w:themeTint="A6"/>
                                <w:sz w:val="18"/>
                                <w:szCs w:val="18"/>
                                <w:lang w:val="pt-BR"/>
                              </w:rPr>
                              <w:t>/19</w:t>
                            </w:r>
                            <w:r w:rsidR="008A6565" w:rsidRPr="00A75F81">
                              <w:rPr>
                                <w:rFonts w:asciiTheme="majorHAnsi" w:hAnsiTheme="majorHAnsi"/>
                                <w:color w:val="595959" w:themeColor="text1" w:themeTint="A6"/>
                                <w:sz w:val="18"/>
                                <w:szCs w:val="18"/>
                                <w:lang w:val="pt-BR"/>
                              </w:rPr>
                              <w:t xml:space="preserve">. </w:t>
                            </w:r>
                            <w:r w:rsidR="008638B6">
                              <w:rPr>
                                <w:rFonts w:asciiTheme="majorHAnsi" w:hAnsiTheme="majorHAnsi"/>
                                <w:color w:val="595959" w:themeColor="text1" w:themeTint="A6"/>
                                <w:sz w:val="18"/>
                                <w:szCs w:val="18"/>
                                <w:lang w:val="pt-BR"/>
                              </w:rPr>
                              <w:t xml:space="preserve">Petición 1498-10. </w:t>
                            </w:r>
                            <w:r w:rsidR="008A6565">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Pr="00E426E3">
                              <w:rPr>
                                <w:rFonts w:asciiTheme="majorHAnsi" w:hAnsiTheme="majorHAnsi" w:cs="Arial"/>
                                <w:color w:val="404040" w:themeColor="text1" w:themeTint="BF"/>
                                <w:sz w:val="18"/>
                                <w:szCs w:val="18"/>
                                <w:lang w:val="es-ES_tradnl"/>
                              </w:rPr>
                              <w:t>Mar</w:t>
                            </w:r>
                            <w:proofErr w:type="spellStart"/>
                            <w:r w:rsidRPr="00E426E3">
                              <w:rPr>
                                <w:rFonts w:asciiTheme="majorHAnsi" w:hAnsiTheme="majorHAnsi" w:cs="Arial"/>
                                <w:color w:val="404040" w:themeColor="text1" w:themeTint="BF"/>
                                <w:sz w:val="18"/>
                                <w:szCs w:val="18"/>
                                <w:lang w:val="es-PA"/>
                              </w:rPr>
                              <w:t>ía</w:t>
                            </w:r>
                            <w:proofErr w:type="spellEnd"/>
                            <w:r w:rsidRPr="00E426E3">
                              <w:rPr>
                                <w:rFonts w:asciiTheme="majorHAnsi" w:hAnsiTheme="majorHAnsi" w:cs="Arial"/>
                                <w:color w:val="404040" w:themeColor="text1" w:themeTint="BF"/>
                                <w:sz w:val="18"/>
                                <w:szCs w:val="18"/>
                                <w:lang w:val="es-PA"/>
                              </w:rPr>
                              <w:t xml:space="preserve"> </w:t>
                            </w:r>
                            <w:proofErr w:type="spellStart"/>
                            <w:r w:rsidRPr="00E426E3">
                              <w:rPr>
                                <w:rFonts w:asciiTheme="majorHAnsi" w:hAnsiTheme="majorHAnsi" w:cs="Arial"/>
                                <w:color w:val="404040" w:themeColor="text1" w:themeTint="BF"/>
                                <w:sz w:val="18"/>
                                <w:szCs w:val="18"/>
                                <w:lang w:val="es-PA"/>
                              </w:rPr>
                              <w:t>Meyber</w:t>
                            </w:r>
                            <w:proofErr w:type="spellEnd"/>
                            <w:r w:rsidRPr="00E426E3">
                              <w:rPr>
                                <w:rFonts w:asciiTheme="majorHAnsi" w:hAnsiTheme="majorHAnsi" w:cs="Arial"/>
                                <w:color w:val="404040" w:themeColor="text1" w:themeTint="BF"/>
                                <w:sz w:val="18"/>
                                <w:szCs w:val="18"/>
                                <w:lang w:val="es-PA"/>
                              </w:rPr>
                              <w:t xml:space="preserve"> </w:t>
                            </w:r>
                            <w:proofErr w:type="spellStart"/>
                            <w:r w:rsidRPr="00E426E3">
                              <w:rPr>
                                <w:rFonts w:asciiTheme="majorHAnsi" w:hAnsiTheme="majorHAnsi" w:cs="Arial"/>
                                <w:color w:val="404040" w:themeColor="text1" w:themeTint="BF"/>
                                <w:sz w:val="18"/>
                                <w:szCs w:val="18"/>
                                <w:lang w:val="es-PA" w:eastAsia="es-ES"/>
                              </w:rPr>
                              <w:t>Bichakdjian</w:t>
                            </w:r>
                            <w:proofErr w:type="spellEnd"/>
                            <w:r w:rsidRPr="00E426E3">
                              <w:rPr>
                                <w:rFonts w:asciiTheme="majorHAnsi" w:hAnsiTheme="majorHAnsi" w:cs="Arial"/>
                                <w:color w:val="404040" w:themeColor="text1" w:themeTint="BF"/>
                                <w:sz w:val="18"/>
                                <w:szCs w:val="18"/>
                                <w:lang w:val="es-PA" w:eastAsia="es-ES"/>
                              </w:rPr>
                              <w:t xml:space="preserve"> </w:t>
                            </w:r>
                            <w:proofErr w:type="spellStart"/>
                            <w:r w:rsidR="008638B6">
                              <w:rPr>
                                <w:rFonts w:asciiTheme="majorHAnsi" w:hAnsiTheme="majorHAnsi" w:cs="Arial"/>
                                <w:color w:val="404040" w:themeColor="text1" w:themeTint="BF"/>
                                <w:sz w:val="18"/>
                                <w:szCs w:val="18"/>
                                <w:lang w:val="es-PA" w:eastAsia="es-ES"/>
                              </w:rPr>
                              <w:t>Altounian</w:t>
                            </w:r>
                            <w:proofErr w:type="spellEnd"/>
                            <w:r w:rsidR="008638B6">
                              <w:rPr>
                                <w:rFonts w:asciiTheme="majorHAnsi" w:hAnsiTheme="majorHAnsi" w:cs="Arial"/>
                                <w:color w:val="404040" w:themeColor="text1" w:themeTint="BF"/>
                                <w:sz w:val="18"/>
                                <w:szCs w:val="18"/>
                                <w:lang w:val="es-PA" w:eastAsia="es-ES"/>
                              </w:rPr>
                              <w:t xml:space="preserve"> y</w:t>
                            </w:r>
                            <w:r w:rsidRPr="00E426E3">
                              <w:rPr>
                                <w:rFonts w:asciiTheme="majorHAnsi" w:hAnsiTheme="majorHAnsi" w:cs="Arial"/>
                                <w:color w:val="404040" w:themeColor="text1" w:themeTint="BF"/>
                                <w:sz w:val="18"/>
                                <w:szCs w:val="18"/>
                                <w:lang w:val="es-PA" w:eastAsia="es-ES"/>
                              </w:rPr>
                              <w:t xml:space="preserve"> </w:t>
                            </w:r>
                            <w:r w:rsidR="008638B6">
                              <w:rPr>
                                <w:rFonts w:asciiTheme="majorHAnsi" w:hAnsiTheme="majorHAnsi" w:cs="Arial"/>
                                <w:color w:val="404040" w:themeColor="text1" w:themeTint="BF"/>
                                <w:sz w:val="18"/>
                                <w:szCs w:val="18"/>
                                <w:lang w:val="es-PA" w:eastAsia="es-ES"/>
                              </w:rPr>
                              <w:t>o</w:t>
                            </w:r>
                            <w:r w:rsidRPr="00E426E3">
                              <w:rPr>
                                <w:rFonts w:asciiTheme="majorHAnsi" w:hAnsiTheme="majorHAnsi" w:cs="Arial"/>
                                <w:color w:val="404040" w:themeColor="text1" w:themeTint="BF"/>
                                <w:sz w:val="18"/>
                                <w:szCs w:val="18"/>
                                <w:lang w:val="es-PA" w:eastAsia="es-ES"/>
                              </w:rPr>
                              <w:t>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A75F81">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7D4034C" w:rsidR="00243172" w:rsidRPr="00E426E3" w:rsidRDefault="00243172" w:rsidP="00113F73">
                      <w:pPr>
                        <w:spacing w:line="276" w:lineRule="auto"/>
                        <w:rPr>
                          <w:rFonts w:asciiTheme="majorHAnsi" w:hAnsiTheme="majorHAnsi" w:cs="Arial"/>
                          <w:color w:val="0D0D0D" w:themeColor="text1" w:themeTint="F2"/>
                          <w:szCs w:val="22"/>
                          <w:lang w:val="es-PA"/>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5F81" w:rsidRPr="00A75F81">
                        <w:rPr>
                          <w:rFonts w:asciiTheme="majorHAnsi" w:hAnsiTheme="majorHAnsi"/>
                          <w:color w:val="595959" w:themeColor="text1" w:themeTint="A6"/>
                          <w:sz w:val="18"/>
                          <w:szCs w:val="18"/>
                          <w:lang w:val="pt-BR"/>
                        </w:rPr>
                        <w:t>222</w:t>
                      </w:r>
                      <w:r w:rsidRPr="00A75F81">
                        <w:rPr>
                          <w:rFonts w:asciiTheme="majorHAnsi" w:hAnsiTheme="majorHAnsi"/>
                          <w:color w:val="595959" w:themeColor="text1" w:themeTint="A6"/>
                          <w:sz w:val="18"/>
                          <w:szCs w:val="18"/>
                          <w:lang w:val="pt-BR"/>
                        </w:rPr>
                        <w:t>/19</w:t>
                      </w:r>
                      <w:r w:rsidR="008A6565" w:rsidRPr="00A75F81">
                        <w:rPr>
                          <w:rFonts w:asciiTheme="majorHAnsi" w:hAnsiTheme="majorHAnsi"/>
                          <w:color w:val="595959" w:themeColor="text1" w:themeTint="A6"/>
                          <w:sz w:val="18"/>
                          <w:szCs w:val="18"/>
                          <w:lang w:val="pt-BR"/>
                        </w:rPr>
                        <w:t xml:space="preserve">. </w:t>
                      </w:r>
                      <w:r w:rsidR="008638B6">
                        <w:rPr>
                          <w:rFonts w:asciiTheme="majorHAnsi" w:hAnsiTheme="majorHAnsi"/>
                          <w:color w:val="595959" w:themeColor="text1" w:themeTint="A6"/>
                          <w:sz w:val="18"/>
                          <w:szCs w:val="18"/>
                          <w:lang w:val="pt-BR"/>
                        </w:rPr>
                        <w:t xml:space="preserve">Petición 1498-10. </w:t>
                      </w:r>
                      <w:r w:rsidR="008A6565">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Pr="00E426E3">
                        <w:rPr>
                          <w:rFonts w:asciiTheme="majorHAnsi" w:hAnsiTheme="majorHAnsi" w:cs="Arial"/>
                          <w:color w:val="404040" w:themeColor="text1" w:themeTint="BF"/>
                          <w:sz w:val="18"/>
                          <w:szCs w:val="18"/>
                          <w:lang w:val="es-ES_tradnl"/>
                        </w:rPr>
                        <w:t>Mar</w:t>
                      </w:r>
                      <w:proofErr w:type="spellStart"/>
                      <w:r w:rsidRPr="00E426E3">
                        <w:rPr>
                          <w:rFonts w:asciiTheme="majorHAnsi" w:hAnsiTheme="majorHAnsi" w:cs="Arial"/>
                          <w:color w:val="404040" w:themeColor="text1" w:themeTint="BF"/>
                          <w:sz w:val="18"/>
                          <w:szCs w:val="18"/>
                          <w:lang w:val="es-PA"/>
                        </w:rPr>
                        <w:t>ía</w:t>
                      </w:r>
                      <w:proofErr w:type="spellEnd"/>
                      <w:r w:rsidRPr="00E426E3">
                        <w:rPr>
                          <w:rFonts w:asciiTheme="majorHAnsi" w:hAnsiTheme="majorHAnsi" w:cs="Arial"/>
                          <w:color w:val="404040" w:themeColor="text1" w:themeTint="BF"/>
                          <w:sz w:val="18"/>
                          <w:szCs w:val="18"/>
                          <w:lang w:val="es-PA"/>
                        </w:rPr>
                        <w:t xml:space="preserve"> </w:t>
                      </w:r>
                      <w:proofErr w:type="spellStart"/>
                      <w:r w:rsidRPr="00E426E3">
                        <w:rPr>
                          <w:rFonts w:asciiTheme="majorHAnsi" w:hAnsiTheme="majorHAnsi" w:cs="Arial"/>
                          <w:color w:val="404040" w:themeColor="text1" w:themeTint="BF"/>
                          <w:sz w:val="18"/>
                          <w:szCs w:val="18"/>
                          <w:lang w:val="es-PA"/>
                        </w:rPr>
                        <w:t>Meyber</w:t>
                      </w:r>
                      <w:proofErr w:type="spellEnd"/>
                      <w:r w:rsidRPr="00E426E3">
                        <w:rPr>
                          <w:rFonts w:asciiTheme="majorHAnsi" w:hAnsiTheme="majorHAnsi" w:cs="Arial"/>
                          <w:color w:val="404040" w:themeColor="text1" w:themeTint="BF"/>
                          <w:sz w:val="18"/>
                          <w:szCs w:val="18"/>
                          <w:lang w:val="es-PA"/>
                        </w:rPr>
                        <w:t xml:space="preserve"> </w:t>
                      </w:r>
                      <w:proofErr w:type="spellStart"/>
                      <w:r w:rsidRPr="00E426E3">
                        <w:rPr>
                          <w:rFonts w:asciiTheme="majorHAnsi" w:hAnsiTheme="majorHAnsi" w:cs="Arial"/>
                          <w:color w:val="404040" w:themeColor="text1" w:themeTint="BF"/>
                          <w:sz w:val="18"/>
                          <w:szCs w:val="18"/>
                          <w:lang w:val="es-PA" w:eastAsia="es-ES"/>
                        </w:rPr>
                        <w:t>Bichakdjian</w:t>
                      </w:r>
                      <w:proofErr w:type="spellEnd"/>
                      <w:r w:rsidRPr="00E426E3">
                        <w:rPr>
                          <w:rFonts w:asciiTheme="majorHAnsi" w:hAnsiTheme="majorHAnsi" w:cs="Arial"/>
                          <w:color w:val="404040" w:themeColor="text1" w:themeTint="BF"/>
                          <w:sz w:val="18"/>
                          <w:szCs w:val="18"/>
                          <w:lang w:val="es-PA" w:eastAsia="es-ES"/>
                        </w:rPr>
                        <w:t xml:space="preserve"> </w:t>
                      </w:r>
                      <w:proofErr w:type="spellStart"/>
                      <w:r w:rsidR="008638B6">
                        <w:rPr>
                          <w:rFonts w:asciiTheme="majorHAnsi" w:hAnsiTheme="majorHAnsi" w:cs="Arial"/>
                          <w:color w:val="404040" w:themeColor="text1" w:themeTint="BF"/>
                          <w:sz w:val="18"/>
                          <w:szCs w:val="18"/>
                          <w:lang w:val="es-PA" w:eastAsia="es-ES"/>
                        </w:rPr>
                        <w:t>Altounian</w:t>
                      </w:r>
                      <w:proofErr w:type="spellEnd"/>
                      <w:r w:rsidR="008638B6">
                        <w:rPr>
                          <w:rFonts w:asciiTheme="majorHAnsi" w:hAnsiTheme="majorHAnsi" w:cs="Arial"/>
                          <w:color w:val="404040" w:themeColor="text1" w:themeTint="BF"/>
                          <w:sz w:val="18"/>
                          <w:szCs w:val="18"/>
                          <w:lang w:val="es-PA" w:eastAsia="es-ES"/>
                        </w:rPr>
                        <w:t xml:space="preserve"> y</w:t>
                      </w:r>
                      <w:r w:rsidRPr="00E426E3">
                        <w:rPr>
                          <w:rFonts w:asciiTheme="majorHAnsi" w:hAnsiTheme="majorHAnsi" w:cs="Arial"/>
                          <w:color w:val="404040" w:themeColor="text1" w:themeTint="BF"/>
                          <w:sz w:val="18"/>
                          <w:szCs w:val="18"/>
                          <w:lang w:val="es-PA" w:eastAsia="es-ES"/>
                        </w:rPr>
                        <w:t xml:space="preserve"> </w:t>
                      </w:r>
                      <w:r w:rsidR="008638B6">
                        <w:rPr>
                          <w:rFonts w:asciiTheme="majorHAnsi" w:hAnsiTheme="majorHAnsi" w:cs="Arial"/>
                          <w:color w:val="404040" w:themeColor="text1" w:themeTint="BF"/>
                          <w:sz w:val="18"/>
                          <w:szCs w:val="18"/>
                          <w:lang w:val="es-PA" w:eastAsia="es-ES"/>
                        </w:rPr>
                        <w:t>o</w:t>
                      </w:r>
                      <w:r w:rsidRPr="00E426E3">
                        <w:rPr>
                          <w:rFonts w:asciiTheme="majorHAnsi" w:hAnsiTheme="majorHAnsi" w:cs="Arial"/>
                          <w:color w:val="404040" w:themeColor="text1" w:themeTint="BF"/>
                          <w:sz w:val="18"/>
                          <w:szCs w:val="18"/>
                          <w:lang w:val="es-PA" w:eastAsia="es-ES"/>
                        </w:rPr>
                        <w:t>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A75F81">
                        <w:rPr>
                          <w:rFonts w:asciiTheme="majorHAnsi" w:hAnsiTheme="majorHAnsi"/>
                          <w:color w:val="595959" w:themeColor="text1" w:themeTint="A6"/>
                          <w:sz w:val="18"/>
                          <w:szCs w:val="18"/>
                          <w:lang w:val="es-ES"/>
                        </w:rPr>
                        <w:t>24 de octubre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43172" w:rsidRPr="00D72DC6" w:rsidRDefault="0024317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243172" w:rsidRPr="00D72DC6" w:rsidRDefault="0024317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43172" w:rsidRPr="004B7EB6" w:rsidRDefault="002431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243172" w:rsidRPr="004B7EB6" w:rsidRDefault="0024317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F40E13" w:rsidRDefault="003239B8" w:rsidP="004A6A54">
      <w:pPr>
        <w:spacing w:after="240"/>
        <w:ind w:firstLine="720"/>
        <w:jc w:val="both"/>
        <w:rPr>
          <w:rFonts w:asciiTheme="majorHAnsi" w:hAnsiTheme="majorHAnsi"/>
          <w:b/>
          <w:bCs/>
          <w:sz w:val="19"/>
          <w:szCs w:val="19"/>
          <w:lang w:val="es-ES"/>
        </w:rPr>
      </w:pPr>
      <w:r w:rsidRPr="00F40E13">
        <w:rPr>
          <w:rFonts w:asciiTheme="majorHAnsi" w:hAnsiTheme="majorHAnsi"/>
          <w:b/>
          <w:bCs/>
          <w:sz w:val="19"/>
          <w:szCs w:val="19"/>
          <w:lang w:val="es-ES"/>
        </w:rPr>
        <w:lastRenderedPageBreak/>
        <w:t>I.</w:t>
      </w:r>
      <w:r w:rsidRPr="00F40E13">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A656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40E13" w:rsidRDefault="003239B8" w:rsidP="0060316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Parte peticionaria:</w:t>
            </w:r>
          </w:p>
        </w:tc>
        <w:tc>
          <w:tcPr>
            <w:tcW w:w="5760" w:type="dxa"/>
            <w:vAlign w:val="center"/>
          </w:tcPr>
          <w:p w14:paraId="3C5315D8" w14:textId="661F8E64" w:rsidR="003239B8" w:rsidRPr="00F40E13" w:rsidRDefault="00E426E3" w:rsidP="0060316C">
            <w:pPr>
              <w:jc w:val="both"/>
              <w:rPr>
                <w:rFonts w:asciiTheme="majorHAnsi" w:hAnsiTheme="majorHAnsi"/>
                <w:bCs/>
                <w:sz w:val="19"/>
                <w:szCs w:val="19"/>
                <w:lang w:val="fr-CA"/>
              </w:rPr>
            </w:pPr>
            <w:r w:rsidRPr="00F40E13">
              <w:rPr>
                <w:rFonts w:asciiTheme="majorHAnsi" w:hAnsiTheme="majorHAnsi"/>
                <w:bCs/>
                <w:sz w:val="19"/>
                <w:szCs w:val="19"/>
                <w:lang w:val="fr-CA"/>
              </w:rPr>
              <w:t>Germán Aller Maisonnave y Berch Rupenian Bichakdjian</w:t>
            </w:r>
          </w:p>
        </w:tc>
      </w:tr>
      <w:tr w:rsidR="003239B8" w:rsidRPr="00A4370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40E13" w:rsidRDefault="00314EB5" w:rsidP="0060316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40E13">
                  <w:rPr>
                    <w:rFonts w:asciiTheme="majorHAnsi" w:hAnsiTheme="majorHAnsi"/>
                    <w:b/>
                    <w:bCs/>
                    <w:color w:val="FFFFFF" w:themeColor="background1"/>
                    <w:sz w:val="19"/>
                    <w:szCs w:val="19"/>
                  </w:rPr>
                  <w:t>Presunta víctima</w:t>
                </w:r>
              </w:sdtContent>
            </w:sdt>
            <w:r w:rsidR="003239B8" w:rsidRPr="00F40E13">
              <w:rPr>
                <w:rFonts w:asciiTheme="majorHAnsi" w:hAnsiTheme="majorHAnsi"/>
                <w:b/>
                <w:bCs/>
                <w:color w:val="FFFFFF" w:themeColor="background1"/>
                <w:sz w:val="19"/>
                <w:szCs w:val="19"/>
              </w:rPr>
              <w:t>:</w:t>
            </w:r>
          </w:p>
        </w:tc>
        <w:tc>
          <w:tcPr>
            <w:tcW w:w="5760" w:type="dxa"/>
            <w:vAlign w:val="center"/>
          </w:tcPr>
          <w:p w14:paraId="4AEBF59E" w14:textId="0410ED3B" w:rsidR="003239B8" w:rsidRPr="00F40E13" w:rsidRDefault="00E426E3" w:rsidP="0060316C">
            <w:pPr>
              <w:jc w:val="both"/>
              <w:rPr>
                <w:rFonts w:asciiTheme="majorHAnsi" w:hAnsiTheme="majorHAnsi"/>
                <w:bCs/>
                <w:sz w:val="19"/>
                <w:szCs w:val="19"/>
                <w:lang w:val="es-ES"/>
              </w:rPr>
            </w:pPr>
            <w:r w:rsidRPr="00F40E13">
              <w:rPr>
                <w:rFonts w:asciiTheme="majorHAnsi" w:hAnsiTheme="majorHAnsi" w:cs="Arial"/>
                <w:color w:val="000000" w:themeColor="text1"/>
                <w:sz w:val="19"/>
                <w:szCs w:val="19"/>
                <w:lang w:val="es-ES_tradnl"/>
              </w:rPr>
              <w:t>Mar</w:t>
            </w:r>
            <w:r w:rsidRPr="00F40E13">
              <w:rPr>
                <w:rFonts w:asciiTheme="majorHAnsi" w:hAnsiTheme="majorHAnsi" w:cs="Arial"/>
                <w:color w:val="000000" w:themeColor="text1"/>
                <w:sz w:val="19"/>
                <w:szCs w:val="19"/>
                <w:lang w:val="es-PA"/>
              </w:rPr>
              <w:t xml:space="preserve">ía Meyber </w:t>
            </w:r>
            <w:r w:rsidRPr="00F40E13">
              <w:rPr>
                <w:rFonts w:asciiTheme="majorHAnsi" w:hAnsiTheme="majorHAnsi" w:cs="Arial"/>
                <w:color w:val="000000" w:themeColor="text1"/>
                <w:sz w:val="19"/>
                <w:szCs w:val="19"/>
                <w:lang w:val="es-PA" w:eastAsia="es-ES"/>
              </w:rPr>
              <w:t>Bichakdjian Altounian y otros</w:t>
            </w:r>
            <w:r w:rsidR="00247A2E" w:rsidRPr="00F40E13">
              <w:rPr>
                <w:rStyle w:val="FootnoteReference"/>
                <w:rFonts w:asciiTheme="majorHAnsi" w:hAnsiTheme="majorHAnsi" w:cs="Arial"/>
                <w:color w:val="000000" w:themeColor="text1"/>
                <w:sz w:val="19"/>
                <w:szCs w:val="19"/>
                <w:lang w:val="es-PA" w:eastAsia="es-ES"/>
              </w:rPr>
              <w:footnoteReference w:id="2"/>
            </w:r>
          </w:p>
        </w:tc>
      </w:tr>
      <w:tr w:rsidR="003239B8" w:rsidRPr="00F40E1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40E13" w:rsidRDefault="003239B8" w:rsidP="0060316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Estado denunciado:</w:t>
            </w:r>
          </w:p>
        </w:tc>
        <w:tc>
          <w:tcPr>
            <w:tcW w:w="5760" w:type="dxa"/>
            <w:vAlign w:val="center"/>
          </w:tcPr>
          <w:p w14:paraId="274C8A50" w14:textId="112CB3AE" w:rsidR="003239B8" w:rsidRPr="00F40E13" w:rsidRDefault="00A02424" w:rsidP="0060316C">
            <w:pPr>
              <w:jc w:val="both"/>
              <w:rPr>
                <w:rFonts w:asciiTheme="majorHAnsi" w:hAnsiTheme="majorHAnsi"/>
                <w:bCs/>
                <w:sz w:val="19"/>
                <w:szCs w:val="19"/>
              </w:rPr>
            </w:pPr>
            <w:r w:rsidRPr="00F40E13">
              <w:rPr>
                <w:rFonts w:asciiTheme="majorHAnsi" w:hAnsiTheme="majorHAnsi"/>
                <w:bCs/>
                <w:sz w:val="19"/>
                <w:szCs w:val="19"/>
              </w:rPr>
              <w:t>Uruguay</w:t>
            </w:r>
          </w:p>
        </w:tc>
      </w:tr>
      <w:tr w:rsidR="00223A29" w:rsidRPr="00A4370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40E13" w:rsidRDefault="001B3A00" w:rsidP="00E4118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 xml:space="preserve">Derechos </w:t>
            </w:r>
            <w:r w:rsidR="00E4118C" w:rsidRPr="00F40E13">
              <w:rPr>
                <w:rFonts w:asciiTheme="majorHAnsi" w:hAnsiTheme="majorHAnsi"/>
                <w:b/>
                <w:bCs/>
                <w:color w:val="FFFFFF" w:themeColor="background1"/>
                <w:sz w:val="19"/>
                <w:szCs w:val="19"/>
              </w:rPr>
              <w:t>invocados</w:t>
            </w:r>
            <w:r w:rsidRPr="00F40E13">
              <w:rPr>
                <w:rFonts w:asciiTheme="majorHAnsi" w:hAnsiTheme="majorHAnsi"/>
                <w:b/>
                <w:bCs/>
                <w:color w:val="FFFFFF" w:themeColor="background1"/>
                <w:sz w:val="19"/>
                <w:szCs w:val="19"/>
              </w:rPr>
              <w:t>:</w:t>
            </w:r>
          </w:p>
        </w:tc>
        <w:tc>
          <w:tcPr>
            <w:tcW w:w="5760" w:type="dxa"/>
            <w:vAlign w:val="center"/>
          </w:tcPr>
          <w:p w14:paraId="6DEE1EEB" w14:textId="1E0F9615" w:rsidR="00223A29" w:rsidRPr="00F40E13" w:rsidRDefault="000059DA" w:rsidP="0076505E">
            <w:pPr>
              <w:jc w:val="both"/>
              <w:rPr>
                <w:rFonts w:asciiTheme="majorHAnsi" w:hAnsiTheme="majorHAnsi"/>
                <w:bCs/>
                <w:sz w:val="19"/>
                <w:szCs w:val="19"/>
                <w:lang w:val="es-PA"/>
              </w:rPr>
            </w:pPr>
            <w:r w:rsidRPr="00F40E13">
              <w:rPr>
                <w:rFonts w:asciiTheme="majorHAnsi" w:hAnsiTheme="majorHAnsi"/>
                <w:bCs/>
                <w:sz w:val="19"/>
                <w:szCs w:val="19"/>
                <w:lang w:val="es-PA"/>
              </w:rPr>
              <w:t>Artículos 5 (integridad personal), 7 (libertad personal), 13 (libertad de pensamiento y expresi</w:t>
            </w:r>
            <w:r w:rsidR="006B74D5" w:rsidRPr="00F40E13">
              <w:rPr>
                <w:rFonts w:asciiTheme="majorHAnsi" w:hAnsiTheme="majorHAnsi"/>
                <w:bCs/>
                <w:sz w:val="19"/>
                <w:szCs w:val="19"/>
                <w:lang w:val="es-PA"/>
              </w:rPr>
              <w:t>ón) de la Convención Americana Sobre Derechos Humanos</w:t>
            </w:r>
            <w:r w:rsidR="006B74D5" w:rsidRPr="00F40E13">
              <w:rPr>
                <w:rStyle w:val="FootnoteReference"/>
                <w:rFonts w:asciiTheme="majorHAnsi" w:hAnsiTheme="majorHAnsi"/>
                <w:bCs/>
                <w:sz w:val="19"/>
                <w:szCs w:val="19"/>
                <w:lang w:val="es-PA"/>
              </w:rPr>
              <w:footnoteReference w:id="3"/>
            </w:r>
            <w:r w:rsidR="006B74D5" w:rsidRPr="00F40E13">
              <w:rPr>
                <w:rFonts w:asciiTheme="majorHAnsi" w:hAnsiTheme="majorHAnsi"/>
                <w:bCs/>
                <w:sz w:val="19"/>
                <w:szCs w:val="19"/>
                <w:lang w:val="es-PA"/>
              </w:rPr>
              <w:t>; artículos II (igualdad ante la ley), IV (</w:t>
            </w:r>
            <w:r w:rsidR="009526D6" w:rsidRPr="00F40E13">
              <w:rPr>
                <w:rFonts w:asciiTheme="majorHAnsi" w:hAnsiTheme="majorHAnsi"/>
                <w:bCs/>
                <w:sz w:val="19"/>
                <w:szCs w:val="19"/>
                <w:lang w:val="es-PA"/>
              </w:rPr>
              <w:t xml:space="preserve">libertad de investigación, opinión, expresión y difusión), V (protección a la honra, la reputación personal y la vida privada y familiar) XIV (trabajo y justa retribución),  </w:t>
            </w:r>
            <w:r w:rsidR="006B74D5" w:rsidRPr="00F40E13">
              <w:rPr>
                <w:rFonts w:asciiTheme="majorHAnsi" w:hAnsiTheme="majorHAnsi"/>
                <w:bCs/>
                <w:sz w:val="19"/>
                <w:szCs w:val="19"/>
                <w:lang w:val="es-PA"/>
              </w:rPr>
              <w:t xml:space="preserve"> XXIII (propiedad) XXV (protección contra la detenci</w:t>
            </w:r>
            <w:r w:rsidR="009526D6" w:rsidRPr="00F40E13">
              <w:rPr>
                <w:rFonts w:asciiTheme="majorHAnsi" w:hAnsiTheme="majorHAnsi"/>
                <w:bCs/>
                <w:sz w:val="19"/>
                <w:szCs w:val="19"/>
                <w:lang w:val="es-PA"/>
              </w:rPr>
              <w:t>ón arbitraria) y XXVI (proceso regular) de la Declaración Americana de los Derechos y Deberes del Hombre</w:t>
            </w:r>
            <w:r w:rsidR="009526D6" w:rsidRPr="00F40E13">
              <w:rPr>
                <w:rStyle w:val="FootnoteReference"/>
                <w:rFonts w:asciiTheme="majorHAnsi" w:hAnsiTheme="majorHAnsi"/>
                <w:bCs/>
                <w:sz w:val="19"/>
                <w:szCs w:val="19"/>
                <w:lang w:val="es-PA"/>
              </w:rPr>
              <w:footnoteReference w:id="4"/>
            </w:r>
            <w:r w:rsidR="00B51E47" w:rsidRPr="00F40E13">
              <w:rPr>
                <w:rFonts w:asciiTheme="majorHAnsi" w:hAnsiTheme="majorHAnsi"/>
                <w:bCs/>
                <w:sz w:val="19"/>
                <w:szCs w:val="19"/>
                <w:lang w:val="es-PA"/>
              </w:rPr>
              <w:t>;</w:t>
            </w:r>
            <w:r w:rsidR="009526D6" w:rsidRPr="00F40E13">
              <w:rPr>
                <w:rFonts w:asciiTheme="majorHAnsi" w:hAnsiTheme="majorHAnsi"/>
                <w:bCs/>
                <w:sz w:val="19"/>
                <w:szCs w:val="19"/>
                <w:lang w:val="es-PA"/>
              </w:rPr>
              <w:t xml:space="preserve">y </w:t>
            </w:r>
            <w:r w:rsidR="0076505E" w:rsidRPr="00F40E13">
              <w:rPr>
                <w:rFonts w:asciiTheme="majorHAnsi" w:hAnsiTheme="majorHAnsi"/>
                <w:bCs/>
                <w:sz w:val="19"/>
                <w:szCs w:val="19"/>
                <w:lang w:val="es-PA"/>
              </w:rPr>
              <w:t xml:space="preserve">otros instrumentos </w:t>
            </w:r>
            <w:r w:rsidR="009526D6" w:rsidRPr="00F40E13">
              <w:rPr>
                <w:rFonts w:asciiTheme="majorHAnsi" w:hAnsiTheme="majorHAnsi"/>
                <w:bCs/>
                <w:sz w:val="19"/>
                <w:szCs w:val="19"/>
                <w:lang w:val="es-PA"/>
              </w:rPr>
              <w:t>internacionales</w:t>
            </w:r>
            <w:r w:rsidR="009526D6" w:rsidRPr="00F40E13">
              <w:rPr>
                <w:rStyle w:val="FootnoteReference"/>
                <w:rFonts w:asciiTheme="majorHAnsi" w:hAnsiTheme="majorHAnsi"/>
                <w:bCs/>
                <w:sz w:val="19"/>
                <w:szCs w:val="19"/>
                <w:lang w:val="es-PA"/>
              </w:rPr>
              <w:footnoteReference w:id="5"/>
            </w:r>
          </w:p>
        </w:tc>
      </w:tr>
    </w:tbl>
    <w:p w14:paraId="20263696" w14:textId="77777777" w:rsidR="003239B8" w:rsidRPr="00F40E13" w:rsidRDefault="003239B8" w:rsidP="003239B8">
      <w:pPr>
        <w:spacing w:before="240" w:after="240"/>
        <w:ind w:firstLine="720"/>
        <w:jc w:val="both"/>
        <w:rPr>
          <w:rFonts w:asciiTheme="majorHAnsi" w:hAnsiTheme="majorHAnsi"/>
          <w:b/>
          <w:bCs/>
          <w:sz w:val="19"/>
          <w:szCs w:val="19"/>
          <w:lang w:val="es-ES"/>
        </w:rPr>
      </w:pPr>
      <w:r w:rsidRPr="00F40E13">
        <w:rPr>
          <w:rFonts w:asciiTheme="majorHAnsi" w:hAnsiTheme="majorHAnsi"/>
          <w:b/>
          <w:bCs/>
          <w:sz w:val="19"/>
          <w:szCs w:val="19"/>
          <w:lang w:val="es-ES"/>
        </w:rPr>
        <w:t>II.</w:t>
      </w:r>
      <w:r w:rsidRPr="00F40E13">
        <w:rPr>
          <w:rFonts w:asciiTheme="majorHAnsi" w:hAnsiTheme="majorHAnsi"/>
          <w:b/>
          <w:bCs/>
          <w:sz w:val="19"/>
          <w:szCs w:val="19"/>
          <w:lang w:val="es-ES"/>
        </w:rPr>
        <w:tab/>
        <w:t>TRÁMITE ANTE LA CIDH</w:t>
      </w:r>
      <w:r w:rsidR="008E3BFE" w:rsidRPr="00F40E13">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40E1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F40E13" w:rsidRDefault="004A6A54" w:rsidP="004A6A54">
            <w:pPr>
              <w:jc w:val="center"/>
              <w:rPr>
                <w:rFonts w:asciiTheme="majorHAnsi" w:hAnsiTheme="majorHAnsi"/>
                <w:b/>
                <w:bCs/>
                <w:color w:val="FFFFFF" w:themeColor="background1"/>
                <w:sz w:val="19"/>
                <w:szCs w:val="19"/>
                <w:lang w:val="es-ES"/>
              </w:rPr>
            </w:pPr>
            <w:r w:rsidRPr="00F40E13">
              <w:rPr>
                <w:rFonts w:asciiTheme="majorHAnsi" w:hAnsiTheme="majorHAnsi"/>
                <w:b/>
                <w:bCs/>
                <w:color w:val="FFFFFF" w:themeColor="background1"/>
                <w:sz w:val="19"/>
                <w:szCs w:val="19"/>
                <w:lang w:val="es-ES"/>
              </w:rPr>
              <w:t>P</w:t>
            </w:r>
            <w:r w:rsidR="004C2312" w:rsidRPr="00F40E13">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26CDF2F7" w:rsidR="004C2312" w:rsidRPr="00F40E13" w:rsidRDefault="00B715FC" w:rsidP="0060316C">
            <w:pPr>
              <w:jc w:val="both"/>
              <w:rPr>
                <w:rFonts w:asciiTheme="majorHAnsi" w:hAnsiTheme="majorHAnsi"/>
                <w:bCs/>
                <w:sz w:val="19"/>
                <w:szCs w:val="19"/>
                <w:lang w:val="es-ES"/>
              </w:rPr>
            </w:pPr>
            <w:r w:rsidRPr="00F40E13">
              <w:rPr>
                <w:rFonts w:asciiTheme="majorHAnsi" w:hAnsiTheme="majorHAnsi"/>
                <w:bCs/>
                <w:sz w:val="19"/>
                <w:szCs w:val="19"/>
                <w:lang w:val="es-ES"/>
              </w:rPr>
              <w:t>21 de octubre de 2010</w:t>
            </w:r>
          </w:p>
        </w:tc>
      </w:tr>
      <w:tr w:rsidR="001E49E7" w:rsidRPr="00F40E1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F40E13" w:rsidRDefault="001E49E7" w:rsidP="001E49E7">
            <w:pPr>
              <w:jc w:val="center"/>
              <w:rPr>
                <w:rFonts w:asciiTheme="majorHAnsi" w:hAnsiTheme="majorHAnsi"/>
                <w:b/>
                <w:bCs/>
                <w:color w:val="FFFFFF" w:themeColor="background1"/>
                <w:sz w:val="19"/>
                <w:szCs w:val="19"/>
                <w:lang w:val="es-ES"/>
              </w:rPr>
            </w:pPr>
            <w:r w:rsidRPr="00F40E13">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2B52C011" w:rsidR="001E49E7" w:rsidRPr="00F40E13" w:rsidRDefault="001D48A8" w:rsidP="001D48A8">
            <w:pPr>
              <w:rPr>
                <w:rFonts w:asciiTheme="majorHAnsi" w:hAnsiTheme="majorHAnsi"/>
                <w:b/>
                <w:bCs/>
                <w:color w:val="FFFFFF" w:themeColor="background1"/>
                <w:sz w:val="19"/>
                <w:szCs w:val="19"/>
                <w:lang w:val="es-AR"/>
              </w:rPr>
            </w:pPr>
            <w:r w:rsidRPr="00F40E13">
              <w:rPr>
                <w:rFonts w:asciiTheme="majorHAnsi" w:hAnsiTheme="majorHAnsi"/>
                <w:bCs/>
                <w:sz w:val="19"/>
                <w:szCs w:val="19"/>
                <w:lang w:val="es-ES"/>
              </w:rPr>
              <w:t>13 de febrero de 2012</w:t>
            </w:r>
          </w:p>
        </w:tc>
      </w:tr>
      <w:tr w:rsidR="004C2312" w:rsidRPr="00F40E1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40E13" w:rsidRDefault="004A6A54" w:rsidP="004A6A54">
            <w:pPr>
              <w:jc w:val="center"/>
              <w:rPr>
                <w:rFonts w:asciiTheme="majorHAnsi" w:hAnsiTheme="majorHAnsi"/>
                <w:b/>
                <w:bCs/>
                <w:color w:val="FFFFFF" w:themeColor="background1"/>
                <w:sz w:val="19"/>
                <w:szCs w:val="19"/>
                <w:lang w:val="es-ES"/>
              </w:rPr>
            </w:pPr>
            <w:r w:rsidRPr="00F40E13">
              <w:rPr>
                <w:rFonts w:asciiTheme="majorHAnsi" w:hAnsiTheme="majorHAnsi"/>
                <w:b/>
                <w:color w:val="FFFFFF" w:themeColor="background1"/>
                <w:sz w:val="19"/>
                <w:szCs w:val="19"/>
                <w:lang w:val="es-ES"/>
              </w:rPr>
              <w:t>N</w:t>
            </w:r>
            <w:r w:rsidR="004C2312" w:rsidRPr="00F40E13">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4C8AC9B5" w:rsidR="004C2312" w:rsidRPr="00F40E13" w:rsidRDefault="00497D8D" w:rsidP="0060316C">
            <w:pPr>
              <w:jc w:val="both"/>
              <w:rPr>
                <w:rFonts w:asciiTheme="majorHAnsi" w:hAnsiTheme="majorHAnsi"/>
                <w:bCs/>
                <w:sz w:val="19"/>
                <w:szCs w:val="19"/>
                <w:lang w:val="es-ES"/>
              </w:rPr>
            </w:pPr>
            <w:r w:rsidRPr="00F40E13">
              <w:rPr>
                <w:rFonts w:asciiTheme="majorHAnsi" w:hAnsiTheme="majorHAnsi"/>
                <w:bCs/>
                <w:sz w:val="19"/>
                <w:szCs w:val="19"/>
                <w:lang w:val="es-ES"/>
              </w:rPr>
              <w:t>9 de julio de 2014</w:t>
            </w:r>
          </w:p>
        </w:tc>
      </w:tr>
      <w:tr w:rsidR="004C2312" w:rsidRPr="00F40E1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40E13" w:rsidRDefault="004A6A54" w:rsidP="004A6A54">
            <w:pPr>
              <w:jc w:val="center"/>
              <w:rPr>
                <w:rFonts w:asciiTheme="majorHAnsi" w:hAnsiTheme="majorHAnsi"/>
                <w:b/>
                <w:bCs/>
                <w:color w:val="FFFFFF" w:themeColor="background1"/>
                <w:sz w:val="19"/>
                <w:szCs w:val="19"/>
                <w:lang w:val="es-ES"/>
              </w:rPr>
            </w:pPr>
            <w:r w:rsidRPr="00F40E13">
              <w:rPr>
                <w:rFonts w:asciiTheme="majorHAnsi" w:hAnsiTheme="majorHAnsi"/>
                <w:b/>
                <w:color w:val="FFFFFF" w:themeColor="background1"/>
                <w:sz w:val="19"/>
                <w:szCs w:val="19"/>
                <w:lang w:val="es-ES"/>
              </w:rPr>
              <w:t>P</w:t>
            </w:r>
            <w:r w:rsidR="004C2312" w:rsidRPr="00F40E13">
              <w:rPr>
                <w:rFonts w:asciiTheme="majorHAnsi" w:hAnsiTheme="majorHAnsi"/>
                <w:b/>
                <w:color w:val="FFFFFF" w:themeColor="background1"/>
                <w:sz w:val="19"/>
                <w:szCs w:val="19"/>
                <w:lang w:val="es-ES"/>
              </w:rPr>
              <w:t>rimera respuesta del Estado:</w:t>
            </w:r>
          </w:p>
        </w:tc>
        <w:tc>
          <w:tcPr>
            <w:tcW w:w="5760" w:type="dxa"/>
            <w:vAlign w:val="center"/>
          </w:tcPr>
          <w:p w14:paraId="1972B99E" w14:textId="03690C62" w:rsidR="004C2312" w:rsidRPr="00F40E13" w:rsidRDefault="00497D8D" w:rsidP="0060316C">
            <w:pPr>
              <w:jc w:val="both"/>
              <w:rPr>
                <w:rFonts w:asciiTheme="majorHAnsi" w:hAnsiTheme="majorHAnsi"/>
                <w:bCs/>
                <w:sz w:val="19"/>
                <w:szCs w:val="19"/>
                <w:lang w:val="es-ES"/>
              </w:rPr>
            </w:pPr>
            <w:r w:rsidRPr="00F40E13">
              <w:rPr>
                <w:rFonts w:asciiTheme="majorHAnsi" w:hAnsiTheme="majorHAnsi"/>
                <w:bCs/>
                <w:sz w:val="19"/>
                <w:szCs w:val="19"/>
                <w:lang w:val="es-ES"/>
              </w:rPr>
              <w:t>3 de octubre de 2014</w:t>
            </w:r>
          </w:p>
        </w:tc>
      </w:tr>
      <w:tr w:rsidR="004C2312" w:rsidRPr="00F40E1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F40E13" w:rsidRDefault="008E3BFE" w:rsidP="008E3BFE">
            <w:pPr>
              <w:jc w:val="center"/>
              <w:rPr>
                <w:rFonts w:asciiTheme="majorHAnsi" w:hAnsiTheme="majorHAnsi"/>
                <w:b/>
                <w:bCs/>
                <w:color w:val="FFFFFF" w:themeColor="background1"/>
                <w:sz w:val="19"/>
                <w:szCs w:val="19"/>
                <w:lang w:val="es-ES"/>
              </w:rPr>
            </w:pPr>
            <w:r w:rsidRPr="00F40E13">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700CC718" w:rsidR="004C2312" w:rsidRPr="00F40E13" w:rsidRDefault="00497D8D" w:rsidP="0060316C">
            <w:pPr>
              <w:jc w:val="both"/>
              <w:rPr>
                <w:rFonts w:asciiTheme="majorHAnsi" w:hAnsiTheme="majorHAnsi"/>
                <w:bCs/>
                <w:sz w:val="19"/>
                <w:szCs w:val="19"/>
                <w:lang w:val="es-ES"/>
              </w:rPr>
            </w:pPr>
            <w:r w:rsidRPr="00F40E13">
              <w:rPr>
                <w:rFonts w:asciiTheme="majorHAnsi" w:hAnsiTheme="majorHAnsi"/>
                <w:bCs/>
                <w:sz w:val="19"/>
                <w:szCs w:val="19"/>
                <w:lang w:val="es-ES"/>
              </w:rPr>
              <w:t>29 de diciembre de 2014</w:t>
            </w:r>
          </w:p>
        </w:tc>
      </w:tr>
      <w:tr w:rsidR="004C2312" w:rsidRPr="00F40E1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F40E13" w:rsidRDefault="004C2312" w:rsidP="008E3BFE">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Observaciones adicionales del Estado:</w:t>
            </w:r>
          </w:p>
        </w:tc>
        <w:tc>
          <w:tcPr>
            <w:tcW w:w="5760" w:type="dxa"/>
            <w:vAlign w:val="center"/>
          </w:tcPr>
          <w:p w14:paraId="3CE49AFE" w14:textId="0A538003" w:rsidR="004C2312" w:rsidRPr="00F40E13" w:rsidRDefault="00A636AF" w:rsidP="0060316C">
            <w:pPr>
              <w:jc w:val="both"/>
              <w:rPr>
                <w:rFonts w:asciiTheme="majorHAnsi" w:hAnsiTheme="majorHAnsi"/>
                <w:bCs/>
                <w:sz w:val="19"/>
                <w:szCs w:val="19"/>
              </w:rPr>
            </w:pPr>
            <w:r w:rsidRPr="00F40E13">
              <w:rPr>
                <w:rFonts w:asciiTheme="majorHAnsi" w:hAnsiTheme="majorHAnsi"/>
                <w:bCs/>
                <w:sz w:val="19"/>
                <w:szCs w:val="19"/>
              </w:rPr>
              <w:t>25 de junio de 2015</w:t>
            </w:r>
          </w:p>
        </w:tc>
      </w:tr>
    </w:tbl>
    <w:p w14:paraId="21DAA666" w14:textId="77777777" w:rsidR="003239B8" w:rsidRPr="00F40E13" w:rsidRDefault="003239B8" w:rsidP="003239B8">
      <w:pPr>
        <w:spacing w:before="240" w:after="240"/>
        <w:ind w:firstLine="720"/>
        <w:jc w:val="both"/>
        <w:rPr>
          <w:rFonts w:asciiTheme="majorHAnsi" w:hAnsiTheme="majorHAnsi"/>
          <w:b/>
          <w:bCs/>
          <w:sz w:val="19"/>
          <w:szCs w:val="19"/>
          <w:lang w:val="es-ES"/>
        </w:rPr>
      </w:pPr>
      <w:r w:rsidRPr="00F40E13">
        <w:rPr>
          <w:rFonts w:asciiTheme="majorHAnsi" w:hAnsiTheme="majorHAnsi"/>
          <w:b/>
          <w:bCs/>
          <w:sz w:val="19"/>
          <w:szCs w:val="19"/>
          <w:lang w:val="es-ES"/>
        </w:rPr>
        <w:t xml:space="preserve">III. </w:t>
      </w:r>
      <w:r w:rsidRPr="00F40E13">
        <w:rPr>
          <w:rFonts w:asciiTheme="majorHAnsi" w:hAnsiTheme="majorHAnsi"/>
          <w:b/>
          <w:bCs/>
          <w:sz w:val="19"/>
          <w:szCs w:val="19"/>
          <w:lang w:val="es-ES"/>
        </w:rPr>
        <w:tab/>
        <w:t>COMPETENCIA</w:t>
      </w:r>
      <w:r w:rsidR="00EE00E9" w:rsidRPr="00F40E13">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40E1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40E13" w:rsidRDefault="003239B8" w:rsidP="0060316C">
            <w:pPr>
              <w:jc w:val="center"/>
              <w:rPr>
                <w:rFonts w:asciiTheme="majorHAnsi" w:hAnsiTheme="majorHAnsi"/>
                <w:b/>
                <w:bCs/>
                <w:i/>
                <w:color w:val="FFFFFF" w:themeColor="background1"/>
                <w:sz w:val="19"/>
                <w:szCs w:val="19"/>
              </w:rPr>
            </w:pPr>
            <w:r w:rsidRPr="00F40E13">
              <w:rPr>
                <w:rFonts w:asciiTheme="majorHAnsi" w:hAnsiTheme="majorHAnsi"/>
                <w:b/>
                <w:bCs/>
                <w:color w:val="FFFFFF" w:themeColor="background1"/>
                <w:sz w:val="19"/>
                <w:szCs w:val="19"/>
              </w:rPr>
              <w:t>Competencia</w:t>
            </w:r>
            <w:r w:rsidRPr="00F40E13">
              <w:rPr>
                <w:rFonts w:asciiTheme="majorHAnsi" w:hAnsiTheme="majorHAnsi"/>
                <w:b/>
                <w:bCs/>
                <w:i/>
                <w:color w:val="FFFFFF" w:themeColor="background1"/>
                <w:sz w:val="19"/>
                <w:szCs w:val="19"/>
              </w:rPr>
              <w:t xml:space="preserve"> Ratione personae:</w:t>
            </w:r>
          </w:p>
        </w:tc>
        <w:tc>
          <w:tcPr>
            <w:tcW w:w="5760" w:type="dxa"/>
            <w:vAlign w:val="center"/>
          </w:tcPr>
          <w:p w14:paraId="7707F3E9" w14:textId="43DB95E3" w:rsidR="003239B8" w:rsidRPr="00F40E13" w:rsidRDefault="00AB5FFA" w:rsidP="0060316C">
            <w:pPr>
              <w:rPr>
                <w:rFonts w:asciiTheme="majorHAnsi" w:hAnsiTheme="majorHAnsi"/>
                <w:bCs/>
                <w:sz w:val="19"/>
                <w:szCs w:val="19"/>
              </w:rPr>
            </w:pPr>
            <w:r w:rsidRPr="00F40E13">
              <w:rPr>
                <w:rFonts w:asciiTheme="majorHAnsi" w:hAnsiTheme="majorHAnsi"/>
                <w:bCs/>
                <w:sz w:val="19"/>
                <w:szCs w:val="19"/>
              </w:rPr>
              <w:t>Sí</w:t>
            </w:r>
          </w:p>
        </w:tc>
      </w:tr>
      <w:tr w:rsidR="003239B8" w:rsidRPr="00F40E1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40E13" w:rsidRDefault="003239B8" w:rsidP="0060316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Competencia</w:t>
            </w:r>
            <w:r w:rsidRPr="00F40E13">
              <w:rPr>
                <w:rFonts w:asciiTheme="majorHAnsi" w:hAnsiTheme="majorHAnsi"/>
                <w:b/>
                <w:bCs/>
                <w:i/>
                <w:color w:val="FFFFFF" w:themeColor="background1"/>
                <w:sz w:val="19"/>
                <w:szCs w:val="19"/>
              </w:rPr>
              <w:t xml:space="preserve"> Ratione loci</w:t>
            </w:r>
            <w:r w:rsidRPr="00F40E13">
              <w:rPr>
                <w:rFonts w:asciiTheme="majorHAnsi" w:hAnsiTheme="majorHAnsi"/>
                <w:b/>
                <w:bCs/>
                <w:color w:val="FFFFFF" w:themeColor="background1"/>
                <w:sz w:val="19"/>
                <w:szCs w:val="19"/>
              </w:rPr>
              <w:t>:</w:t>
            </w:r>
          </w:p>
        </w:tc>
        <w:tc>
          <w:tcPr>
            <w:tcW w:w="5760" w:type="dxa"/>
            <w:vAlign w:val="center"/>
          </w:tcPr>
          <w:p w14:paraId="12C931CB" w14:textId="021CC6C0" w:rsidR="003239B8" w:rsidRPr="00F40E13" w:rsidRDefault="00AB5FFA" w:rsidP="0060316C">
            <w:pPr>
              <w:rPr>
                <w:rFonts w:asciiTheme="majorHAnsi" w:hAnsiTheme="majorHAnsi"/>
                <w:bCs/>
                <w:sz w:val="19"/>
                <w:szCs w:val="19"/>
              </w:rPr>
            </w:pPr>
            <w:r w:rsidRPr="00F40E13">
              <w:rPr>
                <w:rFonts w:asciiTheme="majorHAnsi" w:hAnsiTheme="majorHAnsi"/>
                <w:bCs/>
                <w:sz w:val="19"/>
                <w:szCs w:val="19"/>
              </w:rPr>
              <w:t>Sí</w:t>
            </w:r>
          </w:p>
        </w:tc>
      </w:tr>
      <w:tr w:rsidR="003239B8" w:rsidRPr="00F40E1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40E13" w:rsidRDefault="003239B8" w:rsidP="0060316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Competencia</w:t>
            </w:r>
            <w:r w:rsidRPr="00F40E13">
              <w:rPr>
                <w:rFonts w:asciiTheme="majorHAnsi" w:hAnsiTheme="majorHAnsi"/>
                <w:b/>
                <w:bCs/>
                <w:i/>
                <w:color w:val="FFFFFF" w:themeColor="background1"/>
                <w:sz w:val="19"/>
                <w:szCs w:val="19"/>
              </w:rPr>
              <w:t xml:space="preserve"> Ratione temporis</w:t>
            </w:r>
            <w:r w:rsidRPr="00F40E13">
              <w:rPr>
                <w:rFonts w:asciiTheme="majorHAnsi" w:hAnsiTheme="majorHAnsi"/>
                <w:b/>
                <w:bCs/>
                <w:color w:val="FFFFFF" w:themeColor="background1"/>
                <w:sz w:val="19"/>
                <w:szCs w:val="19"/>
              </w:rPr>
              <w:t>:</w:t>
            </w:r>
          </w:p>
        </w:tc>
        <w:tc>
          <w:tcPr>
            <w:tcW w:w="5760" w:type="dxa"/>
            <w:vAlign w:val="center"/>
          </w:tcPr>
          <w:p w14:paraId="6F8B059B" w14:textId="440A580C" w:rsidR="003239B8" w:rsidRPr="00F40E13" w:rsidRDefault="00AB5FFA" w:rsidP="0060316C">
            <w:pPr>
              <w:rPr>
                <w:rFonts w:asciiTheme="majorHAnsi" w:hAnsiTheme="majorHAnsi"/>
                <w:bCs/>
                <w:sz w:val="19"/>
                <w:szCs w:val="19"/>
              </w:rPr>
            </w:pPr>
            <w:r w:rsidRPr="00F40E13">
              <w:rPr>
                <w:rFonts w:asciiTheme="majorHAnsi" w:hAnsiTheme="majorHAnsi"/>
                <w:bCs/>
                <w:sz w:val="19"/>
                <w:szCs w:val="19"/>
              </w:rPr>
              <w:t>Sí</w:t>
            </w:r>
          </w:p>
        </w:tc>
      </w:tr>
      <w:tr w:rsidR="003239B8" w:rsidRPr="00A4370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40E13" w:rsidRDefault="003239B8" w:rsidP="0060316C">
            <w:pPr>
              <w:jc w:val="center"/>
              <w:rPr>
                <w:rFonts w:asciiTheme="majorHAnsi" w:hAnsiTheme="majorHAnsi"/>
                <w:b/>
                <w:bCs/>
                <w:color w:val="FFFFFF" w:themeColor="background1"/>
                <w:sz w:val="19"/>
                <w:szCs w:val="19"/>
              </w:rPr>
            </w:pPr>
            <w:r w:rsidRPr="00F40E13">
              <w:rPr>
                <w:rFonts w:asciiTheme="majorHAnsi" w:hAnsiTheme="majorHAnsi"/>
                <w:b/>
                <w:bCs/>
                <w:color w:val="FFFFFF" w:themeColor="background1"/>
                <w:sz w:val="19"/>
                <w:szCs w:val="19"/>
              </w:rPr>
              <w:t>Competencia</w:t>
            </w:r>
            <w:r w:rsidRPr="00F40E13">
              <w:rPr>
                <w:rFonts w:asciiTheme="majorHAnsi" w:hAnsiTheme="majorHAnsi"/>
                <w:b/>
                <w:bCs/>
                <w:i/>
                <w:color w:val="FFFFFF" w:themeColor="background1"/>
                <w:sz w:val="19"/>
                <w:szCs w:val="19"/>
              </w:rPr>
              <w:t xml:space="preserve"> Ratione materia</w:t>
            </w:r>
            <w:r w:rsidR="00EE00E9" w:rsidRPr="00F40E13">
              <w:rPr>
                <w:rFonts w:asciiTheme="majorHAnsi" w:hAnsiTheme="majorHAnsi"/>
                <w:b/>
                <w:bCs/>
                <w:i/>
                <w:color w:val="FFFFFF" w:themeColor="background1"/>
                <w:sz w:val="19"/>
                <w:szCs w:val="19"/>
              </w:rPr>
              <w:t>e</w:t>
            </w:r>
            <w:r w:rsidRPr="00F40E13">
              <w:rPr>
                <w:rFonts w:asciiTheme="majorHAnsi" w:hAnsiTheme="majorHAnsi"/>
                <w:b/>
                <w:bCs/>
                <w:color w:val="FFFFFF" w:themeColor="background1"/>
                <w:sz w:val="19"/>
                <w:szCs w:val="19"/>
              </w:rPr>
              <w:t>:</w:t>
            </w:r>
          </w:p>
        </w:tc>
        <w:tc>
          <w:tcPr>
            <w:tcW w:w="5760" w:type="dxa"/>
            <w:vAlign w:val="center"/>
          </w:tcPr>
          <w:p w14:paraId="0C122F44" w14:textId="3DBA44B9" w:rsidR="003239B8" w:rsidRPr="00F40E13" w:rsidRDefault="00AB5FFA" w:rsidP="0060316C">
            <w:pPr>
              <w:jc w:val="both"/>
              <w:rPr>
                <w:rFonts w:asciiTheme="majorHAnsi" w:hAnsiTheme="majorHAnsi"/>
                <w:bCs/>
                <w:sz w:val="19"/>
                <w:szCs w:val="19"/>
                <w:lang w:val="es-ES"/>
              </w:rPr>
            </w:pPr>
            <w:r w:rsidRPr="00F40E13">
              <w:rPr>
                <w:rFonts w:asciiTheme="majorHAnsi" w:hAnsiTheme="majorHAnsi"/>
                <w:bCs/>
                <w:sz w:val="19"/>
                <w:szCs w:val="19"/>
                <w:lang w:val="es-ES"/>
              </w:rPr>
              <w:t>Sí, Convención Americana (depósito del instrumento de ratificación el 19 de abril de 1985)</w:t>
            </w:r>
          </w:p>
        </w:tc>
      </w:tr>
    </w:tbl>
    <w:p w14:paraId="4E92C444" w14:textId="1DAF1B79" w:rsidR="003239B8" w:rsidRPr="00F40E13" w:rsidRDefault="003239B8" w:rsidP="003239B8">
      <w:pPr>
        <w:spacing w:before="240" w:after="240"/>
        <w:ind w:firstLine="720"/>
        <w:jc w:val="both"/>
        <w:rPr>
          <w:rFonts w:asciiTheme="majorHAnsi" w:hAnsiTheme="majorHAnsi"/>
          <w:b/>
          <w:bCs/>
          <w:sz w:val="19"/>
          <w:szCs w:val="19"/>
          <w:lang w:val="es-ES"/>
        </w:rPr>
      </w:pPr>
      <w:r w:rsidRPr="00F40E13">
        <w:rPr>
          <w:rFonts w:asciiTheme="majorHAnsi" w:hAnsiTheme="majorHAnsi"/>
          <w:b/>
          <w:bCs/>
          <w:sz w:val="19"/>
          <w:szCs w:val="19"/>
          <w:lang w:val="es-ES"/>
        </w:rPr>
        <w:t xml:space="preserve">IV. </w:t>
      </w:r>
      <w:r w:rsidRPr="00F40E13">
        <w:rPr>
          <w:rFonts w:asciiTheme="majorHAnsi" w:hAnsiTheme="majorHAnsi"/>
          <w:b/>
          <w:bCs/>
          <w:sz w:val="19"/>
          <w:szCs w:val="19"/>
          <w:lang w:val="es-ES"/>
        </w:rPr>
        <w:tab/>
      </w:r>
      <w:r w:rsidR="00EE00E9" w:rsidRPr="00F40E13">
        <w:rPr>
          <w:rFonts w:asciiTheme="majorHAnsi" w:hAnsiTheme="majorHAnsi"/>
          <w:b/>
          <w:bCs/>
          <w:sz w:val="19"/>
          <w:szCs w:val="19"/>
          <w:lang w:val="es-ES"/>
        </w:rPr>
        <w:t>DUPLICACIÓN</w:t>
      </w:r>
      <w:r w:rsidR="00EE00E9" w:rsidRPr="00F40E13">
        <w:rPr>
          <w:rFonts w:asciiTheme="majorHAnsi" w:hAnsiTheme="majorHAnsi"/>
          <w:b/>
          <w:bCs/>
          <w:color w:val="FFFFFF" w:themeColor="background1"/>
          <w:sz w:val="19"/>
          <w:szCs w:val="19"/>
          <w:lang w:val="es-ES"/>
        </w:rPr>
        <w:t xml:space="preserve"> </w:t>
      </w:r>
      <w:r w:rsidR="00EE00E9" w:rsidRPr="00F40E13">
        <w:rPr>
          <w:rFonts w:asciiTheme="majorHAnsi" w:hAnsiTheme="majorHAnsi"/>
          <w:b/>
          <w:bCs/>
          <w:sz w:val="19"/>
          <w:szCs w:val="19"/>
          <w:lang w:val="es-ES"/>
        </w:rPr>
        <w:t>DE PROCEDIMIENTOS Y COSA JUZGADA</w:t>
      </w:r>
      <w:r w:rsidR="00EE00E9" w:rsidRPr="00F40E13">
        <w:rPr>
          <w:rFonts w:asciiTheme="majorHAnsi" w:hAnsiTheme="majorHAnsi"/>
          <w:b/>
          <w:bCs/>
          <w:i/>
          <w:sz w:val="19"/>
          <w:szCs w:val="19"/>
          <w:lang w:val="es-ES"/>
        </w:rPr>
        <w:t xml:space="preserve"> </w:t>
      </w:r>
      <w:r w:rsidR="00EE00E9" w:rsidRPr="00F40E13">
        <w:rPr>
          <w:rFonts w:asciiTheme="majorHAnsi" w:hAnsiTheme="majorHAnsi"/>
          <w:b/>
          <w:bCs/>
          <w:sz w:val="19"/>
          <w:szCs w:val="19"/>
          <w:lang w:val="es-ES"/>
        </w:rPr>
        <w:t xml:space="preserve">INTERNACIONAL, </w:t>
      </w:r>
      <w:r w:rsidRPr="00F40E13">
        <w:rPr>
          <w:rFonts w:asciiTheme="majorHAnsi" w:hAnsiTheme="majorHAnsi"/>
          <w:b/>
          <w:bCs/>
          <w:sz w:val="19"/>
          <w:szCs w:val="19"/>
          <w:lang w:val="es-ES"/>
        </w:rPr>
        <w:t xml:space="preserve"> CARACTERIZACIÓN, </w:t>
      </w:r>
      <w:r w:rsidRPr="00F40E13">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40E1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40E13" w:rsidRDefault="00EE00E9" w:rsidP="0060316C">
            <w:pPr>
              <w:jc w:val="center"/>
              <w:rPr>
                <w:rFonts w:asciiTheme="majorHAnsi" w:hAnsiTheme="majorHAnsi"/>
                <w:b/>
                <w:bCs/>
                <w:color w:val="FFFFFF" w:themeColor="background1"/>
                <w:sz w:val="19"/>
                <w:szCs w:val="19"/>
                <w:lang w:val="es-ES"/>
              </w:rPr>
            </w:pPr>
            <w:r w:rsidRPr="00F40E13">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5EF17E2C" w:rsidR="00EE00E9" w:rsidRPr="00F40E13" w:rsidRDefault="00AC567E" w:rsidP="0060316C">
            <w:pPr>
              <w:jc w:val="both"/>
              <w:rPr>
                <w:rFonts w:asciiTheme="majorHAnsi" w:hAnsiTheme="majorHAnsi"/>
                <w:bCs/>
                <w:sz w:val="19"/>
                <w:szCs w:val="19"/>
                <w:lang w:val="es-ES"/>
              </w:rPr>
            </w:pPr>
            <w:r w:rsidRPr="00F40E13">
              <w:rPr>
                <w:rFonts w:asciiTheme="majorHAnsi" w:hAnsiTheme="majorHAnsi"/>
                <w:bCs/>
                <w:sz w:val="19"/>
                <w:szCs w:val="19"/>
                <w:lang w:val="es-ES"/>
              </w:rPr>
              <w:t>No</w:t>
            </w:r>
          </w:p>
        </w:tc>
      </w:tr>
      <w:tr w:rsidR="003239B8" w:rsidRPr="008A4A3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40E13" w:rsidRDefault="003239B8" w:rsidP="0060316C">
            <w:pPr>
              <w:jc w:val="center"/>
              <w:rPr>
                <w:rFonts w:asciiTheme="majorHAnsi" w:hAnsiTheme="majorHAnsi"/>
                <w:b/>
                <w:bCs/>
                <w:i/>
                <w:color w:val="FFFFFF" w:themeColor="background1"/>
                <w:sz w:val="19"/>
                <w:szCs w:val="19"/>
              </w:rPr>
            </w:pPr>
            <w:r w:rsidRPr="00F40E13">
              <w:rPr>
                <w:rFonts w:asciiTheme="majorHAnsi" w:hAnsiTheme="majorHAnsi"/>
                <w:b/>
                <w:bCs/>
                <w:color w:val="FFFFFF" w:themeColor="background1"/>
                <w:sz w:val="19"/>
                <w:szCs w:val="19"/>
              </w:rPr>
              <w:t>Derechos declarados admisibles</w:t>
            </w:r>
            <w:r w:rsidRPr="00F40E13">
              <w:rPr>
                <w:rFonts w:asciiTheme="majorHAnsi" w:hAnsiTheme="majorHAnsi"/>
                <w:b/>
                <w:bCs/>
                <w:i/>
                <w:color w:val="FFFFFF" w:themeColor="background1"/>
                <w:sz w:val="19"/>
                <w:szCs w:val="19"/>
              </w:rPr>
              <w:t>:</w:t>
            </w:r>
          </w:p>
        </w:tc>
        <w:tc>
          <w:tcPr>
            <w:tcW w:w="5760" w:type="dxa"/>
            <w:vAlign w:val="center"/>
          </w:tcPr>
          <w:p w14:paraId="6310C8F7" w14:textId="5F801E67" w:rsidR="003239B8" w:rsidRPr="00F40E13" w:rsidRDefault="008A4A38" w:rsidP="006E1777">
            <w:pPr>
              <w:jc w:val="both"/>
              <w:rPr>
                <w:rFonts w:asciiTheme="majorHAnsi" w:hAnsiTheme="majorHAnsi"/>
                <w:bCs/>
                <w:sz w:val="19"/>
                <w:szCs w:val="19"/>
                <w:lang w:val="es-PA"/>
              </w:rPr>
            </w:pPr>
            <w:r>
              <w:rPr>
                <w:rFonts w:asciiTheme="majorHAnsi" w:hAnsiTheme="majorHAnsi"/>
                <w:bCs/>
                <w:sz w:val="19"/>
                <w:szCs w:val="19"/>
                <w:lang w:val="es-PA"/>
              </w:rPr>
              <w:t>Ninguno</w:t>
            </w:r>
          </w:p>
        </w:tc>
      </w:tr>
      <w:tr w:rsidR="003239B8" w:rsidRPr="00F40E1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40E13" w:rsidRDefault="003239B8" w:rsidP="0060316C">
            <w:pPr>
              <w:jc w:val="center"/>
              <w:rPr>
                <w:rFonts w:asciiTheme="majorHAnsi" w:hAnsiTheme="majorHAnsi"/>
                <w:b/>
                <w:bCs/>
                <w:color w:val="FFFFFF" w:themeColor="background1"/>
                <w:sz w:val="19"/>
                <w:szCs w:val="19"/>
                <w:lang w:val="es-ES"/>
              </w:rPr>
            </w:pPr>
            <w:r w:rsidRPr="00F40E13">
              <w:rPr>
                <w:rFonts w:asciiTheme="majorHAnsi" w:hAnsiTheme="majorHAnsi"/>
                <w:b/>
                <w:bCs/>
                <w:color w:val="FFFFFF" w:themeColor="background1"/>
                <w:sz w:val="19"/>
                <w:szCs w:val="19"/>
                <w:lang w:val="es-ES"/>
              </w:rPr>
              <w:t>Agotamiento de recursos internos</w:t>
            </w:r>
            <w:r w:rsidR="00EE00E9" w:rsidRPr="00F40E13">
              <w:rPr>
                <w:rFonts w:asciiTheme="majorHAnsi" w:hAnsiTheme="majorHAnsi"/>
                <w:b/>
                <w:bCs/>
                <w:color w:val="FFFFFF" w:themeColor="background1"/>
                <w:sz w:val="19"/>
                <w:szCs w:val="19"/>
                <w:lang w:val="es-ES"/>
              </w:rPr>
              <w:t xml:space="preserve"> o procedencia de una excepción</w:t>
            </w:r>
            <w:r w:rsidRPr="00F40E13">
              <w:rPr>
                <w:rFonts w:asciiTheme="majorHAnsi" w:hAnsiTheme="majorHAnsi"/>
                <w:b/>
                <w:bCs/>
                <w:color w:val="FFFFFF" w:themeColor="background1"/>
                <w:sz w:val="19"/>
                <w:szCs w:val="19"/>
                <w:lang w:val="es-ES"/>
              </w:rPr>
              <w:t>:</w:t>
            </w:r>
          </w:p>
        </w:tc>
        <w:tc>
          <w:tcPr>
            <w:tcW w:w="5760" w:type="dxa"/>
            <w:vAlign w:val="center"/>
          </w:tcPr>
          <w:p w14:paraId="69C53E8A" w14:textId="30F82F10" w:rsidR="003239B8" w:rsidRPr="00F40E13" w:rsidRDefault="00332B7C" w:rsidP="00DE24F2">
            <w:pPr>
              <w:rPr>
                <w:rFonts w:asciiTheme="majorHAnsi" w:hAnsiTheme="majorHAnsi"/>
                <w:bCs/>
                <w:sz w:val="19"/>
                <w:szCs w:val="19"/>
                <w:lang w:val="es-ES"/>
              </w:rPr>
            </w:pPr>
            <w:r w:rsidRPr="00F40E13">
              <w:rPr>
                <w:rFonts w:asciiTheme="majorHAnsi" w:hAnsiTheme="majorHAnsi"/>
                <w:bCs/>
                <w:sz w:val="19"/>
                <w:szCs w:val="19"/>
                <w:lang w:val="es-ES"/>
              </w:rPr>
              <w:t xml:space="preserve">Sí, 19 de </w:t>
            </w:r>
            <w:r w:rsidR="00DE24F2" w:rsidRPr="00F40E13">
              <w:rPr>
                <w:rFonts w:asciiTheme="majorHAnsi" w:hAnsiTheme="majorHAnsi"/>
                <w:bCs/>
                <w:sz w:val="19"/>
                <w:szCs w:val="19"/>
                <w:lang w:val="es-ES"/>
              </w:rPr>
              <w:t>mayo</w:t>
            </w:r>
            <w:r w:rsidRPr="00F40E13">
              <w:rPr>
                <w:rFonts w:asciiTheme="majorHAnsi" w:hAnsiTheme="majorHAnsi"/>
                <w:bCs/>
                <w:sz w:val="19"/>
                <w:szCs w:val="19"/>
                <w:lang w:val="es-ES"/>
              </w:rPr>
              <w:t xml:space="preserve"> de 2010</w:t>
            </w:r>
          </w:p>
        </w:tc>
      </w:tr>
      <w:tr w:rsidR="003239B8" w:rsidRPr="00F40E1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40E13" w:rsidRDefault="003239B8" w:rsidP="0060316C">
            <w:pPr>
              <w:jc w:val="center"/>
              <w:rPr>
                <w:rFonts w:asciiTheme="majorHAnsi" w:hAnsiTheme="majorHAnsi"/>
                <w:b/>
                <w:bCs/>
                <w:color w:val="FFFFFF" w:themeColor="background1"/>
                <w:sz w:val="19"/>
                <w:szCs w:val="19"/>
                <w:lang w:val="es-PA"/>
              </w:rPr>
            </w:pPr>
            <w:r w:rsidRPr="00F40E13">
              <w:rPr>
                <w:rFonts w:asciiTheme="majorHAnsi" w:hAnsiTheme="majorHAnsi"/>
                <w:b/>
                <w:bCs/>
                <w:color w:val="FFFFFF" w:themeColor="background1"/>
                <w:sz w:val="19"/>
                <w:szCs w:val="19"/>
                <w:lang w:val="es-PA"/>
              </w:rPr>
              <w:t>Presentación dentro de plazo:</w:t>
            </w:r>
          </w:p>
        </w:tc>
        <w:tc>
          <w:tcPr>
            <w:tcW w:w="5760" w:type="dxa"/>
            <w:vAlign w:val="center"/>
          </w:tcPr>
          <w:p w14:paraId="4A2A4569" w14:textId="5BD78626" w:rsidR="003239B8" w:rsidRPr="00F40E13" w:rsidRDefault="00332B7C" w:rsidP="0060316C">
            <w:pPr>
              <w:rPr>
                <w:rFonts w:asciiTheme="majorHAnsi" w:hAnsiTheme="majorHAnsi"/>
                <w:bCs/>
                <w:sz w:val="19"/>
                <w:szCs w:val="19"/>
                <w:lang w:val="es-PA"/>
              </w:rPr>
            </w:pPr>
            <w:r w:rsidRPr="00F40E13">
              <w:rPr>
                <w:rFonts w:asciiTheme="majorHAnsi" w:hAnsiTheme="majorHAnsi"/>
                <w:bCs/>
                <w:sz w:val="19"/>
                <w:szCs w:val="19"/>
                <w:lang w:val="es-PA"/>
              </w:rPr>
              <w:t>Sí, 21 de octubre de 2010</w:t>
            </w:r>
          </w:p>
        </w:tc>
      </w:tr>
    </w:tbl>
    <w:p w14:paraId="3E2D6956" w14:textId="7CF5594E" w:rsidR="00DA489E" w:rsidRPr="00B51E47" w:rsidRDefault="00223A29" w:rsidP="00B51E47">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B51E47">
        <w:rPr>
          <w:rFonts w:asciiTheme="majorHAnsi" w:hAnsiTheme="majorHAnsi"/>
          <w:b/>
          <w:sz w:val="20"/>
          <w:szCs w:val="20"/>
          <w:lang w:val="es-UY"/>
        </w:rPr>
        <w:t xml:space="preserve">HECHOS ALEGADOS </w:t>
      </w:r>
    </w:p>
    <w:p w14:paraId="1247541F" w14:textId="438E70EF" w:rsidR="00376DC6" w:rsidRPr="000E4615" w:rsidRDefault="00DA489E" w:rsidP="00B2366A">
      <w:pPr>
        <w:pStyle w:val="ListParagraph"/>
        <w:numPr>
          <w:ilvl w:val="0"/>
          <w:numId w:val="103"/>
        </w:numPr>
        <w:jc w:val="both"/>
        <w:rPr>
          <w:rFonts w:asciiTheme="majorHAnsi" w:hAnsiTheme="majorHAnsi"/>
          <w:bCs/>
          <w:sz w:val="20"/>
          <w:szCs w:val="20"/>
          <w:lang w:val="es-PA"/>
        </w:rPr>
      </w:pPr>
      <w:r w:rsidRPr="00DA489E">
        <w:rPr>
          <w:rFonts w:asciiTheme="majorHAnsi" w:hAnsiTheme="majorHAnsi"/>
          <w:bCs/>
          <w:sz w:val="20"/>
          <w:szCs w:val="20"/>
          <w:lang w:val="es-PA"/>
        </w:rPr>
        <w:t>Germán Aller Maisonnave y Berch Rupenian Bichakdjian (en adelante "los peticionarios") denuncia</w:t>
      </w:r>
      <w:r w:rsidR="00993A82">
        <w:rPr>
          <w:rFonts w:asciiTheme="majorHAnsi" w:hAnsiTheme="majorHAnsi"/>
          <w:bCs/>
          <w:sz w:val="20"/>
          <w:szCs w:val="20"/>
          <w:lang w:val="es-PA"/>
        </w:rPr>
        <w:t>n</w:t>
      </w:r>
      <w:r w:rsidRPr="00DA489E">
        <w:rPr>
          <w:rFonts w:asciiTheme="majorHAnsi" w:hAnsiTheme="majorHAnsi"/>
          <w:bCs/>
          <w:sz w:val="20"/>
          <w:szCs w:val="20"/>
          <w:lang w:val="es-PA"/>
        </w:rPr>
        <w:t xml:space="preserve"> presuntas violaciones a los derechos humanos de </w:t>
      </w:r>
      <w:r w:rsidRPr="00DA489E">
        <w:rPr>
          <w:rFonts w:asciiTheme="majorHAnsi" w:hAnsiTheme="majorHAnsi" w:cs="Arial"/>
          <w:color w:val="000000" w:themeColor="text1"/>
          <w:sz w:val="20"/>
          <w:szCs w:val="20"/>
          <w:lang w:val="es-ES_tradnl"/>
        </w:rPr>
        <w:t>Mar</w:t>
      </w:r>
      <w:r w:rsidR="0042028E">
        <w:rPr>
          <w:rFonts w:asciiTheme="majorHAnsi" w:hAnsiTheme="majorHAnsi" w:cs="Arial"/>
          <w:color w:val="000000" w:themeColor="text1"/>
          <w:sz w:val="20"/>
          <w:szCs w:val="20"/>
          <w:lang w:val="es-PA"/>
        </w:rPr>
        <w:t xml:space="preserve">ía Meyber Bichakdjian Altounian y sus dos </w:t>
      </w:r>
      <w:r w:rsidR="0042028E">
        <w:rPr>
          <w:rFonts w:asciiTheme="majorHAnsi" w:hAnsiTheme="majorHAnsi" w:cs="Arial"/>
          <w:color w:val="000000" w:themeColor="text1"/>
          <w:sz w:val="20"/>
          <w:szCs w:val="20"/>
          <w:lang w:val="es-PA"/>
        </w:rPr>
        <w:lastRenderedPageBreak/>
        <w:t>hijos</w:t>
      </w:r>
      <w:r w:rsidRPr="00DA489E">
        <w:rPr>
          <w:rFonts w:asciiTheme="majorHAnsi" w:hAnsiTheme="majorHAnsi" w:cs="Arial"/>
          <w:color w:val="000000" w:themeColor="text1"/>
          <w:sz w:val="20"/>
          <w:szCs w:val="20"/>
          <w:lang w:val="es-PA"/>
        </w:rPr>
        <w:t xml:space="preserve"> </w:t>
      </w:r>
      <w:r w:rsidRPr="00DA489E">
        <w:rPr>
          <w:bCs/>
          <w:sz w:val="20"/>
          <w:szCs w:val="20"/>
          <w:lang w:val="es-PA"/>
        </w:rPr>
        <w:t>Berch y Aram Rupenian Bichakdjian</w:t>
      </w:r>
      <w:r w:rsidR="0023341C">
        <w:rPr>
          <w:rStyle w:val="FootnoteReference"/>
          <w:bCs/>
          <w:sz w:val="20"/>
          <w:szCs w:val="20"/>
          <w:lang w:val="es-PA"/>
        </w:rPr>
        <w:footnoteReference w:id="7"/>
      </w:r>
      <w:r>
        <w:rPr>
          <w:bCs/>
          <w:sz w:val="20"/>
          <w:szCs w:val="20"/>
          <w:lang w:val="es-PA"/>
        </w:rPr>
        <w:t xml:space="preserve"> (en adelante “las presuntas víctimas”)</w:t>
      </w:r>
      <w:r w:rsidR="00B51E47">
        <w:rPr>
          <w:bCs/>
          <w:sz w:val="20"/>
          <w:szCs w:val="20"/>
          <w:lang w:val="es-PA"/>
        </w:rPr>
        <w:t>, producto de la</w:t>
      </w:r>
      <w:r w:rsidR="00993A82">
        <w:rPr>
          <w:bCs/>
          <w:sz w:val="20"/>
          <w:szCs w:val="20"/>
          <w:lang w:val="es-PA"/>
        </w:rPr>
        <w:t xml:space="preserve"> supuesta cancelación ilegítima de los permisos de radiodifusión de cuatro frecuencias de radio.</w:t>
      </w:r>
      <w:r w:rsidR="0023341C">
        <w:rPr>
          <w:bCs/>
          <w:sz w:val="20"/>
          <w:szCs w:val="20"/>
          <w:lang w:val="es-PA"/>
        </w:rPr>
        <w:t xml:space="preserve"> En adici</w:t>
      </w:r>
      <w:r w:rsidR="00974D3F">
        <w:rPr>
          <w:bCs/>
          <w:sz w:val="20"/>
          <w:szCs w:val="20"/>
          <w:lang w:val="es-PA"/>
        </w:rPr>
        <w:t>ón, alegan</w:t>
      </w:r>
      <w:r w:rsidR="0023341C">
        <w:rPr>
          <w:bCs/>
          <w:sz w:val="20"/>
          <w:szCs w:val="20"/>
          <w:lang w:val="es-PA"/>
        </w:rPr>
        <w:t xml:space="preserve"> que los señores </w:t>
      </w:r>
      <w:r w:rsidR="00015797">
        <w:rPr>
          <w:bCs/>
          <w:sz w:val="20"/>
          <w:szCs w:val="20"/>
          <w:lang w:val="es-PA"/>
        </w:rPr>
        <w:t xml:space="preserve">Berch y Aram Rupenian </w:t>
      </w:r>
      <w:r w:rsidR="00015797" w:rsidRPr="00DA489E">
        <w:rPr>
          <w:bCs/>
          <w:sz w:val="20"/>
          <w:szCs w:val="20"/>
          <w:lang w:val="es-PA"/>
        </w:rPr>
        <w:t>Bichakdjian</w:t>
      </w:r>
      <w:r w:rsidR="00015797">
        <w:rPr>
          <w:bCs/>
          <w:sz w:val="20"/>
          <w:szCs w:val="20"/>
          <w:lang w:val="es-PA"/>
        </w:rPr>
        <w:t xml:space="preserve"> estuvieron privados de libertad por ciento cuarenta y ocho días en condiciones incompatibles con sus derechos humanos</w:t>
      </w:r>
      <w:r w:rsidR="00974D3F">
        <w:rPr>
          <w:bCs/>
          <w:sz w:val="20"/>
          <w:szCs w:val="20"/>
          <w:lang w:val="es-PA"/>
        </w:rPr>
        <w:t>.</w:t>
      </w:r>
    </w:p>
    <w:p w14:paraId="0893C7FB" w14:textId="77777777" w:rsidR="000E4615" w:rsidRPr="000E4615" w:rsidRDefault="000E4615" w:rsidP="00B2366A">
      <w:pPr>
        <w:pStyle w:val="ListParagraph"/>
        <w:jc w:val="both"/>
        <w:rPr>
          <w:rFonts w:asciiTheme="majorHAnsi" w:hAnsiTheme="majorHAnsi"/>
          <w:bCs/>
          <w:sz w:val="20"/>
          <w:szCs w:val="20"/>
          <w:lang w:val="es-PA"/>
        </w:rPr>
      </w:pPr>
    </w:p>
    <w:p w14:paraId="3DB7862C" w14:textId="4F4BAAA3" w:rsidR="00974D3F" w:rsidRPr="00AC3C1B" w:rsidRDefault="00376DC6"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 xml:space="preserve">Los peticionarios </w:t>
      </w:r>
      <w:r w:rsidR="002B375B">
        <w:rPr>
          <w:rFonts w:asciiTheme="majorHAnsi" w:hAnsiTheme="majorHAnsi"/>
          <w:bCs/>
          <w:sz w:val="20"/>
          <w:szCs w:val="20"/>
          <w:lang w:val="es-PA"/>
        </w:rPr>
        <w:t>manifiestan</w:t>
      </w:r>
      <w:r>
        <w:rPr>
          <w:rFonts w:asciiTheme="majorHAnsi" w:hAnsiTheme="majorHAnsi"/>
          <w:bCs/>
          <w:sz w:val="20"/>
          <w:szCs w:val="20"/>
          <w:lang w:val="es-PA"/>
        </w:rPr>
        <w:t xml:space="preserve"> que</w:t>
      </w:r>
      <w:r w:rsidR="00736518">
        <w:rPr>
          <w:rFonts w:asciiTheme="majorHAnsi" w:hAnsiTheme="majorHAnsi"/>
          <w:bCs/>
          <w:sz w:val="20"/>
          <w:szCs w:val="20"/>
          <w:lang w:val="es-PA"/>
        </w:rPr>
        <w:t xml:space="preserve"> las presuntas víctimas eran titulares de cuatro estaciones de radio, según </w:t>
      </w:r>
      <w:r w:rsidR="004E186D">
        <w:rPr>
          <w:rFonts w:asciiTheme="majorHAnsi" w:hAnsiTheme="majorHAnsi"/>
          <w:bCs/>
          <w:sz w:val="20"/>
          <w:szCs w:val="20"/>
          <w:lang w:val="es-PA"/>
        </w:rPr>
        <w:t>señalan</w:t>
      </w:r>
      <w:r w:rsidR="002B375B">
        <w:rPr>
          <w:rFonts w:asciiTheme="majorHAnsi" w:hAnsiTheme="majorHAnsi"/>
          <w:bCs/>
          <w:sz w:val="20"/>
          <w:szCs w:val="20"/>
          <w:lang w:val="es-PA"/>
        </w:rPr>
        <w:t>:</w:t>
      </w:r>
      <w:r>
        <w:rPr>
          <w:rFonts w:asciiTheme="majorHAnsi" w:hAnsiTheme="majorHAnsi"/>
          <w:bCs/>
          <w:sz w:val="20"/>
          <w:szCs w:val="20"/>
          <w:lang w:val="es-PA"/>
        </w:rPr>
        <w:t xml:space="preserve"> </w:t>
      </w:r>
      <w:r w:rsidR="00736518">
        <w:rPr>
          <w:rFonts w:asciiTheme="majorHAnsi" w:hAnsiTheme="majorHAnsi"/>
          <w:bCs/>
          <w:sz w:val="20"/>
          <w:szCs w:val="20"/>
          <w:lang w:val="es-PA"/>
        </w:rPr>
        <w:t xml:space="preserve">(1) </w:t>
      </w:r>
      <w:r w:rsidRPr="00DA489E">
        <w:rPr>
          <w:rFonts w:asciiTheme="majorHAnsi" w:hAnsiTheme="majorHAnsi" w:cs="Arial"/>
          <w:color w:val="000000" w:themeColor="text1"/>
          <w:sz w:val="20"/>
          <w:szCs w:val="20"/>
          <w:lang w:val="es-ES_tradnl"/>
        </w:rPr>
        <w:t>Mar</w:t>
      </w:r>
      <w:r w:rsidRPr="00DA489E">
        <w:rPr>
          <w:rFonts w:asciiTheme="majorHAnsi" w:hAnsiTheme="majorHAnsi" w:cs="Arial"/>
          <w:color w:val="000000" w:themeColor="text1"/>
          <w:sz w:val="20"/>
          <w:szCs w:val="20"/>
          <w:lang w:val="es-PA"/>
        </w:rPr>
        <w:t>ía Meyber Bichakdjian</w:t>
      </w:r>
      <w:r>
        <w:rPr>
          <w:rFonts w:asciiTheme="majorHAnsi" w:hAnsiTheme="majorHAnsi" w:cs="Arial"/>
          <w:color w:val="000000" w:themeColor="text1"/>
          <w:sz w:val="20"/>
          <w:szCs w:val="20"/>
          <w:lang w:val="es-PA"/>
        </w:rPr>
        <w:t xml:space="preserve"> era la directora y única integrante de la persona jurídica PARASEL S.A., quien a su vez era la</w:t>
      </w:r>
      <w:r w:rsidR="00736518">
        <w:rPr>
          <w:rFonts w:asciiTheme="majorHAnsi" w:hAnsiTheme="majorHAnsi" w:cs="Arial"/>
          <w:color w:val="000000" w:themeColor="text1"/>
          <w:sz w:val="20"/>
          <w:szCs w:val="20"/>
          <w:lang w:val="es-PA"/>
        </w:rPr>
        <w:t xml:space="preserve"> única</w:t>
      </w:r>
      <w:r>
        <w:rPr>
          <w:rFonts w:asciiTheme="majorHAnsi" w:hAnsiTheme="majorHAnsi" w:cs="Arial"/>
          <w:color w:val="000000" w:themeColor="text1"/>
          <w:sz w:val="20"/>
          <w:szCs w:val="20"/>
          <w:lang w:val="es-PA"/>
        </w:rPr>
        <w:t xml:space="preserve"> titular de </w:t>
      </w:r>
      <w:r w:rsidR="00A07A33">
        <w:rPr>
          <w:rFonts w:asciiTheme="majorHAnsi" w:hAnsiTheme="majorHAnsi" w:cs="Arial"/>
          <w:color w:val="000000" w:themeColor="text1"/>
          <w:sz w:val="20"/>
          <w:szCs w:val="20"/>
          <w:lang w:val="es-PA"/>
        </w:rPr>
        <w:t xml:space="preserve">CONCIERTO FM </w:t>
      </w:r>
      <w:r>
        <w:rPr>
          <w:rFonts w:asciiTheme="majorHAnsi" w:hAnsiTheme="majorHAnsi" w:cs="Arial"/>
          <w:color w:val="000000" w:themeColor="text1"/>
          <w:sz w:val="20"/>
          <w:szCs w:val="20"/>
          <w:lang w:val="es-PA"/>
        </w:rPr>
        <w:t xml:space="preserve"> que transmitía en la frecuencia 94.7 M</w:t>
      </w:r>
      <w:r w:rsidR="00A07A33">
        <w:rPr>
          <w:rFonts w:asciiTheme="majorHAnsi" w:hAnsiTheme="majorHAnsi" w:cs="Arial"/>
          <w:color w:val="000000" w:themeColor="text1"/>
          <w:sz w:val="20"/>
          <w:szCs w:val="20"/>
          <w:lang w:val="es-PA"/>
        </w:rPr>
        <w:t>Hz de Montevideo bajo el permiso CXD 234</w:t>
      </w:r>
      <w:r w:rsidR="00736518">
        <w:rPr>
          <w:rFonts w:asciiTheme="majorHAnsi" w:hAnsiTheme="majorHAnsi" w:cs="Arial"/>
          <w:color w:val="000000" w:themeColor="text1"/>
          <w:sz w:val="20"/>
          <w:szCs w:val="20"/>
          <w:lang w:val="es-PA"/>
        </w:rPr>
        <w:t xml:space="preserve">; </w:t>
      </w:r>
      <w:r w:rsidR="00A07A33">
        <w:rPr>
          <w:rFonts w:asciiTheme="majorHAnsi" w:hAnsiTheme="majorHAnsi" w:cs="Arial"/>
          <w:color w:val="000000" w:themeColor="text1"/>
          <w:sz w:val="20"/>
          <w:szCs w:val="20"/>
          <w:lang w:val="es-PA"/>
        </w:rPr>
        <w:t xml:space="preserve"> </w:t>
      </w:r>
      <w:r w:rsidR="00736518">
        <w:rPr>
          <w:rFonts w:asciiTheme="majorHAnsi" w:hAnsiTheme="majorHAnsi" w:cs="Arial"/>
          <w:color w:val="000000" w:themeColor="text1"/>
          <w:sz w:val="20"/>
          <w:szCs w:val="20"/>
          <w:lang w:val="es-PA"/>
        </w:rPr>
        <w:t xml:space="preserve">(2) </w:t>
      </w:r>
      <w:r w:rsidR="00A07A33">
        <w:rPr>
          <w:rFonts w:asciiTheme="majorHAnsi" w:hAnsiTheme="majorHAnsi" w:cs="Arial"/>
          <w:color w:val="000000" w:themeColor="text1"/>
          <w:sz w:val="20"/>
          <w:szCs w:val="20"/>
          <w:lang w:val="es-PA"/>
        </w:rPr>
        <w:t xml:space="preserve">Berch </w:t>
      </w:r>
      <w:r w:rsidR="00A07A33" w:rsidRPr="00DA489E">
        <w:rPr>
          <w:bCs/>
          <w:sz w:val="20"/>
          <w:szCs w:val="20"/>
          <w:lang w:val="es-PA"/>
        </w:rPr>
        <w:t>Rupenian Bichakdjian</w:t>
      </w:r>
      <w:r w:rsidR="00A07A33">
        <w:rPr>
          <w:rFonts w:asciiTheme="majorHAnsi" w:hAnsiTheme="majorHAnsi" w:cs="Arial"/>
          <w:color w:val="000000" w:themeColor="text1"/>
          <w:sz w:val="20"/>
          <w:szCs w:val="20"/>
          <w:lang w:val="es-PA"/>
        </w:rPr>
        <w:t xml:space="preserve"> era el único titular de la estación de radio CONCIERTO PUNTA que transmitía en la frecuencia 94.3 MHZ de Maldonado bajo el permiso CX 232</w:t>
      </w:r>
      <w:r w:rsidR="004E186D">
        <w:rPr>
          <w:rFonts w:asciiTheme="majorHAnsi" w:hAnsiTheme="majorHAnsi" w:cs="Arial"/>
          <w:color w:val="000000" w:themeColor="text1"/>
          <w:sz w:val="20"/>
          <w:szCs w:val="20"/>
          <w:lang w:val="es-PA"/>
        </w:rPr>
        <w:t>;</w:t>
      </w:r>
      <w:r w:rsidR="002B375B">
        <w:rPr>
          <w:rFonts w:asciiTheme="majorHAnsi" w:hAnsiTheme="majorHAnsi" w:cs="Arial"/>
          <w:color w:val="000000" w:themeColor="text1"/>
          <w:sz w:val="20"/>
          <w:szCs w:val="20"/>
          <w:lang w:val="es-PA"/>
        </w:rPr>
        <w:t xml:space="preserve"> </w:t>
      </w:r>
      <w:r w:rsidR="00A07A33">
        <w:rPr>
          <w:bCs/>
          <w:sz w:val="20"/>
          <w:szCs w:val="20"/>
          <w:lang w:val="es-PA"/>
        </w:rPr>
        <w:t xml:space="preserve">Aram Rupenian </w:t>
      </w:r>
      <w:r w:rsidR="00A07A33" w:rsidRPr="00DA489E">
        <w:rPr>
          <w:bCs/>
          <w:sz w:val="20"/>
          <w:szCs w:val="20"/>
          <w:lang w:val="es-PA"/>
        </w:rPr>
        <w:t>Bichakdjian</w:t>
      </w:r>
      <w:r w:rsidR="00A07A33">
        <w:rPr>
          <w:bCs/>
          <w:sz w:val="20"/>
          <w:szCs w:val="20"/>
          <w:lang w:val="es-PA"/>
        </w:rPr>
        <w:t xml:space="preserve"> era único </w:t>
      </w:r>
      <w:r w:rsidR="00736518">
        <w:rPr>
          <w:bCs/>
          <w:sz w:val="20"/>
          <w:szCs w:val="20"/>
          <w:lang w:val="es-PA"/>
        </w:rPr>
        <w:t>titular de  RADIO UNO  que</w:t>
      </w:r>
      <w:r w:rsidR="004E186D">
        <w:rPr>
          <w:bCs/>
          <w:sz w:val="20"/>
          <w:szCs w:val="20"/>
          <w:lang w:val="es-PA"/>
        </w:rPr>
        <w:t xml:space="preserve"> transmitía en la frecuencia 105.3 MHz de Maldonado bajo el permiso CX 287; y (4) Las tres presuntas víctimas eran las únicas integrantes de la sociedad de responsabilidad limitada RADIO INDEPENDENCIA S.R.L quien a su vez era titular de </w:t>
      </w:r>
      <w:r w:rsidR="003D3CD2">
        <w:rPr>
          <w:bCs/>
          <w:sz w:val="20"/>
          <w:szCs w:val="20"/>
          <w:lang w:val="es-PA"/>
        </w:rPr>
        <w:t xml:space="preserve">RADIO INDEPENDENCIA que transmitía en la frecuencia 1.530 KHz de Montevideo bajo el permiso CX 50. </w:t>
      </w:r>
      <w:r w:rsidR="00D969D8">
        <w:rPr>
          <w:bCs/>
          <w:sz w:val="20"/>
          <w:szCs w:val="20"/>
          <w:lang w:val="es-PA"/>
        </w:rPr>
        <w:t xml:space="preserve"> </w:t>
      </w:r>
      <w:r w:rsidR="002B375B">
        <w:rPr>
          <w:bCs/>
          <w:sz w:val="20"/>
          <w:szCs w:val="20"/>
          <w:lang w:val="es-PA"/>
        </w:rPr>
        <w:t xml:space="preserve">Indican que la programación de las estaciones era variada comprendiendo contenido musical, cultural, periodístico y político. </w:t>
      </w:r>
    </w:p>
    <w:p w14:paraId="38A9CE2B" w14:textId="77777777" w:rsidR="00AC3C1B" w:rsidRPr="00AC3C1B" w:rsidRDefault="00AC3C1B" w:rsidP="00B2366A">
      <w:pPr>
        <w:pStyle w:val="ListParagraph"/>
        <w:rPr>
          <w:rFonts w:asciiTheme="majorHAnsi" w:hAnsiTheme="majorHAnsi"/>
          <w:bCs/>
          <w:sz w:val="20"/>
          <w:szCs w:val="20"/>
          <w:lang w:val="es-PA"/>
        </w:rPr>
      </w:pPr>
    </w:p>
    <w:p w14:paraId="56009078" w14:textId="005375D9" w:rsidR="00B73497" w:rsidRDefault="000F65FE"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 xml:space="preserve">Señalan que el 11 de agosto de 2004 el Director de la Dirección General Impositiva (en adelante “la DGI”) emitió la resolución No. 422/004 resolviendo que PARASEL S.A. había defraudado tributos por el no pago de impuestos al valor agregado y a la renta de industria </w:t>
      </w:r>
      <w:r w:rsidR="006E1407">
        <w:rPr>
          <w:rFonts w:asciiTheme="majorHAnsi" w:hAnsiTheme="majorHAnsi"/>
          <w:bCs/>
          <w:sz w:val="20"/>
          <w:szCs w:val="20"/>
          <w:lang w:val="es-PA"/>
        </w:rPr>
        <w:t>y comercio</w:t>
      </w:r>
      <w:r>
        <w:rPr>
          <w:rFonts w:asciiTheme="majorHAnsi" w:hAnsiTheme="majorHAnsi"/>
          <w:bCs/>
          <w:sz w:val="20"/>
          <w:szCs w:val="20"/>
          <w:lang w:val="es-PA"/>
        </w:rPr>
        <w:t xml:space="preserve">, por lo que </w:t>
      </w:r>
      <w:r w:rsidR="00B73497">
        <w:rPr>
          <w:rFonts w:asciiTheme="majorHAnsi" w:hAnsiTheme="majorHAnsi"/>
          <w:bCs/>
          <w:sz w:val="20"/>
          <w:szCs w:val="20"/>
          <w:lang w:val="es-PA"/>
        </w:rPr>
        <w:t>se le impuso una multa</w:t>
      </w:r>
      <w:r>
        <w:rPr>
          <w:rFonts w:asciiTheme="majorHAnsi" w:hAnsiTheme="majorHAnsi"/>
          <w:bCs/>
          <w:sz w:val="20"/>
          <w:szCs w:val="20"/>
          <w:lang w:val="es-PA"/>
        </w:rPr>
        <w:t>.</w:t>
      </w:r>
      <w:r w:rsidR="00B73497">
        <w:rPr>
          <w:rFonts w:asciiTheme="majorHAnsi" w:hAnsiTheme="majorHAnsi"/>
          <w:bCs/>
          <w:sz w:val="20"/>
          <w:szCs w:val="20"/>
          <w:lang w:val="es-PA"/>
        </w:rPr>
        <w:t xml:space="preserve"> Indican que la empresa interpuso los correspondientes recursos administrativos pero la resolución fue confirmada por el Poder Ejecutivo el 29 de abril de 2005. Luego, las presuntas víctimas presentaron acción de nulidad </w:t>
      </w:r>
      <w:r w:rsidR="00374728">
        <w:rPr>
          <w:rFonts w:asciiTheme="majorHAnsi" w:hAnsiTheme="majorHAnsi"/>
          <w:bCs/>
          <w:sz w:val="20"/>
          <w:szCs w:val="20"/>
          <w:lang w:val="es-PA"/>
        </w:rPr>
        <w:t>contra ésta resolución ante el Tribunal de lo Contencioso Administrativo</w:t>
      </w:r>
      <w:r w:rsidR="00F870A9">
        <w:rPr>
          <w:rFonts w:asciiTheme="majorHAnsi" w:hAnsiTheme="majorHAnsi"/>
          <w:bCs/>
          <w:sz w:val="20"/>
          <w:szCs w:val="20"/>
          <w:lang w:val="es-PA"/>
        </w:rPr>
        <w:t xml:space="preserve"> (en adelante “el TCA”)</w:t>
      </w:r>
      <w:r w:rsidR="00374728">
        <w:rPr>
          <w:rFonts w:asciiTheme="majorHAnsi" w:hAnsiTheme="majorHAnsi"/>
          <w:bCs/>
          <w:sz w:val="20"/>
          <w:szCs w:val="20"/>
          <w:lang w:val="es-PA"/>
        </w:rPr>
        <w:t>, quien emitió sentencia el 13 de agosto de 2009 confirmando la resolución impugnada. Alegan que el</w:t>
      </w:r>
      <w:r w:rsidR="00F870A9">
        <w:rPr>
          <w:rFonts w:asciiTheme="majorHAnsi" w:hAnsiTheme="majorHAnsi"/>
          <w:bCs/>
          <w:sz w:val="20"/>
          <w:szCs w:val="20"/>
          <w:lang w:val="es-PA"/>
        </w:rPr>
        <w:t xml:space="preserve"> TCA contrarió sin fundamentos el dictamen del</w:t>
      </w:r>
      <w:r w:rsidR="00374728">
        <w:rPr>
          <w:rFonts w:asciiTheme="majorHAnsi" w:hAnsiTheme="majorHAnsi"/>
          <w:bCs/>
          <w:sz w:val="20"/>
          <w:szCs w:val="20"/>
          <w:lang w:val="es-PA"/>
        </w:rPr>
        <w:t xml:space="preserve"> </w:t>
      </w:r>
      <w:r w:rsidR="00F870A9">
        <w:rPr>
          <w:rFonts w:asciiTheme="majorHAnsi" w:hAnsiTheme="majorHAnsi"/>
          <w:bCs/>
          <w:sz w:val="20"/>
          <w:szCs w:val="20"/>
          <w:lang w:val="es-PA"/>
        </w:rPr>
        <w:t>Procurador del Estado en lo Contencioso Administrativo quien consideró que procedía la nulidad parcial de la resolución.</w:t>
      </w:r>
      <w:r w:rsidR="00243172">
        <w:rPr>
          <w:rFonts w:asciiTheme="majorHAnsi" w:hAnsiTheme="majorHAnsi"/>
          <w:bCs/>
          <w:sz w:val="20"/>
          <w:szCs w:val="20"/>
          <w:lang w:val="es-PA"/>
        </w:rPr>
        <w:t xml:space="preserve"> Aducen que desde 2005 el director de la DGI inició</w:t>
      </w:r>
      <w:r w:rsidR="00633819">
        <w:rPr>
          <w:rFonts w:asciiTheme="majorHAnsi" w:hAnsiTheme="majorHAnsi"/>
          <w:bCs/>
          <w:sz w:val="20"/>
          <w:szCs w:val="20"/>
          <w:lang w:val="es-PA"/>
        </w:rPr>
        <w:t>, en violación del secreto tributario,</w:t>
      </w:r>
      <w:r w:rsidR="00243172">
        <w:rPr>
          <w:rFonts w:asciiTheme="majorHAnsi" w:hAnsiTheme="majorHAnsi"/>
          <w:bCs/>
          <w:sz w:val="20"/>
          <w:szCs w:val="20"/>
          <w:lang w:val="es-PA"/>
        </w:rPr>
        <w:t xml:space="preserve"> una campaña mediática contra las presuntas víctimas expresando públicamente que los hermanos Rupenian serían penalmente procesados</w:t>
      </w:r>
      <w:r w:rsidR="00633819">
        <w:rPr>
          <w:rFonts w:asciiTheme="majorHAnsi" w:hAnsiTheme="majorHAnsi"/>
          <w:bCs/>
          <w:sz w:val="20"/>
          <w:szCs w:val="20"/>
          <w:lang w:val="es-PA"/>
        </w:rPr>
        <w:t>, causando gran daño a su imagen</w:t>
      </w:r>
      <w:r w:rsidR="00243172">
        <w:rPr>
          <w:rFonts w:asciiTheme="majorHAnsi" w:hAnsiTheme="majorHAnsi"/>
          <w:bCs/>
          <w:sz w:val="20"/>
          <w:szCs w:val="20"/>
          <w:lang w:val="es-PA"/>
        </w:rPr>
        <w:t xml:space="preserve"> y presionando ilegítimamente a la justicia. </w:t>
      </w:r>
      <w:r w:rsidR="00B73497">
        <w:rPr>
          <w:rFonts w:asciiTheme="majorHAnsi" w:hAnsiTheme="majorHAnsi"/>
          <w:bCs/>
          <w:sz w:val="20"/>
          <w:szCs w:val="20"/>
          <w:lang w:val="es-PA"/>
        </w:rPr>
        <w:t xml:space="preserve"> </w:t>
      </w:r>
      <w:r>
        <w:rPr>
          <w:rFonts w:asciiTheme="majorHAnsi" w:hAnsiTheme="majorHAnsi"/>
          <w:bCs/>
          <w:sz w:val="20"/>
          <w:szCs w:val="20"/>
          <w:lang w:val="es-PA"/>
        </w:rPr>
        <w:t xml:space="preserve"> </w:t>
      </w:r>
    </w:p>
    <w:p w14:paraId="6B0315BC" w14:textId="77777777" w:rsidR="00B73497" w:rsidRPr="00B73497" w:rsidRDefault="00B73497" w:rsidP="00B2366A">
      <w:pPr>
        <w:pStyle w:val="ListParagraph"/>
        <w:rPr>
          <w:rFonts w:asciiTheme="majorHAnsi" w:hAnsiTheme="majorHAnsi"/>
          <w:bCs/>
          <w:sz w:val="20"/>
          <w:szCs w:val="20"/>
          <w:lang w:val="es-PA"/>
        </w:rPr>
      </w:pPr>
    </w:p>
    <w:p w14:paraId="48DD3313" w14:textId="3F955204" w:rsidR="00087DAA" w:rsidRDefault="00243172"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Indican que la</w:t>
      </w:r>
      <w:r w:rsidR="00D56EE7">
        <w:rPr>
          <w:rFonts w:asciiTheme="majorHAnsi" w:hAnsiTheme="majorHAnsi"/>
          <w:bCs/>
          <w:sz w:val="20"/>
          <w:szCs w:val="20"/>
          <w:lang w:val="es-PA"/>
        </w:rPr>
        <w:t xml:space="preserve"> DGI</w:t>
      </w:r>
      <w:r>
        <w:rPr>
          <w:rFonts w:asciiTheme="majorHAnsi" w:hAnsiTheme="majorHAnsi"/>
          <w:bCs/>
          <w:sz w:val="20"/>
          <w:szCs w:val="20"/>
          <w:lang w:val="es-PA"/>
        </w:rPr>
        <w:t xml:space="preserve"> luego</w:t>
      </w:r>
      <w:r w:rsidR="00D56EE7">
        <w:rPr>
          <w:rFonts w:asciiTheme="majorHAnsi" w:hAnsiTheme="majorHAnsi"/>
          <w:bCs/>
          <w:sz w:val="20"/>
          <w:szCs w:val="20"/>
          <w:lang w:val="es-PA"/>
        </w:rPr>
        <w:t xml:space="preserve"> efectuó denuncia penal contra las tres presuntas víctimas por el posible delito de defraudación tributaria. La denuncia adujo que las presuntas víctimas traspasaron indebidamente más de la mitad de</w:t>
      </w:r>
      <w:r w:rsidR="004133D7">
        <w:rPr>
          <w:rFonts w:asciiTheme="majorHAnsi" w:hAnsiTheme="majorHAnsi"/>
          <w:bCs/>
          <w:sz w:val="20"/>
          <w:szCs w:val="20"/>
          <w:lang w:val="es-PA"/>
        </w:rPr>
        <w:t xml:space="preserve"> la facturación de</w:t>
      </w:r>
      <w:r w:rsidR="00D56EE7">
        <w:rPr>
          <w:rFonts w:asciiTheme="majorHAnsi" w:hAnsiTheme="majorHAnsi"/>
          <w:bCs/>
          <w:sz w:val="20"/>
          <w:szCs w:val="20"/>
          <w:lang w:val="es-PA"/>
        </w:rPr>
        <w:t xml:space="preserve"> los clientes de CONCIERTO FM de Montevideo a CONCIERTO PUNTA</w:t>
      </w:r>
      <w:r w:rsidR="00DB7D92">
        <w:rPr>
          <w:rFonts w:asciiTheme="majorHAnsi" w:hAnsiTheme="majorHAnsi"/>
          <w:bCs/>
          <w:sz w:val="20"/>
          <w:szCs w:val="20"/>
          <w:lang w:val="es-PA"/>
        </w:rPr>
        <w:t xml:space="preserve"> de Maldonado, con la intención de defraudar al fisco y beneficiarse de </w:t>
      </w:r>
      <w:r w:rsidR="004133D7">
        <w:rPr>
          <w:rFonts w:asciiTheme="majorHAnsi" w:hAnsiTheme="majorHAnsi"/>
          <w:bCs/>
          <w:sz w:val="20"/>
          <w:szCs w:val="20"/>
          <w:lang w:val="es-PA"/>
        </w:rPr>
        <w:t xml:space="preserve">exoneraciones fiscales </w:t>
      </w:r>
      <w:r w:rsidR="00DB7D92">
        <w:rPr>
          <w:rFonts w:asciiTheme="majorHAnsi" w:hAnsiTheme="majorHAnsi"/>
          <w:bCs/>
          <w:sz w:val="20"/>
          <w:szCs w:val="20"/>
          <w:lang w:val="es-PA"/>
        </w:rPr>
        <w:t>aplicables sólo a radioemisoras del interior</w:t>
      </w:r>
      <w:r w:rsidR="00C70DAB">
        <w:rPr>
          <w:rFonts w:asciiTheme="majorHAnsi" w:hAnsiTheme="majorHAnsi"/>
          <w:bCs/>
          <w:sz w:val="20"/>
          <w:szCs w:val="20"/>
          <w:lang w:val="es-PA"/>
        </w:rPr>
        <w:t>.</w:t>
      </w:r>
      <w:r w:rsidR="00D741D8">
        <w:rPr>
          <w:rFonts w:asciiTheme="majorHAnsi" w:hAnsiTheme="majorHAnsi"/>
          <w:bCs/>
          <w:sz w:val="20"/>
          <w:szCs w:val="20"/>
          <w:lang w:val="es-PA"/>
        </w:rPr>
        <w:t xml:space="preserve"> Indican que, p</w:t>
      </w:r>
      <w:r w:rsidR="00087DAA">
        <w:rPr>
          <w:rFonts w:asciiTheme="majorHAnsi" w:hAnsiTheme="majorHAnsi"/>
          <w:bCs/>
          <w:sz w:val="20"/>
          <w:szCs w:val="20"/>
          <w:lang w:val="es-PA"/>
        </w:rPr>
        <w:t>roducto de la denuncia</w:t>
      </w:r>
      <w:r w:rsidR="00D741D8">
        <w:rPr>
          <w:rFonts w:asciiTheme="majorHAnsi" w:hAnsiTheme="majorHAnsi"/>
          <w:bCs/>
          <w:sz w:val="20"/>
          <w:szCs w:val="20"/>
          <w:lang w:val="es-PA"/>
        </w:rPr>
        <w:t>,</w:t>
      </w:r>
      <w:r w:rsidR="00087DAA">
        <w:rPr>
          <w:rFonts w:asciiTheme="majorHAnsi" w:hAnsiTheme="majorHAnsi"/>
          <w:bCs/>
          <w:sz w:val="20"/>
          <w:szCs w:val="20"/>
          <w:lang w:val="es-PA"/>
        </w:rPr>
        <w:t xml:space="preserve"> se inició causa penal</w:t>
      </w:r>
      <w:r w:rsidR="00D741D8">
        <w:rPr>
          <w:rFonts w:asciiTheme="majorHAnsi" w:hAnsiTheme="majorHAnsi"/>
          <w:bCs/>
          <w:sz w:val="20"/>
          <w:szCs w:val="20"/>
          <w:lang w:val="es-PA"/>
        </w:rPr>
        <w:t xml:space="preserve"> </w:t>
      </w:r>
      <w:r w:rsidR="00087DAA">
        <w:rPr>
          <w:rFonts w:asciiTheme="majorHAnsi" w:hAnsiTheme="majorHAnsi"/>
          <w:bCs/>
          <w:sz w:val="20"/>
          <w:szCs w:val="20"/>
          <w:lang w:val="es-PA"/>
        </w:rPr>
        <w:t xml:space="preserve">contra Berch </w:t>
      </w:r>
      <w:r w:rsidR="00BF1071">
        <w:rPr>
          <w:rFonts w:asciiTheme="majorHAnsi" w:hAnsiTheme="majorHAnsi"/>
          <w:bCs/>
          <w:sz w:val="20"/>
          <w:szCs w:val="20"/>
          <w:lang w:val="es-PA"/>
        </w:rPr>
        <w:t>y A</w:t>
      </w:r>
      <w:r w:rsidR="00087DAA">
        <w:rPr>
          <w:rFonts w:asciiTheme="majorHAnsi" w:hAnsiTheme="majorHAnsi"/>
          <w:bCs/>
          <w:sz w:val="20"/>
          <w:szCs w:val="20"/>
          <w:lang w:val="es-PA"/>
        </w:rPr>
        <w:t>r</w:t>
      </w:r>
      <w:r w:rsidR="00BF1071">
        <w:rPr>
          <w:rFonts w:asciiTheme="majorHAnsi" w:hAnsiTheme="majorHAnsi"/>
          <w:bCs/>
          <w:sz w:val="20"/>
          <w:szCs w:val="20"/>
          <w:lang w:val="es-PA"/>
        </w:rPr>
        <w:t>a</w:t>
      </w:r>
      <w:r w:rsidR="00087DAA">
        <w:rPr>
          <w:rFonts w:asciiTheme="majorHAnsi" w:hAnsiTheme="majorHAnsi"/>
          <w:bCs/>
          <w:sz w:val="20"/>
          <w:szCs w:val="20"/>
          <w:lang w:val="es-PA"/>
        </w:rPr>
        <w:t xml:space="preserve">m </w:t>
      </w:r>
      <w:r w:rsidR="00087DAA">
        <w:rPr>
          <w:bCs/>
          <w:sz w:val="20"/>
          <w:szCs w:val="20"/>
          <w:lang w:val="es-PA"/>
        </w:rPr>
        <w:t xml:space="preserve">Rupenian </w:t>
      </w:r>
      <w:r w:rsidR="00087DAA" w:rsidRPr="00DA489E">
        <w:rPr>
          <w:bCs/>
          <w:sz w:val="20"/>
          <w:szCs w:val="20"/>
          <w:lang w:val="es-PA"/>
        </w:rPr>
        <w:t>Bichakdjia</w:t>
      </w:r>
      <w:r w:rsidR="00D741D8">
        <w:rPr>
          <w:bCs/>
          <w:sz w:val="20"/>
          <w:szCs w:val="20"/>
          <w:lang w:val="es-PA"/>
        </w:rPr>
        <w:t>n</w:t>
      </w:r>
      <w:r w:rsidR="00D969D8">
        <w:rPr>
          <w:bCs/>
          <w:sz w:val="20"/>
          <w:szCs w:val="20"/>
          <w:lang w:val="es-PA"/>
        </w:rPr>
        <w:t>,</w:t>
      </w:r>
      <w:r w:rsidR="00D741D8">
        <w:rPr>
          <w:bCs/>
          <w:sz w:val="20"/>
          <w:szCs w:val="20"/>
          <w:lang w:val="es-PA"/>
        </w:rPr>
        <w:t xml:space="preserve"> mas no así contra </w:t>
      </w:r>
      <w:r w:rsidR="00D741D8" w:rsidRPr="00DA489E">
        <w:rPr>
          <w:rFonts w:asciiTheme="majorHAnsi" w:hAnsiTheme="majorHAnsi" w:cs="Arial"/>
          <w:color w:val="000000" w:themeColor="text1"/>
          <w:sz w:val="20"/>
          <w:szCs w:val="20"/>
          <w:lang w:val="es-ES_tradnl"/>
        </w:rPr>
        <w:t>Mar</w:t>
      </w:r>
      <w:r w:rsidR="00D741D8" w:rsidRPr="00DA489E">
        <w:rPr>
          <w:rFonts w:asciiTheme="majorHAnsi" w:hAnsiTheme="majorHAnsi" w:cs="Arial"/>
          <w:color w:val="000000" w:themeColor="text1"/>
          <w:sz w:val="20"/>
          <w:szCs w:val="20"/>
          <w:lang w:val="es-PA"/>
        </w:rPr>
        <w:t>ía Meyber Bichakdjian</w:t>
      </w:r>
      <w:r w:rsidR="005309F7">
        <w:rPr>
          <w:rFonts w:asciiTheme="majorHAnsi" w:hAnsiTheme="majorHAnsi" w:cs="Arial"/>
          <w:color w:val="000000" w:themeColor="text1"/>
          <w:sz w:val="20"/>
          <w:szCs w:val="20"/>
          <w:lang w:val="es-PA"/>
        </w:rPr>
        <w:t xml:space="preserve">. </w:t>
      </w:r>
      <w:r w:rsidR="00BF1071">
        <w:rPr>
          <w:rFonts w:asciiTheme="majorHAnsi" w:hAnsiTheme="majorHAnsi" w:cs="Arial"/>
          <w:color w:val="000000" w:themeColor="text1"/>
          <w:sz w:val="20"/>
          <w:szCs w:val="20"/>
          <w:lang w:val="es-PA"/>
        </w:rPr>
        <w:t>Los encausados recurrieron el auto de procesamiento, el cual fue confirmado por e</w:t>
      </w:r>
      <w:r w:rsidR="000E4615">
        <w:rPr>
          <w:rFonts w:asciiTheme="majorHAnsi" w:hAnsiTheme="majorHAnsi" w:cs="Arial"/>
          <w:color w:val="000000" w:themeColor="text1"/>
          <w:sz w:val="20"/>
          <w:szCs w:val="20"/>
          <w:lang w:val="es-PA"/>
        </w:rPr>
        <w:t>l Tribunal de Apelaciones en lo</w:t>
      </w:r>
      <w:r w:rsidR="00BF1071">
        <w:rPr>
          <w:rFonts w:asciiTheme="majorHAnsi" w:hAnsiTheme="majorHAnsi" w:cs="Arial"/>
          <w:color w:val="000000" w:themeColor="text1"/>
          <w:sz w:val="20"/>
          <w:szCs w:val="20"/>
          <w:lang w:val="es-PA"/>
        </w:rPr>
        <w:t xml:space="preserve"> Penal de 1er Turno. </w:t>
      </w:r>
    </w:p>
    <w:p w14:paraId="7B05A392" w14:textId="77777777" w:rsidR="00087DAA" w:rsidRPr="00087DAA" w:rsidRDefault="00087DAA" w:rsidP="00B2366A">
      <w:pPr>
        <w:pStyle w:val="ListParagraph"/>
        <w:rPr>
          <w:rFonts w:asciiTheme="majorHAnsi" w:hAnsiTheme="majorHAnsi"/>
          <w:bCs/>
          <w:sz w:val="20"/>
          <w:szCs w:val="20"/>
          <w:lang w:val="es-PA"/>
        </w:rPr>
      </w:pPr>
    </w:p>
    <w:p w14:paraId="1E127545" w14:textId="77777777" w:rsidR="00C152F1" w:rsidRDefault="00BF1071"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 xml:space="preserve">Alegan que el 28 de marzo de 2007 el Poder Ejecutivo emitió </w:t>
      </w:r>
      <w:r w:rsidR="00984C07">
        <w:rPr>
          <w:rFonts w:asciiTheme="majorHAnsi" w:hAnsiTheme="majorHAnsi"/>
          <w:bCs/>
          <w:sz w:val="20"/>
          <w:szCs w:val="20"/>
          <w:lang w:val="es-PA"/>
        </w:rPr>
        <w:t xml:space="preserve">resolución en la que el Presidente de la República resolvió revocar las autorizaciones concedidas a las presuntas víctimas y sus empresas para </w:t>
      </w:r>
      <w:r w:rsidR="00315C0D">
        <w:rPr>
          <w:rFonts w:asciiTheme="majorHAnsi" w:hAnsiTheme="majorHAnsi"/>
          <w:bCs/>
          <w:sz w:val="20"/>
          <w:szCs w:val="20"/>
          <w:lang w:val="es-PA"/>
        </w:rPr>
        <w:t>el uso de cuatro</w:t>
      </w:r>
      <w:r w:rsidR="00984C07">
        <w:rPr>
          <w:rFonts w:asciiTheme="majorHAnsi" w:hAnsiTheme="majorHAnsi"/>
          <w:bCs/>
          <w:sz w:val="20"/>
          <w:szCs w:val="20"/>
          <w:lang w:val="es-PA"/>
        </w:rPr>
        <w:t xml:space="preserve"> frecuencias de radio.</w:t>
      </w:r>
      <w:r w:rsidR="003C4382">
        <w:rPr>
          <w:rFonts w:asciiTheme="majorHAnsi" w:hAnsiTheme="majorHAnsi"/>
          <w:bCs/>
          <w:sz w:val="20"/>
          <w:szCs w:val="20"/>
          <w:lang w:val="es-PA"/>
        </w:rPr>
        <w:t xml:space="preserve">  </w:t>
      </w:r>
      <w:r w:rsidR="008D7B3D">
        <w:rPr>
          <w:rFonts w:asciiTheme="majorHAnsi" w:hAnsiTheme="majorHAnsi"/>
          <w:bCs/>
          <w:sz w:val="20"/>
          <w:szCs w:val="20"/>
          <w:lang w:val="es-PA"/>
        </w:rPr>
        <w:t>La resolución hizo referencia</w:t>
      </w:r>
      <w:r w:rsidR="006E1407">
        <w:rPr>
          <w:rFonts w:asciiTheme="majorHAnsi" w:hAnsiTheme="majorHAnsi"/>
          <w:bCs/>
          <w:sz w:val="20"/>
          <w:szCs w:val="20"/>
          <w:lang w:val="es-PA"/>
        </w:rPr>
        <w:t xml:space="preserve"> a las sanciones impuestas por la DGI a las presuntas víctimas y </w:t>
      </w:r>
      <w:r w:rsidR="008D7B3D">
        <w:rPr>
          <w:rFonts w:asciiTheme="majorHAnsi" w:hAnsiTheme="majorHAnsi"/>
          <w:bCs/>
          <w:sz w:val="20"/>
          <w:szCs w:val="20"/>
          <w:lang w:val="es-PA"/>
        </w:rPr>
        <w:t>el inició de un proceso penal contra dos de ellas</w:t>
      </w:r>
      <w:r w:rsidR="0060588A">
        <w:rPr>
          <w:rFonts w:asciiTheme="majorHAnsi" w:hAnsiTheme="majorHAnsi"/>
          <w:bCs/>
          <w:sz w:val="20"/>
          <w:szCs w:val="20"/>
          <w:lang w:val="es-PA"/>
        </w:rPr>
        <w:t xml:space="preserve"> y señaló, entre otras consideraciones, que “las maniobras efectuadas que configuran infracciones tributarias teniendo como consecuencia procesamientos penales y la pérdida de determinados requisitos personales que se exige a los radiodifusores, comprometen gravemente el interés público”.</w:t>
      </w:r>
      <w:r w:rsidR="000706B7">
        <w:rPr>
          <w:rFonts w:asciiTheme="majorHAnsi" w:hAnsiTheme="majorHAnsi"/>
          <w:bCs/>
          <w:sz w:val="20"/>
          <w:szCs w:val="20"/>
          <w:lang w:val="es-PA"/>
        </w:rPr>
        <w:t xml:space="preserve"> </w:t>
      </w:r>
    </w:p>
    <w:p w14:paraId="68DAA2A3" w14:textId="77777777" w:rsidR="00C152F1" w:rsidRPr="00C152F1" w:rsidRDefault="00C152F1" w:rsidP="00B2366A">
      <w:pPr>
        <w:pStyle w:val="ListParagraph"/>
        <w:rPr>
          <w:rFonts w:asciiTheme="majorHAnsi" w:hAnsiTheme="majorHAnsi"/>
          <w:bCs/>
          <w:sz w:val="20"/>
          <w:szCs w:val="20"/>
          <w:lang w:val="es-PA"/>
        </w:rPr>
      </w:pPr>
    </w:p>
    <w:p w14:paraId="429220EB" w14:textId="220592B0" w:rsidR="00087DAA" w:rsidRDefault="00C152F1"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Los peticionarios s</w:t>
      </w:r>
      <w:r w:rsidR="000706B7">
        <w:rPr>
          <w:rFonts w:asciiTheme="majorHAnsi" w:hAnsiTheme="majorHAnsi"/>
          <w:bCs/>
          <w:sz w:val="20"/>
          <w:szCs w:val="20"/>
          <w:lang w:val="es-PA"/>
        </w:rPr>
        <w:t>eñalan que la</w:t>
      </w:r>
      <w:r w:rsidR="000E4615">
        <w:rPr>
          <w:rFonts w:asciiTheme="majorHAnsi" w:hAnsiTheme="majorHAnsi"/>
          <w:bCs/>
          <w:sz w:val="20"/>
          <w:szCs w:val="20"/>
          <w:lang w:val="es-PA"/>
        </w:rPr>
        <w:t xml:space="preserve">s presuntas víctimas interpusieron los recursos administrativos correspondientes, quedando agotada la vía administrativa el 18 de junio de 2007 y siendo ejecutada la </w:t>
      </w:r>
      <w:r w:rsidR="000706B7">
        <w:rPr>
          <w:rFonts w:asciiTheme="majorHAnsi" w:hAnsiTheme="majorHAnsi"/>
          <w:bCs/>
          <w:sz w:val="20"/>
          <w:szCs w:val="20"/>
          <w:lang w:val="es-PA"/>
        </w:rPr>
        <w:t>resolución</w:t>
      </w:r>
      <w:r w:rsidR="003E7898">
        <w:rPr>
          <w:rFonts w:asciiTheme="majorHAnsi" w:hAnsiTheme="majorHAnsi"/>
          <w:bCs/>
          <w:sz w:val="20"/>
          <w:szCs w:val="20"/>
          <w:lang w:val="es-PA"/>
        </w:rPr>
        <w:t xml:space="preserve"> el 9 de julio de 2007, día en que las cuatro emisoras fueron o</w:t>
      </w:r>
      <w:r w:rsidR="00016BEF">
        <w:rPr>
          <w:rFonts w:asciiTheme="majorHAnsi" w:hAnsiTheme="majorHAnsi"/>
          <w:bCs/>
          <w:sz w:val="20"/>
          <w:szCs w:val="20"/>
          <w:lang w:val="es-PA"/>
        </w:rPr>
        <w:t xml:space="preserve">bligadas a cesar transmisiones. </w:t>
      </w:r>
      <w:r w:rsidR="00F0093A">
        <w:rPr>
          <w:rFonts w:asciiTheme="majorHAnsi" w:hAnsiTheme="majorHAnsi"/>
          <w:bCs/>
          <w:sz w:val="20"/>
          <w:szCs w:val="20"/>
          <w:lang w:val="es-PA"/>
        </w:rPr>
        <w:t xml:space="preserve">Luego, las presuntas víctimas interpusieron una acción de nulidad aduciendo, entre otros argumentos, que la cancelación de las autorizaciones era contraria a la libertad de expresión y la presunción </w:t>
      </w:r>
      <w:r w:rsidR="00F0093A">
        <w:rPr>
          <w:rFonts w:asciiTheme="majorHAnsi" w:hAnsiTheme="majorHAnsi"/>
          <w:bCs/>
          <w:sz w:val="20"/>
          <w:szCs w:val="20"/>
          <w:lang w:val="es-PA"/>
        </w:rPr>
        <w:lastRenderedPageBreak/>
        <w:t>de inocencia</w:t>
      </w:r>
      <w:r w:rsidR="000A69D4">
        <w:rPr>
          <w:rFonts w:asciiTheme="majorHAnsi" w:hAnsiTheme="majorHAnsi"/>
          <w:bCs/>
          <w:sz w:val="20"/>
          <w:szCs w:val="20"/>
          <w:lang w:val="es-PA"/>
        </w:rPr>
        <w:t xml:space="preserve">. El 22 de abril de 2010 el TCA emitió fallo rechazando la acción. </w:t>
      </w:r>
      <w:r w:rsidR="001A636D">
        <w:rPr>
          <w:rFonts w:asciiTheme="majorHAnsi" w:hAnsiTheme="majorHAnsi"/>
          <w:bCs/>
          <w:sz w:val="20"/>
          <w:szCs w:val="20"/>
          <w:lang w:val="es-PA"/>
        </w:rPr>
        <w:t>Argumentan que el tribunal ignoró sin fundamento el dictamen del Procurador del Estado en lo Contencioso Administrativo quien consideró que procedía la nulidad absoluta de lo actuado y que se había comprometido la libertad de prensa, así como los</w:t>
      </w:r>
      <w:r w:rsidR="000A69D4">
        <w:rPr>
          <w:rFonts w:asciiTheme="majorHAnsi" w:hAnsiTheme="majorHAnsi"/>
          <w:bCs/>
          <w:sz w:val="20"/>
          <w:szCs w:val="20"/>
          <w:lang w:val="es-PA"/>
        </w:rPr>
        <w:t xml:space="preserve"> pronunciamientos </w:t>
      </w:r>
      <w:r w:rsidR="001A636D">
        <w:rPr>
          <w:rFonts w:asciiTheme="majorHAnsi" w:hAnsiTheme="majorHAnsi"/>
          <w:bCs/>
          <w:sz w:val="20"/>
          <w:szCs w:val="20"/>
          <w:lang w:val="es-PA"/>
        </w:rPr>
        <w:t xml:space="preserve">realizados por </w:t>
      </w:r>
      <w:r w:rsidR="000A69D4">
        <w:rPr>
          <w:rFonts w:asciiTheme="majorHAnsi" w:hAnsiTheme="majorHAnsi"/>
          <w:bCs/>
          <w:sz w:val="20"/>
          <w:szCs w:val="20"/>
          <w:lang w:val="es-PA"/>
        </w:rPr>
        <w:t xml:space="preserve">la Asociación Nacional de Broadcasters Uruguayos y la Asociación Internacional de Radiodifusión </w:t>
      </w:r>
      <w:r w:rsidR="001A636D">
        <w:rPr>
          <w:rFonts w:asciiTheme="majorHAnsi" w:hAnsiTheme="majorHAnsi"/>
          <w:bCs/>
          <w:sz w:val="20"/>
          <w:szCs w:val="20"/>
          <w:lang w:val="es-PA"/>
        </w:rPr>
        <w:t xml:space="preserve">en censura de la cancelación de los permisos. </w:t>
      </w:r>
    </w:p>
    <w:p w14:paraId="2516BD79" w14:textId="77777777" w:rsidR="00630D07" w:rsidRPr="00630D07" w:rsidRDefault="00630D07" w:rsidP="00B2366A">
      <w:pPr>
        <w:pStyle w:val="ListParagraph"/>
        <w:rPr>
          <w:rFonts w:asciiTheme="majorHAnsi" w:hAnsiTheme="majorHAnsi"/>
          <w:bCs/>
          <w:sz w:val="20"/>
          <w:szCs w:val="20"/>
          <w:lang w:val="es-PA"/>
        </w:rPr>
      </w:pPr>
    </w:p>
    <w:p w14:paraId="0B465AD1" w14:textId="77082C3F" w:rsidR="00630D07" w:rsidRPr="000E4615" w:rsidRDefault="00D64CC0" w:rsidP="00B2366A">
      <w:pPr>
        <w:pStyle w:val="ListParagraph"/>
        <w:numPr>
          <w:ilvl w:val="0"/>
          <w:numId w:val="103"/>
        </w:numPr>
        <w:jc w:val="both"/>
        <w:rPr>
          <w:rFonts w:asciiTheme="majorHAnsi" w:hAnsiTheme="majorHAnsi"/>
          <w:bCs/>
          <w:i/>
          <w:sz w:val="20"/>
          <w:szCs w:val="20"/>
          <w:lang w:val="es-PA"/>
        </w:rPr>
      </w:pPr>
      <w:r w:rsidRPr="005309F7">
        <w:rPr>
          <w:rFonts w:asciiTheme="majorHAnsi" w:hAnsiTheme="majorHAnsi"/>
          <w:bCs/>
          <w:color w:val="auto"/>
          <w:sz w:val="20"/>
          <w:szCs w:val="20"/>
          <w:lang w:val="es-PA"/>
        </w:rPr>
        <w:t xml:space="preserve">Manifiestan que no está en su ánimo afirmar que los permisos fueron cancelados por razones ideológicas. Sin embargo, </w:t>
      </w:r>
      <w:r>
        <w:rPr>
          <w:rFonts w:asciiTheme="majorHAnsi" w:hAnsiTheme="majorHAnsi"/>
          <w:bCs/>
          <w:sz w:val="20"/>
          <w:szCs w:val="20"/>
          <w:lang w:val="es-PA"/>
        </w:rPr>
        <w:t>a</w:t>
      </w:r>
      <w:r w:rsidR="003E4CDE">
        <w:rPr>
          <w:rFonts w:asciiTheme="majorHAnsi" w:hAnsiTheme="majorHAnsi"/>
          <w:bCs/>
          <w:sz w:val="20"/>
          <w:szCs w:val="20"/>
          <w:lang w:val="es-PA"/>
        </w:rPr>
        <w:t xml:space="preserve">ducen </w:t>
      </w:r>
      <w:r w:rsidR="00606F4A">
        <w:rPr>
          <w:rFonts w:asciiTheme="majorHAnsi" w:hAnsiTheme="majorHAnsi"/>
          <w:bCs/>
          <w:sz w:val="20"/>
          <w:szCs w:val="20"/>
          <w:lang w:val="es-PA"/>
        </w:rPr>
        <w:t>que sus derechos humanos se vieron vulnerados por la emisión de esta resolución, entre otras razones, porque</w:t>
      </w:r>
      <w:r w:rsidR="00024F66">
        <w:rPr>
          <w:rFonts w:asciiTheme="majorHAnsi" w:hAnsiTheme="majorHAnsi"/>
          <w:bCs/>
          <w:sz w:val="20"/>
          <w:szCs w:val="20"/>
          <w:lang w:val="es-PA"/>
        </w:rPr>
        <w:t xml:space="preserve"> 1) la resolución se fundamentó en el</w:t>
      </w:r>
      <w:r w:rsidR="00746EF9">
        <w:rPr>
          <w:rFonts w:asciiTheme="majorHAnsi" w:hAnsiTheme="majorHAnsi"/>
          <w:bCs/>
          <w:sz w:val="20"/>
          <w:szCs w:val="20"/>
          <w:lang w:val="es-PA"/>
        </w:rPr>
        <w:t xml:space="preserve"> artículo 8 del</w:t>
      </w:r>
      <w:r w:rsidR="00024F66">
        <w:rPr>
          <w:rFonts w:asciiTheme="majorHAnsi" w:hAnsiTheme="majorHAnsi"/>
          <w:bCs/>
          <w:sz w:val="20"/>
          <w:szCs w:val="20"/>
          <w:lang w:val="es-PA"/>
        </w:rPr>
        <w:t xml:space="preserve"> Decreto 734/78, norma carente de legitimidad por haber sido dictada en 1978 durante la dictadura uruguaya; 2) uno de los requisitos establecidos en ese </w:t>
      </w:r>
      <w:r w:rsidR="00746EF9">
        <w:rPr>
          <w:rFonts w:asciiTheme="majorHAnsi" w:hAnsiTheme="majorHAnsi"/>
          <w:bCs/>
          <w:sz w:val="20"/>
          <w:szCs w:val="20"/>
          <w:lang w:val="es-PA"/>
        </w:rPr>
        <w:t>artículo</w:t>
      </w:r>
      <w:r w:rsidR="00024F66">
        <w:rPr>
          <w:rFonts w:asciiTheme="majorHAnsi" w:hAnsiTheme="majorHAnsi"/>
          <w:bCs/>
          <w:sz w:val="20"/>
          <w:szCs w:val="20"/>
          <w:lang w:val="es-PA"/>
        </w:rPr>
        <w:t xml:space="preserve"> es “presentar adecuada certificación que acredite </w:t>
      </w:r>
      <w:r w:rsidR="007A4472">
        <w:rPr>
          <w:rFonts w:asciiTheme="majorHAnsi" w:hAnsiTheme="majorHAnsi"/>
          <w:bCs/>
          <w:sz w:val="20"/>
          <w:szCs w:val="20"/>
          <w:lang w:val="es-PA"/>
        </w:rPr>
        <w:t>“</w:t>
      </w:r>
      <w:r w:rsidR="00024F66">
        <w:rPr>
          <w:rFonts w:asciiTheme="majorHAnsi" w:hAnsiTheme="majorHAnsi"/>
          <w:bCs/>
          <w:sz w:val="20"/>
          <w:szCs w:val="20"/>
          <w:lang w:val="es-PA"/>
        </w:rPr>
        <w:t xml:space="preserve">solvencia moral”, </w:t>
      </w:r>
      <w:r w:rsidR="00746EF9">
        <w:rPr>
          <w:rFonts w:asciiTheme="majorHAnsi" w:hAnsiTheme="majorHAnsi"/>
          <w:bCs/>
          <w:sz w:val="20"/>
          <w:szCs w:val="20"/>
          <w:lang w:val="es-PA"/>
        </w:rPr>
        <w:t xml:space="preserve">sin existir </w:t>
      </w:r>
      <w:r w:rsidR="00CD1D60">
        <w:rPr>
          <w:rFonts w:asciiTheme="majorHAnsi" w:hAnsiTheme="majorHAnsi"/>
          <w:bCs/>
          <w:sz w:val="20"/>
          <w:szCs w:val="20"/>
          <w:lang w:val="es-PA"/>
        </w:rPr>
        <w:t>referentes normativos que permitan establecer quién es o no moral</w:t>
      </w:r>
      <w:r w:rsidR="007A4472">
        <w:rPr>
          <w:rFonts w:asciiTheme="majorHAnsi" w:hAnsiTheme="majorHAnsi"/>
          <w:bCs/>
          <w:sz w:val="20"/>
          <w:szCs w:val="20"/>
          <w:lang w:val="es-PA"/>
        </w:rPr>
        <w:t>, concediendo poderes autoritarios a</w:t>
      </w:r>
      <w:r w:rsidR="00EB55AD">
        <w:rPr>
          <w:rFonts w:asciiTheme="majorHAnsi" w:hAnsiTheme="majorHAnsi"/>
          <w:bCs/>
          <w:sz w:val="20"/>
          <w:szCs w:val="20"/>
          <w:lang w:val="es-PA"/>
        </w:rPr>
        <w:t>l</w:t>
      </w:r>
      <w:r w:rsidR="007A4472">
        <w:rPr>
          <w:rFonts w:asciiTheme="majorHAnsi" w:hAnsiTheme="majorHAnsi"/>
          <w:bCs/>
          <w:sz w:val="20"/>
          <w:szCs w:val="20"/>
          <w:lang w:val="es-PA"/>
        </w:rPr>
        <w:t xml:space="preserve"> Estado </w:t>
      </w:r>
      <w:r w:rsidR="000C1417">
        <w:rPr>
          <w:rFonts w:asciiTheme="majorHAnsi" w:hAnsiTheme="majorHAnsi"/>
          <w:bCs/>
          <w:sz w:val="20"/>
          <w:szCs w:val="20"/>
          <w:lang w:val="es-PA"/>
        </w:rPr>
        <w:t>para seleccionar a los titulares de los medios de comunicación a su conveniencia</w:t>
      </w:r>
      <w:r w:rsidR="00746EF9">
        <w:rPr>
          <w:rFonts w:asciiTheme="majorHAnsi" w:hAnsiTheme="majorHAnsi"/>
          <w:bCs/>
          <w:sz w:val="20"/>
          <w:szCs w:val="20"/>
          <w:lang w:val="es-PA"/>
        </w:rPr>
        <w:t>;</w:t>
      </w:r>
      <w:r w:rsidR="00B27293">
        <w:rPr>
          <w:rFonts w:asciiTheme="majorHAnsi" w:hAnsiTheme="majorHAnsi"/>
          <w:bCs/>
          <w:sz w:val="20"/>
          <w:szCs w:val="20"/>
          <w:lang w:val="es-PA"/>
        </w:rPr>
        <w:t xml:space="preserve"> 3) </w:t>
      </w:r>
      <w:r w:rsidR="00C55ABE">
        <w:rPr>
          <w:rFonts w:asciiTheme="majorHAnsi" w:hAnsiTheme="majorHAnsi"/>
          <w:bCs/>
          <w:sz w:val="20"/>
          <w:szCs w:val="20"/>
          <w:lang w:val="es-PA"/>
        </w:rPr>
        <w:t xml:space="preserve">el artículo referido sólo establece requisitos </w:t>
      </w:r>
      <w:r w:rsidR="00CD7AAD">
        <w:rPr>
          <w:rFonts w:asciiTheme="majorHAnsi" w:hAnsiTheme="majorHAnsi"/>
          <w:bCs/>
          <w:sz w:val="20"/>
          <w:szCs w:val="20"/>
          <w:lang w:val="es-PA"/>
        </w:rPr>
        <w:t xml:space="preserve">para el otorgamiento de permisos de radiodifusión, siendo inaceptable que esos requisitos sean </w:t>
      </w:r>
      <w:r w:rsidR="0001393A">
        <w:rPr>
          <w:rFonts w:asciiTheme="majorHAnsi" w:hAnsiTheme="majorHAnsi"/>
          <w:bCs/>
          <w:sz w:val="20"/>
          <w:szCs w:val="20"/>
          <w:lang w:val="es-PA"/>
        </w:rPr>
        <w:t>aplicados</w:t>
      </w:r>
      <w:r w:rsidR="00CD7AAD">
        <w:rPr>
          <w:rFonts w:asciiTheme="majorHAnsi" w:hAnsiTheme="majorHAnsi"/>
          <w:bCs/>
          <w:sz w:val="20"/>
          <w:szCs w:val="20"/>
          <w:lang w:val="es-PA"/>
        </w:rPr>
        <w:t xml:space="preserve"> por analogía para justificar</w:t>
      </w:r>
      <w:r w:rsidR="0001393A">
        <w:rPr>
          <w:rFonts w:asciiTheme="majorHAnsi" w:hAnsiTheme="majorHAnsi"/>
          <w:bCs/>
          <w:sz w:val="20"/>
          <w:szCs w:val="20"/>
          <w:lang w:val="es-PA"/>
        </w:rPr>
        <w:t xml:space="preserve"> la cancelación de sus permisos; 4) se violó la presunción de</w:t>
      </w:r>
      <w:r w:rsidR="00C152F1">
        <w:rPr>
          <w:rFonts w:asciiTheme="majorHAnsi" w:hAnsiTheme="majorHAnsi"/>
          <w:bCs/>
          <w:sz w:val="20"/>
          <w:szCs w:val="20"/>
          <w:lang w:val="es-PA"/>
        </w:rPr>
        <w:t xml:space="preserve"> inocencia</w:t>
      </w:r>
      <w:r w:rsidR="0001393A">
        <w:rPr>
          <w:rFonts w:asciiTheme="majorHAnsi" w:hAnsiTheme="majorHAnsi"/>
          <w:bCs/>
          <w:sz w:val="20"/>
          <w:szCs w:val="20"/>
          <w:lang w:val="es-PA"/>
        </w:rPr>
        <w:t xml:space="preserve"> </w:t>
      </w:r>
      <w:r w:rsidR="00E86100">
        <w:rPr>
          <w:rFonts w:asciiTheme="majorHAnsi" w:hAnsiTheme="majorHAnsi"/>
          <w:bCs/>
          <w:sz w:val="20"/>
          <w:szCs w:val="20"/>
          <w:lang w:val="es-PA"/>
        </w:rPr>
        <w:t>al cancelarse los permisos</w:t>
      </w:r>
      <w:r w:rsidR="0001393A">
        <w:rPr>
          <w:rFonts w:asciiTheme="majorHAnsi" w:hAnsiTheme="majorHAnsi"/>
          <w:bCs/>
          <w:sz w:val="20"/>
          <w:szCs w:val="20"/>
          <w:lang w:val="es-PA"/>
        </w:rPr>
        <w:t xml:space="preserve"> sin que se hubiese producido la condena penal y estando pendiente la resolución de la acción de nulidad interpuesta contra la resolución de la DGI; </w:t>
      </w:r>
      <w:r w:rsidR="00CA308C">
        <w:rPr>
          <w:rFonts w:asciiTheme="majorHAnsi" w:hAnsiTheme="majorHAnsi"/>
          <w:bCs/>
          <w:sz w:val="20"/>
          <w:szCs w:val="20"/>
          <w:lang w:val="es-PA"/>
        </w:rPr>
        <w:t xml:space="preserve">5) las sanciones de la DGI fueron dirigidas únicamente a PARASEL S.A. y su emisora CONCIERTO FM, sin embargo se procedió infundadamente a cancelar los permisos de </w:t>
      </w:r>
      <w:r w:rsidR="00CC631A">
        <w:rPr>
          <w:rFonts w:asciiTheme="majorHAnsi" w:hAnsiTheme="majorHAnsi"/>
          <w:bCs/>
          <w:sz w:val="20"/>
          <w:szCs w:val="20"/>
          <w:lang w:val="es-PA"/>
        </w:rPr>
        <w:t xml:space="preserve">las cuatro estaciones; 6) la </w:t>
      </w:r>
      <w:r w:rsidR="00374B38">
        <w:rPr>
          <w:rFonts w:asciiTheme="majorHAnsi" w:hAnsiTheme="majorHAnsi"/>
          <w:bCs/>
          <w:sz w:val="20"/>
          <w:szCs w:val="20"/>
          <w:lang w:val="es-PA"/>
        </w:rPr>
        <w:t xml:space="preserve">resolución </w:t>
      </w:r>
      <w:r w:rsidR="00CC631A">
        <w:rPr>
          <w:rFonts w:asciiTheme="majorHAnsi" w:hAnsiTheme="majorHAnsi"/>
          <w:bCs/>
          <w:sz w:val="20"/>
          <w:szCs w:val="20"/>
          <w:lang w:val="es-PA"/>
        </w:rPr>
        <w:t xml:space="preserve">priorizó el afán recaudador del </w:t>
      </w:r>
      <w:r w:rsidR="005462A5">
        <w:rPr>
          <w:rFonts w:asciiTheme="majorHAnsi" w:hAnsiTheme="majorHAnsi"/>
          <w:bCs/>
          <w:sz w:val="20"/>
          <w:szCs w:val="20"/>
          <w:lang w:val="es-PA"/>
        </w:rPr>
        <w:t xml:space="preserve">Estado por sobre </w:t>
      </w:r>
      <w:r w:rsidR="00CC631A">
        <w:rPr>
          <w:rFonts w:asciiTheme="majorHAnsi" w:hAnsiTheme="majorHAnsi"/>
          <w:bCs/>
          <w:sz w:val="20"/>
          <w:szCs w:val="20"/>
          <w:lang w:val="es-PA"/>
        </w:rPr>
        <w:t>un valor de orden jurídico superior como la libertad de expresi</w:t>
      </w:r>
      <w:r w:rsidR="00374B38">
        <w:rPr>
          <w:rFonts w:asciiTheme="majorHAnsi" w:hAnsiTheme="majorHAnsi"/>
          <w:bCs/>
          <w:sz w:val="20"/>
          <w:szCs w:val="20"/>
          <w:lang w:val="es-PA"/>
        </w:rPr>
        <w:t>ón; 7)</w:t>
      </w:r>
      <w:r w:rsidR="00CC631A">
        <w:rPr>
          <w:rFonts w:asciiTheme="majorHAnsi" w:hAnsiTheme="majorHAnsi"/>
          <w:bCs/>
          <w:sz w:val="20"/>
          <w:szCs w:val="20"/>
          <w:lang w:val="es-PA"/>
        </w:rPr>
        <w:t xml:space="preserve"> </w:t>
      </w:r>
      <w:r w:rsidR="00374B38">
        <w:rPr>
          <w:rFonts w:asciiTheme="majorHAnsi" w:hAnsiTheme="majorHAnsi"/>
          <w:bCs/>
          <w:sz w:val="20"/>
          <w:szCs w:val="20"/>
          <w:lang w:val="es-PA"/>
        </w:rPr>
        <w:t xml:space="preserve">la medida fue desproporcionada </w:t>
      </w:r>
      <w:r w:rsidR="009C0B46">
        <w:rPr>
          <w:rFonts w:asciiTheme="majorHAnsi" w:hAnsiTheme="majorHAnsi"/>
          <w:bCs/>
          <w:sz w:val="20"/>
          <w:szCs w:val="20"/>
          <w:lang w:val="es-PA"/>
        </w:rPr>
        <w:t xml:space="preserve">porque </w:t>
      </w:r>
      <w:r w:rsidR="00374B38">
        <w:rPr>
          <w:rFonts w:asciiTheme="majorHAnsi" w:hAnsiTheme="majorHAnsi"/>
          <w:bCs/>
          <w:sz w:val="20"/>
          <w:szCs w:val="20"/>
          <w:lang w:val="es-PA"/>
        </w:rPr>
        <w:t>se cancelaron</w:t>
      </w:r>
      <w:r w:rsidR="0053416B">
        <w:rPr>
          <w:rFonts w:asciiTheme="majorHAnsi" w:hAnsiTheme="majorHAnsi"/>
          <w:bCs/>
          <w:sz w:val="20"/>
          <w:szCs w:val="20"/>
          <w:lang w:val="es-PA"/>
        </w:rPr>
        <w:t xml:space="preserve"> cuatro permisos de radiodifusión</w:t>
      </w:r>
      <w:r w:rsidR="00374B38">
        <w:rPr>
          <w:rFonts w:asciiTheme="majorHAnsi" w:hAnsiTheme="majorHAnsi"/>
          <w:bCs/>
          <w:sz w:val="20"/>
          <w:szCs w:val="20"/>
          <w:lang w:val="es-PA"/>
        </w:rPr>
        <w:t xml:space="preserve"> en base a una deuda tributaria subsanable</w:t>
      </w:r>
      <w:r w:rsidR="009C0B46">
        <w:rPr>
          <w:rFonts w:asciiTheme="majorHAnsi" w:hAnsiTheme="majorHAnsi"/>
          <w:bCs/>
          <w:sz w:val="20"/>
          <w:szCs w:val="20"/>
          <w:lang w:val="es-PA"/>
        </w:rPr>
        <w:t>,</w:t>
      </w:r>
      <w:r w:rsidR="0053416B">
        <w:rPr>
          <w:rFonts w:asciiTheme="majorHAnsi" w:hAnsiTheme="majorHAnsi"/>
          <w:bCs/>
          <w:sz w:val="20"/>
          <w:szCs w:val="20"/>
          <w:lang w:val="es-PA"/>
        </w:rPr>
        <w:t xml:space="preserve"> </w:t>
      </w:r>
      <w:r w:rsidR="009C0B46">
        <w:rPr>
          <w:rFonts w:asciiTheme="majorHAnsi" w:hAnsiTheme="majorHAnsi"/>
          <w:bCs/>
          <w:sz w:val="20"/>
          <w:szCs w:val="20"/>
          <w:lang w:val="es-PA"/>
        </w:rPr>
        <w:t>cuando otras medidas como otorgar plazo a los perm</w:t>
      </w:r>
      <w:r w:rsidR="003D655A">
        <w:rPr>
          <w:rFonts w:asciiTheme="majorHAnsi" w:hAnsiTheme="majorHAnsi"/>
          <w:bCs/>
          <w:sz w:val="20"/>
          <w:szCs w:val="20"/>
          <w:lang w:val="es-PA"/>
        </w:rPr>
        <w:t xml:space="preserve">isarios </w:t>
      </w:r>
      <w:r w:rsidR="009C0B46">
        <w:rPr>
          <w:rFonts w:asciiTheme="majorHAnsi" w:hAnsiTheme="majorHAnsi"/>
          <w:bCs/>
          <w:sz w:val="20"/>
          <w:szCs w:val="20"/>
          <w:lang w:val="es-PA"/>
        </w:rPr>
        <w:t xml:space="preserve">para el pago de la deuda o intervenir la economía de algunos de los medios eran factibles; 8) </w:t>
      </w:r>
      <w:r w:rsidR="0060316C">
        <w:rPr>
          <w:rFonts w:asciiTheme="majorHAnsi" w:hAnsiTheme="majorHAnsi"/>
          <w:bCs/>
          <w:sz w:val="20"/>
          <w:szCs w:val="20"/>
          <w:lang w:val="es-PA"/>
        </w:rPr>
        <w:t>el presidente de la Unidad Reguladora de Servicios de Comunicaciones declaró textualmente que la cancelación fue una “decisión política independiente d</w:t>
      </w:r>
      <w:r w:rsidR="006B1584">
        <w:rPr>
          <w:rFonts w:asciiTheme="majorHAnsi" w:hAnsiTheme="majorHAnsi"/>
          <w:bCs/>
          <w:sz w:val="20"/>
          <w:szCs w:val="20"/>
          <w:lang w:val="es-PA"/>
        </w:rPr>
        <w:t xml:space="preserve">e la resolución judicial”; 9) El propio Estado fue el que </w:t>
      </w:r>
      <w:r w:rsidR="009F7F46">
        <w:rPr>
          <w:rFonts w:asciiTheme="majorHAnsi" w:hAnsiTheme="majorHAnsi"/>
          <w:bCs/>
          <w:sz w:val="20"/>
          <w:szCs w:val="20"/>
          <w:lang w:val="es-PA"/>
        </w:rPr>
        <w:t>generó la deuda y el proceso penal que luego utilizó como justificación para la cancelación de los permisos</w:t>
      </w:r>
      <w:r w:rsidR="00016BEF">
        <w:rPr>
          <w:rFonts w:asciiTheme="majorHAnsi" w:hAnsiTheme="majorHAnsi"/>
          <w:bCs/>
          <w:sz w:val="20"/>
          <w:szCs w:val="20"/>
          <w:lang w:val="es-PA"/>
        </w:rPr>
        <w:t xml:space="preserve">; y 10) el actuar del gobierno denota disparidad de criterios pues una empresa afín al gobierno que explota varios medios de comunicación también mantiene varias deudas con el Estado y </w:t>
      </w:r>
      <w:r w:rsidR="00C323D4">
        <w:rPr>
          <w:rFonts w:asciiTheme="majorHAnsi" w:hAnsiTheme="majorHAnsi"/>
          <w:bCs/>
          <w:sz w:val="20"/>
          <w:szCs w:val="20"/>
          <w:lang w:val="es-PA"/>
        </w:rPr>
        <w:t xml:space="preserve">a </w:t>
      </w:r>
      <w:r w:rsidR="00016BEF">
        <w:rPr>
          <w:rFonts w:asciiTheme="majorHAnsi" w:hAnsiTheme="majorHAnsi"/>
          <w:bCs/>
          <w:sz w:val="20"/>
          <w:szCs w:val="20"/>
          <w:lang w:val="es-PA"/>
        </w:rPr>
        <w:t xml:space="preserve">ésta no se le han cancelado sus permisos </w:t>
      </w:r>
      <w:r w:rsidR="000E4615">
        <w:rPr>
          <w:rFonts w:asciiTheme="majorHAnsi" w:hAnsiTheme="majorHAnsi"/>
          <w:bCs/>
          <w:sz w:val="20"/>
          <w:szCs w:val="20"/>
          <w:lang w:val="es-PA"/>
        </w:rPr>
        <w:t>sino que se le ha reducido parte de la deuda y concedido múltiples facilidades para el pago</w:t>
      </w:r>
      <w:r w:rsidR="009F7F46">
        <w:rPr>
          <w:rFonts w:asciiTheme="majorHAnsi" w:hAnsiTheme="majorHAnsi"/>
          <w:bCs/>
          <w:sz w:val="20"/>
          <w:szCs w:val="20"/>
          <w:lang w:val="es-PA"/>
        </w:rPr>
        <w:t xml:space="preserve">. </w:t>
      </w:r>
    </w:p>
    <w:p w14:paraId="60E7AEAD" w14:textId="77777777" w:rsidR="008E7BC8" w:rsidRPr="00F0093A" w:rsidRDefault="008E7BC8" w:rsidP="00B2366A">
      <w:pPr>
        <w:jc w:val="both"/>
        <w:rPr>
          <w:rFonts w:asciiTheme="majorHAnsi" w:hAnsiTheme="majorHAnsi"/>
          <w:bCs/>
          <w:i/>
          <w:sz w:val="20"/>
          <w:szCs w:val="20"/>
          <w:lang w:val="es-PA"/>
        </w:rPr>
      </w:pPr>
    </w:p>
    <w:p w14:paraId="5856CE3A" w14:textId="38B78D7A" w:rsidR="009F7F46" w:rsidRPr="00D550AB" w:rsidRDefault="009F7F46" w:rsidP="00B2366A">
      <w:pPr>
        <w:pStyle w:val="ListParagraph"/>
        <w:numPr>
          <w:ilvl w:val="0"/>
          <w:numId w:val="103"/>
        </w:numPr>
        <w:jc w:val="both"/>
        <w:rPr>
          <w:rFonts w:asciiTheme="majorHAnsi" w:hAnsiTheme="majorHAnsi"/>
          <w:bCs/>
          <w:i/>
          <w:sz w:val="20"/>
          <w:szCs w:val="20"/>
          <w:lang w:val="es-PA"/>
        </w:rPr>
      </w:pPr>
      <w:r>
        <w:rPr>
          <w:rFonts w:asciiTheme="majorHAnsi" w:hAnsiTheme="majorHAnsi"/>
          <w:bCs/>
          <w:sz w:val="20"/>
          <w:szCs w:val="20"/>
          <w:lang w:val="es-PA"/>
        </w:rPr>
        <w:t xml:space="preserve">En adición, </w:t>
      </w:r>
      <w:r w:rsidR="003E7898">
        <w:rPr>
          <w:rFonts w:asciiTheme="majorHAnsi" w:hAnsiTheme="majorHAnsi"/>
          <w:bCs/>
          <w:sz w:val="20"/>
          <w:szCs w:val="20"/>
          <w:lang w:val="es-PA"/>
        </w:rPr>
        <w:t xml:space="preserve"> señalan que, desde 1957 hasta el cierre de la emisora, se transmitía </w:t>
      </w:r>
      <w:r w:rsidR="00AA27E6">
        <w:rPr>
          <w:rFonts w:asciiTheme="majorHAnsi" w:hAnsiTheme="majorHAnsi"/>
          <w:bCs/>
          <w:sz w:val="20"/>
          <w:szCs w:val="20"/>
          <w:lang w:val="es-PA"/>
        </w:rPr>
        <w:t>en</w:t>
      </w:r>
      <w:r>
        <w:rPr>
          <w:rFonts w:asciiTheme="majorHAnsi" w:hAnsiTheme="majorHAnsi"/>
          <w:bCs/>
          <w:sz w:val="20"/>
          <w:szCs w:val="20"/>
          <w:lang w:val="es-PA"/>
        </w:rPr>
        <w:t xml:space="preserve"> </w:t>
      </w:r>
      <w:r w:rsidR="00AA27E6">
        <w:rPr>
          <w:rFonts w:asciiTheme="majorHAnsi" w:hAnsiTheme="majorHAnsi"/>
          <w:bCs/>
          <w:sz w:val="20"/>
          <w:szCs w:val="20"/>
          <w:lang w:val="es-PA"/>
        </w:rPr>
        <w:t xml:space="preserve">RADIO INDEPENDENCIA </w:t>
      </w:r>
      <w:r w:rsidR="003E7898">
        <w:rPr>
          <w:rFonts w:asciiTheme="majorHAnsi" w:hAnsiTheme="majorHAnsi"/>
          <w:bCs/>
          <w:sz w:val="20"/>
          <w:szCs w:val="20"/>
          <w:lang w:val="es-PA"/>
        </w:rPr>
        <w:t>de las 13:00 a 15:00 horas el servicio</w:t>
      </w:r>
      <w:r w:rsidR="00AA27E6">
        <w:rPr>
          <w:rFonts w:asciiTheme="majorHAnsi" w:hAnsiTheme="majorHAnsi"/>
          <w:bCs/>
          <w:sz w:val="20"/>
          <w:szCs w:val="20"/>
          <w:lang w:val="es-PA"/>
        </w:rPr>
        <w:t xml:space="preserve"> “Radio Armenia”, </w:t>
      </w:r>
      <w:r w:rsidR="003E7898">
        <w:rPr>
          <w:rFonts w:asciiTheme="majorHAnsi" w:hAnsiTheme="majorHAnsi"/>
          <w:bCs/>
          <w:sz w:val="20"/>
          <w:szCs w:val="20"/>
          <w:lang w:val="es-PA"/>
        </w:rPr>
        <w:t xml:space="preserve">el </w:t>
      </w:r>
      <w:r w:rsidR="00AA27E6">
        <w:rPr>
          <w:rFonts w:asciiTheme="majorHAnsi" w:hAnsiTheme="majorHAnsi"/>
          <w:bCs/>
          <w:sz w:val="20"/>
          <w:szCs w:val="20"/>
          <w:lang w:val="es-PA"/>
        </w:rPr>
        <w:t>cual hab</w:t>
      </w:r>
      <w:r w:rsidR="003E7898">
        <w:rPr>
          <w:rFonts w:asciiTheme="majorHAnsi" w:hAnsiTheme="majorHAnsi"/>
          <w:bCs/>
          <w:sz w:val="20"/>
          <w:szCs w:val="20"/>
          <w:lang w:val="es-PA"/>
        </w:rPr>
        <w:t>ía sido fundado</w:t>
      </w:r>
      <w:r w:rsidR="00AA27E6">
        <w:rPr>
          <w:rFonts w:asciiTheme="majorHAnsi" w:hAnsiTheme="majorHAnsi"/>
          <w:bCs/>
          <w:sz w:val="20"/>
          <w:szCs w:val="20"/>
          <w:lang w:val="es-PA"/>
        </w:rPr>
        <w:t xml:space="preserve"> por</w:t>
      </w:r>
      <w:r w:rsidR="00D550AB">
        <w:rPr>
          <w:rFonts w:asciiTheme="majorHAnsi" w:hAnsiTheme="majorHAnsi"/>
          <w:bCs/>
          <w:sz w:val="20"/>
          <w:szCs w:val="20"/>
          <w:lang w:val="es-PA"/>
        </w:rPr>
        <w:t xml:space="preserve"> Antonio Rupenian, inmigrante armenio y </w:t>
      </w:r>
      <w:r w:rsidR="00782BC3">
        <w:rPr>
          <w:rFonts w:asciiTheme="majorHAnsi" w:hAnsiTheme="majorHAnsi"/>
          <w:bCs/>
          <w:sz w:val="20"/>
          <w:szCs w:val="20"/>
          <w:lang w:val="es-PA"/>
        </w:rPr>
        <w:t xml:space="preserve">difunto </w:t>
      </w:r>
      <w:r w:rsidR="003E7898">
        <w:rPr>
          <w:rFonts w:asciiTheme="majorHAnsi" w:hAnsiTheme="majorHAnsi"/>
          <w:bCs/>
          <w:sz w:val="20"/>
          <w:szCs w:val="20"/>
          <w:lang w:val="es-PA"/>
        </w:rPr>
        <w:t>esposo de</w:t>
      </w:r>
      <w:r w:rsidR="00AA27E6">
        <w:rPr>
          <w:rFonts w:asciiTheme="majorHAnsi" w:hAnsiTheme="majorHAnsi"/>
          <w:bCs/>
          <w:sz w:val="20"/>
          <w:szCs w:val="20"/>
          <w:lang w:val="es-PA"/>
        </w:rPr>
        <w:t xml:space="preserve"> </w:t>
      </w:r>
      <w:r w:rsidR="00AA27E6" w:rsidRPr="00DA489E">
        <w:rPr>
          <w:rFonts w:asciiTheme="majorHAnsi" w:hAnsiTheme="majorHAnsi" w:cs="Arial"/>
          <w:color w:val="000000" w:themeColor="text1"/>
          <w:sz w:val="20"/>
          <w:szCs w:val="20"/>
          <w:lang w:val="es-ES_tradnl"/>
        </w:rPr>
        <w:t>Mar</w:t>
      </w:r>
      <w:r w:rsidR="00AA27E6" w:rsidRPr="00DA489E">
        <w:rPr>
          <w:rFonts w:asciiTheme="majorHAnsi" w:hAnsiTheme="majorHAnsi" w:cs="Arial"/>
          <w:color w:val="000000" w:themeColor="text1"/>
          <w:sz w:val="20"/>
          <w:szCs w:val="20"/>
          <w:lang w:val="es-PA"/>
        </w:rPr>
        <w:t>ía Meyber Bichakdjian</w:t>
      </w:r>
      <w:r w:rsidR="00AA27E6">
        <w:rPr>
          <w:rFonts w:asciiTheme="majorHAnsi" w:hAnsiTheme="majorHAnsi" w:cs="Arial"/>
          <w:color w:val="000000" w:themeColor="text1"/>
          <w:sz w:val="20"/>
          <w:szCs w:val="20"/>
          <w:lang w:val="es-PA"/>
        </w:rPr>
        <w:t xml:space="preserve"> y padre de </w:t>
      </w:r>
      <w:r w:rsidR="00AA27E6">
        <w:rPr>
          <w:rFonts w:asciiTheme="majorHAnsi" w:hAnsiTheme="majorHAnsi"/>
          <w:bCs/>
          <w:sz w:val="20"/>
          <w:szCs w:val="20"/>
          <w:lang w:val="es-PA"/>
        </w:rPr>
        <w:t xml:space="preserve">Berch y Aram </w:t>
      </w:r>
      <w:r w:rsidR="00AA27E6">
        <w:rPr>
          <w:bCs/>
          <w:sz w:val="20"/>
          <w:szCs w:val="20"/>
          <w:lang w:val="es-PA"/>
        </w:rPr>
        <w:t xml:space="preserve">Rupenian Bichakdjian. </w:t>
      </w:r>
      <w:r w:rsidR="00782BC3">
        <w:rPr>
          <w:bCs/>
          <w:sz w:val="20"/>
          <w:szCs w:val="20"/>
          <w:lang w:val="es-PA"/>
        </w:rPr>
        <w:t xml:space="preserve">Alegan que éste era un servicio cultural de alta importancia para la comunidad armenia del Uruguay, la que indican alcanzaba 20,000 integrantes al momento del cese del servicio. </w:t>
      </w:r>
      <w:r w:rsidR="00FB0FCC">
        <w:rPr>
          <w:bCs/>
          <w:sz w:val="20"/>
          <w:szCs w:val="20"/>
          <w:lang w:val="es-PA"/>
        </w:rPr>
        <w:t>Señalan que Radio Armenia contenía espacios periodísticos y musicales propios de la identidad armenia y servía de medio social a la comunidad para anunciar eventos tales como bodas, nacimientos</w:t>
      </w:r>
      <w:r w:rsidR="00C323D4">
        <w:rPr>
          <w:bCs/>
          <w:sz w:val="20"/>
          <w:szCs w:val="20"/>
          <w:lang w:val="es-PA"/>
        </w:rPr>
        <w:t xml:space="preserve"> y  fallecimientos. Agregan que, </w:t>
      </w:r>
      <w:r w:rsidR="00FB0FCC">
        <w:rPr>
          <w:bCs/>
          <w:sz w:val="20"/>
          <w:szCs w:val="20"/>
          <w:lang w:val="es-PA"/>
        </w:rPr>
        <w:t xml:space="preserve">aunque hubo protestas de parte de la </w:t>
      </w:r>
      <w:r w:rsidR="000706B7">
        <w:rPr>
          <w:bCs/>
          <w:sz w:val="20"/>
          <w:szCs w:val="20"/>
          <w:lang w:val="es-PA"/>
        </w:rPr>
        <w:t>comunidad e</w:t>
      </w:r>
      <w:r w:rsidR="00FB0FCC">
        <w:rPr>
          <w:bCs/>
          <w:sz w:val="20"/>
          <w:szCs w:val="20"/>
          <w:lang w:val="es-PA"/>
        </w:rPr>
        <w:t xml:space="preserve"> iglesias armenias, estas no tuvieron resultado alguno y no consta que el Estado haya tomado medidas para reintegrar esa vía de comunicación a la comunidad armenia. </w:t>
      </w:r>
      <w:r w:rsidR="00B447D7">
        <w:rPr>
          <w:bCs/>
          <w:sz w:val="20"/>
          <w:szCs w:val="20"/>
          <w:lang w:val="es-PA"/>
        </w:rPr>
        <w:t xml:space="preserve">Aducen </w:t>
      </w:r>
      <w:r w:rsidR="008E7BC8">
        <w:rPr>
          <w:bCs/>
          <w:sz w:val="20"/>
          <w:szCs w:val="20"/>
          <w:lang w:val="es-PA"/>
        </w:rPr>
        <w:t xml:space="preserve">por lo tanto </w:t>
      </w:r>
      <w:r w:rsidR="00B447D7">
        <w:rPr>
          <w:bCs/>
          <w:sz w:val="20"/>
          <w:szCs w:val="20"/>
          <w:lang w:val="es-PA"/>
        </w:rPr>
        <w:t xml:space="preserve">que, </w:t>
      </w:r>
      <w:r w:rsidR="00D64CC0">
        <w:rPr>
          <w:bCs/>
          <w:sz w:val="20"/>
          <w:szCs w:val="20"/>
          <w:lang w:val="es-PA"/>
        </w:rPr>
        <w:t xml:space="preserve">independientemente de que ésta haya sido </w:t>
      </w:r>
      <w:r w:rsidR="0088280B">
        <w:rPr>
          <w:bCs/>
          <w:sz w:val="20"/>
          <w:szCs w:val="20"/>
          <w:lang w:val="es-PA"/>
        </w:rPr>
        <w:t xml:space="preserve">la intención del Estado </w:t>
      </w:r>
      <w:r w:rsidR="00D64CC0">
        <w:rPr>
          <w:bCs/>
          <w:sz w:val="20"/>
          <w:szCs w:val="20"/>
          <w:lang w:val="es-PA"/>
        </w:rPr>
        <w:t>o no</w:t>
      </w:r>
      <w:r w:rsidR="00716CF9">
        <w:rPr>
          <w:bCs/>
          <w:sz w:val="20"/>
          <w:szCs w:val="20"/>
          <w:lang w:val="es-PA"/>
        </w:rPr>
        <w:t>,</w:t>
      </w:r>
      <w:r w:rsidR="00B447D7">
        <w:rPr>
          <w:bCs/>
          <w:sz w:val="20"/>
          <w:szCs w:val="20"/>
          <w:lang w:val="es-PA"/>
        </w:rPr>
        <w:t xml:space="preserve"> el cierre de RADIO INDEPENDENCIA produjo</w:t>
      </w:r>
      <w:r w:rsidR="00D64CC0">
        <w:rPr>
          <w:bCs/>
          <w:sz w:val="20"/>
          <w:szCs w:val="20"/>
          <w:lang w:val="es-PA"/>
        </w:rPr>
        <w:t xml:space="preserve"> objetivamente</w:t>
      </w:r>
      <w:r w:rsidR="00B447D7">
        <w:rPr>
          <w:bCs/>
          <w:sz w:val="20"/>
          <w:szCs w:val="20"/>
          <w:lang w:val="es-PA"/>
        </w:rPr>
        <w:t xml:space="preserve"> una discriminación étnica</w:t>
      </w:r>
      <w:r w:rsidR="00FB0FCC">
        <w:rPr>
          <w:bCs/>
          <w:sz w:val="20"/>
          <w:szCs w:val="20"/>
          <w:lang w:val="es-PA"/>
        </w:rPr>
        <w:t xml:space="preserve"> </w:t>
      </w:r>
      <w:r w:rsidR="00B447D7">
        <w:rPr>
          <w:bCs/>
          <w:sz w:val="20"/>
          <w:szCs w:val="20"/>
          <w:lang w:val="es-PA"/>
        </w:rPr>
        <w:t>contra la comunidad armenia.</w:t>
      </w:r>
    </w:p>
    <w:p w14:paraId="7C86DF68" w14:textId="77777777" w:rsidR="00D550AB" w:rsidRPr="00D550AB" w:rsidRDefault="00D550AB" w:rsidP="00B2366A">
      <w:pPr>
        <w:jc w:val="both"/>
        <w:rPr>
          <w:rFonts w:asciiTheme="majorHAnsi" w:hAnsiTheme="majorHAnsi"/>
          <w:bCs/>
          <w:i/>
          <w:sz w:val="20"/>
          <w:szCs w:val="20"/>
          <w:lang w:val="es-PA"/>
        </w:rPr>
      </w:pPr>
    </w:p>
    <w:p w14:paraId="18B938D3" w14:textId="43489164" w:rsidR="00B447D7" w:rsidRPr="00CD7AAD" w:rsidRDefault="00357171" w:rsidP="00B2366A">
      <w:pPr>
        <w:pStyle w:val="ListParagraph"/>
        <w:numPr>
          <w:ilvl w:val="0"/>
          <w:numId w:val="103"/>
        </w:numPr>
        <w:jc w:val="both"/>
        <w:rPr>
          <w:rFonts w:asciiTheme="majorHAnsi" w:hAnsiTheme="majorHAnsi"/>
          <w:bCs/>
          <w:i/>
          <w:sz w:val="20"/>
          <w:szCs w:val="20"/>
          <w:lang w:val="es-PA"/>
        </w:rPr>
      </w:pPr>
      <w:r>
        <w:rPr>
          <w:rFonts w:asciiTheme="majorHAnsi" w:hAnsiTheme="majorHAnsi"/>
          <w:bCs/>
          <w:sz w:val="20"/>
          <w:szCs w:val="20"/>
          <w:lang w:val="es-PA"/>
        </w:rPr>
        <w:t xml:space="preserve">Agregan que la cancelación de los permisos también afectó a </w:t>
      </w:r>
      <w:r w:rsidR="004578B6">
        <w:rPr>
          <w:rFonts w:asciiTheme="majorHAnsi" w:hAnsiTheme="majorHAnsi"/>
          <w:bCs/>
          <w:sz w:val="20"/>
          <w:szCs w:val="20"/>
          <w:lang w:val="es-PA"/>
        </w:rPr>
        <w:t>treinta y siete</w:t>
      </w:r>
      <w:r>
        <w:rPr>
          <w:rFonts w:asciiTheme="majorHAnsi" w:hAnsiTheme="majorHAnsi"/>
          <w:bCs/>
          <w:sz w:val="20"/>
          <w:szCs w:val="20"/>
          <w:lang w:val="es-PA"/>
        </w:rPr>
        <w:t xml:space="preserve"> personas que laboraban para las emisoras y perdieron </w:t>
      </w:r>
      <w:r w:rsidR="00520154">
        <w:rPr>
          <w:rFonts w:asciiTheme="majorHAnsi" w:hAnsiTheme="majorHAnsi"/>
          <w:bCs/>
          <w:sz w:val="20"/>
          <w:szCs w:val="20"/>
          <w:lang w:val="es-PA"/>
        </w:rPr>
        <w:t xml:space="preserve">abruptamente su fuente de trabajo. </w:t>
      </w:r>
      <w:r w:rsidR="004578B6">
        <w:rPr>
          <w:rFonts w:asciiTheme="majorHAnsi" w:hAnsiTheme="majorHAnsi"/>
          <w:bCs/>
          <w:sz w:val="20"/>
          <w:szCs w:val="20"/>
          <w:lang w:val="es-PA"/>
        </w:rPr>
        <w:t>A</w:t>
      </w:r>
      <w:r w:rsidR="00520154">
        <w:rPr>
          <w:rFonts w:asciiTheme="majorHAnsi" w:hAnsiTheme="majorHAnsi"/>
          <w:bCs/>
          <w:sz w:val="20"/>
          <w:szCs w:val="20"/>
          <w:lang w:val="es-PA"/>
        </w:rPr>
        <w:t xml:space="preserve">legan que las presuntas víctimas han sufrido un serio perjuicio económico al tener que hacer frente al pago de los despidos pese </w:t>
      </w:r>
      <w:r w:rsidR="00D550AB">
        <w:rPr>
          <w:rFonts w:asciiTheme="majorHAnsi" w:hAnsiTheme="majorHAnsi"/>
          <w:bCs/>
          <w:sz w:val="20"/>
          <w:szCs w:val="20"/>
          <w:lang w:val="es-PA"/>
        </w:rPr>
        <w:t xml:space="preserve">a </w:t>
      </w:r>
      <w:r w:rsidR="00520154">
        <w:rPr>
          <w:rFonts w:asciiTheme="majorHAnsi" w:hAnsiTheme="majorHAnsi"/>
          <w:bCs/>
          <w:sz w:val="20"/>
          <w:szCs w:val="20"/>
          <w:lang w:val="es-PA"/>
        </w:rPr>
        <w:t>haberse descapitalizado al perder las radios y sus bienes personales, indicando que el monto total que l</w:t>
      </w:r>
      <w:r w:rsidR="004578B6">
        <w:rPr>
          <w:rFonts w:asciiTheme="majorHAnsi" w:hAnsiTheme="majorHAnsi"/>
          <w:bCs/>
          <w:sz w:val="20"/>
          <w:szCs w:val="20"/>
          <w:lang w:val="es-PA"/>
        </w:rPr>
        <w:t xml:space="preserve">es corresponde pagar por los despidos que se vieron forzados a realizar asciende a US$340,000.00 de los que ya habían pagado US$195,000.00 al momento de presentar su petición.  Argumentan que el Estado debiera ser quien asuma la carga financiera de los despidos por ser quien suprimió la fuente de trabajo. También aducen que el Estado se ha convertido en un obstáculo para </w:t>
      </w:r>
      <w:r w:rsidR="008D2673">
        <w:rPr>
          <w:rFonts w:asciiTheme="majorHAnsi" w:hAnsiTheme="majorHAnsi"/>
          <w:bCs/>
          <w:sz w:val="20"/>
          <w:szCs w:val="20"/>
          <w:lang w:val="es-PA"/>
        </w:rPr>
        <w:t>la búsqueda de soluciones para los ex</w:t>
      </w:r>
      <w:r w:rsidR="00D550AB">
        <w:rPr>
          <w:rFonts w:asciiTheme="majorHAnsi" w:hAnsiTheme="majorHAnsi"/>
          <w:bCs/>
          <w:sz w:val="20"/>
          <w:szCs w:val="20"/>
          <w:lang w:val="es-PA"/>
        </w:rPr>
        <w:t xml:space="preserve"> </w:t>
      </w:r>
      <w:r w:rsidR="008D2673">
        <w:rPr>
          <w:rFonts w:asciiTheme="majorHAnsi" w:hAnsiTheme="majorHAnsi"/>
          <w:bCs/>
          <w:sz w:val="20"/>
          <w:szCs w:val="20"/>
          <w:lang w:val="es-PA"/>
        </w:rPr>
        <w:t>trabajadores.</w:t>
      </w:r>
    </w:p>
    <w:p w14:paraId="565AB729" w14:textId="77777777" w:rsidR="00087DAA" w:rsidRPr="00087DAA" w:rsidRDefault="00087DAA" w:rsidP="00B2366A">
      <w:pPr>
        <w:pStyle w:val="ListParagraph"/>
        <w:rPr>
          <w:rFonts w:asciiTheme="majorHAnsi" w:hAnsiTheme="majorHAnsi"/>
          <w:bCs/>
          <w:sz w:val="20"/>
          <w:szCs w:val="20"/>
          <w:lang w:val="es-PA"/>
        </w:rPr>
      </w:pPr>
    </w:p>
    <w:p w14:paraId="35C578E2" w14:textId="3DC0B65B" w:rsidR="00D82758" w:rsidRPr="007044F3" w:rsidRDefault="00DB7D92"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 xml:space="preserve"> </w:t>
      </w:r>
      <w:r w:rsidR="00DA214F">
        <w:rPr>
          <w:rFonts w:asciiTheme="majorHAnsi" w:hAnsiTheme="majorHAnsi"/>
          <w:bCs/>
          <w:sz w:val="20"/>
          <w:szCs w:val="20"/>
          <w:lang w:val="es-PA"/>
        </w:rPr>
        <w:t xml:space="preserve">El 18 de mayo de 2010 el tribunal penal de primera instancia dicto sentencia condenando a  </w:t>
      </w:r>
      <w:r w:rsidR="00750C2A">
        <w:rPr>
          <w:rFonts w:asciiTheme="majorHAnsi" w:hAnsiTheme="majorHAnsi"/>
          <w:bCs/>
          <w:sz w:val="20"/>
          <w:szCs w:val="20"/>
          <w:lang w:val="es-PA"/>
        </w:rPr>
        <w:t xml:space="preserve">Berch </w:t>
      </w:r>
      <w:r w:rsidR="00750C2A">
        <w:rPr>
          <w:bCs/>
          <w:sz w:val="20"/>
          <w:szCs w:val="20"/>
          <w:lang w:val="es-PA"/>
        </w:rPr>
        <w:t xml:space="preserve">Rupenian Bichakdjian como autor del delito de defraudación tributaria y a </w:t>
      </w:r>
      <w:r w:rsidR="00750C2A">
        <w:rPr>
          <w:rFonts w:asciiTheme="majorHAnsi" w:hAnsiTheme="majorHAnsi"/>
          <w:bCs/>
          <w:sz w:val="20"/>
          <w:szCs w:val="20"/>
          <w:lang w:val="es-PA"/>
        </w:rPr>
        <w:t xml:space="preserve">Aram </w:t>
      </w:r>
      <w:r w:rsidR="00750C2A">
        <w:rPr>
          <w:bCs/>
          <w:sz w:val="20"/>
          <w:szCs w:val="20"/>
          <w:lang w:val="es-PA"/>
        </w:rPr>
        <w:t xml:space="preserve">Rupenian Bichakdjian como coautor del mismo delito. Ordenando para el primero pena de dos años y cuatro meses de penitenciaría y </w:t>
      </w:r>
      <w:r w:rsidR="00D53718">
        <w:rPr>
          <w:bCs/>
          <w:sz w:val="20"/>
          <w:szCs w:val="20"/>
          <w:lang w:val="es-PA"/>
        </w:rPr>
        <w:t xml:space="preserve">de </w:t>
      </w:r>
      <w:r w:rsidR="00750C2A">
        <w:rPr>
          <w:bCs/>
          <w:sz w:val="20"/>
          <w:szCs w:val="20"/>
          <w:lang w:val="es-PA"/>
        </w:rPr>
        <w:t>24 meses de prisión para el segundo.</w:t>
      </w:r>
      <w:r w:rsidR="00D550AB">
        <w:rPr>
          <w:bCs/>
          <w:sz w:val="20"/>
          <w:szCs w:val="20"/>
          <w:lang w:val="es-PA"/>
        </w:rPr>
        <w:t xml:space="preserve"> </w:t>
      </w:r>
      <w:r w:rsidR="00ED0941">
        <w:rPr>
          <w:bCs/>
          <w:sz w:val="20"/>
          <w:szCs w:val="20"/>
          <w:lang w:val="es-PA"/>
        </w:rPr>
        <w:t xml:space="preserve">Indican que, aunque la sentencia penal quedó en firme, luego la jueza </w:t>
      </w:r>
      <w:r w:rsidR="00ED0941">
        <w:rPr>
          <w:bCs/>
          <w:sz w:val="20"/>
          <w:szCs w:val="20"/>
          <w:lang w:val="es-PA"/>
        </w:rPr>
        <w:lastRenderedPageBreak/>
        <w:t>de primera instancia emitió resolución ordenando que “téngase la sentencia de autos por no pronunciada y por extinguido el delito impuesto”</w:t>
      </w:r>
      <w:r w:rsidR="009F0563">
        <w:rPr>
          <w:bCs/>
          <w:sz w:val="20"/>
          <w:szCs w:val="20"/>
          <w:lang w:val="es-PA"/>
        </w:rPr>
        <w:t xml:space="preserve">. Alegan que,  producto del proceso penal adelantado en su contra, los hermanos Rupenian Bichakdjian </w:t>
      </w:r>
      <w:r w:rsidR="00D82758">
        <w:rPr>
          <w:bCs/>
          <w:sz w:val="20"/>
          <w:szCs w:val="20"/>
          <w:lang w:val="es-PA"/>
        </w:rPr>
        <w:t>fueron alojados</w:t>
      </w:r>
      <w:r w:rsidR="009F0563">
        <w:rPr>
          <w:bCs/>
          <w:sz w:val="20"/>
          <w:szCs w:val="20"/>
          <w:lang w:val="es-PA"/>
        </w:rPr>
        <w:t xml:space="preserve"> treinta días en la celda de castigo del Complejo Carcelario de Santiago Vásquez</w:t>
      </w:r>
      <w:r w:rsidR="00D550AB">
        <w:rPr>
          <w:bCs/>
          <w:sz w:val="20"/>
          <w:szCs w:val="20"/>
          <w:lang w:val="es-PA"/>
        </w:rPr>
        <w:t xml:space="preserve">, </w:t>
      </w:r>
      <w:r w:rsidR="00D82758">
        <w:rPr>
          <w:bCs/>
          <w:sz w:val="20"/>
          <w:szCs w:val="20"/>
          <w:lang w:val="es-PA"/>
        </w:rPr>
        <w:t>sin conocerse la razón de esa decisión. Luego permanecieron por ciento dieciocho días en el centro de reclusión “La Tablada”</w:t>
      </w:r>
      <w:r w:rsidR="0063563C">
        <w:rPr>
          <w:bCs/>
          <w:sz w:val="20"/>
          <w:szCs w:val="20"/>
          <w:lang w:val="es-PA"/>
        </w:rPr>
        <w:t xml:space="preserve"> el que argumentan</w:t>
      </w:r>
      <w:r w:rsidR="00D82758">
        <w:rPr>
          <w:bCs/>
          <w:sz w:val="20"/>
          <w:szCs w:val="20"/>
          <w:lang w:val="es-PA"/>
        </w:rPr>
        <w:t xml:space="preserve"> había sido objeto de censura por observadores internacionales por razón de su mal estado. Indica</w:t>
      </w:r>
      <w:r w:rsidR="0063563C">
        <w:rPr>
          <w:bCs/>
          <w:sz w:val="20"/>
          <w:szCs w:val="20"/>
          <w:lang w:val="es-PA"/>
        </w:rPr>
        <w:t>n</w:t>
      </w:r>
      <w:r w:rsidR="00D82758">
        <w:rPr>
          <w:bCs/>
          <w:sz w:val="20"/>
          <w:szCs w:val="20"/>
          <w:lang w:val="es-PA"/>
        </w:rPr>
        <w:t xml:space="preserve"> que solicitaron el traslado a otra dependencia carcelaria lo que fue dispuesto por la jueza actuante luego de percatarse de la mala situación en que se encontraban los hermanos.</w:t>
      </w:r>
    </w:p>
    <w:p w14:paraId="739769FC" w14:textId="77777777" w:rsidR="007044F3" w:rsidRPr="00D82758" w:rsidRDefault="007044F3" w:rsidP="00B2366A">
      <w:pPr>
        <w:pStyle w:val="ListParagraph"/>
        <w:jc w:val="both"/>
        <w:rPr>
          <w:rFonts w:asciiTheme="majorHAnsi" w:hAnsiTheme="majorHAnsi"/>
          <w:bCs/>
          <w:sz w:val="20"/>
          <w:szCs w:val="20"/>
          <w:lang w:val="es-PA"/>
        </w:rPr>
      </w:pPr>
    </w:p>
    <w:p w14:paraId="24133B3E" w14:textId="70D884D3" w:rsidR="002C574F" w:rsidRPr="0067653D" w:rsidRDefault="00D82758" w:rsidP="00B2366A">
      <w:pPr>
        <w:pStyle w:val="ListParagraph"/>
        <w:numPr>
          <w:ilvl w:val="0"/>
          <w:numId w:val="103"/>
        </w:numPr>
        <w:jc w:val="both"/>
        <w:rPr>
          <w:rFonts w:asciiTheme="majorHAnsi" w:hAnsiTheme="majorHAnsi"/>
          <w:bCs/>
          <w:sz w:val="20"/>
          <w:szCs w:val="20"/>
          <w:lang w:val="es-PA"/>
        </w:rPr>
      </w:pPr>
      <w:r>
        <w:rPr>
          <w:bCs/>
          <w:sz w:val="20"/>
          <w:szCs w:val="20"/>
          <w:lang w:val="es-PA"/>
        </w:rPr>
        <w:t xml:space="preserve"> </w:t>
      </w:r>
      <w:r w:rsidR="007044F3">
        <w:rPr>
          <w:bCs/>
          <w:sz w:val="20"/>
          <w:szCs w:val="20"/>
          <w:lang w:val="es-PA"/>
        </w:rPr>
        <w:t xml:space="preserve">El Estado, por su parte, </w:t>
      </w:r>
      <w:r w:rsidR="00733859">
        <w:rPr>
          <w:bCs/>
          <w:sz w:val="20"/>
          <w:szCs w:val="20"/>
          <w:lang w:val="es-PA"/>
        </w:rPr>
        <w:t>m</w:t>
      </w:r>
      <w:r w:rsidR="0090318F">
        <w:rPr>
          <w:bCs/>
          <w:sz w:val="20"/>
          <w:szCs w:val="20"/>
          <w:lang w:val="es-PA"/>
        </w:rPr>
        <w:t xml:space="preserve">anifiesta preocupación por el prolongado tiempo transcurrido entre la presentación de la petición y su notificación, el cual considera excede el </w:t>
      </w:r>
      <w:r w:rsidR="00733859">
        <w:rPr>
          <w:bCs/>
          <w:sz w:val="20"/>
          <w:szCs w:val="20"/>
          <w:lang w:val="es-PA"/>
        </w:rPr>
        <w:t>retraso</w:t>
      </w:r>
      <w:r w:rsidR="0090318F">
        <w:rPr>
          <w:bCs/>
          <w:sz w:val="20"/>
          <w:szCs w:val="20"/>
          <w:lang w:val="es-PA"/>
        </w:rPr>
        <w:t xml:space="preserve"> razonable y afecta el principio de seguridad jur</w:t>
      </w:r>
      <w:r w:rsidR="00733859">
        <w:rPr>
          <w:bCs/>
          <w:sz w:val="20"/>
          <w:szCs w:val="20"/>
          <w:lang w:val="es-PA"/>
        </w:rPr>
        <w:t xml:space="preserve">ídica que rige el Sistema Interamericano y que se encuentra recogido, entra otras disposiciones, en los plazos previstos en el artículo 32.1 del Reglamento de la Comisión Interamericana. </w:t>
      </w:r>
      <w:r w:rsidR="0067653D">
        <w:rPr>
          <w:bCs/>
          <w:sz w:val="20"/>
          <w:szCs w:val="20"/>
          <w:lang w:val="es-PA"/>
        </w:rPr>
        <w:t>También considera que la pretensión de los peticionarios es que la Comisión Interamericana actúe ilegítimamente como una cuarta instancia para revisar decisiones domésticas con las que están en desacuerdo, sin aportar pruebas que avalen su reclamo sobre supuestas violaciones al debido proceso.</w:t>
      </w:r>
      <w:r w:rsidR="0067653D" w:rsidRPr="0067653D">
        <w:rPr>
          <w:bCs/>
          <w:sz w:val="20"/>
          <w:szCs w:val="20"/>
          <w:lang w:val="es-PA"/>
        </w:rPr>
        <w:t xml:space="preserve"> </w:t>
      </w:r>
      <w:r w:rsidR="0067653D">
        <w:rPr>
          <w:bCs/>
          <w:sz w:val="20"/>
          <w:szCs w:val="20"/>
          <w:lang w:val="es-PA"/>
        </w:rPr>
        <w:t>Solicita que se declare la inadmisibilidad del caso, señalando que el caso presentado por los peticionarios no revela actos, hechos u omisiones que representen violación a la Convención Americana.</w:t>
      </w:r>
    </w:p>
    <w:p w14:paraId="06177218" w14:textId="77777777" w:rsidR="0067653D" w:rsidRPr="0067653D" w:rsidRDefault="0067653D" w:rsidP="00B2366A">
      <w:pPr>
        <w:pStyle w:val="ListParagraph"/>
        <w:rPr>
          <w:rFonts w:asciiTheme="majorHAnsi" w:hAnsiTheme="majorHAnsi"/>
          <w:bCs/>
          <w:sz w:val="20"/>
          <w:szCs w:val="20"/>
          <w:lang w:val="es-PA"/>
        </w:rPr>
      </w:pPr>
    </w:p>
    <w:p w14:paraId="3D6C7D80" w14:textId="5E063BE5" w:rsidR="0067653D" w:rsidRPr="00733859" w:rsidRDefault="00FF75F6" w:rsidP="00B2366A">
      <w:pPr>
        <w:pStyle w:val="ListParagraph"/>
        <w:numPr>
          <w:ilvl w:val="0"/>
          <w:numId w:val="103"/>
        </w:numPr>
        <w:jc w:val="both"/>
        <w:rPr>
          <w:rFonts w:asciiTheme="majorHAnsi" w:hAnsiTheme="majorHAnsi"/>
          <w:bCs/>
          <w:sz w:val="20"/>
          <w:szCs w:val="20"/>
          <w:lang w:val="es-PA"/>
        </w:rPr>
      </w:pPr>
      <w:r>
        <w:rPr>
          <w:bCs/>
          <w:sz w:val="20"/>
          <w:szCs w:val="20"/>
          <w:lang w:val="es-PA"/>
        </w:rPr>
        <w:t>Indica que los procesos administrativos y penales adelantados contra las presuntas víctimas, integr</w:t>
      </w:r>
      <w:r w:rsidR="00C323D4">
        <w:rPr>
          <w:bCs/>
          <w:sz w:val="20"/>
          <w:szCs w:val="20"/>
          <w:lang w:val="es-PA"/>
        </w:rPr>
        <w:t xml:space="preserve">antes de una conocida familia, </w:t>
      </w:r>
      <w:r>
        <w:rPr>
          <w:bCs/>
          <w:sz w:val="20"/>
          <w:szCs w:val="20"/>
          <w:lang w:val="es-PA"/>
        </w:rPr>
        <w:t xml:space="preserve">se realizaron en pro del principio de igualdad y en un contexto histórico en que el Estado </w:t>
      </w:r>
      <w:r>
        <w:rPr>
          <w:rFonts w:asciiTheme="majorHAnsi" w:hAnsiTheme="majorHAnsi"/>
          <w:bCs/>
          <w:sz w:val="20"/>
          <w:szCs w:val="20"/>
          <w:lang w:val="es-PA"/>
        </w:rPr>
        <w:t>priorizó la investigación de delitos fiscales con el fin de</w:t>
      </w:r>
      <w:r w:rsidR="00D03AF1">
        <w:rPr>
          <w:rFonts w:asciiTheme="majorHAnsi" w:hAnsiTheme="majorHAnsi"/>
          <w:bCs/>
          <w:sz w:val="20"/>
          <w:szCs w:val="20"/>
          <w:lang w:val="es-PA"/>
        </w:rPr>
        <w:t xml:space="preserve"> combatir la pobreza, promover la equidad fiscal y</w:t>
      </w:r>
      <w:r>
        <w:rPr>
          <w:rFonts w:asciiTheme="majorHAnsi" w:hAnsiTheme="majorHAnsi"/>
          <w:bCs/>
          <w:sz w:val="20"/>
          <w:szCs w:val="20"/>
          <w:lang w:val="es-PA"/>
        </w:rPr>
        <w:t xml:space="preserve"> </w:t>
      </w:r>
      <w:r w:rsidR="00D03AF1">
        <w:rPr>
          <w:rFonts w:asciiTheme="majorHAnsi" w:hAnsiTheme="majorHAnsi"/>
          <w:bCs/>
          <w:sz w:val="20"/>
          <w:szCs w:val="20"/>
          <w:lang w:val="es-PA"/>
        </w:rPr>
        <w:t>mitigar los efectos de la</w:t>
      </w:r>
      <w:r>
        <w:rPr>
          <w:rFonts w:asciiTheme="majorHAnsi" w:hAnsiTheme="majorHAnsi"/>
          <w:bCs/>
          <w:sz w:val="20"/>
          <w:szCs w:val="20"/>
          <w:lang w:val="es-PA"/>
        </w:rPr>
        <w:t xml:space="preserve"> crisis económica que sufrió el país en el 2001.</w:t>
      </w:r>
      <w:r w:rsidR="00D03AF1">
        <w:rPr>
          <w:rFonts w:asciiTheme="majorHAnsi" w:hAnsiTheme="majorHAnsi"/>
          <w:bCs/>
          <w:sz w:val="20"/>
          <w:szCs w:val="20"/>
          <w:lang w:val="es-PA"/>
        </w:rPr>
        <w:t xml:space="preserve"> Alega que en todos los procesos se respetó el derecho de las presuntas víctimas a la defensa y todas las garantías del debido proceso</w:t>
      </w:r>
      <w:r w:rsidR="00EB5FCE">
        <w:rPr>
          <w:rFonts w:asciiTheme="majorHAnsi" w:hAnsiTheme="majorHAnsi"/>
          <w:bCs/>
          <w:sz w:val="20"/>
          <w:szCs w:val="20"/>
          <w:lang w:val="es-PA"/>
        </w:rPr>
        <w:t xml:space="preserve">. Resalta que los peticionarios han reconocido que el Procurador del Estado para lo Contencioso Administrativo realizó dictámenes favorables a las presuntas víctimas, lo que </w:t>
      </w:r>
      <w:r w:rsidR="00D878E7">
        <w:rPr>
          <w:rFonts w:asciiTheme="majorHAnsi" w:hAnsiTheme="majorHAnsi"/>
          <w:bCs/>
          <w:sz w:val="20"/>
          <w:szCs w:val="20"/>
          <w:lang w:val="es-PA"/>
        </w:rPr>
        <w:t>considera</w:t>
      </w:r>
      <w:r w:rsidR="00EB5FCE">
        <w:rPr>
          <w:rFonts w:asciiTheme="majorHAnsi" w:hAnsiTheme="majorHAnsi"/>
          <w:bCs/>
          <w:sz w:val="20"/>
          <w:szCs w:val="20"/>
          <w:lang w:val="es-PA"/>
        </w:rPr>
        <w:t xml:space="preserve"> evidencia de la independencia e imparcialidad con que se llevaron los procesos. </w:t>
      </w:r>
      <w:r>
        <w:rPr>
          <w:rFonts w:asciiTheme="majorHAnsi" w:hAnsiTheme="majorHAnsi"/>
          <w:bCs/>
          <w:sz w:val="20"/>
          <w:szCs w:val="20"/>
          <w:lang w:val="es-PA"/>
        </w:rPr>
        <w:t xml:space="preserve"> </w:t>
      </w:r>
      <w:r w:rsidR="00D03AF1">
        <w:rPr>
          <w:bCs/>
          <w:sz w:val="20"/>
          <w:szCs w:val="20"/>
          <w:lang w:val="es-PA"/>
        </w:rPr>
        <w:t xml:space="preserve">  </w:t>
      </w:r>
    </w:p>
    <w:p w14:paraId="47EFE0FA" w14:textId="77777777" w:rsidR="00733859" w:rsidRPr="00733859" w:rsidRDefault="00733859" w:rsidP="00B2366A">
      <w:pPr>
        <w:pStyle w:val="ListParagraph"/>
        <w:rPr>
          <w:rFonts w:asciiTheme="majorHAnsi" w:hAnsiTheme="majorHAnsi"/>
          <w:bCs/>
          <w:sz w:val="20"/>
          <w:szCs w:val="20"/>
          <w:lang w:val="es-PA"/>
        </w:rPr>
      </w:pPr>
    </w:p>
    <w:p w14:paraId="73BA2A26" w14:textId="38C161B0" w:rsidR="00733859" w:rsidRPr="006A39FC" w:rsidRDefault="00E1547E" w:rsidP="00B2366A">
      <w:pPr>
        <w:pStyle w:val="ListParagraph"/>
        <w:numPr>
          <w:ilvl w:val="0"/>
          <w:numId w:val="103"/>
        </w:numPr>
        <w:jc w:val="both"/>
        <w:rPr>
          <w:rFonts w:asciiTheme="majorHAnsi" w:hAnsiTheme="majorHAnsi"/>
          <w:bCs/>
          <w:sz w:val="20"/>
          <w:szCs w:val="20"/>
          <w:lang w:val="es-PA"/>
        </w:rPr>
      </w:pPr>
      <w:r>
        <w:rPr>
          <w:bCs/>
          <w:sz w:val="20"/>
          <w:szCs w:val="20"/>
          <w:lang w:val="es-PA"/>
        </w:rPr>
        <w:t>Señala</w:t>
      </w:r>
      <w:r w:rsidR="00733859">
        <w:rPr>
          <w:bCs/>
          <w:sz w:val="20"/>
          <w:szCs w:val="20"/>
          <w:lang w:val="es-PA"/>
        </w:rPr>
        <w:t xml:space="preserve"> que las presuntas víctimas eran titulares de permisos expedidos por el Estado</w:t>
      </w:r>
      <w:r w:rsidR="00D878E7">
        <w:rPr>
          <w:bCs/>
          <w:sz w:val="20"/>
          <w:szCs w:val="20"/>
          <w:lang w:val="es-PA"/>
        </w:rPr>
        <w:t>,</w:t>
      </w:r>
      <w:r w:rsidR="00733859">
        <w:rPr>
          <w:bCs/>
          <w:sz w:val="20"/>
          <w:szCs w:val="20"/>
          <w:lang w:val="es-PA"/>
        </w:rPr>
        <w:t xml:space="preserve"> los que </w:t>
      </w:r>
      <w:r>
        <w:rPr>
          <w:bCs/>
          <w:sz w:val="20"/>
          <w:szCs w:val="20"/>
          <w:lang w:val="es-PA"/>
        </w:rPr>
        <w:t>les fueron revocados como consecuencia de su propia conducta fiscal y de su debilitamiento con respecto a los requisitos de solvencia establecidos para el ejercicio de esos permisos</w:t>
      </w:r>
      <w:r w:rsidR="00D878E7">
        <w:rPr>
          <w:bCs/>
          <w:sz w:val="20"/>
          <w:szCs w:val="20"/>
          <w:lang w:val="es-PA"/>
        </w:rPr>
        <w:t xml:space="preserve">. </w:t>
      </w:r>
      <w:r w:rsidR="00525A09">
        <w:rPr>
          <w:bCs/>
          <w:sz w:val="20"/>
          <w:szCs w:val="20"/>
          <w:lang w:val="es-PA"/>
        </w:rPr>
        <w:t xml:space="preserve">Alega que la revocación se realizó a través de un mecanismo administrativo no judicial el cual se tramitó bajo las normas legales vigentes, resaltando que la decisión fue luego sujeta a control de la legalidad y avalada por el TCA. </w:t>
      </w:r>
      <w:r w:rsidR="001B5F12">
        <w:rPr>
          <w:bCs/>
          <w:sz w:val="20"/>
          <w:szCs w:val="20"/>
          <w:lang w:val="es-PA"/>
        </w:rPr>
        <w:t>Indica</w:t>
      </w:r>
      <w:r w:rsidR="009C3778" w:rsidRPr="00525A09">
        <w:rPr>
          <w:bCs/>
          <w:sz w:val="20"/>
          <w:szCs w:val="20"/>
          <w:lang w:val="es-PA"/>
        </w:rPr>
        <w:t xml:space="preserve"> que la libertad de expresión es un principio central de la democracia uruguaya,  </w:t>
      </w:r>
      <w:r w:rsidR="001E3ACA" w:rsidRPr="00525A09">
        <w:rPr>
          <w:bCs/>
          <w:sz w:val="20"/>
          <w:szCs w:val="20"/>
          <w:lang w:val="es-PA"/>
        </w:rPr>
        <w:t xml:space="preserve">por lo que el Estado respeta todas las formas de expresión, coincidan o no, con la postura del gobierno.  Argumenta que es falas sostener que las presuntas víctimas fueron sujetas a discriminación por razones políticas, dado que sus emisoras eran frecuencias de música y no de tinte periodístico. En específico, indica que RADIO INDEPENDENCIA era una discoteca que transmitía música y no contaba con programas periodísticos, de opinión o generadores de debate. </w:t>
      </w:r>
    </w:p>
    <w:p w14:paraId="19DE71B2" w14:textId="77777777" w:rsidR="006A39FC" w:rsidRPr="006A39FC" w:rsidRDefault="006A39FC" w:rsidP="00B2366A">
      <w:pPr>
        <w:pStyle w:val="ListParagraph"/>
        <w:rPr>
          <w:rFonts w:asciiTheme="majorHAnsi" w:hAnsiTheme="majorHAnsi"/>
          <w:bCs/>
          <w:sz w:val="20"/>
          <w:szCs w:val="20"/>
          <w:lang w:val="es-PA"/>
        </w:rPr>
      </w:pPr>
    </w:p>
    <w:p w14:paraId="396CB166" w14:textId="51881D5E" w:rsidR="006A39FC" w:rsidRDefault="00E03D09"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 xml:space="preserve">Considera que los peticionarios incurren en una conducta procesal potencialmente fraudulenta al representarse como la voz del pueblo armenio y argumentar </w:t>
      </w:r>
      <w:r w:rsidR="00AA3307">
        <w:rPr>
          <w:rFonts w:asciiTheme="majorHAnsi" w:hAnsiTheme="majorHAnsi"/>
          <w:bCs/>
          <w:sz w:val="20"/>
          <w:szCs w:val="20"/>
          <w:lang w:val="es-PA"/>
        </w:rPr>
        <w:t>que al revocarles los permisos el Estado cerceno la libertad de expresión de una colectividad nacional</w:t>
      </w:r>
      <w:r w:rsidR="001B5F12">
        <w:rPr>
          <w:rFonts w:asciiTheme="majorHAnsi" w:hAnsiTheme="majorHAnsi"/>
          <w:bCs/>
          <w:sz w:val="20"/>
          <w:szCs w:val="20"/>
          <w:lang w:val="es-PA"/>
        </w:rPr>
        <w:t>.</w:t>
      </w:r>
      <w:r w:rsidR="00AA3307">
        <w:rPr>
          <w:rFonts w:asciiTheme="majorHAnsi" w:hAnsiTheme="majorHAnsi"/>
          <w:bCs/>
          <w:sz w:val="20"/>
          <w:szCs w:val="20"/>
          <w:lang w:val="es-PA"/>
        </w:rPr>
        <w:t xml:space="preserve"> Argumenta que no existe elementos que abonen a la presunción de que el Estado haya adoptado medidas para perjudicar a esta colectividad, r</w:t>
      </w:r>
      <w:r>
        <w:rPr>
          <w:rFonts w:asciiTheme="majorHAnsi" w:hAnsiTheme="majorHAnsi"/>
          <w:bCs/>
          <w:sz w:val="20"/>
          <w:szCs w:val="20"/>
          <w:lang w:val="es-PA"/>
        </w:rPr>
        <w:t>esalta</w:t>
      </w:r>
      <w:r w:rsidR="00AA3307">
        <w:rPr>
          <w:rFonts w:asciiTheme="majorHAnsi" w:hAnsiTheme="majorHAnsi"/>
          <w:bCs/>
          <w:sz w:val="20"/>
          <w:szCs w:val="20"/>
          <w:lang w:val="es-PA"/>
        </w:rPr>
        <w:t>ndo</w:t>
      </w:r>
      <w:r>
        <w:rPr>
          <w:rFonts w:asciiTheme="majorHAnsi" w:hAnsiTheme="majorHAnsi"/>
          <w:bCs/>
          <w:sz w:val="20"/>
          <w:szCs w:val="20"/>
          <w:lang w:val="es-PA"/>
        </w:rPr>
        <w:t xml:space="preserve"> que Uruguay fue el primer país en reconocer oficialmente la existencia del genocidio armenio y que la comunidad armenia</w:t>
      </w:r>
      <w:r w:rsidR="00AA3307">
        <w:rPr>
          <w:rFonts w:asciiTheme="majorHAnsi" w:hAnsiTheme="majorHAnsi"/>
          <w:bCs/>
          <w:sz w:val="20"/>
          <w:szCs w:val="20"/>
          <w:lang w:val="es-PA"/>
        </w:rPr>
        <w:t xml:space="preserve"> ha sido prospera en Uruguay.</w:t>
      </w:r>
    </w:p>
    <w:p w14:paraId="6DDB9203" w14:textId="77777777" w:rsidR="00AA3307" w:rsidRPr="00AA3307" w:rsidRDefault="00AA3307" w:rsidP="00B2366A">
      <w:pPr>
        <w:pStyle w:val="ListParagraph"/>
        <w:rPr>
          <w:rFonts w:asciiTheme="majorHAnsi" w:hAnsiTheme="majorHAnsi"/>
          <w:bCs/>
          <w:sz w:val="20"/>
          <w:szCs w:val="20"/>
          <w:lang w:val="es-PA"/>
        </w:rPr>
      </w:pPr>
    </w:p>
    <w:p w14:paraId="112561CF" w14:textId="55529FAF" w:rsidR="006914C9" w:rsidRDefault="00C636E8" w:rsidP="00B2366A">
      <w:pPr>
        <w:pStyle w:val="ListParagraph"/>
        <w:numPr>
          <w:ilvl w:val="0"/>
          <w:numId w:val="103"/>
        </w:numPr>
        <w:jc w:val="both"/>
        <w:rPr>
          <w:rFonts w:asciiTheme="majorHAnsi" w:hAnsiTheme="majorHAnsi"/>
          <w:bCs/>
          <w:sz w:val="20"/>
          <w:szCs w:val="20"/>
          <w:lang w:val="es-PA"/>
        </w:rPr>
      </w:pPr>
      <w:r>
        <w:rPr>
          <w:rFonts w:asciiTheme="majorHAnsi" w:hAnsiTheme="majorHAnsi"/>
          <w:bCs/>
          <w:sz w:val="20"/>
          <w:szCs w:val="20"/>
          <w:lang w:val="es-PA"/>
        </w:rPr>
        <w:t>También alega que no hay pruebas que avalen que las presuntas víctimas hayan sido sujetas a tratos inhumanos, no siendo aceptable argumentar que las condiciones comunes de detención en el sistema carcelar</w:t>
      </w:r>
      <w:r w:rsidR="00D878E7">
        <w:rPr>
          <w:rFonts w:asciiTheme="majorHAnsi" w:hAnsiTheme="majorHAnsi"/>
          <w:bCs/>
          <w:sz w:val="20"/>
          <w:szCs w:val="20"/>
          <w:lang w:val="es-PA"/>
        </w:rPr>
        <w:t>io uruguayo constituyen por si so</w:t>
      </w:r>
      <w:r>
        <w:rPr>
          <w:rFonts w:asciiTheme="majorHAnsi" w:hAnsiTheme="majorHAnsi"/>
          <w:bCs/>
          <w:sz w:val="20"/>
          <w:szCs w:val="20"/>
          <w:lang w:val="es-PA"/>
        </w:rPr>
        <w:t>las malos tra</w:t>
      </w:r>
      <w:r w:rsidR="00173744">
        <w:rPr>
          <w:rFonts w:asciiTheme="majorHAnsi" w:hAnsiTheme="majorHAnsi"/>
          <w:bCs/>
          <w:sz w:val="20"/>
          <w:szCs w:val="20"/>
          <w:lang w:val="es-PA"/>
        </w:rPr>
        <w:t xml:space="preserve">tos. Agrega que el Comisionado Parlamentario para el Sistema Carcelario </w:t>
      </w:r>
      <w:r w:rsidR="006914C9">
        <w:rPr>
          <w:rFonts w:asciiTheme="majorHAnsi" w:hAnsiTheme="majorHAnsi"/>
          <w:bCs/>
          <w:sz w:val="20"/>
          <w:szCs w:val="20"/>
          <w:lang w:val="es-PA"/>
        </w:rPr>
        <w:t>se interiorizó del caso de las presuntas víctimas, tomando los recaudos necesarios para que se les respetaran las debidas garantías durante el tiempo en que estuvieron privadas de libertad.</w:t>
      </w:r>
    </w:p>
    <w:p w14:paraId="6534E0AE" w14:textId="77777777" w:rsidR="006914C9" w:rsidRPr="006914C9" w:rsidRDefault="006914C9" w:rsidP="00B2366A">
      <w:pPr>
        <w:pStyle w:val="ListParagraph"/>
        <w:rPr>
          <w:rFonts w:asciiTheme="majorHAnsi" w:hAnsiTheme="majorHAnsi"/>
          <w:bCs/>
          <w:sz w:val="20"/>
          <w:szCs w:val="20"/>
          <w:lang w:val="es-PA"/>
        </w:rPr>
      </w:pPr>
    </w:p>
    <w:p w14:paraId="54878D86" w14:textId="1BD08B1D" w:rsidR="00A11E44" w:rsidRPr="0042028E" w:rsidRDefault="006914C9" w:rsidP="00B2366A">
      <w:pPr>
        <w:pStyle w:val="ListParagraph"/>
        <w:numPr>
          <w:ilvl w:val="0"/>
          <w:numId w:val="103"/>
        </w:numPr>
        <w:jc w:val="both"/>
        <w:rPr>
          <w:rFonts w:asciiTheme="majorHAnsi" w:hAnsiTheme="majorHAnsi"/>
          <w:bCs/>
          <w:sz w:val="20"/>
          <w:szCs w:val="20"/>
          <w:lang w:val="es-PA"/>
        </w:rPr>
      </w:pPr>
      <w:r w:rsidRPr="0042028E">
        <w:rPr>
          <w:rFonts w:asciiTheme="majorHAnsi" w:hAnsiTheme="majorHAnsi"/>
          <w:bCs/>
          <w:sz w:val="20"/>
          <w:szCs w:val="20"/>
          <w:lang w:val="es-PA"/>
        </w:rPr>
        <w:t>El Estado reconoce que las presuntas víctimas agotaron la vía administrativa pero indica que</w:t>
      </w:r>
      <w:r w:rsidR="00624DD8" w:rsidRPr="0042028E">
        <w:rPr>
          <w:rFonts w:asciiTheme="majorHAnsi" w:hAnsiTheme="majorHAnsi"/>
          <w:bCs/>
          <w:sz w:val="20"/>
          <w:szCs w:val="20"/>
          <w:lang w:val="es-PA"/>
        </w:rPr>
        <w:t xml:space="preserve"> no consta que las presuntas víctimas hayan presentado </w:t>
      </w:r>
      <w:r w:rsidR="00E32AC3" w:rsidRPr="0042028E">
        <w:rPr>
          <w:rFonts w:asciiTheme="majorHAnsi" w:hAnsiTheme="majorHAnsi"/>
          <w:bCs/>
          <w:sz w:val="20"/>
          <w:szCs w:val="20"/>
          <w:lang w:val="es-PA"/>
        </w:rPr>
        <w:t>denuncias respecto a los tratos inhumanos a los que alegan fueron sometidos</w:t>
      </w:r>
      <w:r w:rsidR="00624DD8" w:rsidRPr="0042028E">
        <w:rPr>
          <w:rFonts w:asciiTheme="majorHAnsi" w:hAnsiTheme="majorHAnsi"/>
          <w:bCs/>
          <w:sz w:val="20"/>
          <w:szCs w:val="20"/>
          <w:lang w:val="es-PA"/>
        </w:rPr>
        <w:t xml:space="preserve">. </w:t>
      </w:r>
      <w:r w:rsidR="0042028E">
        <w:rPr>
          <w:rFonts w:asciiTheme="majorHAnsi" w:hAnsiTheme="majorHAnsi"/>
          <w:bCs/>
          <w:sz w:val="20"/>
          <w:szCs w:val="20"/>
          <w:lang w:val="es-PA"/>
        </w:rPr>
        <w:t xml:space="preserve">Indica </w:t>
      </w:r>
      <w:r w:rsidR="00624DD8" w:rsidRPr="0042028E">
        <w:rPr>
          <w:rFonts w:asciiTheme="majorHAnsi" w:hAnsiTheme="majorHAnsi"/>
          <w:bCs/>
          <w:sz w:val="20"/>
          <w:szCs w:val="20"/>
          <w:lang w:val="es-PA"/>
        </w:rPr>
        <w:t>que la legislación doméstica contempla medios hábiles para la denuncia de actos o hechos que puedan implicar tortura o malos tratos,</w:t>
      </w:r>
      <w:r w:rsidR="00E32AC3" w:rsidRPr="0042028E">
        <w:rPr>
          <w:rFonts w:asciiTheme="majorHAnsi" w:hAnsiTheme="majorHAnsi"/>
          <w:bCs/>
          <w:sz w:val="20"/>
          <w:szCs w:val="20"/>
          <w:lang w:val="es-PA"/>
        </w:rPr>
        <w:t xml:space="preserve"> incluidas instituciones con mandato específico como </w:t>
      </w:r>
      <w:r w:rsidR="00E32AC3" w:rsidRPr="0042028E">
        <w:rPr>
          <w:rFonts w:asciiTheme="majorHAnsi" w:hAnsiTheme="majorHAnsi"/>
          <w:bCs/>
          <w:sz w:val="20"/>
          <w:szCs w:val="20"/>
          <w:lang w:val="es-PA"/>
        </w:rPr>
        <w:lastRenderedPageBreak/>
        <w:t xml:space="preserve">es el caso </w:t>
      </w:r>
      <w:r w:rsidR="0042028E" w:rsidRPr="0042028E">
        <w:rPr>
          <w:rFonts w:asciiTheme="majorHAnsi" w:hAnsiTheme="majorHAnsi"/>
          <w:bCs/>
          <w:sz w:val="20"/>
          <w:szCs w:val="20"/>
          <w:lang w:val="es-PA"/>
        </w:rPr>
        <w:t xml:space="preserve">del Comisionado Parlamentario </w:t>
      </w:r>
      <w:r w:rsidR="0042028E">
        <w:rPr>
          <w:rFonts w:asciiTheme="majorHAnsi" w:hAnsiTheme="majorHAnsi"/>
          <w:bCs/>
          <w:sz w:val="20"/>
          <w:szCs w:val="20"/>
          <w:lang w:val="es-PA"/>
        </w:rPr>
        <w:t xml:space="preserve">para el Sistema Carcelario. Por lo tanto, considera que debían haber presentado a nivel doméstico los elementos de juicio respecto a la aducida violación a su integridad personal. </w:t>
      </w:r>
    </w:p>
    <w:p w14:paraId="0C69F450" w14:textId="57CE5D74" w:rsidR="00F86290" w:rsidRPr="00F86290" w:rsidRDefault="003239B8" w:rsidP="00F86290">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2E4146B" w14:textId="02C9E745" w:rsidR="00F86290" w:rsidRPr="00F86290" w:rsidRDefault="00F8629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6290">
        <w:rPr>
          <w:rFonts w:asciiTheme="majorHAnsi" w:hAnsiTheme="majorHAnsi" w:cs="Calibri"/>
          <w:sz w:val="20"/>
          <w:szCs w:val="20"/>
          <w:lang w:val="es-ES"/>
        </w:rPr>
        <w:t xml:space="preserve">La Comisión </w:t>
      </w:r>
      <w:r w:rsidR="00DF03D9">
        <w:rPr>
          <w:rFonts w:asciiTheme="majorHAnsi" w:hAnsiTheme="majorHAnsi" w:cs="Calibri"/>
          <w:sz w:val="20"/>
          <w:szCs w:val="20"/>
          <w:lang w:val="es-ES"/>
        </w:rPr>
        <w:t>toma nota que el Estado ha comunicado su preocupación con respecto al tiempo transcurrido entre la recepción de la petición y su notificación, el cual considera excede lo razonable y afecta el principio de seguridad jurídica. Al respecto, la Comisión recuerda conforme a su criterio sostenido</w:t>
      </w:r>
      <w:r w:rsidRPr="00F86290">
        <w:rPr>
          <w:rFonts w:asciiTheme="majorHAnsi" w:hAnsiTheme="majorHAnsi" w:cs="Calibri"/>
          <w:sz w:val="20"/>
          <w:szCs w:val="20"/>
          <w:lang w:val="es-ES"/>
        </w:rPr>
        <w:t xml:space="preserve">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DF03D9">
        <w:rPr>
          <w:rFonts w:asciiTheme="majorHAnsi" w:hAnsiTheme="majorHAnsi" w:cs="Calibri"/>
          <w:sz w:val="20"/>
          <w:szCs w:val="20"/>
          <w:lang w:val="es-ES"/>
        </w:rPr>
        <w:t>.</w:t>
      </w:r>
    </w:p>
    <w:p w14:paraId="3DE0EF7B" w14:textId="5DCE0270" w:rsidR="00DF01FF" w:rsidRDefault="0068269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a la </w:t>
      </w:r>
      <w:r w:rsidR="001C2C35">
        <w:rPr>
          <w:rFonts w:ascii="Cambria" w:hAnsi="Cambria"/>
          <w:sz w:val="20"/>
          <w:szCs w:val="20"/>
          <w:lang w:val="es-ES"/>
        </w:rPr>
        <w:t>revocatoria de los</w:t>
      </w:r>
      <w:r>
        <w:rPr>
          <w:rFonts w:ascii="Cambria" w:hAnsi="Cambria"/>
          <w:sz w:val="20"/>
          <w:szCs w:val="20"/>
          <w:lang w:val="es-ES"/>
        </w:rPr>
        <w:t xml:space="preserve"> permisos para el uso de frecuencias de radio que habían sido otorgados a las presuntas víctimas, la Comisión observa que la última decisión fue la emitida por el TCA el 22 de abril de 2010. El Estado no ha hecho referencia a</w:t>
      </w:r>
      <w:r w:rsidR="001C2C35">
        <w:rPr>
          <w:rFonts w:ascii="Cambria" w:hAnsi="Cambria"/>
          <w:sz w:val="20"/>
          <w:szCs w:val="20"/>
          <w:lang w:val="es-ES"/>
        </w:rPr>
        <w:t xml:space="preserve"> la existencia</w:t>
      </w:r>
      <w:r>
        <w:rPr>
          <w:rFonts w:ascii="Cambria" w:hAnsi="Cambria"/>
          <w:sz w:val="20"/>
          <w:szCs w:val="20"/>
          <w:lang w:val="es-ES"/>
        </w:rPr>
        <w:t xml:space="preserve"> recursos domésticos no agotados que pudieran ser idóneos para impugnar esta </w:t>
      </w:r>
      <w:r w:rsidR="001C2C35">
        <w:rPr>
          <w:rFonts w:ascii="Cambria" w:hAnsi="Cambria"/>
          <w:sz w:val="20"/>
          <w:szCs w:val="20"/>
          <w:lang w:val="es-ES"/>
        </w:rPr>
        <w:t xml:space="preserve">revocatoria. Por lo tanto, la Comisión considera que la parte de la petición que se refiere a esta revocatoria y sus consecuencias cumple </w:t>
      </w:r>
      <w:r w:rsidR="00DE24F2">
        <w:rPr>
          <w:rFonts w:ascii="Cambria" w:hAnsi="Cambria"/>
          <w:sz w:val="20"/>
          <w:szCs w:val="20"/>
          <w:lang w:val="es-ES"/>
        </w:rPr>
        <w:t>con los requisitos del artículo 46.1 (a) de la Convención Americana. Toda vez que esta decisión fue notificada a las presuntas víctimas el 19 de mayo de 2010 y la petición fue presentada el 21 de octubre de 2010, esta parte de la petición también cumple con los requisitos del artículo 46.2(b) de la Convención Americana.</w:t>
      </w:r>
    </w:p>
    <w:p w14:paraId="01D47E3F" w14:textId="5184ED00" w:rsidR="003239B8" w:rsidRDefault="00D569A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a las medidas adoptadas contra los peticionarios por la DGI, la Comisión observa que la última decisión fue la emitida por el TCA </w:t>
      </w:r>
      <w:r>
        <w:rPr>
          <w:rFonts w:asciiTheme="majorHAnsi" w:hAnsiTheme="majorHAnsi"/>
          <w:bCs/>
          <w:sz w:val="20"/>
          <w:szCs w:val="20"/>
          <w:lang w:val="es-PA"/>
        </w:rPr>
        <w:t>el 13 de agosto de 2009</w:t>
      </w:r>
      <w:r w:rsidR="00FF220F">
        <w:rPr>
          <w:rFonts w:asciiTheme="majorHAnsi" w:hAnsiTheme="majorHAnsi"/>
          <w:bCs/>
          <w:sz w:val="20"/>
          <w:szCs w:val="20"/>
          <w:lang w:val="es-PA"/>
        </w:rPr>
        <w:t>.</w:t>
      </w:r>
      <w:r>
        <w:rPr>
          <w:rFonts w:asciiTheme="majorHAnsi" w:hAnsiTheme="majorHAnsi"/>
          <w:bCs/>
          <w:sz w:val="20"/>
          <w:szCs w:val="20"/>
          <w:lang w:val="es-PA"/>
        </w:rPr>
        <w:t xml:space="preserve"> </w:t>
      </w:r>
      <w:r>
        <w:rPr>
          <w:rFonts w:ascii="Cambria" w:hAnsi="Cambria"/>
          <w:sz w:val="20"/>
          <w:szCs w:val="20"/>
          <w:lang w:val="es-ES"/>
        </w:rPr>
        <w:t>El Estado no ha hecho referencia a la existencia recursos domésticos no agotados que pudieran ser idóneos para impugnar estas medidas.</w:t>
      </w:r>
      <w:r w:rsidR="003F737F">
        <w:rPr>
          <w:rFonts w:ascii="Cambria" w:hAnsi="Cambria"/>
          <w:sz w:val="20"/>
          <w:szCs w:val="20"/>
          <w:lang w:val="es-ES"/>
        </w:rPr>
        <w:t xml:space="preserve"> </w:t>
      </w:r>
      <w:r w:rsidR="00B11081">
        <w:rPr>
          <w:rFonts w:ascii="Cambria" w:hAnsi="Cambria"/>
          <w:sz w:val="20"/>
          <w:szCs w:val="20"/>
          <w:lang w:val="es-ES"/>
        </w:rPr>
        <w:t>Po</w:t>
      </w:r>
      <w:r w:rsidR="003F737F">
        <w:rPr>
          <w:rFonts w:ascii="Cambria" w:hAnsi="Cambria"/>
          <w:sz w:val="20"/>
          <w:szCs w:val="20"/>
          <w:lang w:val="es-ES"/>
        </w:rPr>
        <w:t>r lo tanto, la Comisión considera que la parte de la petición que se refiere</w:t>
      </w:r>
      <w:r w:rsidR="00B11081">
        <w:rPr>
          <w:rFonts w:ascii="Cambria" w:hAnsi="Cambria"/>
          <w:sz w:val="20"/>
          <w:szCs w:val="20"/>
          <w:lang w:val="es-ES"/>
        </w:rPr>
        <w:t xml:space="preserve"> a estas medidas cumple con los requisitos del artículo 46.1 (a) de la Convención Americana. Sin embargo, dado que la petición fue presentada más de seis meses luego de emitida la decisión final, la Comisión estima que esta parte de la petición no cumple con los requisitos del artículo 46.2(b) de la Convención Americana.</w:t>
      </w:r>
    </w:p>
    <w:p w14:paraId="1A333010" w14:textId="24A45503" w:rsidR="00B2366A" w:rsidRPr="00B2366A" w:rsidRDefault="00B1108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B2366A">
        <w:rPr>
          <w:rFonts w:ascii="Cambria" w:hAnsi="Cambria"/>
          <w:sz w:val="20"/>
          <w:szCs w:val="20"/>
          <w:lang w:val="es-ES"/>
        </w:rPr>
        <w:t>Con respecto a las aducidas vulneraciones a los derechos de las presuntas víctimas por motivo de las condiciones a las que fueron sujetas mientras se encontraron privadas de libertad, la Comisión</w:t>
      </w:r>
      <w:r w:rsidR="00B2366A" w:rsidRPr="00B2366A">
        <w:rPr>
          <w:rFonts w:ascii="Cambria" w:hAnsi="Cambria"/>
          <w:sz w:val="20"/>
          <w:szCs w:val="20"/>
          <w:lang w:val="es-ES"/>
        </w:rPr>
        <w:t xml:space="preserve"> </w:t>
      </w:r>
      <w:r w:rsidR="00EF0AB7">
        <w:rPr>
          <w:rFonts w:ascii="Cambria" w:hAnsi="Cambria"/>
          <w:sz w:val="20"/>
          <w:szCs w:val="20"/>
          <w:lang w:val="es-ES"/>
        </w:rPr>
        <w:t>toma nota que los peticionarios indicaron que solicitaron un traslado de dependencia carcelaria, el que fue con</w:t>
      </w:r>
      <w:r w:rsidR="00D628D9">
        <w:rPr>
          <w:rFonts w:ascii="Cambria" w:hAnsi="Cambria"/>
          <w:sz w:val="20"/>
          <w:szCs w:val="20"/>
          <w:lang w:val="es-ES"/>
        </w:rPr>
        <w:t xml:space="preserve">cedido, y el Estado ha </w:t>
      </w:r>
      <w:r w:rsidR="007746AE">
        <w:rPr>
          <w:rFonts w:ascii="Cambria" w:hAnsi="Cambria"/>
          <w:sz w:val="20"/>
          <w:szCs w:val="20"/>
          <w:lang w:val="es-ES"/>
        </w:rPr>
        <w:t>señalado</w:t>
      </w:r>
      <w:r w:rsidR="00D628D9">
        <w:rPr>
          <w:rFonts w:ascii="Cambria" w:hAnsi="Cambria"/>
          <w:sz w:val="20"/>
          <w:szCs w:val="20"/>
          <w:lang w:val="es-ES"/>
        </w:rPr>
        <w:t xml:space="preserve"> que el </w:t>
      </w:r>
      <w:r w:rsidR="00D628D9">
        <w:rPr>
          <w:rFonts w:asciiTheme="majorHAnsi" w:hAnsiTheme="majorHAnsi"/>
          <w:bCs/>
          <w:sz w:val="20"/>
          <w:szCs w:val="20"/>
          <w:lang w:val="es-PA"/>
        </w:rPr>
        <w:t>Comisionado Parlamentario para el Sistema Carcelario dio seguimiento a la situación de las presuntas víctimas. Sin embargo</w:t>
      </w:r>
      <w:r w:rsidR="00BD1AD1">
        <w:rPr>
          <w:rFonts w:asciiTheme="majorHAnsi" w:hAnsiTheme="majorHAnsi"/>
          <w:bCs/>
          <w:sz w:val="20"/>
          <w:szCs w:val="20"/>
          <w:lang w:val="es-PA"/>
        </w:rPr>
        <w:t>,</w:t>
      </w:r>
      <w:r w:rsidR="00D628D9">
        <w:rPr>
          <w:rFonts w:asciiTheme="majorHAnsi" w:hAnsiTheme="majorHAnsi"/>
          <w:bCs/>
          <w:sz w:val="20"/>
          <w:szCs w:val="20"/>
          <w:lang w:val="es-PA"/>
        </w:rPr>
        <w:t xml:space="preserve"> la Comisión no cuenta con información suficiente respecto a las gestiones realizadas por las presuntas víctimas para poner a autor</w:t>
      </w:r>
      <w:r w:rsidR="00BD1AD1">
        <w:rPr>
          <w:rFonts w:asciiTheme="majorHAnsi" w:hAnsiTheme="majorHAnsi"/>
          <w:bCs/>
          <w:sz w:val="20"/>
          <w:szCs w:val="20"/>
          <w:lang w:val="es-PA"/>
        </w:rPr>
        <w:t>idades estatales en conocimiento de las situaciones concretas que pudieran habe</w:t>
      </w:r>
      <w:r w:rsidR="00A16F3A">
        <w:rPr>
          <w:rFonts w:asciiTheme="majorHAnsi" w:hAnsiTheme="majorHAnsi"/>
          <w:bCs/>
          <w:sz w:val="20"/>
          <w:szCs w:val="20"/>
          <w:lang w:val="es-PA"/>
        </w:rPr>
        <w:t xml:space="preserve">r vulnerado sus derechos humanos. Tampoco consta en el expediente que las presuntas víctimas hayan presentado denuncias a nivel doméstico con respecto a la “campaña mediática” que alegan fue adelantada en su contra por el director de la DGI. </w:t>
      </w:r>
      <w:r w:rsidR="00BD1AD1">
        <w:rPr>
          <w:rFonts w:asciiTheme="majorHAnsi" w:hAnsiTheme="majorHAnsi"/>
          <w:bCs/>
          <w:sz w:val="20"/>
          <w:szCs w:val="20"/>
          <w:lang w:val="es-PA"/>
        </w:rPr>
        <w:t xml:space="preserve">Por lo tanto, no puede concluir que los recursos internos se hayan agotado con respecto a estas alegaciones conforme a los requisitos del artículo 46.1(a) de la Convención Americana. </w:t>
      </w:r>
    </w:p>
    <w:p w14:paraId="4FFBE378" w14:textId="38C78EC2" w:rsidR="003239B8" w:rsidRPr="00B2366A" w:rsidRDefault="003239B8" w:rsidP="00B236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B2366A">
        <w:rPr>
          <w:rFonts w:asciiTheme="majorHAnsi" w:hAnsiTheme="majorHAnsi"/>
          <w:b/>
          <w:bCs/>
          <w:sz w:val="20"/>
          <w:szCs w:val="20"/>
          <w:lang w:val="es-ES"/>
        </w:rPr>
        <w:t>VII.</w:t>
      </w:r>
      <w:r w:rsidRPr="00B2366A">
        <w:rPr>
          <w:rFonts w:asciiTheme="majorHAnsi" w:hAnsiTheme="majorHAnsi"/>
          <w:b/>
          <w:bCs/>
          <w:sz w:val="20"/>
          <w:szCs w:val="20"/>
          <w:lang w:val="es-ES"/>
        </w:rPr>
        <w:tab/>
      </w:r>
      <w:r w:rsidR="004A6A54" w:rsidRPr="00B2366A">
        <w:rPr>
          <w:rFonts w:asciiTheme="majorHAnsi" w:hAnsiTheme="majorHAnsi"/>
          <w:b/>
          <w:bCs/>
          <w:sz w:val="20"/>
          <w:szCs w:val="20"/>
          <w:lang w:val="es-ES_tradnl"/>
        </w:rPr>
        <w:t xml:space="preserve">ANÁLISIS DE </w:t>
      </w:r>
      <w:r w:rsidR="00C21FEF" w:rsidRPr="00B2366A">
        <w:rPr>
          <w:rFonts w:asciiTheme="majorHAnsi" w:hAnsiTheme="majorHAnsi"/>
          <w:b/>
          <w:bCs/>
          <w:sz w:val="20"/>
          <w:szCs w:val="20"/>
          <w:lang w:val="es-ES"/>
        </w:rPr>
        <w:t xml:space="preserve">CARACTERIZACIÓN </w:t>
      </w:r>
      <w:r w:rsidR="00C21FEF" w:rsidRPr="00B2366A">
        <w:rPr>
          <w:rFonts w:asciiTheme="majorHAnsi" w:hAnsiTheme="majorHAnsi"/>
          <w:b/>
          <w:bCs/>
          <w:sz w:val="20"/>
          <w:szCs w:val="20"/>
          <w:lang w:val="es-UY"/>
        </w:rPr>
        <w:t>DE LOS HECHOS ALEGADOS</w:t>
      </w:r>
    </w:p>
    <w:p w14:paraId="459C7040" w14:textId="4C7295A6" w:rsidR="00E034AB" w:rsidRPr="006522B5" w:rsidRDefault="005309F7" w:rsidP="006E1777">
      <w:pPr>
        <w:pStyle w:val="ListParagraph"/>
        <w:numPr>
          <w:ilvl w:val="0"/>
          <w:numId w:val="103"/>
        </w:numPr>
        <w:jc w:val="both"/>
        <w:rPr>
          <w:rStyle w:val="bumpedfont20"/>
          <w:rFonts w:ascii="Times New Roman" w:eastAsia="Times New Roman" w:hAnsi="Times New Roman" w:cs="Times New Roman"/>
          <w:sz w:val="20"/>
          <w:szCs w:val="20"/>
          <w:lang w:val="es-PE"/>
        </w:rPr>
      </w:pPr>
      <w:r w:rsidRPr="006E1777">
        <w:rPr>
          <w:rStyle w:val="bumpedfont20"/>
          <w:rFonts w:eastAsia="Times New Roman"/>
          <w:sz w:val="20"/>
          <w:szCs w:val="20"/>
          <w:lang w:val="es-PA"/>
        </w:rPr>
        <w:t>La Comisión toma nota de que los peticionarios no han aseverado ni alegado que la revocatoria de los permisos otorgados a las presuntas víctimas y sus empresas para el uso de frecuencias de radio haya estado motivada por un ánimo de represalia por la línea editorial de las estaciones</w:t>
      </w:r>
      <w:r w:rsidR="008A4A38">
        <w:rPr>
          <w:rStyle w:val="bumpedfont20"/>
          <w:rFonts w:eastAsia="Times New Roman"/>
          <w:sz w:val="20"/>
          <w:szCs w:val="20"/>
          <w:lang w:val="es-PA"/>
        </w:rPr>
        <w:t>, ni tampoco que haya sido el resultado de discriminación directa</w:t>
      </w:r>
      <w:r w:rsidRPr="006E1777">
        <w:rPr>
          <w:rStyle w:val="bumpedfont20"/>
          <w:rFonts w:eastAsia="Times New Roman"/>
          <w:sz w:val="20"/>
          <w:szCs w:val="20"/>
          <w:lang w:val="es-PA"/>
        </w:rPr>
        <w:t>.</w:t>
      </w:r>
      <w:r w:rsidR="008A4A38">
        <w:rPr>
          <w:rStyle w:val="bumpedfont20"/>
          <w:rFonts w:eastAsia="Times New Roman"/>
          <w:sz w:val="20"/>
          <w:szCs w:val="20"/>
          <w:lang w:val="es-PA"/>
        </w:rPr>
        <w:t xml:space="preserve"> S</w:t>
      </w:r>
      <w:r w:rsidR="001D25B7">
        <w:rPr>
          <w:rStyle w:val="bumpedfont20"/>
          <w:rFonts w:eastAsia="Times New Roman"/>
          <w:sz w:val="20"/>
          <w:szCs w:val="20"/>
          <w:lang w:val="es-PA"/>
        </w:rPr>
        <w:t>in embargo, han sostenido que la revocatoria no se ajustó al estándar de legalidad exigido por la Convenci</w:t>
      </w:r>
      <w:r w:rsidR="008D73BE">
        <w:rPr>
          <w:rStyle w:val="bumpedfont20"/>
          <w:rFonts w:eastAsia="Times New Roman"/>
          <w:sz w:val="20"/>
          <w:szCs w:val="20"/>
          <w:lang w:val="es-PA"/>
        </w:rPr>
        <w:t xml:space="preserve">ón Americana y denunciado una serie de deficiencias que, a su juicio, existen en la normativa interna en </w:t>
      </w:r>
      <w:r w:rsidR="00C200DD">
        <w:rPr>
          <w:rStyle w:val="bumpedfont20"/>
          <w:rFonts w:eastAsia="Times New Roman"/>
          <w:sz w:val="20"/>
          <w:szCs w:val="20"/>
          <w:lang w:val="es-PA"/>
        </w:rPr>
        <w:t xml:space="preserve">la </w:t>
      </w:r>
      <w:r w:rsidR="008D73BE">
        <w:rPr>
          <w:rStyle w:val="bumpedfont20"/>
          <w:rFonts w:eastAsia="Times New Roman"/>
          <w:sz w:val="20"/>
          <w:szCs w:val="20"/>
          <w:lang w:val="es-PA"/>
        </w:rPr>
        <w:t>que se sustentó la medida. También han expuesto múltiples razones por las que consideran qu</w:t>
      </w:r>
      <w:r w:rsidR="00E034AB">
        <w:rPr>
          <w:rStyle w:val="bumpedfont20"/>
          <w:rFonts w:eastAsia="Times New Roman"/>
          <w:sz w:val="20"/>
          <w:szCs w:val="20"/>
          <w:lang w:val="es-PA"/>
        </w:rPr>
        <w:t>e la medida fue desproporcionada resaltando que, en adición a las presuntas víctimas, ésta también causó perjuicio a los trabajadores de las estaciones y la comunidad armenia del Uruguay. El Estado, por su parte, ha argumentado que la pretensión de los peticionarios es que la Comisión actué improcedentemente como una cuarta instancia</w:t>
      </w:r>
      <w:r w:rsidR="00C200DD">
        <w:rPr>
          <w:rStyle w:val="bumpedfont20"/>
          <w:rFonts w:eastAsia="Times New Roman"/>
          <w:sz w:val="20"/>
          <w:szCs w:val="20"/>
          <w:lang w:val="es-PA"/>
        </w:rPr>
        <w:t xml:space="preserve"> para revisar las decisiones de los tribunales domésticos</w:t>
      </w:r>
      <w:r w:rsidR="00E034AB">
        <w:rPr>
          <w:rStyle w:val="bumpedfont20"/>
          <w:rFonts w:eastAsia="Times New Roman"/>
          <w:sz w:val="20"/>
          <w:szCs w:val="20"/>
          <w:lang w:val="es-PA"/>
        </w:rPr>
        <w:t>.</w:t>
      </w:r>
    </w:p>
    <w:p w14:paraId="1FD24366" w14:textId="77777777" w:rsidR="006522B5" w:rsidRPr="006522B5" w:rsidRDefault="006522B5" w:rsidP="006522B5">
      <w:pPr>
        <w:pStyle w:val="ListParagraph"/>
        <w:jc w:val="both"/>
        <w:rPr>
          <w:rStyle w:val="bumpedfont20"/>
          <w:rFonts w:ascii="Times New Roman" w:eastAsia="Times New Roman" w:hAnsi="Times New Roman" w:cs="Times New Roman"/>
          <w:sz w:val="20"/>
          <w:szCs w:val="20"/>
          <w:lang w:val="es-PE"/>
        </w:rPr>
      </w:pPr>
    </w:p>
    <w:p w14:paraId="67DA94C6" w14:textId="4ABA48C5" w:rsidR="00A34DFA" w:rsidRPr="00A34DFA" w:rsidRDefault="006522B5" w:rsidP="00640343">
      <w:pPr>
        <w:pStyle w:val="ListParagraph"/>
        <w:numPr>
          <w:ilvl w:val="0"/>
          <w:numId w:val="103"/>
        </w:numPr>
        <w:jc w:val="both"/>
        <w:rPr>
          <w:rFonts w:ascii="Times New Roman" w:eastAsia="Times New Roman" w:hAnsi="Times New Roman" w:cs="Times New Roman"/>
          <w:sz w:val="20"/>
          <w:szCs w:val="20"/>
          <w:lang w:val="es-PE"/>
        </w:rPr>
      </w:pPr>
      <w:r w:rsidRPr="00492440">
        <w:rPr>
          <w:rFonts w:cs="Calibri"/>
          <w:sz w:val="20"/>
          <w:szCs w:val="20"/>
          <w:lang w:val="es-ES"/>
        </w:rPr>
        <w:lastRenderedPageBreak/>
        <w:t>La comisión recuerda que la protección internacional que otorgan los órganos de supervisión de la Convención Americana es de carácter subsidiario y</w:t>
      </w:r>
      <w:r w:rsidR="0094557A">
        <w:rPr>
          <w:rFonts w:cs="Calibri"/>
          <w:sz w:val="20"/>
          <w:szCs w:val="20"/>
          <w:lang w:val="es-ES"/>
        </w:rPr>
        <w:t xml:space="preserve"> que</w:t>
      </w:r>
      <w:r w:rsidRPr="00492440">
        <w:rPr>
          <w:rFonts w:cs="Calibri"/>
          <w:sz w:val="20"/>
          <w:szCs w:val="20"/>
          <w:lang w:val="es-ES"/>
        </w:rPr>
        <w:t xml:space="preserve"> en las sociedades democráticas, en donde los tribunales funcionan en el marco del Estado de Derecho, </w:t>
      </w:r>
      <w:r w:rsidR="0094557A">
        <w:rPr>
          <w:rFonts w:cs="Calibri"/>
          <w:sz w:val="20"/>
          <w:szCs w:val="20"/>
          <w:lang w:val="es-ES"/>
        </w:rPr>
        <w:t xml:space="preserve">le </w:t>
      </w:r>
      <w:r w:rsidRPr="00492440">
        <w:rPr>
          <w:rFonts w:cs="Calibri"/>
          <w:sz w:val="20"/>
          <w:szCs w:val="20"/>
          <w:lang w:val="es-ES"/>
        </w:rPr>
        <w:t xml:space="preserve">corresponde a los tribunales competentes considerar y decidir los asuntos que ante ellos se plantean. </w:t>
      </w:r>
      <w:r w:rsidR="001E26E1">
        <w:rPr>
          <w:rFonts w:cs="Calibri"/>
          <w:sz w:val="20"/>
          <w:szCs w:val="20"/>
          <w:lang w:val="es-ES"/>
        </w:rPr>
        <w:t>No obstante</w:t>
      </w:r>
      <w:r w:rsidRPr="00492440">
        <w:rPr>
          <w:rFonts w:cs="Calibri"/>
          <w:sz w:val="20"/>
          <w:szCs w:val="20"/>
          <w:lang w:val="es-ES"/>
        </w:rPr>
        <w:t xml:space="preserve">, toda vez que pueda </w:t>
      </w:r>
      <w:r w:rsidR="00155798" w:rsidRPr="00492440">
        <w:rPr>
          <w:rFonts w:cs="Calibri"/>
          <w:sz w:val="20"/>
          <w:szCs w:val="20"/>
          <w:lang w:val="es-ES"/>
        </w:rPr>
        <w:t>identificarse prima facie una posible</w:t>
      </w:r>
      <w:r w:rsidRPr="00492440">
        <w:rPr>
          <w:rFonts w:cs="Calibri"/>
          <w:sz w:val="20"/>
          <w:szCs w:val="20"/>
          <w:lang w:val="es-ES"/>
        </w:rPr>
        <w:t xml:space="preserve"> vulneración de los derechos protegidos por la Convención Americana, corresponde a la Comisión abordar el examen de</w:t>
      </w:r>
      <w:r w:rsidR="00155798" w:rsidRPr="00492440">
        <w:rPr>
          <w:rFonts w:cs="Calibri"/>
          <w:sz w:val="20"/>
          <w:szCs w:val="20"/>
          <w:lang w:val="es-ES"/>
        </w:rPr>
        <w:t xml:space="preserve"> fondo</w:t>
      </w:r>
      <w:r w:rsidRPr="00492440">
        <w:rPr>
          <w:rFonts w:cs="Calibri"/>
          <w:sz w:val="20"/>
          <w:szCs w:val="20"/>
          <w:lang w:val="es-ES"/>
        </w:rPr>
        <w:t xml:space="preserve"> la cuestión.</w:t>
      </w:r>
      <w:r w:rsidR="00155798" w:rsidRPr="00492440">
        <w:rPr>
          <w:rFonts w:cs="Calibri"/>
          <w:sz w:val="20"/>
          <w:szCs w:val="20"/>
          <w:lang w:val="es-ES"/>
        </w:rPr>
        <w:t xml:space="preserve"> </w:t>
      </w:r>
      <w:r w:rsidR="00824B26" w:rsidRPr="00492440">
        <w:rPr>
          <w:rFonts w:cs="Calibri"/>
          <w:sz w:val="20"/>
          <w:szCs w:val="20"/>
          <w:lang w:val="es-ES"/>
        </w:rPr>
        <w:t xml:space="preserve">Si al examinar una petición la Comisión identifica </w:t>
      </w:r>
      <w:r w:rsidR="00155798" w:rsidRPr="00492440">
        <w:rPr>
          <w:rFonts w:cs="Calibri"/>
          <w:sz w:val="20"/>
          <w:szCs w:val="20"/>
          <w:lang w:val="es-ES"/>
        </w:rPr>
        <w:t xml:space="preserve"> </w:t>
      </w:r>
      <w:r w:rsidR="00824B26" w:rsidRPr="00492440">
        <w:rPr>
          <w:rFonts w:cs="Calibri"/>
          <w:sz w:val="20"/>
          <w:szCs w:val="20"/>
          <w:lang w:val="es-ES"/>
        </w:rPr>
        <w:t>una posible violación a la libertad de expresión por incumplimiento de los requisito</w:t>
      </w:r>
      <w:r w:rsidR="0057662C" w:rsidRPr="00492440">
        <w:rPr>
          <w:rFonts w:cs="Calibri"/>
          <w:sz w:val="20"/>
          <w:szCs w:val="20"/>
          <w:lang w:val="es-ES"/>
        </w:rPr>
        <w:t>s</w:t>
      </w:r>
      <w:r w:rsidR="00824B26" w:rsidRPr="00492440">
        <w:rPr>
          <w:rFonts w:cs="Calibri"/>
          <w:sz w:val="20"/>
          <w:szCs w:val="20"/>
          <w:lang w:val="es-ES"/>
        </w:rPr>
        <w:t xml:space="preserve"> de legalidad y proporcionalidad, la Comisión podr</w:t>
      </w:r>
      <w:r w:rsidR="0057662C" w:rsidRPr="00492440">
        <w:rPr>
          <w:rFonts w:cs="Calibri"/>
          <w:sz w:val="20"/>
          <w:szCs w:val="20"/>
          <w:lang w:val="es-ES"/>
        </w:rPr>
        <w:t xml:space="preserve">á </w:t>
      </w:r>
      <w:r w:rsidR="00824B26" w:rsidRPr="00492440">
        <w:rPr>
          <w:rFonts w:cs="Calibri"/>
          <w:sz w:val="20"/>
          <w:szCs w:val="20"/>
          <w:lang w:val="es-ES"/>
        </w:rPr>
        <w:t>a</w:t>
      </w:r>
      <w:r w:rsidR="0057662C" w:rsidRPr="00492440">
        <w:rPr>
          <w:rFonts w:cs="Calibri"/>
          <w:sz w:val="20"/>
          <w:szCs w:val="20"/>
          <w:lang w:val="es-ES"/>
        </w:rPr>
        <w:t>dmitirla para un examen de fondo; con independencia de las determinaciones que los tribunales domésticos pudieran haber hecho al respecto. Sin embargo</w:t>
      </w:r>
      <w:r w:rsidR="00492440">
        <w:rPr>
          <w:rFonts w:cs="Calibri"/>
          <w:sz w:val="20"/>
          <w:szCs w:val="20"/>
          <w:lang w:val="es-ES"/>
        </w:rPr>
        <w:t>,</w:t>
      </w:r>
      <w:r w:rsidR="0057662C" w:rsidRPr="00492440">
        <w:rPr>
          <w:rFonts w:cs="Calibri"/>
          <w:sz w:val="20"/>
          <w:szCs w:val="20"/>
          <w:lang w:val="es-ES"/>
        </w:rPr>
        <w:t xml:space="preserve"> </w:t>
      </w:r>
      <w:r w:rsidR="00492440">
        <w:rPr>
          <w:rFonts w:cs="Calibri"/>
          <w:sz w:val="20"/>
          <w:szCs w:val="20"/>
          <w:lang w:val="es-ES"/>
        </w:rPr>
        <w:t>la Comisión estima que, pese a los argumentos de la parte peticionaria, no se desprenden del expediente del presente caso suficientes elementos que</w:t>
      </w:r>
      <w:r w:rsidR="00A34DFA">
        <w:rPr>
          <w:rFonts w:cs="Calibri"/>
          <w:sz w:val="20"/>
          <w:szCs w:val="20"/>
          <w:lang w:val="es-ES"/>
        </w:rPr>
        <w:t xml:space="preserve"> le permitan concluir</w:t>
      </w:r>
      <w:r w:rsidR="00492440">
        <w:rPr>
          <w:rFonts w:cs="Calibri"/>
          <w:sz w:val="20"/>
          <w:szCs w:val="20"/>
          <w:lang w:val="es-ES"/>
        </w:rPr>
        <w:t>, prima facie, una posible violación a la</w:t>
      </w:r>
      <w:r w:rsidR="00A34DFA">
        <w:rPr>
          <w:rFonts w:cs="Calibri"/>
          <w:sz w:val="20"/>
          <w:szCs w:val="20"/>
          <w:lang w:val="es-ES"/>
        </w:rPr>
        <w:t xml:space="preserve"> Convención Americana. </w:t>
      </w:r>
    </w:p>
    <w:p w14:paraId="2472A03C" w14:textId="77777777" w:rsidR="00A34DFA" w:rsidRPr="00A34DFA" w:rsidRDefault="00A34DFA" w:rsidP="00A34DFA">
      <w:pPr>
        <w:pStyle w:val="ListParagraph"/>
        <w:jc w:val="both"/>
        <w:rPr>
          <w:rFonts w:ascii="Times New Roman" w:eastAsia="Times New Roman" w:hAnsi="Times New Roman" w:cs="Times New Roman"/>
          <w:sz w:val="20"/>
          <w:szCs w:val="20"/>
          <w:lang w:val="es-PE"/>
        </w:rPr>
      </w:pPr>
    </w:p>
    <w:p w14:paraId="46786CC4" w14:textId="3A8E6FA8" w:rsidR="00492440" w:rsidRPr="00310308" w:rsidRDefault="004D0983" w:rsidP="00492440">
      <w:pPr>
        <w:pStyle w:val="ListParagraph"/>
        <w:numPr>
          <w:ilvl w:val="0"/>
          <w:numId w:val="103"/>
        </w:numPr>
        <w:jc w:val="both"/>
        <w:rPr>
          <w:rFonts w:ascii="Times New Roman" w:eastAsia="Times New Roman" w:hAnsi="Times New Roman" w:cs="Times New Roman"/>
          <w:sz w:val="20"/>
          <w:szCs w:val="20"/>
          <w:lang w:val="es-PE"/>
        </w:rPr>
      </w:pPr>
      <w:r>
        <w:rPr>
          <w:rFonts w:cs="Calibri"/>
          <w:sz w:val="20"/>
          <w:szCs w:val="20"/>
          <w:lang w:val="es-ES"/>
        </w:rPr>
        <w:t>La parte peticionaria también ha denunciado una supuesta vulneración de la presunción de inocencia por razón de que</w:t>
      </w:r>
      <w:r w:rsidR="00A34DFA" w:rsidRPr="00A34DFA">
        <w:rPr>
          <w:rFonts w:cs="Calibri"/>
          <w:sz w:val="20"/>
          <w:szCs w:val="20"/>
          <w:lang w:val="es-ES"/>
        </w:rPr>
        <w:t xml:space="preserve"> </w:t>
      </w:r>
      <w:r w:rsidR="00A34DFA">
        <w:rPr>
          <w:rFonts w:cs="Calibri"/>
          <w:sz w:val="20"/>
          <w:szCs w:val="20"/>
          <w:lang w:val="es-ES"/>
        </w:rPr>
        <w:t xml:space="preserve">la resolución </w:t>
      </w:r>
      <w:r w:rsidR="00667449">
        <w:rPr>
          <w:rFonts w:cs="Calibri"/>
          <w:sz w:val="20"/>
          <w:szCs w:val="20"/>
          <w:lang w:val="es-ES"/>
        </w:rPr>
        <w:t>que revocó los permisos de las presuntas víctimas</w:t>
      </w:r>
      <w:r w:rsidR="00A34DFA">
        <w:rPr>
          <w:rFonts w:asciiTheme="majorHAnsi" w:hAnsiTheme="majorHAnsi"/>
          <w:bCs/>
          <w:sz w:val="20"/>
          <w:szCs w:val="20"/>
          <w:lang w:val="es-PA"/>
        </w:rPr>
        <w:t xml:space="preserve"> hizo referencia a los procesos penales adelantados contra </w:t>
      </w:r>
      <w:r w:rsidR="00667449">
        <w:rPr>
          <w:rFonts w:asciiTheme="majorHAnsi" w:hAnsiTheme="majorHAnsi"/>
          <w:bCs/>
          <w:sz w:val="20"/>
          <w:szCs w:val="20"/>
          <w:lang w:val="es-PA"/>
        </w:rPr>
        <w:t>estas</w:t>
      </w:r>
      <w:r w:rsidR="00A34DFA">
        <w:rPr>
          <w:rFonts w:asciiTheme="majorHAnsi" w:hAnsiTheme="majorHAnsi"/>
          <w:bCs/>
          <w:sz w:val="20"/>
          <w:szCs w:val="20"/>
          <w:lang w:val="es-PA"/>
        </w:rPr>
        <w:t>,</w:t>
      </w:r>
      <w:r>
        <w:rPr>
          <w:rFonts w:asciiTheme="majorHAnsi" w:hAnsiTheme="majorHAnsi"/>
          <w:bCs/>
          <w:sz w:val="20"/>
          <w:szCs w:val="20"/>
          <w:lang w:val="es-PA"/>
        </w:rPr>
        <w:t xml:space="preserve"> cuando todavía no existía una condena de primera instancia. Al respecto, la Comisión observa que</w:t>
      </w:r>
      <w:r w:rsidR="00667449">
        <w:rPr>
          <w:rFonts w:asciiTheme="majorHAnsi" w:hAnsiTheme="majorHAnsi"/>
          <w:bCs/>
          <w:sz w:val="20"/>
          <w:szCs w:val="20"/>
          <w:lang w:val="es-PA"/>
        </w:rPr>
        <w:t xml:space="preserve"> los peticionarios no han aportados suficientes elementos que indicien que la existencia de procesos penales pendientes en su contra haya sido un elemento determinante en la decisión de revocar los permisos, ni </w:t>
      </w:r>
      <w:r w:rsidR="00310308">
        <w:rPr>
          <w:rFonts w:asciiTheme="majorHAnsi" w:hAnsiTheme="majorHAnsi"/>
          <w:bCs/>
          <w:sz w:val="20"/>
          <w:szCs w:val="20"/>
          <w:lang w:val="es-PA"/>
        </w:rPr>
        <w:t xml:space="preserve">de que esta referencia a los procesos en la resolución del poder ejecutivo haya incidido sobre el desarrollo de los mismos. Ante estas circunstancias y en atención a las características particulares del presente caso, la Comisión concluye que no se desprenden de este reclamo elementos que indicien, ni siquiera prima facie, una posible violación a derechos protegidos por la Convención. </w:t>
      </w:r>
    </w:p>
    <w:p w14:paraId="17161182" w14:textId="77777777" w:rsidR="00310308" w:rsidRPr="00310308" w:rsidRDefault="00310308" w:rsidP="00310308">
      <w:pPr>
        <w:pStyle w:val="ListParagraph"/>
        <w:rPr>
          <w:rFonts w:ascii="Times New Roman" w:eastAsia="Times New Roman" w:hAnsi="Times New Roman" w:cs="Times New Roman"/>
          <w:sz w:val="20"/>
          <w:szCs w:val="20"/>
          <w:lang w:val="es-PE"/>
        </w:rPr>
      </w:pPr>
    </w:p>
    <w:p w14:paraId="734AC936" w14:textId="7950ADA3" w:rsidR="00310308" w:rsidRPr="00A86DBF" w:rsidRDefault="00310308" w:rsidP="00A86DBF">
      <w:pPr>
        <w:pStyle w:val="ListParagraph"/>
        <w:numPr>
          <w:ilvl w:val="0"/>
          <w:numId w:val="103"/>
        </w:numPr>
        <w:jc w:val="both"/>
        <w:rPr>
          <w:sz w:val="20"/>
          <w:szCs w:val="20"/>
          <w:lang w:val="es-ES"/>
        </w:rPr>
      </w:pPr>
      <w:r>
        <w:rPr>
          <w:bCs/>
          <w:sz w:val="20"/>
          <w:szCs w:val="20"/>
          <w:lang w:val="es-PA"/>
        </w:rPr>
        <w:t>En cuanto a las alegadas vulneraciones a los derechos a la integridad personal, libertad, protección a la</w:t>
      </w:r>
      <w:r w:rsidR="00A111D1">
        <w:rPr>
          <w:bCs/>
          <w:sz w:val="20"/>
          <w:szCs w:val="20"/>
          <w:lang w:val="es-PA"/>
        </w:rPr>
        <w:t xml:space="preserve"> honra, la reputación personal, </w:t>
      </w:r>
      <w:r>
        <w:rPr>
          <w:bCs/>
          <w:sz w:val="20"/>
          <w:szCs w:val="20"/>
          <w:lang w:val="es-PA"/>
        </w:rPr>
        <w:t xml:space="preserve"> la vida privada y familiar, a la propiedad, y a la  protección contra la detención arbitraria </w:t>
      </w:r>
      <w:r w:rsidRPr="00776501">
        <w:rPr>
          <w:sz w:val="20"/>
          <w:szCs w:val="20"/>
          <w:lang w:val="es-ES_tradnl"/>
        </w:rPr>
        <w:t>la Comisión observa</w:t>
      </w:r>
      <w:r>
        <w:rPr>
          <w:sz w:val="20"/>
          <w:szCs w:val="20"/>
          <w:lang w:val="es-ES_tradnl"/>
        </w:rPr>
        <w:t xml:space="preserve"> que, en lo relativo a </w:t>
      </w:r>
      <w:r w:rsidRPr="0006716F">
        <w:rPr>
          <w:sz w:val="20"/>
          <w:szCs w:val="20"/>
          <w:lang w:val="es-ES_tradnl"/>
        </w:rPr>
        <w:t xml:space="preserve">las partes de </w:t>
      </w:r>
      <w:r>
        <w:rPr>
          <w:sz w:val="20"/>
          <w:szCs w:val="20"/>
          <w:lang w:val="es-ES_tradnl"/>
        </w:rPr>
        <w:t>esta</w:t>
      </w:r>
      <w:r w:rsidRPr="0006716F">
        <w:rPr>
          <w:sz w:val="20"/>
          <w:szCs w:val="20"/>
          <w:lang w:val="es-ES_tradnl"/>
        </w:rPr>
        <w:t xml:space="preserve"> petici</w:t>
      </w:r>
      <w:r>
        <w:rPr>
          <w:sz w:val="20"/>
          <w:szCs w:val="20"/>
          <w:lang w:val="es-ES_tradnl"/>
        </w:rPr>
        <w:t>ón que cumplen con los requisitos del artículo 46 de la Convención Americana conforme a la sección VI de este informe,</w:t>
      </w:r>
      <w:r w:rsidRPr="0006716F">
        <w:rPr>
          <w:sz w:val="20"/>
          <w:szCs w:val="20"/>
          <w:lang w:val="es-ES_tradnl"/>
        </w:rPr>
        <w:t xml:space="preserve"> los peticionarios no han ofrecido alegatos o sustento suficiente que permita considerar </w:t>
      </w:r>
      <w:r w:rsidRPr="0006716F">
        <w:rPr>
          <w:i/>
          <w:sz w:val="20"/>
          <w:szCs w:val="20"/>
          <w:lang w:val="es-ES_tradnl"/>
        </w:rPr>
        <w:t>prima facie</w:t>
      </w:r>
      <w:r w:rsidRPr="0006716F">
        <w:rPr>
          <w:sz w:val="20"/>
          <w:szCs w:val="20"/>
          <w:lang w:val="es-ES_tradnl"/>
        </w:rPr>
        <w:t xml:space="preserve"> su posible violación</w:t>
      </w:r>
      <w:r>
        <w:rPr>
          <w:sz w:val="20"/>
          <w:szCs w:val="20"/>
          <w:lang w:val="es-ES_tradnl"/>
        </w:rPr>
        <w:t>.</w:t>
      </w:r>
    </w:p>
    <w:p w14:paraId="439F30DF" w14:textId="77777777" w:rsidR="00492440" w:rsidRPr="00492440" w:rsidRDefault="00492440" w:rsidP="00492440">
      <w:pPr>
        <w:pStyle w:val="ListParagraph"/>
        <w:jc w:val="both"/>
        <w:rPr>
          <w:rFonts w:ascii="Times New Roman" w:eastAsia="Times New Roman" w:hAnsi="Times New Roman" w:cs="Times New Roman"/>
          <w:sz w:val="20"/>
          <w:szCs w:val="20"/>
          <w:lang w:val="es-PE"/>
        </w:rPr>
      </w:pPr>
    </w:p>
    <w:p w14:paraId="1DF9E548" w14:textId="1A22EEAD" w:rsidR="00640343" w:rsidRPr="00640343" w:rsidRDefault="00F30513" w:rsidP="00640343">
      <w:pPr>
        <w:pStyle w:val="ListParagraph"/>
        <w:numPr>
          <w:ilvl w:val="0"/>
          <w:numId w:val="103"/>
        </w:numPr>
        <w:jc w:val="both"/>
        <w:rPr>
          <w:rFonts w:ascii="Times New Roman" w:eastAsia="Times New Roman" w:hAnsi="Times New Roman" w:cs="Times New Roman"/>
          <w:sz w:val="20"/>
          <w:szCs w:val="20"/>
          <w:lang w:val="es-PE"/>
        </w:rPr>
      </w:pPr>
      <w:r w:rsidRPr="00640343">
        <w:rPr>
          <w:rFonts w:asciiTheme="majorHAnsi" w:hAnsiTheme="majorHAnsi"/>
          <w:color w:val="000000" w:themeColor="text1"/>
          <w:sz w:val="20"/>
          <w:szCs w:val="20"/>
          <w:lang w:val="es-ES"/>
        </w:rPr>
        <w:t xml:space="preserve">Respecto a las aducidas violaciones a la Declaración Americana, </w:t>
      </w:r>
      <w:r w:rsidR="001D2416" w:rsidRPr="00640343">
        <w:rPr>
          <w:rFonts w:asciiTheme="majorHAnsi" w:hAnsiTheme="majorHAnsi" w:cs="Calibri"/>
          <w:color w:val="000000" w:themeColor="text1"/>
          <w:sz w:val="20"/>
          <w:szCs w:val="20"/>
          <w:lang w:val="es-ES"/>
        </w:rPr>
        <w:t>l</w:t>
      </w:r>
      <w:r w:rsidRPr="00640343">
        <w:rPr>
          <w:rFonts w:asciiTheme="majorHAnsi" w:hAnsiTheme="majorHAnsi" w:cs="Calibri"/>
          <w:color w:val="000000" w:themeColor="text1"/>
          <w:sz w:val="20"/>
          <w:szCs w:val="20"/>
          <w:lang w:val="es-ES"/>
        </w:rPr>
        <w:t xml:space="preserve">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el presente caso, la Comisión considera que las alegadas violaciones a la Declaración Americana no escapan el alcance de la protección de los artículos </w:t>
      </w:r>
      <w:r w:rsidR="006E540D" w:rsidRPr="00640343">
        <w:rPr>
          <w:rFonts w:asciiTheme="majorHAnsi" w:hAnsiTheme="majorHAnsi" w:cs="Calibri"/>
          <w:color w:val="000000" w:themeColor="text1"/>
          <w:sz w:val="20"/>
          <w:szCs w:val="20"/>
          <w:lang w:val="es-ES"/>
        </w:rPr>
        <w:t xml:space="preserve">5, 7, </w:t>
      </w:r>
      <w:r w:rsidRPr="00640343">
        <w:rPr>
          <w:rFonts w:asciiTheme="majorHAnsi" w:hAnsiTheme="majorHAnsi" w:cs="Calibri"/>
          <w:color w:val="000000" w:themeColor="text1"/>
          <w:sz w:val="20"/>
          <w:szCs w:val="20"/>
          <w:lang w:val="es-ES"/>
        </w:rPr>
        <w:t>8,</w:t>
      </w:r>
      <w:r w:rsidR="006E540D" w:rsidRPr="00640343">
        <w:rPr>
          <w:rFonts w:asciiTheme="majorHAnsi" w:hAnsiTheme="majorHAnsi" w:cs="Calibri"/>
          <w:color w:val="000000" w:themeColor="text1"/>
          <w:sz w:val="20"/>
          <w:szCs w:val="20"/>
          <w:lang w:val="es-ES"/>
        </w:rPr>
        <w:t xml:space="preserve"> 11,</w:t>
      </w:r>
      <w:r w:rsidRPr="00640343">
        <w:rPr>
          <w:rFonts w:asciiTheme="majorHAnsi" w:hAnsiTheme="majorHAnsi" w:cs="Calibri"/>
          <w:color w:val="000000" w:themeColor="text1"/>
          <w:sz w:val="20"/>
          <w:szCs w:val="20"/>
          <w:lang w:val="es-ES"/>
        </w:rPr>
        <w:t xml:space="preserve"> </w:t>
      </w:r>
      <w:r w:rsidR="006E540D" w:rsidRPr="00640343">
        <w:rPr>
          <w:rFonts w:asciiTheme="majorHAnsi" w:hAnsiTheme="majorHAnsi" w:cs="Calibri"/>
          <w:color w:val="000000" w:themeColor="text1"/>
          <w:sz w:val="20"/>
          <w:szCs w:val="20"/>
          <w:lang w:val="es-ES"/>
        </w:rPr>
        <w:t xml:space="preserve">13 </w:t>
      </w:r>
      <w:r w:rsidR="00C71977" w:rsidRPr="00640343">
        <w:rPr>
          <w:rFonts w:asciiTheme="majorHAnsi" w:hAnsiTheme="majorHAnsi" w:cs="Calibri"/>
          <w:color w:val="000000" w:themeColor="text1"/>
          <w:sz w:val="20"/>
          <w:szCs w:val="20"/>
          <w:lang w:val="es-ES"/>
        </w:rPr>
        <w:t xml:space="preserve"> 21, </w:t>
      </w:r>
      <w:r w:rsidR="006E540D" w:rsidRPr="00640343">
        <w:rPr>
          <w:rFonts w:asciiTheme="majorHAnsi" w:hAnsiTheme="majorHAnsi" w:cs="Calibri"/>
          <w:color w:val="000000" w:themeColor="text1"/>
          <w:sz w:val="20"/>
          <w:szCs w:val="20"/>
          <w:lang w:val="es-ES"/>
        </w:rPr>
        <w:t>24,</w:t>
      </w:r>
      <w:r w:rsidRPr="00640343">
        <w:rPr>
          <w:rFonts w:asciiTheme="majorHAnsi" w:hAnsiTheme="majorHAnsi" w:cs="Calibri"/>
          <w:color w:val="000000" w:themeColor="text1"/>
          <w:sz w:val="20"/>
          <w:szCs w:val="20"/>
          <w:lang w:val="es-ES"/>
        </w:rPr>
        <w:t xml:space="preserve"> 25</w:t>
      </w:r>
      <w:r w:rsidR="006E540D" w:rsidRPr="00640343">
        <w:rPr>
          <w:rFonts w:asciiTheme="majorHAnsi" w:hAnsiTheme="majorHAnsi" w:cs="Calibri"/>
          <w:color w:val="000000" w:themeColor="text1"/>
          <w:sz w:val="20"/>
          <w:szCs w:val="20"/>
          <w:lang w:val="es-ES"/>
        </w:rPr>
        <w:t xml:space="preserve"> y 26</w:t>
      </w:r>
      <w:r w:rsidRPr="00640343">
        <w:rPr>
          <w:rFonts w:asciiTheme="majorHAnsi" w:hAnsiTheme="majorHAnsi" w:cs="Calibri"/>
          <w:color w:val="000000" w:themeColor="text1"/>
          <w:sz w:val="20"/>
          <w:szCs w:val="20"/>
          <w:lang w:val="es-ES"/>
        </w:rPr>
        <w:t xml:space="preserve"> de la Convención Americana. Por lo tanto la Comisión examinará estos alegatos a la luz de la Convención Americana.</w:t>
      </w:r>
      <w:r w:rsidR="00640343" w:rsidRPr="00640343">
        <w:rPr>
          <w:rFonts w:asciiTheme="majorHAnsi" w:hAnsiTheme="majorHAnsi" w:cs="Calibri"/>
          <w:color w:val="000000" w:themeColor="text1"/>
          <w:sz w:val="20"/>
          <w:szCs w:val="20"/>
          <w:lang w:val="es-ES"/>
        </w:rPr>
        <w:t xml:space="preserve"> En cuanto a las aducidas violaciones a la Declaración Universal de Derechos Humanos, </w:t>
      </w:r>
      <w:r w:rsidR="00640343" w:rsidRPr="00640343">
        <w:rPr>
          <w:rFonts w:cs="Calibri"/>
          <w:sz w:val="20"/>
          <w:szCs w:val="20"/>
          <w:lang w:val="es-ES"/>
        </w:rPr>
        <w:t xml:space="preserve">La CIDH carece de competencia </w:t>
      </w:r>
      <w:r w:rsidR="00640343" w:rsidRPr="00640343">
        <w:rPr>
          <w:rFonts w:cs="Calibri"/>
          <w:i/>
          <w:sz w:val="20"/>
          <w:szCs w:val="20"/>
          <w:lang w:val="es-ES"/>
        </w:rPr>
        <w:t>ratione materiae</w:t>
      </w:r>
      <w:r w:rsidR="00640343" w:rsidRPr="00640343">
        <w:rPr>
          <w:rFonts w:cs="Calibri"/>
          <w:sz w:val="20"/>
          <w:szCs w:val="20"/>
          <w:lang w:val="es-ES"/>
        </w:rPr>
        <w:t xml:space="preserve"> para pronunciarse sobre violaciones a los derechos contenidos en </w:t>
      </w:r>
      <w:r w:rsidR="00640343">
        <w:rPr>
          <w:rFonts w:cs="Calibri"/>
          <w:sz w:val="20"/>
          <w:szCs w:val="20"/>
          <w:lang w:val="es-ES"/>
        </w:rPr>
        <w:t>instrumentos</w:t>
      </w:r>
      <w:r w:rsidR="00640343" w:rsidRPr="00640343">
        <w:rPr>
          <w:rFonts w:cs="Calibri"/>
          <w:sz w:val="20"/>
          <w:szCs w:val="20"/>
          <w:lang w:val="es-ES"/>
        </w:rPr>
        <w:t xml:space="preserve"> fuera del Sistema Interamericano, sin perjuicio que pueda recurrir a los estándares establecidos en otros </w:t>
      </w:r>
      <w:r w:rsidR="00640343">
        <w:rPr>
          <w:rFonts w:cs="Calibri"/>
          <w:sz w:val="20"/>
          <w:szCs w:val="20"/>
          <w:lang w:val="es-ES"/>
        </w:rPr>
        <w:t>instrumentos</w:t>
      </w:r>
      <w:r w:rsidR="00640343" w:rsidRPr="00640343">
        <w:rPr>
          <w:rFonts w:cs="Calibri"/>
          <w:sz w:val="20"/>
          <w:szCs w:val="20"/>
          <w:lang w:val="es-ES"/>
        </w:rPr>
        <w:t xml:space="preserve"> a fin de interpretar las normas de la Convención en virtud del artículo 29 de la misma</w:t>
      </w:r>
      <w:r w:rsidR="00640343" w:rsidRPr="00640343">
        <w:rPr>
          <w:rStyle w:val="FootnoteReference"/>
          <w:rFonts w:cs="Calibri"/>
          <w:sz w:val="20"/>
          <w:szCs w:val="20"/>
          <w:lang w:val="es-ES"/>
        </w:rPr>
        <w:footnoteReference w:id="8"/>
      </w:r>
      <w:r w:rsidR="00640343" w:rsidRPr="00640343">
        <w:rPr>
          <w:rFonts w:cs="Calibri"/>
          <w:sz w:val="20"/>
          <w:szCs w:val="20"/>
          <w:lang w:val="es-ES"/>
        </w:rPr>
        <w:t>.</w:t>
      </w:r>
    </w:p>
    <w:p w14:paraId="7A426E9B" w14:textId="77777777" w:rsidR="00A473D1" w:rsidRPr="00AC06B9" w:rsidRDefault="00A473D1" w:rsidP="00A473D1">
      <w:pPr>
        <w:pStyle w:val="ListParagraph"/>
        <w:jc w:val="both"/>
        <w:rPr>
          <w:sz w:val="20"/>
          <w:szCs w:val="20"/>
          <w:lang w:val="es-ES"/>
        </w:rPr>
      </w:pPr>
    </w:p>
    <w:p w14:paraId="15540018" w14:textId="529444A0" w:rsidR="00A473D1" w:rsidRPr="0006716F" w:rsidRDefault="00A473D1" w:rsidP="00A47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bCs/>
          <w:sz w:val="20"/>
          <w:szCs w:val="20"/>
          <w:lang w:val="es-PA"/>
        </w:rPr>
        <w:t>La Comisión no realizará un pronunciamiento de caracterización respecto a los aspectos de la petición que no cumplen con los requisitos del artículo 46 de la Convención Americana conforme a sus determinaciones detalladas en la sección VI.</w:t>
      </w:r>
    </w:p>
    <w:p w14:paraId="29BB41F5" w14:textId="1ABEB56B"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1E1AB5EA" w:rsidR="000419AD" w:rsidRPr="005D4BD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sidR="00D81E2E">
        <w:rPr>
          <w:rFonts w:asciiTheme="majorHAnsi" w:hAnsiTheme="majorHAnsi"/>
          <w:sz w:val="20"/>
          <w:szCs w:val="20"/>
          <w:lang w:val="es-ES"/>
        </w:rPr>
        <w:t>inadmisible la presente petición,</w:t>
      </w:r>
    </w:p>
    <w:p w14:paraId="12A7002C" w14:textId="62AE6BAC"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w:t>
      </w:r>
      <w:r w:rsidR="005D4BDD">
        <w:rPr>
          <w:rFonts w:asciiTheme="majorHAnsi" w:hAnsiTheme="majorHAnsi"/>
          <w:sz w:val="20"/>
          <w:szCs w:val="20"/>
          <w:lang w:val="es-ES"/>
        </w:rPr>
        <w:t xml:space="preserve">as partes la presente decisión </w:t>
      </w:r>
      <w:r w:rsidRPr="009B7794">
        <w:rPr>
          <w:rFonts w:asciiTheme="majorHAnsi" w:hAnsiTheme="majorHAnsi"/>
          <w:sz w:val="20"/>
          <w:szCs w:val="20"/>
          <w:lang w:val="es-ES"/>
        </w:rPr>
        <w:t>y publicar esta decisión e incluirla en su Informe Anual a la Asamblea General de la Organización de los Estados Americanos.</w:t>
      </w:r>
    </w:p>
    <w:p w14:paraId="6D81455B" w14:textId="77777777" w:rsidR="00A75F81" w:rsidRPr="00D35091" w:rsidRDefault="00A75F81" w:rsidP="00A75F81">
      <w:pPr>
        <w:suppressAutoHyphens/>
        <w:ind w:firstLine="720"/>
        <w:jc w:val="both"/>
        <w:rPr>
          <w:rFonts w:ascii="Cambria" w:hAnsi="Cambria"/>
          <w:sz w:val="20"/>
          <w:szCs w:val="20"/>
          <w:lang w:val="es-ES"/>
        </w:rPr>
      </w:pPr>
      <w:r w:rsidRPr="00D35091">
        <w:rPr>
          <w:rFonts w:ascii="Cambria" w:hAnsi="Cambria"/>
          <w:sz w:val="20"/>
          <w:szCs w:val="20"/>
          <w:lang w:val="es-ES"/>
        </w:rPr>
        <w:lastRenderedPageBreak/>
        <w:t xml:space="preserve">Aprobado por la Comisión Interamericana de Derechos Humanos a los </w:t>
      </w:r>
      <w:r>
        <w:rPr>
          <w:rFonts w:ascii="Cambria" w:hAnsi="Cambria"/>
          <w:sz w:val="20"/>
          <w:szCs w:val="20"/>
          <w:lang w:val="es-ES"/>
        </w:rPr>
        <w:t>24</w:t>
      </w:r>
      <w:r w:rsidRPr="00D35091">
        <w:rPr>
          <w:rFonts w:ascii="Cambria" w:hAnsi="Cambria"/>
          <w:sz w:val="20"/>
          <w:szCs w:val="20"/>
          <w:lang w:val="es-ES"/>
        </w:rPr>
        <w:t xml:space="preserve"> días del mes de </w:t>
      </w:r>
      <w:r>
        <w:rPr>
          <w:rFonts w:ascii="Cambria" w:hAnsi="Cambria" w:cs="Arial"/>
          <w:noProof/>
          <w:spacing w:val="-2"/>
          <w:sz w:val="20"/>
          <w:szCs w:val="20"/>
          <w:lang w:val="es-CL"/>
        </w:rPr>
        <w:t>octu</w:t>
      </w:r>
      <w:r w:rsidRPr="00D35091">
        <w:rPr>
          <w:rFonts w:ascii="Cambria" w:hAnsi="Cambria" w:cs="Arial"/>
          <w:noProof/>
          <w:spacing w:val="-2"/>
          <w:sz w:val="20"/>
          <w:szCs w:val="20"/>
          <w:lang w:val="es-CL"/>
        </w:rPr>
        <w:t>bre</w:t>
      </w:r>
      <w:r w:rsidRPr="00D35091">
        <w:rPr>
          <w:rFonts w:ascii="Cambria" w:hAnsi="Cambria"/>
          <w:sz w:val="20"/>
          <w:szCs w:val="20"/>
          <w:lang w:val="es-ES"/>
        </w:rPr>
        <w:t xml:space="preserve"> de 2019.  (Firmado): Esmeralda E. Arosemena Bernal de Troitiño, Presidenta; Joel Hernández García, </w:t>
      </w:r>
      <w:r w:rsidRPr="00D35091">
        <w:rPr>
          <w:rFonts w:ascii="Cambria" w:hAnsi="Cambria"/>
          <w:spacing w:val="-2"/>
          <w:sz w:val="20"/>
          <w:szCs w:val="20"/>
          <w:lang w:val="es-ES"/>
        </w:rPr>
        <w:t xml:space="preserve">Primer Vicepresidente; </w:t>
      </w:r>
      <w:r w:rsidRPr="00D35091">
        <w:rPr>
          <w:rFonts w:ascii="Cambria" w:hAnsi="Cambria"/>
          <w:sz w:val="20"/>
          <w:szCs w:val="20"/>
          <w:lang w:val="es-ES"/>
        </w:rPr>
        <w:t>Antonia Urrejola Noguera, Segunda Vicepresidenta; Margarette May Macaulay, Francisco José Eguiguren Praeli, Luis Ernesto Vargas Silva y Flávia Piovesan, Miembros de la Comisión.</w:t>
      </w:r>
    </w:p>
    <w:p w14:paraId="134EA13B" w14:textId="77777777" w:rsidR="00A75F81" w:rsidRPr="00D35091" w:rsidRDefault="00A75F81" w:rsidP="00A75F81">
      <w:pPr>
        <w:rPr>
          <w:rFonts w:ascii="Cambria" w:hAnsi="Cambria" w:cs="Calibri"/>
          <w:sz w:val="20"/>
          <w:szCs w:val="20"/>
          <w:lang w:val="es-ES"/>
        </w:rPr>
      </w:pPr>
    </w:p>
    <w:sectPr w:rsidR="00A75F81" w:rsidRPr="00D350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AFEF" w14:textId="77777777" w:rsidR="00314EB5" w:rsidRDefault="00314EB5">
      <w:r>
        <w:separator/>
      </w:r>
    </w:p>
  </w:endnote>
  <w:endnote w:type="continuationSeparator" w:id="0">
    <w:p w14:paraId="29D3350A" w14:textId="77777777" w:rsidR="00314EB5" w:rsidRDefault="0031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1EA4" w14:textId="77777777" w:rsidR="00A43700" w:rsidRDefault="00A43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9E1F8CB" w:rsidR="00243172" w:rsidRPr="00934A2C" w:rsidRDefault="0024317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43700">
          <w:rPr>
            <w:noProof/>
            <w:sz w:val="16"/>
            <w:szCs w:val="22"/>
          </w:rPr>
          <w:t>1</w:t>
        </w:r>
        <w:r w:rsidRPr="00934A2C">
          <w:rPr>
            <w:noProof/>
            <w:sz w:val="16"/>
            <w:szCs w:val="22"/>
          </w:rPr>
          <w:fldChar w:fldCharType="end"/>
        </w:r>
      </w:p>
    </w:sdtContent>
  </w:sdt>
  <w:p w14:paraId="68530E6A" w14:textId="77777777" w:rsidR="00243172" w:rsidRDefault="00243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43172" w:rsidRPr="00934A2C" w:rsidRDefault="00243172">
    <w:pPr>
      <w:pStyle w:val="Footer"/>
      <w:jc w:val="center"/>
      <w:rPr>
        <w:sz w:val="16"/>
        <w:szCs w:val="22"/>
      </w:rPr>
    </w:pPr>
  </w:p>
  <w:p w14:paraId="49059CE3" w14:textId="77777777" w:rsidR="00243172" w:rsidRDefault="0024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8874D" w14:textId="77777777" w:rsidR="00314EB5" w:rsidRPr="000F35ED" w:rsidRDefault="00314E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BD96EE" w14:textId="77777777" w:rsidR="00314EB5" w:rsidRPr="000F35ED" w:rsidRDefault="00314EB5" w:rsidP="000F35ED">
      <w:pPr>
        <w:rPr>
          <w:rFonts w:asciiTheme="majorHAnsi" w:hAnsiTheme="majorHAnsi"/>
          <w:sz w:val="16"/>
          <w:szCs w:val="16"/>
        </w:rPr>
      </w:pPr>
      <w:r w:rsidRPr="000F35ED">
        <w:rPr>
          <w:rFonts w:asciiTheme="majorHAnsi" w:hAnsiTheme="majorHAnsi"/>
          <w:sz w:val="16"/>
          <w:szCs w:val="16"/>
        </w:rPr>
        <w:separator/>
      </w:r>
    </w:p>
    <w:p w14:paraId="0B53F45E" w14:textId="77777777" w:rsidR="00314EB5" w:rsidRPr="000F35ED" w:rsidRDefault="00314EB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9C744AB" w14:textId="77777777" w:rsidR="00314EB5" w:rsidRPr="000F35ED" w:rsidRDefault="00314EB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8699F44" w14:textId="72A003B5" w:rsidR="00243172" w:rsidRPr="00247A2E" w:rsidRDefault="00243172" w:rsidP="00247A2E">
      <w:pPr>
        <w:pStyle w:val="FootnoteText"/>
        <w:ind w:firstLine="720"/>
        <w:rPr>
          <w:lang w:val="es-PA"/>
        </w:rPr>
      </w:pPr>
      <w:r>
        <w:rPr>
          <w:rStyle w:val="FootnoteReference"/>
        </w:rPr>
        <w:footnoteRef/>
      </w:r>
      <w:r w:rsidRPr="00247A2E">
        <w:rPr>
          <w:lang w:val="es-PA"/>
        </w:rPr>
        <w:t xml:space="preserve"> </w:t>
      </w:r>
      <w:proofErr w:type="spellStart"/>
      <w:r w:rsidRPr="00A02424">
        <w:rPr>
          <w:rFonts w:ascii="Cambria" w:hAnsi="Cambria"/>
          <w:bCs/>
          <w:sz w:val="16"/>
          <w:szCs w:val="16"/>
          <w:lang w:val="es-PA"/>
        </w:rPr>
        <w:t>Berch</w:t>
      </w:r>
      <w:proofErr w:type="spellEnd"/>
      <w:r w:rsidRPr="00A02424">
        <w:rPr>
          <w:rFonts w:ascii="Cambria" w:hAnsi="Cambria"/>
          <w:bCs/>
          <w:sz w:val="16"/>
          <w:szCs w:val="16"/>
          <w:lang w:val="es-PA"/>
        </w:rPr>
        <w:t xml:space="preserve"> </w:t>
      </w:r>
      <w:proofErr w:type="spellStart"/>
      <w:r w:rsidRPr="00A02424">
        <w:rPr>
          <w:rFonts w:ascii="Cambria" w:hAnsi="Cambria"/>
          <w:bCs/>
          <w:sz w:val="16"/>
          <w:szCs w:val="16"/>
          <w:lang w:val="es-PA"/>
        </w:rPr>
        <w:t>Rupenian</w:t>
      </w:r>
      <w:proofErr w:type="spellEnd"/>
      <w:r w:rsidRPr="00A02424">
        <w:rPr>
          <w:rFonts w:ascii="Cambria" w:hAnsi="Cambria"/>
          <w:bCs/>
          <w:sz w:val="16"/>
          <w:szCs w:val="16"/>
          <w:lang w:val="es-PA"/>
        </w:rPr>
        <w:t xml:space="preserve"> </w:t>
      </w:r>
      <w:proofErr w:type="spellStart"/>
      <w:r w:rsidRPr="00A02424">
        <w:rPr>
          <w:rFonts w:ascii="Cambria" w:hAnsi="Cambria"/>
          <w:bCs/>
          <w:sz w:val="16"/>
          <w:szCs w:val="16"/>
          <w:lang w:val="es-PA"/>
        </w:rPr>
        <w:t>Bichakdjian</w:t>
      </w:r>
      <w:proofErr w:type="spellEnd"/>
      <w:r w:rsidRPr="00A02424">
        <w:rPr>
          <w:rFonts w:ascii="Cambria" w:hAnsi="Cambria"/>
          <w:bCs/>
          <w:sz w:val="16"/>
          <w:szCs w:val="16"/>
          <w:lang w:val="es-PA"/>
        </w:rPr>
        <w:t xml:space="preserve"> y </w:t>
      </w:r>
      <w:proofErr w:type="spellStart"/>
      <w:r w:rsidRPr="00A02424">
        <w:rPr>
          <w:rFonts w:ascii="Cambria" w:hAnsi="Cambria"/>
          <w:bCs/>
          <w:sz w:val="16"/>
          <w:szCs w:val="16"/>
          <w:lang w:val="es-PA"/>
        </w:rPr>
        <w:t>Aram</w:t>
      </w:r>
      <w:proofErr w:type="spellEnd"/>
      <w:r w:rsidRPr="00A02424">
        <w:rPr>
          <w:rFonts w:ascii="Cambria" w:hAnsi="Cambria"/>
          <w:bCs/>
          <w:sz w:val="16"/>
          <w:szCs w:val="16"/>
          <w:lang w:val="es-PA"/>
        </w:rPr>
        <w:t xml:space="preserve"> </w:t>
      </w:r>
      <w:proofErr w:type="spellStart"/>
      <w:r w:rsidRPr="00A02424">
        <w:rPr>
          <w:rFonts w:ascii="Cambria" w:hAnsi="Cambria"/>
          <w:bCs/>
          <w:sz w:val="16"/>
          <w:szCs w:val="16"/>
          <w:lang w:val="es-PA"/>
        </w:rPr>
        <w:t>Rupenian</w:t>
      </w:r>
      <w:proofErr w:type="spellEnd"/>
      <w:r w:rsidRPr="00A02424">
        <w:rPr>
          <w:rFonts w:ascii="Cambria" w:hAnsi="Cambria"/>
          <w:bCs/>
          <w:sz w:val="16"/>
          <w:szCs w:val="16"/>
          <w:lang w:val="es-PA"/>
        </w:rPr>
        <w:t xml:space="preserve"> </w:t>
      </w:r>
      <w:proofErr w:type="spellStart"/>
      <w:r w:rsidRPr="00A02424">
        <w:rPr>
          <w:rFonts w:ascii="Cambria" w:hAnsi="Cambria"/>
          <w:bCs/>
          <w:sz w:val="16"/>
          <w:szCs w:val="16"/>
          <w:lang w:val="es-PA"/>
        </w:rPr>
        <w:t>Bichakdjian</w:t>
      </w:r>
      <w:proofErr w:type="spellEnd"/>
    </w:p>
  </w:footnote>
  <w:footnote w:id="3">
    <w:p w14:paraId="3DF666A4" w14:textId="4568B6F6" w:rsidR="00243172" w:rsidRPr="006B74D5" w:rsidRDefault="00243172" w:rsidP="006B74D5">
      <w:pPr>
        <w:pStyle w:val="FootnoteText"/>
        <w:ind w:firstLine="720"/>
        <w:jc w:val="both"/>
        <w:rPr>
          <w:lang w:val="es-PA"/>
        </w:rPr>
      </w:pPr>
      <w:r>
        <w:rPr>
          <w:rStyle w:val="FootnoteReference"/>
        </w:rPr>
        <w:footnoteRef/>
      </w:r>
      <w:r w:rsidRPr="006B74D5">
        <w:rPr>
          <w:lang w:val="es-PA"/>
        </w:rPr>
        <w:t xml:space="preserve"> </w:t>
      </w:r>
      <w:r w:rsidRPr="006B74D5">
        <w:rPr>
          <w:rFonts w:asciiTheme="majorHAnsi" w:hAnsiTheme="majorHAnsi"/>
          <w:sz w:val="16"/>
          <w:szCs w:val="16"/>
          <w:lang w:val="es-PA"/>
        </w:rPr>
        <w:t>En adelante “la Convención Americana”</w:t>
      </w:r>
    </w:p>
  </w:footnote>
  <w:footnote w:id="4">
    <w:p w14:paraId="391F38E0" w14:textId="00E54275" w:rsidR="00243172" w:rsidRPr="009526D6" w:rsidRDefault="00243172" w:rsidP="009526D6">
      <w:pPr>
        <w:pStyle w:val="FootnoteText"/>
        <w:ind w:firstLine="720"/>
        <w:rPr>
          <w:rFonts w:asciiTheme="majorHAnsi" w:hAnsiTheme="majorHAnsi"/>
          <w:sz w:val="16"/>
          <w:szCs w:val="16"/>
          <w:lang w:val="es-PA"/>
        </w:rPr>
      </w:pPr>
      <w:r w:rsidRPr="009526D6">
        <w:rPr>
          <w:rStyle w:val="FootnoteReference"/>
          <w:rFonts w:asciiTheme="majorHAnsi" w:hAnsiTheme="majorHAnsi"/>
          <w:sz w:val="16"/>
          <w:szCs w:val="16"/>
        </w:rPr>
        <w:footnoteRef/>
      </w:r>
      <w:r w:rsidRPr="009526D6">
        <w:rPr>
          <w:rFonts w:asciiTheme="majorHAnsi" w:hAnsiTheme="majorHAnsi"/>
          <w:sz w:val="16"/>
          <w:szCs w:val="16"/>
          <w:lang w:val="es-PA"/>
        </w:rPr>
        <w:t xml:space="preserve"> En adelante “la Declaración Americana”</w:t>
      </w:r>
    </w:p>
  </w:footnote>
  <w:footnote w:id="5">
    <w:p w14:paraId="0417FBDE" w14:textId="44FEC2BF" w:rsidR="00243172" w:rsidRPr="009526D6" w:rsidRDefault="00243172" w:rsidP="009526D6">
      <w:pPr>
        <w:pStyle w:val="FootnoteText"/>
        <w:ind w:firstLine="720"/>
        <w:rPr>
          <w:lang w:val="es-PA"/>
        </w:rPr>
      </w:pPr>
      <w:r>
        <w:rPr>
          <w:rStyle w:val="FootnoteReference"/>
        </w:rPr>
        <w:footnoteRef/>
      </w:r>
      <w:r w:rsidRPr="009526D6">
        <w:rPr>
          <w:lang w:val="es-PA"/>
        </w:rPr>
        <w:t xml:space="preserve"> </w:t>
      </w:r>
      <w:r w:rsidRPr="0076505E">
        <w:rPr>
          <w:rFonts w:asciiTheme="majorHAnsi" w:hAnsiTheme="majorHAnsi"/>
          <w:sz w:val="16"/>
          <w:szCs w:val="16"/>
          <w:lang w:val="es-PA"/>
        </w:rPr>
        <w:t>Artículos 7, 17, 19 y 23 de la Declaración Universal de Derechos Humanos</w:t>
      </w:r>
      <w:r>
        <w:rPr>
          <w:lang w:val="es-PA"/>
        </w:rPr>
        <w:t>.</w:t>
      </w:r>
    </w:p>
  </w:footnote>
  <w:footnote w:id="6">
    <w:p w14:paraId="79F07139" w14:textId="77777777" w:rsidR="00243172" w:rsidRPr="00537490" w:rsidRDefault="00243172"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7">
    <w:p w14:paraId="0546DF5D" w14:textId="07332B8E" w:rsidR="00243172" w:rsidRPr="0023341C" w:rsidRDefault="00243172" w:rsidP="0023341C">
      <w:pPr>
        <w:pStyle w:val="FootnoteText"/>
        <w:ind w:firstLine="720"/>
        <w:jc w:val="both"/>
        <w:rPr>
          <w:lang w:val="es-PA"/>
        </w:rPr>
      </w:pPr>
      <w:r>
        <w:rPr>
          <w:rStyle w:val="FootnoteReference"/>
        </w:rPr>
        <w:footnoteRef/>
      </w:r>
      <w:r w:rsidRPr="0023341C">
        <w:rPr>
          <w:lang w:val="es-PA"/>
        </w:rPr>
        <w:t xml:space="preserve"> </w:t>
      </w:r>
      <w:r>
        <w:rPr>
          <w:lang w:val="es-PA"/>
        </w:rPr>
        <w:t xml:space="preserve">El 31 de enero de 2014, la parte peticionaria informó mediante correo electrónico que el señor </w:t>
      </w:r>
      <w:proofErr w:type="spellStart"/>
      <w:r w:rsidRPr="00DA489E">
        <w:rPr>
          <w:rFonts w:ascii="Cambria" w:hAnsi="Cambria"/>
          <w:bCs/>
          <w:lang w:val="es-PA"/>
        </w:rPr>
        <w:t>Aram</w:t>
      </w:r>
      <w:proofErr w:type="spellEnd"/>
      <w:r w:rsidRPr="00DA489E">
        <w:rPr>
          <w:rFonts w:ascii="Cambria" w:hAnsi="Cambria"/>
          <w:bCs/>
          <w:lang w:val="es-PA"/>
        </w:rPr>
        <w:t xml:space="preserve"> </w:t>
      </w:r>
      <w:proofErr w:type="spellStart"/>
      <w:r w:rsidRPr="00DA489E">
        <w:rPr>
          <w:rFonts w:ascii="Cambria" w:hAnsi="Cambria"/>
          <w:bCs/>
          <w:lang w:val="es-PA"/>
        </w:rPr>
        <w:t>Rupenian</w:t>
      </w:r>
      <w:proofErr w:type="spellEnd"/>
      <w:r w:rsidRPr="00DA489E">
        <w:rPr>
          <w:rFonts w:ascii="Cambria" w:hAnsi="Cambria"/>
          <w:bCs/>
          <w:lang w:val="es-PA"/>
        </w:rPr>
        <w:t xml:space="preserve"> </w:t>
      </w:r>
      <w:proofErr w:type="spellStart"/>
      <w:r w:rsidRPr="00DA489E">
        <w:rPr>
          <w:rFonts w:ascii="Cambria" w:hAnsi="Cambria"/>
          <w:bCs/>
          <w:lang w:val="es-PA"/>
        </w:rPr>
        <w:t>Bichakdjian</w:t>
      </w:r>
      <w:proofErr w:type="spellEnd"/>
      <w:r>
        <w:rPr>
          <w:rFonts w:ascii="Cambria" w:hAnsi="Cambria"/>
          <w:bCs/>
          <w:lang w:val="es-PA"/>
        </w:rPr>
        <w:t xml:space="preserve"> falleció el 22 de mayo de 2013.</w:t>
      </w:r>
    </w:p>
  </w:footnote>
  <w:footnote w:id="8">
    <w:p w14:paraId="16DDCA0F" w14:textId="77777777" w:rsidR="00640343" w:rsidRPr="00DA58FB" w:rsidRDefault="00640343" w:rsidP="00640343">
      <w:pPr>
        <w:pStyle w:val="FootnoteText"/>
        <w:jc w:val="both"/>
        <w:rPr>
          <w:sz w:val="18"/>
          <w:szCs w:val="18"/>
          <w:lang w:val="es-ES"/>
        </w:rPr>
      </w:pPr>
      <w:r w:rsidRPr="00640343">
        <w:rPr>
          <w:rFonts w:asciiTheme="majorHAnsi" w:hAnsiTheme="majorHAnsi"/>
          <w:sz w:val="16"/>
          <w:szCs w:val="16"/>
          <w:lang w:val="es-ES"/>
        </w:rPr>
        <w:tab/>
      </w:r>
      <w:r w:rsidRPr="00640343">
        <w:rPr>
          <w:rStyle w:val="FootnoteReference"/>
          <w:rFonts w:asciiTheme="majorHAnsi" w:hAnsiTheme="majorHAnsi"/>
          <w:sz w:val="16"/>
          <w:szCs w:val="16"/>
          <w:lang w:val="es-ES"/>
        </w:rPr>
        <w:footnoteRef/>
      </w:r>
      <w:r w:rsidRPr="00640343">
        <w:rPr>
          <w:rFonts w:asciiTheme="majorHAnsi" w:hAnsiTheme="majorHAnsi"/>
          <w:sz w:val="16"/>
          <w:szCs w:val="16"/>
          <w:lang w:val="es-ES"/>
        </w:rPr>
        <w:t xml:space="preserve"> CIDH, Informe No. 26/17. Petición 1208-08. Admisibilidad. William Olaya Moreno y familia. Colombia. 18 de marzo de 2017, párr. 9</w:t>
      </w:r>
      <w:r w:rsidRPr="00DA58FB">
        <w:rPr>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43172" w:rsidRDefault="00243172" w:rsidP="0060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43172" w:rsidRDefault="00243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243172" w:rsidRDefault="0024317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243172" w:rsidRPr="00EC7D62" w:rsidRDefault="00314EB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F81E" w14:textId="77777777" w:rsidR="00A43700" w:rsidRDefault="00A4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8B8EF14"/>
    <w:lvl w:ilvl="0" w:tplc="81A6584C">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207B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9DA"/>
    <w:rsid w:val="00006E1F"/>
    <w:rsid w:val="000070D7"/>
    <w:rsid w:val="0001393A"/>
    <w:rsid w:val="00015797"/>
    <w:rsid w:val="00016BEF"/>
    <w:rsid w:val="0001788C"/>
    <w:rsid w:val="00024F66"/>
    <w:rsid w:val="000337EF"/>
    <w:rsid w:val="00040C3A"/>
    <w:rsid w:val="000419AD"/>
    <w:rsid w:val="000706B7"/>
    <w:rsid w:val="000716C5"/>
    <w:rsid w:val="00075E23"/>
    <w:rsid w:val="00087DAA"/>
    <w:rsid w:val="00090B78"/>
    <w:rsid w:val="0009344A"/>
    <w:rsid w:val="000A392E"/>
    <w:rsid w:val="000A575F"/>
    <w:rsid w:val="000A69D4"/>
    <w:rsid w:val="000C1417"/>
    <w:rsid w:val="000D10DB"/>
    <w:rsid w:val="000E4615"/>
    <w:rsid w:val="000E5EB5"/>
    <w:rsid w:val="000F35ED"/>
    <w:rsid w:val="000F65FE"/>
    <w:rsid w:val="00107131"/>
    <w:rsid w:val="0010736F"/>
    <w:rsid w:val="00110CA5"/>
    <w:rsid w:val="00113F73"/>
    <w:rsid w:val="00121CC2"/>
    <w:rsid w:val="00133EE5"/>
    <w:rsid w:val="00155798"/>
    <w:rsid w:val="00167A34"/>
    <w:rsid w:val="00173744"/>
    <w:rsid w:val="001A636D"/>
    <w:rsid w:val="001A7870"/>
    <w:rsid w:val="001B3A00"/>
    <w:rsid w:val="001B5F12"/>
    <w:rsid w:val="001C1B41"/>
    <w:rsid w:val="001C2C35"/>
    <w:rsid w:val="001C72EE"/>
    <w:rsid w:val="001D2416"/>
    <w:rsid w:val="001D25B7"/>
    <w:rsid w:val="001D48A8"/>
    <w:rsid w:val="001D65EF"/>
    <w:rsid w:val="001E26E1"/>
    <w:rsid w:val="001E3ACA"/>
    <w:rsid w:val="001E49E7"/>
    <w:rsid w:val="001F7201"/>
    <w:rsid w:val="001F76DC"/>
    <w:rsid w:val="00212818"/>
    <w:rsid w:val="00223A29"/>
    <w:rsid w:val="002250A3"/>
    <w:rsid w:val="0023341C"/>
    <w:rsid w:val="00235217"/>
    <w:rsid w:val="00243172"/>
    <w:rsid w:val="00246D1F"/>
    <w:rsid w:val="00247403"/>
    <w:rsid w:val="00247542"/>
    <w:rsid w:val="00247A2E"/>
    <w:rsid w:val="00266B61"/>
    <w:rsid w:val="0026712A"/>
    <w:rsid w:val="002704DB"/>
    <w:rsid w:val="00274466"/>
    <w:rsid w:val="002A095C"/>
    <w:rsid w:val="002A0AAE"/>
    <w:rsid w:val="002A5820"/>
    <w:rsid w:val="002B375B"/>
    <w:rsid w:val="002C574F"/>
    <w:rsid w:val="002C5B45"/>
    <w:rsid w:val="002D2B26"/>
    <w:rsid w:val="002D7EA2"/>
    <w:rsid w:val="002E187C"/>
    <w:rsid w:val="00302733"/>
    <w:rsid w:val="00310308"/>
    <w:rsid w:val="00314078"/>
    <w:rsid w:val="00314EB5"/>
    <w:rsid w:val="0031535D"/>
    <w:rsid w:val="00315C0D"/>
    <w:rsid w:val="003239B8"/>
    <w:rsid w:val="00330511"/>
    <w:rsid w:val="0033169F"/>
    <w:rsid w:val="00332B7C"/>
    <w:rsid w:val="0033349D"/>
    <w:rsid w:val="00344977"/>
    <w:rsid w:val="00346C95"/>
    <w:rsid w:val="00350988"/>
    <w:rsid w:val="00356185"/>
    <w:rsid w:val="00357171"/>
    <w:rsid w:val="00360380"/>
    <w:rsid w:val="00374728"/>
    <w:rsid w:val="00374B38"/>
    <w:rsid w:val="0037519E"/>
    <w:rsid w:val="00376DC6"/>
    <w:rsid w:val="00386CF0"/>
    <w:rsid w:val="003B70FB"/>
    <w:rsid w:val="003C4382"/>
    <w:rsid w:val="003C676B"/>
    <w:rsid w:val="003D3BC2"/>
    <w:rsid w:val="003D3CD2"/>
    <w:rsid w:val="003D655A"/>
    <w:rsid w:val="003E4CDE"/>
    <w:rsid w:val="003E6CA1"/>
    <w:rsid w:val="003E7898"/>
    <w:rsid w:val="003F737F"/>
    <w:rsid w:val="00401212"/>
    <w:rsid w:val="004065A8"/>
    <w:rsid w:val="004133D7"/>
    <w:rsid w:val="004165C2"/>
    <w:rsid w:val="0042028E"/>
    <w:rsid w:val="00441D8B"/>
    <w:rsid w:val="00441ECB"/>
    <w:rsid w:val="00445193"/>
    <w:rsid w:val="004578B6"/>
    <w:rsid w:val="00460CB2"/>
    <w:rsid w:val="00462C1B"/>
    <w:rsid w:val="00467B7E"/>
    <w:rsid w:val="00473BB4"/>
    <w:rsid w:val="00477592"/>
    <w:rsid w:val="004810E2"/>
    <w:rsid w:val="00486F1C"/>
    <w:rsid w:val="00492440"/>
    <w:rsid w:val="0049419D"/>
    <w:rsid w:val="00497D8D"/>
    <w:rsid w:val="004A6A54"/>
    <w:rsid w:val="004C20D2"/>
    <w:rsid w:val="004C2312"/>
    <w:rsid w:val="004C4B62"/>
    <w:rsid w:val="004C54C9"/>
    <w:rsid w:val="004D0983"/>
    <w:rsid w:val="004D4ABA"/>
    <w:rsid w:val="004D6025"/>
    <w:rsid w:val="004E186D"/>
    <w:rsid w:val="004E2649"/>
    <w:rsid w:val="00501399"/>
    <w:rsid w:val="0050633D"/>
    <w:rsid w:val="00507BC4"/>
    <w:rsid w:val="005128E4"/>
    <w:rsid w:val="005133DB"/>
    <w:rsid w:val="00520154"/>
    <w:rsid w:val="00525560"/>
    <w:rsid w:val="00525A09"/>
    <w:rsid w:val="005309F7"/>
    <w:rsid w:val="0053416B"/>
    <w:rsid w:val="00544C49"/>
    <w:rsid w:val="005462A5"/>
    <w:rsid w:val="005516A1"/>
    <w:rsid w:val="00563557"/>
    <w:rsid w:val="0057402A"/>
    <w:rsid w:val="0057662C"/>
    <w:rsid w:val="005771D0"/>
    <w:rsid w:val="005846E1"/>
    <w:rsid w:val="0059191A"/>
    <w:rsid w:val="005921FF"/>
    <w:rsid w:val="005A24ED"/>
    <w:rsid w:val="005A6D0E"/>
    <w:rsid w:val="005B52B0"/>
    <w:rsid w:val="005B6806"/>
    <w:rsid w:val="005C4225"/>
    <w:rsid w:val="005D4BDD"/>
    <w:rsid w:val="005F0DAD"/>
    <w:rsid w:val="005F0F33"/>
    <w:rsid w:val="00600DEB"/>
    <w:rsid w:val="0060316C"/>
    <w:rsid w:val="0060588A"/>
    <w:rsid w:val="00606F4A"/>
    <w:rsid w:val="00607480"/>
    <w:rsid w:val="0061384F"/>
    <w:rsid w:val="006218E4"/>
    <w:rsid w:val="00624DD8"/>
    <w:rsid w:val="00627C9F"/>
    <w:rsid w:val="00630378"/>
    <w:rsid w:val="00630D07"/>
    <w:rsid w:val="006311E9"/>
    <w:rsid w:val="00632354"/>
    <w:rsid w:val="00633819"/>
    <w:rsid w:val="0063563C"/>
    <w:rsid w:val="00640343"/>
    <w:rsid w:val="006410D3"/>
    <w:rsid w:val="00642810"/>
    <w:rsid w:val="006522B5"/>
    <w:rsid w:val="00652333"/>
    <w:rsid w:val="00667449"/>
    <w:rsid w:val="00676487"/>
    <w:rsid w:val="0067653D"/>
    <w:rsid w:val="0068009E"/>
    <w:rsid w:val="00680E12"/>
    <w:rsid w:val="0068269C"/>
    <w:rsid w:val="00685E0C"/>
    <w:rsid w:val="006914C9"/>
    <w:rsid w:val="00691E3B"/>
    <w:rsid w:val="00692219"/>
    <w:rsid w:val="006A17D2"/>
    <w:rsid w:val="006A39FC"/>
    <w:rsid w:val="006A73E6"/>
    <w:rsid w:val="006A7CDC"/>
    <w:rsid w:val="006B1584"/>
    <w:rsid w:val="006B2D5C"/>
    <w:rsid w:val="006B74D5"/>
    <w:rsid w:val="006C4EB1"/>
    <w:rsid w:val="006E0166"/>
    <w:rsid w:val="006E1407"/>
    <w:rsid w:val="006E1777"/>
    <w:rsid w:val="006E540D"/>
    <w:rsid w:val="006E7B34"/>
    <w:rsid w:val="007044F3"/>
    <w:rsid w:val="0070697F"/>
    <w:rsid w:val="00716CF9"/>
    <w:rsid w:val="0072199C"/>
    <w:rsid w:val="00722C9F"/>
    <w:rsid w:val="007253B8"/>
    <w:rsid w:val="00733859"/>
    <w:rsid w:val="00736518"/>
    <w:rsid w:val="0073741F"/>
    <w:rsid w:val="00746EF9"/>
    <w:rsid w:val="00750C2A"/>
    <w:rsid w:val="00761C4B"/>
    <w:rsid w:val="0076505E"/>
    <w:rsid w:val="0076643F"/>
    <w:rsid w:val="00766AD1"/>
    <w:rsid w:val="007746AE"/>
    <w:rsid w:val="00777BEB"/>
    <w:rsid w:val="00777F63"/>
    <w:rsid w:val="00782BC3"/>
    <w:rsid w:val="007A4472"/>
    <w:rsid w:val="007A5817"/>
    <w:rsid w:val="007B05C4"/>
    <w:rsid w:val="007B60E9"/>
    <w:rsid w:val="007B6CC3"/>
    <w:rsid w:val="007B74B7"/>
    <w:rsid w:val="007C3334"/>
    <w:rsid w:val="007D2B98"/>
    <w:rsid w:val="007E1501"/>
    <w:rsid w:val="007E1CF0"/>
    <w:rsid w:val="007E21BC"/>
    <w:rsid w:val="007E7C82"/>
    <w:rsid w:val="007F588D"/>
    <w:rsid w:val="007F7B53"/>
    <w:rsid w:val="00803F1C"/>
    <w:rsid w:val="0080600E"/>
    <w:rsid w:val="00817612"/>
    <w:rsid w:val="00824B26"/>
    <w:rsid w:val="00824B6D"/>
    <w:rsid w:val="008338A4"/>
    <w:rsid w:val="00834D49"/>
    <w:rsid w:val="00837C45"/>
    <w:rsid w:val="00844730"/>
    <w:rsid w:val="008457C2"/>
    <w:rsid w:val="00857A82"/>
    <w:rsid w:val="008638B6"/>
    <w:rsid w:val="00873836"/>
    <w:rsid w:val="0088280B"/>
    <w:rsid w:val="00885737"/>
    <w:rsid w:val="0088585B"/>
    <w:rsid w:val="00885B0E"/>
    <w:rsid w:val="00890650"/>
    <w:rsid w:val="00897E12"/>
    <w:rsid w:val="008A4A38"/>
    <w:rsid w:val="008A6565"/>
    <w:rsid w:val="008A7E0F"/>
    <w:rsid w:val="008B12F5"/>
    <w:rsid w:val="008D2673"/>
    <w:rsid w:val="008D3AFD"/>
    <w:rsid w:val="008D5063"/>
    <w:rsid w:val="008D73BE"/>
    <w:rsid w:val="008D768D"/>
    <w:rsid w:val="008D7B3D"/>
    <w:rsid w:val="008E3759"/>
    <w:rsid w:val="008E3BFE"/>
    <w:rsid w:val="008E7BC8"/>
    <w:rsid w:val="008F0CFA"/>
    <w:rsid w:val="008F1912"/>
    <w:rsid w:val="0090270B"/>
    <w:rsid w:val="0090318F"/>
    <w:rsid w:val="009041DC"/>
    <w:rsid w:val="00917B5A"/>
    <w:rsid w:val="00920A58"/>
    <w:rsid w:val="00920A8C"/>
    <w:rsid w:val="00934582"/>
    <w:rsid w:val="00934A2C"/>
    <w:rsid w:val="0094557A"/>
    <w:rsid w:val="009526D6"/>
    <w:rsid w:val="0096706E"/>
    <w:rsid w:val="00974491"/>
    <w:rsid w:val="00974D3F"/>
    <w:rsid w:val="00975C4E"/>
    <w:rsid w:val="00981FBA"/>
    <w:rsid w:val="00984A8E"/>
    <w:rsid w:val="00984C07"/>
    <w:rsid w:val="00993A82"/>
    <w:rsid w:val="00997BC5"/>
    <w:rsid w:val="009A0E83"/>
    <w:rsid w:val="009A4F41"/>
    <w:rsid w:val="009B0606"/>
    <w:rsid w:val="009B381B"/>
    <w:rsid w:val="009C0B46"/>
    <w:rsid w:val="009C3778"/>
    <w:rsid w:val="009D1753"/>
    <w:rsid w:val="009D7611"/>
    <w:rsid w:val="009E0B61"/>
    <w:rsid w:val="009E53DE"/>
    <w:rsid w:val="009F0563"/>
    <w:rsid w:val="009F7F46"/>
    <w:rsid w:val="00A02424"/>
    <w:rsid w:val="00A07A33"/>
    <w:rsid w:val="00A111D1"/>
    <w:rsid w:val="00A11E44"/>
    <w:rsid w:val="00A16F3A"/>
    <w:rsid w:val="00A17B9E"/>
    <w:rsid w:val="00A24C6B"/>
    <w:rsid w:val="00A328B3"/>
    <w:rsid w:val="00A329C5"/>
    <w:rsid w:val="00A34DFA"/>
    <w:rsid w:val="00A41C25"/>
    <w:rsid w:val="00A43700"/>
    <w:rsid w:val="00A473D1"/>
    <w:rsid w:val="00A50FCF"/>
    <w:rsid w:val="00A528D1"/>
    <w:rsid w:val="00A5328F"/>
    <w:rsid w:val="00A610CD"/>
    <w:rsid w:val="00A636AF"/>
    <w:rsid w:val="00A64DA7"/>
    <w:rsid w:val="00A758AA"/>
    <w:rsid w:val="00A75F81"/>
    <w:rsid w:val="00A86DBF"/>
    <w:rsid w:val="00AA09A2"/>
    <w:rsid w:val="00AA27E6"/>
    <w:rsid w:val="00AA3307"/>
    <w:rsid w:val="00AA7996"/>
    <w:rsid w:val="00AB5FFA"/>
    <w:rsid w:val="00AC19CB"/>
    <w:rsid w:val="00AC3C1B"/>
    <w:rsid w:val="00AC567E"/>
    <w:rsid w:val="00AE5488"/>
    <w:rsid w:val="00AE6522"/>
    <w:rsid w:val="00AE6F91"/>
    <w:rsid w:val="00AF2B5C"/>
    <w:rsid w:val="00AF5571"/>
    <w:rsid w:val="00B07341"/>
    <w:rsid w:val="00B11081"/>
    <w:rsid w:val="00B20BCB"/>
    <w:rsid w:val="00B2366A"/>
    <w:rsid w:val="00B27293"/>
    <w:rsid w:val="00B30539"/>
    <w:rsid w:val="00B314DB"/>
    <w:rsid w:val="00B361F2"/>
    <w:rsid w:val="00B3718B"/>
    <w:rsid w:val="00B447D7"/>
    <w:rsid w:val="00B4632A"/>
    <w:rsid w:val="00B51E47"/>
    <w:rsid w:val="00B530F1"/>
    <w:rsid w:val="00B715FC"/>
    <w:rsid w:val="00B73497"/>
    <w:rsid w:val="00BA0B39"/>
    <w:rsid w:val="00BA276C"/>
    <w:rsid w:val="00BB306F"/>
    <w:rsid w:val="00BB7D00"/>
    <w:rsid w:val="00BC1EE3"/>
    <w:rsid w:val="00BD1AD1"/>
    <w:rsid w:val="00BD4B89"/>
    <w:rsid w:val="00BD5922"/>
    <w:rsid w:val="00BE05D6"/>
    <w:rsid w:val="00BE4EA8"/>
    <w:rsid w:val="00BF02CB"/>
    <w:rsid w:val="00BF1071"/>
    <w:rsid w:val="00BF67B8"/>
    <w:rsid w:val="00BF6FD8"/>
    <w:rsid w:val="00C03680"/>
    <w:rsid w:val="00C054DF"/>
    <w:rsid w:val="00C111F4"/>
    <w:rsid w:val="00C152F1"/>
    <w:rsid w:val="00C200DD"/>
    <w:rsid w:val="00C21762"/>
    <w:rsid w:val="00C21FEF"/>
    <w:rsid w:val="00C24543"/>
    <w:rsid w:val="00C25200"/>
    <w:rsid w:val="00C256A2"/>
    <w:rsid w:val="00C323D4"/>
    <w:rsid w:val="00C51515"/>
    <w:rsid w:val="00C55ABE"/>
    <w:rsid w:val="00C5660B"/>
    <w:rsid w:val="00C636E8"/>
    <w:rsid w:val="00C66B72"/>
    <w:rsid w:val="00C70DAB"/>
    <w:rsid w:val="00C71977"/>
    <w:rsid w:val="00C87AC4"/>
    <w:rsid w:val="00C9567A"/>
    <w:rsid w:val="00CA308C"/>
    <w:rsid w:val="00CB212D"/>
    <w:rsid w:val="00CB2660"/>
    <w:rsid w:val="00CC5E90"/>
    <w:rsid w:val="00CC631A"/>
    <w:rsid w:val="00CD046C"/>
    <w:rsid w:val="00CD1D60"/>
    <w:rsid w:val="00CD7AAD"/>
    <w:rsid w:val="00CE076C"/>
    <w:rsid w:val="00CE5199"/>
    <w:rsid w:val="00CE66D5"/>
    <w:rsid w:val="00CF637A"/>
    <w:rsid w:val="00D03AF1"/>
    <w:rsid w:val="00D059DE"/>
    <w:rsid w:val="00D05ABD"/>
    <w:rsid w:val="00D13FCE"/>
    <w:rsid w:val="00D306D1"/>
    <w:rsid w:val="00D30800"/>
    <w:rsid w:val="00D34786"/>
    <w:rsid w:val="00D37BFC"/>
    <w:rsid w:val="00D47A8E"/>
    <w:rsid w:val="00D52D14"/>
    <w:rsid w:val="00D53718"/>
    <w:rsid w:val="00D550AB"/>
    <w:rsid w:val="00D569A4"/>
    <w:rsid w:val="00D56EE7"/>
    <w:rsid w:val="00D628D9"/>
    <w:rsid w:val="00D64CC0"/>
    <w:rsid w:val="00D712D3"/>
    <w:rsid w:val="00D71422"/>
    <w:rsid w:val="00D72DC6"/>
    <w:rsid w:val="00D741D8"/>
    <w:rsid w:val="00D7558D"/>
    <w:rsid w:val="00D81D92"/>
    <w:rsid w:val="00D81E2E"/>
    <w:rsid w:val="00D82758"/>
    <w:rsid w:val="00D876F9"/>
    <w:rsid w:val="00D878E7"/>
    <w:rsid w:val="00D92824"/>
    <w:rsid w:val="00D969D8"/>
    <w:rsid w:val="00DA214F"/>
    <w:rsid w:val="00DA489E"/>
    <w:rsid w:val="00DA7B5F"/>
    <w:rsid w:val="00DB7D92"/>
    <w:rsid w:val="00DC11E7"/>
    <w:rsid w:val="00DC7023"/>
    <w:rsid w:val="00DC769A"/>
    <w:rsid w:val="00DD3D86"/>
    <w:rsid w:val="00DE24F2"/>
    <w:rsid w:val="00DF01FF"/>
    <w:rsid w:val="00DF03D9"/>
    <w:rsid w:val="00DF1EC4"/>
    <w:rsid w:val="00E0340B"/>
    <w:rsid w:val="00E034AB"/>
    <w:rsid w:val="00E03D09"/>
    <w:rsid w:val="00E04A90"/>
    <w:rsid w:val="00E0551F"/>
    <w:rsid w:val="00E108D4"/>
    <w:rsid w:val="00E1547E"/>
    <w:rsid w:val="00E219C7"/>
    <w:rsid w:val="00E32AC3"/>
    <w:rsid w:val="00E4118C"/>
    <w:rsid w:val="00E426E3"/>
    <w:rsid w:val="00E43157"/>
    <w:rsid w:val="00E461CE"/>
    <w:rsid w:val="00E535C5"/>
    <w:rsid w:val="00E720CA"/>
    <w:rsid w:val="00E84EB5"/>
    <w:rsid w:val="00E85662"/>
    <w:rsid w:val="00E86100"/>
    <w:rsid w:val="00E8789F"/>
    <w:rsid w:val="00E93CFE"/>
    <w:rsid w:val="00E97B71"/>
    <w:rsid w:val="00EA3D34"/>
    <w:rsid w:val="00EB454D"/>
    <w:rsid w:val="00EB55AD"/>
    <w:rsid w:val="00EB5FCE"/>
    <w:rsid w:val="00EC33A0"/>
    <w:rsid w:val="00ED0941"/>
    <w:rsid w:val="00ED549D"/>
    <w:rsid w:val="00ED76BE"/>
    <w:rsid w:val="00EE00E9"/>
    <w:rsid w:val="00EF0AB7"/>
    <w:rsid w:val="00EF619B"/>
    <w:rsid w:val="00F0093A"/>
    <w:rsid w:val="00F00B55"/>
    <w:rsid w:val="00F02AD1"/>
    <w:rsid w:val="00F253CC"/>
    <w:rsid w:val="00F26B7C"/>
    <w:rsid w:val="00F30513"/>
    <w:rsid w:val="00F37106"/>
    <w:rsid w:val="00F40E13"/>
    <w:rsid w:val="00F519CF"/>
    <w:rsid w:val="00F56BA5"/>
    <w:rsid w:val="00F60E22"/>
    <w:rsid w:val="00F81395"/>
    <w:rsid w:val="00F81BB8"/>
    <w:rsid w:val="00F86290"/>
    <w:rsid w:val="00F870A9"/>
    <w:rsid w:val="00F917D1"/>
    <w:rsid w:val="00F9653B"/>
    <w:rsid w:val="00FB0FCC"/>
    <w:rsid w:val="00FB62CF"/>
    <w:rsid w:val="00FD3C3B"/>
    <w:rsid w:val="00FE07DD"/>
    <w:rsid w:val="00FE6B45"/>
    <w:rsid w:val="00FF220F"/>
    <w:rsid w:val="00FF55F3"/>
    <w:rsid w:val="00FF5851"/>
    <w:rsid w:val="00FF75F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3D1"/>
    <w:rPr>
      <w:sz w:val="16"/>
      <w:szCs w:val="16"/>
    </w:rPr>
  </w:style>
  <w:style w:type="paragraph" w:styleId="CommentText">
    <w:name w:val="annotation text"/>
    <w:basedOn w:val="Normal"/>
    <w:link w:val="CommentTextChar"/>
    <w:uiPriority w:val="99"/>
    <w:semiHidden/>
    <w:unhideWhenUsed/>
    <w:rsid w:val="00A473D1"/>
    <w:rPr>
      <w:sz w:val="20"/>
      <w:szCs w:val="20"/>
    </w:rPr>
  </w:style>
  <w:style w:type="character" w:customStyle="1" w:styleId="CommentTextChar">
    <w:name w:val="Comment Text Char"/>
    <w:basedOn w:val="DefaultParagraphFont"/>
    <w:link w:val="CommentText"/>
    <w:uiPriority w:val="99"/>
    <w:semiHidden/>
    <w:rsid w:val="00A473D1"/>
    <w:rPr>
      <w:lang w:val="en-US" w:eastAsia="en-US"/>
    </w:rPr>
  </w:style>
  <w:style w:type="paragraph" w:styleId="CommentSubject">
    <w:name w:val="annotation subject"/>
    <w:basedOn w:val="CommentText"/>
    <w:next w:val="CommentText"/>
    <w:link w:val="CommentSubjectChar"/>
    <w:uiPriority w:val="99"/>
    <w:semiHidden/>
    <w:unhideWhenUsed/>
    <w:rsid w:val="00B51E47"/>
    <w:rPr>
      <w:b/>
      <w:bCs/>
    </w:rPr>
  </w:style>
  <w:style w:type="character" w:customStyle="1" w:styleId="CommentSubjectChar">
    <w:name w:val="Comment Subject Char"/>
    <w:basedOn w:val="CommentTextChar"/>
    <w:link w:val="CommentSubject"/>
    <w:uiPriority w:val="99"/>
    <w:semiHidden/>
    <w:rsid w:val="00B51E47"/>
    <w:rPr>
      <w:b/>
      <w:bCs/>
      <w:lang w:val="en-US" w:eastAsia="en-US"/>
    </w:rPr>
  </w:style>
  <w:style w:type="character" w:customStyle="1" w:styleId="bumpedfont20">
    <w:name w:val="bumpedfont20"/>
    <w:basedOn w:val="DefaultParagraphFont"/>
    <w:rsid w:val="0053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6655">
      <w:bodyDiv w:val="1"/>
      <w:marLeft w:val="0"/>
      <w:marRight w:val="0"/>
      <w:marTop w:val="0"/>
      <w:marBottom w:val="0"/>
      <w:divBdr>
        <w:top w:val="none" w:sz="0" w:space="0" w:color="auto"/>
        <w:left w:val="none" w:sz="0" w:space="0" w:color="auto"/>
        <w:bottom w:val="none" w:sz="0" w:space="0" w:color="auto"/>
        <w:right w:val="none" w:sz="0" w:space="0" w:color="auto"/>
      </w:divBdr>
    </w:div>
    <w:div w:id="6186097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6008"/>
    <w:rsid w:val="00200821"/>
    <w:rsid w:val="00215A43"/>
    <w:rsid w:val="002F1D2B"/>
    <w:rsid w:val="00394049"/>
    <w:rsid w:val="004C7C1E"/>
    <w:rsid w:val="004F2DF8"/>
    <w:rsid w:val="0060264A"/>
    <w:rsid w:val="00624B73"/>
    <w:rsid w:val="008D1B72"/>
    <w:rsid w:val="009A261B"/>
    <w:rsid w:val="00A26F91"/>
    <w:rsid w:val="00AC15A4"/>
    <w:rsid w:val="00B0336C"/>
    <w:rsid w:val="00C12515"/>
    <w:rsid w:val="00D97ACA"/>
    <w:rsid w:val="00DD2DB0"/>
    <w:rsid w:val="00DD507F"/>
    <w:rsid w:val="00DE7283"/>
    <w:rsid w:val="00EA445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640B-AE4B-4ED5-9F24-CDB29C6D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22002</Characters>
  <Application>Microsoft Office Word</Application>
  <DocSecurity>0</DocSecurity>
  <Lines>488</Lines>
  <Paragraphs>167</Paragraphs>
  <ScaleCrop>false</ScaleCrop>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222/19</dc:title>
  <dc:creator/>
  <cp:lastModifiedBy/>
  <cp:revision>1</cp:revision>
  <dcterms:created xsi:type="dcterms:W3CDTF">2020-03-27T15:33:00Z</dcterms:created>
  <dcterms:modified xsi:type="dcterms:W3CDTF">2020-03-27T15:33:00Z</dcterms:modified>
</cp:coreProperties>
</file>