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69587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260E">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D55C1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06B2">
                              <w:rPr>
                                <w:rFonts w:asciiTheme="majorHAnsi" w:hAnsiTheme="majorHAnsi" w:cs="Arial"/>
                                <w:b/>
                                <w:color w:val="0D0D0D" w:themeColor="text1" w:themeTint="F2"/>
                                <w:sz w:val="36"/>
                                <w:szCs w:val="22"/>
                                <w:lang w:val="es-ES_tradnl"/>
                              </w:rPr>
                              <w:t>1832</w:t>
                            </w:r>
                            <w:r w:rsidR="00246D1F" w:rsidRPr="004E2649">
                              <w:rPr>
                                <w:rFonts w:asciiTheme="majorHAnsi" w:hAnsiTheme="majorHAnsi" w:cs="Arial"/>
                                <w:b/>
                                <w:color w:val="0D0D0D" w:themeColor="text1" w:themeTint="F2"/>
                                <w:sz w:val="36"/>
                                <w:szCs w:val="22"/>
                                <w:lang w:val="es-ES_tradnl"/>
                              </w:rPr>
                              <w:t>-</w:t>
                            </w:r>
                            <w:r w:rsidR="00BE06B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1FC639A"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BE06B2">
                              <w:rPr>
                                <w:rFonts w:asciiTheme="majorHAnsi" w:hAnsiTheme="majorHAnsi" w:cs="Arial"/>
                                <w:color w:val="0D0D0D" w:themeColor="text1" w:themeTint="F2"/>
                                <w:szCs w:val="22"/>
                                <w:lang w:val="es-ES_tradnl"/>
                              </w:rPr>
                              <w:t>JOSÉ ORLANDO FLORES ARAYA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C69587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260E">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D55C1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06B2">
                        <w:rPr>
                          <w:rFonts w:asciiTheme="majorHAnsi" w:hAnsiTheme="majorHAnsi" w:cs="Arial"/>
                          <w:b/>
                          <w:color w:val="0D0D0D" w:themeColor="text1" w:themeTint="F2"/>
                          <w:sz w:val="36"/>
                          <w:szCs w:val="22"/>
                          <w:lang w:val="es-ES_tradnl"/>
                        </w:rPr>
                        <w:t>1832</w:t>
                      </w:r>
                      <w:r w:rsidR="00246D1F" w:rsidRPr="004E2649">
                        <w:rPr>
                          <w:rFonts w:asciiTheme="majorHAnsi" w:hAnsiTheme="majorHAnsi" w:cs="Arial"/>
                          <w:b/>
                          <w:color w:val="0D0D0D" w:themeColor="text1" w:themeTint="F2"/>
                          <w:sz w:val="36"/>
                          <w:szCs w:val="22"/>
                          <w:lang w:val="es-ES_tradnl"/>
                        </w:rPr>
                        <w:t>-</w:t>
                      </w:r>
                      <w:r w:rsidR="00BE06B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1FC639A"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BE06B2">
                        <w:rPr>
                          <w:rFonts w:asciiTheme="majorHAnsi" w:hAnsiTheme="majorHAnsi" w:cs="Arial"/>
                          <w:color w:val="0D0D0D" w:themeColor="text1" w:themeTint="F2"/>
                          <w:szCs w:val="22"/>
                          <w:lang w:val="es-ES_tradnl"/>
                        </w:rPr>
                        <w:t>JOSÉ ORLANDO FLORES ARAYA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C461539" w:rsidR="00627C9F" w:rsidRPr="00935F06" w:rsidRDefault="007626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4FFD2E" w:rsidR="00627C9F" w:rsidRPr="00935F06" w:rsidRDefault="007626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172</w:t>
                            </w:r>
                          </w:p>
                          <w:p w14:paraId="69373ED2" w14:textId="6BBAD624" w:rsidR="00627C9F" w:rsidRPr="00B16B79" w:rsidRDefault="0076260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C461539" w:rsidR="00627C9F" w:rsidRPr="00935F06" w:rsidRDefault="007626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4FFD2E" w:rsidR="00627C9F" w:rsidRPr="00935F06" w:rsidRDefault="0076260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172</w:t>
                      </w:r>
                    </w:p>
                    <w:p w14:paraId="69373ED2" w14:textId="6BBAD624" w:rsidR="00627C9F" w:rsidRPr="00B16B79" w:rsidRDefault="0076260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113E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626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76260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A746D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E113E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626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76260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A746D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E63F3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76260E" w:rsidRPr="0076260E">
                              <w:rPr>
                                <w:rFonts w:asciiTheme="majorHAnsi" w:hAnsiTheme="majorHAnsi"/>
                                <w:color w:val="595959" w:themeColor="text1" w:themeTint="A6"/>
                                <w:sz w:val="18"/>
                                <w:szCs w:val="18"/>
                                <w:lang w:val="pt-BR"/>
                              </w:rPr>
                              <w:t>162</w:t>
                            </w:r>
                            <w:r w:rsidR="007B05C4" w:rsidRPr="0076260E">
                              <w:rPr>
                                <w:rFonts w:asciiTheme="majorHAnsi" w:hAnsiTheme="majorHAnsi"/>
                                <w:color w:val="595959" w:themeColor="text1" w:themeTint="A6"/>
                                <w:sz w:val="18"/>
                                <w:szCs w:val="18"/>
                                <w:lang w:val="pt-BR"/>
                              </w:rPr>
                              <w:t>/</w:t>
                            </w:r>
                            <w:r w:rsidR="0076260E" w:rsidRPr="0076260E">
                              <w:rPr>
                                <w:rFonts w:asciiTheme="majorHAnsi" w:hAnsiTheme="majorHAnsi"/>
                                <w:color w:val="595959" w:themeColor="text1" w:themeTint="A6"/>
                                <w:sz w:val="18"/>
                                <w:szCs w:val="18"/>
                                <w:lang w:val="pt-BR"/>
                              </w:rPr>
                              <w:t>20</w:t>
                            </w:r>
                            <w:r w:rsidR="00D03715" w:rsidRPr="0076260E">
                              <w:rPr>
                                <w:rFonts w:asciiTheme="majorHAnsi" w:hAnsiTheme="majorHAnsi"/>
                                <w:color w:val="595959" w:themeColor="text1" w:themeTint="A6"/>
                                <w:sz w:val="18"/>
                                <w:szCs w:val="18"/>
                                <w:lang w:val="pt-BR"/>
                              </w:rPr>
                              <w:t>.</w:t>
                            </w:r>
                            <w:r w:rsidR="00214755" w:rsidRPr="0076260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BE06B2">
                              <w:rPr>
                                <w:rFonts w:asciiTheme="majorHAnsi" w:hAnsiTheme="majorHAnsi"/>
                                <w:color w:val="595959" w:themeColor="text1" w:themeTint="A6"/>
                                <w:sz w:val="18"/>
                                <w:szCs w:val="18"/>
                                <w:lang w:val="es-ES_tradnl"/>
                              </w:rPr>
                              <w:t>1832-11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BE06B2">
                              <w:rPr>
                                <w:rFonts w:ascii="Cambria" w:hAnsi="Cambria"/>
                                <w:bCs/>
                                <w:color w:val="595959" w:themeColor="text1" w:themeTint="A6"/>
                                <w:sz w:val="19"/>
                                <w:szCs w:val="19"/>
                                <w:lang w:val="es-ES"/>
                              </w:rPr>
                              <w:t>res de José Orlando Flores Araya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6260E">
                              <w:rPr>
                                <w:rFonts w:asciiTheme="majorHAnsi" w:hAnsiTheme="majorHAnsi"/>
                                <w:color w:val="595959" w:themeColor="text1" w:themeTint="A6"/>
                                <w:sz w:val="18"/>
                                <w:szCs w:val="18"/>
                                <w:lang w:val="es-ES"/>
                              </w:rPr>
                              <w:t>9 de junio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E63F3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76260E" w:rsidRPr="0076260E">
                        <w:rPr>
                          <w:rFonts w:asciiTheme="majorHAnsi" w:hAnsiTheme="majorHAnsi"/>
                          <w:color w:val="595959" w:themeColor="text1" w:themeTint="A6"/>
                          <w:sz w:val="18"/>
                          <w:szCs w:val="18"/>
                          <w:lang w:val="pt-BR"/>
                        </w:rPr>
                        <w:t>162</w:t>
                      </w:r>
                      <w:r w:rsidR="007B05C4" w:rsidRPr="0076260E">
                        <w:rPr>
                          <w:rFonts w:asciiTheme="majorHAnsi" w:hAnsiTheme="majorHAnsi"/>
                          <w:color w:val="595959" w:themeColor="text1" w:themeTint="A6"/>
                          <w:sz w:val="18"/>
                          <w:szCs w:val="18"/>
                          <w:lang w:val="pt-BR"/>
                        </w:rPr>
                        <w:t>/</w:t>
                      </w:r>
                      <w:r w:rsidR="0076260E" w:rsidRPr="0076260E">
                        <w:rPr>
                          <w:rFonts w:asciiTheme="majorHAnsi" w:hAnsiTheme="majorHAnsi"/>
                          <w:color w:val="595959" w:themeColor="text1" w:themeTint="A6"/>
                          <w:sz w:val="18"/>
                          <w:szCs w:val="18"/>
                          <w:lang w:val="pt-BR"/>
                        </w:rPr>
                        <w:t>20</w:t>
                      </w:r>
                      <w:r w:rsidR="00D03715" w:rsidRPr="0076260E">
                        <w:rPr>
                          <w:rFonts w:asciiTheme="majorHAnsi" w:hAnsiTheme="majorHAnsi"/>
                          <w:color w:val="595959" w:themeColor="text1" w:themeTint="A6"/>
                          <w:sz w:val="18"/>
                          <w:szCs w:val="18"/>
                          <w:lang w:val="pt-BR"/>
                        </w:rPr>
                        <w:t>.</w:t>
                      </w:r>
                      <w:r w:rsidR="00214755" w:rsidRPr="0076260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BE06B2">
                        <w:rPr>
                          <w:rFonts w:asciiTheme="majorHAnsi" w:hAnsiTheme="majorHAnsi"/>
                          <w:color w:val="595959" w:themeColor="text1" w:themeTint="A6"/>
                          <w:sz w:val="18"/>
                          <w:szCs w:val="18"/>
                          <w:lang w:val="es-ES_tradnl"/>
                        </w:rPr>
                        <w:t>1832-11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BE06B2">
                        <w:rPr>
                          <w:rFonts w:ascii="Cambria" w:hAnsi="Cambria"/>
                          <w:bCs/>
                          <w:color w:val="595959" w:themeColor="text1" w:themeTint="A6"/>
                          <w:sz w:val="19"/>
                          <w:szCs w:val="19"/>
                          <w:lang w:val="es-ES"/>
                        </w:rPr>
                        <w:t>res de José Orlando Flores Araya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6260E">
                        <w:rPr>
                          <w:rFonts w:asciiTheme="majorHAnsi" w:hAnsiTheme="majorHAnsi"/>
                          <w:color w:val="595959" w:themeColor="text1" w:themeTint="A6"/>
                          <w:sz w:val="18"/>
                          <w:szCs w:val="18"/>
                          <w:lang w:val="es-ES"/>
                        </w:rPr>
                        <w:t>9 de junio de 2020.</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CBF7382" w:rsidR="00D72DC6" w:rsidRPr="00D72DC6" w:rsidRDefault="00A746DD" w:rsidP="00F02AD1">
                            <w:pPr>
                              <w:rPr>
                                <w:color w:val="FFFFFF" w:themeColor="background1"/>
                                <w14:textFill>
                                  <w14:noFill/>
                                </w14:textFill>
                              </w:rPr>
                            </w:pPr>
                            <w:r>
                              <w:rPr>
                                <w:noProof/>
                              </w:rPr>
                              <w:drawing>
                                <wp:inline distT="0" distB="0" distL="0" distR="0" wp14:anchorId="07BF3432" wp14:editId="4D422047">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CBF7382" w:rsidR="00D72DC6" w:rsidRPr="00D72DC6" w:rsidRDefault="00A746DD" w:rsidP="00F02AD1">
                      <w:pPr>
                        <w:rPr>
                          <w:color w:val="FFFFFF" w:themeColor="background1"/>
                          <w14:textFill>
                            <w14:noFill/>
                          </w14:textFill>
                        </w:rPr>
                      </w:pPr>
                      <w:r>
                        <w:rPr>
                          <w:noProof/>
                        </w:rPr>
                        <w:drawing>
                          <wp:inline distT="0" distB="0" distL="0" distR="0" wp14:anchorId="07BF3432" wp14:editId="4D422047">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662FB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3579AD"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4B0BE791"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BE06B2">
              <w:rPr>
                <w:rFonts w:ascii="Cambria" w:hAnsi="Cambria"/>
                <w:bCs/>
                <w:sz w:val="19"/>
                <w:szCs w:val="19"/>
                <w:lang w:val="es-ES"/>
              </w:rPr>
              <w:t>José Orlando Flores Araya</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662FB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17526A41" w:rsidR="004C2312" w:rsidRPr="00ED70FC" w:rsidRDefault="00BE06B2" w:rsidP="002625EA">
            <w:pPr>
              <w:jc w:val="both"/>
              <w:rPr>
                <w:rFonts w:ascii="Cambria" w:hAnsi="Cambria"/>
                <w:bCs/>
                <w:sz w:val="19"/>
                <w:szCs w:val="19"/>
                <w:lang w:val="es-ES"/>
              </w:rPr>
            </w:pPr>
            <w:r>
              <w:rPr>
                <w:rFonts w:ascii="Cambria" w:hAnsi="Cambria"/>
                <w:bCs/>
                <w:sz w:val="19"/>
                <w:szCs w:val="19"/>
                <w:lang w:val="es-ES"/>
              </w:rPr>
              <w:t>19 de noviembre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68F226AB" w:rsidR="004C2312" w:rsidRPr="00ED70FC" w:rsidRDefault="00BE06B2" w:rsidP="00E479A2">
            <w:pPr>
              <w:jc w:val="both"/>
              <w:rPr>
                <w:rFonts w:ascii="Cambria" w:hAnsi="Cambria"/>
                <w:bCs/>
                <w:sz w:val="19"/>
                <w:szCs w:val="19"/>
                <w:lang w:val="es-ES"/>
              </w:rPr>
            </w:pPr>
            <w:r>
              <w:rPr>
                <w:rFonts w:ascii="Cambria" w:hAnsi="Cambria"/>
                <w:bCs/>
                <w:sz w:val="19"/>
                <w:szCs w:val="19"/>
                <w:lang w:val="es-ES"/>
              </w:rPr>
              <w:t>28 de junio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3A16617" w:rsidR="00F06354" w:rsidRPr="00ED70FC" w:rsidRDefault="00BE06B2" w:rsidP="00112BDF">
            <w:pPr>
              <w:jc w:val="both"/>
              <w:rPr>
                <w:rFonts w:ascii="Cambria" w:hAnsi="Cambria"/>
                <w:bCs/>
                <w:sz w:val="19"/>
                <w:szCs w:val="19"/>
                <w:lang w:val="es-ES"/>
              </w:rPr>
            </w:pPr>
            <w:r>
              <w:rPr>
                <w:rFonts w:ascii="Cambria" w:hAnsi="Cambria"/>
                <w:bCs/>
                <w:sz w:val="19"/>
                <w:szCs w:val="19"/>
                <w:lang w:val="es-ES"/>
              </w:rPr>
              <w:t>1</w:t>
            </w:r>
            <w:r w:rsidR="00112BDF">
              <w:rPr>
                <w:rFonts w:ascii="Cambria" w:hAnsi="Cambria"/>
                <w:bCs/>
                <w:sz w:val="19"/>
                <w:szCs w:val="19"/>
                <w:lang w:val="es-ES"/>
              </w:rPr>
              <w:t>3 de abril</w:t>
            </w:r>
            <w:r>
              <w:rPr>
                <w:rFonts w:ascii="Cambria" w:hAnsi="Cambria"/>
                <w:bCs/>
                <w:sz w:val="19"/>
                <w:szCs w:val="19"/>
                <w:lang w:val="es-ES"/>
              </w:rPr>
              <w:t xml:space="preserve"> de 2018</w:t>
            </w:r>
          </w:p>
        </w:tc>
      </w:tr>
      <w:tr w:rsidR="00F06354" w:rsidRPr="006075D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6FC64D20" w:rsidR="00F06354" w:rsidRPr="007D4106" w:rsidRDefault="00112BDF" w:rsidP="00112BDF">
            <w:pPr>
              <w:jc w:val="both"/>
              <w:rPr>
                <w:rFonts w:ascii="Cambria" w:hAnsi="Cambria"/>
                <w:bCs/>
                <w:sz w:val="19"/>
                <w:szCs w:val="19"/>
                <w:lang w:val="es-ES"/>
              </w:rPr>
            </w:pPr>
            <w:r>
              <w:rPr>
                <w:rFonts w:ascii="Cambria" w:hAnsi="Cambria"/>
                <w:bCs/>
                <w:sz w:val="19"/>
                <w:szCs w:val="19"/>
                <w:lang w:val="es-ES"/>
              </w:rPr>
              <w:t xml:space="preserve">28 de agosto </w:t>
            </w:r>
            <w:r w:rsidR="00BE06B2">
              <w:rPr>
                <w:rFonts w:ascii="Cambria" w:hAnsi="Cambria"/>
                <w:bCs/>
                <w:sz w:val="19"/>
                <w:szCs w:val="19"/>
                <w:lang w:val="es-ES"/>
              </w:rPr>
              <w:t>de 2018</w:t>
            </w:r>
          </w:p>
        </w:tc>
      </w:tr>
      <w:tr w:rsidR="006075DC" w:rsidRPr="006075DC" w14:paraId="2112CE0C" w14:textId="77777777" w:rsidTr="00954B82">
        <w:tc>
          <w:tcPr>
            <w:tcW w:w="2790" w:type="dxa"/>
            <w:tcBorders>
              <w:top w:val="single" w:sz="6" w:space="0" w:color="auto"/>
              <w:bottom w:val="single" w:sz="6" w:space="0" w:color="auto"/>
            </w:tcBorders>
            <w:shd w:val="clear" w:color="auto" w:fill="386294"/>
            <w:vAlign w:val="center"/>
          </w:tcPr>
          <w:p w14:paraId="4040B64F" w14:textId="072EF764" w:rsidR="006075DC" w:rsidRPr="00EE0CAD" w:rsidRDefault="006075DC" w:rsidP="006075DC">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de archivo</w:t>
            </w:r>
          </w:p>
        </w:tc>
        <w:tc>
          <w:tcPr>
            <w:tcW w:w="6570" w:type="dxa"/>
            <w:vAlign w:val="center"/>
          </w:tcPr>
          <w:p w14:paraId="0D9ED30A" w14:textId="04BD8CE2" w:rsidR="006075DC" w:rsidRDefault="006075DC" w:rsidP="00112BDF">
            <w:pPr>
              <w:jc w:val="both"/>
              <w:rPr>
                <w:rFonts w:ascii="Cambria" w:hAnsi="Cambria"/>
                <w:bCs/>
                <w:sz w:val="19"/>
                <w:szCs w:val="19"/>
                <w:lang w:val="es-ES"/>
              </w:rPr>
            </w:pPr>
            <w:r>
              <w:rPr>
                <w:rFonts w:ascii="Cambria" w:hAnsi="Cambria"/>
                <w:bCs/>
                <w:sz w:val="19"/>
                <w:szCs w:val="19"/>
                <w:lang w:val="es-ES"/>
              </w:rPr>
              <w:t>19 de abril de 2017</w:t>
            </w:r>
          </w:p>
        </w:tc>
      </w:tr>
      <w:tr w:rsidR="006075DC" w:rsidRPr="006075DC" w14:paraId="304E4BF7" w14:textId="77777777" w:rsidTr="00954B82">
        <w:tc>
          <w:tcPr>
            <w:tcW w:w="2790" w:type="dxa"/>
            <w:tcBorders>
              <w:top w:val="single" w:sz="6" w:space="0" w:color="auto"/>
              <w:bottom w:val="single" w:sz="6" w:space="0" w:color="auto"/>
            </w:tcBorders>
            <w:shd w:val="clear" w:color="auto" w:fill="386294"/>
            <w:vAlign w:val="center"/>
          </w:tcPr>
          <w:p w14:paraId="2C182C03" w14:textId="5AD61697" w:rsidR="006075DC" w:rsidRPr="00EE0CAD" w:rsidRDefault="006075DC" w:rsidP="00F06354">
            <w:pPr>
              <w:jc w:val="center"/>
              <w:rPr>
                <w:rFonts w:ascii="Cambria" w:hAnsi="Cambria"/>
                <w:bCs/>
                <w:color w:val="FFFFFF" w:themeColor="background1"/>
                <w:sz w:val="19"/>
                <w:szCs w:val="19"/>
                <w:lang w:val="es-ES"/>
              </w:rPr>
            </w:pPr>
            <w:r w:rsidRPr="006075DC">
              <w:rPr>
                <w:rFonts w:ascii="Cambria" w:hAnsi="Cambria"/>
                <w:bCs/>
                <w:color w:val="FFFFFF" w:themeColor="background1"/>
                <w:sz w:val="19"/>
                <w:szCs w:val="19"/>
                <w:lang w:val="es-ES"/>
              </w:rPr>
              <w:t>Respuesta a la advertencia de archivo</w:t>
            </w:r>
          </w:p>
        </w:tc>
        <w:tc>
          <w:tcPr>
            <w:tcW w:w="6570" w:type="dxa"/>
            <w:vAlign w:val="center"/>
          </w:tcPr>
          <w:p w14:paraId="365D31DA" w14:textId="4EFAFF1C" w:rsidR="006075DC" w:rsidRDefault="006075DC" w:rsidP="00112BDF">
            <w:pPr>
              <w:jc w:val="both"/>
              <w:rPr>
                <w:rFonts w:ascii="Cambria" w:hAnsi="Cambria"/>
                <w:bCs/>
                <w:sz w:val="19"/>
                <w:szCs w:val="19"/>
                <w:lang w:val="es-ES"/>
              </w:rPr>
            </w:pPr>
            <w:r>
              <w:rPr>
                <w:rFonts w:ascii="Cambria" w:hAnsi="Cambria"/>
                <w:bCs/>
                <w:sz w:val="19"/>
                <w:szCs w:val="19"/>
                <w:lang w:val="es-ES"/>
              </w:rPr>
              <w:t>20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662FBC"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662FBC"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662FBC"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5B6021D6"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BE06B2">
              <w:rPr>
                <w:rFonts w:asciiTheme="majorHAnsi" w:hAnsiTheme="majorHAnsi"/>
                <w:sz w:val="19"/>
                <w:szCs w:val="19"/>
                <w:lang w:val="es-MX"/>
              </w:rPr>
              <w:t>17 de junio de 2011</w:t>
            </w:r>
          </w:p>
        </w:tc>
      </w:tr>
      <w:tr w:rsidR="00214755" w:rsidRPr="00662FBC"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177CBB09"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BE06B2">
              <w:rPr>
                <w:rFonts w:asciiTheme="majorHAnsi" w:hAnsiTheme="majorHAnsi"/>
                <w:sz w:val="19"/>
                <w:szCs w:val="19"/>
                <w:lang w:val="es-MX"/>
              </w:rPr>
              <w:t>el 19 de noviembre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7027F10C"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BE06B2">
        <w:rPr>
          <w:sz w:val="20"/>
          <w:szCs w:val="20"/>
          <w:lang w:val="es-ES"/>
        </w:rPr>
        <w:t xml:space="preserve">José Orlando Flores Araya </w:t>
      </w:r>
      <w:r w:rsidRPr="00781854">
        <w:rPr>
          <w:sz w:val="20"/>
          <w:szCs w:val="20"/>
          <w:lang w:val="es-ES"/>
        </w:rPr>
        <w:t>(o en adelante “presunta víctima”) por los daños causados por su detención extrajudicial</w:t>
      </w:r>
      <w:r w:rsidR="0074705F">
        <w:rPr>
          <w:sz w:val="20"/>
          <w:szCs w:val="20"/>
          <w:lang w:val="es-ES"/>
        </w:rPr>
        <w:t xml:space="preserve"> </w:t>
      </w:r>
      <w:r w:rsidRPr="00781854">
        <w:rPr>
          <w:sz w:val="20"/>
          <w:szCs w:val="20"/>
          <w:lang w:val="es-ES"/>
        </w:rPr>
        <w:t xml:space="preserve">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48B03C0B" w:rsidR="00996D90" w:rsidRPr="00EE0CAD"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w:t>
      </w:r>
      <w:r w:rsidR="00BE06B2">
        <w:rPr>
          <w:rFonts w:ascii="Cambria" w:hAnsi="Cambria"/>
          <w:sz w:val="20"/>
          <w:szCs w:val="20"/>
          <w:lang w:val="es-ES"/>
        </w:rPr>
        <w:t>, estudiante secundario y militante del Partido Comunista,</w:t>
      </w:r>
      <w:r w:rsidR="00050A02">
        <w:rPr>
          <w:rFonts w:ascii="Cambria" w:hAnsi="Cambria"/>
          <w:sz w:val="20"/>
          <w:szCs w:val="20"/>
          <w:lang w:val="es-ES"/>
        </w:rPr>
        <w:t xml:space="preserve"> fue detenida </w:t>
      </w:r>
      <w:r w:rsidR="00BE06B2">
        <w:rPr>
          <w:rFonts w:ascii="Cambria" w:hAnsi="Cambria"/>
          <w:sz w:val="20"/>
          <w:szCs w:val="20"/>
          <w:lang w:val="es-ES"/>
        </w:rPr>
        <w:t xml:space="preserve">el 23 de agosto de 1974 por una patrulla militar en la Escuela Industrial “Cuatro Álamos” de Maipú, liderados por el Teniente Haroldo Latorre. Queda registrado por el director de la Escuela que la pregunta víctima fue retirada para ser interrogada. La presunta víctima fue trasladada a la Escuela de Suboficiales del Ejército, donde </w:t>
      </w:r>
      <w:r w:rsidR="00CD14E4">
        <w:rPr>
          <w:rFonts w:ascii="Cambria" w:hAnsi="Cambria"/>
          <w:sz w:val="20"/>
          <w:szCs w:val="20"/>
          <w:lang w:val="es-ES"/>
        </w:rPr>
        <w:t>fue</w:t>
      </w:r>
      <w:r w:rsidR="00BE06B2">
        <w:rPr>
          <w:rFonts w:ascii="Cambria" w:hAnsi="Cambria"/>
          <w:sz w:val="20"/>
          <w:szCs w:val="20"/>
          <w:lang w:val="es-ES"/>
        </w:rPr>
        <w:t xml:space="preserve"> interrogada y sometida a apremios </w:t>
      </w:r>
      <w:r w:rsidR="00C9276F">
        <w:rPr>
          <w:rFonts w:ascii="Cambria" w:hAnsi="Cambria"/>
          <w:sz w:val="20"/>
          <w:szCs w:val="20"/>
          <w:lang w:val="es-ES"/>
        </w:rPr>
        <w:t xml:space="preserve">ilegales </w:t>
      </w:r>
      <w:r w:rsidR="00BE06B2">
        <w:rPr>
          <w:rFonts w:ascii="Cambria" w:hAnsi="Cambria"/>
          <w:sz w:val="20"/>
          <w:szCs w:val="20"/>
          <w:lang w:val="es-ES"/>
        </w:rPr>
        <w:t xml:space="preserve">por el Teniente Hernán Ramírez. </w:t>
      </w:r>
      <w:r w:rsidR="00BE06B2">
        <w:rPr>
          <w:rFonts w:ascii="Cambria" w:hAnsi="Cambria"/>
          <w:sz w:val="20"/>
          <w:szCs w:val="20"/>
          <w:lang w:val="es-ES"/>
        </w:rPr>
        <w:lastRenderedPageBreak/>
        <w:t>En paralelo allanaron su domicilio y le dijeron a su madre que s</w:t>
      </w:r>
      <w:r w:rsidR="005A2249">
        <w:rPr>
          <w:rFonts w:ascii="Cambria" w:hAnsi="Cambria"/>
          <w:sz w:val="20"/>
          <w:szCs w:val="20"/>
          <w:lang w:val="es-ES"/>
        </w:rPr>
        <w:t>u hijo se</w:t>
      </w:r>
      <w:r w:rsidR="00BE06B2">
        <w:rPr>
          <w:rFonts w:ascii="Cambria" w:hAnsi="Cambria"/>
          <w:sz w:val="20"/>
          <w:szCs w:val="20"/>
          <w:lang w:val="es-ES"/>
        </w:rPr>
        <w:t xml:space="preserve"> encontraba arrestad</w:t>
      </w:r>
      <w:r w:rsidR="004B02CE">
        <w:rPr>
          <w:rFonts w:ascii="Cambria" w:hAnsi="Cambria"/>
          <w:sz w:val="20"/>
          <w:szCs w:val="20"/>
          <w:lang w:val="es-ES"/>
        </w:rPr>
        <w:t>o</w:t>
      </w:r>
      <w:r w:rsidR="00BE06B2">
        <w:rPr>
          <w:rFonts w:ascii="Cambria" w:hAnsi="Cambria"/>
          <w:sz w:val="20"/>
          <w:szCs w:val="20"/>
          <w:lang w:val="es-ES"/>
        </w:rPr>
        <w:t>. En la noche del mismo día fue entregad</w:t>
      </w:r>
      <w:r w:rsidR="004B02CE">
        <w:rPr>
          <w:rFonts w:ascii="Cambria" w:hAnsi="Cambria"/>
          <w:sz w:val="20"/>
          <w:szCs w:val="20"/>
          <w:lang w:val="es-ES"/>
        </w:rPr>
        <w:t>o</w:t>
      </w:r>
      <w:r w:rsidR="00BE06B2">
        <w:rPr>
          <w:rFonts w:ascii="Cambria" w:hAnsi="Cambria"/>
          <w:sz w:val="20"/>
          <w:szCs w:val="20"/>
          <w:lang w:val="es-ES"/>
        </w:rPr>
        <w:t xml:space="preserve"> a la Dirección Nacional de Inteligencia (DINA), quienes l</w:t>
      </w:r>
      <w:r w:rsidR="004B02CE">
        <w:rPr>
          <w:rFonts w:ascii="Cambria" w:hAnsi="Cambria"/>
          <w:sz w:val="20"/>
          <w:szCs w:val="20"/>
          <w:lang w:val="es-ES"/>
        </w:rPr>
        <w:t>e</w:t>
      </w:r>
      <w:r w:rsidR="00BE06B2">
        <w:rPr>
          <w:rFonts w:ascii="Cambria" w:hAnsi="Cambria"/>
          <w:sz w:val="20"/>
          <w:szCs w:val="20"/>
          <w:lang w:val="es-ES"/>
        </w:rPr>
        <w:t xml:space="preserve"> trasladaron al centro de detención Villa Grimaldi, donde fue vista por última vez por un profeso</w:t>
      </w:r>
      <w:r w:rsidR="00C9276F">
        <w:rPr>
          <w:rFonts w:ascii="Cambria" w:hAnsi="Cambria"/>
          <w:sz w:val="20"/>
          <w:szCs w:val="20"/>
          <w:lang w:val="es-ES"/>
        </w:rPr>
        <w:t>r que también fue detenido en</w:t>
      </w:r>
      <w:r w:rsidR="00BE06B2">
        <w:rPr>
          <w:rFonts w:ascii="Cambria" w:hAnsi="Cambria"/>
          <w:sz w:val="20"/>
          <w:szCs w:val="20"/>
          <w:lang w:val="es-ES"/>
        </w:rPr>
        <w:t xml:space="preserve"> la Escuela y que el 29 de agosto de 1974 fue trasladado desde Villa Grimaldi a Tres Álamos y posteriormente dejado en libertad. </w:t>
      </w:r>
    </w:p>
    <w:p w14:paraId="0848B627" w14:textId="2C000580" w:rsidR="00416A7F" w:rsidRPr="00E316A8" w:rsidRDefault="0071444F" w:rsidP="00E316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5421E">
        <w:rPr>
          <w:rFonts w:ascii="Cambria" w:hAnsi="Cambria"/>
          <w:sz w:val="20"/>
          <w:szCs w:val="20"/>
          <w:lang w:val="es-ES"/>
        </w:rPr>
        <w:t xml:space="preserve">El </w:t>
      </w:r>
      <w:r w:rsidR="00BE06B2" w:rsidRPr="00B5421E">
        <w:rPr>
          <w:rFonts w:ascii="Cambria" w:hAnsi="Cambria"/>
          <w:sz w:val="20"/>
          <w:szCs w:val="20"/>
          <w:lang w:val="es-ES"/>
        </w:rPr>
        <w:t xml:space="preserve">27 de agosto de 1974 su madre interpuso un recurso de amparo del que desistió el 11 de noviembre del mismo </w:t>
      </w:r>
      <w:r w:rsidR="008B1A72" w:rsidRPr="00B5421E">
        <w:rPr>
          <w:rFonts w:ascii="Cambria" w:hAnsi="Cambria"/>
          <w:sz w:val="20"/>
          <w:szCs w:val="20"/>
          <w:lang w:val="es-ES"/>
        </w:rPr>
        <w:t>año, y al día siguiente presentó una denuncia por presunta desgracia ante el Séptimo Juzgado del Crimen, causa en la que fueron interrogados tanto</w:t>
      </w:r>
      <w:r w:rsidR="00EE3981" w:rsidRPr="00B5421E">
        <w:rPr>
          <w:rFonts w:ascii="Cambria" w:hAnsi="Cambria"/>
          <w:sz w:val="20"/>
          <w:szCs w:val="20"/>
          <w:lang w:val="es-ES"/>
        </w:rPr>
        <w:t xml:space="preserve"> la Secretaria Ejecutiva de Detenidos como el Ministerio del Interior, cuales informaron al Tribunal que no tenían antecedentes de la presunta víctima</w:t>
      </w:r>
      <w:r w:rsidR="008B1A72" w:rsidRPr="00B5421E">
        <w:rPr>
          <w:rFonts w:ascii="Cambria" w:hAnsi="Cambria"/>
          <w:sz w:val="20"/>
          <w:szCs w:val="20"/>
          <w:lang w:val="es-ES"/>
        </w:rPr>
        <w:t>.</w:t>
      </w:r>
      <w:r w:rsidR="00EE3981" w:rsidRPr="00B5421E">
        <w:rPr>
          <w:rFonts w:ascii="Cambria" w:hAnsi="Cambria"/>
          <w:sz w:val="20"/>
          <w:szCs w:val="20"/>
          <w:lang w:val="es-ES"/>
        </w:rPr>
        <w:t xml:space="preserve"> </w:t>
      </w:r>
      <w:r w:rsidR="008B1A72" w:rsidRPr="00B5421E">
        <w:rPr>
          <w:rFonts w:ascii="Cambria" w:hAnsi="Cambria"/>
          <w:sz w:val="20"/>
          <w:szCs w:val="20"/>
          <w:lang w:val="es-ES"/>
        </w:rPr>
        <w:t xml:space="preserve">El 4 de octubre de 1976 se decretó el cierre del sumario y el sobreseimiento de la causa por no acreditar la existencia del delito, </w:t>
      </w:r>
      <w:r w:rsidR="00B45DC2" w:rsidRPr="00B5421E">
        <w:rPr>
          <w:rFonts w:ascii="Cambria" w:hAnsi="Cambria"/>
          <w:sz w:val="20"/>
          <w:szCs w:val="20"/>
          <w:lang w:val="es-ES"/>
        </w:rPr>
        <w:t>resolución aprobada por la Corte de Apelaciones.</w:t>
      </w:r>
      <w:r w:rsidR="003B5862" w:rsidRPr="00B5421E">
        <w:rPr>
          <w:rFonts w:ascii="Cambria" w:hAnsi="Cambria"/>
          <w:sz w:val="20"/>
          <w:szCs w:val="20"/>
          <w:lang w:val="es-ES"/>
        </w:rPr>
        <w:t xml:space="preserve"> El 10 de enero de 1979 se repuso la causa en estado sumario</w:t>
      </w:r>
      <w:r w:rsidR="004030B4" w:rsidRPr="00B5421E">
        <w:rPr>
          <w:rFonts w:ascii="Cambria" w:hAnsi="Cambria"/>
          <w:sz w:val="20"/>
          <w:szCs w:val="20"/>
          <w:lang w:val="es-ES"/>
        </w:rPr>
        <w:t xml:space="preserve"> y se dejó sin efecto el sobreseimiento</w:t>
      </w:r>
      <w:r w:rsidR="003B5862" w:rsidRPr="00B5421E">
        <w:rPr>
          <w:rFonts w:ascii="Cambria" w:hAnsi="Cambria"/>
          <w:sz w:val="20"/>
          <w:szCs w:val="20"/>
          <w:lang w:val="es-ES"/>
        </w:rPr>
        <w:t>.</w:t>
      </w:r>
      <w:r w:rsidR="004030B4" w:rsidRPr="00B5421E">
        <w:rPr>
          <w:rFonts w:ascii="Cambria" w:hAnsi="Cambria"/>
          <w:sz w:val="20"/>
          <w:szCs w:val="20"/>
          <w:lang w:val="es-ES"/>
        </w:rPr>
        <w:t xml:space="preserve"> </w:t>
      </w:r>
      <w:r w:rsidR="00B5421E">
        <w:rPr>
          <w:rFonts w:ascii="Cambria" w:hAnsi="Cambria"/>
          <w:sz w:val="20"/>
          <w:szCs w:val="20"/>
          <w:lang w:val="es-ES"/>
        </w:rPr>
        <w:t xml:space="preserve">El 20 de julio de 1979, se resolvió que la tramitación de la causa prosiguiera a cargo de un </w:t>
      </w:r>
      <w:r w:rsidR="008B1A72" w:rsidRPr="00B5421E">
        <w:rPr>
          <w:rFonts w:ascii="Cambria" w:hAnsi="Cambria"/>
          <w:sz w:val="20"/>
          <w:szCs w:val="20"/>
          <w:lang w:val="es-ES"/>
        </w:rPr>
        <w:t>Ministro en Visita. El 2 de noviembre de 1979</w:t>
      </w:r>
      <w:r w:rsidR="00B5421E">
        <w:rPr>
          <w:rFonts w:ascii="Cambria" w:hAnsi="Cambria"/>
          <w:sz w:val="20"/>
          <w:szCs w:val="20"/>
          <w:lang w:val="es-ES"/>
        </w:rPr>
        <w:t xml:space="preserve">, este </w:t>
      </w:r>
      <w:r w:rsidR="008B1A72" w:rsidRPr="00B5421E">
        <w:rPr>
          <w:rFonts w:ascii="Cambria" w:hAnsi="Cambria"/>
          <w:sz w:val="20"/>
          <w:szCs w:val="20"/>
          <w:lang w:val="es-ES"/>
        </w:rPr>
        <w:t xml:space="preserve">determinó que José Flores Araya </w:t>
      </w:r>
      <w:r w:rsidR="00B5421E">
        <w:rPr>
          <w:rFonts w:ascii="Cambria" w:hAnsi="Cambria"/>
          <w:sz w:val="20"/>
          <w:szCs w:val="20"/>
          <w:lang w:val="es-ES"/>
        </w:rPr>
        <w:t>había sido</w:t>
      </w:r>
      <w:r w:rsidR="008B1A72" w:rsidRPr="00B5421E">
        <w:rPr>
          <w:rFonts w:ascii="Cambria" w:hAnsi="Cambria"/>
          <w:sz w:val="20"/>
          <w:szCs w:val="20"/>
          <w:lang w:val="es-ES"/>
        </w:rPr>
        <w:t xml:space="preserve"> detenido por el Teniente Latorre y trasladado a la Escuela de Suboficiales del Ejército y que no exist</w:t>
      </w:r>
      <w:r w:rsidR="006608C8">
        <w:rPr>
          <w:rFonts w:ascii="Cambria" w:hAnsi="Cambria"/>
          <w:sz w:val="20"/>
          <w:szCs w:val="20"/>
          <w:lang w:val="es-ES"/>
        </w:rPr>
        <w:t>ía</w:t>
      </w:r>
      <w:r w:rsidR="008B1A72" w:rsidRPr="00B5421E">
        <w:rPr>
          <w:rFonts w:ascii="Cambria" w:hAnsi="Cambria"/>
          <w:sz w:val="20"/>
          <w:szCs w:val="20"/>
          <w:lang w:val="es-ES"/>
        </w:rPr>
        <w:t>n antecedentes concretos de su posterior puesta en libertad. Por estar involucrados militares</w:t>
      </w:r>
      <w:r w:rsidR="006608C8">
        <w:rPr>
          <w:rFonts w:ascii="Cambria" w:hAnsi="Cambria"/>
          <w:sz w:val="20"/>
          <w:szCs w:val="20"/>
          <w:lang w:val="es-ES"/>
        </w:rPr>
        <w:t>, se remitió</w:t>
      </w:r>
      <w:r w:rsidR="008B1A72" w:rsidRPr="00B5421E">
        <w:rPr>
          <w:rFonts w:ascii="Cambria" w:hAnsi="Cambria"/>
          <w:sz w:val="20"/>
          <w:szCs w:val="20"/>
          <w:lang w:val="es-ES"/>
        </w:rPr>
        <w:t xml:space="preserve"> la causa a la Justicia Militar, la que orden</w:t>
      </w:r>
      <w:r w:rsidR="00823377">
        <w:rPr>
          <w:rFonts w:ascii="Cambria" w:hAnsi="Cambria"/>
          <w:sz w:val="20"/>
          <w:szCs w:val="20"/>
          <w:lang w:val="es-ES"/>
        </w:rPr>
        <w:t>ó</w:t>
      </w:r>
      <w:r w:rsidR="008B1A72" w:rsidRPr="00B5421E">
        <w:rPr>
          <w:rFonts w:ascii="Cambria" w:hAnsi="Cambria"/>
          <w:sz w:val="20"/>
          <w:szCs w:val="20"/>
          <w:lang w:val="es-ES"/>
        </w:rPr>
        <w:t xml:space="preserve"> instruir sumario. El 8 de mayo de 1982 </w:t>
      </w:r>
      <w:r w:rsidR="00756C70">
        <w:rPr>
          <w:rFonts w:ascii="Cambria" w:hAnsi="Cambria"/>
          <w:sz w:val="20"/>
          <w:szCs w:val="20"/>
          <w:lang w:val="es-ES"/>
        </w:rPr>
        <w:t xml:space="preserve">el Fiscal señaló que efectivamente </w:t>
      </w:r>
      <w:r w:rsidR="008B1A72" w:rsidRPr="00B5421E">
        <w:rPr>
          <w:rFonts w:ascii="Cambria" w:hAnsi="Cambria"/>
          <w:sz w:val="20"/>
          <w:szCs w:val="20"/>
          <w:lang w:val="es-ES"/>
        </w:rPr>
        <w:t xml:space="preserve">José Flores Araya </w:t>
      </w:r>
      <w:r w:rsidR="00756C70">
        <w:rPr>
          <w:rFonts w:ascii="Cambria" w:hAnsi="Cambria"/>
          <w:sz w:val="20"/>
          <w:szCs w:val="20"/>
          <w:lang w:val="es-ES"/>
        </w:rPr>
        <w:t>había sido</w:t>
      </w:r>
      <w:r w:rsidR="008B1A72" w:rsidRPr="00B5421E">
        <w:rPr>
          <w:rFonts w:ascii="Cambria" w:hAnsi="Cambria"/>
          <w:sz w:val="20"/>
          <w:szCs w:val="20"/>
          <w:lang w:val="es-ES"/>
        </w:rPr>
        <w:t xml:space="preserve"> detenido por el Teniente Latorre, pero </w:t>
      </w:r>
      <w:r w:rsidR="00E316A8">
        <w:rPr>
          <w:rFonts w:ascii="Cambria" w:hAnsi="Cambria"/>
          <w:sz w:val="20"/>
          <w:szCs w:val="20"/>
          <w:lang w:val="es-ES"/>
        </w:rPr>
        <w:t xml:space="preserve">que </w:t>
      </w:r>
      <w:r w:rsidR="008B1A72" w:rsidRPr="00B5421E">
        <w:rPr>
          <w:rFonts w:ascii="Cambria" w:hAnsi="Cambria"/>
          <w:sz w:val="20"/>
          <w:szCs w:val="20"/>
          <w:lang w:val="es-ES"/>
        </w:rPr>
        <w:t>no se</w:t>
      </w:r>
      <w:r w:rsidR="00E316A8">
        <w:rPr>
          <w:rFonts w:ascii="Cambria" w:hAnsi="Cambria"/>
          <w:sz w:val="20"/>
          <w:szCs w:val="20"/>
          <w:lang w:val="es-ES"/>
        </w:rPr>
        <w:t xml:space="preserve"> había</w:t>
      </w:r>
      <w:r w:rsidR="008B1A72" w:rsidRPr="00B5421E">
        <w:rPr>
          <w:rFonts w:ascii="Cambria" w:hAnsi="Cambria"/>
          <w:sz w:val="20"/>
          <w:szCs w:val="20"/>
          <w:lang w:val="es-ES"/>
        </w:rPr>
        <w:t xml:space="preserve"> logra</w:t>
      </w:r>
      <w:r w:rsidR="00E316A8">
        <w:rPr>
          <w:rFonts w:ascii="Cambria" w:hAnsi="Cambria"/>
          <w:sz w:val="20"/>
          <w:szCs w:val="20"/>
          <w:lang w:val="es-ES"/>
        </w:rPr>
        <w:t>do</w:t>
      </w:r>
      <w:r w:rsidR="008B1A72" w:rsidRPr="00B5421E">
        <w:rPr>
          <w:rFonts w:ascii="Cambria" w:hAnsi="Cambria"/>
          <w:sz w:val="20"/>
          <w:szCs w:val="20"/>
          <w:lang w:val="es-ES"/>
        </w:rPr>
        <w:t xml:space="preserve"> acreditar la participación de ningún uniformado o miembro de la DINA en su presunta desgracia</w:t>
      </w:r>
      <w:r w:rsidR="00E316A8">
        <w:rPr>
          <w:rFonts w:ascii="Cambria" w:hAnsi="Cambria"/>
          <w:sz w:val="20"/>
          <w:szCs w:val="20"/>
          <w:lang w:val="es-ES"/>
        </w:rPr>
        <w:t>,</w:t>
      </w:r>
      <w:r w:rsidR="008B1A72" w:rsidRPr="00B5421E">
        <w:rPr>
          <w:rFonts w:ascii="Cambria" w:hAnsi="Cambria"/>
          <w:sz w:val="20"/>
          <w:szCs w:val="20"/>
          <w:lang w:val="es-ES"/>
        </w:rPr>
        <w:t xml:space="preserve"> por lo que no resulta</w:t>
      </w:r>
      <w:r w:rsidR="00E316A8">
        <w:rPr>
          <w:rFonts w:ascii="Cambria" w:hAnsi="Cambria"/>
          <w:sz w:val="20"/>
          <w:szCs w:val="20"/>
          <w:lang w:val="es-ES"/>
        </w:rPr>
        <w:t>ba</w:t>
      </w:r>
      <w:r w:rsidR="008B1A72" w:rsidRPr="00B5421E">
        <w:rPr>
          <w:rFonts w:ascii="Cambria" w:hAnsi="Cambria"/>
          <w:sz w:val="20"/>
          <w:szCs w:val="20"/>
          <w:lang w:val="es-ES"/>
        </w:rPr>
        <w:t xml:space="preserve"> justificada la perpetración del delito</w:t>
      </w:r>
      <w:r w:rsidR="00E316A8">
        <w:rPr>
          <w:rFonts w:ascii="Cambria" w:hAnsi="Cambria"/>
          <w:sz w:val="20"/>
          <w:szCs w:val="20"/>
          <w:lang w:val="es-ES"/>
        </w:rPr>
        <w:t>. Se s</w:t>
      </w:r>
      <w:r w:rsidR="008B1A72" w:rsidRPr="00E316A8">
        <w:rPr>
          <w:rFonts w:ascii="Cambria" w:hAnsi="Cambria"/>
          <w:sz w:val="20"/>
          <w:szCs w:val="20"/>
          <w:lang w:val="es-ES"/>
        </w:rPr>
        <w:t xml:space="preserve">obreseyó temporalmente la causa. </w:t>
      </w:r>
      <w:r w:rsidR="00076677" w:rsidRPr="00E316A8">
        <w:rPr>
          <w:rFonts w:ascii="Cambria" w:hAnsi="Cambria"/>
          <w:sz w:val="20"/>
          <w:szCs w:val="20"/>
          <w:lang w:val="es-ES"/>
        </w:rPr>
        <w:t xml:space="preserve">Dicha resolución </w:t>
      </w:r>
      <w:r w:rsidR="00E316A8">
        <w:rPr>
          <w:rFonts w:ascii="Cambria" w:hAnsi="Cambria"/>
          <w:sz w:val="20"/>
          <w:szCs w:val="20"/>
          <w:lang w:val="es-ES"/>
        </w:rPr>
        <w:t>fue</w:t>
      </w:r>
      <w:r w:rsidR="00076677" w:rsidRPr="00E316A8">
        <w:rPr>
          <w:rFonts w:ascii="Cambria" w:hAnsi="Cambria"/>
          <w:sz w:val="20"/>
          <w:szCs w:val="20"/>
          <w:lang w:val="es-ES"/>
        </w:rPr>
        <w:t xml:space="preserve"> aprobada por el Juez Militar y confirmada por la Corte Marcial. Se presentó </w:t>
      </w:r>
      <w:r w:rsidR="005045E2">
        <w:rPr>
          <w:rFonts w:ascii="Cambria" w:hAnsi="Cambria"/>
          <w:sz w:val="20"/>
          <w:szCs w:val="20"/>
          <w:lang w:val="es-ES"/>
        </w:rPr>
        <w:t xml:space="preserve">también </w:t>
      </w:r>
      <w:r w:rsidR="00076677" w:rsidRPr="00E316A8">
        <w:rPr>
          <w:rFonts w:ascii="Cambria" w:hAnsi="Cambria"/>
          <w:sz w:val="20"/>
          <w:szCs w:val="20"/>
          <w:lang w:val="es-ES"/>
        </w:rPr>
        <w:t xml:space="preserve">un recurso de queja </w:t>
      </w:r>
      <w:r w:rsidR="005045E2">
        <w:rPr>
          <w:rFonts w:ascii="Cambria" w:hAnsi="Cambria"/>
          <w:sz w:val="20"/>
          <w:szCs w:val="20"/>
          <w:lang w:val="es-ES"/>
        </w:rPr>
        <w:t>en contra de la Primera Fiscalía Militar de Santiago</w:t>
      </w:r>
      <w:r w:rsidR="005045E2" w:rsidRPr="00E316A8">
        <w:rPr>
          <w:rFonts w:ascii="Cambria" w:hAnsi="Cambria"/>
          <w:sz w:val="20"/>
          <w:szCs w:val="20"/>
          <w:lang w:val="es-ES"/>
        </w:rPr>
        <w:t xml:space="preserve"> </w:t>
      </w:r>
      <w:r w:rsidR="00076677" w:rsidRPr="00E316A8">
        <w:rPr>
          <w:rFonts w:ascii="Cambria" w:hAnsi="Cambria"/>
          <w:sz w:val="20"/>
          <w:szCs w:val="20"/>
          <w:lang w:val="es-ES"/>
        </w:rPr>
        <w:t>ante la Corte Suprema</w:t>
      </w:r>
      <w:r w:rsidR="005045E2">
        <w:rPr>
          <w:rFonts w:ascii="Cambria" w:hAnsi="Cambria"/>
          <w:sz w:val="20"/>
          <w:szCs w:val="20"/>
          <w:lang w:val="es-ES"/>
        </w:rPr>
        <w:t xml:space="preserve"> </w:t>
      </w:r>
      <w:r w:rsidR="00076677" w:rsidRPr="00E316A8">
        <w:rPr>
          <w:rFonts w:ascii="Cambria" w:hAnsi="Cambria"/>
          <w:sz w:val="20"/>
          <w:szCs w:val="20"/>
          <w:lang w:val="es-ES"/>
        </w:rPr>
        <w:t xml:space="preserve">y ésta no dio a lugar a la presentación. </w:t>
      </w:r>
    </w:p>
    <w:p w14:paraId="57972C0A" w14:textId="690E6FD4" w:rsidR="003D5EA8" w:rsidRDefault="00076677"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3 de marzo de 200</w:t>
      </w:r>
      <w:r w:rsidR="00E9160B">
        <w:rPr>
          <w:rFonts w:ascii="Cambria" w:hAnsi="Cambria"/>
          <w:sz w:val="20"/>
          <w:szCs w:val="20"/>
          <w:lang w:val="es-ES"/>
        </w:rPr>
        <w:t>0</w:t>
      </w:r>
      <w:r>
        <w:rPr>
          <w:rFonts w:ascii="Cambria" w:hAnsi="Cambria"/>
          <w:sz w:val="20"/>
          <w:szCs w:val="20"/>
          <w:lang w:val="es-ES"/>
        </w:rPr>
        <w:t xml:space="preserve"> </w:t>
      </w:r>
      <w:r w:rsidR="00DC46AF">
        <w:rPr>
          <w:rFonts w:ascii="Cambria" w:hAnsi="Cambria"/>
          <w:sz w:val="20"/>
          <w:szCs w:val="20"/>
          <w:lang w:val="es-ES"/>
        </w:rPr>
        <w:t>se inici</w:t>
      </w:r>
      <w:r w:rsidR="00FA3CA9">
        <w:rPr>
          <w:rFonts w:ascii="Cambria" w:hAnsi="Cambria"/>
          <w:sz w:val="20"/>
          <w:szCs w:val="20"/>
          <w:lang w:val="es-ES"/>
        </w:rPr>
        <w:t>ó la</w:t>
      </w:r>
      <w:r>
        <w:rPr>
          <w:rFonts w:ascii="Cambria" w:hAnsi="Cambria"/>
          <w:sz w:val="20"/>
          <w:szCs w:val="20"/>
          <w:lang w:val="es-ES"/>
        </w:rPr>
        <w:t xml:space="preserve"> causa civil en el 2</w:t>
      </w:r>
      <w:r w:rsidR="00EA67B7">
        <w:rPr>
          <w:rFonts w:ascii="Cambria" w:hAnsi="Cambria"/>
          <w:sz w:val="20"/>
          <w:szCs w:val="20"/>
          <w:vertAlign w:val="superscript"/>
          <w:lang w:val="es-ES"/>
        </w:rPr>
        <w:t>o</w:t>
      </w:r>
      <w:r w:rsidR="00DC46AF">
        <w:rPr>
          <w:rFonts w:ascii="Cambria" w:hAnsi="Cambria"/>
          <w:sz w:val="20"/>
          <w:szCs w:val="20"/>
          <w:lang w:val="es-ES"/>
        </w:rPr>
        <w:t xml:space="preserve"> Juzgado Civil de Santiago, cuya sentencia se dict</w:t>
      </w:r>
      <w:r w:rsidR="00FA3CA9">
        <w:rPr>
          <w:rFonts w:ascii="Cambria" w:hAnsi="Cambria"/>
          <w:sz w:val="20"/>
          <w:szCs w:val="20"/>
          <w:lang w:val="es-ES"/>
        </w:rPr>
        <w:t>ó</w:t>
      </w:r>
      <w:r w:rsidR="00DC46AF">
        <w:rPr>
          <w:rFonts w:ascii="Cambria" w:hAnsi="Cambria"/>
          <w:sz w:val="20"/>
          <w:szCs w:val="20"/>
          <w:lang w:val="es-ES"/>
        </w:rPr>
        <w:t xml:space="preserve"> el </w:t>
      </w:r>
      <w:r>
        <w:rPr>
          <w:rFonts w:ascii="Cambria" w:hAnsi="Cambria"/>
          <w:sz w:val="20"/>
          <w:szCs w:val="20"/>
          <w:lang w:val="es-ES"/>
        </w:rPr>
        <w:t>22 de julio de 2004</w:t>
      </w:r>
      <w:r w:rsidR="00DC46AF">
        <w:rPr>
          <w:rFonts w:ascii="Cambria" w:hAnsi="Cambria"/>
          <w:sz w:val="20"/>
          <w:szCs w:val="20"/>
          <w:lang w:val="es-ES"/>
        </w:rPr>
        <w:t xml:space="preserve"> denegando la pretensión de los </w:t>
      </w:r>
      <w:r w:rsidR="00EA67B7">
        <w:rPr>
          <w:rFonts w:ascii="Cambria" w:hAnsi="Cambria"/>
          <w:sz w:val="20"/>
          <w:szCs w:val="20"/>
          <w:lang w:val="es-ES"/>
        </w:rPr>
        <w:t>familiares de la presunta víctima</w:t>
      </w:r>
      <w:r w:rsidR="00DC46AF">
        <w:rPr>
          <w:rFonts w:ascii="Cambria" w:hAnsi="Cambria"/>
          <w:sz w:val="20"/>
          <w:szCs w:val="20"/>
          <w:lang w:val="es-ES"/>
        </w:rPr>
        <w:t xml:space="preserve"> a una in</w:t>
      </w:r>
      <w:r w:rsidR="007D4106">
        <w:rPr>
          <w:rFonts w:ascii="Cambria" w:hAnsi="Cambria"/>
          <w:sz w:val="20"/>
          <w:szCs w:val="20"/>
          <w:lang w:val="es-ES"/>
        </w:rPr>
        <w:t>demnización por el daño causado en base a la prescripción de las acciones civiles.</w:t>
      </w:r>
      <w:r w:rsidR="00E9160B">
        <w:rPr>
          <w:rFonts w:ascii="Cambria" w:hAnsi="Cambria"/>
          <w:sz w:val="20"/>
          <w:szCs w:val="20"/>
          <w:lang w:val="es-ES"/>
        </w:rPr>
        <w:t xml:space="preserve"> L</w:t>
      </w:r>
      <w:r w:rsidR="00DC46AF">
        <w:rPr>
          <w:rFonts w:ascii="Cambria" w:hAnsi="Cambria"/>
          <w:sz w:val="20"/>
          <w:szCs w:val="20"/>
          <w:lang w:val="es-ES"/>
        </w:rPr>
        <w:t>a Corte de Apelaciones de Santiago revoc</w:t>
      </w:r>
      <w:r w:rsidR="00FA3CA9">
        <w:rPr>
          <w:rFonts w:ascii="Cambria" w:hAnsi="Cambria"/>
          <w:sz w:val="20"/>
          <w:szCs w:val="20"/>
          <w:lang w:val="es-ES"/>
        </w:rPr>
        <w:t>ó</w:t>
      </w:r>
      <w:r w:rsidR="00DC46AF">
        <w:rPr>
          <w:rFonts w:ascii="Cambria" w:hAnsi="Cambria"/>
          <w:sz w:val="20"/>
          <w:szCs w:val="20"/>
          <w:lang w:val="es-ES"/>
        </w:rPr>
        <w:t xml:space="preserve"> </w:t>
      </w:r>
      <w:r w:rsidR="00393274">
        <w:rPr>
          <w:rFonts w:ascii="Cambria" w:hAnsi="Cambria"/>
          <w:sz w:val="20"/>
          <w:szCs w:val="20"/>
          <w:lang w:val="es-ES"/>
        </w:rPr>
        <w:t>la</w:t>
      </w:r>
      <w:r w:rsidR="00DC46AF">
        <w:rPr>
          <w:rFonts w:ascii="Cambria" w:hAnsi="Cambria"/>
          <w:sz w:val="20"/>
          <w:szCs w:val="20"/>
          <w:lang w:val="es-ES"/>
        </w:rPr>
        <w:t xml:space="preserve"> sentencia de primera instancia</w:t>
      </w:r>
      <w:r w:rsidR="00FA3CA9">
        <w:rPr>
          <w:rFonts w:ascii="Cambria" w:hAnsi="Cambria"/>
          <w:sz w:val="20"/>
          <w:szCs w:val="20"/>
          <w:lang w:val="es-ES"/>
        </w:rPr>
        <w:t>,</w:t>
      </w:r>
      <w:r w:rsidR="00DC46AF">
        <w:rPr>
          <w:rFonts w:ascii="Cambria" w:hAnsi="Cambria"/>
          <w:sz w:val="20"/>
          <w:szCs w:val="20"/>
          <w:lang w:val="es-ES"/>
        </w:rPr>
        <w:t xml:space="preserve"> obligando al Estado a </w:t>
      </w:r>
      <w:r w:rsidR="00724891">
        <w:rPr>
          <w:rFonts w:ascii="Cambria" w:hAnsi="Cambria"/>
          <w:sz w:val="20"/>
          <w:szCs w:val="20"/>
          <w:lang w:val="es-ES"/>
        </w:rPr>
        <w:t xml:space="preserve">indemnizar. Contra este fallo el </w:t>
      </w:r>
      <w:r w:rsidR="00EB2FEF">
        <w:rPr>
          <w:rFonts w:ascii="Cambria" w:hAnsi="Cambria"/>
          <w:sz w:val="20"/>
          <w:szCs w:val="20"/>
          <w:lang w:val="es-ES"/>
        </w:rPr>
        <w:t xml:space="preserve">Fisco de Chile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112BDF">
        <w:rPr>
          <w:rFonts w:ascii="Cambria" w:hAnsi="Cambria"/>
          <w:sz w:val="20"/>
          <w:szCs w:val="20"/>
          <w:lang w:val="es-ES"/>
        </w:rPr>
        <w:t>25</w:t>
      </w:r>
      <w:r>
        <w:rPr>
          <w:rFonts w:ascii="Cambria" w:hAnsi="Cambria"/>
          <w:sz w:val="20"/>
          <w:szCs w:val="20"/>
          <w:lang w:val="es-ES"/>
        </w:rPr>
        <w:t xml:space="preserve"> de mayo de 2011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Con fecha </w:t>
      </w:r>
      <w:r>
        <w:rPr>
          <w:rFonts w:ascii="Cambria" w:hAnsi="Cambria"/>
          <w:sz w:val="20"/>
          <w:szCs w:val="20"/>
          <w:lang w:val="es-ES"/>
        </w:rPr>
        <w:t xml:space="preserve">17 de junio de 2011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sidR="00DC46AF">
        <w:rPr>
          <w:rFonts w:ascii="Cambria" w:hAnsi="Cambria"/>
          <w:sz w:val="20"/>
          <w:szCs w:val="20"/>
          <w:lang w:val="es-ES"/>
        </w:rPr>
        <w:t xml:space="preserve"> </w:t>
      </w:r>
    </w:p>
    <w:p w14:paraId="3BB39E3E" w14:textId="1146043E" w:rsidR="00076677" w:rsidRPr="00454B04" w:rsidRDefault="00076677"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A22D9">
        <w:rPr>
          <w:rFonts w:ascii="Cambria" w:hAnsi="Cambria"/>
          <w:sz w:val="20"/>
          <w:szCs w:val="20"/>
          <w:lang w:val="es-ES"/>
        </w:rPr>
        <w:t xml:space="preserve">Por su parte, el Estado señala que la petición carece de un relato claro y coherente que permita una compresión </w:t>
      </w:r>
      <w:r>
        <w:rPr>
          <w:rFonts w:ascii="Cambria" w:hAnsi="Cambria"/>
          <w:sz w:val="20"/>
          <w:szCs w:val="20"/>
          <w:lang w:val="es-ES"/>
        </w:rPr>
        <w:t xml:space="preserve">adecuada </w:t>
      </w:r>
      <w:r w:rsidRPr="00AA22D9">
        <w:rPr>
          <w:rFonts w:ascii="Cambria" w:hAnsi="Cambria"/>
          <w:sz w:val="20"/>
          <w:szCs w:val="20"/>
          <w:lang w:val="es-ES"/>
        </w:rPr>
        <w:t xml:space="preserve">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 </w:t>
      </w:r>
      <w:r>
        <w:rPr>
          <w:rFonts w:ascii="Cambria" w:hAnsi="Cambria"/>
          <w:sz w:val="20"/>
          <w:szCs w:val="20"/>
          <w:lang w:val="es-ES"/>
        </w:rPr>
        <w:t xml:space="preserve">agosto </w:t>
      </w:r>
      <w:r w:rsidRPr="00AA22D9">
        <w:rPr>
          <w:rFonts w:ascii="Cambria" w:hAnsi="Cambria"/>
          <w:sz w:val="20"/>
          <w:szCs w:val="20"/>
          <w:lang w:val="es-ES"/>
        </w:rPr>
        <w:t xml:space="preserve">de 1974, consistentes en la vulneración de los derechos a la vida, a la integridad personal y a la libertad personal de la presunta víctima, el Estado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proofErr w:type="spellStart"/>
      <w:r w:rsidRPr="00235376">
        <w:rPr>
          <w:rFonts w:ascii="Cambria" w:hAnsi="Cambria"/>
          <w:i/>
          <w:sz w:val="20"/>
          <w:szCs w:val="20"/>
          <w:lang w:val="es-ES"/>
        </w:rPr>
        <w:t>ratione</w:t>
      </w:r>
      <w:proofErr w:type="spellEnd"/>
      <w:r w:rsidRPr="00235376">
        <w:rPr>
          <w:rFonts w:ascii="Cambria" w:hAnsi="Cambria"/>
          <w:i/>
          <w:sz w:val="20"/>
          <w:szCs w:val="20"/>
          <w:lang w:val="es-ES"/>
        </w:rPr>
        <w:t xml:space="preserve"> </w:t>
      </w:r>
      <w:proofErr w:type="spellStart"/>
      <w:r w:rsidRPr="00235376">
        <w:rPr>
          <w:rFonts w:ascii="Cambria" w:hAnsi="Cambria"/>
          <w:i/>
          <w:sz w:val="20"/>
          <w:szCs w:val="20"/>
          <w:lang w:val="es-ES"/>
        </w:rPr>
        <w:t>temporis</w:t>
      </w:r>
      <w:proofErr w:type="spellEnd"/>
      <w:r>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283D4189"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w:t>
      </w:r>
      <w:r w:rsidR="00076677">
        <w:rPr>
          <w:rFonts w:ascii="Cambria" w:hAnsi="Cambria"/>
          <w:sz w:val="20"/>
          <w:szCs w:val="20"/>
          <w:lang w:val="es-ES"/>
        </w:rPr>
        <w:t xml:space="preserve"> </w:t>
      </w:r>
      <w:r w:rsidR="002A1850">
        <w:rPr>
          <w:rFonts w:ascii="Cambria" w:hAnsi="Cambria"/>
          <w:sz w:val="20"/>
          <w:szCs w:val="20"/>
          <w:lang w:val="es-ES"/>
        </w:rPr>
        <w:t>de José Orlando Flores Araya</w:t>
      </w:r>
      <w:r w:rsidRPr="003D225D">
        <w:rPr>
          <w:rFonts w:ascii="Cambria" w:hAnsi="Cambria"/>
          <w:sz w:val="20"/>
          <w:szCs w:val="20"/>
          <w:lang w:val="es-ES"/>
        </w:rPr>
        <w:t xml:space="preserve">, cuya demanda civil fue rechazada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w:t>
      </w:r>
      <w:r w:rsidR="00393274">
        <w:rPr>
          <w:rFonts w:ascii="Cambria" w:hAnsi="Cambria"/>
          <w:sz w:val="20"/>
          <w:szCs w:val="20"/>
          <w:lang w:val="es-ES"/>
        </w:rPr>
        <w:t xml:space="preserve">se inició </w:t>
      </w:r>
      <w:r w:rsidR="00592F01">
        <w:rPr>
          <w:rFonts w:ascii="Cambria" w:hAnsi="Cambria"/>
          <w:sz w:val="20"/>
          <w:szCs w:val="20"/>
          <w:lang w:val="es-ES"/>
        </w:rPr>
        <w:t xml:space="preserve">una causa para indemnización </w:t>
      </w:r>
      <w:r w:rsidR="00393274">
        <w:rPr>
          <w:rFonts w:ascii="Cambria" w:hAnsi="Cambria"/>
          <w:sz w:val="20"/>
          <w:szCs w:val="20"/>
          <w:lang w:val="es-ES"/>
        </w:rPr>
        <w:t xml:space="preserve">el </w:t>
      </w:r>
      <w:r w:rsidR="00076677">
        <w:rPr>
          <w:rFonts w:ascii="Cambria" w:hAnsi="Cambria"/>
          <w:sz w:val="20"/>
          <w:szCs w:val="20"/>
          <w:lang w:val="es-ES"/>
        </w:rPr>
        <w:t>3 de marzo de 2000 ante el 2</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076677">
        <w:rPr>
          <w:rFonts w:ascii="Cambria" w:hAnsi="Cambria"/>
          <w:sz w:val="20"/>
          <w:szCs w:val="20"/>
          <w:lang w:val="es-ES"/>
        </w:rPr>
        <w:t>17 de junio de 2011</w:t>
      </w:r>
      <w:r w:rsidR="00393274">
        <w:rPr>
          <w:rFonts w:ascii="Cambria" w:hAnsi="Cambria"/>
          <w:sz w:val="20"/>
          <w:szCs w:val="20"/>
          <w:lang w:val="es-ES"/>
        </w:rPr>
        <w:t xml:space="preserve">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076677">
        <w:rPr>
          <w:rFonts w:ascii="Cambria" w:hAnsi="Cambria"/>
          <w:sz w:val="20"/>
          <w:szCs w:val="20"/>
          <w:lang w:val="es-ES"/>
        </w:rPr>
        <w:t>25 de mayo de 2011</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4F4240DC"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C9276F">
        <w:rPr>
          <w:rFonts w:ascii="Cambria" w:hAnsi="Cambria"/>
          <w:sz w:val="20"/>
          <w:szCs w:val="20"/>
          <w:lang w:val="es-ES"/>
        </w:rPr>
        <w:t xml:space="preserve"> </w:t>
      </w:r>
      <w:r w:rsidR="00076677">
        <w:rPr>
          <w:rFonts w:ascii="Cambria" w:hAnsi="Cambria"/>
          <w:sz w:val="20"/>
          <w:szCs w:val="20"/>
          <w:lang w:val="es-ES"/>
        </w:rPr>
        <w:t xml:space="preserve">19 de </w:t>
      </w:r>
      <w:r w:rsidR="00D455DD">
        <w:rPr>
          <w:rFonts w:ascii="Cambria" w:hAnsi="Cambria"/>
          <w:sz w:val="20"/>
          <w:szCs w:val="20"/>
          <w:lang w:val="es-ES"/>
        </w:rPr>
        <w:t>noviembre</w:t>
      </w:r>
      <w:r w:rsidR="00076677">
        <w:rPr>
          <w:rFonts w:ascii="Cambria" w:hAnsi="Cambria"/>
          <w:sz w:val="20"/>
          <w:szCs w:val="20"/>
          <w:lang w:val="es-ES"/>
        </w:rPr>
        <w:t xml:space="preserve">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218CC6E9" w:rsidR="000B0579" w:rsidRDefault="00810A9F">
      <w:pPr>
        <w:pStyle w:val="ListParagraph"/>
        <w:numPr>
          <w:ilvl w:val="0"/>
          <w:numId w:val="103"/>
        </w:numPr>
        <w:jc w:val="both"/>
        <w:rPr>
          <w:sz w:val="20"/>
          <w:szCs w:val="20"/>
          <w:lang w:val="es-ES"/>
        </w:rPr>
      </w:pPr>
      <w:r w:rsidRPr="0032474F">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sz w:val="20"/>
          <w:szCs w:val="20"/>
          <w:lang w:val="es-ES"/>
        </w:rPr>
        <w:footnoteReference w:id="8"/>
      </w:r>
      <w:r w:rsidRPr="0032474F">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sz w:val="20"/>
          <w:szCs w:val="20"/>
          <w:lang w:val="es-ES"/>
        </w:rPr>
        <w:footnoteReference w:id="9"/>
      </w:r>
      <w:r w:rsidRPr="0032474F">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743AE46B"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076677" w:rsidRPr="00CC3E13">
        <w:rPr>
          <w:rFonts w:ascii="Cambria" w:hAnsi="Cambria"/>
          <w:bCs/>
          <w:sz w:val="20"/>
          <w:szCs w:val="20"/>
          <w:lang w:val="es-ES"/>
        </w:rPr>
        <w:t xml:space="preserve">2; </w:t>
      </w:r>
      <w:r w:rsidR="00076677" w:rsidRPr="00CC3E13">
        <w:rPr>
          <w:rFonts w:asciiTheme="majorHAnsi" w:hAnsiTheme="majorHAnsi"/>
          <w:sz w:val="20"/>
          <w:szCs w:val="20"/>
          <w:lang w:val="es-ES"/>
        </w:rPr>
        <w:t>y</w:t>
      </w:r>
    </w:p>
    <w:p w14:paraId="7CD4DFBD" w14:textId="2F32C907"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0AE9BCA" w14:textId="4D1C5B1D" w:rsidR="00105AD1" w:rsidRPr="00A37B82" w:rsidRDefault="00105AD1" w:rsidP="00105AD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05AD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03C4" w14:textId="77777777" w:rsidR="003579AD" w:rsidRDefault="003579AD">
      <w:r>
        <w:separator/>
      </w:r>
    </w:p>
  </w:endnote>
  <w:endnote w:type="continuationSeparator" w:id="0">
    <w:p w14:paraId="13D59213" w14:textId="77777777" w:rsidR="003579AD" w:rsidRDefault="0035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9792" w14:textId="77777777" w:rsidR="00137AA8" w:rsidRDefault="00137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575997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37AA8">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6E43" w14:textId="77777777" w:rsidR="003579AD" w:rsidRPr="000F35ED" w:rsidRDefault="003579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835310" w14:textId="77777777" w:rsidR="003579AD" w:rsidRPr="000F35ED" w:rsidRDefault="003579AD" w:rsidP="000F35ED">
      <w:pPr>
        <w:rPr>
          <w:rFonts w:asciiTheme="majorHAnsi" w:hAnsiTheme="majorHAnsi"/>
          <w:sz w:val="16"/>
          <w:szCs w:val="16"/>
        </w:rPr>
      </w:pPr>
      <w:r w:rsidRPr="000F35ED">
        <w:rPr>
          <w:rFonts w:asciiTheme="majorHAnsi" w:hAnsiTheme="majorHAnsi"/>
          <w:sz w:val="16"/>
          <w:szCs w:val="16"/>
        </w:rPr>
        <w:separator/>
      </w:r>
    </w:p>
    <w:p w14:paraId="69165112" w14:textId="77777777" w:rsidR="003579AD" w:rsidRPr="000F35ED" w:rsidRDefault="003579A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96507C" w14:textId="77777777" w:rsidR="003579AD" w:rsidRPr="000F35ED" w:rsidRDefault="003579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68EBB1D" w:rsidR="00D34B76" w:rsidRPr="00734BF3" w:rsidRDefault="0076260E" w:rsidP="002B6AA6">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62F32D9F" w:rsidR="00201E85" w:rsidRPr="007D4106" w:rsidRDefault="0076260E" w:rsidP="002B6AA6">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BE06B2">
        <w:rPr>
          <w:rFonts w:asciiTheme="majorHAnsi" w:hAnsiTheme="majorHAnsi"/>
          <w:sz w:val="16"/>
          <w:szCs w:val="16"/>
          <w:lang w:val="es-MX"/>
        </w:rPr>
        <w:t xml:space="preserve"> Claudio Flores Araya, Clara Flores Araya y Orlando Flores </w:t>
      </w:r>
      <w:proofErr w:type="spellStart"/>
      <w:r w:rsidR="00BE06B2">
        <w:rPr>
          <w:rFonts w:asciiTheme="majorHAnsi" w:hAnsiTheme="majorHAnsi"/>
          <w:sz w:val="16"/>
          <w:szCs w:val="16"/>
          <w:lang w:val="es-MX"/>
        </w:rPr>
        <w:t>Quijonea</w:t>
      </w:r>
      <w:proofErr w:type="spellEnd"/>
      <w:r w:rsidR="00BE06B2">
        <w:rPr>
          <w:rFonts w:asciiTheme="majorHAnsi" w:hAnsiTheme="majorHAnsi"/>
          <w:sz w:val="16"/>
          <w:szCs w:val="16"/>
          <w:lang w:val="es-MX"/>
        </w:rPr>
        <w:t xml:space="preserve">, hermanos de la presunta víctima. </w:t>
      </w:r>
    </w:p>
  </w:footnote>
  <w:footnote w:id="4">
    <w:p w14:paraId="06C1BEFA" w14:textId="528ADCF0" w:rsidR="004A6A54" w:rsidRPr="00734BF3" w:rsidRDefault="0076260E" w:rsidP="002B6AA6">
      <w:pPr>
        <w:pStyle w:val="FootnoteText"/>
        <w:jc w:val="both"/>
        <w:rPr>
          <w:rFonts w:asciiTheme="majorHAnsi" w:hAnsiTheme="majorHAnsi"/>
          <w:sz w:val="16"/>
          <w:szCs w:val="16"/>
          <w:lang w:val="es-ES"/>
        </w:rPr>
      </w:pPr>
      <w:r>
        <w:rPr>
          <w:rFonts w:asciiTheme="majorHAnsi" w:hAnsiTheme="majorHAnsi"/>
          <w:color w:val="auto"/>
          <w:sz w:val="16"/>
          <w:szCs w:val="16"/>
          <w:lang w:val="es-MX"/>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4ADE082E" w:rsidR="00BF514A" w:rsidRPr="00734BF3" w:rsidRDefault="0076260E" w:rsidP="002B6AA6">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4BFAC238" w:rsidR="008E3BFE" w:rsidRPr="00734BF3" w:rsidRDefault="0076260E" w:rsidP="002B6AA6">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02B36A16" w:rsidR="002F7F5F" w:rsidRPr="00EE0CAD" w:rsidRDefault="0076260E" w:rsidP="002B6AA6">
      <w:pPr>
        <w:pStyle w:val="FootnoteText"/>
        <w:jc w:val="both"/>
        <w:rPr>
          <w:lang w:val="es-MX"/>
        </w:rPr>
      </w:pPr>
      <w:r>
        <w:rPr>
          <w:rFonts w:asciiTheme="majorHAnsi" w:hAnsiTheme="majorHAnsi"/>
          <w:sz w:val="16"/>
          <w:szCs w:val="16"/>
          <w:lang w:val="es-ES"/>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informe </w:t>
      </w:r>
      <w:r w:rsidR="002B6AA6">
        <w:rPr>
          <w:rFonts w:asciiTheme="majorHAnsi" w:hAnsiTheme="majorHAnsi"/>
          <w:sz w:val="16"/>
          <w:szCs w:val="16"/>
          <w:lang w:val="es-MX"/>
        </w:rPr>
        <w:t>de la Comisión Nacional de Verdad y Reconciliación (</w:t>
      </w:r>
      <w:r w:rsidR="0059701D">
        <w:rPr>
          <w:rFonts w:asciiTheme="majorHAnsi" w:hAnsiTheme="majorHAnsi"/>
          <w:sz w:val="16"/>
          <w:szCs w:val="16"/>
          <w:lang w:val="es-MX"/>
        </w:rPr>
        <w:t>Informe</w:t>
      </w:r>
      <w:r w:rsidR="002B6AA6">
        <w:rPr>
          <w:rFonts w:asciiTheme="majorHAnsi" w:hAnsiTheme="majorHAnsi"/>
          <w:sz w:val="16"/>
          <w:szCs w:val="16"/>
          <w:lang w:val="es-MX"/>
        </w:rPr>
        <w:t xml:space="preserve"> </w:t>
      </w:r>
      <w:proofErr w:type="spellStart"/>
      <w:r w:rsidR="002F7F5F" w:rsidRPr="00EE0CAD">
        <w:rPr>
          <w:rFonts w:asciiTheme="majorHAnsi" w:hAnsiTheme="majorHAnsi"/>
          <w:sz w:val="16"/>
          <w:szCs w:val="16"/>
          <w:lang w:val="es-MX"/>
        </w:rPr>
        <w:t>Rettig</w:t>
      </w:r>
      <w:proofErr w:type="spellEnd"/>
      <w:r w:rsidR="002B6AA6">
        <w:rPr>
          <w:rFonts w:asciiTheme="majorHAnsi" w:hAnsiTheme="majorHAnsi"/>
          <w:sz w:val="16"/>
          <w:szCs w:val="16"/>
          <w:lang w:val="es-MX"/>
        </w:rPr>
        <w:t>)</w:t>
      </w:r>
      <w:r w:rsidR="002F7F5F" w:rsidRPr="002F7F5F">
        <w:rPr>
          <w:rFonts w:asciiTheme="majorHAnsi" w:hAnsiTheme="majorHAnsi"/>
          <w:sz w:val="16"/>
          <w:szCs w:val="16"/>
          <w:lang w:val="es-MX"/>
        </w:rPr>
        <w:t>.</w:t>
      </w:r>
    </w:p>
  </w:footnote>
  <w:footnote w:id="8">
    <w:p w14:paraId="30B7AA8B" w14:textId="749C679E" w:rsidR="00810A9F" w:rsidRPr="00A022F8" w:rsidRDefault="0076260E" w:rsidP="00810A9F">
      <w:pPr>
        <w:pStyle w:val="FootnoteText"/>
        <w:jc w:val="both"/>
        <w:rPr>
          <w:rFonts w:ascii="Cambria" w:hAnsi="Cambria"/>
          <w:sz w:val="16"/>
          <w:szCs w:val="16"/>
          <w:lang w:val="fr-CA"/>
        </w:rPr>
      </w:pPr>
      <w:r>
        <w:rPr>
          <w:rFonts w:ascii="Cambria" w:hAnsi="Cambria"/>
          <w:sz w:val="16"/>
          <w:szCs w:val="16"/>
          <w:lang w:val="es-MX"/>
        </w:rPr>
        <w:tab/>
      </w:r>
      <w:r w:rsidR="00810A9F" w:rsidRPr="00A022F8">
        <w:rPr>
          <w:rStyle w:val="FootnoteReference"/>
          <w:rFonts w:ascii="Cambria" w:hAnsi="Cambria"/>
          <w:sz w:val="16"/>
          <w:szCs w:val="16"/>
        </w:rPr>
        <w:footnoteRef/>
      </w:r>
      <w:r w:rsidR="00810A9F"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810A9F" w:rsidRPr="0076260E">
        <w:rPr>
          <w:rFonts w:ascii="Cambria" w:hAnsi="Cambria"/>
          <w:sz w:val="16"/>
          <w:szCs w:val="16"/>
          <w:lang w:val="es-419"/>
        </w:rPr>
        <w:t>89.</w:t>
      </w:r>
    </w:p>
  </w:footnote>
  <w:footnote w:id="9">
    <w:p w14:paraId="11165E6E" w14:textId="0EBC2AF3" w:rsidR="00810A9F" w:rsidRPr="000A424D" w:rsidRDefault="0076260E" w:rsidP="00810A9F">
      <w:pPr>
        <w:pStyle w:val="FootnoteText"/>
        <w:jc w:val="both"/>
        <w:rPr>
          <w:rFonts w:ascii="Cambria" w:hAnsi="Cambria"/>
          <w:sz w:val="16"/>
          <w:szCs w:val="16"/>
          <w:lang w:val="es-MX"/>
        </w:rPr>
      </w:pPr>
      <w:r>
        <w:rPr>
          <w:rFonts w:ascii="Cambria" w:hAnsi="Cambria"/>
          <w:sz w:val="16"/>
          <w:szCs w:val="16"/>
          <w:lang w:val="es-MX"/>
        </w:rPr>
        <w:tab/>
      </w:r>
      <w:r w:rsidR="00810A9F" w:rsidRPr="00A022F8">
        <w:rPr>
          <w:rStyle w:val="FootnoteReference"/>
          <w:rFonts w:ascii="Cambria" w:hAnsi="Cambria"/>
          <w:sz w:val="16"/>
          <w:szCs w:val="16"/>
        </w:rPr>
        <w:footnoteRef/>
      </w:r>
      <w:r w:rsidR="00810A9F"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810A9F" w:rsidRPr="000A424D">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579A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342F" w14:textId="77777777" w:rsidR="00137AA8" w:rsidRDefault="00137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76677"/>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5AD1"/>
    <w:rsid w:val="00107131"/>
    <w:rsid w:val="0010736F"/>
    <w:rsid w:val="00111A8A"/>
    <w:rsid w:val="00112BDF"/>
    <w:rsid w:val="00113F73"/>
    <w:rsid w:val="00121CC2"/>
    <w:rsid w:val="00127AF2"/>
    <w:rsid w:val="00127B2C"/>
    <w:rsid w:val="00131D8B"/>
    <w:rsid w:val="00133EE5"/>
    <w:rsid w:val="00136E3D"/>
    <w:rsid w:val="00137AA8"/>
    <w:rsid w:val="00143EFE"/>
    <w:rsid w:val="001479C0"/>
    <w:rsid w:val="0015330B"/>
    <w:rsid w:val="00160299"/>
    <w:rsid w:val="00167A34"/>
    <w:rsid w:val="001761CF"/>
    <w:rsid w:val="00177EEF"/>
    <w:rsid w:val="001811F7"/>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376"/>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1850"/>
    <w:rsid w:val="002A304F"/>
    <w:rsid w:val="002A3053"/>
    <w:rsid w:val="002A5820"/>
    <w:rsid w:val="002B2C87"/>
    <w:rsid w:val="002B6AA6"/>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579AD"/>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5862"/>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30B4"/>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2CE"/>
    <w:rsid w:val="004B0477"/>
    <w:rsid w:val="004B3FA8"/>
    <w:rsid w:val="004B5F77"/>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45E2"/>
    <w:rsid w:val="0050633D"/>
    <w:rsid w:val="00507BC4"/>
    <w:rsid w:val="005128E4"/>
    <w:rsid w:val="005133DB"/>
    <w:rsid w:val="0051523C"/>
    <w:rsid w:val="00520703"/>
    <w:rsid w:val="005229A4"/>
    <w:rsid w:val="00525560"/>
    <w:rsid w:val="005328A7"/>
    <w:rsid w:val="005415E6"/>
    <w:rsid w:val="00541D91"/>
    <w:rsid w:val="00544216"/>
    <w:rsid w:val="00544C49"/>
    <w:rsid w:val="005516A1"/>
    <w:rsid w:val="00556CA0"/>
    <w:rsid w:val="00560CE3"/>
    <w:rsid w:val="00562FAB"/>
    <w:rsid w:val="00563557"/>
    <w:rsid w:val="00567A1A"/>
    <w:rsid w:val="0057402A"/>
    <w:rsid w:val="00574881"/>
    <w:rsid w:val="00574CB7"/>
    <w:rsid w:val="005753FB"/>
    <w:rsid w:val="005771D0"/>
    <w:rsid w:val="0059191A"/>
    <w:rsid w:val="005921FF"/>
    <w:rsid w:val="00592F01"/>
    <w:rsid w:val="00595A5E"/>
    <w:rsid w:val="00596DCA"/>
    <w:rsid w:val="0059701D"/>
    <w:rsid w:val="005A2249"/>
    <w:rsid w:val="005A24ED"/>
    <w:rsid w:val="005A51C7"/>
    <w:rsid w:val="005A6D0E"/>
    <w:rsid w:val="005B37CC"/>
    <w:rsid w:val="005B52B0"/>
    <w:rsid w:val="005B6806"/>
    <w:rsid w:val="005B6D22"/>
    <w:rsid w:val="005C261A"/>
    <w:rsid w:val="005C4225"/>
    <w:rsid w:val="005C5F1A"/>
    <w:rsid w:val="005C6F56"/>
    <w:rsid w:val="005C7989"/>
    <w:rsid w:val="005E0B65"/>
    <w:rsid w:val="005E11B2"/>
    <w:rsid w:val="005F0DAD"/>
    <w:rsid w:val="005F0F33"/>
    <w:rsid w:val="005F1B98"/>
    <w:rsid w:val="005F4E06"/>
    <w:rsid w:val="005F5270"/>
    <w:rsid w:val="00600DEB"/>
    <w:rsid w:val="00601DD9"/>
    <w:rsid w:val="0060313F"/>
    <w:rsid w:val="006075DC"/>
    <w:rsid w:val="00623420"/>
    <w:rsid w:val="006277DE"/>
    <w:rsid w:val="00627C9F"/>
    <w:rsid w:val="006311E9"/>
    <w:rsid w:val="00632354"/>
    <w:rsid w:val="00642810"/>
    <w:rsid w:val="00647756"/>
    <w:rsid w:val="006509DA"/>
    <w:rsid w:val="00650E43"/>
    <w:rsid w:val="00652333"/>
    <w:rsid w:val="006608C8"/>
    <w:rsid w:val="00660AE7"/>
    <w:rsid w:val="00662FBC"/>
    <w:rsid w:val="0068009E"/>
    <w:rsid w:val="006819E9"/>
    <w:rsid w:val="00686471"/>
    <w:rsid w:val="00690AAB"/>
    <w:rsid w:val="00691BBE"/>
    <w:rsid w:val="00692219"/>
    <w:rsid w:val="006A17D2"/>
    <w:rsid w:val="006A1D46"/>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4705F"/>
    <w:rsid w:val="00753794"/>
    <w:rsid w:val="00756C70"/>
    <w:rsid w:val="007570CD"/>
    <w:rsid w:val="0076260E"/>
    <w:rsid w:val="0076643F"/>
    <w:rsid w:val="007751BE"/>
    <w:rsid w:val="00777F63"/>
    <w:rsid w:val="00781854"/>
    <w:rsid w:val="00783FC9"/>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0A9F"/>
    <w:rsid w:val="00817612"/>
    <w:rsid w:val="00823377"/>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21E2"/>
    <w:rsid w:val="00873836"/>
    <w:rsid w:val="008778AD"/>
    <w:rsid w:val="00885737"/>
    <w:rsid w:val="00890650"/>
    <w:rsid w:val="0089300F"/>
    <w:rsid w:val="00897E12"/>
    <w:rsid w:val="008A0F81"/>
    <w:rsid w:val="008A7E0F"/>
    <w:rsid w:val="008B12F5"/>
    <w:rsid w:val="008B1A72"/>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24343"/>
    <w:rsid w:val="00934A2C"/>
    <w:rsid w:val="00935F06"/>
    <w:rsid w:val="00936942"/>
    <w:rsid w:val="00937B3A"/>
    <w:rsid w:val="00941B3B"/>
    <w:rsid w:val="00943C8E"/>
    <w:rsid w:val="00954B82"/>
    <w:rsid w:val="00962436"/>
    <w:rsid w:val="0096641A"/>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610CD"/>
    <w:rsid w:val="00A62508"/>
    <w:rsid w:val="00A625E0"/>
    <w:rsid w:val="00A746DD"/>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582C"/>
    <w:rsid w:val="00AF6D17"/>
    <w:rsid w:val="00B02959"/>
    <w:rsid w:val="00B06B4E"/>
    <w:rsid w:val="00B07341"/>
    <w:rsid w:val="00B16B79"/>
    <w:rsid w:val="00B202B5"/>
    <w:rsid w:val="00B30539"/>
    <w:rsid w:val="00B314DB"/>
    <w:rsid w:val="00B31FAB"/>
    <w:rsid w:val="00B361F2"/>
    <w:rsid w:val="00B3718B"/>
    <w:rsid w:val="00B37ED8"/>
    <w:rsid w:val="00B42859"/>
    <w:rsid w:val="00B45DC2"/>
    <w:rsid w:val="00B4632A"/>
    <w:rsid w:val="00B5067D"/>
    <w:rsid w:val="00B530F1"/>
    <w:rsid w:val="00B5421E"/>
    <w:rsid w:val="00B56DA5"/>
    <w:rsid w:val="00B736AF"/>
    <w:rsid w:val="00B82FC6"/>
    <w:rsid w:val="00B97946"/>
    <w:rsid w:val="00BA0C28"/>
    <w:rsid w:val="00BA276C"/>
    <w:rsid w:val="00BA5544"/>
    <w:rsid w:val="00BB1B05"/>
    <w:rsid w:val="00BB306F"/>
    <w:rsid w:val="00BB3FBD"/>
    <w:rsid w:val="00BB67CA"/>
    <w:rsid w:val="00BB709A"/>
    <w:rsid w:val="00BC6CD0"/>
    <w:rsid w:val="00BD2D61"/>
    <w:rsid w:val="00BD4B89"/>
    <w:rsid w:val="00BD5922"/>
    <w:rsid w:val="00BD76D9"/>
    <w:rsid w:val="00BE06B2"/>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276F"/>
    <w:rsid w:val="00C938F8"/>
    <w:rsid w:val="00C9567A"/>
    <w:rsid w:val="00CA48A3"/>
    <w:rsid w:val="00CB212D"/>
    <w:rsid w:val="00CB2660"/>
    <w:rsid w:val="00CB4D27"/>
    <w:rsid w:val="00CB52EB"/>
    <w:rsid w:val="00CC3E13"/>
    <w:rsid w:val="00CC5DE9"/>
    <w:rsid w:val="00CC5E90"/>
    <w:rsid w:val="00CC6DEA"/>
    <w:rsid w:val="00CC6E35"/>
    <w:rsid w:val="00CD046C"/>
    <w:rsid w:val="00CD14E4"/>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4B06"/>
    <w:rsid w:val="00D455DD"/>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6B90"/>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374F"/>
    <w:rsid w:val="00E26CCA"/>
    <w:rsid w:val="00E31586"/>
    <w:rsid w:val="00E316A8"/>
    <w:rsid w:val="00E4118C"/>
    <w:rsid w:val="00E43157"/>
    <w:rsid w:val="00E461CE"/>
    <w:rsid w:val="00E479A2"/>
    <w:rsid w:val="00E50345"/>
    <w:rsid w:val="00E55DFC"/>
    <w:rsid w:val="00E720CA"/>
    <w:rsid w:val="00E747B6"/>
    <w:rsid w:val="00E77F08"/>
    <w:rsid w:val="00E84790"/>
    <w:rsid w:val="00E84EB5"/>
    <w:rsid w:val="00E85662"/>
    <w:rsid w:val="00E867BB"/>
    <w:rsid w:val="00E8789F"/>
    <w:rsid w:val="00E9160B"/>
    <w:rsid w:val="00E97B71"/>
    <w:rsid w:val="00EA25D1"/>
    <w:rsid w:val="00EA2E36"/>
    <w:rsid w:val="00EA325F"/>
    <w:rsid w:val="00EA3D34"/>
    <w:rsid w:val="00EA5252"/>
    <w:rsid w:val="00EA67B7"/>
    <w:rsid w:val="00EA7BB1"/>
    <w:rsid w:val="00EB24CA"/>
    <w:rsid w:val="00EB2FEF"/>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E3981"/>
    <w:rsid w:val="00EF3221"/>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2708B"/>
    <w:rsid w:val="000441F7"/>
    <w:rsid w:val="000825FF"/>
    <w:rsid w:val="00083D45"/>
    <w:rsid w:val="00183B6F"/>
    <w:rsid w:val="001C40BF"/>
    <w:rsid w:val="00200821"/>
    <w:rsid w:val="002268FD"/>
    <w:rsid w:val="002468A0"/>
    <w:rsid w:val="0026566E"/>
    <w:rsid w:val="002806B3"/>
    <w:rsid w:val="00286414"/>
    <w:rsid w:val="002874A6"/>
    <w:rsid w:val="002C698B"/>
    <w:rsid w:val="002E6F38"/>
    <w:rsid w:val="00394049"/>
    <w:rsid w:val="003A7C3F"/>
    <w:rsid w:val="004F2DF8"/>
    <w:rsid w:val="005B6D86"/>
    <w:rsid w:val="005D3162"/>
    <w:rsid w:val="005F168B"/>
    <w:rsid w:val="005F72A0"/>
    <w:rsid w:val="006A61FD"/>
    <w:rsid w:val="006E2B51"/>
    <w:rsid w:val="007B692E"/>
    <w:rsid w:val="008E3184"/>
    <w:rsid w:val="009310E6"/>
    <w:rsid w:val="00942213"/>
    <w:rsid w:val="0097453C"/>
    <w:rsid w:val="009A1B5A"/>
    <w:rsid w:val="009A261B"/>
    <w:rsid w:val="00A311DF"/>
    <w:rsid w:val="00A46A21"/>
    <w:rsid w:val="00AA67AB"/>
    <w:rsid w:val="00AC15A4"/>
    <w:rsid w:val="00B0336C"/>
    <w:rsid w:val="00BD5B4D"/>
    <w:rsid w:val="00C11833"/>
    <w:rsid w:val="00C35D17"/>
    <w:rsid w:val="00C56634"/>
    <w:rsid w:val="00CC1166"/>
    <w:rsid w:val="00D1626E"/>
    <w:rsid w:val="00D46351"/>
    <w:rsid w:val="00D55AA6"/>
    <w:rsid w:val="00D73C04"/>
    <w:rsid w:val="00D84C02"/>
    <w:rsid w:val="00DD65ED"/>
    <w:rsid w:val="00E02BDB"/>
    <w:rsid w:val="00E77140"/>
    <w:rsid w:val="00E80C2A"/>
    <w:rsid w:val="00E907ED"/>
    <w:rsid w:val="00EC5ECB"/>
    <w:rsid w:val="00EC7B7B"/>
    <w:rsid w:val="00EE5A1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F76F-655C-48BF-94DC-91B65DFF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162/20</dc:title>
  <dc:creator/>
  <cp:lastModifiedBy/>
  <cp:revision>1</cp:revision>
  <dcterms:created xsi:type="dcterms:W3CDTF">2020-07-22T15:19:00Z</dcterms:created>
  <dcterms:modified xsi:type="dcterms:W3CDTF">2020-07-22T15:19:00Z</dcterms:modified>
</cp:coreProperties>
</file>