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68A96B7" w14:textId="77777777" w:rsidR="00040C3A" w:rsidRPr="001F0F69" w:rsidRDefault="00D306D1" w:rsidP="00627C9F">
      <w:pPr>
        <w:jc w:val="both"/>
        <w:rPr>
          <w:rFonts w:asciiTheme="majorHAnsi" w:hAnsiTheme="majorHAnsi" w:cs="Univers"/>
          <w:b/>
          <w:bCs/>
          <w:sz w:val="22"/>
          <w:szCs w:val="22"/>
          <w:lang w:val="es-AR"/>
        </w:rPr>
      </w:pPr>
      <w:r w:rsidRPr="001F0F69">
        <w:rPr>
          <w:rFonts w:asciiTheme="majorHAnsi" w:hAnsiTheme="majorHAnsi"/>
          <w:noProof/>
          <w:sz w:val="22"/>
          <w:szCs w:val="22"/>
          <w:lang w:val="en-US" w:eastAsia="en-US"/>
        </w:rPr>
        <mc:AlternateContent>
          <mc:Choice Requires="wps">
            <w:drawing>
              <wp:anchor distT="0" distB="0" distL="114300" distR="114300" simplePos="0" relativeHeight="251661311" behindDoc="0" locked="0" layoutInCell="1" allowOverlap="1" wp14:anchorId="099DEAC4" wp14:editId="0A44183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91A982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F0F69">
        <w:rPr>
          <w:rFonts w:asciiTheme="majorHAnsi" w:hAnsiTheme="majorHAnsi"/>
          <w:noProof/>
          <w:sz w:val="22"/>
          <w:szCs w:val="22"/>
          <w:lang w:val="en-US" w:eastAsia="en-US"/>
        </w:rPr>
        <mc:AlternateContent>
          <mc:Choice Requires="wps">
            <w:drawing>
              <wp:anchor distT="0" distB="0" distL="114300" distR="114300" simplePos="0" relativeHeight="251673600" behindDoc="0" locked="0" layoutInCell="1" allowOverlap="1" wp14:anchorId="716142CD" wp14:editId="3B4CB05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BE196" w14:textId="6B64CD0F" w:rsidR="00001845" w:rsidRDefault="00001845" w:rsidP="00AE5488">
                            <w:r>
                              <w:rPr>
                                <w:noProof/>
                                <w:lang w:val="en-US" w:eastAsia="en-US"/>
                              </w:rPr>
                              <w:drawing>
                                <wp:inline distT="0" distB="0" distL="0" distR="0" wp14:anchorId="0BCBE441" wp14:editId="280042F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716142CD"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BBBE196" w14:textId="6B64CD0F" w:rsidR="00001845" w:rsidRDefault="00001845" w:rsidP="00AE5488">
                      <w:r>
                        <w:rPr>
                          <w:noProof/>
                          <w:lang w:val="en-US" w:eastAsia="en-US"/>
                        </w:rPr>
                        <w:drawing>
                          <wp:inline distT="0" distB="0" distL="0" distR="0" wp14:anchorId="0BCBE441" wp14:editId="280042F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2DC4BBB4" w14:textId="77777777" w:rsidR="00040C3A" w:rsidRPr="001F0F69" w:rsidRDefault="00040C3A" w:rsidP="00040C3A">
      <w:pPr>
        <w:tabs>
          <w:tab w:val="center" w:pos="5400"/>
        </w:tabs>
        <w:suppressAutoHyphens/>
        <w:jc w:val="both"/>
        <w:rPr>
          <w:rFonts w:asciiTheme="majorHAnsi" w:hAnsiTheme="majorHAnsi"/>
          <w:sz w:val="22"/>
          <w:szCs w:val="22"/>
          <w:lang w:val="es-AR"/>
        </w:rPr>
      </w:pPr>
    </w:p>
    <w:p w14:paraId="6F61BE55" w14:textId="77777777" w:rsidR="00040C3A" w:rsidRPr="001F0F69" w:rsidRDefault="00040C3A" w:rsidP="00040C3A">
      <w:pPr>
        <w:tabs>
          <w:tab w:val="center" w:pos="5400"/>
        </w:tabs>
        <w:suppressAutoHyphens/>
        <w:jc w:val="both"/>
        <w:rPr>
          <w:rFonts w:asciiTheme="majorHAnsi" w:hAnsiTheme="majorHAnsi"/>
          <w:sz w:val="22"/>
          <w:szCs w:val="22"/>
          <w:lang w:val="es-AR"/>
        </w:rPr>
      </w:pPr>
    </w:p>
    <w:p w14:paraId="13CFA9D5" w14:textId="77777777" w:rsidR="005128E4" w:rsidRPr="001F0F69" w:rsidRDefault="005128E4" w:rsidP="00040C3A">
      <w:pPr>
        <w:tabs>
          <w:tab w:val="center" w:pos="5400"/>
        </w:tabs>
        <w:suppressAutoHyphens/>
        <w:rPr>
          <w:rFonts w:asciiTheme="majorHAnsi" w:hAnsiTheme="majorHAnsi"/>
          <w:sz w:val="22"/>
          <w:szCs w:val="22"/>
          <w:lang w:val="es-AR"/>
        </w:rPr>
      </w:pPr>
    </w:p>
    <w:p w14:paraId="20B31A09" w14:textId="77777777" w:rsidR="005128E4" w:rsidRPr="001F0F69" w:rsidRDefault="005128E4" w:rsidP="00040C3A">
      <w:pPr>
        <w:tabs>
          <w:tab w:val="center" w:pos="5400"/>
        </w:tabs>
        <w:suppressAutoHyphens/>
        <w:rPr>
          <w:rFonts w:asciiTheme="majorHAnsi" w:hAnsiTheme="majorHAnsi"/>
          <w:sz w:val="22"/>
          <w:szCs w:val="22"/>
          <w:lang w:val="es-AR"/>
        </w:rPr>
      </w:pPr>
    </w:p>
    <w:p w14:paraId="11FA93F4" w14:textId="77777777" w:rsidR="005128E4" w:rsidRPr="001F0F69" w:rsidRDefault="005128E4" w:rsidP="00040C3A">
      <w:pPr>
        <w:tabs>
          <w:tab w:val="center" w:pos="5400"/>
        </w:tabs>
        <w:suppressAutoHyphens/>
        <w:rPr>
          <w:rFonts w:asciiTheme="majorHAnsi" w:hAnsiTheme="majorHAnsi"/>
          <w:sz w:val="22"/>
          <w:szCs w:val="22"/>
          <w:lang w:val="es-AR"/>
        </w:rPr>
      </w:pPr>
    </w:p>
    <w:p w14:paraId="550AB275" w14:textId="77777777" w:rsidR="00040C3A" w:rsidRPr="001F0F69" w:rsidRDefault="00040C3A" w:rsidP="005128E4">
      <w:pPr>
        <w:tabs>
          <w:tab w:val="center" w:pos="5400"/>
        </w:tabs>
        <w:suppressAutoHyphens/>
        <w:jc w:val="center"/>
        <w:rPr>
          <w:rFonts w:asciiTheme="majorHAnsi" w:hAnsiTheme="majorHAnsi"/>
          <w:sz w:val="22"/>
          <w:szCs w:val="22"/>
          <w:lang w:val="es-AR"/>
        </w:rPr>
      </w:pPr>
    </w:p>
    <w:p w14:paraId="166D22E6" w14:textId="77777777" w:rsidR="00040C3A" w:rsidRPr="001F0F69" w:rsidRDefault="00040C3A" w:rsidP="005128E4">
      <w:pPr>
        <w:tabs>
          <w:tab w:val="center" w:pos="5400"/>
        </w:tabs>
        <w:suppressAutoHyphens/>
        <w:jc w:val="center"/>
        <w:rPr>
          <w:rFonts w:asciiTheme="majorHAnsi" w:hAnsiTheme="majorHAnsi"/>
          <w:sz w:val="22"/>
          <w:szCs w:val="22"/>
          <w:lang w:val="es-AR"/>
        </w:rPr>
      </w:pPr>
    </w:p>
    <w:p w14:paraId="73E096B6" w14:textId="77777777" w:rsidR="005B52B0" w:rsidRPr="001F0F69" w:rsidRDefault="005B52B0" w:rsidP="005128E4">
      <w:pPr>
        <w:tabs>
          <w:tab w:val="center" w:pos="5400"/>
        </w:tabs>
        <w:suppressAutoHyphens/>
        <w:jc w:val="center"/>
        <w:rPr>
          <w:rFonts w:asciiTheme="majorHAnsi" w:hAnsiTheme="majorHAnsi"/>
          <w:sz w:val="22"/>
          <w:szCs w:val="22"/>
          <w:lang w:val="es-AR"/>
        </w:rPr>
      </w:pPr>
    </w:p>
    <w:p w14:paraId="0A02B710" w14:textId="77777777" w:rsidR="005B52B0" w:rsidRPr="001F0F69" w:rsidRDefault="005B52B0" w:rsidP="005128E4">
      <w:pPr>
        <w:tabs>
          <w:tab w:val="center" w:pos="5400"/>
        </w:tabs>
        <w:suppressAutoHyphens/>
        <w:jc w:val="center"/>
        <w:rPr>
          <w:rFonts w:asciiTheme="majorHAnsi" w:hAnsiTheme="majorHAnsi"/>
          <w:sz w:val="22"/>
          <w:szCs w:val="22"/>
          <w:lang w:val="es-AR"/>
        </w:rPr>
      </w:pPr>
    </w:p>
    <w:p w14:paraId="25358681" w14:textId="77777777" w:rsidR="005B52B0" w:rsidRPr="001F0F69" w:rsidRDefault="005B52B0" w:rsidP="005128E4">
      <w:pPr>
        <w:tabs>
          <w:tab w:val="center" w:pos="5400"/>
        </w:tabs>
        <w:suppressAutoHyphens/>
        <w:jc w:val="center"/>
        <w:rPr>
          <w:rFonts w:asciiTheme="majorHAnsi" w:hAnsiTheme="majorHAnsi"/>
          <w:sz w:val="22"/>
          <w:szCs w:val="22"/>
          <w:lang w:val="es-AR"/>
        </w:rPr>
      </w:pPr>
    </w:p>
    <w:p w14:paraId="1175C45B" w14:textId="77777777" w:rsidR="00040C3A" w:rsidRPr="001F0F69" w:rsidRDefault="00040C3A" w:rsidP="00040C3A">
      <w:pPr>
        <w:tabs>
          <w:tab w:val="center" w:pos="5400"/>
        </w:tabs>
        <w:suppressAutoHyphens/>
        <w:jc w:val="center"/>
        <w:rPr>
          <w:rFonts w:asciiTheme="majorHAnsi" w:hAnsiTheme="majorHAnsi"/>
          <w:sz w:val="22"/>
          <w:szCs w:val="22"/>
          <w:lang w:val="es-AR"/>
        </w:rPr>
      </w:pPr>
    </w:p>
    <w:p w14:paraId="6DFA8117" w14:textId="77777777" w:rsidR="00040C3A" w:rsidRPr="001F0F69" w:rsidRDefault="00040C3A" w:rsidP="00040C3A">
      <w:pPr>
        <w:tabs>
          <w:tab w:val="center" w:pos="5400"/>
        </w:tabs>
        <w:suppressAutoHyphens/>
        <w:jc w:val="center"/>
        <w:rPr>
          <w:rFonts w:asciiTheme="majorHAnsi" w:hAnsiTheme="majorHAnsi"/>
          <w:sz w:val="22"/>
          <w:szCs w:val="22"/>
          <w:lang w:val="es-AR"/>
        </w:rPr>
      </w:pPr>
    </w:p>
    <w:p w14:paraId="3E374BBD" w14:textId="77777777" w:rsidR="00040C3A" w:rsidRPr="001F0F69" w:rsidRDefault="003D3BC2" w:rsidP="00040C3A">
      <w:pPr>
        <w:tabs>
          <w:tab w:val="center" w:pos="5400"/>
        </w:tabs>
        <w:suppressAutoHyphens/>
        <w:jc w:val="center"/>
        <w:rPr>
          <w:rFonts w:asciiTheme="majorHAnsi" w:hAnsiTheme="majorHAnsi"/>
          <w:sz w:val="22"/>
          <w:szCs w:val="22"/>
          <w:lang w:val="es-AR"/>
        </w:rPr>
      </w:pPr>
      <w:r w:rsidRPr="001F0F69">
        <w:rPr>
          <w:rFonts w:asciiTheme="majorHAnsi" w:hAnsiTheme="majorHAnsi"/>
          <w:noProof/>
          <w:sz w:val="22"/>
          <w:szCs w:val="22"/>
          <w:lang w:val="en-US" w:eastAsia="en-US"/>
        </w:rPr>
        <mc:AlternateContent>
          <mc:Choice Requires="wps">
            <w:drawing>
              <wp:anchor distT="0" distB="0" distL="114300" distR="114300" simplePos="0" relativeHeight="251669504" behindDoc="0" locked="0" layoutInCell="1" allowOverlap="1" wp14:anchorId="08164C88" wp14:editId="5A82BD1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89413E" w14:textId="400F953F" w:rsidR="00001845" w:rsidRPr="004E2649" w:rsidRDefault="0000184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B20C03">
                              <w:rPr>
                                <w:rFonts w:asciiTheme="majorHAnsi" w:hAnsiTheme="majorHAnsi" w:cs="Arial"/>
                                <w:b/>
                                <w:bCs/>
                                <w:color w:val="0D0D0D" w:themeColor="text1" w:themeTint="F2"/>
                                <w:sz w:val="36"/>
                                <w:szCs w:val="22"/>
                                <w:lang w:val="es-ES_tradnl"/>
                              </w:rPr>
                              <w:t xml:space="preserve"> 202</w:t>
                            </w:r>
                            <w:r>
                              <w:rPr>
                                <w:rFonts w:asciiTheme="majorHAnsi" w:hAnsiTheme="majorHAnsi" w:cs="Arial"/>
                                <w:b/>
                                <w:bCs/>
                                <w:color w:val="0D0D0D" w:themeColor="text1" w:themeTint="F2"/>
                                <w:sz w:val="36"/>
                                <w:szCs w:val="22"/>
                                <w:lang w:val="es-ES_tradnl"/>
                              </w:rPr>
                              <w:t>/</w:t>
                            </w:r>
                            <w:r w:rsidR="0056618E">
                              <w:rPr>
                                <w:rFonts w:asciiTheme="majorHAnsi" w:hAnsiTheme="majorHAnsi" w:cs="Arial"/>
                                <w:b/>
                                <w:bCs/>
                                <w:color w:val="0D0D0D" w:themeColor="text1" w:themeTint="F2"/>
                                <w:sz w:val="36"/>
                                <w:szCs w:val="22"/>
                                <w:lang w:val="es-ES_tradnl"/>
                              </w:rPr>
                              <w:t>20</w:t>
                            </w:r>
                          </w:p>
                          <w:p w14:paraId="3F98B66C" w14:textId="77777777" w:rsidR="00001845" w:rsidRDefault="0000184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14:paraId="609B3156" w14:textId="77777777" w:rsidR="00001845" w:rsidRPr="0010736F" w:rsidRDefault="0000184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3CC0A3DB" w14:textId="77777777" w:rsidR="00001845" w:rsidRPr="0010736F" w:rsidRDefault="00001845" w:rsidP="00997BC5">
                            <w:pPr>
                              <w:spacing w:line="276" w:lineRule="auto"/>
                              <w:rPr>
                                <w:rFonts w:asciiTheme="majorHAnsi" w:hAnsiTheme="majorHAnsi" w:cs="Arial"/>
                                <w:color w:val="0D0D0D" w:themeColor="text1" w:themeTint="F2"/>
                                <w:szCs w:val="22"/>
                                <w:lang w:val="es-ES_tradnl"/>
                              </w:rPr>
                            </w:pPr>
                            <w:bookmarkStart w:id="1" w:name="_ftnref1"/>
                          </w:p>
                          <w:p w14:paraId="455AECD0" w14:textId="77777777" w:rsidR="00001845" w:rsidRPr="0010736F" w:rsidRDefault="0000184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PUEBLO INDÍGENA WAYÚU</w:t>
                            </w:r>
                          </w:p>
                          <w:bookmarkEnd w:id="1"/>
                          <w:p w14:paraId="4C3BC2C0" w14:textId="77777777" w:rsidR="00001845" w:rsidRPr="0010736F" w:rsidRDefault="0000184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2BAB1BC3" w14:textId="77777777" w:rsidR="00001845" w:rsidRPr="00AE5488" w:rsidRDefault="00001845"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8164C88"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F89413E" w14:textId="400F953F" w:rsidR="00001845" w:rsidRPr="004E2649" w:rsidRDefault="0000184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B20C03">
                        <w:rPr>
                          <w:rFonts w:asciiTheme="majorHAnsi" w:hAnsiTheme="majorHAnsi" w:cs="Arial"/>
                          <w:b/>
                          <w:bCs/>
                          <w:color w:val="0D0D0D" w:themeColor="text1" w:themeTint="F2"/>
                          <w:sz w:val="36"/>
                          <w:szCs w:val="22"/>
                          <w:lang w:val="es-ES_tradnl"/>
                        </w:rPr>
                        <w:t xml:space="preserve"> 202</w:t>
                      </w:r>
                      <w:r>
                        <w:rPr>
                          <w:rFonts w:asciiTheme="majorHAnsi" w:hAnsiTheme="majorHAnsi" w:cs="Arial"/>
                          <w:b/>
                          <w:bCs/>
                          <w:color w:val="0D0D0D" w:themeColor="text1" w:themeTint="F2"/>
                          <w:sz w:val="36"/>
                          <w:szCs w:val="22"/>
                          <w:lang w:val="es-ES_tradnl"/>
                        </w:rPr>
                        <w:t>/</w:t>
                      </w:r>
                      <w:r w:rsidR="0056618E">
                        <w:rPr>
                          <w:rFonts w:asciiTheme="majorHAnsi" w:hAnsiTheme="majorHAnsi" w:cs="Arial"/>
                          <w:b/>
                          <w:bCs/>
                          <w:color w:val="0D0D0D" w:themeColor="text1" w:themeTint="F2"/>
                          <w:sz w:val="36"/>
                          <w:szCs w:val="22"/>
                          <w:lang w:val="es-ES_tradnl"/>
                        </w:rPr>
                        <w:t>20</w:t>
                      </w:r>
                    </w:p>
                    <w:p w14:paraId="3F98B66C" w14:textId="77777777" w:rsidR="00001845" w:rsidRDefault="0000184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14:paraId="609B3156" w14:textId="77777777" w:rsidR="00001845" w:rsidRPr="0010736F" w:rsidRDefault="0000184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3CC0A3DB" w14:textId="77777777" w:rsidR="00001845" w:rsidRPr="0010736F" w:rsidRDefault="00001845" w:rsidP="00997BC5">
                      <w:pPr>
                        <w:spacing w:line="276" w:lineRule="auto"/>
                        <w:rPr>
                          <w:rFonts w:asciiTheme="majorHAnsi" w:hAnsiTheme="majorHAnsi" w:cs="Arial"/>
                          <w:color w:val="0D0D0D" w:themeColor="text1" w:themeTint="F2"/>
                          <w:szCs w:val="22"/>
                          <w:lang w:val="es-ES_tradnl"/>
                        </w:rPr>
                      </w:pPr>
                      <w:bookmarkStart w:id="1" w:name="_ftnref1"/>
                    </w:p>
                    <w:p w14:paraId="455AECD0" w14:textId="77777777" w:rsidR="00001845" w:rsidRPr="0010736F" w:rsidRDefault="0000184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PUEBLO INDÍGENA WAYÚU</w:t>
                      </w:r>
                    </w:p>
                    <w:bookmarkEnd w:id="1"/>
                    <w:p w14:paraId="4C3BC2C0" w14:textId="77777777" w:rsidR="00001845" w:rsidRPr="0010736F" w:rsidRDefault="0000184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2BAB1BC3" w14:textId="77777777" w:rsidR="00001845" w:rsidRPr="00AE5488" w:rsidRDefault="00001845" w:rsidP="007A5817">
                      <w:pPr>
                        <w:rPr>
                          <w:color w:val="0D0D0D" w:themeColor="text1" w:themeTint="F2"/>
                          <w:lang w:val="es-ES_tradnl"/>
                        </w:rPr>
                      </w:pPr>
                    </w:p>
                  </w:txbxContent>
                </v:textbox>
              </v:shape>
            </w:pict>
          </mc:Fallback>
        </mc:AlternateContent>
      </w:r>
      <w:r w:rsidR="004E2649" w:rsidRPr="001F0F69">
        <w:rPr>
          <w:rFonts w:asciiTheme="majorHAnsi" w:hAnsiTheme="majorHAnsi"/>
          <w:noProof/>
          <w:sz w:val="22"/>
          <w:szCs w:val="22"/>
          <w:lang w:val="en-US" w:eastAsia="en-US"/>
        </w:rPr>
        <mc:AlternateContent>
          <mc:Choice Requires="wps">
            <w:drawing>
              <wp:anchor distT="0" distB="0" distL="114300" distR="114300" simplePos="0" relativeHeight="251671552" behindDoc="0" locked="0" layoutInCell="1" allowOverlap="1" wp14:anchorId="649D2AB1" wp14:editId="7C7BB47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B31E42" w14:textId="0D371C4E" w:rsidR="00001845" w:rsidRPr="00935F06" w:rsidRDefault="00B20C0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79CC96D" w14:textId="72D1BA3F" w:rsidR="00001845" w:rsidRPr="00935F06" w:rsidRDefault="00001845"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B20C03">
                              <w:rPr>
                                <w:rFonts w:asciiTheme="minorHAnsi" w:hAnsiTheme="minorHAnsi"/>
                                <w:color w:val="FFFFFF" w:themeColor="background1"/>
                                <w:sz w:val="22"/>
                                <w:lang w:val="pt-BR"/>
                              </w:rPr>
                              <w:t>216</w:t>
                            </w:r>
                          </w:p>
                          <w:p w14:paraId="04E859C1" w14:textId="1BFEF3A9" w:rsidR="00001845" w:rsidRPr="001B4C00" w:rsidRDefault="00B20C03"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4 agosto</w:t>
                            </w:r>
                            <w:r w:rsidR="00001845" w:rsidRPr="001B4C00">
                              <w:rPr>
                                <w:rFonts w:asciiTheme="minorHAnsi" w:hAnsiTheme="minorHAnsi"/>
                                <w:color w:val="FFFFFF" w:themeColor="background1"/>
                                <w:sz w:val="22"/>
                                <w:lang w:val="es-ES"/>
                              </w:rPr>
                              <w:t xml:space="preserve"> 20</w:t>
                            </w:r>
                            <w:r w:rsidR="0056618E">
                              <w:rPr>
                                <w:rFonts w:asciiTheme="minorHAnsi" w:hAnsiTheme="minorHAnsi"/>
                                <w:color w:val="FFFFFF" w:themeColor="background1"/>
                                <w:sz w:val="22"/>
                                <w:lang w:val="es-ES"/>
                              </w:rPr>
                              <w:t>20</w:t>
                            </w:r>
                          </w:p>
                          <w:p w14:paraId="60C7FDF4" w14:textId="77777777" w:rsidR="00001845" w:rsidRPr="001B4C00" w:rsidRDefault="00001845"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49D2AB1"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9B31E42" w14:textId="0D371C4E" w:rsidR="00001845" w:rsidRPr="00935F06" w:rsidRDefault="00B20C0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79CC96D" w14:textId="72D1BA3F" w:rsidR="00001845" w:rsidRPr="00935F06" w:rsidRDefault="00001845"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B20C03">
                        <w:rPr>
                          <w:rFonts w:asciiTheme="minorHAnsi" w:hAnsiTheme="minorHAnsi"/>
                          <w:color w:val="FFFFFF" w:themeColor="background1"/>
                          <w:sz w:val="22"/>
                          <w:lang w:val="pt-BR"/>
                        </w:rPr>
                        <w:t>216</w:t>
                      </w:r>
                    </w:p>
                    <w:p w14:paraId="04E859C1" w14:textId="1BFEF3A9" w:rsidR="00001845" w:rsidRPr="001B4C00" w:rsidRDefault="00B20C03"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4 agosto</w:t>
                      </w:r>
                      <w:r w:rsidR="00001845" w:rsidRPr="001B4C00">
                        <w:rPr>
                          <w:rFonts w:asciiTheme="minorHAnsi" w:hAnsiTheme="minorHAnsi"/>
                          <w:color w:val="FFFFFF" w:themeColor="background1"/>
                          <w:sz w:val="22"/>
                          <w:lang w:val="es-ES"/>
                        </w:rPr>
                        <w:t xml:space="preserve"> 20</w:t>
                      </w:r>
                      <w:r w:rsidR="0056618E">
                        <w:rPr>
                          <w:rFonts w:asciiTheme="minorHAnsi" w:hAnsiTheme="minorHAnsi"/>
                          <w:color w:val="FFFFFF" w:themeColor="background1"/>
                          <w:sz w:val="22"/>
                          <w:lang w:val="es-ES"/>
                        </w:rPr>
                        <w:t>20</w:t>
                      </w:r>
                    </w:p>
                    <w:p w14:paraId="60C7FDF4" w14:textId="77777777" w:rsidR="00001845" w:rsidRPr="001B4C00" w:rsidRDefault="00001845"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6A615937" w14:textId="77777777" w:rsidR="00040C3A" w:rsidRPr="001F0F69" w:rsidRDefault="00040C3A" w:rsidP="00040C3A">
      <w:pPr>
        <w:tabs>
          <w:tab w:val="center" w:pos="5400"/>
        </w:tabs>
        <w:suppressAutoHyphens/>
        <w:jc w:val="center"/>
        <w:rPr>
          <w:rFonts w:asciiTheme="majorHAnsi" w:hAnsiTheme="majorHAnsi"/>
          <w:sz w:val="22"/>
          <w:szCs w:val="22"/>
          <w:lang w:val="es-AR"/>
        </w:rPr>
      </w:pPr>
    </w:p>
    <w:p w14:paraId="33A87EBA" w14:textId="77777777" w:rsidR="00040C3A" w:rsidRPr="001F0F69" w:rsidRDefault="00040C3A" w:rsidP="00040C3A">
      <w:pPr>
        <w:tabs>
          <w:tab w:val="center" w:pos="5400"/>
        </w:tabs>
        <w:suppressAutoHyphens/>
        <w:jc w:val="center"/>
        <w:rPr>
          <w:rFonts w:asciiTheme="majorHAnsi" w:hAnsiTheme="majorHAnsi"/>
          <w:sz w:val="22"/>
          <w:szCs w:val="22"/>
          <w:lang w:val="es-AR"/>
        </w:rPr>
      </w:pPr>
    </w:p>
    <w:p w14:paraId="6212870D" w14:textId="77777777" w:rsidR="00040C3A" w:rsidRPr="001F0F69" w:rsidRDefault="00040C3A" w:rsidP="00040C3A">
      <w:pPr>
        <w:tabs>
          <w:tab w:val="center" w:pos="5400"/>
        </w:tabs>
        <w:suppressAutoHyphens/>
        <w:jc w:val="center"/>
        <w:rPr>
          <w:rFonts w:asciiTheme="majorHAnsi" w:hAnsiTheme="majorHAnsi" w:cs="Arial"/>
          <w:sz w:val="22"/>
          <w:szCs w:val="22"/>
          <w:lang w:val="es-AR"/>
        </w:rPr>
      </w:pPr>
    </w:p>
    <w:p w14:paraId="7BD3E39F" w14:textId="77777777" w:rsidR="00040C3A" w:rsidRPr="001F0F69" w:rsidRDefault="00040C3A" w:rsidP="00040C3A">
      <w:pPr>
        <w:tabs>
          <w:tab w:val="center" w:pos="5400"/>
        </w:tabs>
        <w:suppressAutoHyphens/>
        <w:jc w:val="center"/>
        <w:rPr>
          <w:rFonts w:asciiTheme="majorHAnsi" w:hAnsiTheme="majorHAnsi"/>
          <w:sz w:val="22"/>
          <w:szCs w:val="22"/>
          <w:lang w:val="es-AR"/>
        </w:rPr>
      </w:pPr>
    </w:p>
    <w:p w14:paraId="0AD04C2B" w14:textId="77777777" w:rsidR="00040C3A" w:rsidRPr="001F0F69" w:rsidRDefault="00040C3A" w:rsidP="00040C3A">
      <w:pPr>
        <w:tabs>
          <w:tab w:val="center" w:pos="5400"/>
        </w:tabs>
        <w:suppressAutoHyphens/>
        <w:jc w:val="center"/>
        <w:rPr>
          <w:rFonts w:asciiTheme="majorHAnsi" w:hAnsiTheme="majorHAnsi"/>
          <w:sz w:val="22"/>
          <w:szCs w:val="22"/>
          <w:lang w:val="es-AR"/>
        </w:rPr>
      </w:pPr>
    </w:p>
    <w:p w14:paraId="7406B568" w14:textId="77777777" w:rsidR="00040C3A" w:rsidRPr="001F0F69" w:rsidRDefault="00040C3A" w:rsidP="00040C3A">
      <w:pPr>
        <w:tabs>
          <w:tab w:val="center" w:pos="5400"/>
        </w:tabs>
        <w:suppressAutoHyphens/>
        <w:jc w:val="center"/>
        <w:rPr>
          <w:rFonts w:asciiTheme="majorHAnsi" w:hAnsiTheme="majorHAnsi"/>
          <w:sz w:val="22"/>
          <w:szCs w:val="22"/>
          <w:lang w:val="es-AR"/>
        </w:rPr>
      </w:pPr>
    </w:p>
    <w:p w14:paraId="406A41EE" w14:textId="77777777" w:rsidR="00040C3A" w:rsidRPr="001F0F69" w:rsidRDefault="00040C3A" w:rsidP="00040C3A">
      <w:pPr>
        <w:tabs>
          <w:tab w:val="center" w:pos="5400"/>
        </w:tabs>
        <w:suppressAutoHyphens/>
        <w:jc w:val="center"/>
        <w:rPr>
          <w:rFonts w:asciiTheme="majorHAnsi" w:hAnsiTheme="majorHAnsi"/>
          <w:sz w:val="22"/>
          <w:szCs w:val="22"/>
          <w:lang w:val="es-AR"/>
        </w:rPr>
      </w:pPr>
    </w:p>
    <w:p w14:paraId="477017B6" w14:textId="77777777" w:rsidR="005128E4" w:rsidRPr="001F0F69" w:rsidRDefault="005128E4" w:rsidP="00040C3A">
      <w:pPr>
        <w:tabs>
          <w:tab w:val="center" w:pos="5400"/>
        </w:tabs>
        <w:suppressAutoHyphens/>
        <w:jc w:val="center"/>
        <w:rPr>
          <w:rFonts w:asciiTheme="majorHAnsi" w:hAnsiTheme="majorHAnsi"/>
          <w:sz w:val="22"/>
          <w:szCs w:val="22"/>
          <w:lang w:val="es-AR"/>
        </w:rPr>
      </w:pPr>
    </w:p>
    <w:p w14:paraId="324A6933" w14:textId="77777777" w:rsidR="00040C3A" w:rsidRPr="001F0F69" w:rsidRDefault="00040C3A" w:rsidP="00040C3A">
      <w:pPr>
        <w:tabs>
          <w:tab w:val="center" w:pos="5400"/>
        </w:tabs>
        <w:suppressAutoHyphens/>
        <w:jc w:val="center"/>
        <w:rPr>
          <w:rFonts w:asciiTheme="majorHAnsi" w:hAnsiTheme="majorHAnsi"/>
          <w:sz w:val="22"/>
          <w:szCs w:val="22"/>
          <w:lang w:val="es-AR"/>
        </w:rPr>
      </w:pPr>
    </w:p>
    <w:p w14:paraId="6BB29953" w14:textId="77777777" w:rsidR="005128E4" w:rsidRPr="001F0F69" w:rsidRDefault="005128E4" w:rsidP="00040C3A">
      <w:pPr>
        <w:tabs>
          <w:tab w:val="center" w:pos="5400"/>
        </w:tabs>
        <w:suppressAutoHyphens/>
        <w:jc w:val="center"/>
        <w:rPr>
          <w:rFonts w:asciiTheme="majorHAnsi" w:hAnsiTheme="majorHAnsi"/>
          <w:sz w:val="22"/>
          <w:szCs w:val="22"/>
          <w:lang w:val="es-AR"/>
        </w:rPr>
      </w:pPr>
    </w:p>
    <w:p w14:paraId="3DB0F027" w14:textId="77777777" w:rsidR="005128E4" w:rsidRPr="001F0F69" w:rsidRDefault="005128E4" w:rsidP="00040C3A">
      <w:pPr>
        <w:tabs>
          <w:tab w:val="center" w:pos="5400"/>
        </w:tabs>
        <w:suppressAutoHyphens/>
        <w:jc w:val="center"/>
        <w:rPr>
          <w:rFonts w:asciiTheme="majorHAnsi" w:hAnsiTheme="majorHAnsi"/>
          <w:sz w:val="22"/>
          <w:szCs w:val="22"/>
          <w:lang w:val="es-AR"/>
        </w:rPr>
      </w:pPr>
    </w:p>
    <w:p w14:paraId="47F9CA54" w14:textId="77777777" w:rsidR="005128E4" w:rsidRPr="001F0F69" w:rsidRDefault="005128E4" w:rsidP="00040C3A">
      <w:pPr>
        <w:tabs>
          <w:tab w:val="center" w:pos="5400"/>
        </w:tabs>
        <w:suppressAutoHyphens/>
        <w:jc w:val="center"/>
        <w:rPr>
          <w:rFonts w:asciiTheme="majorHAnsi" w:hAnsiTheme="majorHAnsi"/>
          <w:sz w:val="22"/>
          <w:szCs w:val="22"/>
          <w:lang w:val="es-AR"/>
        </w:rPr>
      </w:pPr>
    </w:p>
    <w:p w14:paraId="54D3E144" w14:textId="77777777" w:rsidR="00040C3A" w:rsidRPr="001F0F69" w:rsidRDefault="00040C3A" w:rsidP="00040C3A">
      <w:pPr>
        <w:tabs>
          <w:tab w:val="center" w:pos="5400"/>
        </w:tabs>
        <w:suppressAutoHyphens/>
        <w:jc w:val="center"/>
        <w:rPr>
          <w:rFonts w:asciiTheme="majorHAnsi" w:hAnsiTheme="majorHAnsi"/>
          <w:sz w:val="22"/>
          <w:szCs w:val="22"/>
          <w:lang w:val="es-AR"/>
        </w:rPr>
      </w:pPr>
    </w:p>
    <w:p w14:paraId="5F75C4FE" w14:textId="77777777" w:rsidR="00040C3A" w:rsidRPr="001F0F69" w:rsidRDefault="00040C3A" w:rsidP="00040C3A">
      <w:pPr>
        <w:tabs>
          <w:tab w:val="center" w:pos="5400"/>
        </w:tabs>
        <w:suppressAutoHyphens/>
        <w:jc w:val="center"/>
        <w:rPr>
          <w:rFonts w:asciiTheme="majorHAnsi" w:hAnsiTheme="majorHAnsi"/>
          <w:sz w:val="22"/>
          <w:szCs w:val="22"/>
          <w:lang w:val="es-AR"/>
        </w:rPr>
      </w:pPr>
    </w:p>
    <w:p w14:paraId="44133591" w14:textId="77777777" w:rsidR="00A50FCF" w:rsidRPr="001F0F69" w:rsidRDefault="00A50FCF" w:rsidP="00040C3A">
      <w:pPr>
        <w:tabs>
          <w:tab w:val="center" w:pos="5400"/>
        </w:tabs>
        <w:suppressAutoHyphens/>
        <w:jc w:val="center"/>
        <w:rPr>
          <w:rFonts w:asciiTheme="majorHAnsi" w:hAnsiTheme="majorHAnsi"/>
          <w:sz w:val="18"/>
          <w:szCs w:val="22"/>
          <w:lang w:val="es-AR"/>
        </w:rPr>
      </w:pPr>
    </w:p>
    <w:p w14:paraId="2FFAC7BB" w14:textId="77777777" w:rsidR="00A50FCF" w:rsidRPr="001F0F69" w:rsidRDefault="00A50FCF" w:rsidP="00040C3A">
      <w:pPr>
        <w:tabs>
          <w:tab w:val="center" w:pos="5400"/>
        </w:tabs>
        <w:suppressAutoHyphens/>
        <w:jc w:val="center"/>
        <w:rPr>
          <w:rFonts w:asciiTheme="majorHAnsi" w:hAnsiTheme="majorHAnsi"/>
          <w:sz w:val="18"/>
          <w:szCs w:val="22"/>
          <w:lang w:val="es-AR"/>
        </w:rPr>
      </w:pPr>
    </w:p>
    <w:p w14:paraId="42CD126C" w14:textId="77777777" w:rsidR="00A50FCF" w:rsidRPr="001F0F69" w:rsidRDefault="00A50FCF" w:rsidP="00040C3A">
      <w:pPr>
        <w:tabs>
          <w:tab w:val="center" w:pos="5400"/>
        </w:tabs>
        <w:suppressAutoHyphens/>
        <w:jc w:val="center"/>
        <w:rPr>
          <w:rFonts w:asciiTheme="majorHAnsi" w:hAnsiTheme="majorHAnsi"/>
          <w:sz w:val="18"/>
          <w:szCs w:val="22"/>
          <w:lang w:val="es-AR"/>
        </w:rPr>
      </w:pPr>
    </w:p>
    <w:p w14:paraId="504889A2" w14:textId="77777777" w:rsidR="00A50FCF" w:rsidRPr="001F0F69" w:rsidRDefault="00A50FCF" w:rsidP="00040C3A">
      <w:pPr>
        <w:tabs>
          <w:tab w:val="center" w:pos="5400"/>
        </w:tabs>
        <w:suppressAutoHyphens/>
        <w:jc w:val="center"/>
        <w:rPr>
          <w:rFonts w:asciiTheme="majorHAnsi" w:hAnsiTheme="majorHAnsi"/>
          <w:sz w:val="18"/>
          <w:szCs w:val="22"/>
          <w:lang w:val="es-AR"/>
        </w:rPr>
      </w:pPr>
    </w:p>
    <w:p w14:paraId="09D4E1DF" w14:textId="77777777" w:rsidR="00A50FCF" w:rsidRPr="001F0F69" w:rsidRDefault="00A50FCF" w:rsidP="00040C3A">
      <w:pPr>
        <w:tabs>
          <w:tab w:val="center" w:pos="5400"/>
        </w:tabs>
        <w:suppressAutoHyphens/>
        <w:jc w:val="center"/>
        <w:rPr>
          <w:rFonts w:asciiTheme="majorHAnsi" w:hAnsiTheme="majorHAnsi"/>
          <w:sz w:val="18"/>
          <w:szCs w:val="22"/>
          <w:lang w:val="es-AR"/>
        </w:rPr>
      </w:pPr>
    </w:p>
    <w:p w14:paraId="46E9EF91" w14:textId="77777777" w:rsidR="00A50FCF" w:rsidRPr="001F0F69" w:rsidRDefault="00A50FCF" w:rsidP="00040C3A">
      <w:pPr>
        <w:tabs>
          <w:tab w:val="center" w:pos="5400"/>
        </w:tabs>
        <w:suppressAutoHyphens/>
        <w:jc w:val="center"/>
        <w:rPr>
          <w:rFonts w:asciiTheme="majorHAnsi" w:hAnsiTheme="majorHAnsi"/>
          <w:sz w:val="18"/>
          <w:szCs w:val="22"/>
          <w:lang w:val="es-AR"/>
        </w:rPr>
      </w:pPr>
    </w:p>
    <w:p w14:paraId="1798796D" w14:textId="77777777" w:rsidR="00A50FCF" w:rsidRPr="00F7146D" w:rsidRDefault="00A50FCF" w:rsidP="00040C3A">
      <w:pPr>
        <w:tabs>
          <w:tab w:val="center" w:pos="5400"/>
        </w:tabs>
        <w:suppressAutoHyphens/>
        <w:jc w:val="center"/>
        <w:rPr>
          <w:rFonts w:asciiTheme="majorHAnsi" w:hAnsiTheme="majorHAnsi"/>
          <w:sz w:val="18"/>
          <w:szCs w:val="22"/>
          <w:lang w:val="en-US"/>
        </w:rPr>
      </w:pPr>
    </w:p>
    <w:p w14:paraId="4F7705B7" w14:textId="77777777" w:rsidR="00A50FCF" w:rsidRPr="001F0F69" w:rsidRDefault="00A50FCF" w:rsidP="00040C3A">
      <w:pPr>
        <w:tabs>
          <w:tab w:val="center" w:pos="5400"/>
        </w:tabs>
        <w:suppressAutoHyphens/>
        <w:jc w:val="center"/>
        <w:rPr>
          <w:rFonts w:asciiTheme="majorHAnsi" w:hAnsiTheme="majorHAnsi"/>
          <w:sz w:val="18"/>
          <w:szCs w:val="22"/>
          <w:lang w:val="es-AR"/>
        </w:rPr>
      </w:pPr>
    </w:p>
    <w:p w14:paraId="24232363" w14:textId="77777777" w:rsidR="00A50FCF" w:rsidRPr="001F0F69" w:rsidRDefault="00A50FCF" w:rsidP="00040C3A">
      <w:pPr>
        <w:tabs>
          <w:tab w:val="center" w:pos="5400"/>
        </w:tabs>
        <w:suppressAutoHyphens/>
        <w:jc w:val="center"/>
        <w:rPr>
          <w:rFonts w:asciiTheme="majorHAnsi" w:hAnsiTheme="majorHAnsi"/>
          <w:sz w:val="18"/>
          <w:szCs w:val="22"/>
          <w:lang w:val="es-AR"/>
        </w:rPr>
      </w:pPr>
    </w:p>
    <w:p w14:paraId="731141A3" w14:textId="77777777" w:rsidR="00A50FCF" w:rsidRPr="001F0F69" w:rsidRDefault="00A50FCF" w:rsidP="00040C3A">
      <w:pPr>
        <w:tabs>
          <w:tab w:val="center" w:pos="5400"/>
        </w:tabs>
        <w:suppressAutoHyphens/>
        <w:jc w:val="center"/>
        <w:rPr>
          <w:rFonts w:asciiTheme="majorHAnsi" w:hAnsiTheme="majorHAnsi"/>
          <w:sz w:val="18"/>
          <w:szCs w:val="22"/>
          <w:lang w:val="es-AR"/>
        </w:rPr>
      </w:pPr>
    </w:p>
    <w:p w14:paraId="780FFEA6" w14:textId="77777777" w:rsidR="00A50FCF" w:rsidRPr="001F0F69" w:rsidRDefault="00A50FCF" w:rsidP="00040C3A">
      <w:pPr>
        <w:tabs>
          <w:tab w:val="center" w:pos="5400"/>
        </w:tabs>
        <w:suppressAutoHyphens/>
        <w:jc w:val="center"/>
        <w:rPr>
          <w:rFonts w:asciiTheme="majorHAnsi" w:hAnsiTheme="majorHAnsi"/>
          <w:sz w:val="18"/>
          <w:szCs w:val="22"/>
          <w:lang w:val="es-AR"/>
        </w:rPr>
      </w:pPr>
    </w:p>
    <w:p w14:paraId="18A93100" w14:textId="77777777" w:rsidR="00A50FCF" w:rsidRPr="001F0F69" w:rsidRDefault="00A50FCF" w:rsidP="00040C3A">
      <w:pPr>
        <w:tabs>
          <w:tab w:val="center" w:pos="5400"/>
        </w:tabs>
        <w:suppressAutoHyphens/>
        <w:jc w:val="center"/>
        <w:rPr>
          <w:rFonts w:asciiTheme="majorHAnsi" w:hAnsiTheme="majorHAnsi"/>
          <w:sz w:val="18"/>
          <w:szCs w:val="22"/>
          <w:lang w:val="es-AR"/>
        </w:rPr>
      </w:pPr>
    </w:p>
    <w:p w14:paraId="2DC988DF" w14:textId="77777777" w:rsidR="00A50FCF" w:rsidRPr="001F0F69" w:rsidRDefault="00A50FCF" w:rsidP="00040C3A">
      <w:pPr>
        <w:tabs>
          <w:tab w:val="center" w:pos="5400"/>
        </w:tabs>
        <w:suppressAutoHyphens/>
        <w:jc w:val="center"/>
        <w:rPr>
          <w:rFonts w:asciiTheme="majorHAnsi" w:hAnsiTheme="majorHAnsi"/>
          <w:sz w:val="18"/>
          <w:szCs w:val="22"/>
          <w:lang w:val="es-AR"/>
        </w:rPr>
      </w:pPr>
    </w:p>
    <w:p w14:paraId="27948B82" w14:textId="77777777" w:rsidR="00A50FCF" w:rsidRPr="001F0F69" w:rsidRDefault="00A50FCF" w:rsidP="00040C3A">
      <w:pPr>
        <w:tabs>
          <w:tab w:val="center" w:pos="5400"/>
        </w:tabs>
        <w:suppressAutoHyphens/>
        <w:jc w:val="center"/>
        <w:rPr>
          <w:rFonts w:asciiTheme="majorHAnsi" w:hAnsiTheme="majorHAnsi"/>
          <w:sz w:val="18"/>
          <w:szCs w:val="22"/>
          <w:lang w:val="es-AR"/>
        </w:rPr>
      </w:pPr>
    </w:p>
    <w:p w14:paraId="08B8D26C" w14:textId="77777777" w:rsidR="00A50FCF" w:rsidRPr="001F0F69" w:rsidRDefault="0090270B" w:rsidP="00040C3A">
      <w:pPr>
        <w:tabs>
          <w:tab w:val="center" w:pos="5400"/>
        </w:tabs>
        <w:suppressAutoHyphens/>
        <w:jc w:val="center"/>
        <w:rPr>
          <w:rFonts w:asciiTheme="majorHAnsi" w:hAnsiTheme="majorHAnsi"/>
          <w:sz w:val="18"/>
          <w:szCs w:val="22"/>
          <w:lang w:val="es-AR"/>
        </w:rPr>
      </w:pPr>
      <w:r w:rsidRPr="001F0F69">
        <w:rPr>
          <w:rFonts w:asciiTheme="majorHAnsi" w:hAnsiTheme="majorHAnsi"/>
          <w:noProof/>
          <w:sz w:val="22"/>
          <w:szCs w:val="22"/>
          <w:lang w:val="en-US" w:eastAsia="en-US"/>
        </w:rPr>
        <mc:AlternateContent>
          <mc:Choice Requires="wps">
            <w:drawing>
              <wp:anchor distT="0" distB="0" distL="114300" distR="114300" simplePos="0" relativeHeight="251670528" behindDoc="0" locked="0" layoutInCell="1" allowOverlap="1" wp14:anchorId="30C85111" wp14:editId="0FDAC66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3240C" w14:textId="0ABF45A4" w:rsidR="00001845" w:rsidRPr="00890650" w:rsidRDefault="00001845"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20C03">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B20C03">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56618E">
                              <w:rPr>
                                <w:rFonts w:asciiTheme="majorHAnsi" w:hAnsiTheme="majorHAnsi"/>
                                <w:color w:val="0D0D0D" w:themeColor="text1" w:themeTint="F2"/>
                                <w:sz w:val="18"/>
                                <w:szCs w:val="22"/>
                                <w:lang w:val="es-ES"/>
                              </w:rPr>
                              <w:t>20</w:t>
                            </w:r>
                            <w:r w:rsidR="006C1AE6">
                              <w:rPr>
                                <w:rFonts w:asciiTheme="majorHAnsi" w:hAnsiTheme="majorHAnsi"/>
                                <w:color w:val="0D0D0D" w:themeColor="text1" w:themeTint="F2"/>
                                <w:sz w:val="18"/>
                                <w:szCs w:val="22"/>
                                <w:lang w:val="es-ES"/>
                              </w:rPr>
                              <w:t>.</w:t>
                            </w:r>
                          </w:p>
                          <w:p w14:paraId="59EAA7D7" w14:textId="77777777" w:rsidR="00001845" w:rsidRPr="007A5817" w:rsidRDefault="00001845" w:rsidP="00247403">
                            <w:pPr>
                              <w:tabs>
                                <w:tab w:val="center" w:pos="5400"/>
                              </w:tabs>
                              <w:suppressAutoHyphens/>
                              <w:spacing w:before="60"/>
                              <w:rPr>
                                <w:rFonts w:asciiTheme="minorHAnsi" w:hAnsiTheme="minorHAnsi" w:cs="Univers"/>
                                <w:color w:val="0D0D0D" w:themeColor="text1" w:themeTint="F2"/>
                                <w:sz w:val="20"/>
                                <w:szCs w:val="20"/>
                                <w:lang w:val="es-ES"/>
                              </w:rPr>
                            </w:pPr>
                          </w:p>
                          <w:p w14:paraId="1A35C7E3" w14:textId="77777777" w:rsidR="00001845" w:rsidRPr="00167A34" w:rsidRDefault="00001845"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85111"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9E3240C" w14:textId="0ABF45A4" w:rsidR="00001845" w:rsidRPr="00890650" w:rsidRDefault="00001845"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20C03">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B20C03">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56618E">
                        <w:rPr>
                          <w:rFonts w:asciiTheme="majorHAnsi" w:hAnsiTheme="majorHAnsi"/>
                          <w:color w:val="0D0D0D" w:themeColor="text1" w:themeTint="F2"/>
                          <w:sz w:val="18"/>
                          <w:szCs w:val="22"/>
                          <w:lang w:val="es-ES"/>
                        </w:rPr>
                        <w:t>20</w:t>
                      </w:r>
                      <w:r w:rsidR="006C1AE6">
                        <w:rPr>
                          <w:rFonts w:asciiTheme="majorHAnsi" w:hAnsiTheme="majorHAnsi"/>
                          <w:color w:val="0D0D0D" w:themeColor="text1" w:themeTint="F2"/>
                          <w:sz w:val="18"/>
                          <w:szCs w:val="22"/>
                          <w:lang w:val="es-ES"/>
                        </w:rPr>
                        <w:t>.</w:t>
                      </w:r>
                    </w:p>
                    <w:p w14:paraId="59EAA7D7" w14:textId="77777777" w:rsidR="00001845" w:rsidRPr="007A5817" w:rsidRDefault="00001845" w:rsidP="00247403">
                      <w:pPr>
                        <w:tabs>
                          <w:tab w:val="center" w:pos="5400"/>
                        </w:tabs>
                        <w:suppressAutoHyphens/>
                        <w:spacing w:before="60"/>
                        <w:rPr>
                          <w:rFonts w:asciiTheme="minorHAnsi" w:hAnsiTheme="minorHAnsi" w:cs="Univers"/>
                          <w:color w:val="0D0D0D" w:themeColor="text1" w:themeTint="F2"/>
                          <w:sz w:val="20"/>
                          <w:szCs w:val="20"/>
                          <w:lang w:val="es-ES"/>
                        </w:rPr>
                      </w:pPr>
                    </w:p>
                    <w:p w14:paraId="1A35C7E3" w14:textId="77777777" w:rsidR="00001845" w:rsidRPr="00167A34" w:rsidRDefault="00001845"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56D24B2" w14:textId="77777777" w:rsidR="00A50FCF" w:rsidRPr="001F0F69" w:rsidRDefault="00A50FCF" w:rsidP="00040C3A">
      <w:pPr>
        <w:tabs>
          <w:tab w:val="center" w:pos="5400"/>
        </w:tabs>
        <w:suppressAutoHyphens/>
        <w:jc w:val="center"/>
        <w:rPr>
          <w:rFonts w:asciiTheme="majorHAnsi" w:hAnsiTheme="majorHAnsi"/>
          <w:sz w:val="18"/>
          <w:szCs w:val="22"/>
          <w:lang w:val="es-AR"/>
        </w:rPr>
      </w:pPr>
    </w:p>
    <w:p w14:paraId="372581A1" w14:textId="77777777" w:rsidR="00A50FCF" w:rsidRPr="001F0F69" w:rsidRDefault="00A50FCF" w:rsidP="00040C3A">
      <w:pPr>
        <w:tabs>
          <w:tab w:val="center" w:pos="5400"/>
        </w:tabs>
        <w:suppressAutoHyphens/>
        <w:jc w:val="center"/>
        <w:rPr>
          <w:rFonts w:asciiTheme="majorHAnsi" w:hAnsiTheme="majorHAnsi"/>
          <w:sz w:val="18"/>
          <w:szCs w:val="22"/>
          <w:lang w:val="es-AR"/>
        </w:rPr>
      </w:pPr>
    </w:p>
    <w:p w14:paraId="34EAC379" w14:textId="77777777" w:rsidR="00A50FCF" w:rsidRPr="001F0F69" w:rsidRDefault="00A50FCF" w:rsidP="00040C3A">
      <w:pPr>
        <w:tabs>
          <w:tab w:val="center" w:pos="5400"/>
        </w:tabs>
        <w:suppressAutoHyphens/>
        <w:jc w:val="center"/>
        <w:rPr>
          <w:rFonts w:asciiTheme="majorHAnsi" w:hAnsiTheme="majorHAnsi"/>
          <w:sz w:val="18"/>
          <w:szCs w:val="22"/>
          <w:lang w:val="es-AR"/>
        </w:rPr>
      </w:pPr>
    </w:p>
    <w:p w14:paraId="2D59C576" w14:textId="77777777" w:rsidR="00A50FCF" w:rsidRPr="001F0F69" w:rsidRDefault="00A50FCF" w:rsidP="00040C3A">
      <w:pPr>
        <w:tabs>
          <w:tab w:val="center" w:pos="5400"/>
        </w:tabs>
        <w:suppressAutoHyphens/>
        <w:jc w:val="center"/>
        <w:rPr>
          <w:rFonts w:asciiTheme="majorHAnsi" w:hAnsiTheme="majorHAnsi"/>
          <w:sz w:val="18"/>
          <w:szCs w:val="22"/>
          <w:lang w:val="es-AR"/>
        </w:rPr>
      </w:pPr>
    </w:p>
    <w:p w14:paraId="67F904CD" w14:textId="77777777" w:rsidR="00A50FCF" w:rsidRPr="001F0F69" w:rsidRDefault="0090270B" w:rsidP="00040C3A">
      <w:pPr>
        <w:tabs>
          <w:tab w:val="center" w:pos="5400"/>
        </w:tabs>
        <w:suppressAutoHyphens/>
        <w:jc w:val="center"/>
        <w:rPr>
          <w:rFonts w:asciiTheme="majorHAnsi" w:hAnsiTheme="majorHAnsi"/>
          <w:sz w:val="18"/>
          <w:szCs w:val="22"/>
          <w:lang w:val="es-AR"/>
        </w:rPr>
      </w:pPr>
      <w:r w:rsidRPr="001F0F69">
        <w:rPr>
          <w:rFonts w:asciiTheme="majorHAnsi" w:hAnsiTheme="majorHAnsi"/>
          <w:noProof/>
          <w:sz w:val="18"/>
          <w:szCs w:val="22"/>
          <w:lang w:val="en-US" w:eastAsia="en-US"/>
        </w:rPr>
        <mc:AlternateContent>
          <mc:Choice Requires="wps">
            <w:drawing>
              <wp:anchor distT="0" distB="0" distL="114300" distR="114300" simplePos="0" relativeHeight="251678720" behindDoc="0" locked="0" layoutInCell="1" allowOverlap="1" wp14:anchorId="56FB27DA" wp14:editId="7C34B16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AF4EC" w14:textId="0A296EB6" w:rsidR="00001845" w:rsidRPr="007B05C4" w:rsidRDefault="00001845"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20C03" w:rsidRPr="00B20C03">
                              <w:rPr>
                                <w:rFonts w:asciiTheme="majorHAnsi" w:hAnsiTheme="majorHAnsi"/>
                                <w:color w:val="595959" w:themeColor="text1" w:themeTint="A6"/>
                                <w:sz w:val="18"/>
                                <w:szCs w:val="18"/>
                                <w:lang w:val="pt-BR"/>
                              </w:rPr>
                              <w:t>202</w:t>
                            </w:r>
                            <w:r w:rsidRPr="00B20C03">
                              <w:rPr>
                                <w:rFonts w:asciiTheme="majorHAnsi" w:hAnsiTheme="majorHAnsi"/>
                                <w:color w:val="595959" w:themeColor="text1" w:themeTint="A6"/>
                                <w:sz w:val="18"/>
                                <w:szCs w:val="18"/>
                                <w:lang w:val="pt-BR"/>
                              </w:rPr>
                              <w:t>/</w:t>
                            </w:r>
                            <w:r w:rsidR="00871743" w:rsidRPr="00B20C03">
                              <w:rPr>
                                <w:rFonts w:asciiTheme="majorHAnsi" w:hAnsiTheme="majorHAnsi"/>
                                <w:color w:val="595959" w:themeColor="text1" w:themeTint="A6"/>
                                <w:sz w:val="18"/>
                                <w:szCs w:val="18"/>
                                <w:lang w:val="pt-BR"/>
                              </w:rPr>
                              <w:t xml:space="preserve">20. </w:t>
                            </w:r>
                            <w:r w:rsidR="00871743">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871743">
                              <w:rPr>
                                <w:rFonts w:asciiTheme="majorHAnsi" w:hAnsiTheme="majorHAnsi"/>
                                <w:color w:val="595959" w:themeColor="text1" w:themeTint="A6"/>
                                <w:sz w:val="18"/>
                                <w:szCs w:val="18"/>
                                <w:lang w:val="es-ES_tradnl"/>
                              </w:rPr>
                              <w:t xml:space="preserve">Pueblo indígena </w:t>
                            </w:r>
                            <w:proofErr w:type="spellStart"/>
                            <w:r w:rsidR="00871743">
                              <w:rPr>
                                <w:rFonts w:asciiTheme="majorHAnsi" w:hAnsiTheme="majorHAnsi"/>
                                <w:color w:val="595959" w:themeColor="text1" w:themeTint="A6"/>
                                <w:sz w:val="18"/>
                                <w:szCs w:val="18"/>
                                <w:lang w:val="es-ES_tradnl"/>
                              </w:rPr>
                              <w:t>Wayúu</w:t>
                            </w:r>
                            <w:proofErr w:type="spellEnd"/>
                            <w:r w:rsidRPr="00890650">
                              <w:rPr>
                                <w:rFonts w:asciiTheme="majorHAnsi" w:hAnsiTheme="majorHAnsi"/>
                                <w:color w:val="595959" w:themeColor="text1" w:themeTint="A6"/>
                                <w:sz w:val="18"/>
                                <w:szCs w:val="18"/>
                                <w:lang w:val="es-ES_tradnl"/>
                              </w:rPr>
                              <w:t xml:space="preserve">. </w:t>
                            </w:r>
                            <w:r w:rsidR="00871743">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F7146D">
                              <w:rPr>
                                <w:rFonts w:asciiTheme="majorHAnsi" w:hAnsiTheme="majorHAnsi"/>
                                <w:color w:val="595959" w:themeColor="text1" w:themeTint="A6"/>
                                <w:sz w:val="18"/>
                                <w:szCs w:val="18"/>
                                <w:lang w:val="es-ES_tradnl"/>
                              </w:rPr>
                              <w:t xml:space="preserve">            </w:t>
                            </w:r>
                            <w:r w:rsidR="00B20C03">
                              <w:rPr>
                                <w:rFonts w:asciiTheme="majorHAnsi" w:hAnsiTheme="majorHAnsi"/>
                                <w:color w:val="595959" w:themeColor="text1" w:themeTint="A6"/>
                                <w:sz w:val="18"/>
                                <w:szCs w:val="18"/>
                                <w:lang w:val="es-ES"/>
                              </w:rPr>
                              <w:t>4 de agosto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6FB27DA"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D3AF4EC" w14:textId="0A296EB6" w:rsidR="00001845" w:rsidRPr="007B05C4" w:rsidRDefault="00001845"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20C03" w:rsidRPr="00B20C03">
                        <w:rPr>
                          <w:rFonts w:asciiTheme="majorHAnsi" w:hAnsiTheme="majorHAnsi"/>
                          <w:color w:val="595959" w:themeColor="text1" w:themeTint="A6"/>
                          <w:sz w:val="18"/>
                          <w:szCs w:val="18"/>
                          <w:lang w:val="pt-BR"/>
                        </w:rPr>
                        <w:t>202</w:t>
                      </w:r>
                      <w:r w:rsidRPr="00B20C03">
                        <w:rPr>
                          <w:rFonts w:asciiTheme="majorHAnsi" w:hAnsiTheme="majorHAnsi"/>
                          <w:color w:val="595959" w:themeColor="text1" w:themeTint="A6"/>
                          <w:sz w:val="18"/>
                          <w:szCs w:val="18"/>
                          <w:lang w:val="pt-BR"/>
                        </w:rPr>
                        <w:t>/</w:t>
                      </w:r>
                      <w:r w:rsidR="00871743" w:rsidRPr="00B20C03">
                        <w:rPr>
                          <w:rFonts w:asciiTheme="majorHAnsi" w:hAnsiTheme="majorHAnsi"/>
                          <w:color w:val="595959" w:themeColor="text1" w:themeTint="A6"/>
                          <w:sz w:val="18"/>
                          <w:szCs w:val="18"/>
                          <w:lang w:val="pt-BR"/>
                        </w:rPr>
                        <w:t xml:space="preserve">20. </w:t>
                      </w:r>
                      <w:r w:rsidR="00871743">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871743">
                        <w:rPr>
                          <w:rFonts w:asciiTheme="majorHAnsi" w:hAnsiTheme="majorHAnsi"/>
                          <w:color w:val="595959" w:themeColor="text1" w:themeTint="A6"/>
                          <w:sz w:val="18"/>
                          <w:szCs w:val="18"/>
                          <w:lang w:val="es-ES_tradnl"/>
                        </w:rPr>
                        <w:t xml:space="preserve">Pueblo indígena </w:t>
                      </w:r>
                      <w:proofErr w:type="spellStart"/>
                      <w:r w:rsidR="00871743">
                        <w:rPr>
                          <w:rFonts w:asciiTheme="majorHAnsi" w:hAnsiTheme="majorHAnsi"/>
                          <w:color w:val="595959" w:themeColor="text1" w:themeTint="A6"/>
                          <w:sz w:val="18"/>
                          <w:szCs w:val="18"/>
                          <w:lang w:val="es-ES_tradnl"/>
                        </w:rPr>
                        <w:t>Wayúu</w:t>
                      </w:r>
                      <w:proofErr w:type="spellEnd"/>
                      <w:r w:rsidRPr="00890650">
                        <w:rPr>
                          <w:rFonts w:asciiTheme="majorHAnsi" w:hAnsiTheme="majorHAnsi"/>
                          <w:color w:val="595959" w:themeColor="text1" w:themeTint="A6"/>
                          <w:sz w:val="18"/>
                          <w:szCs w:val="18"/>
                          <w:lang w:val="es-ES_tradnl"/>
                        </w:rPr>
                        <w:t xml:space="preserve">. </w:t>
                      </w:r>
                      <w:r w:rsidR="00871743">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F7146D">
                        <w:rPr>
                          <w:rFonts w:asciiTheme="majorHAnsi" w:hAnsiTheme="majorHAnsi"/>
                          <w:color w:val="595959" w:themeColor="text1" w:themeTint="A6"/>
                          <w:sz w:val="18"/>
                          <w:szCs w:val="18"/>
                          <w:lang w:val="es-ES_tradnl"/>
                        </w:rPr>
                        <w:t xml:space="preserve">            </w:t>
                      </w:r>
                      <w:bookmarkStart w:id="3" w:name="_GoBack"/>
                      <w:bookmarkEnd w:id="3"/>
                      <w:r w:rsidR="00B20C03">
                        <w:rPr>
                          <w:rFonts w:asciiTheme="majorHAnsi" w:hAnsiTheme="majorHAnsi"/>
                          <w:color w:val="595959" w:themeColor="text1" w:themeTint="A6"/>
                          <w:sz w:val="18"/>
                          <w:szCs w:val="18"/>
                          <w:lang w:val="es-ES"/>
                        </w:rPr>
                        <w:t>4 de agosto de 2020</w:t>
                      </w:r>
                      <w:r w:rsidRPr="007B05C4">
                        <w:rPr>
                          <w:rFonts w:asciiTheme="majorHAnsi" w:hAnsiTheme="majorHAnsi"/>
                          <w:color w:val="595959" w:themeColor="text1" w:themeTint="A6"/>
                          <w:sz w:val="18"/>
                          <w:szCs w:val="18"/>
                          <w:lang w:val="es-ES"/>
                        </w:rPr>
                        <w:t>.</w:t>
                      </w:r>
                    </w:p>
                  </w:txbxContent>
                </v:textbox>
              </v:shape>
            </w:pict>
          </mc:Fallback>
        </mc:AlternateContent>
      </w:r>
    </w:p>
    <w:p w14:paraId="573A0A82" w14:textId="77777777" w:rsidR="00A50FCF" w:rsidRPr="001F0F69" w:rsidRDefault="00A50FCF" w:rsidP="00040C3A">
      <w:pPr>
        <w:tabs>
          <w:tab w:val="center" w:pos="5400"/>
        </w:tabs>
        <w:suppressAutoHyphens/>
        <w:jc w:val="center"/>
        <w:rPr>
          <w:rFonts w:asciiTheme="majorHAnsi" w:hAnsiTheme="majorHAnsi"/>
          <w:sz w:val="18"/>
          <w:szCs w:val="22"/>
          <w:lang w:val="es-AR"/>
        </w:rPr>
      </w:pPr>
    </w:p>
    <w:p w14:paraId="68B1F57D" w14:textId="77777777" w:rsidR="0090270B" w:rsidRPr="001F0F69" w:rsidRDefault="00D306D1" w:rsidP="005516A1">
      <w:pPr>
        <w:tabs>
          <w:tab w:val="center" w:pos="5400"/>
        </w:tabs>
        <w:suppressAutoHyphens/>
        <w:jc w:val="center"/>
        <w:rPr>
          <w:rFonts w:asciiTheme="majorHAnsi" w:hAnsiTheme="majorHAnsi"/>
          <w:b/>
          <w:sz w:val="20"/>
          <w:lang w:val="es-AR"/>
        </w:rPr>
      </w:pPr>
      <w:r w:rsidRPr="001F0F69">
        <w:rPr>
          <w:rFonts w:asciiTheme="majorHAnsi" w:hAnsiTheme="majorHAnsi"/>
          <w:noProof/>
          <w:sz w:val="18"/>
          <w:szCs w:val="22"/>
          <w:lang w:val="en-US" w:eastAsia="en-US"/>
        </w:rPr>
        <mc:AlternateContent>
          <mc:Choice Requires="wps">
            <w:drawing>
              <wp:anchor distT="0" distB="0" distL="114300" distR="114300" simplePos="0" relativeHeight="251680768" behindDoc="0" locked="0" layoutInCell="1" allowOverlap="1" wp14:anchorId="0C85D89E" wp14:editId="05D3DAF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3C224" w14:textId="77777777" w:rsidR="00001845" w:rsidRPr="00D72DC6" w:rsidRDefault="00001845" w:rsidP="00F02AD1">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2D16D8A6" wp14:editId="45945FBE">
                                  <wp:extent cx="1817914" cy="467658"/>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51292" cy="4762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C85D89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433C224" w14:textId="77777777" w:rsidR="00001845" w:rsidRPr="00D72DC6" w:rsidRDefault="00001845" w:rsidP="00F02AD1">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2D16D8A6" wp14:editId="45945FBE">
                            <wp:extent cx="1817914" cy="467658"/>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51292" cy="476244"/>
                                    </a:xfrm>
                                    <a:prstGeom prst="rect">
                                      <a:avLst/>
                                    </a:prstGeom>
                                    <a:noFill/>
                                    <a:ln>
                                      <a:noFill/>
                                    </a:ln>
                                  </pic:spPr>
                                </pic:pic>
                              </a:graphicData>
                            </a:graphic>
                          </wp:inline>
                        </w:drawing>
                      </w:r>
                    </w:p>
                  </w:txbxContent>
                </v:textbox>
              </v:shape>
            </w:pict>
          </mc:Fallback>
        </mc:AlternateContent>
      </w:r>
      <w:r w:rsidRPr="001F0F69">
        <w:rPr>
          <w:rFonts w:asciiTheme="majorHAnsi" w:hAnsiTheme="majorHAnsi"/>
          <w:noProof/>
          <w:sz w:val="22"/>
          <w:szCs w:val="22"/>
          <w:lang w:val="en-US" w:eastAsia="en-US"/>
        </w:rPr>
        <mc:AlternateContent>
          <mc:Choice Requires="wps">
            <w:drawing>
              <wp:anchor distT="0" distB="0" distL="114300" distR="114300" simplePos="0" relativeHeight="251682816" behindDoc="0" locked="0" layoutInCell="1" allowOverlap="1" wp14:anchorId="2B84576D" wp14:editId="0F1AC9B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26B26F" w14:textId="77777777" w:rsidR="00001845" w:rsidRPr="004B7EB6" w:rsidRDefault="0000184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B84576D"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1826B26F" w14:textId="77777777" w:rsidR="00001845" w:rsidRPr="004B7EB6" w:rsidRDefault="0000184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E23BB91" w14:textId="77777777" w:rsidR="0070697F" w:rsidRPr="001F0F69" w:rsidRDefault="004A6A54" w:rsidP="005516A1">
      <w:pPr>
        <w:tabs>
          <w:tab w:val="center" w:pos="5400"/>
        </w:tabs>
        <w:suppressAutoHyphens/>
        <w:jc w:val="center"/>
        <w:rPr>
          <w:rFonts w:asciiTheme="majorHAnsi" w:hAnsiTheme="majorHAnsi"/>
          <w:b/>
          <w:sz w:val="20"/>
          <w:lang w:val="es-AR"/>
        </w:rPr>
        <w:sectPr w:rsidR="0070697F" w:rsidRPr="001F0F69"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1F0F69">
        <w:rPr>
          <w:rFonts w:asciiTheme="majorHAnsi" w:hAnsiTheme="majorHAnsi"/>
          <w:b/>
          <w:sz w:val="20"/>
          <w:lang w:val="es-AR"/>
        </w:rPr>
        <w:tab/>
      </w:r>
    </w:p>
    <w:p w14:paraId="0BDF6685" w14:textId="77777777" w:rsidR="003239B8" w:rsidRPr="001F0F69" w:rsidRDefault="003239B8" w:rsidP="007C402A">
      <w:pPr>
        <w:spacing w:after="120"/>
        <w:ind w:firstLine="720"/>
        <w:jc w:val="both"/>
        <w:rPr>
          <w:rFonts w:asciiTheme="majorHAnsi" w:hAnsiTheme="majorHAnsi"/>
          <w:b/>
          <w:bCs/>
          <w:sz w:val="20"/>
          <w:szCs w:val="20"/>
          <w:lang w:val="es-AR"/>
        </w:rPr>
      </w:pPr>
      <w:r w:rsidRPr="001F0F69">
        <w:rPr>
          <w:rFonts w:asciiTheme="majorHAnsi" w:hAnsiTheme="majorHAnsi"/>
          <w:b/>
          <w:bCs/>
          <w:sz w:val="20"/>
          <w:szCs w:val="20"/>
          <w:lang w:val="es-AR"/>
        </w:rPr>
        <w:lastRenderedPageBreak/>
        <w:t>I.</w:t>
      </w:r>
      <w:r w:rsidRPr="001F0F69">
        <w:rPr>
          <w:rFonts w:asciiTheme="majorHAnsi" w:hAnsiTheme="majorHAnsi"/>
          <w:b/>
          <w:bCs/>
          <w:sz w:val="20"/>
          <w:szCs w:val="20"/>
          <w:lang w:val="es-AR"/>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1F0F69" w14:paraId="49B8AEB5" w14:textId="77777777" w:rsidTr="00954B82">
        <w:tc>
          <w:tcPr>
            <w:tcW w:w="2790" w:type="dxa"/>
            <w:tcBorders>
              <w:top w:val="single" w:sz="4" w:space="0" w:color="auto"/>
              <w:bottom w:val="single" w:sz="6" w:space="0" w:color="auto"/>
            </w:tcBorders>
            <w:shd w:val="clear" w:color="auto" w:fill="386294"/>
            <w:vAlign w:val="center"/>
          </w:tcPr>
          <w:p w14:paraId="146CC2AD" w14:textId="77777777" w:rsidR="003239B8" w:rsidRPr="001F0F69" w:rsidRDefault="00D77503" w:rsidP="00001845">
            <w:pPr>
              <w:jc w:val="center"/>
              <w:rPr>
                <w:rFonts w:ascii="Cambria" w:hAnsi="Cambria"/>
                <w:bCs/>
                <w:color w:val="FFFFFF" w:themeColor="background1"/>
                <w:sz w:val="19"/>
                <w:szCs w:val="19"/>
                <w:lang w:val="es-AR"/>
              </w:rPr>
            </w:pPr>
            <w:r w:rsidRPr="001F0F69">
              <w:rPr>
                <w:rFonts w:ascii="Cambria" w:hAnsi="Cambria"/>
                <w:bCs/>
                <w:color w:val="FFFFFF" w:themeColor="background1"/>
                <w:sz w:val="19"/>
                <w:szCs w:val="19"/>
                <w:lang w:val="es-AR"/>
              </w:rPr>
              <w:t>Parte peticionaria</w:t>
            </w:r>
          </w:p>
        </w:tc>
        <w:tc>
          <w:tcPr>
            <w:tcW w:w="6570" w:type="dxa"/>
            <w:vAlign w:val="center"/>
          </w:tcPr>
          <w:p w14:paraId="2B752FD4" w14:textId="77777777" w:rsidR="003239B8" w:rsidRPr="001F0F69" w:rsidRDefault="00C50332" w:rsidP="00001845">
            <w:pPr>
              <w:jc w:val="both"/>
              <w:rPr>
                <w:rFonts w:ascii="Cambria" w:hAnsi="Cambria"/>
                <w:bCs/>
                <w:sz w:val="19"/>
                <w:szCs w:val="19"/>
                <w:lang w:val="es-AR"/>
              </w:rPr>
            </w:pPr>
            <w:r w:rsidRPr="001F0F69">
              <w:rPr>
                <w:rFonts w:ascii="Cambria" w:hAnsi="Cambria"/>
                <w:bCs/>
                <w:sz w:val="19"/>
                <w:szCs w:val="19"/>
                <w:lang w:val="es-AR"/>
              </w:rPr>
              <w:t>José Manuel Abuchaibe Escolar</w:t>
            </w:r>
          </w:p>
        </w:tc>
      </w:tr>
      <w:tr w:rsidR="003239B8" w:rsidRPr="001F0F69" w14:paraId="62B7A45C" w14:textId="77777777" w:rsidTr="00954B82">
        <w:tc>
          <w:tcPr>
            <w:tcW w:w="2790" w:type="dxa"/>
            <w:tcBorders>
              <w:top w:val="single" w:sz="6" w:space="0" w:color="auto"/>
              <w:bottom w:val="single" w:sz="6" w:space="0" w:color="auto"/>
            </w:tcBorders>
            <w:shd w:val="clear" w:color="auto" w:fill="386294"/>
            <w:vAlign w:val="center"/>
          </w:tcPr>
          <w:p w14:paraId="4D1335A9" w14:textId="77777777" w:rsidR="003239B8" w:rsidRPr="001F0F69" w:rsidRDefault="002355A9" w:rsidP="00001845">
            <w:pPr>
              <w:jc w:val="center"/>
              <w:rPr>
                <w:rFonts w:ascii="Cambria" w:hAnsi="Cambria"/>
                <w:bCs/>
                <w:color w:val="FFFFFF" w:themeColor="background1"/>
                <w:sz w:val="19"/>
                <w:szCs w:val="19"/>
                <w:lang w:val="es-AR"/>
              </w:rPr>
            </w:pPr>
            <w:r w:rsidRPr="001F0F69">
              <w:rPr>
                <w:rFonts w:ascii="Cambria" w:hAnsi="Cambria"/>
                <w:bCs/>
                <w:color w:val="FFFFFF" w:themeColor="background1"/>
                <w:sz w:val="19"/>
                <w:szCs w:val="19"/>
                <w:lang w:val="es-AR"/>
              </w:rPr>
              <w:t>Presunta víctima</w:t>
            </w:r>
          </w:p>
        </w:tc>
        <w:tc>
          <w:tcPr>
            <w:tcW w:w="6570" w:type="dxa"/>
            <w:vAlign w:val="center"/>
          </w:tcPr>
          <w:p w14:paraId="74FE816A" w14:textId="77777777" w:rsidR="003239B8" w:rsidRPr="001F0F69" w:rsidRDefault="00C50332" w:rsidP="00EC5EB0">
            <w:pPr>
              <w:jc w:val="both"/>
              <w:rPr>
                <w:rFonts w:ascii="Cambria" w:hAnsi="Cambria"/>
                <w:bCs/>
                <w:sz w:val="19"/>
                <w:szCs w:val="19"/>
                <w:lang w:val="es-AR"/>
              </w:rPr>
            </w:pPr>
            <w:r w:rsidRPr="001F0F69">
              <w:rPr>
                <w:rFonts w:ascii="Cambria" w:hAnsi="Cambria"/>
                <w:bCs/>
                <w:sz w:val="19"/>
                <w:szCs w:val="19"/>
                <w:lang w:val="es-AR"/>
              </w:rPr>
              <w:t>Pueblo Wayúu</w:t>
            </w:r>
          </w:p>
        </w:tc>
      </w:tr>
      <w:tr w:rsidR="003239B8" w:rsidRPr="001F0F69" w14:paraId="054AA3EE" w14:textId="77777777" w:rsidTr="00954B82">
        <w:tc>
          <w:tcPr>
            <w:tcW w:w="2790" w:type="dxa"/>
            <w:tcBorders>
              <w:top w:val="single" w:sz="6" w:space="0" w:color="auto"/>
              <w:bottom w:val="single" w:sz="6" w:space="0" w:color="auto"/>
            </w:tcBorders>
            <w:shd w:val="clear" w:color="auto" w:fill="386294"/>
            <w:vAlign w:val="center"/>
          </w:tcPr>
          <w:p w14:paraId="3A294A25" w14:textId="77777777" w:rsidR="003239B8" w:rsidRPr="001F0F69" w:rsidRDefault="00D77503" w:rsidP="00001845">
            <w:pPr>
              <w:jc w:val="center"/>
              <w:rPr>
                <w:rFonts w:ascii="Cambria" w:hAnsi="Cambria"/>
                <w:bCs/>
                <w:color w:val="FFFFFF" w:themeColor="background1"/>
                <w:sz w:val="19"/>
                <w:szCs w:val="19"/>
                <w:lang w:val="es-AR"/>
              </w:rPr>
            </w:pPr>
            <w:r w:rsidRPr="001F0F69">
              <w:rPr>
                <w:rFonts w:ascii="Cambria" w:hAnsi="Cambria"/>
                <w:bCs/>
                <w:color w:val="FFFFFF" w:themeColor="background1"/>
                <w:sz w:val="19"/>
                <w:szCs w:val="19"/>
                <w:lang w:val="es-AR"/>
              </w:rPr>
              <w:t>Estado denunciado</w:t>
            </w:r>
          </w:p>
        </w:tc>
        <w:tc>
          <w:tcPr>
            <w:tcW w:w="6570" w:type="dxa"/>
            <w:vAlign w:val="center"/>
          </w:tcPr>
          <w:p w14:paraId="5D0E366C" w14:textId="7305500D" w:rsidR="003239B8" w:rsidRPr="001F0F69" w:rsidRDefault="00C50332" w:rsidP="00871743">
            <w:pPr>
              <w:jc w:val="both"/>
              <w:rPr>
                <w:rFonts w:ascii="Cambria" w:hAnsi="Cambria"/>
                <w:bCs/>
                <w:sz w:val="19"/>
                <w:szCs w:val="19"/>
                <w:lang w:val="es-AR"/>
              </w:rPr>
            </w:pPr>
            <w:r w:rsidRPr="001F0F69">
              <w:rPr>
                <w:rFonts w:ascii="Cambria" w:hAnsi="Cambria"/>
                <w:bCs/>
                <w:sz w:val="19"/>
                <w:szCs w:val="19"/>
                <w:lang w:val="es-AR"/>
              </w:rPr>
              <w:t>Colombia</w:t>
            </w:r>
          </w:p>
        </w:tc>
      </w:tr>
      <w:tr w:rsidR="00223A29" w:rsidRPr="0056618E" w14:paraId="514D2E74" w14:textId="77777777" w:rsidTr="00954B82">
        <w:tc>
          <w:tcPr>
            <w:tcW w:w="2790" w:type="dxa"/>
            <w:tcBorders>
              <w:top w:val="single" w:sz="6" w:space="0" w:color="auto"/>
              <w:bottom w:val="single" w:sz="6" w:space="0" w:color="auto"/>
            </w:tcBorders>
            <w:shd w:val="clear" w:color="auto" w:fill="386294"/>
            <w:vAlign w:val="center"/>
          </w:tcPr>
          <w:p w14:paraId="1B7F9B02" w14:textId="77777777" w:rsidR="00223A29" w:rsidRPr="001F0F69" w:rsidRDefault="001B3A00" w:rsidP="00E4118C">
            <w:pPr>
              <w:jc w:val="center"/>
              <w:rPr>
                <w:rFonts w:ascii="Cambria" w:hAnsi="Cambria"/>
                <w:bCs/>
                <w:color w:val="FFFFFF" w:themeColor="background1"/>
                <w:sz w:val="19"/>
                <w:szCs w:val="19"/>
                <w:lang w:val="es-AR"/>
              </w:rPr>
            </w:pPr>
            <w:r w:rsidRPr="001F0F69">
              <w:rPr>
                <w:rFonts w:ascii="Cambria" w:hAnsi="Cambria"/>
                <w:bCs/>
                <w:color w:val="FFFFFF" w:themeColor="background1"/>
                <w:sz w:val="19"/>
                <w:szCs w:val="19"/>
                <w:lang w:val="es-AR"/>
              </w:rPr>
              <w:t xml:space="preserve">Derechos </w:t>
            </w:r>
            <w:r w:rsidR="00E4118C" w:rsidRPr="001F0F69">
              <w:rPr>
                <w:rFonts w:ascii="Cambria" w:hAnsi="Cambria"/>
                <w:bCs/>
                <w:color w:val="FFFFFF" w:themeColor="background1"/>
                <w:sz w:val="19"/>
                <w:szCs w:val="19"/>
                <w:lang w:val="es-AR"/>
              </w:rPr>
              <w:t>invocados</w:t>
            </w:r>
          </w:p>
        </w:tc>
        <w:tc>
          <w:tcPr>
            <w:tcW w:w="6570" w:type="dxa"/>
            <w:vAlign w:val="center"/>
          </w:tcPr>
          <w:p w14:paraId="096A6263" w14:textId="77777777" w:rsidR="00223A29" w:rsidRPr="001F0F69" w:rsidRDefault="00BF514A" w:rsidP="0034224A">
            <w:pPr>
              <w:jc w:val="both"/>
              <w:rPr>
                <w:rFonts w:ascii="Cambria" w:hAnsi="Cambria"/>
                <w:bCs/>
                <w:sz w:val="19"/>
                <w:szCs w:val="19"/>
                <w:lang w:val="es-AR"/>
              </w:rPr>
            </w:pPr>
            <w:r w:rsidRPr="001F0F69">
              <w:rPr>
                <w:rFonts w:ascii="Cambria" w:hAnsi="Cambria"/>
                <w:bCs/>
                <w:sz w:val="19"/>
                <w:szCs w:val="19"/>
                <w:lang w:val="es-AR"/>
              </w:rPr>
              <w:t>Artículos</w:t>
            </w:r>
            <w:r w:rsidR="00165E8F" w:rsidRPr="001F0F69">
              <w:rPr>
                <w:rFonts w:ascii="Cambria" w:hAnsi="Cambria"/>
                <w:bCs/>
                <w:sz w:val="19"/>
                <w:szCs w:val="19"/>
                <w:lang w:val="es-AR"/>
              </w:rPr>
              <w:t xml:space="preserve"> </w:t>
            </w:r>
            <w:r w:rsidR="00787D1E" w:rsidRPr="001F0F69">
              <w:rPr>
                <w:rFonts w:ascii="Cambria" w:hAnsi="Cambria"/>
                <w:bCs/>
                <w:sz w:val="19"/>
                <w:szCs w:val="19"/>
                <w:lang w:val="es-AR"/>
              </w:rPr>
              <w:t xml:space="preserve">8 (garantías judiciales), 21 (propiedad) y 25 (protección judicial) </w:t>
            </w:r>
            <w:r w:rsidRPr="001F0F69">
              <w:rPr>
                <w:rFonts w:ascii="Cambria" w:hAnsi="Cambria"/>
                <w:bCs/>
                <w:sz w:val="19"/>
                <w:szCs w:val="19"/>
                <w:lang w:val="es-AR"/>
              </w:rPr>
              <w:t>de la Convención Americana sobre Derechos Humanos</w:t>
            </w:r>
            <w:r w:rsidRPr="001F0F69">
              <w:rPr>
                <w:rFonts w:ascii="Cambria" w:hAnsi="Cambria"/>
                <w:bCs/>
                <w:sz w:val="19"/>
                <w:szCs w:val="19"/>
                <w:vertAlign w:val="superscript"/>
                <w:lang w:val="es-AR"/>
              </w:rPr>
              <w:footnoteReference w:id="2"/>
            </w:r>
            <w:r w:rsidR="00787D1E" w:rsidRPr="001F0F69">
              <w:rPr>
                <w:rFonts w:ascii="Cambria" w:hAnsi="Cambria"/>
                <w:bCs/>
                <w:sz w:val="19"/>
                <w:szCs w:val="19"/>
                <w:lang w:val="es-AR"/>
              </w:rPr>
              <w:t xml:space="preserve"> en relación con su artículo 1.1</w:t>
            </w:r>
          </w:p>
        </w:tc>
      </w:tr>
    </w:tbl>
    <w:p w14:paraId="18FC04B7" w14:textId="77777777" w:rsidR="003239B8" w:rsidRPr="001F0F69" w:rsidRDefault="003239B8" w:rsidP="007C402A">
      <w:pPr>
        <w:spacing w:before="120" w:after="120"/>
        <w:ind w:firstLine="720"/>
        <w:jc w:val="both"/>
        <w:rPr>
          <w:rFonts w:asciiTheme="majorHAnsi" w:hAnsiTheme="majorHAnsi"/>
          <w:b/>
          <w:bCs/>
          <w:sz w:val="20"/>
          <w:szCs w:val="20"/>
          <w:lang w:val="es-AR"/>
        </w:rPr>
      </w:pPr>
      <w:r w:rsidRPr="001F0F69">
        <w:rPr>
          <w:rFonts w:asciiTheme="majorHAnsi" w:hAnsiTheme="majorHAnsi"/>
          <w:b/>
          <w:bCs/>
          <w:sz w:val="20"/>
          <w:szCs w:val="20"/>
          <w:lang w:val="es-AR"/>
        </w:rPr>
        <w:t>II.</w:t>
      </w:r>
      <w:r w:rsidRPr="001F0F69">
        <w:rPr>
          <w:rFonts w:asciiTheme="majorHAnsi" w:hAnsiTheme="majorHAnsi"/>
          <w:b/>
          <w:bCs/>
          <w:sz w:val="20"/>
          <w:szCs w:val="20"/>
          <w:lang w:val="es-AR"/>
        </w:rPr>
        <w:tab/>
        <w:t>TRÁMITE ANTE LA CIDH</w:t>
      </w:r>
      <w:r w:rsidR="008E3BFE" w:rsidRPr="001F0F69">
        <w:rPr>
          <w:rStyle w:val="FootnoteReference"/>
          <w:rFonts w:ascii="Cambria" w:hAnsi="Cambria"/>
          <w:b/>
          <w:sz w:val="20"/>
          <w:szCs w:val="20"/>
          <w:lang w:val="es-AR"/>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1F0F69" w14:paraId="168C6032" w14:textId="77777777" w:rsidTr="00954B82">
        <w:tc>
          <w:tcPr>
            <w:tcW w:w="2790" w:type="dxa"/>
            <w:tcBorders>
              <w:top w:val="single" w:sz="6" w:space="0" w:color="auto"/>
              <w:bottom w:val="single" w:sz="6" w:space="0" w:color="auto"/>
            </w:tcBorders>
            <w:shd w:val="clear" w:color="auto" w:fill="386294"/>
            <w:vAlign w:val="center"/>
          </w:tcPr>
          <w:p w14:paraId="174D9B87" w14:textId="77777777" w:rsidR="004C2312" w:rsidRPr="001F0F69" w:rsidRDefault="000C1C69" w:rsidP="004A6A54">
            <w:pPr>
              <w:jc w:val="center"/>
              <w:rPr>
                <w:rFonts w:ascii="Cambria" w:hAnsi="Cambria"/>
                <w:bCs/>
                <w:color w:val="FFFFFF" w:themeColor="background1"/>
                <w:sz w:val="19"/>
                <w:szCs w:val="19"/>
                <w:lang w:val="es-AR"/>
              </w:rPr>
            </w:pPr>
            <w:r w:rsidRPr="001F0F69">
              <w:rPr>
                <w:rFonts w:ascii="Cambria" w:hAnsi="Cambria"/>
                <w:bCs/>
                <w:color w:val="FFFFFF" w:themeColor="background1"/>
                <w:sz w:val="19"/>
                <w:szCs w:val="19"/>
                <w:lang w:val="es-AR"/>
              </w:rPr>
              <w:t>Recepción</w:t>
            </w:r>
            <w:r w:rsidR="00D77503" w:rsidRPr="001F0F69">
              <w:rPr>
                <w:rFonts w:ascii="Cambria" w:hAnsi="Cambria"/>
                <w:bCs/>
                <w:color w:val="FFFFFF" w:themeColor="background1"/>
                <w:sz w:val="19"/>
                <w:szCs w:val="19"/>
                <w:lang w:val="es-AR"/>
              </w:rPr>
              <w:t xml:space="preserve"> de la petición</w:t>
            </w:r>
          </w:p>
        </w:tc>
        <w:tc>
          <w:tcPr>
            <w:tcW w:w="6570" w:type="dxa"/>
            <w:vAlign w:val="center"/>
          </w:tcPr>
          <w:p w14:paraId="1754429E" w14:textId="77777777" w:rsidR="004C2312" w:rsidRPr="001F0F69" w:rsidRDefault="00254FD9" w:rsidP="00001845">
            <w:pPr>
              <w:jc w:val="both"/>
              <w:rPr>
                <w:rFonts w:ascii="Cambria" w:hAnsi="Cambria"/>
                <w:bCs/>
                <w:sz w:val="19"/>
                <w:szCs w:val="19"/>
                <w:lang w:val="es-AR"/>
              </w:rPr>
            </w:pPr>
            <w:r w:rsidRPr="001F0F69">
              <w:rPr>
                <w:rFonts w:ascii="Cambria" w:hAnsi="Cambria"/>
                <w:bCs/>
                <w:sz w:val="19"/>
                <w:szCs w:val="19"/>
                <w:lang w:val="es-AR"/>
              </w:rPr>
              <w:t>25 de enero de 2012</w:t>
            </w:r>
          </w:p>
        </w:tc>
      </w:tr>
      <w:tr w:rsidR="006E772A" w:rsidRPr="0056618E" w14:paraId="3EB4405F" w14:textId="77777777" w:rsidTr="00954B82">
        <w:tc>
          <w:tcPr>
            <w:tcW w:w="2790" w:type="dxa"/>
            <w:tcBorders>
              <w:top w:val="single" w:sz="6" w:space="0" w:color="auto"/>
              <w:bottom w:val="single" w:sz="6" w:space="0" w:color="auto"/>
            </w:tcBorders>
            <w:shd w:val="clear" w:color="auto" w:fill="386294"/>
            <w:vAlign w:val="center"/>
          </w:tcPr>
          <w:p w14:paraId="22532BDE" w14:textId="77777777" w:rsidR="006E772A" w:rsidRPr="001F0F69" w:rsidRDefault="006E772A" w:rsidP="004A6A54">
            <w:pPr>
              <w:jc w:val="center"/>
              <w:rPr>
                <w:rFonts w:ascii="Cambria" w:hAnsi="Cambria"/>
                <w:bCs/>
                <w:color w:val="FFFFFF" w:themeColor="background1"/>
                <w:sz w:val="19"/>
                <w:szCs w:val="19"/>
                <w:lang w:val="es-AR"/>
              </w:rPr>
            </w:pPr>
            <w:r w:rsidRPr="001F0F69">
              <w:rPr>
                <w:rFonts w:ascii="Cambria" w:hAnsi="Cambria"/>
                <w:bCs/>
                <w:color w:val="FFFFFF" w:themeColor="background1"/>
                <w:sz w:val="19"/>
                <w:szCs w:val="19"/>
                <w:lang w:val="es-AR"/>
              </w:rPr>
              <w:t xml:space="preserve">Información adicional </w:t>
            </w:r>
            <w:r w:rsidR="002355A9" w:rsidRPr="001F0F69">
              <w:rPr>
                <w:rFonts w:ascii="Cambria" w:hAnsi="Cambria"/>
                <w:bCs/>
                <w:color w:val="FFFFFF" w:themeColor="background1"/>
                <w:sz w:val="19"/>
                <w:szCs w:val="19"/>
                <w:lang w:val="es-AR"/>
              </w:rPr>
              <w:t>recibida en la etapa de estudio</w:t>
            </w:r>
          </w:p>
        </w:tc>
        <w:tc>
          <w:tcPr>
            <w:tcW w:w="6570" w:type="dxa"/>
            <w:vAlign w:val="center"/>
          </w:tcPr>
          <w:p w14:paraId="6BC6A4FC" w14:textId="4E071221" w:rsidR="006E772A" w:rsidRPr="001F0F69" w:rsidRDefault="00254FD9" w:rsidP="00001845">
            <w:pPr>
              <w:jc w:val="both"/>
              <w:rPr>
                <w:rFonts w:ascii="Cambria" w:hAnsi="Cambria"/>
                <w:bCs/>
                <w:sz w:val="19"/>
                <w:szCs w:val="19"/>
                <w:lang w:val="es-AR"/>
              </w:rPr>
            </w:pPr>
            <w:r w:rsidRPr="001F0F69">
              <w:rPr>
                <w:rFonts w:ascii="Cambria" w:hAnsi="Cambria"/>
                <w:bCs/>
                <w:sz w:val="19"/>
                <w:szCs w:val="19"/>
                <w:lang w:val="es-AR"/>
              </w:rPr>
              <w:t xml:space="preserve">7 </w:t>
            </w:r>
            <w:r w:rsidR="008E3331">
              <w:rPr>
                <w:rFonts w:ascii="Cambria" w:hAnsi="Cambria"/>
                <w:bCs/>
                <w:sz w:val="19"/>
                <w:szCs w:val="19"/>
                <w:lang w:val="es-AR"/>
              </w:rPr>
              <w:t xml:space="preserve">y </w:t>
            </w:r>
            <w:r w:rsidR="00CB7C9C" w:rsidRPr="001F0F69">
              <w:rPr>
                <w:rFonts w:ascii="Cambria" w:hAnsi="Cambria"/>
                <w:bCs/>
                <w:sz w:val="19"/>
                <w:szCs w:val="19"/>
                <w:lang w:val="es-AR"/>
              </w:rPr>
              <w:t xml:space="preserve">16 de agosto </w:t>
            </w:r>
            <w:r w:rsidR="008E3331">
              <w:rPr>
                <w:rFonts w:ascii="Cambria" w:hAnsi="Cambria"/>
                <w:bCs/>
                <w:sz w:val="19"/>
                <w:szCs w:val="19"/>
                <w:lang w:val="es-AR"/>
              </w:rPr>
              <w:t>y</w:t>
            </w:r>
            <w:r w:rsidR="00CB7C9C" w:rsidRPr="001F0F69">
              <w:rPr>
                <w:rFonts w:ascii="Cambria" w:hAnsi="Cambria"/>
                <w:bCs/>
                <w:sz w:val="19"/>
                <w:szCs w:val="19"/>
                <w:lang w:val="es-AR"/>
              </w:rPr>
              <w:t xml:space="preserve"> 3 de septiembre de 2012, </w:t>
            </w:r>
            <w:r w:rsidR="008E3331">
              <w:rPr>
                <w:rFonts w:ascii="Cambria" w:hAnsi="Cambria"/>
                <w:bCs/>
                <w:sz w:val="19"/>
                <w:szCs w:val="19"/>
                <w:lang w:val="es-AR"/>
              </w:rPr>
              <w:t xml:space="preserve">y </w:t>
            </w:r>
            <w:r w:rsidR="00CB7C9C" w:rsidRPr="001F0F69">
              <w:rPr>
                <w:rFonts w:ascii="Cambria" w:hAnsi="Cambria"/>
                <w:bCs/>
                <w:sz w:val="19"/>
                <w:szCs w:val="19"/>
                <w:lang w:val="es-AR"/>
              </w:rPr>
              <w:t xml:space="preserve">17 </w:t>
            </w:r>
            <w:r w:rsidR="008E3331">
              <w:rPr>
                <w:rFonts w:ascii="Cambria" w:hAnsi="Cambria"/>
                <w:bCs/>
                <w:sz w:val="19"/>
                <w:szCs w:val="19"/>
                <w:lang w:val="es-AR"/>
              </w:rPr>
              <w:t xml:space="preserve">y 24 </w:t>
            </w:r>
            <w:r w:rsidR="00CB7C9C" w:rsidRPr="001F0F69">
              <w:rPr>
                <w:rFonts w:ascii="Cambria" w:hAnsi="Cambria"/>
                <w:bCs/>
                <w:sz w:val="19"/>
                <w:szCs w:val="19"/>
                <w:lang w:val="es-AR"/>
              </w:rPr>
              <w:t>de mayo de 2013</w:t>
            </w:r>
          </w:p>
        </w:tc>
      </w:tr>
      <w:tr w:rsidR="004C2312" w:rsidRPr="001F0F69" w14:paraId="30C59CFB" w14:textId="77777777" w:rsidTr="00954B82">
        <w:tc>
          <w:tcPr>
            <w:tcW w:w="2790" w:type="dxa"/>
            <w:tcBorders>
              <w:top w:val="single" w:sz="6" w:space="0" w:color="auto"/>
              <w:bottom w:val="single" w:sz="6" w:space="0" w:color="auto"/>
            </w:tcBorders>
            <w:shd w:val="clear" w:color="auto" w:fill="386294"/>
            <w:vAlign w:val="center"/>
          </w:tcPr>
          <w:p w14:paraId="24165AD9" w14:textId="77777777" w:rsidR="004C2312" w:rsidRPr="001F0F69" w:rsidRDefault="004A6A54" w:rsidP="000C1C69">
            <w:pPr>
              <w:jc w:val="center"/>
              <w:rPr>
                <w:rFonts w:ascii="Cambria" w:hAnsi="Cambria"/>
                <w:bCs/>
                <w:color w:val="FFFFFF" w:themeColor="background1"/>
                <w:sz w:val="19"/>
                <w:szCs w:val="19"/>
                <w:lang w:val="es-AR"/>
              </w:rPr>
            </w:pPr>
            <w:r w:rsidRPr="001F0F69">
              <w:rPr>
                <w:rFonts w:ascii="Cambria" w:hAnsi="Cambria"/>
                <w:color w:val="FFFFFF" w:themeColor="background1"/>
                <w:sz w:val="19"/>
                <w:szCs w:val="19"/>
                <w:lang w:val="es-AR"/>
              </w:rPr>
              <w:t>N</w:t>
            </w:r>
            <w:r w:rsidR="004C2312" w:rsidRPr="001F0F69">
              <w:rPr>
                <w:rFonts w:ascii="Cambria" w:hAnsi="Cambria"/>
                <w:color w:val="FFFFFF" w:themeColor="background1"/>
                <w:sz w:val="19"/>
                <w:szCs w:val="19"/>
                <w:lang w:val="es-AR"/>
              </w:rPr>
              <w:t>otificación de la petición</w:t>
            </w:r>
          </w:p>
        </w:tc>
        <w:tc>
          <w:tcPr>
            <w:tcW w:w="6570" w:type="dxa"/>
            <w:vAlign w:val="center"/>
          </w:tcPr>
          <w:p w14:paraId="08A8049C" w14:textId="77777777" w:rsidR="004C2312" w:rsidRPr="001F0F69" w:rsidRDefault="00E1734C" w:rsidP="00001845">
            <w:pPr>
              <w:jc w:val="both"/>
              <w:rPr>
                <w:rFonts w:ascii="Cambria" w:hAnsi="Cambria"/>
                <w:bCs/>
                <w:sz w:val="19"/>
                <w:szCs w:val="19"/>
                <w:lang w:val="es-AR"/>
              </w:rPr>
            </w:pPr>
            <w:r w:rsidRPr="001F0F69">
              <w:rPr>
                <w:rFonts w:ascii="Cambria" w:hAnsi="Cambria"/>
                <w:bCs/>
                <w:sz w:val="19"/>
                <w:szCs w:val="19"/>
                <w:lang w:val="es-AR"/>
              </w:rPr>
              <w:t>12 de noviembre de 2013</w:t>
            </w:r>
          </w:p>
        </w:tc>
      </w:tr>
      <w:tr w:rsidR="00F06354" w:rsidRPr="001F0F69" w14:paraId="3097ACB6" w14:textId="77777777" w:rsidTr="00954B82">
        <w:tc>
          <w:tcPr>
            <w:tcW w:w="2790" w:type="dxa"/>
            <w:tcBorders>
              <w:top w:val="single" w:sz="6" w:space="0" w:color="auto"/>
              <w:bottom w:val="single" w:sz="6" w:space="0" w:color="auto"/>
            </w:tcBorders>
            <w:shd w:val="clear" w:color="auto" w:fill="386294"/>
            <w:vAlign w:val="center"/>
          </w:tcPr>
          <w:p w14:paraId="28240787" w14:textId="77777777" w:rsidR="00F06354" w:rsidRPr="001F0F69" w:rsidRDefault="00D77503" w:rsidP="00F06354">
            <w:pPr>
              <w:jc w:val="center"/>
              <w:rPr>
                <w:rFonts w:ascii="Cambria" w:hAnsi="Cambria"/>
                <w:bCs/>
                <w:color w:val="FFFFFF" w:themeColor="background1"/>
                <w:sz w:val="19"/>
                <w:szCs w:val="19"/>
                <w:lang w:val="es-AR"/>
              </w:rPr>
            </w:pPr>
            <w:r w:rsidRPr="001F0F69">
              <w:rPr>
                <w:rFonts w:ascii="Cambria" w:hAnsi="Cambria"/>
                <w:color w:val="FFFFFF" w:themeColor="background1"/>
                <w:sz w:val="19"/>
                <w:szCs w:val="19"/>
                <w:lang w:val="es-AR"/>
              </w:rPr>
              <w:t>Primera respuesta del Estado</w:t>
            </w:r>
          </w:p>
        </w:tc>
        <w:tc>
          <w:tcPr>
            <w:tcW w:w="6570" w:type="dxa"/>
            <w:vAlign w:val="center"/>
          </w:tcPr>
          <w:p w14:paraId="09417E51" w14:textId="77777777" w:rsidR="00F06354" w:rsidRPr="001F0F69" w:rsidRDefault="003E32D5" w:rsidP="00F06354">
            <w:pPr>
              <w:jc w:val="both"/>
              <w:rPr>
                <w:rFonts w:ascii="Cambria" w:hAnsi="Cambria"/>
                <w:bCs/>
                <w:sz w:val="19"/>
                <w:szCs w:val="19"/>
                <w:lang w:val="es-AR"/>
              </w:rPr>
            </w:pPr>
            <w:r w:rsidRPr="001F0F69">
              <w:rPr>
                <w:rFonts w:ascii="Cambria" w:hAnsi="Cambria"/>
                <w:bCs/>
                <w:sz w:val="19"/>
                <w:szCs w:val="19"/>
                <w:lang w:val="es-AR"/>
              </w:rPr>
              <w:t>12 de marzo de 2014</w:t>
            </w:r>
          </w:p>
        </w:tc>
      </w:tr>
      <w:tr w:rsidR="00F06354" w:rsidRPr="0056618E" w14:paraId="1A02DEE6" w14:textId="77777777" w:rsidTr="00954B82">
        <w:tc>
          <w:tcPr>
            <w:tcW w:w="2790" w:type="dxa"/>
            <w:tcBorders>
              <w:top w:val="single" w:sz="6" w:space="0" w:color="auto"/>
              <w:bottom w:val="single" w:sz="6" w:space="0" w:color="auto"/>
            </w:tcBorders>
            <w:shd w:val="clear" w:color="auto" w:fill="386294"/>
            <w:vAlign w:val="center"/>
          </w:tcPr>
          <w:p w14:paraId="45C9A04D" w14:textId="77777777" w:rsidR="00F06354" w:rsidRPr="001F0F69" w:rsidRDefault="00F06354" w:rsidP="00F06354">
            <w:pPr>
              <w:jc w:val="center"/>
              <w:rPr>
                <w:rFonts w:ascii="Cambria" w:hAnsi="Cambria"/>
                <w:bCs/>
                <w:color w:val="FFFFFF" w:themeColor="background1"/>
                <w:sz w:val="19"/>
                <w:szCs w:val="19"/>
                <w:lang w:val="es-AR"/>
              </w:rPr>
            </w:pPr>
            <w:r w:rsidRPr="001F0F69">
              <w:rPr>
                <w:rFonts w:ascii="Cambria" w:hAnsi="Cambria"/>
                <w:bCs/>
                <w:color w:val="FFFFFF" w:themeColor="background1"/>
                <w:sz w:val="19"/>
                <w:szCs w:val="19"/>
                <w:lang w:val="es-AR"/>
              </w:rPr>
              <w:t>Observaciones adicionales de</w:t>
            </w:r>
            <w:r w:rsidR="00D77503" w:rsidRPr="001F0F69">
              <w:rPr>
                <w:rFonts w:ascii="Cambria" w:hAnsi="Cambria"/>
                <w:bCs/>
                <w:color w:val="FFFFFF" w:themeColor="background1"/>
                <w:sz w:val="19"/>
                <w:szCs w:val="19"/>
                <w:lang w:val="es-AR"/>
              </w:rPr>
              <w:t xml:space="preserve"> la parte peticionaria</w:t>
            </w:r>
          </w:p>
        </w:tc>
        <w:tc>
          <w:tcPr>
            <w:tcW w:w="6570" w:type="dxa"/>
            <w:vAlign w:val="center"/>
          </w:tcPr>
          <w:p w14:paraId="6317902C" w14:textId="2493701D" w:rsidR="00F06354" w:rsidRPr="001F0F69" w:rsidRDefault="003E32D5" w:rsidP="00D77503">
            <w:pPr>
              <w:jc w:val="both"/>
              <w:rPr>
                <w:rFonts w:ascii="Cambria" w:hAnsi="Cambria"/>
                <w:bCs/>
                <w:sz w:val="19"/>
                <w:szCs w:val="19"/>
                <w:lang w:val="es-AR"/>
              </w:rPr>
            </w:pPr>
            <w:r w:rsidRPr="001F0F69">
              <w:rPr>
                <w:rFonts w:ascii="Cambria" w:hAnsi="Cambria"/>
                <w:bCs/>
                <w:sz w:val="19"/>
                <w:szCs w:val="19"/>
                <w:lang w:val="es-AR"/>
              </w:rPr>
              <w:t>27 de mayo de 2014</w:t>
            </w:r>
            <w:r w:rsidR="008E3331">
              <w:rPr>
                <w:rFonts w:ascii="Cambria" w:hAnsi="Cambria"/>
                <w:bCs/>
                <w:sz w:val="19"/>
                <w:szCs w:val="19"/>
                <w:lang w:val="es-AR"/>
              </w:rPr>
              <w:t xml:space="preserve"> y </w:t>
            </w:r>
            <w:r w:rsidR="002A0756" w:rsidRPr="001F0F69">
              <w:rPr>
                <w:rFonts w:ascii="Cambria" w:hAnsi="Cambria"/>
                <w:bCs/>
                <w:sz w:val="19"/>
                <w:szCs w:val="19"/>
                <w:lang w:val="es-AR"/>
              </w:rPr>
              <w:t>13 de enero de 2017</w:t>
            </w:r>
          </w:p>
        </w:tc>
      </w:tr>
      <w:tr w:rsidR="00F06354" w:rsidRPr="001F0F69" w14:paraId="243A6B79" w14:textId="77777777" w:rsidTr="00954B82">
        <w:tc>
          <w:tcPr>
            <w:tcW w:w="2790" w:type="dxa"/>
            <w:tcBorders>
              <w:top w:val="single" w:sz="6" w:space="0" w:color="auto"/>
              <w:bottom w:val="single" w:sz="6" w:space="0" w:color="auto"/>
            </w:tcBorders>
            <w:shd w:val="clear" w:color="auto" w:fill="386294"/>
            <w:vAlign w:val="center"/>
          </w:tcPr>
          <w:p w14:paraId="7B2DDB24" w14:textId="77777777" w:rsidR="00F06354" w:rsidRPr="001F0F69" w:rsidRDefault="00F06354" w:rsidP="00F06354">
            <w:pPr>
              <w:jc w:val="center"/>
              <w:rPr>
                <w:rFonts w:ascii="Cambria" w:hAnsi="Cambria"/>
                <w:bCs/>
                <w:color w:val="FFFFFF" w:themeColor="background1"/>
                <w:sz w:val="19"/>
                <w:szCs w:val="19"/>
                <w:lang w:val="es-AR"/>
              </w:rPr>
            </w:pPr>
            <w:r w:rsidRPr="001F0F69">
              <w:rPr>
                <w:rFonts w:ascii="Cambria" w:hAnsi="Cambria"/>
                <w:bCs/>
                <w:color w:val="FFFFFF" w:themeColor="background1"/>
                <w:sz w:val="19"/>
                <w:szCs w:val="19"/>
                <w:lang w:val="es-AR"/>
              </w:rPr>
              <w:t>Obser</w:t>
            </w:r>
            <w:r w:rsidR="00D77503" w:rsidRPr="001F0F69">
              <w:rPr>
                <w:rFonts w:ascii="Cambria" w:hAnsi="Cambria"/>
                <w:bCs/>
                <w:color w:val="FFFFFF" w:themeColor="background1"/>
                <w:sz w:val="19"/>
                <w:szCs w:val="19"/>
                <w:lang w:val="es-AR"/>
              </w:rPr>
              <w:t>vaciones adicionales del Estado</w:t>
            </w:r>
          </w:p>
        </w:tc>
        <w:tc>
          <w:tcPr>
            <w:tcW w:w="6570" w:type="dxa"/>
            <w:vAlign w:val="center"/>
          </w:tcPr>
          <w:p w14:paraId="293D001F" w14:textId="77777777" w:rsidR="00F06354" w:rsidRPr="001F0F69" w:rsidRDefault="002A0756" w:rsidP="00F06354">
            <w:pPr>
              <w:jc w:val="both"/>
              <w:rPr>
                <w:rFonts w:ascii="Cambria" w:hAnsi="Cambria"/>
                <w:bCs/>
                <w:sz w:val="19"/>
                <w:szCs w:val="19"/>
                <w:lang w:val="es-AR"/>
              </w:rPr>
            </w:pPr>
            <w:r w:rsidRPr="001F0F69">
              <w:rPr>
                <w:rFonts w:ascii="Cambria" w:hAnsi="Cambria"/>
                <w:bCs/>
                <w:sz w:val="19"/>
                <w:szCs w:val="19"/>
                <w:lang w:val="es-AR"/>
              </w:rPr>
              <w:t>18 de noviembre de 2014</w:t>
            </w:r>
          </w:p>
        </w:tc>
      </w:tr>
    </w:tbl>
    <w:p w14:paraId="7039BBFF" w14:textId="77777777" w:rsidR="003239B8" w:rsidRPr="001F0F69" w:rsidRDefault="003239B8" w:rsidP="007C402A">
      <w:pPr>
        <w:spacing w:before="120" w:after="120"/>
        <w:ind w:firstLine="720"/>
        <w:jc w:val="both"/>
        <w:rPr>
          <w:rFonts w:asciiTheme="majorHAnsi" w:hAnsiTheme="majorHAnsi"/>
          <w:b/>
          <w:bCs/>
          <w:sz w:val="20"/>
          <w:szCs w:val="20"/>
          <w:lang w:val="es-AR"/>
        </w:rPr>
      </w:pPr>
      <w:r w:rsidRPr="001F0F69">
        <w:rPr>
          <w:rFonts w:asciiTheme="majorHAnsi" w:hAnsiTheme="majorHAnsi"/>
          <w:b/>
          <w:bCs/>
          <w:sz w:val="20"/>
          <w:szCs w:val="20"/>
          <w:lang w:val="es-AR"/>
        </w:rPr>
        <w:t xml:space="preserve">III. </w:t>
      </w:r>
      <w:r w:rsidRPr="001F0F69">
        <w:rPr>
          <w:rFonts w:asciiTheme="majorHAnsi" w:hAnsiTheme="majorHAnsi"/>
          <w:b/>
          <w:bCs/>
          <w:sz w:val="20"/>
          <w:szCs w:val="20"/>
          <w:lang w:val="es-AR"/>
        </w:rPr>
        <w:tab/>
        <w:t>COMPETENCIA</w:t>
      </w:r>
      <w:r w:rsidR="00EE00E9" w:rsidRPr="001F0F69">
        <w:rPr>
          <w:rFonts w:asciiTheme="majorHAnsi" w:hAnsiTheme="majorHAnsi"/>
          <w:b/>
          <w:bCs/>
          <w:sz w:val="20"/>
          <w:szCs w:val="20"/>
          <w:lang w:val="es-A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1F0F69" w14:paraId="54DFFE31" w14:textId="77777777" w:rsidTr="00954B82">
        <w:trPr>
          <w:cantSplit/>
        </w:trPr>
        <w:tc>
          <w:tcPr>
            <w:tcW w:w="2790" w:type="dxa"/>
            <w:tcBorders>
              <w:top w:val="single" w:sz="4" w:space="0" w:color="auto"/>
              <w:bottom w:val="single" w:sz="6" w:space="0" w:color="auto"/>
            </w:tcBorders>
            <w:shd w:val="clear" w:color="auto" w:fill="386294"/>
            <w:vAlign w:val="center"/>
          </w:tcPr>
          <w:p w14:paraId="71EE2AEE" w14:textId="77777777" w:rsidR="003239B8" w:rsidRPr="001F0F69" w:rsidRDefault="00D77503" w:rsidP="00001845">
            <w:pPr>
              <w:jc w:val="center"/>
              <w:rPr>
                <w:rFonts w:ascii="Cambria" w:hAnsi="Cambria"/>
                <w:bCs/>
                <w:i/>
                <w:color w:val="FFFFFF" w:themeColor="background1"/>
                <w:sz w:val="19"/>
                <w:szCs w:val="19"/>
                <w:lang w:val="es-AR"/>
              </w:rPr>
            </w:pPr>
            <w:r w:rsidRPr="001F0F69">
              <w:rPr>
                <w:rFonts w:ascii="Cambria" w:hAnsi="Cambria"/>
                <w:bCs/>
                <w:i/>
                <w:color w:val="FFFFFF" w:themeColor="background1"/>
                <w:sz w:val="19"/>
                <w:szCs w:val="19"/>
                <w:lang w:val="es-AR"/>
              </w:rPr>
              <w:t>Ratione personae</w:t>
            </w:r>
          </w:p>
        </w:tc>
        <w:tc>
          <w:tcPr>
            <w:tcW w:w="6570" w:type="dxa"/>
            <w:vAlign w:val="center"/>
          </w:tcPr>
          <w:p w14:paraId="58F1F20F" w14:textId="77777777" w:rsidR="003239B8" w:rsidRPr="001F0F69" w:rsidRDefault="00787D1E" w:rsidP="00787D1E">
            <w:pPr>
              <w:jc w:val="both"/>
              <w:rPr>
                <w:lang w:val="es-AR"/>
              </w:rPr>
            </w:pPr>
            <w:r w:rsidRPr="001F0F69">
              <w:rPr>
                <w:rFonts w:ascii="Cambria" w:hAnsi="Cambria"/>
                <w:bCs/>
                <w:sz w:val="19"/>
                <w:szCs w:val="19"/>
                <w:lang w:val="es-AR"/>
              </w:rPr>
              <w:t>Sí</w:t>
            </w:r>
          </w:p>
        </w:tc>
      </w:tr>
      <w:tr w:rsidR="003239B8" w:rsidRPr="001F0F69" w14:paraId="4ED7CE42" w14:textId="77777777" w:rsidTr="00954B82">
        <w:trPr>
          <w:cantSplit/>
        </w:trPr>
        <w:tc>
          <w:tcPr>
            <w:tcW w:w="2790" w:type="dxa"/>
            <w:tcBorders>
              <w:top w:val="single" w:sz="6" w:space="0" w:color="auto"/>
              <w:bottom w:val="single" w:sz="6" w:space="0" w:color="auto"/>
            </w:tcBorders>
            <w:shd w:val="clear" w:color="auto" w:fill="386294"/>
            <w:vAlign w:val="center"/>
          </w:tcPr>
          <w:p w14:paraId="3027885A" w14:textId="77777777" w:rsidR="003239B8" w:rsidRPr="001F0F69" w:rsidRDefault="003239B8" w:rsidP="00D77503">
            <w:pPr>
              <w:jc w:val="center"/>
              <w:rPr>
                <w:rFonts w:ascii="Cambria" w:hAnsi="Cambria"/>
                <w:bCs/>
                <w:color w:val="FFFFFF" w:themeColor="background1"/>
                <w:sz w:val="19"/>
                <w:szCs w:val="19"/>
                <w:lang w:val="es-AR"/>
              </w:rPr>
            </w:pPr>
            <w:r w:rsidRPr="001F0F69">
              <w:rPr>
                <w:rFonts w:ascii="Cambria" w:hAnsi="Cambria"/>
                <w:bCs/>
                <w:i/>
                <w:color w:val="FFFFFF" w:themeColor="background1"/>
                <w:sz w:val="19"/>
                <w:szCs w:val="19"/>
                <w:lang w:val="es-AR"/>
              </w:rPr>
              <w:t>Ratione loci</w:t>
            </w:r>
          </w:p>
        </w:tc>
        <w:tc>
          <w:tcPr>
            <w:tcW w:w="6570" w:type="dxa"/>
            <w:vAlign w:val="center"/>
          </w:tcPr>
          <w:p w14:paraId="77A6A368" w14:textId="77777777" w:rsidR="003239B8" w:rsidRPr="001F0F69" w:rsidRDefault="00787D1E" w:rsidP="00001845">
            <w:pPr>
              <w:rPr>
                <w:rFonts w:ascii="Cambria" w:hAnsi="Cambria"/>
                <w:bCs/>
                <w:sz w:val="19"/>
                <w:szCs w:val="19"/>
                <w:lang w:val="es-AR"/>
              </w:rPr>
            </w:pPr>
            <w:r w:rsidRPr="001F0F69">
              <w:rPr>
                <w:rFonts w:ascii="Cambria" w:hAnsi="Cambria"/>
                <w:bCs/>
                <w:sz w:val="19"/>
                <w:szCs w:val="19"/>
                <w:lang w:val="es-AR"/>
              </w:rPr>
              <w:t>Sí</w:t>
            </w:r>
          </w:p>
        </w:tc>
      </w:tr>
      <w:tr w:rsidR="003239B8" w:rsidRPr="001F0F69" w14:paraId="744E6FF7" w14:textId="77777777" w:rsidTr="00954B82">
        <w:trPr>
          <w:cantSplit/>
        </w:trPr>
        <w:tc>
          <w:tcPr>
            <w:tcW w:w="2790" w:type="dxa"/>
            <w:tcBorders>
              <w:top w:val="single" w:sz="6" w:space="0" w:color="auto"/>
              <w:bottom w:val="single" w:sz="6" w:space="0" w:color="auto"/>
            </w:tcBorders>
            <w:shd w:val="clear" w:color="auto" w:fill="386294"/>
            <w:vAlign w:val="center"/>
          </w:tcPr>
          <w:p w14:paraId="48108F05" w14:textId="77777777" w:rsidR="003239B8" w:rsidRPr="001F0F69" w:rsidRDefault="003239B8" w:rsidP="00001845">
            <w:pPr>
              <w:jc w:val="center"/>
              <w:rPr>
                <w:rFonts w:ascii="Cambria" w:hAnsi="Cambria"/>
                <w:bCs/>
                <w:color w:val="FFFFFF" w:themeColor="background1"/>
                <w:sz w:val="19"/>
                <w:szCs w:val="19"/>
                <w:lang w:val="es-AR"/>
              </w:rPr>
            </w:pPr>
            <w:r w:rsidRPr="001F0F69">
              <w:rPr>
                <w:rFonts w:ascii="Cambria" w:hAnsi="Cambria"/>
                <w:bCs/>
                <w:i/>
                <w:color w:val="FFFFFF" w:themeColor="background1"/>
                <w:sz w:val="19"/>
                <w:szCs w:val="19"/>
                <w:lang w:val="es-AR"/>
              </w:rPr>
              <w:t>Ratione temporis</w:t>
            </w:r>
          </w:p>
        </w:tc>
        <w:tc>
          <w:tcPr>
            <w:tcW w:w="6570" w:type="dxa"/>
            <w:vAlign w:val="center"/>
          </w:tcPr>
          <w:p w14:paraId="3E4B92E0" w14:textId="77777777" w:rsidR="003239B8" w:rsidRPr="001F0F69" w:rsidRDefault="00787D1E" w:rsidP="00001845">
            <w:pPr>
              <w:rPr>
                <w:rFonts w:ascii="Cambria" w:hAnsi="Cambria"/>
                <w:bCs/>
                <w:sz w:val="19"/>
                <w:szCs w:val="19"/>
                <w:lang w:val="es-AR"/>
              </w:rPr>
            </w:pPr>
            <w:r w:rsidRPr="001F0F69">
              <w:rPr>
                <w:rFonts w:ascii="Cambria" w:hAnsi="Cambria"/>
                <w:bCs/>
                <w:sz w:val="19"/>
                <w:szCs w:val="19"/>
                <w:lang w:val="es-AR"/>
              </w:rPr>
              <w:t>Sí</w:t>
            </w:r>
          </w:p>
        </w:tc>
      </w:tr>
      <w:tr w:rsidR="003239B8" w:rsidRPr="0056618E" w14:paraId="30BF8F7C" w14:textId="77777777" w:rsidTr="00954B82">
        <w:trPr>
          <w:cantSplit/>
        </w:trPr>
        <w:tc>
          <w:tcPr>
            <w:tcW w:w="2790" w:type="dxa"/>
            <w:tcBorders>
              <w:top w:val="single" w:sz="6" w:space="0" w:color="auto"/>
              <w:bottom w:val="single" w:sz="6" w:space="0" w:color="auto"/>
            </w:tcBorders>
            <w:shd w:val="clear" w:color="auto" w:fill="386294"/>
            <w:vAlign w:val="center"/>
          </w:tcPr>
          <w:p w14:paraId="002A59B6" w14:textId="77777777" w:rsidR="003239B8" w:rsidRPr="001F0F69" w:rsidRDefault="003239B8" w:rsidP="00001845">
            <w:pPr>
              <w:jc w:val="center"/>
              <w:rPr>
                <w:rFonts w:ascii="Cambria" w:hAnsi="Cambria"/>
                <w:bCs/>
                <w:color w:val="FFFFFF" w:themeColor="background1"/>
                <w:sz w:val="19"/>
                <w:szCs w:val="19"/>
                <w:lang w:val="es-AR"/>
              </w:rPr>
            </w:pPr>
            <w:r w:rsidRPr="001F0F69">
              <w:rPr>
                <w:rFonts w:ascii="Cambria" w:hAnsi="Cambria"/>
                <w:bCs/>
                <w:i/>
                <w:color w:val="FFFFFF" w:themeColor="background1"/>
                <w:sz w:val="19"/>
                <w:szCs w:val="19"/>
                <w:lang w:val="es-AR"/>
              </w:rPr>
              <w:t>Ratione materia</w:t>
            </w:r>
            <w:r w:rsidR="00EE00E9" w:rsidRPr="001F0F69">
              <w:rPr>
                <w:rFonts w:ascii="Cambria" w:hAnsi="Cambria"/>
                <w:bCs/>
                <w:i/>
                <w:color w:val="FFFFFF" w:themeColor="background1"/>
                <w:sz w:val="19"/>
                <w:szCs w:val="19"/>
                <w:lang w:val="es-AR"/>
              </w:rPr>
              <w:t>e</w:t>
            </w:r>
          </w:p>
        </w:tc>
        <w:tc>
          <w:tcPr>
            <w:tcW w:w="6570" w:type="dxa"/>
            <w:vAlign w:val="center"/>
          </w:tcPr>
          <w:p w14:paraId="73C03BB5" w14:textId="20E9E366" w:rsidR="003239B8" w:rsidRPr="001F0F69" w:rsidRDefault="00787D1E" w:rsidP="00787D1E">
            <w:pPr>
              <w:rPr>
                <w:rFonts w:ascii="Cambria" w:hAnsi="Cambria"/>
                <w:bCs/>
                <w:sz w:val="19"/>
                <w:szCs w:val="19"/>
                <w:lang w:val="es-AR"/>
              </w:rPr>
            </w:pPr>
            <w:r w:rsidRPr="001F0F69">
              <w:rPr>
                <w:rFonts w:ascii="Cambria" w:hAnsi="Cambria"/>
                <w:bCs/>
                <w:sz w:val="19"/>
                <w:szCs w:val="19"/>
                <w:lang w:val="es-AR"/>
              </w:rPr>
              <w:t>Sí, Convención Americana (depósito de instrumento</w:t>
            </w:r>
            <w:r w:rsidR="008E3331">
              <w:rPr>
                <w:rFonts w:ascii="Cambria" w:hAnsi="Cambria"/>
                <w:bCs/>
                <w:sz w:val="19"/>
                <w:szCs w:val="19"/>
                <w:lang w:val="es-AR"/>
              </w:rPr>
              <w:t xml:space="preserve"> de ratificación</w:t>
            </w:r>
            <w:r w:rsidRPr="001F0F69">
              <w:rPr>
                <w:rFonts w:ascii="Cambria" w:hAnsi="Cambria"/>
                <w:bCs/>
                <w:sz w:val="19"/>
                <w:szCs w:val="19"/>
                <w:lang w:val="es-AR"/>
              </w:rPr>
              <w:t xml:space="preserve"> realizado el 31 de julio de 1973)</w:t>
            </w:r>
          </w:p>
        </w:tc>
      </w:tr>
    </w:tbl>
    <w:p w14:paraId="3FF04C28" w14:textId="6E7732A5" w:rsidR="003239B8" w:rsidRPr="001F0F69" w:rsidRDefault="003239B8" w:rsidP="007C402A">
      <w:pPr>
        <w:spacing w:before="120" w:after="120"/>
        <w:ind w:firstLine="720"/>
        <w:jc w:val="both"/>
        <w:rPr>
          <w:rFonts w:asciiTheme="majorHAnsi" w:hAnsiTheme="majorHAnsi"/>
          <w:b/>
          <w:bCs/>
          <w:sz w:val="20"/>
          <w:szCs w:val="20"/>
          <w:lang w:val="es-AR"/>
        </w:rPr>
      </w:pPr>
      <w:r w:rsidRPr="001F0F69">
        <w:rPr>
          <w:rFonts w:asciiTheme="majorHAnsi" w:hAnsiTheme="majorHAnsi"/>
          <w:b/>
          <w:bCs/>
          <w:sz w:val="20"/>
          <w:szCs w:val="20"/>
          <w:lang w:val="es-AR"/>
        </w:rPr>
        <w:t xml:space="preserve">IV. </w:t>
      </w:r>
      <w:r w:rsidRPr="001F0F69">
        <w:rPr>
          <w:rFonts w:asciiTheme="majorHAnsi" w:hAnsiTheme="majorHAnsi"/>
          <w:b/>
          <w:bCs/>
          <w:sz w:val="20"/>
          <w:szCs w:val="20"/>
          <w:lang w:val="es-AR"/>
        </w:rPr>
        <w:tab/>
      </w:r>
      <w:r w:rsidR="00EE00E9" w:rsidRPr="001F0F69">
        <w:rPr>
          <w:rFonts w:asciiTheme="majorHAnsi" w:hAnsiTheme="majorHAnsi"/>
          <w:b/>
          <w:bCs/>
          <w:sz w:val="20"/>
          <w:szCs w:val="20"/>
          <w:lang w:val="es-AR"/>
        </w:rPr>
        <w:t>DUPLICACIÓN</w:t>
      </w:r>
      <w:r w:rsidR="00EE00E9" w:rsidRPr="001F0F69">
        <w:rPr>
          <w:rFonts w:asciiTheme="majorHAnsi" w:hAnsiTheme="majorHAnsi"/>
          <w:b/>
          <w:bCs/>
          <w:color w:val="FFFFFF" w:themeColor="background1"/>
          <w:sz w:val="20"/>
          <w:szCs w:val="20"/>
          <w:lang w:val="es-AR"/>
        </w:rPr>
        <w:t xml:space="preserve"> </w:t>
      </w:r>
      <w:r w:rsidR="00EE00E9" w:rsidRPr="001F0F69">
        <w:rPr>
          <w:rFonts w:asciiTheme="majorHAnsi" w:hAnsiTheme="majorHAnsi"/>
          <w:b/>
          <w:bCs/>
          <w:sz w:val="20"/>
          <w:szCs w:val="20"/>
          <w:lang w:val="es-AR"/>
        </w:rPr>
        <w:t>DE PROCEDIMIENTOS Y COSA JUZGADA</w:t>
      </w:r>
      <w:r w:rsidR="00EE00E9" w:rsidRPr="001F0F69">
        <w:rPr>
          <w:rFonts w:asciiTheme="majorHAnsi" w:hAnsiTheme="majorHAnsi"/>
          <w:b/>
          <w:bCs/>
          <w:i/>
          <w:sz w:val="20"/>
          <w:szCs w:val="20"/>
          <w:lang w:val="es-AR"/>
        </w:rPr>
        <w:t xml:space="preserve"> </w:t>
      </w:r>
      <w:r w:rsidR="00871743">
        <w:rPr>
          <w:rFonts w:asciiTheme="majorHAnsi" w:hAnsiTheme="majorHAnsi"/>
          <w:b/>
          <w:bCs/>
          <w:sz w:val="20"/>
          <w:szCs w:val="20"/>
          <w:lang w:val="es-AR"/>
        </w:rPr>
        <w:t>INTERNACIONAL,</w:t>
      </w:r>
      <w:r w:rsidRPr="001F0F69">
        <w:rPr>
          <w:rFonts w:asciiTheme="majorHAnsi" w:hAnsiTheme="majorHAnsi"/>
          <w:b/>
          <w:bCs/>
          <w:sz w:val="20"/>
          <w:szCs w:val="20"/>
          <w:lang w:val="es-AR"/>
        </w:rPr>
        <w:t xml:space="preserve"> CARACTERIZACIÓN, </w:t>
      </w:r>
      <w:r w:rsidRPr="001F0F69">
        <w:rPr>
          <w:rFonts w:asciiTheme="majorHAnsi" w:hAnsiTheme="majorHAnsi"/>
          <w:b/>
          <w:sz w:val="20"/>
          <w:szCs w:val="20"/>
          <w:lang w:val="es-AR"/>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5"/>
        <w:gridCol w:w="6477"/>
      </w:tblGrid>
      <w:tr w:rsidR="00EE00E9" w:rsidRPr="001F0F69" w14:paraId="77FEA23B" w14:textId="77777777" w:rsidTr="00787D1E">
        <w:trPr>
          <w:cantSplit/>
        </w:trPr>
        <w:tc>
          <w:tcPr>
            <w:tcW w:w="2765" w:type="dxa"/>
            <w:tcBorders>
              <w:top w:val="single" w:sz="4" w:space="0" w:color="auto"/>
              <w:bottom w:val="single" w:sz="6" w:space="0" w:color="auto"/>
            </w:tcBorders>
            <w:shd w:val="clear" w:color="auto" w:fill="386294"/>
            <w:vAlign w:val="center"/>
          </w:tcPr>
          <w:p w14:paraId="00A678A5" w14:textId="77777777" w:rsidR="00EE00E9" w:rsidRPr="001F0F69" w:rsidRDefault="00EE00E9" w:rsidP="00954B82">
            <w:pPr>
              <w:jc w:val="center"/>
              <w:rPr>
                <w:rFonts w:ascii="Cambria" w:hAnsi="Cambria"/>
                <w:bCs/>
                <w:color w:val="FFFFFF" w:themeColor="background1"/>
                <w:sz w:val="19"/>
                <w:szCs w:val="19"/>
                <w:lang w:val="es-AR"/>
              </w:rPr>
            </w:pPr>
            <w:r w:rsidRPr="001F0F69">
              <w:rPr>
                <w:rFonts w:ascii="Cambria" w:hAnsi="Cambria"/>
                <w:bCs/>
                <w:color w:val="FFFFFF" w:themeColor="background1"/>
                <w:sz w:val="19"/>
                <w:szCs w:val="19"/>
                <w:lang w:val="es-AR"/>
              </w:rPr>
              <w:t xml:space="preserve">Duplicación </w:t>
            </w:r>
            <w:r w:rsidR="00D77503" w:rsidRPr="001F0F69">
              <w:rPr>
                <w:rFonts w:ascii="Cambria" w:hAnsi="Cambria"/>
                <w:bCs/>
                <w:color w:val="FFFFFF" w:themeColor="background1"/>
                <w:sz w:val="19"/>
                <w:szCs w:val="19"/>
                <w:lang w:val="es-AR"/>
              </w:rPr>
              <w:t>y cosa juzgada internacional</w:t>
            </w:r>
          </w:p>
        </w:tc>
        <w:tc>
          <w:tcPr>
            <w:tcW w:w="6477" w:type="dxa"/>
            <w:vAlign w:val="center"/>
          </w:tcPr>
          <w:p w14:paraId="0D6F0AD1" w14:textId="77777777" w:rsidR="00EE00E9" w:rsidRPr="001F0F69" w:rsidRDefault="00787D1E" w:rsidP="00001845">
            <w:pPr>
              <w:jc w:val="both"/>
              <w:rPr>
                <w:rFonts w:ascii="Cambria" w:hAnsi="Cambria"/>
                <w:bCs/>
                <w:sz w:val="19"/>
                <w:szCs w:val="19"/>
                <w:lang w:val="es-AR"/>
              </w:rPr>
            </w:pPr>
            <w:r w:rsidRPr="001F0F69">
              <w:rPr>
                <w:rFonts w:ascii="Cambria" w:hAnsi="Cambria"/>
                <w:bCs/>
                <w:sz w:val="19"/>
                <w:szCs w:val="19"/>
                <w:lang w:val="es-AR"/>
              </w:rPr>
              <w:t>No</w:t>
            </w:r>
          </w:p>
        </w:tc>
      </w:tr>
      <w:tr w:rsidR="00FB48AB" w:rsidRPr="0056618E" w14:paraId="2A7F28B8" w14:textId="77777777" w:rsidTr="00787D1E">
        <w:trPr>
          <w:cantSplit/>
        </w:trPr>
        <w:tc>
          <w:tcPr>
            <w:tcW w:w="2765" w:type="dxa"/>
            <w:tcBorders>
              <w:top w:val="single" w:sz="4" w:space="0" w:color="auto"/>
              <w:bottom w:val="single" w:sz="6" w:space="0" w:color="auto"/>
            </w:tcBorders>
            <w:shd w:val="clear" w:color="auto" w:fill="386294"/>
            <w:vAlign w:val="center"/>
          </w:tcPr>
          <w:p w14:paraId="7EA2A083" w14:textId="77777777" w:rsidR="00FB48AB" w:rsidRPr="001F0F69" w:rsidRDefault="00FB48AB" w:rsidP="00FB48AB">
            <w:pPr>
              <w:jc w:val="center"/>
              <w:rPr>
                <w:rFonts w:ascii="Cambria" w:hAnsi="Cambria"/>
                <w:bCs/>
                <w:i/>
                <w:color w:val="FFFFFF" w:themeColor="background1"/>
                <w:sz w:val="19"/>
                <w:szCs w:val="19"/>
                <w:lang w:val="es-AR"/>
              </w:rPr>
            </w:pPr>
            <w:r w:rsidRPr="001F0F69">
              <w:rPr>
                <w:rFonts w:ascii="Cambria" w:hAnsi="Cambria"/>
                <w:bCs/>
                <w:color w:val="FFFFFF" w:themeColor="background1"/>
                <w:sz w:val="19"/>
                <w:szCs w:val="19"/>
                <w:lang w:val="es-AR"/>
              </w:rPr>
              <w:t>Derechos admitidos</w:t>
            </w:r>
          </w:p>
        </w:tc>
        <w:tc>
          <w:tcPr>
            <w:tcW w:w="6477" w:type="dxa"/>
            <w:vAlign w:val="center"/>
          </w:tcPr>
          <w:p w14:paraId="3FF4B98D" w14:textId="7438AB9E" w:rsidR="00FB48AB" w:rsidRPr="001F0F69" w:rsidRDefault="00FB48AB" w:rsidP="00C75163">
            <w:pPr>
              <w:jc w:val="both"/>
              <w:rPr>
                <w:rFonts w:ascii="Cambria" w:hAnsi="Cambria"/>
                <w:bCs/>
                <w:sz w:val="19"/>
                <w:szCs w:val="19"/>
                <w:lang w:val="es-AR"/>
              </w:rPr>
            </w:pPr>
            <w:r w:rsidRPr="001F0F69">
              <w:rPr>
                <w:rFonts w:ascii="Cambria" w:hAnsi="Cambria"/>
                <w:bCs/>
                <w:sz w:val="19"/>
                <w:szCs w:val="19"/>
                <w:lang w:val="es-AR"/>
              </w:rPr>
              <w:t>Artículos</w:t>
            </w:r>
            <w:r w:rsidR="00932210" w:rsidRPr="00DA0572">
              <w:rPr>
                <w:rFonts w:ascii="Cambria" w:hAnsi="Cambria"/>
                <w:bCs/>
                <w:sz w:val="19"/>
                <w:szCs w:val="19"/>
                <w:lang w:val="es-AR"/>
              </w:rPr>
              <w:t xml:space="preserve"> 8 (garantías judiciales), 21 (propiedad),</w:t>
            </w:r>
            <w:r w:rsidR="00C75163">
              <w:rPr>
                <w:rFonts w:ascii="Cambria" w:hAnsi="Cambria"/>
                <w:bCs/>
                <w:sz w:val="19"/>
                <w:szCs w:val="19"/>
                <w:lang w:val="es-AR"/>
              </w:rPr>
              <w:t xml:space="preserve"> 23 (derechos políticos),</w:t>
            </w:r>
            <w:r w:rsidR="00932210" w:rsidRPr="00DA0572">
              <w:rPr>
                <w:rFonts w:ascii="Cambria" w:hAnsi="Cambria"/>
                <w:bCs/>
                <w:sz w:val="19"/>
                <w:szCs w:val="19"/>
                <w:lang w:val="es-AR"/>
              </w:rPr>
              <w:t xml:space="preserve"> 24 (igualdad ante la ley)</w:t>
            </w:r>
            <w:r w:rsidR="00C75163">
              <w:rPr>
                <w:rFonts w:ascii="Cambria" w:hAnsi="Cambria"/>
                <w:bCs/>
                <w:sz w:val="19"/>
                <w:szCs w:val="19"/>
                <w:lang w:val="es-AR"/>
              </w:rPr>
              <w:t xml:space="preserve"> y </w:t>
            </w:r>
            <w:r w:rsidR="00932210" w:rsidRPr="00DA0572">
              <w:rPr>
                <w:rFonts w:ascii="Cambria" w:hAnsi="Cambria"/>
                <w:bCs/>
                <w:sz w:val="19"/>
                <w:szCs w:val="19"/>
                <w:lang w:val="es-AR"/>
              </w:rPr>
              <w:t xml:space="preserve">25 (protección judicial) </w:t>
            </w:r>
            <w:r w:rsidRPr="001F0F69">
              <w:rPr>
                <w:rFonts w:ascii="Cambria" w:hAnsi="Cambria"/>
                <w:bCs/>
                <w:sz w:val="19"/>
                <w:szCs w:val="19"/>
                <w:lang w:val="es-AR"/>
              </w:rPr>
              <w:t>de la Convención en relación con su</w:t>
            </w:r>
            <w:r w:rsidR="009A3D60">
              <w:rPr>
                <w:rFonts w:ascii="Cambria" w:hAnsi="Cambria"/>
                <w:bCs/>
                <w:sz w:val="19"/>
                <w:szCs w:val="19"/>
                <w:lang w:val="es-AR"/>
              </w:rPr>
              <w:t>s</w:t>
            </w:r>
            <w:r w:rsidRPr="001F0F69">
              <w:rPr>
                <w:rFonts w:ascii="Cambria" w:hAnsi="Cambria"/>
                <w:bCs/>
                <w:sz w:val="19"/>
                <w:szCs w:val="19"/>
                <w:lang w:val="es-AR"/>
              </w:rPr>
              <w:t xml:space="preserve"> artículo 1.1</w:t>
            </w:r>
            <w:r w:rsidR="009A3D60">
              <w:rPr>
                <w:rFonts w:ascii="Cambria" w:hAnsi="Cambria"/>
                <w:bCs/>
                <w:sz w:val="19"/>
                <w:szCs w:val="19"/>
                <w:lang w:val="es-AR"/>
              </w:rPr>
              <w:t xml:space="preserve"> y 2</w:t>
            </w:r>
          </w:p>
        </w:tc>
      </w:tr>
      <w:tr w:rsidR="00FB48AB" w:rsidRPr="0056618E" w14:paraId="222EF81E" w14:textId="77777777" w:rsidTr="00787D1E">
        <w:trPr>
          <w:cantSplit/>
        </w:trPr>
        <w:tc>
          <w:tcPr>
            <w:tcW w:w="2765" w:type="dxa"/>
            <w:tcBorders>
              <w:top w:val="single" w:sz="6" w:space="0" w:color="auto"/>
              <w:bottom w:val="single" w:sz="6" w:space="0" w:color="auto"/>
            </w:tcBorders>
            <w:shd w:val="clear" w:color="auto" w:fill="386294"/>
            <w:vAlign w:val="center"/>
          </w:tcPr>
          <w:p w14:paraId="6B49F428" w14:textId="77777777" w:rsidR="00FB48AB" w:rsidRPr="001F0F69" w:rsidRDefault="00FB48AB" w:rsidP="00FB48AB">
            <w:pPr>
              <w:jc w:val="center"/>
              <w:rPr>
                <w:rFonts w:ascii="Cambria" w:hAnsi="Cambria"/>
                <w:bCs/>
                <w:color w:val="FFFFFF" w:themeColor="background1"/>
                <w:sz w:val="19"/>
                <w:szCs w:val="19"/>
                <w:lang w:val="es-AR"/>
              </w:rPr>
            </w:pPr>
            <w:r w:rsidRPr="001F0F69">
              <w:rPr>
                <w:rFonts w:ascii="Cambria" w:hAnsi="Cambria"/>
                <w:bCs/>
                <w:color w:val="FFFFFF" w:themeColor="background1"/>
                <w:sz w:val="19"/>
                <w:szCs w:val="19"/>
                <w:lang w:val="es-AR"/>
              </w:rPr>
              <w:t>Agotamiento de recursos o procedencia de una excepción</w:t>
            </w:r>
          </w:p>
        </w:tc>
        <w:tc>
          <w:tcPr>
            <w:tcW w:w="6477" w:type="dxa"/>
            <w:vAlign w:val="center"/>
          </w:tcPr>
          <w:p w14:paraId="0F289028" w14:textId="253B6AAA" w:rsidR="00FB48AB" w:rsidRPr="001F0F69" w:rsidRDefault="00FB48AB" w:rsidP="00FB48AB">
            <w:pPr>
              <w:rPr>
                <w:rFonts w:ascii="Cambria" w:hAnsi="Cambria"/>
                <w:bCs/>
                <w:sz w:val="19"/>
                <w:szCs w:val="19"/>
                <w:lang w:val="es-AR"/>
              </w:rPr>
            </w:pPr>
            <w:r w:rsidRPr="001F0F69">
              <w:rPr>
                <w:rFonts w:ascii="Cambria" w:hAnsi="Cambria"/>
                <w:bCs/>
                <w:sz w:val="19"/>
                <w:szCs w:val="19"/>
                <w:lang w:val="es-AR"/>
              </w:rPr>
              <w:t>Sí</w:t>
            </w:r>
            <w:r w:rsidR="0056618E">
              <w:rPr>
                <w:rFonts w:ascii="Cambria" w:hAnsi="Cambria"/>
                <w:bCs/>
                <w:sz w:val="19"/>
                <w:szCs w:val="19"/>
                <w:lang w:val="es-AR"/>
              </w:rPr>
              <w:t>, en los términos de la sección VI</w:t>
            </w:r>
          </w:p>
        </w:tc>
      </w:tr>
      <w:tr w:rsidR="00FB48AB" w:rsidRPr="0056618E" w14:paraId="46F67AF3" w14:textId="77777777" w:rsidTr="00787D1E">
        <w:trPr>
          <w:cantSplit/>
        </w:trPr>
        <w:tc>
          <w:tcPr>
            <w:tcW w:w="2765" w:type="dxa"/>
            <w:tcBorders>
              <w:top w:val="single" w:sz="6" w:space="0" w:color="auto"/>
              <w:bottom w:val="single" w:sz="6" w:space="0" w:color="auto"/>
            </w:tcBorders>
            <w:shd w:val="clear" w:color="auto" w:fill="386294"/>
            <w:vAlign w:val="center"/>
          </w:tcPr>
          <w:p w14:paraId="7EF16977" w14:textId="77777777" w:rsidR="00FB48AB" w:rsidRPr="001F0F69" w:rsidRDefault="00FB48AB" w:rsidP="00FB48AB">
            <w:pPr>
              <w:jc w:val="center"/>
              <w:rPr>
                <w:rFonts w:ascii="Cambria" w:hAnsi="Cambria"/>
                <w:bCs/>
                <w:color w:val="FFFFFF" w:themeColor="background1"/>
                <w:sz w:val="19"/>
                <w:szCs w:val="19"/>
                <w:lang w:val="es-AR"/>
              </w:rPr>
            </w:pPr>
            <w:r w:rsidRPr="001F0F69">
              <w:rPr>
                <w:rFonts w:ascii="Cambria" w:hAnsi="Cambria"/>
                <w:bCs/>
                <w:color w:val="FFFFFF" w:themeColor="background1"/>
                <w:sz w:val="19"/>
                <w:szCs w:val="19"/>
                <w:lang w:val="es-AR"/>
              </w:rPr>
              <w:t>Presentación dentro de plazo</w:t>
            </w:r>
          </w:p>
        </w:tc>
        <w:tc>
          <w:tcPr>
            <w:tcW w:w="6477" w:type="dxa"/>
            <w:vAlign w:val="center"/>
          </w:tcPr>
          <w:p w14:paraId="0E6800E1" w14:textId="77777777" w:rsidR="00FB48AB" w:rsidRPr="001F0F69" w:rsidRDefault="00FB48AB" w:rsidP="00FB48AB">
            <w:pPr>
              <w:rPr>
                <w:rFonts w:ascii="Cambria" w:hAnsi="Cambria"/>
                <w:bCs/>
                <w:sz w:val="19"/>
                <w:szCs w:val="19"/>
                <w:lang w:val="es-AR"/>
              </w:rPr>
            </w:pPr>
            <w:r w:rsidRPr="001F0F69">
              <w:rPr>
                <w:rFonts w:ascii="Cambria" w:hAnsi="Cambria"/>
                <w:bCs/>
                <w:sz w:val="19"/>
                <w:szCs w:val="19"/>
                <w:lang w:val="es-AR"/>
              </w:rPr>
              <w:t>Sí, en los términos de la sección VI</w:t>
            </w:r>
          </w:p>
        </w:tc>
      </w:tr>
    </w:tbl>
    <w:p w14:paraId="463F1BE3" w14:textId="55D64EA8" w:rsidR="00B3283F" w:rsidRDefault="00223A29" w:rsidP="00B3283F">
      <w:pPr>
        <w:ind w:firstLine="720"/>
        <w:jc w:val="both"/>
        <w:rPr>
          <w:rFonts w:asciiTheme="majorHAnsi" w:hAnsiTheme="majorHAnsi"/>
          <w:b/>
          <w:sz w:val="20"/>
          <w:szCs w:val="20"/>
          <w:lang w:val="es-AR"/>
        </w:rPr>
      </w:pPr>
      <w:r w:rsidRPr="001F0F69">
        <w:rPr>
          <w:rFonts w:asciiTheme="majorHAnsi" w:hAnsiTheme="majorHAnsi"/>
          <w:b/>
          <w:sz w:val="20"/>
          <w:szCs w:val="20"/>
          <w:lang w:val="es-AR"/>
        </w:rPr>
        <w:t xml:space="preserve"> </w:t>
      </w:r>
      <w:r w:rsidRPr="001F0F69">
        <w:rPr>
          <w:rFonts w:asciiTheme="majorHAnsi" w:hAnsiTheme="majorHAnsi"/>
          <w:b/>
          <w:sz w:val="20"/>
          <w:szCs w:val="20"/>
          <w:lang w:val="es-AR"/>
        </w:rPr>
        <w:tab/>
      </w:r>
    </w:p>
    <w:p w14:paraId="78D7937E" w14:textId="220B19B5" w:rsidR="002255B8" w:rsidRDefault="00B3283F" w:rsidP="00B3283F">
      <w:pPr>
        <w:ind w:firstLine="720"/>
        <w:jc w:val="both"/>
        <w:rPr>
          <w:rFonts w:ascii="Cambria" w:hAnsi="Cambria"/>
          <w:b/>
          <w:sz w:val="20"/>
          <w:szCs w:val="20"/>
          <w:lang w:val="es-AR"/>
        </w:rPr>
      </w:pPr>
      <w:r>
        <w:rPr>
          <w:rFonts w:ascii="Cambria" w:hAnsi="Cambria"/>
          <w:b/>
          <w:sz w:val="20"/>
          <w:szCs w:val="20"/>
          <w:lang w:val="es-AR"/>
        </w:rPr>
        <w:t xml:space="preserve">V. </w:t>
      </w:r>
      <w:r w:rsidR="006C1AE6">
        <w:rPr>
          <w:rFonts w:ascii="Cambria" w:hAnsi="Cambria"/>
          <w:b/>
          <w:sz w:val="20"/>
          <w:szCs w:val="20"/>
          <w:lang w:val="es-AR"/>
        </w:rPr>
        <w:tab/>
      </w:r>
      <w:r w:rsidR="0034224A" w:rsidRPr="00B3283F">
        <w:rPr>
          <w:rFonts w:ascii="Cambria" w:hAnsi="Cambria"/>
          <w:b/>
          <w:sz w:val="20"/>
          <w:szCs w:val="20"/>
          <w:lang w:val="es-AR"/>
        </w:rPr>
        <w:t>RESUMEN DE LOS HECHOS ALEGADOS</w:t>
      </w:r>
    </w:p>
    <w:p w14:paraId="6C14C4AC" w14:textId="77777777" w:rsidR="00B3283F" w:rsidRPr="00B3283F" w:rsidRDefault="00B3283F" w:rsidP="00B3283F">
      <w:pPr>
        <w:ind w:firstLine="720"/>
        <w:jc w:val="both"/>
        <w:rPr>
          <w:rFonts w:ascii="Cambria" w:hAnsi="Cambria"/>
          <w:b/>
          <w:sz w:val="20"/>
          <w:szCs w:val="20"/>
          <w:lang w:val="es-AR"/>
        </w:rPr>
      </w:pPr>
    </w:p>
    <w:p w14:paraId="0142331A" w14:textId="3CC1AD28" w:rsidR="009B2B8B" w:rsidRPr="00B3283F" w:rsidRDefault="008846D2" w:rsidP="00202689">
      <w:pPr>
        <w:pStyle w:val="ListParagraph"/>
        <w:numPr>
          <w:ilvl w:val="0"/>
          <w:numId w:val="61"/>
        </w:numPr>
        <w:tabs>
          <w:tab w:val="clear" w:pos="720"/>
        </w:tabs>
        <w:jc w:val="both"/>
        <w:rPr>
          <w:rFonts w:eastAsia="Times New Roman" w:cs="Times New Roman"/>
          <w:color w:val="auto"/>
          <w:sz w:val="20"/>
          <w:szCs w:val="20"/>
          <w:bdr w:val="none" w:sz="0" w:space="0" w:color="auto"/>
          <w:lang w:val="es-AR" w:eastAsia="fr-FR"/>
        </w:rPr>
      </w:pPr>
      <w:r w:rsidRPr="00B3283F">
        <w:rPr>
          <w:rFonts w:eastAsia="Times New Roman" w:cs="Times New Roman"/>
          <w:color w:val="auto"/>
          <w:sz w:val="20"/>
          <w:szCs w:val="20"/>
          <w:bdr w:val="none" w:sz="0" w:space="0" w:color="auto"/>
          <w:lang w:val="es-AR" w:eastAsia="fr-FR"/>
        </w:rPr>
        <w:t xml:space="preserve">La presente petición </w:t>
      </w:r>
      <w:r w:rsidR="00D30B5A" w:rsidRPr="00B3283F">
        <w:rPr>
          <w:rFonts w:eastAsia="Times New Roman" w:cs="Times New Roman"/>
          <w:color w:val="auto"/>
          <w:sz w:val="20"/>
          <w:szCs w:val="20"/>
          <w:bdr w:val="none" w:sz="0" w:space="0" w:color="auto"/>
          <w:lang w:val="es-AR" w:eastAsia="fr-FR"/>
        </w:rPr>
        <w:t xml:space="preserve">se </w:t>
      </w:r>
      <w:r w:rsidRPr="00B3283F">
        <w:rPr>
          <w:rFonts w:eastAsia="Times New Roman" w:cs="Times New Roman"/>
          <w:color w:val="auto"/>
          <w:sz w:val="20"/>
          <w:szCs w:val="20"/>
          <w:bdr w:val="none" w:sz="0" w:space="0" w:color="auto"/>
          <w:lang w:val="es-ES_tradnl" w:eastAsia="fr-FR"/>
        </w:rPr>
        <w:t>refiere a la</w:t>
      </w:r>
      <w:r w:rsidR="00BA12E5" w:rsidRPr="00B3283F">
        <w:rPr>
          <w:rFonts w:eastAsia="Times New Roman" w:cs="Times New Roman"/>
          <w:color w:val="auto"/>
          <w:sz w:val="20"/>
          <w:szCs w:val="20"/>
          <w:bdr w:val="none" w:sz="0" w:space="0" w:color="auto"/>
          <w:lang w:val="es-ES_tradnl" w:eastAsia="fr-FR"/>
        </w:rPr>
        <w:t xml:space="preserve"> responsabilidad internacional del </w:t>
      </w:r>
      <w:r w:rsidRPr="00B3283F">
        <w:rPr>
          <w:rFonts w:eastAsia="Times New Roman" w:cs="Times New Roman"/>
          <w:color w:val="auto"/>
          <w:sz w:val="20"/>
          <w:szCs w:val="20"/>
          <w:bdr w:val="none" w:sz="0" w:space="0" w:color="auto"/>
          <w:lang w:val="es-ES_tradnl" w:eastAsia="fr-FR"/>
        </w:rPr>
        <w:t xml:space="preserve">Estado de Colombia </w:t>
      </w:r>
      <w:r w:rsidR="00BA12E5" w:rsidRPr="00B3283F">
        <w:rPr>
          <w:rFonts w:eastAsia="Times New Roman" w:cs="Times New Roman"/>
          <w:color w:val="auto"/>
          <w:sz w:val="20"/>
          <w:szCs w:val="20"/>
          <w:bdr w:val="none" w:sz="0" w:space="0" w:color="auto"/>
          <w:lang w:val="es-ES_tradnl" w:eastAsia="fr-FR"/>
        </w:rPr>
        <w:t xml:space="preserve">por la presunta violación </w:t>
      </w:r>
      <w:r w:rsidR="002712B8" w:rsidRPr="00B3283F">
        <w:rPr>
          <w:rFonts w:eastAsia="Times New Roman" w:cs="Times New Roman"/>
          <w:color w:val="auto"/>
          <w:sz w:val="20"/>
          <w:szCs w:val="20"/>
          <w:bdr w:val="none" w:sz="0" w:space="0" w:color="auto"/>
          <w:lang w:val="es-ES_tradnl" w:eastAsia="fr-FR"/>
        </w:rPr>
        <w:t>de</w:t>
      </w:r>
      <w:r w:rsidR="00E12CEC" w:rsidRPr="00B3283F">
        <w:rPr>
          <w:rFonts w:eastAsia="Times New Roman" w:cs="Times New Roman"/>
          <w:color w:val="auto"/>
          <w:sz w:val="20"/>
          <w:szCs w:val="20"/>
          <w:bdr w:val="none" w:sz="0" w:space="0" w:color="auto"/>
          <w:lang w:val="es-ES_tradnl" w:eastAsia="fr-FR"/>
        </w:rPr>
        <w:t>l</w:t>
      </w:r>
      <w:r w:rsidRPr="00B3283F">
        <w:rPr>
          <w:rFonts w:eastAsia="Times New Roman" w:cs="Times New Roman"/>
          <w:color w:val="auto"/>
          <w:sz w:val="20"/>
          <w:szCs w:val="20"/>
          <w:bdr w:val="none" w:sz="0" w:space="0" w:color="auto"/>
          <w:lang w:val="es-ES_tradnl" w:eastAsia="fr-FR"/>
        </w:rPr>
        <w:t xml:space="preserve"> artículo 21 de la Convención </w:t>
      </w:r>
      <w:r w:rsidR="00BA12E5" w:rsidRPr="00B3283F">
        <w:rPr>
          <w:rFonts w:eastAsia="Times New Roman" w:cs="Times New Roman"/>
          <w:color w:val="auto"/>
          <w:sz w:val="20"/>
          <w:szCs w:val="20"/>
          <w:bdr w:val="none" w:sz="0" w:space="0" w:color="auto"/>
          <w:lang w:val="es-ES_tradnl" w:eastAsia="fr-FR"/>
        </w:rPr>
        <w:t xml:space="preserve">a raíz de </w:t>
      </w:r>
      <w:r w:rsidR="006C724D" w:rsidRPr="00B3283F">
        <w:rPr>
          <w:rFonts w:eastAsia="Times New Roman" w:cs="Times New Roman"/>
          <w:color w:val="auto"/>
          <w:sz w:val="20"/>
          <w:szCs w:val="20"/>
          <w:bdr w:val="none" w:sz="0" w:space="0" w:color="auto"/>
          <w:lang w:val="es-ES_tradnl" w:eastAsia="fr-FR"/>
        </w:rPr>
        <w:t xml:space="preserve">la omisión de consulta previa </w:t>
      </w:r>
      <w:r w:rsidR="00017450" w:rsidRPr="00B3283F">
        <w:rPr>
          <w:rFonts w:eastAsia="Times New Roman" w:cs="Times New Roman"/>
          <w:color w:val="auto"/>
          <w:sz w:val="20"/>
          <w:szCs w:val="20"/>
          <w:bdr w:val="none" w:sz="0" w:space="0" w:color="auto"/>
          <w:lang w:val="es-ES_tradnl" w:eastAsia="fr-FR"/>
        </w:rPr>
        <w:t>al</w:t>
      </w:r>
      <w:r w:rsidR="00A05EF8" w:rsidRPr="00B3283F">
        <w:rPr>
          <w:rFonts w:eastAsia="Times New Roman" w:cs="Times New Roman"/>
          <w:color w:val="auto"/>
          <w:sz w:val="20"/>
          <w:szCs w:val="20"/>
          <w:bdr w:val="none" w:sz="0" w:space="0" w:color="auto"/>
          <w:lang w:val="es-ES_tradnl" w:eastAsia="fr-FR"/>
        </w:rPr>
        <w:t xml:space="preserve"> </w:t>
      </w:r>
      <w:r w:rsidR="00017450" w:rsidRPr="00B3283F">
        <w:rPr>
          <w:rFonts w:eastAsia="Times New Roman" w:cs="Times New Roman"/>
          <w:color w:val="auto"/>
          <w:sz w:val="20"/>
          <w:szCs w:val="20"/>
          <w:bdr w:val="none" w:sz="0" w:space="0" w:color="auto"/>
          <w:lang w:val="es-ES_tradnl" w:eastAsia="fr-FR"/>
        </w:rPr>
        <w:t>p</w:t>
      </w:r>
      <w:r w:rsidR="00A05EF8" w:rsidRPr="00B3283F">
        <w:rPr>
          <w:rFonts w:eastAsia="Times New Roman" w:cs="Times New Roman"/>
          <w:color w:val="auto"/>
          <w:sz w:val="20"/>
          <w:szCs w:val="20"/>
          <w:bdr w:val="none" w:sz="0" w:space="0" w:color="auto"/>
          <w:lang w:val="es-ES_tradnl" w:eastAsia="fr-FR"/>
        </w:rPr>
        <w:t xml:space="preserve">ueblo </w:t>
      </w:r>
      <w:r w:rsidR="00017450" w:rsidRPr="00B3283F">
        <w:rPr>
          <w:rFonts w:eastAsia="Times New Roman" w:cs="Times New Roman"/>
          <w:color w:val="auto"/>
          <w:sz w:val="20"/>
          <w:szCs w:val="20"/>
          <w:bdr w:val="none" w:sz="0" w:space="0" w:color="auto"/>
          <w:lang w:val="es-ES_tradnl" w:eastAsia="fr-FR"/>
        </w:rPr>
        <w:t xml:space="preserve">indígena </w:t>
      </w:r>
      <w:r w:rsidR="00A05EF8" w:rsidRPr="00B3283F">
        <w:rPr>
          <w:rFonts w:eastAsia="Times New Roman" w:cs="Times New Roman"/>
          <w:color w:val="auto"/>
          <w:sz w:val="20"/>
          <w:szCs w:val="20"/>
          <w:bdr w:val="none" w:sz="0" w:space="0" w:color="auto"/>
          <w:lang w:val="es-ES_tradnl" w:eastAsia="fr-FR"/>
        </w:rPr>
        <w:t>Wayúu</w:t>
      </w:r>
      <w:r w:rsidR="00017450" w:rsidRPr="00B3283F">
        <w:rPr>
          <w:rFonts w:eastAsia="Times New Roman" w:cs="Times New Roman"/>
          <w:color w:val="auto"/>
          <w:sz w:val="20"/>
          <w:szCs w:val="20"/>
          <w:bdr w:val="none" w:sz="0" w:space="0" w:color="auto"/>
          <w:lang w:val="es-ES_tradnl" w:eastAsia="fr-FR"/>
        </w:rPr>
        <w:t xml:space="preserve"> en</w:t>
      </w:r>
      <w:r w:rsidR="006C724D" w:rsidRPr="00B3283F">
        <w:rPr>
          <w:rFonts w:eastAsia="Times New Roman" w:cs="Times New Roman"/>
          <w:color w:val="auto"/>
          <w:sz w:val="20"/>
          <w:szCs w:val="20"/>
          <w:bdr w:val="none" w:sz="0" w:space="0" w:color="auto"/>
          <w:lang w:val="es-ES_tradnl" w:eastAsia="fr-FR"/>
        </w:rPr>
        <w:t xml:space="preserve"> la aprobación de la</w:t>
      </w:r>
      <w:r w:rsidR="003739ED" w:rsidRPr="00B3283F">
        <w:rPr>
          <w:rFonts w:eastAsia="Times New Roman" w:cs="Times New Roman"/>
          <w:color w:val="auto"/>
          <w:sz w:val="20"/>
          <w:szCs w:val="20"/>
          <w:bdr w:val="none" w:sz="0" w:space="0" w:color="auto"/>
          <w:lang w:val="es-ES_tradnl" w:eastAsia="fr-FR"/>
        </w:rPr>
        <w:t xml:space="preserve"> reforma del régimen de regalías </w:t>
      </w:r>
      <w:r w:rsidR="00A05EF8" w:rsidRPr="00B3283F">
        <w:rPr>
          <w:rFonts w:eastAsia="Times New Roman" w:cs="Times New Roman"/>
          <w:color w:val="auto"/>
          <w:sz w:val="20"/>
          <w:szCs w:val="20"/>
          <w:bdr w:val="none" w:sz="0" w:space="0" w:color="auto"/>
          <w:lang w:val="es-ES_tradnl" w:eastAsia="fr-FR"/>
        </w:rPr>
        <w:t>derivadas de la explotación d</w:t>
      </w:r>
      <w:r w:rsidR="00BA12E5" w:rsidRPr="00B3283F">
        <w:rPr>
          <w:rFonts w:eastAsia="Times New Roman" w:cs="Times New Roman"/>
          <w:color w:val="auto"/>
          <w:sz w:val="20"/>
          <w:szCs w:val="20"/>
          <w:bdr w:val="none" w:sz="0" w:space="0" w:color="auto"/>
          <w:lang w:val="es-ES_tradnl" w:eastAsia="fr-FR"/>
        </w:rPr>
        <w:t>e recursos naturales, en tanto afecta</w:t>
      </w:r>
      <w:r w:rsidR="00A05EF8" w:rsidRPr="00B3283F">
        <w:rPr>
          <w:rFonts w:eastAsia="Times New Roman" w:cs="Times New Roman"/>
          <w:color w:val="auto"/>
          <w:sz w:val="20"/>
          <w:szCs w:val="20"/>
          <w:bdr w:val="none" w:sz="0" w:space="0" w:color="auto"/>
          <w:lang w:val="es-ES_tradnl" w:eastAsia="fr-FR"/>
        </w:rPr>
        <w:t xml:space="preserve"> directamente a las comunidades </w:t>
      </w:r>
      <w:r w:rsidR="005F4928" w:rsidRPr="00B3283F">
        <w:rPr>
          <w:rFonts w:eastAsia="Times New Roman" w:cs="Times New Roman"/>
          <w:color w:val="auto"/>
          <w:sz w:val="20"/>
          <w:szCs w:val="20"/>
          <w:bdr w:val="none" w:sz="0" w:space="0" w:color="auto"/>
          <w:lang w:val="es-ES_tradnl" w:eastAsia="fr-FR"/>
        </w:rPr>
        <w:t>W</w:t>
      </w:r>
      <w:r w:rsidR="00A05EF8" w:rsidRPr="00B3283F">
        <w:rPr>
          <w:rFonts w:eastAsia="Times New Roman" w:cs="Times New Roman"/>
          <w:color w:val="auto"/>
          <w:sz w:val="20"/>
          <w:szCs w:val="20"/>
          <w:bdr w:val="none" w:sz="0" w:space="0" w:color="auto"/>
          <w:lang w:val="es-ES_tradnl" w:eastAsia="fr-FR"/>
        </w:rPr>
        <w:t>ayúu ubicadas en la región de la Guajira.</w:t>
      </w:r>
      <w:r w:rsidR="00E12CEC" w:rsidRPr="00B3283F">
        <w:rPr>
          <w:rFonts w:eastAsia="Times New Roman" w:cs="Times New Roman"/>
          <w:color w:val="auto"/>
          <w:sz w:val="20"/>
          <w:szCs w:val="20"/>
          <w:bdr w:val="none" w:sz="0" w:space="0" w:color="auto"/>
          <w:lang w:val="es-ES_tradnl" w:eastAsia="fr-FR"/>
        </w:rPr>
        <w:t xml:space="preserve"> </w:t>
      </w:r>
      <w:r w:rsidR="00435F47" w:rsidRPr="00B3283F">
        <w:rPr>
          <w:rFonts w:eastAsia="Times New Roman" w:cs="Times New Roman"/>
          <w:color w:val="auto"/>
          <w:sz w:val="20"/>
          <w:szCs w:val="20"/>
          <w:bdr w:val="none" w:sz="0" w:space="0" w:color="auto"/>
          <w:lang w:val="es-ES_tradnl" w:eastAsia="fr-FR"/>
        </w:rPr>
        <w:t>El peticionario a</w:t>
      </w:r>
      <w:r w:rsidR="00E12CEC" w:rsidRPr="00B3283F">
        <w:rPr>
          <w:rFonts w:eastAsia="Times New Roman" w:cs="Times New Roman"/>
          <w:color w:val="auto"/>
          <w:sz w:val="20"/>
          <w:szCs w:val="20"/>
          <w:bdr w:val="none" w:sz="0" w:space="0" w:color="auto"/>
          <w:lang w:val="es-ES_tradnl" w:eastAsia="fr-FR"/>
        </w:rPr>
        <w:t xml:space="preserve">lega también la violación de los derechos garantizados por los </w:t>
      </w:r>
      <w:r w:rsidR="000E1AC4" w:rsidRPr="00B3283F">
        <w:rPr>
          <w:rFonts w:eastAsia="Times New Roman" w:cs="Times New Roman"/>
          <w:color w:val="auto"/>
          <w:sz w:val="20"/>
          <w:szCs w:val="20"/>
          <w:bdr w:val="none" w:sz="0" w:space="0" w:color="auto"/>
          <w:lang w:val="es-ES_tradnl" w:eastAsia="fr-FR"/>
        </w:rPr>
        <w:t>artículos 8 y 25 en cuanto a</w:t>
      </w:r>
      <w:r w:rsidR="00E12CEC" w:rsidRPr="00B3283F">
        <w:rPr>
          <w:rFonts w:eastAsia="Times New Roman" w:cs="Times New Roman"/>
          <w:color w:val="auto"/>
          <w:sz w:val="20"/>
          <w:szCs w:val="20"/>
          <w:bdr w:val="none" w:sz="0" w:space="0" w:color="auto"/>
          <w:lang w:val="es-ES_tradnl" w:eastAsia="fr-FR"/>
        </w:rPr>
        <w:t xml:space="preserve"> irregularidades </w:t>
      </w:r>
      <w:r w:rsidR="000B4A54" w:rsidRPr="00B3283F">
        <w:rPr>
          <w:rFonts w:eastAsia="Times New Roman" w:cs="Times New Roman"/>
          <w:color w:val="auto"/>
          <w:sz w:val="20"/>
          <w:szCs w:val="20"/>
          <w:bdr w:val="none" w:sz="0" w:space="0" w:color="auto"/>
          <w:lang w:val="es-ES_tradnl" w:eastAsia="fr-FR"/>
        </w:rPr>
        <w:t>presentadas en el</w:t>
      </w:r>
      <w:r w:rsidR="00E12CEC" w:rsidRPr="00B3283F">
        <w:rPr>
          <w:rFonts w:eastAsia="Times New Roman" w:cs="Times New Roman"/>
          <w:color w:val="auto"/>
          <w:sz w:val="20"/>
          <w:szCs w:val="20"/>
          <w:bdr w:val="none" w:sz="0" w:space="0" w:color="auto"/>
          <w:lang w:val="es-ES_tradnl" w:eastAsia="fr-FR"/>
        </w:rPr>
        <w:t xml:space="preserve"> </w:t>
      </w:r>
      <w:r w:rsidR="000D1063" w:rsidRPr="00B3283F">
        <w:rPr>
          <w:rFonts w:eastAsia="Times New Roman" w:cs="Times New Roman"/>
          <w:color w:val="auto"/>
          <w:sz w:val="20"/>
          <w:szCs w:val="20"/>
          <w:bdr w:val="none" w:sz="0" w:space="0" w:color="auto"/>
          <w:lang w:val="es-ES_tradnl" w:eastAsia="fr-FR"/>
        </w:rPr>
        <w:t xml:space="preserve">proceso </w:t>
      </w:r>
      <w:r w:rsidR="00696E28" w:rsidRPr="00B3283F">
        <w:rPr>
          <w:rFonts w:eastAsia="Times New Roman" w:cs="Times New Roman"/>
          <w:color w:val="auto"/>
          <w:sz w:val="20"/>
          <w:szCs w:val="20"/>
          <w:bdr w:val="none" w:sz="0" w:space="0" w:color="auto"/>
          <w:lang w:val="es-ES_tradnl" w:eastAsia="fr-FR"/>
        </w:rPr>
        <w:t>judicial por las demandas de inconstitucionalidad de los</w:t>
      </w:r>
      <w:r w:rsidR="000D1063" w:rsidRPr="00B3283F">
        <w:rPr>
          <w:rFonts w:eastAsia="Times New Roman" w:cs="Times New Roman"/>
          <w:color w:val="auto"/>
          <w:sz w:val="20"/>
          <w:szCs w:val="20"/>
          <w:bdr w:val="none" w:sz="0" w:space="0" w:color="auto"/>
          <w:lang w:val="es-ES_tradnl" w:eastAsia="fr-FR"/>
        </w:rPr>
        <w:t xml:space="preserve"> actos legislativos de la reforma.</w:t>
      </w:r>
    </w:p>
    <w:p w14:paraId="73C9ED92" w14:textId="77777777" w:rsidR="00B3283F" w:rsidRPr="00B3283F" w:rsidRDefault="00B3283F" w:rsidP="00202689">
      <w:pPr>
        <w:pStyle w:val="ListParagraph"/>
        <w:jc w:val="both"/>
        <w:rPr>
          <w:rFonts w:eastAsia="Times New Roman" w:cs="Times New Roman"/>
          <w:color w:val="auto"/>
          <w:sz w:val="20"/>
          <w:szCs w:val="20"/>
          <w:bdr w:val="none" w:sz="0" w:space="0" w:color="auto"/>
          <w:lang w:val="es-AR" w:eastAsia="fr-FR"/>
        </w:rPr>
      </w:pPr>
    </w:p>
    <w:p w14:paraId="63AF1654" w14:textId="0FE69661" w:rsidR="000E1AC4" w:rsidRPr="006E499F" w:rsidRDefault="00D30B5A" w:rsidP="00202689">
      <w:pPr>
        <w:pStyle w:val="ListParagraph"/>
        <w:numPr>
          <w:ilvl w:val="0"/>
          <w:numId w:val="61"/>
        </w:numPr>
        <w:tabs>
          <w:tab w:val="clear" w:pos="720"/>
        </w:tabs>
        <w:jc w:val="both"/>
        <w:rPr>
          <w:rFonts w:eastAsia="Times New Roman" w:cs="Times New Roman"/>
          <w:color w:val="auto"/>
          <w:sz w:val="20"/>
          <w:szCs w:val="20"/>
          <w:bdr w:val="none" w:sz="0" w:space="0" w:color="auto"/>
          <w:lang w:val="es-AR" w:eastAsia="fr-FR"/>
        </w:rPr>
      </w:pPr>
      <w:r w:rsidRPr="00B3283F">
        <w:rPr>
          <w:rFonts w:eastAsia="Times New Roman" w:cs="Times New Roman"/>
          <w:color w:val="auto"/>
          <w:sz w:val="20"/>
          <w:szCs w:val="20"/>
          <w:bdr w:val="none" w:sz="0" w:space="0" w:color="auto"/>
          <w:lang w:val="es-AR" w:eastAsia="fr-FR"/>
        </w:rPr>
        <w:t xml:space="preserve">El </w:t>
      </w:r>
      <w:r w:rsidR="00A05EF8" w:rsidRPr="00B3283F">
        <w:rPr>
          <w:rFonts w:eastAsia="Times New Roman" w:cs="Times New Roman"/>
          <w:color w:val="auto"/>
          <w:sz w:val="20"/>
          <w:szCs w:val="20"/>
          <w:bdr w:val="none" w:sz="0" w:space="0" w:color="auto"/>
          <w:lang w:val="es-AR" w:eastAsia="fr-FR"/>
        </w:rPr>
        <w:t>peticionario</w:t>
      </w:r>
      <w:r w:rsidR="00BA12E5" w:rsidRPr="00B3283F">
        <w:rPr>
          <w:rFonts w:eastAsia="Times New Roman" w:cs="Times New Roman"/>
          <w:color w:val="auto"/>
          <w:sz w:val="20"/>
          <w:szCs w:val="20"/>
          <w:bdr w:val="none" w:sz="0" w:space="0" w:color="auto"/>
          <w:lang w:val="es-AR" w:eastAsia="fr-FR"/>
        </w:rPr>
        <w:t xml:space="preserve"> </w:t>
      </w:r>
      <w:r w:rsidR="00017450" w:rsidRPr="00B3283F">
        <w:rPr>
          <w:rFonts w:eastAsia="Times New Roman" w:cs="Times New Roman"/>
          <w:color w:val="auto"/>
          <w:sz w:val="20"/>
          <w:szCs w:val="20"/>
          <w:bdr w:val="none" w:sz="0" w:space="0" w:color="auto"/>
          <w:lang w:val="es-AR" w:eastAsia="fr-FR"/>
        </w:rPr>
        <w:t>a</w:t>
      </w:r>
      <w:r w:rsidR="00BA12E5" w:rsidRPr="00B3283F">
        <w:rPr>
          <w:rFonts w:eastAsia="Times New Roman" w:cs="Times New Roman"/>
          <w:color w:val="auto"/>
          <w:sz w:val="20"/>
          <w:szCs w:val="20"/>
          <w:bdr w:val="none" w:sz="0" w:space="0" w:color="auto"/>
          <w:lang w:val="es-AR" w:eastAsia="fr-FR"/>
        </w:rPr>
        <w:t>firma</w:t>
      </w:r>
      <w:r w:rsidR="00A05EF8" w:rsidRPr="00B3283F">
        <w:rPr>
          <w:rFonts w:eastAsia="Times New Roman" w:cs="Times New Roman"/>
          <w:color w:val="auto"/>
          <w:sz w:val="20"/>
          <w:szCs w:val="20"/>
          <w:bdr w:val="none" w:sz="0" w:space="0" w:color="auto"/>
          <w:lang w:val="es-AR" w:eastAsia="fr-FR"/>
        </w:rPr>
        <w:t xml:space="preserve"> </w:t>
      </w:r>
      <w:r w:rsidR="00CC2290" w:rsidRPr="00B3283F">
        <w:rPr>
          <w:rFonts w:eastAsia="Times New Roman" w:cs="Times New Roman"/>
          <w:color w:val="auto"/>
          <w:sz w:val="20"/>
          <w:szCs w:val="20"/>
          <w:bdr w:val="none" w:sz="0" w:space="0" w:color="auto"/>
          <w:lang w:val="es-AR" w:eastAsia="fr-FR"/>
        </w:rPr>
        <w:t>que el pueblo Wayúu</w:t>
      </w:r>
      <w:r w:rsidR="00BA12E5" w:rsidRPr="00B3283F">
        <w:rPr>
          <w:rFonts w:eastAsia="Times New Roman" w:cs="Times New Roman"/>
          <w:color w:val="auto"/>
          <w:sz w:val="20"/>
          <w:szCs w:val="20"/>
          <w:bdr w:val="none" w:sz="0" w:space="0" w:color="auto"/>
          <w:lang w:val="es-AR" w:eastAsia="fr-FR"/>
        </w:rPr>
        <w:t xml:space="preserve"> </w:t>
      </w:r>
      <w:r w:rsidR="001C075F" w:rsidRPr="00B3283F">
        <w:rPr>
          <w:rFonts w:eastAsia="Times New Roman" w:cs="Times New Roman"/>
          <w:color w:val="auto"/>
          <w:sz w:val="20"/>
          <w:szCs w:val="20"/>
          <w:bdr w:val="none" w:sz="0" w:space="0" w:color="auto"/>
          <w:lang w:val="es-AR" w:eastAsia="fr-FR"/>
        </w:rPr>
        <w:t>represen</w:t>
      </w:r>
      <w:r w:rsidR="00BA12E5" w:rsidRPr="00B3283F">
        <w:rPr>
          <w:rFonts w:eastAsia="Times New Roman" w:cs="Times New Roman"/>
          <w:color w:val="auto"/>
          <w:sz w:val="20"/>
          <w:szCs w:val="20"/>
          <w:bdr w:val="none" w:sz="0" w:space="0" w:color="auto"/>
          <w:lang w:val="es-AR" w:eastAsia="fr-FR"/>
        </w:rPr>
        <w:t>ta</w:t>
      </w:r>
      <w:r w:rsidR="00E9136B" w:rsidRPr="00B3283F">
        <w:rPr>
          <w:rFonts w:eastAsia="Times New Roman" w:cs="Times New Roman"/>
          <w:color w:val="auto"/>
          <w:sz w:val="20"/>
          <w:szCs w:val="20"/>
          <w:bdr w:val="none" w:sz="0" w:space="0" w:color="auto"/>
          <w:lang w:val="es-AR" w:eastAsia="fr-FR"/>
        </w:rPr>
        <w:t xml:space="preserve"> en Colombia</w:t>
      </w:r>
      <w:r w:rsidR="001C075F" w:rsidRPr="00B3283F">
        <w:rPr>
          <w:rFonts w:eastAsia="Times New Roman" w:cs="Times New Roman"/>
          <w:color w:val="auto"/>
          <w:sz w:val="20"/>
          <w:szCs w:val="20"/>
          <w:bdr w:val="none" w:sz="0" w:space="0" w:color="auto"/>
          <w:lang w:val="es-AR" w:eastAsia="fr-FR"/>
        </w:rPr>
        <w:t xml:space="preserve"> el 20,5% de la población indígena y</w:t>
      </w:r>
      <w:r w:rsidR="005E1814" w:rsidRPr="00B3283F">
        <w:rPr>
          <w:rFonts w:eastAsia="Times New Roman" w:cs="Times New Roman"/>
          <w:color w:val="auto"/>
          <w:sz w:val="20"/>
          <w:szCs w:val="20"/>
          <w:bdr w:val="none" w:sz="0" w:space="0" w:color="auto"/>
          <w:lang w:val="es-AR" w:eastAsia="fr-FR"/>
        </w:rPr>
        <w:t xml:space="preserve"> se encuentran</w:t>
      </w:r>
      <w:r w:rsidR="005456A1" w:rsidRPr="00B3283F">
        <w:rPr>
          <w:rFonts w:eastAsia="Times New Roman" w:cs="Times New Roman"/>
          <w:color w:val="auto"/>
          <w:sz w:val="20"/>
          <w:szCs w:val="20"/>
          <w:bdr w:val="none" w:sz="0" w:space="0" w:color="auto"/>
          <w:lang w:val="es-AR" w:eastAsia="fr-FR"/>
        </w:rPr>
        <w:t xml:space="preserve"> </w:t>
      </w:r>
      <w:r w:rsidR="005E1814" w:rsidRPr="00B3283F">
        <w:rPr>
          <w:rFonts w:eastAsia="Times New Roman" w:cs="Times New Roman"/>
          <w:color w:val="auto"/>
          <w:sz w:val="20"/>
          <w:szCs w:val="20"/>
          <w:bdr w:val="none" w:sz="0" w:space="0" w:color="auto"/>
          <w:lang w:val="es-AR" w:eastAsia="fr-FR"/>
        </w:rPr>
        <w:t>ubicados</w:t>
      </w:r>
      <w:r w:rsidR="0005596A" w:rsidRPr="00B3283F">
        <w:rPr>
          <w:rFonts w:eastAsia="Times New Roman" w:cs="Times New Roman"/>
          <w:color w:val="auto"/>
          <w:sz w:val="20"/>
          <w:szCs w:val="20"/>
          <w:bdr w:val="none" w:sz="0" w:space="0" w:color="auto"/>
          <w:lang w:val="es-AR" w:eastAsia="fr-FR"/>
        </w:rPr>
        <w:t xml:space="preserve"> </w:t>
      </w:r>
      <w:r w:rsidR="005E1814" w:rsidRPr="00B3283F">
        <w:rPr>
          <w:rFonts w:eastAsia="Times New Roman" w:cs="Times New Roman"/>
          <w:color w:val="auto"/>
          <w:sz w:val="20"/>
          <w:szCs w:val="20"/>
          <w:bdr w:val="none" w:sz="0" w:space="0" w:color="auto"/>
          <w:lang w:val="es-AR" w:eastAsia="fr-FR"/>
        </w:rPr>
        <w:t xml:space="preserve">en </w:t>
      </w:r>
      <w:r w:rsidR="0005596A" w:rsidRPr="00B3283F">
        <w:rPr>
          <w:rFonts w:eastAsia="Times New Roman" w:cs="Times New Roman"/>
          <w:color w:val="auto"/>
          <w:sz w:val="20"/>
          <w:szCs w:val="20"/>
          <w:bdr w:val="none" w:sz="0" w:space="0" w:color="auto"/>
          <w:lang w:val="es-AR" w:eastAsia="fr-FR"/>
        </w:rPr>
        <w:t>el departamento</w:t>
      </w:r>
      <w:r w:rsidR="005E1814" w:rsidRPr="00B3283F">
        <w:rPr>
          <w:rFonts w:eastAsia="Times New Roman" w:cs="Times New Roman"/>
          <w:color w:val="auto"/>
          <w:sz w:val="20"/>
          <w:szCs w:val="20"/>
          <w:bdr w:val="none" w:sz="0" w:space="0" w:color="auto"/>
          <w:lang w:val="es-AR" w:eastAsia="fr-FR"/>
        </w:rPr>
        <w:t xml:space="preserve"> de La Guajira</w:t>
      </w:r>
      <w:r w:rsidR="0053535B" w:rsidRPr="00B3283F">
        <w:rPr>
          <w:rFonts w:eastAsia="Times New Roman" w:cs="Times New Roman"/>
          <w:color w:val="auto"/>
          <w:sz w:val="20"/>
          <w:szCs w:val="20"/>
          <w:bdr w:val="none" w:sz="0" w:space="0" w:color="auto"/>
          <w:lang w:val="es-AR" w:eastAsia="fr-FR"/>
        </w:rPr>
        <w:t xml:space="preserve"> d</w:t>
      </w:r>
      <w:r w:rsidR="00101E8D" w:rsidRPr="00B3283F">
        <w:rPr>
          <w:rFonts w:eastAsia="Times New Roman" w:cs="Times New Roman"/>
          <w:color w:val="auto"/>
          <w:sz w:val="20"/>
          <w:szCs w:val="20"/>
          <w:bdr w:val="none" w:sz="0" w:space="0" w:color="auto"/>
          <w:lang w:val="es-AR" w:eastAsia="fr-FR"/>
        </w:rPr>
        <w:t>o</w:t>
      </w:r>
      <w:r w:rsidR="0053535B" w:rsidRPr="00B3283F">
        <w:rPr>
          <w:rFonts w:eastAsia="Times New Roman" w:cs="Times New Roman"/>
          <w:color w:val="auto"/>
          <w:sz w:val="20"/>
          <w:szCs w:val="20"/>
          <w:bdr w:val="none" w:sz="0" w:space="0" w:color="auto"/>
          <w:lang w:val="es-AR" w:eastAsia="fr-FR"/>
        </w:rPr>
        <w:t>nde o</w:t>
      </w:r>
      <w:r w:rsidR="001C075F" w:rsidRPr="00B3283F">
        <w:rPr>
          <w:rFonts w:eastAsia="Times New Roman" w:cs="Times New Roman"/>
          <w:color w:val="auto"/>
          <w:sz w:val="20"/>
          <w:szCs w:val="20"/>
          <w:bdr w:val="none" w:sz="0" w:space="0" w:color="auto"/>
          <w:lang w:val="es-AR" w:eastAsia="fr-FR"/>
        </w:rPr>
        <w:t xml:space="preserve">cupan un área de 1.080.336 hectáreas localizadas en el resguardo de la Alta y Media Guajira y varios resguardos </w:t>
      </w:r>
      <w:r w:rsidR="00602A1C" w:rsidRPr="00B3283F">
        <w:rPr>
          <w:rFonts w:eastAsia="Times New Roman" w:cs="Times New Roman"/>
          <w:color w:val="auto"/>
          <w:sz w:val="20"/>
          <w:szCs w:val="20"/>
          <w:bdr w:val="none" w:sz="0" w:space="0" w:color="auto"/>
          <w:lang w:val="es-AR" w:eastAsia="fr-FR"/>
        </w:rPr>
        <w:t>más</w:t>
      </w:r>
      <w:r w:rsidR="001C075F" w:rsidRPr="00B3283F">
        <w:rPr>
          <w:rFonts w:eastAsia="Times New Roman" w:cs="Times New Roman"/>
          <w:color w:val="auto"/>
          <w:sz w:val="20"/>
          <w:szCs w:val="20"/>
          <w:bdr w:val="none" w:sz="0" w:space="0" w:color="auto"/>
          <w:lang w:val="es-AR" w:eastAsia="fr-FR"/>
        </w:rPr>
        <w:t xml:space="preserve"> ubicados en el sur del departam</w:t>
      </w:r>
      <w:r w:rsidR="003E4C53" w:rsidRPr="00B3283F">
        <w:rPr>
          <w:rFonts w:eastAsia="Times New Roman" w:cs="Times New Roman"/>
          <w:color w:val="auto"/>
          <w:sz w:val="20"/>
          <w:szCs w:val="20"/>
          <w:bdr w:val="none" w:sz="0" w:space="0" w:color="auto"/>
          <w:lang w:val="es-AR" w:eastAsia="fr-FR"/>
        </w:rPr>
        <w:t xml:space="preserve">ento y la reserva de Carraipía. En este sentido indica que constituyen el 48% de la población de la Península de la Guajira la cual aun cuando cuenta con una abundancia de recursos naturales como el gas, carbón </w:t>
      </w:r>
      <w:r w:rsidR="003E4C53" w:rsidRPr="00B3283F">
        <w:rPr>
          <w:rFonts w:eastAsia="Times New Roman" w:cs="Times New Roman"/>
          <w:color w:val="auto"/>
          <w:sz w:val="20"/>
          <w:szCs w:val="20"/>
          <w:bdr w:val="none" w:sz="0" w:space="0" w:color="auto"/>
          <w:lang w:val="es-AR" w:eastAsia="fr-FR"/>
        </w:rPr>
        <w:lastRenderedPageBreak/>
        <w:t xml:space="preserve">y sal, </w:t>
      </w:r>
      <w:r w:rsidR="003E4C53" w:rsidRPr="006E499F">
        <w:rPr>
          <w:rFonts w:eastAsia="Times New Roman" w:cs="Times New Roman"/>
          <w:color w:val="auto"/>
          <w:sz w:val="20"/>
          <w:szCs w:val="20"/>
          <w:bdr w:val="none" w:sz="0" w:space="0" w:color="auto"/>
          <w:lang w:val="es-AR" w:eastAsia="fr-FR"/>
        </w:rPr>
        <w:t>sigue siendo una de las regiones más pobres del país</w:t>
      </w:r>
      <w:r w:rsidR="00B3283F" w:rsidRPr="006E499F">
        <w:rPr>
          <w:rFonts w:eastAsia="Times New Roman" w:cs="Times New Roman"/>
          <w:color w:val="auto"/>
          <w:sz w:val="20"/>
          <w:szCs w:val="20"/>
          <w:bdr w:val="none" w:sz="0" w:space="0" w:color="auto"/>
          <w:lang w:val="es-AR" w:eastAsia="fr-FR"/>
        </w:rPr>
        <w:t>. D</w:t>
      </w:r>
      <w:r w:rsidR="00BA12E5" w:rsidRPr="006E499F">
        <w:rPr>
          <w:rFonts w:eastAsia="Times New Roman" w:cs="Times New Roman"/>
          <w:color w:val="auto"/>
          <w:sz w:val="20"/>
          <w:szCs w:val="20"/>
          <w:bdr w:val="none" w:sz="0" w:space="0" w:color="auto"/>
          <w:lang w:val="es-AR" w:eastAsia="fr-FR"/>
        </w:rPr>
        <w:t xml:space="preserve">escribe que los Wayúu como pueblo indígena, padecen las consecuencias de la injusticia histórica, a saber, la colonización, la desposesión de sus tierras, territorios y recursos, la opresión y la discriminación, así como la falta de control de sus propios modos de vida. </w:t>
      </w:r>
      <w:r w:rsidR="001C075F" w:rsidRPr="006E499F">
        <w:rPr>
          <w:rFonts w:eastAsia="Times New Roman" w:cs="Times New Roman"/>
          <w:color w:val="auto"/>
          <w:sz w:val="20"/>
          <w:szCs w:val="20"/>
          <w:bdr w:val="none" w:sz="0" w:space="0" w:color="auto"/>
          <w:lang w:val="es-AR" w:eastAsia="fr-FR"/>
        </w:rPr>
        <w:t xml:space="preserve">El peticionario </w:t>
      </w:r>
      <w:r w:rsidR="004172B2" w:rsidRPr="006E499F">
        <w:rPr>
          <w:rFonts w:eastAsia="Times New Roman" w:cs="Times New Roman"/>
          <w:color w:val="auto"/>
          <w:sz w:val="20"/>
          <w:szCs w:val="20"/>
          <w:bdr w:val="none" w:sz="0" w:space="0" w:color="auto"/>
          <w:lang w:val="es-AR" w:eastAsia="fr-FR"/>
        </w:rPr>
        <w:t>señala</w:t>
      </w:r>
      <w:r w:rsidR="001C075F" w:rsidRPr="006E499F">
        <w:rPr>
          <w:rFonts w:eastAsia="Times New Roman" w:cs="Times New Roman"/>
          <w:color w:val="auto"/>
          <w:sz w:val="20"/>
          <w:szCs w:val="20"/>
          <w:bdr w:val="none" w:sz="0" w:space="0" w:color="auto"/>
          <w:lang w:val="es-AR" w:eastAsia="fr-FR"/>
        </w:rPr>
        <w:t xml:space="preserve"> que</w:t>
      </w:r>
      <w:r w:rsidR="003E4C53" w:rsidRPr="006E499F">
        <w:rPr>
          <w:rFonts w:eastAsia="Times New Roman" w:cs="Times New Roman"/>
          <w:color w:val="auto"/>
          <w:sz w:val="20"/>
          <w:szCs w:val="20"/>
          <w:bdr w:val="none" w:sz="0" w:space="0" w:color="auto"/>
          <w:lang w:val="es-AR" w:eastAsia="fr-FR"/>
        </w:rPr>
        <w:t xml:space="preserve"> l</w:t>
      </w:r>
      <w:r w:rsidR="00E9136B" w:rsidRPr="006E499F">
        <w:rPr>
          <w:rFonts w:eastAsia="Times New Roman" w:cs="Times New Roman"/>
          <w:color w:val="auto"/>
          <w:sz w:val="20"/>
          <w:szCs w:val="20"/>
          <w:bdr w:val="none" w:sz="0" w:space="0" w:color="auto"/>
          <w:lang w:val="es-AR" w:eastAsia="fr-FR"/>
        </w:rPr>
        <w:t>os Way</w:t>
      </w:r>
      <w:r w:rsidR="004172B2" w:rsidRPr="006E499F">
        <w:rPr>
          <w:rFonts w:eastAsia="Times New Roman" w:cs="Times New Roman"/>
          <w:color w:val="auto"/>
          <w:sz w:val="20"/>
          <w:szCs w:val="20"/>
          <w:bdr w:val="none" w:sz="0" w:space="0" w:color="auto"/>
          <w:lang w:val="es-AR" w:eastAsia="fr-FR"/>
        </w:rPr>
        <w:t>ú</w:t>
      </w:r>
      <w:r w:rsidR="00E9136B" w:rsidRPr="006E499F">
        <w:rPr>
          <w:rFonts w:eastAsia="Times New Roman" w:cs="Times New Roman"/>
          <w:color w:val="auto"/>
          <w:sz w:val="20"/>
          <w:szCs w:val="20"/>
          <w:bdr w:val="none" w:sz="0" w:space="0" w:color="auto"/>
          <w:lang w:val="es-AR" w:eastAsia="fr-FR"/>
        </w:rPr>
        <w:t xml:space="preserve">u, que </w:t>
      </w:r>
      <w:r w:rsidR="00B33467" w:rsidRPr="006E499F">
        <w:rPr>
          <w:rFonts w:eastAsia="Times New Roman" w:cs="Times New Roman"/>
          <w:color w:val="auto"/>
          <w:sz w:val="20"/>
          <w:szCs w:val="20"/>
          <w:bdr w:val="none" w:sz="0" w:space="0" w:color="auto"/>
          <w:lang w:val="es-AR" w:eastAsia="fr-FR"/>
        </w:rPr>
        <w:t>son</w:t>
      </w:r>
      <w:r w:rsidR="00E9136B" w:rsidRPr="006E499F">
        <w:rPr>
          <w:rFonts w:eastAsia="Times New Roman" w:cs="Times New Roman"/>
          <w:color w:val="auto"/>
          <w:sz w:val="20"/>
          <w:szCs w:val="20"/>
          <w:bdr w:val="none" w:sz="0" w:space="0" w:color="auto"/>
          <w:lang w:val="es-AR" w:eastAsia="fr-FR"/>
        </w:rPr>
        <w:t xml:space="preserve"> especialmente </w:t>
      </w:r>
      <w:r w:rsidR="00B33467" w:rsidRPr="006E499F">
        <w:rPr>
          <w:rFonts w:eastAsia="Times New Roman" w:cs="Times New Roman"/>
          <w:color w:val="auto"/>
          <w:sz w:val="20"/>
          <w:szCs w:val="20"/>
          <w:bdr w:val="none" w:sz="0" w:space="0" w:color="auto"/>
          <w:lang w:val="es-AR" w:eastAsia="fr-FR"/>
        </w:rPr>
        <w:t>afectados</w:t>
      </w:r>
      <w:r w:rsidR="00E9136B" w:rsidRPr="006E499F">
        <w:rPr>
          <w:rFonts w:eastAsia="Times New Roman" w:cs="Times New Roman"/>
          <w:color w:val="auto"/>
          <w:sz w:val="20"/>
          <w:szCs w:val="20"/>
          <w:bdr w:val="none" w:sz="0" w:space="0" w:color="auto"/>
          <w:lang w:val="es-AR" w:eastAsia="fr-FR"/>
        </w:rPr>
        <w:t xml:space="preserve"> por </w:t>
      </w:r>
      <w:r w:rsidR="00B33467" w:rsidRPr="006E499F">
        <w:rPr>
          <w:rFonts w:eastAsia="Times New Roman" w:cs="Times New Roman"/>
          <w:color w:val="auto"/>
          <w:sz w:val="20"/>
          <w:szCs w:val="20"/>
          <w:bdr w:val="none" w:sz="0" w:space="0" w:color="auto"/>
          <w:lang w:val="es-AR" w:eastAsia="fr-FR"/>
        </w:rPr>
        <w:t>la</w:t>
      </w:r>
      <w:r w:rsidR="003E4C53" w:rsidRPr="006E499F">
        <w:rPr>
          <w:rFonts w:eastAsia="Times New Roman" w:cs="Times New Roman"/>
          <w:color w:val="auto"/>
          <w:sz w:val="20"/>
          <w:szCs w:val="20"/>
          <w:bdr w:val="none" w:sz="0" w:space="0" w:color="auto"/>
          <w:lang w:val="es-AR" w:eastAsia="fr-FR"/>
        </w:rPr>
        <w:t xml:space="preserve"> pobreza y en consecuencia </w:t>
      </w:r>
      <w:r w:rsidR="00226C05" w:rsidRPr="006E499F">
        <w:rPr>
          <w:rFonts w:eastAsia="Times New Roman" w:cs="Times New Roman"/>
          <w:color w:val="auto"/>
          <w:sz w:val="20"/>
          <w:szCs w:val="20"/>
          <w:bdr w:val="none" w:sz="0" w:space="0" w:color="auto"/>
          <w:lang w:val="es-AR" w:eastAsia="fr-FR"/>
        </w:rPr>
        <w:t>no pueden satisfacer sus</w:t>
      </w:r>
      <w:r w:rsidR="00B33467" w:rsidRPr="006E499F">
        <w:rPr>
          <w:rFonts w:eastAsia="Times New Roman" w:cs="Times New Roman"/>
          <w:color w:val="auto"/>
          <w:sz w:val="20"/>
          <w:szCs w:val="20"/>
          <w:bdr w:val="none" w:sz="0" w:space="0" w:color="auto"/>
          <w:lang w:val="es-AR" w:eastAsia="fr-FR"/>
        </w:rPr>
        <w:t xml:space="preserve"> necesidades </w:t>
      </w:r>
      <w:r w:rsidR="00226C05" w:rsidRPr="006E499F">
        <w:rPr>
          <w:rFonts w:eastAsia="Times New Roman" w:cs="Times New Roman"/>
          <w:color w:val="auto"/>
          <w:sz w:val="20"/>
          <w:szCs w:val="20"/>
          <w:bdr w:val="none" w:sz="0" w:space="0" w:color="auto"/>
          <w:lang w:val="es-AR" w:eastAsia="fr-FR"/>
        </w:rPr>
        <w:t>básicas, incluso el acceso a la educación, al agua potable o a la salud</w:t>
      </w:r>
      <w:r w:rsidR="005F4928" w:rsidRPr="006E499F">
        <w:rPr>
          <w:rFonts w:eastAsia="Times New Roman" w:cs="Times New Roman"/>
          <w:color w:val="auto"/>
          <w:sz w:val="20"/>
          <w:szCs w:val="20"/>
          <w:bdr w:val="none" w:sz="0" w:space="0" w:color="auto"/>
          <w:lang w:val="es-AR" w:eastAsia="fr-FR"/>
        </w:rPr>
        <w:t xml:space="preserve"> </w:t>
      </w:r>
      <w:r w:rsidR="003E4C53" w:rsidRPr="006E499F">
        <w:rPr>
          <w:rFonts w:eastAsia="Times New Roman" w:cs="Times New Roman"/>
          <w:color w:val="auto"/>
          <w:sz w:val="20"/>
          <w:szCs w:val="20"/>
          <w:bdr w:val="none" w:sz="0" w:space="0" w:color="auto"/>
          <w:lang w:val="es-AR" w:eastAsia="fr-FR"/>
        </w:rPr>
        <w:t>viéndose</w:t>
      </w:r>
      <w:r w:rsidR="005C23EE" w:rsidRPr="006E499F">
        <w:rPr>
          <w:rFonts w:eastAsia="Times New Roman" w:cs="Times New Roman"/>
          <w:color w:val="auto"/>
          <w:sz w:val="20"/>
          <w:szCs w:val="20"/>
          <w:bdr w:val="none" w:sz="0" w:space="0" w:color="auto"/>
          <w:lang w:val="es-AR" w:eastAsia="fr-FR"/>
        </w:rPr>
        <w:t xml:space="preserve"> afectado</w:t>
      </w:r>
      <w:r w:rsidR="005F4928" w:rsidRPr="006E499F">
        <w:rPr>
          <w:rFonts w:eastAsia="Times New Roman" w:cs="Times New Roman"/>
          <w:color w:val="auto"/>
          <w:sz w:val="20"/>
          <w:szCs w:val="20"/>
          <w:bdr w:val="none" w:sz="0" w:space="0" w:color="auto"/>
          <w:lang w:val="es-AR" w:eastAsia="fr-FR"/>
        </w:rPr>
        <w:t>s</w:t>
      </w:r>
      <w:r w:rsidR="005C23EE" w:rsidRPr="006E499F">
        <w:rPr>
          <w:rFonts w:eastAsia="Times New Roman" w:cs="Times New Roman"/>
          <w:color w:val="auto"/>
          <w:sz w:val="20"/>
          <w:szCs w:val="20"/>
          <w:bdr w:val="none" w:sz="0" w:space="0" w:color="auto"/>
          <w:lang w:val="es-AR" w:eastAsia="fr-FR"/>
        </w:rPr>
        <w:t xml:space="preserve"> de forma desproporcionada por la desnutrición y mortalidad infantil</w:t>
      </w:r>
      <w:r w:rsidR="003E4C53" w:rsidRPr="006E499F">
        <w:rPr>
          <w:rFonts w:eastAsia="Times New Roman" w:cs="Times New Roman"/>
          <w:color w:val="auto"/>
          <w:sz w:val="20"/>
          <w:szCs w:val="20"/>
          <w:bdr w:val="none" w:sz="0" w:space="0" w:color="auto"/>
          <w:lang w:val="es-AR" w:eastAsia="fr-FR"/>
        </w:rPr>
        <w:t>.</w:t>
      </w:r>
      <w:r w:rsidR="00F36E72" w:rsidRPr="006E499F">
        <w:rPr>
          <w:rFonts w:eastAsia="Times New Roman" w:cs="Times New Roman"/>
          <w:color w:val="auto"/>
          <w:sz w:val="20"/>
          <w:szCs w:val="20"/>
          <w:bdr w:val="none" w:sz="0" w:space="0" w:color="auto"/>
          <w:lang w:val="es-AR" w:eastAsia="fr-FR"/>
        </w:rPr>
        <w:t xml:space="preserve"> </w:t>
      </w:r>
    </w:p>
    <w:p w14:paraId="24ABFA3E" w14:textId="77777777" w:rsidR="00B3283F" w:rsidRPr="006E499F" w:rsidRDefault="00B3283F" w:rsidP="00202689">
      <w:pPr>
        <w:pStyle w:val="ListParagraph"/>
        <w:jc w:val="both"/>
        <w:rPr>
          <w:rFonts w:eastAsia="Times New Roman" w:cs="Times New Roman"/>
          <w:color w:val="auto"/>
          <w:sz w:val="20"/>
          <w:szCs w:val="20"/>
          <w:bdr w:val="none" w:sz="0" w:space="0" w:color="auto"/>
          <w:lang w:val="es-AR" w:eastAsia="fr-FR"/>
        </w:rPr>
      </w:pPr>
    </w:p>
    <w:p w14:paraId="4EF882F6" w14:textId="10663A5C" w:rsidR="00BA3705" w:rsidRPr="006E499F" w:rsidRDefault="00B3283F" w:rsidP="00202689">
      <w:pPr>
        <w:pStyle w:val="ListParagraph"/>
        <w:numPr>
          <w:ilvl w:val="0"/>
          <w:numId w:val="61"/>
        </w:numPr>
        <w:tabs>
          <w:tab w:val="clear" w:pos="720"/>
        </w:tabs>
        <w:jc w:val="both"/>
        <w:rPr>
          <w:rFonts w:eastAsia="Times New Roman" w:cs="Times New Roman"/>
          <w:color w:val="auto"/>
          <w:sz w:val="20"/>
          <w:szCs w:val="20"/>
          <w:bdr w:val="none" w:sz="0" w:space="0" w:color="auto"/>
          <w:lang w:val="es-AR" w:eastAsia="fr-FR"/>
        </w:rPr>
      </w:pPr>
      <w:r w:rsidRPr="006E499F">
        <w:rPr>
          <w:sz w:val="20"/>
          <w:szCs w:val="20"/>
          <w:lang w:val="es-AR"/>
        </w:rPr>
        <w:t>En dicho marco, el peticionario a</w:t>
      </w:r>
      <w:r w:rsidR="00C82102" w:rsidRPr="006E499F">
        <w:rPr>
          <w:sz w:val="20"/>
          <w:szCs w:val="20"/>
          <w:lang w:val="es-AR"/>
        </w:rPr>
        <w:t>lega la violación de los derechos</w:t>
      </w:r>
      <w:r w:rsidR="00024940" w:rsidRPr="006E499F">
        <w:rPr>
          <w:sz w:val="20"/>
          <w:szCs w:val="20"/>
          <w:lang w:val="es-AR"/>
        </w:rPr>
        <w:t xml:space="preserve"> humanos </w:t>
      </w:r>
      <w:r w:rsidR="006F5611" w:rsidRPr="006E499F">
        <w:rPr>
          <w:sz w:val="20"/>
          <w:szCs w:val="20"/>
          <w:lang w:val="es-AR"/>
        </w:rPr>
        <w:t>del</w:t>
      </w:r>
      <w:r w:rsidR="00024940" w:rsidRPr="006E499F">
        <w:rPr>
          <w:sz w:val="20"/>
          <w:szCs w:val="20"/>
          <w:lang w:val="es-AR"/>
        </w:rPr>
        <w:t xml:space="preserve"> Pueblo Way</w:t>
      </w:r>
      <w:r w:rsidR="00DE359E" w:rsidRPr="006E499F">
        <w:rPr>
          <w:sz w:val="20"/>
          <w:szCs w:val="20"/>
          <w:lang w:val="es-AR"/>
        </w:rPr>
        <w:t>úu</w:t>
      </w:r>
      <w:r w:rsidR="00C82102" w:rsidRPr="006E499F">
        <w:rPr>
          <w:sz w:val="20"/>
          <w:szCs w:val="20"/>
          <w:lang w:val="es-AR"/>
        </w:rPr>
        <w:t xml:space="preserve"> </w:t>
      </w:r>
      <w:r w:rsidR="00024940" w:rsidRPr="006E499F">
        <w:rPr>
          <w:sz w:val="20"/>
          <w:szCs w:val="20"/>
          <w:lang w:val="es-AR"/>
        </w:rPr>
        <w:t>por</w:t>
      </w:r>
      <w:r w:rsidR="00C82102" w:rsidRPr="006E499F">
        <w:rPr>
          <w:sz w:val="20"/>
          <w:szCs w:val="20"/>
          <w:lang w:val="es-AR"/>
        </w:rPr>
        <w:t xml:space="preserve"> la</w:t>
      </w:r>
      <w:r w:rsidR="00DE6B15" w:rsidRPr="006E499F">
        <w:rPr>
          <w:sz w:val="20"/>
          <w:szCs w:val="20"/>
          <w:lang w:val="es-AR"/>
        </w:rPr>
        <w:t xml:space="preserve"> </w:t>
      </w:r>
      <w:r w:rsidR="00FC63DC" w:rsidRPr="006E499F">
        <w:rPr>
          <w:sz w:val="20"/>
          <w:szCs w:val="20"/>
          <w:lang w:val="es-AR"/>
        </w:rPr>
        <w:t>omisi</w:t>
      </w:r>
      <w:r w:rsidR="00CA51A0" w:rsidRPr="006E499F">
        <w:rPr>
          <w:sz w:val="20"/>
          <w:szCs w:val="20"/>
          <w:lang w:val="es-AR"/>
        </w:rPr>
        <w:t>ó</w:t>
      </w:r>
      <w:r w:rsidR="00FC63DC" w:rsidRPr="006E499F">
        <w:rPr>
          <w:sz w:val="20"/>
          <w:szCs w:val="20"/>
          <w:lang w:val="es-AR"/>
        </w:rPr>
        <w:t>n de la consulta previa en el proceso de reforma</w:t>
      </w:r>
      <w:r w:rsidR="000E1AC4" w:rsidRPr="006E499F">
        <w:rPr>
          <w:sz w:val="20"/>
          <w:szCs w:val="20"/>
          <w:lang w:val="es-AR"/>
        </w:rPr>
        <w:t xml:space="preserve"> del régimen de </w:t>
      </w:r>
      <w:r w:rsidR="00922ADC" w:rsidRPr="006E499F">
        <w:rPr>
          <w:sz w:val="20"/>
          <w:szCs w:val="20"/>
          <w:lang w:val="es-AR"/>
        </w:rPr>
        <w:t>las regalías</w:t>
      </w:r>
      <w:r w:rsidR="001C5E53" w:rsidRPr="006E499F">
        <w:rPr>
          <w:sz w:val="20"/>
          <w:szCs w:val="20"/>
          <w:lang w:val="es-AR"/>
        </w:rPr>
        <w:t xml:space="preserve"> </w:t>
      </w:r>
      <w:r w:rsidR="001C5E53" w:rsidRPr="006E499F">
        <w:rPr>
          <w:iCs/>
          <w:sz w:val="20"/>
          <w:szCs w:val="20"/>
          <w:lang w:val="es-AR"/>
        </w:rPr>
        <w:t xml:space="preserve">el Acto Legislativo 05 de 2011 y </w:t>
      </w:r>
      <w:r w:rsidR="001C5E53" w:rsidRPr="006E499F">
        <w:rPr>
          <w:rFonts w:eastAsia="Times New Roman"/>
          <w:iCs/>
          <w:sz w:val="20"/>
          <w:szCs w:val="20"/>
          <w:bdr w:val="none" w:sz="0" w:space="0" w:color="auto"/>
          <w:lang w:val="es-AR" w:eastAsia="fr-FR"/>
        </w:rPr>
        <w:t>la Ley 1530 de 2012</w:t>
      </w:r>
      <w:r w:rsidRPr="006E499F">
        <w:rPr>
          <w:rStyle w:val="FootnoteReference"/>
          <w:sz w:val="20"/>
          <w:szCs w:val="20"/>
          <w:lang w:val="es-AR"/>
        </w:rPr>
        <w:footnoteReference w:id="4"/>
      </w:r>
      <w:r w:rsidR="00922ADC" w:rsidRPr="006E499F">
        <w:rPr>
          <w:sz w:val="20"/>
          <w:szCs w:val="20"/>
          <w:lang w:val="es-AR"/>
        </w:rPr>
        <w:t xml:space="preserve">. </w:t>
      </w:r>
      <w:r w:rsidRPr="006E499F">
        <w:rPr>
          <w:sz w:val="20"/>
          <w:szCs w:val="20"/>
          <w:lang w:val="es-AR"/>
        </w:rPr>
        <w:t xml:space="preserve">Al respecto, explica que </w:t>
      </w:r>
      <w:r w:rsidR="00C03C7C" w:rsidRPr="006E499F">
        <w:rPr>
          <w:sz w:val="20"/>
          <w:szCs w:val="20"/>
          <w:lang w:val="es-AR"/>
        </w:rPr>
        <w:t xml:space="preserve">las </w:t>
      </w:r>
      <w:r w:rsidR="00C03C7C" w:rsidRPr="006E499F">
        <w:rPr>
          <w:iCs/>
          <w:sz w:val="20"/>
          <w:szCs w:val="20"/>
          <w:lang w:val="es-AR"/>
        </w:rPr>
        <w:t>regalías se acuñaron inicialmente como una compensación a las regiones productoras para mitigar los efectos económicos, sociales y ambientales que se generaban en la producción minera</w:t>
      </w:r>
      <w:r w:rsidR="000E1AC4" w:rsidRPr="006E499F">
        <w:rPr>
          <w:iCs/>
          <w:sz w:val="20"/>
          <w:szCs w:val="20"/>
          <w:lang w:val="es-AR"/>
        </w:rPr>
        <w:t xml:space="preserve">. No obstante, indica </w:t>
      </w:r>
      <w:r w:rsidR="000D7263" w:rsidRPr="006E499F">
        <w:rPr>
          <w:sz w:val="20"/>
          <w:szCs w:val="20"/>
          <w:lang w:val="es-AR"/>
        </w:rPr>
        <w:t xml:space="preserve">que el </w:t>
      </w:r>
      <w:r w:rsidR="000E1AC4" w:rsidRPr="006E499F">
        <w:rPr>
          <w:sz w:val="20"/>
          <w:szCs w:val="20"/>
          <w:lang w:val="es-AR"/>
        </w:rPr>
        <w:t xml:space="preserve">nuevo </w:t>
      </w:r>
      <w:r w:rsidR="000D7263" w:rsidRPr="006E499F">
        <w:rPr>
          <w:sz w:val="20"/>
          <w:szCs w:val="20"/>
          <w:lang w:val="es-AR"/>
        </w:rPr>
        <w:t>Sistema General de Regalías</w:t>
      </w:r>
      <w:r w:rsidR="00435F47" w:rsidRPr="006E499F">
        <w:rPr>
          <w:sz w:val="20"/>
          <w:szCs w:val="20"/>
          <w:lang w:val="es-AR"/>
        </w:rPr>
        <w:t>, creado por el Acto Legislativo 05 de 2011 y desarrollado por la Ley 1530 de 2012,</w:t>
      </w:r>
      <w:r w:rsidR="000D7263" w:rsidRPr="006E499F">
        <w:rPr>
          <w:sz w:val="20"/>
          <w:szCs w:val="20"/>
          <w:lang w:val="es-AR"/>
        </w:rPr>
        <w:t xml:space="preserve"> </w:t>
      </w:r>
      <w:r w:rsidR="00A56C95" w:rsidRPr="006E499F">
        <w:rPr>
          <w:sz w:val="20"/>
          <w:szCs w:val="20"/>
          <w:lang w:val="es-AR"/>
        </w:rPr>
        <w:t xml:space="preserve">modificó la distribución de </w:t>
      </w:r>
      <w:r w:rsidR="004172B2" w:rsidRPr="006E499F">
        <w:rPr>
          <w:sz w:val="20"/>
          <w:szCs w:val="20"/>
          <w:lang w:val="es-AR"/>
        </w:rPr>
        <w:t>los</w:t>
      </w:r>
      <w:r w:rsidR="00A56C95" w:rsidRPr="006E499F">
        <w:rPr>
          <w:sz w:val="20"/>
          <w:szCs w:val="20"/>
          <w:lang w:val="es-AR"/>
        </w:rPr>
        <w:t xml:space="preserve"> </w:t>
      </w:r>
      <w:r w:rsidR="000E1AC4" w:rsidRPr="006E499F">
        <w:rPr>
          <w:sz w:val="20"/>
          <w:szCs w:val="20"/>
          <w:lang w:val="es-AR"/>
        </w:rPr>
        <w:t>ingresos</w:t>
      </w:r>
      <w:r w:rsidR="00A56C95" w:rsidRPr="006E499F">
        <w:rPr>
          <w:sz w:val="20"/>
          <w:szCs w:val="20"/>
          <w:lang w:val="es-AR"/>
        </w:rPr>
        <w:t xml:space="preserve"> para favor</w:t>
      </w:r>
      <w:r w:rsidR="00FE0603" w:rsidRPr="006E499F">
        <w:rPr>
          <w:sz w:val="20"/>
          <w:szCs w:val="20"/>
          <w:lang w:val="es-AR"/>
        </w:rPr>
        <w:t>ecer a todos los departamentos o</w:t>
      </w:r>
      <w:r w:rsidR="00A56C95" w:rsidRPr="006E499F">
        <w:rPr>
          <w:sz w:val="20"/>
          <w:szCs w:val="20"/>
          <w:lang w:val="es-AR"/>
        </w:rPr>
        <w:t xml:space="preserve"> municipios, y no mayoritariamente a </w:t>
      </w:r>
      <w:r w:rsidR="00272CD0" w:rsidRPr="006E499F">
        <w:rPr>
          <w:sz w:val="20"/>
          <w:szCs w:val="20"/>
          <w:lang w:val="es-AR"/>
        </w:rPr>
        <w:t>aquellos</w:t>
      </w:r>
      <w:r w:rsidR="00A56C95" w:rsidRPr="006E499F">
        <w:rPr>
          <w:sz w:val="20"/>
          <w:szCs w:val="20"/>
          <w:lang w:val="es-AR"/>
        </w:rPr>
        <w:t xml:space="preserve"> en donde se extraen recursos </w:t>
      </w:r>
      <w:r w:rsidR="004172B2" w:rsidRPr="006E499F">
        <w:rPr>
          <w:sz w:val="20"/>
          <w:szCs w:val="20"/>
          <w:lang w:val="es-AR"/>
        </w:rPr>
        <w:t>naturales</w:t>
      </w:r>
      <w:r w:rsidR="002E3615" w:rsidRPr="006E499F">
        <w:rPr>
          <w:sz w:val="20"/>
          <w:szCs w:val="20"/>
          <w:lang w:val="es-AR"/>
        </w:rPr>
        <w:t xml:space="preserve"> por lo cual, en consecuencia, </w:t>
      </w:r>
      <w:r w:rsidR="00943E0A" w:rsidRPr="006E499F">
        <w:rPr>
          <w:sz w:val="20"/>
          <w:szCs w:val="20"/>
          <w:lang w:val="es-AR"/>
        </w:rPr>
        <w:t>di</w:t>
      </w:r>
      <w:r w:rsidR="002E3615" w:rsidRPr="006E499F">
        <w:rPr>
          <w:sz w:val="20"/>
          <w:szCs w:val="20"/>
          <w:lang w:val="es-AR"/>
        </w:rPr>
        <w:t xml:space="preserve">sminuyó </w:t>
      </w:r>
      <w:r w:rsidR="00EF57C1" w:rsidRPr="006E499F">
        <w:rPr>
          <w:sz w:val="20"/>
          <w:szCs w:val="20"/>
          <w:lang w:val="es-AR"/>
        </w:rPr>
        <w:t>considerable</w:t>
      </w:r>
      <w:r w:rsidR="00943E0A" w:rsidRPr="006E499F">
        <w:rPr>
          <w:sz w:val="20"/>
          <w:szCs w:val="20"/>
          <w:lang w:val="es-AR"/>
        </w:rPr>
        <w:t>mente</w:t>
      </w:r>
      <w:r w:rsidR="00FE0603" w:rsidRPr="006E499F">
        <w:rPr>
          <w:sz w:val="20"/>
          <w:szCs w:val="20"/>
          <w:lang w:val="es-AR"/>
        </w:rPr>
        <w:t xml:space="preserve"> las regalías del Departamento de La Guajira y de sus Municipios, </w:t>
      </w:r>
      <w:r w:rsidR="002E3615" w:rsidRPr="006E499F">
        <w:rPr>
          <w:sz w:val="20"/>
          <w:szCs w:val="20"/>
          <w:lang w:val="es-AR"/>
        </w:rPr>
        <w:t xml:space="preserve">afectando </w:t>
      </w:r>
      <w:r w:rsidR="00943E0A" w:rsidRPr="006E499F">
        <w:rPr>
          <w:sz w:val="20"/>
          <w:szCs w:val="20"/>
          <w:lang w:val="es-AR"/>
        </w:rPr>
        <w:t>de manera directa</w:t>
      </w:r>
      <w:r w:rsidR="00EF57C1" w:rsidRPr="006E499F">
        <w:rPr>
          <w:sz w:val="20"/>
          <w:szCs w:val="20"/>
          <w:lang w:val="es-AR"/>
        </w:rPr>
        <w:t xml:space="preserve"> la </w:t>
      </w:r>
      <w:r w:rsidR="00FE0603" w:rsidRPr="006E499F">
        <w:rPr>
          <w:sz w:val="20"/>
          <w:szCs w:val="20"/>
          <w:lang w:val="es-AR"/>
        </w:rPr>
        <w:t>comunidad Way</w:t>
      </w:r>
      <w:r w:rsidR="00943E0A" w:rsidRPr="006E499F">
        <w:rPr>
          <w:sz w:val="20"/>
          <w:szCs w:val="20"/>
          <w:lang w:val="es-AR"/>
        </w:rPr>
        <w:t>ú</w:t>
      </w:r>
      <w:r w:rsidR="00FE0603" w:rsidRPr="006E499F">
        <w:rPr>
          <w:sz w:val="20"/>
          <w:szCs w:val="20"/>
          <w:lang w:val="es-AR"/>
        </w:rPr>
        <w:t>u</w:t>
      </w:r>
      <w:r w:rsidR="00EF57C1" w:rsidRPr="006E499F">
        <w:rPr>
          <w:sz w:val="20"/>
          <w:szCs w:val="20"/>
          <w:lang w:val="es-AR"/>
        </w:rPr>
        <w:t xml:space="preserve"> </w:t>
      </w:r>
      <w:r w:rsidR="00EB3229" w:rsidRPr="006E499F">
        <w:rPr>
          <w:iCs/>
          <w:sz w:val="20"/>
          <w:szCs w:val="20"/>
          <w:lang w:val="es-AR"/>
        </w:rPr>
        <w:t>y sus programas de salud, educación y alimentación.</w:t>
      </w:r>
    </w:p>
    <w:p w14:paraId="551032BF" w14:textId="77777777" w:rsidR="006E499F" w:rsidRPr="006E499F" w:rsidRDefault="006E499F" w:rsidP="006E499F">
      <w:pPr>
        <w:pStyle w:val="ListParagraph"/>
        <w:rPr>
          <w:rFonts w:eastAsia="Times New Roman" w:cs="Times New Roman"/>
          <w:color w:val="auto"/>
          <w:sz w:val="20"/>
          <w:szCs w:val="20"/>
          <w:bdr w:val="none" w:sz="0" w:space="0" w:color="auto"/>
          <w:lang w:val="es-AR" w:eastAsia="fr-FR"/>
        </w:rPr>
      </w:pPr>
    </w:p>
    <w:p w14:paraId="6636881A" w14:textId="17E7022B" w:rsidR="006E499F" w:rsidRPr="006E499F" w:rsidRDefault="006E499F" w:rsidP="00202689">
      <w:pPr>
        <w:pStyle w:val="ListParagraph"/>
        <w:numPr>
          <w:ilvl w:val="0"/>
          <w:numId w:val="61"/>
        </w:numPr>
        <w:tabs>
          <w:tab w:val="clear" w:pos="720"/>
        </w:tabs>
        <w:jc w:val="both"/>
        <w:rPr>
          <w:rFonts w:eastAsia="Times New Roman" w:cs="Times New Roman"/>
          <w:color w:val="auto"/>
          <w:sz w:val="20"/>
          <w:szCs w:val="20"/>
          <w:bdr w:val="none" w:sz="0" w:space="0" w:color="auto"/>
          <w:lang w:val="es-AR" w:eastAsia="fr-FR"/>
        </w:rPr>
      </w:pPr>
      <w:r w:rsidRPr="006E499F">
        <w:rPr>
          <w:rFonts w:eastAsia="Calibri" w:cs="Calibri"/>
          <w:iCs/>
          <w:sz w:val="20"/>
          <w:szCs w:val="20"/>
          <w:lang w:val="es-AR"/>
        </w:rPr>
        <w:t>El peticionario recuerda que el Estado, según la Ley 21 de 1991 que aprobó el Convenio 169 de la Organización Internacional del Trabajo, tiene la obligación de “consultar a los pueblos, a través de sus instituciones representativas y siguiendo un procedimiento apropiado, cuando se prevean medidas legislativas o administrativas que los afecten directamente, para llegar a un acuerd</w:t>
      </w:r>
      <w:r w:rsidR="00871743">
        <w:rPr>
          <w:rFonts w:eastAsia="Calibri" w:cs="Calibri"/>
          <w:iCs/>
          <w:sz w:val="20"/>
          <w:szCs w:val="20"/>
          <w:lang w:val="es-AR"/>
        </w:rPr>
        <w:t>o u obtener su consentimiento”.</w:t>
      </w:r>
      <w:r w:rsidRPr="006E499F">
        <w:rPr>
          <w:rFonts w:eastAsia="Calibri" w:cs="Calibri"/>
          <w:iCs/>
          <w:sz w:val="20"/>
          <w:szCs w:val="20"/>
          <w:lang w:val="es-AR"/>
        </w:rPr>
        <w:t xml:space="preserve"> </w:t>
      </w:r>
      <w:r w:rsidRPr="006E499F">
        <w:rPr>
          <w:rFonts w:eastAsia="Calibri" w:cs="Calibri"/>
          <w:sz w:val="20"/>
          <w:szCs w:val="20"/>
          <w:lang w:val="es-AR"/>
        </w:rPr>
        <w:t xml:space="preserve">Por lo tanto, alega que la omisión de consulta </w:t>
      </w:r>
      <w:r w:rsidRPr="006E499F">
        <w:rPr>
          <w:rFonts w:eastAsia="Calibri" w:cs="Calibri"/>
          <w:iCs/>
          <w:sz w:val="20"/>
          <w:szCs w:val="20"/>
          <w:lang w:val="es-AR"/>
        </w:rPr>
        <w:t>configura una violación del artículo 21 de la Convención, que incluye la obligación de los Estados de consultar a los pueblos indígenas y garantizar su participación en las decisiones relativas a cualquier medida que afecte sus territorios, tomando en consideración la especial relación entre los pueblos indígenas y tribales, la tierra y los recursos naturales.</w:t>
      </w:r>
    </w:p>
    <w:p w14:paraId="74ABEE44" w14:textId="77777777" w:rsidR="00B3283F" w:rsidRPr="006E499F" w:rsidRDefault="00B3283F" w:rsidP="00202689">
      <w:pPr>
        <w:pStyle w:val="ListParagraph"/>
        <w:jc w:val="both"/>
        <w:rPr>
          <w:rFonts w:eastAsia="Times New Roman" w:cs="Times New Roman"/>
          <w:color w:val="auto"/>
          <w:sz w:val="20"/>
          <w:szCs w:val="20"/>
          <w:bdr w:val="none" w:sz="0" w:space="0" w:color="auto"/>
          <w:lang w:val="es-AR" w:eastAsia="fr-FR"/>
        </w:rPr>
      </w:pPr>
    </w:p>
    <w:p w14:paraId="234EEC69" w14:textId="0F39CD0B" w:rsidR="000F68EF" w:rsidRPr="006E499F" w:rsidRDefault="000D0DF1" w:rsidP="00202689">
      <w:pPr>
        <w:pStyle w:val="NormalWeb"/>
        <w:numPr>
          <w:ilvl w:val="0"/>
          <w:numId w:val="61"/>
        </w:numPr>
        <w:tabs>
          <w:tab w:val="clear" w:pos="720"/>
        </w:tabs>
        <w:spacing w:before="0" w:beforeAutospacing="0" w:after="0" w:afterAutospacing="0"/>
        <w:jc w:val="both"/>
        <w:rPr>
          <w:rFonts w:ascii="Cambria" w:hAnsi="Cambria"/>
          <w:iCs/>
          <w:sz w:val="20"/>
          <w:szCs w:val="20"/>
          <w:bdr w:val="nil"/>
          <w:lang w:val="es-AR"/>
        </w:rPr>
      </w:pPr>
      <w:r w:rsidRPr="006E499F">
        <w:rPr>
          <w:rFonts w:ascii="Cambria" w:hAnsi="Cambria"/>
          <w:iCs/>
          <w:sz w:val="20"/>
          <w:szCs w:val="20"/>
          <w:lang w:val="es-AR"/>
        </w:rPr>
        <w:t xml:space="preserve">El peticionario </w:t>
      </w:r>
      <w:r w:rsidR="001C5E53" w:rsidRPr="006E499F">
        <w:rPr>
          <w:rFonts w:ascii="Cambria" w:hAnsi="Cambria"/>
          <w:iCs/>
          <w:sz w:val="20"/>
          <w:szCs w:val="20"/>
          <w:lang w:val="es-AR"/>
        </w:rPr>
        <w:t xml:space="preserve">sostiene </w:t>
      </w:r>
      <w:r w:rsidRPr="006E499F">
        <w:rPr>
          <w:rFonts w:ascii="Cambria" w:hAnsi="Cambria"/>
          <w:iCs/>
          <w:sz w:val="20"/>
          <w:szCs w:val="20"/>
          <w:lang w:val="es-AR"/>
        </w:rPr>
        <w:t>que interpuso una acción de tutela en contra del Ministerio del Interior y de Justicia</w:t>
      </w:r>
      <w:r w:rsidR="00EA63F9" w:rsidRPr="006E499F">
        <w:rPr>
          <w:rFonts w:ascii="Cambria" w:hAnsi="Cambria"/>
          <w:iCs/>
          <w:sz w:val="20"/>
          <w:szCs w:val="20"/>
          <w:lang w:val="es-AR"/>
        </w:rPr>
        <w:t xml:space="preserve"> por la omisión de la consulta previa</w:t>
      </w:r>
      <w:r w:rsidR="001C5E53" w:rsidRPr="006E499F">
        <w:rPr>
          <w:rFonts w:ascii="Cambria" w:hAnsi="Cambria"/>
          <w:iCs/>
          <w:sz w:val="20"/>
          <w:szCs w:val="20"/>
          <w:lang w:val="es-AR"/>
        </w:rPr>
        <w:t xml:space="preserve"> la cual</w:t>
      </w:r>
      <w:r w:rsidR="00EA63F9" w:rsidRPr="006E499F">
        <w:rPr>
          <w:rFonts w:ascii="Cambria" w:hAnsi="Cambria"/>
          <w:iCs/>
          <w:sz w:val="20"/>
          <w:szCs w:val="20"/>
          <w:lang w:val="es-AR"/>
        </w:rPr>
        <w:t xml:space="preserve"> </w:t>
      </w:r>
      <w:r w:rsidRPr="006E499F">
        <w:rPr>
          <w:rFonts w:ascii="Cambria" w:hAnsi="Cambria"/>
          <w:iCs/>
          <w:sz w:val="20"/>
          <w:szCs w:val="20"/>
          <w:lang w:val="es-AR"/>
        </w:rPr>
        <w:t>fue negada por el Tribunal Administrativo de Cundinam</w:t>
      </w:r>
      <w:r w:rsidR="00B26A49" w:rsidRPr="006E499F">
        <w:rPr>
          <w:rFonts w:ascii="Cambria" w:hAnsi="Cambria"/>
          <w:iCs/>
          <w:sz w:val="20"/>
          <w:szCs w:val="20"/>
          <w:lang w:val="es-AR"/>
        </w:rPr>
        <w:t xml:space="preserve">arca </w:t>
      </w:r>
      <w:r w:rsidRPr="006E499F">
        <w:rPr>
          <w:rFonts w:ascii="Cambria" w:hAnsi="Cambria"/>
          <w:iCs/>
          <w:sz w:val="20"/>
          <w:szCs w:val="20"/>
          <w:lang w:val="es-AR"/>
        </w:rPr>
        <w:t>mediante una sen</w:t>
      </w:r>
      <w:r w:rsidR="001C5E53" w:rsidRPr="006E499F">
        <w:rPr>
          <w:rFonts w:ascii="Cambria" w:hAnsi="Cambria"/>
          <w:iCs/>
          <w:sz w:val="20"/>
          <w:szCs w:val="20"/>
          <w:lang w:val="es-AR"/>
        </w:rPr>
        <w:t>tencia del 11 de marzo de 2011 y luego</w:t>
      </w:r>
      <w:r w:rsidRPr="006E499F">
        <w:rPr>
          <w:rFonts w:ascii="Cambria" w:hAnsi="Cambria"/>
          <w:iCs/>
          <w:sz w:val="20"/>
          <w:szCs w:val="20"/>
          <w:lang w:val="es-AR"/>
        </w:rPr>
        <w:t>,</w:t>
      </w:r>
      <w:r w:rsidR="00EA63F9" w:rsidRPr="006E499F">
        <w:rPr>
          <w:rFonts w:ascii="Cambria" w:hAnsi="Cambria"/>
          <w:iCs/>
          <w:sz w:val="20"/>
          <w:szCs w:val="20"/>
          <w:lang w:val="es-AR"/>
        </w:rPr>
        <w:t xml:space="preserve"> </w:t>
      </w:r>
      <w:r w:rsidRPr="006E499F">
        <w:rPr>
          <w:rFonts w:ascii="Cambria" w:hAnsi="Cambria"/>
          <w:iCs/>
          <w:sz w:val="20"/>
          <w:szCs w:val="20"/>
          <w:lang w:val="es-AR"/>
        </w:rPr>
        <w:t xml:space="preserve">impugnado por el peticionario, fue confirmado por el Consejo de Estado el 5 de mayo de 2011. </w:t>
      </w:r>
      <w:r w:rsidR="001325DC" w:rsidRPr="006E499F">
        <w:rPr>
          <w:rFonts w:ascii="Cambria" w:hAnsi="Cambria"/>
          <w:iCs/>
          <w:sz w:val="20"/>
          <w:szCs w:val="20"/>
          <w:lang w:val="es-AR"/>
        </w:rPr>
        <w:t>S</w:t>
      </w:r>
      <w:r w:rsidRPr="006E499F">
        <w:rPr>
          <w:rFonts w:ascii="Cambria" w:hAnsi="Cambria"/>
          <w:iCs/>
          <w:sz w:val="20"/>
          <w:szCs w:val="20"/>
          <w:lang w:val="es-AR"/>
        </w:rPr>
        <w:t xml:space="preserve">eñala que </w:t>
      </w:r>
      <w:r w:rsidR="001325DC" w:rsidRPr="006E499F">
        <w:rPr>
          <w:rFonts w:ascii="Cambria" w:hAnsi="Cambria"/>
          <w:iCs/>
          <w:sz w:val="20"/>
          <w:szCs w:val="20"/>
          <w:lang w:val="es-AR"/>
        </w:rPr>
        <w:t xml:space="preserve">el 22 de diciembre de 2011 recibió </w:t>
      </w:r>
      <w:r w:rsidRPr="006E499F">
        <w:rPr>
          <w:rFonts w:ascii="Cambria" w:hAnsi="Cambria"/>
          <w:iCs/>
          <w:sz w:val="20"/>
          <w:szCs w:val="20"/>
          <w:lang w:val="es-AR"/>
        </w:rPr>
        <w:t xml:space="preserve">notificación </w:t>
      </w:r>
      <w:r w:rsidR="0067213F" w:rsidRPr="006E499F">
        <w:rPr>
          <w:rFonts w:ascii="Cambria" w:hAnsi="Cambria"/>
          <w:iCs/>
          <w:sz w:val="20"/>
          <w:szCs w:val="20"/>
          <w:lang w:val="es-AR"/>
        </w:rPr>
        <w:t xml:space="preserve">por parte del Tribunal Administrativo de Cundinamarca </w:t>
      </w:r>
      <w:r w:rsidRPr="006E499F">
        <w:rPr>
          <w:rFonts w:ascii="Cambria" w:hAnsi="Cambria"/>
          <w:iCs/>
          <w:sz w:val="20"/>
          <w:szCs w:val="20"/>
          <w:lang w:val="es-AR"/>
        </w:rPr>
        <w:t>que su tutela no fue seleccionada para revisión</w:t>
      </w:r>
      <w:r w:rsidR="0067213F" w:rsidRPr="006E499F">
        <w:rPr>
          <w:rFonts w:ascii="Cambria" w:hAnsi="Cambria"/>
          <w:iCs/>
          <w:sz w:val="20"/>
          <w:szCs w:val="20"/>
          <w:lang w:val="es-AR"/>
        </w:rPr>
        <w:t xml:space="preserve"> </w:t>
      </w:r>
      <w:r w:rsidR="00725ABA" w:rsidRPr="006E499F">
        <w:rPr>
          <w:rFonts w:ascii="Cambria" w:hAnsi="Cambria"/>
          <w:iCs/>
          <w:sz w:val="20"/>
          <w:szCs w:val="20"/>
          <w:lang w:val="es-AR"/>
        </w:rPr>
        <w:t>por la</w:t>
      </w:r>
      <w:r w:rsidR="0067213F" w:rsidRPr="006E499F">
        <w:rPr>
          <w:rFonts w:ascii="Cambria" w:hAnsi="Cambria"/>
          <w:iCs/>
          <w:sz w:val="20"/>
          <w:szCs w:val="20"/>
          <w:lang w:val="es-AR"/>
        </w:rPr>
        <w:t xml:space="preserve"> Corte Constitucional.</w:t>
      </w:r>
      <w:r w:rsidR="00B26A49" w:rsidRPr="006E499F">
        <w:rPr>
          <w:rFonts w:ascii="Cambria" w:hAnsi="Cambria"/>
          <w:iCs/>
          <w:sz w:val="20"/>
          <w:szCs w:val="20"/>
          <w:lang w:val="es-AR"/>
        </w:rPr>
        <w:t xml:space="preserve"> </w:t>
      </w:r>
    </w:p>
    <w:p w14:paraId="4E275A67" w14:textId="77777777" w:rsidR="001C5E53" w:rsidRPr="006E499F" w:rsidRDefault="001C5E53" w:rsidP="001C5E53">
      <w:pPr>
        <w:pStyle w:val="NormalWeb"/>
        <w:spacing w:before="0" w:beforeAutospacing="0" w:after="0" w:afterAutospacing="0"/>
        <w:jc w:val="both"/>
        <w:rPr>
          <w:rFonts w:ascii="Cambria" w:hAnsi="Cambria"/>
          <w:iCs/>
          <w:sz w:val="20"/>
          <w:szCs w:val="20"/>
          <w:bdr w:val="nil"/>
          <w:lang w:val="es-AR"/>
        </w:rPr>
      </w:pPr>
    </w:p>
    <w:p w14:paraId="25D04D7D" w14:textId="3DB1C495" w:rsidR="00D40C2A" w:rsidRDefault="00312244" w:rsidP="00B3283F">
      <w:pPr>
        <w:pStyle w:val="NormalWeb"/>
        <w:numPr>
          <w:ilvl w:val="0"/>
          <w:numId w:val="61"/>
        </w:numPr>
        <w:tabs>
          <w:tab w:val="clear" w:pos="720"/>
        </w:tabs>
        <w:spacing w:before="0" w:beforeAutospacing="0" w:after="0" w:afterAutospacing="0"/>
        <w:jc w:val="both"/>
        <w:rPr>
          <w:rFonts w:ascii="Cambria" w:hAnsi="Cambria"/>
          <w:iCs/>
          <w:sz w:val="20"/>
          <w:szCs w:val="20"/>
          <w:lang w:val="es-AR"/>
        </w:rPr>
      </w:pPr>
      <w:r w:rsidRPr="006E499F">
        <w:rPr>
          <w:rFonts w:ascii="Cambria" w:hAnsi="Cambria"/>
          <w:iCs/>
          <w:sz w:val="20"/>
          <w:szCs w:val="20"/>
          <w:lang w:val="es-AR"/>
        </w:rPr>
        <w:t>Asimismo</w:t>
      </w:r>
      <w:r w:rsidR="007176A8" w:rsidRPr="006E499F">
        <w:rPr>
          <w:rFonts w:ascii="Cambria" w:hAnsi="Cambria"/>
          <w:iCs/>
          <w:sz w:val="20"/>
          <w:szCs w:val="20"/>
          <w:lang w:val="es-AR"/>
        </w:rPr>
        <w:t>, el</w:t>
      </w:r>
      <w:r w:rsidR="000D0DF1" w:rsidRPr="006E499F">
        <w:rPr>
          <w:rFonts w:ascii="Cambria" w:hAnsi="Cambria"/>
          <w:iCs/>
          <w:sz w:val="20"/>
          <w:szCs w:val="20"/>
          <w:lang w:val="es-AR"/>
        </w:rPr>
        <w:t xml:space="preserve"> peticionario in</w:t>
      </w:r>
      <w:r w:rsidR="001325DC" w:rsidRPr="006E499F">
        <w:rPr>
          <w:rFonts w:ascii="Cambria" w:hAnsi="Cambria"/>
          <w:iCs/>
          <w:sz w:val="20"/>
          <w:szCs w:val="20"/>
          <w:lang w:val="es-AR"/>
        </w:rPr>
        <w:t>dica que el 19 de julio de 2011</w:t>
      </w:r>
      <w:r w:rsidR="000D0DF1" w:rsidRPr="006E499F">
        <w:rPr>
          <w:rFonts w:ascii="Cambria" w:hAnsi="Cambria"/>
          <w:iCs/>
          <w:sz w:val="20"/>
          <w:szCs w:val="20"/>
          <w:lang w:val="es-AR"/>
        </w:rPr>
        <w:t xml:space="preserve"> interpuso una </w:t>
      </w:r>
      <w:r w:rsidR="001325DC" w:rsidRPr="006E499F">
        <w:rPr>
          <w:rFonts w:ascii="Cambria" w:hAnsi="Cambria"/>
          <w:iCs/>
          <w:sz w:val="20"/>
          <w:szCs w:val="20"/>
          <w:lang w:val="es-AR"/>
        </w:rPr>
        <w:t>demanda</w:t>
      </w:r>
      <w:r w:rsidR="000D0DF1" w:rsidRPr="006E499F">
        <w:rPr>
          <w:rFonts w:ascii="Cambria" w:hAnsi="Cambria"/>
          <w:iCs/>
          <w:sz w:val="20"/>
          <w:szCs w:val="20"/>
          <w:lang w:val="es-AR"/>
        </w:rPr>
        <w:t xml:space="preserve"> </w:t>
      </w:r>
      <w:r w:rsidR="001325DC" w:rsidRPr="006E499F">
        <w:rPr>
          <w:rFonts w:ascii="Cambria" w:hAnsi="Cambria"/>
          <w:iCs/>
          <w:sz w:val="20"/>
          <w:szCs w:val="20"/>
          <w:lang w:val="es-AR"/>
        </w:rPr>
        <w:t xml:space="preserve">de inconstitucionalidad </w:t>
      </w:r>
      <w:r w:rsidR="00A76423" w:rsidRPr="006E499F">
        <w:rPr>
          <w:rFonts w:ascii="Cambria" w:hAnsi="Cambria"/>
          <w:iCs/>
          <w:sz w:val="20"/>
          <w:szCs w:val="20"/>
          <w:lang w:val="es-AR"/>
        </w:rPr>
        <w:t xml:space="preserve">ante la Corte Constitucional </w:t>
      </w:r>
      <w:r w:rsidR="000D0DF1" w:rsidRPr="006E499F">
        <w:rPr>
          <w:rFonts w:ascii="Cambria" w:hAnsi="Cambria"/>
          <w:iCs/>
          <w:sz w:val="20"/>
          <w:szCs w:val="20"/>
          <w:lang w:val="es-AR"/>
        </w:rPr>
        <w:t xml:space="preserve">para demandar el Acto Legislativo 05 </w:t>
      </w:r>
      <w:r w:rsidR="00BA5886" w:rsidRPr="006E499F">
        <w:rPr>
          <w:rFonts w:ascii="Cambria" w:hAnsi="Cambria"/>
          <w:iCs/>
          <w:sz w:val="20"/>
          <w:szCs w:val="20"/>
          <w:lang w:val="es-AR"/>
        </w:rPr>
        <w:t>de 2011</w:t>
      </w:r>
      <w:r w:rsidR="00D20D10" w:rsidRPr="006E499F">
        <w:rPr>
          <w:rFonts w:ascii="Cambria" w:hAnsi="Cambria"/>
          <w:iCs/>
          <w:sz w:val="20"/>
          <w:szCs w:val="20"/>
          <w:lang w:val="es-AR"/>
        </w:rPr>
        <w:t xml:space="preserve"> </w:t>
      </w:r>
      <w:r w:rsidR="00EA63F9" w:rsidRPr="006E499F">
        <w:rPr>
          <w:rFonts w:ascii="Cambria" w:hAnsi="Cambria"/>
          <w:iCs/>
          <w:sz w:val="20"/>
          <w:szCs w:val="20"/>
          <w:lang w:val="es-AR"/>
        </w:rPr>
        <w:t>“</w:t>
      </w:r>
      <w:r w:rsidR="00D20D10" w:rsidRPr="006E499F">
        <w:rPr>
          <w:rFonts w:ascii="Cambria" w:hAnsi="Cambria"/>
          <w:iCs/>
          <w:sz w:val="20"/>
          <w:szCs w:val="20"/>
          <w:lang w:val="es-AR"/>
        </w:rPr>
        <w:t xml:space="preserve">Por el cual se constituye el Sistema General de </w:t>
      </w:r>
      <w:r w:rsidR="003D3455" w:rsidRPr="006E499F">
        <w:rPr>
          <w:rFonts w:ascii="Cambria" w:hAnsi="Cambria"/>
          <w:iCs/>
          <w:sz w:val="20"/>
          <w:szCs w:val="20"/>
          <w:lang w:val="es-AR"/>
        </w:rPr>
        <w:t>Regalías</w:t>
      </w:r>
      <w:r w:rsidR="00D20D10" w:rsidRPr="006E499F">
        <w:rPr>
          <w:rFonts w:ascii="Cambria" w:hAnsi="Cambria"/>
          <w:iCs/>
          <w:sz w:val="20"/>
          <w:szCs w:val="20"/>
          <w:lang w:val="es-AR"/>
        </w:rPr>
        <w:t xml:space="preserve">, se modifican los </w:t>
      </w:r>
      <w:r w:rsidR="003D3455" w:rsidRPr="006E499F">
        <w:rPr>
          <w:rFonts w:ascii="Cambria" w:hAnsi="Cambria"/>
          <w:iCs/>
          <w:sz w:val="20"/>
          <w:szCs w:val="20"/>
          <w:lang w:val="es-AR"/>
        </w:rPr>
        <w:t>artículos</w:t>
      </w:r>
      <w:r w:rsidR="00D20D10" w:rsidRPr="006E499F">
        <w:rPr>
          <w:rFonts w:ascii="Cambria" w:hAnsi="Cambria"/>
          <w:iCs/>
          <w:sz w:val="20"/>
          <w:szCs w:val="20"/>
          <w:lang w:val="es-AR"/>
        </w:rPr>
        <w:t xml:space="preserve"> 360 y 361 de la </w:t>
      </w:r>
      <w:r w:rsidR="003D3455" w:rsidRPr="006E499F">
        <w:rPr>
          <w:rFonts w:ascii="Cambria" w:hAnsi="Cambria"/>
          <w:iCs/>
          <w:sz w:val="20"/>
          <w:szCs w:val="20"/>
          <w:lang w:val="es-AR"/>
        </w:rPr>
        <w:t>Constitución</w:t>
      </w:r>
      <w:r w:rsidR="00D20D10" w:rsidRPr="006E499F">
        <w:rPr>
          <w:rFonts w:ascii="Cambria" w:hAnsi="Cambria"/>
          <w:iCs/>
          <w:sz w:val="20"/>
          <w:szCs w:val="20"/>
          <w:lang w:val="es-AR"/>
        </w:rPr>
        <w:t xml:space="preserve"> </w:t>
      </w:r>
      <w:r w:rsidR="003D3455" w:rsidRPr="006E499F">
        <w:rPr>
          <w:rFonts w:ascii="Cambria" w:hAnsi="Cambria"/>
          <w:iCs/>
          <w:sz w:val="20"/>
          <w:szCs w:val="20"/>
          <w:lang w:val="es-AR"/>
        </w:rPr>
        <w:t>Política</w:t>
      </w:r>
      <w:r w:rsidR="00D20D10" w:rsidRPr="006E499F">
        <w:rPr>
          <w:rFonts w:ascii="Cambria" w:hAnsi="Cambria"/>
          <w:iCs/>
          <w:sz w:val="20"/>
          <w:szCs w:val="20"/>
          <w:lang w:val="es-AR"/>
        </w:rPr>
        <w:t xml:space="preserve"> y se dictan otras disposiciones sobre</w:t>
      </w:r>
      <w:r w:rsidR="00D20D10" w:rsidRPr="00B3283F">
        <w:rPr>
          <w:rFonts w:ascii="Cambria" w:hAnsi="Cambria"/>
          <w:iCs/>
          <w:sz w:val="20"/>
          <w:szCs w:val="20"/>
          <w:lang w:val="es-AR"/>
        </w:rPr>
        <w:t xml:space="preserve"> el </w:t>
      </w:r>
      <w:r w:rsidR="006A2B83" w:rsidRPr="00B3283F">
        <w:rPr>
          <w:rFonts w:ascii="Cambria" w:hAnsi="Cambria"/>
          <w:iCs/>
          <w:sz w:val="20"/>
          <w:szCs w:val="20"/>
          <w:lang w:val="es-AR"/>
        </w:rPr>
        <w:t>Régimen</w:t>
      </w:r>
      <w:r w:rsidR="00D20D10" w:rsidRPr="00B3283F">
        <w:rPr>
          <w:rFonts w:ascii="Cambria" w:hAnsi="Cambria"/>
          <w:iCs/>
          <w:sz w:val="20"/>
          <w:szCs w:val="20"/>
          <w:lang w:val="es-AR"/>
        </w:rPr>
        <w:t xml:space="preserve"> de </w:t>
      </w:r>
      <w:r w:rsidR="006A2B83" w:rsidRPr="00B3283F">
        <w:rPr>
          <w:rFonts w:ascii="Cambria" w:hAnsi="Cambria"/>
          <w:iCs/>
          <w:sz w:val="20"/>
          <w:szCs w:val="20"/>
          <w:lang w:val="es-AR"/>
        </w:rPr>
        <w:t>Regalías</w:t>
      </w:r>
      <w:r w:rsidR="00CB5157" w:rsidRPr="00B3283F">
        <w:rPr>
          <w:rFonts w:ascii="Cambria" w:hAnsi="Cambria"/>
          <w:iCs/>
          <w:sz w:val="20"/>
          <w:szCs w:val="20"/>
          <w:lang w:val="es-AR"/>
        </w:rPr>
        <w:t xml:space="preserve">”. </w:t>
      </w:r>
      <w:r w:rsidR="001325DC">
        <w:rPr>
          <w:rFonts w:ascii="Cambria" w:hAnsi="Cambria"/>
          <w:iCs/>
          <w:sz w:val="20"/>
          <w:szCs w:val="20"/>
          <w:lang w:val="es-AR"/>
        </w:rPr>
        <w:t xml:space="preserve">Al respecto </w:t>
      </w:r>
      <w:r w:rsidR="001325DC" w:rsidRPr="00B3283F">
        <w:rPr>
          <w:rFonts w:ascii="Cambria" w:hAnsi="Cambria"/>
          <w:iCs/>
          <w:sz w:val="20"/>
          <w:szCs w:val="20"/>
          <w:lang w:val="es-AR"/>
        </w:rPr>
        <w:t xml:space="preserve">el </w:t>
      </w:r>
      <w:r w:rsidR="001325DC">
        <w:rPr>
          <w:rFonts w:ascii="Cambria" w:hAnsi="Cambria"/>
          <w:iCs/>
          <w:sz w:val="20"/>
          <w:szCs w:val="20"/>
          <w:lang w:val="es-AR"/>
        </w:rPr>
        <w:t>peticionario alegó</w:t>
      </w:r>
      <w:r w:rsidR="001325DC" w:rsidRPr="00B3283F">
        <w:rPr>
          <w:rFonts w:ascii="Cambria" w:hAnsi="Cambria"/>
          <w:iCs/>
          <w:sz w:val="20"/>
          <w:szCs w:val="20"/>
          <w:lang w:val="es-AR"/>
        </w:rPr>
        <w:t xml:space="preserve"> </w:t>
      </w:r>
      <w:r w:rsidR="001325DC">
        <w:rPr>
          <w:rFonts w:ascii="Cambria" w:hAnsi="Cambria"/>
          <w:iCs/>
          <w:sz w:val="20"/>
          <w:szCs w:val="20"/>
          <w:lang w:val="es-AR"/>
        </w:rPr>
        <w:t xml:space="preserve">que </w:t>
      </w:r>
      <w:r w:rsidR="001325DC" w:rsidRPr="00B3283F">
        <w:rPr>
          <w:rFonts w:ascii="Cambria" w:hAnsi="Cambria"/>
          <w:iCs/>
          <w:sz w:val="20"/>
          <w:szCs w:val="20"/>
          <w:lang w:val="es-AR"/>
        </w:rPr>
        <w:t>el Acto establece</w:t>
      </w:r>
      <w:r w:rsidR="001325DC" w:rsidRPr="00B3283F">
        <w:rPr>
          <w:rFonts w:ascii="Cambria" w:hAnsi="Cambria"/>
          <w:sz w:val="20"/>
          <w:szCs w:val="20"/>
          <w:lang w:val="es-AR"/>
        </w:rPr>
        <w:t xml:space="preserve"> las regulaciones principales del nuevo régimen de regalías</w:t>
      </w:r>
      <w:r w:rsidR="001325DC">
        <w:rPr>
          <w:rFonts w:ascii="Cambria" w:hAnsi="Cambria"/>
          <w:sz w:val="20"/>
          <w:szCs w:val="20"/>
          <w:lang w:val="es-AR"/>
        </w:rPr>
        <w:t xml:space="preserve"> y no las delega </w:t>
      </w:r>
      <w:r w:rsidR="001325DC" w:rsidRPr="00B3283F">
        <w:rPr>
          <w:rFonts w:ascii="Cambria" w:hAnsi="Cambria"/>
          <w:sz w:val="20"/>
          <w:szCs w:val="20"/>
          <w:lang w:val="es-AR"/>
        </w:rPr>
        <w:t>a la ley de desarrollo porque, entre otros, el Acto define los órganos principales del Sistema, delimita la destinación específica de los recursos, fija a nivel constitucional el porcentaje de reparto a cada destinación y señala la tasa de incremento de las asignaciones directas y los recursos de los fondos.</w:t>
      </w:r>
      <w:r w:rsidR="001325DC">
        <w:rPr>
          <w:rFonts w:ascii="Cambria" w:hAnsi="Cambria"/>
          <w:sz w:val="20"/>
          <w:szCs w:val="20"/>
          <w:lang w:val="es-AR"/>
        </w:rPr>
        <w:t xml:space="preserve"> No obstante, d</w:t>
      </w:r>
      <w:r w:rsidR="001325DC">
        <w:rPr>
          <w:rFonts w:ascii="Cambria" w:hAnsi="Cambria"/>
          <w:iCs/>
          <w:sz w:val="20"/>
          <w:szCs w:val="20"/>
          <w:lang w:val="es-AR"/>
        </w:rPr>
        <w:t>escribe que e</w:t>
      </w:r>
      <w:r w:rsidR="00CB5157" w:rsidRPr="00B3283F">
        <w:rPr>
          <w:rFonts w:ascii="Cambria" w:hAnsi="Cambria"/>
          <w:iCs/>
          <w:sz w:val="20"/>
          <w:szCs w:val="20"/>
          <w:lang w:val="es-AR"/>
        </w:rPr>
        <w:t xml:space="preserve">l </w:t>
      </w:r>
      <w:r w:rsidR="00907DF0" w:rsidRPr="00B3283F">
        <w:rPr>
          <w:rFonts w:ascii="Cambria" w:hAnsi="Cambria"/>
          <w:iCs/>
          <w:sz w:val="20"/>
          <w:szCs w:val="20"/>
          <w:lang w:val="es-AR"/>
        </w:rPr>
        <w:t xml:space="preserve">3 de mayo </w:t>
      </w:r>
      <w:r w:rsidR="00CB5157" w:rsidRPr="00B3283F">
        <w:rPr>
          <w:rFonts w:ascii="Cambria" w:hAnsi="Cambria"/>
          <w:iCs/>
          <w:sz w:val="20"/>
          <w:szCs w:val="20"/>
          <w:lang w:val="es-AR"/>
        </w:rPr>
        <w:t>de 2012, mediante la sentencia C-317/12, la Corte Constitucional de Colombia declaró exequible el Acto Legislativo, por el cargo relativo a la falta de consulta previa con los grupos étnicos del país</w:t>
      </w:r>
      <w:r w:rsidR="00FC6D26" w:rsidRPr="00B3283F">
        <w:rPr>
          <w:rFonts w:ascii="Cambria" w:hAnsi="Cambria"/>
          <w:iCs/>
          <w:sz w:val="20"/>
          <w:szCs w:val="20"/>
          <w:lang w:val="es-AR"/>
        </w:rPr>
        <w:t>.</w:t>
      </w:r>
      <w:r w:rsidR="001325DC">
        <w:rPr>
          <w:rFonts w:ascii="Cambria" w:hAnsi="Cambria"/>
          <w:iCs/>
          <w:sz w:val="20"/>
          <w:szCs w:val="20"/>
          <w:lang w:val="es-AR"/>
        </w:rPr>
        <w:t xml:space="preserve"> En particular señala que la</w:t>
      </w:r>
      <w:r w:rsidR="008A0AB0" w:rsidRPr="00B3283F">
        <w:rPr>
          <w:rFonts w:ascii="Cambria" w:hAnsi="Cambria"/>
          <w:iCs/>
          <w:sz w:val="20"/>
          <w:szCs w:val="20"/>
          <w:lang w:val="es-AR"/>
        </w:rPr>
        <w:t xml:space="preserve"> </w:t>
      </w:r>
      <w:r w:rsidR="00217557" w:rsidRPr="00B3283F">
        <w:rPr>
          <w:rFonts w:ascii="Cambria" w:hAnsi="Cambria"/>
          <w:iCs/>
          <w:sz w:val="20"/>
          <w:szCs w:val="20"/>
          <w:lang w:val="es-AR"/>
        </w:rPr>
        <w:t>C</w:t>
      </w:r>
      <w:r w:rsidR="007A1A59" w:rsidRPr="00B3283F">
        <w:rPr>
          <w:rFonts w:ascii="Cambria" w:hAnsi="Cambria"/>
          <w:iCs/>
          <w:sz w:val="20"/>
          <w:szCs w:val="20"/>
          <w:lang w:val="es-AR"/>
        </w:rPr>
        <w:t>orte concluyó</w:t>
      </w:r>
      <w:r w:rsidR="00217557" w:rsidRPr="00B3283F">
        <w:rPr>
          <w:rFonts w:ascii="Cambria" w:hAnsi="Cambria"/>
          <w:iCs/>
          <w:sz w:val="20"/>
          <w:szCs w:val="20"/>
          <w:lang w:val="es-AR"/>
        </w:rPr>
        <w:t xml:space="preserve"> que el Acto Legislativo 05 de 2011</w:t>
      </w:r>
      <w:r w:rsidR="00D40C2A" w:rsidRPr="00B3283F">
        <w:rPr>
          <w:rFonts w:ascii="Cambria" w:hAnsi="Cambria"/>
          <w:iCs/>
          <w:sz w:val="20"/>
          <w:szCs w:val="20"/>
          <w:lang w:val="es-AR"/>
        </w:rPr>
        <w:t xml:space="preserve"> no </w:t>
      </w:r>
      <w:r w:rsidR="007A1A59" w:rsidRPr="00B3283F">
        <w:rPr>
          <w:rFonts w:ascii="Cambria" w:hAnsi="Cambria"/>
          <w:iCs/>
          <w:sz w:val="20"/>
          <w:szCs w:val="20"/>
          <w:lang w:val="es-AR"/>
        </w:rPr>
        <w:t>era</w:t>
      </w:r>
      <w:r w:rsidR="00D40C2A" w:rsidRPr="00B3283F">
        <w:rPr>
          <w:rFonts w:ascii="Cambria" w:hAnsi="Cambria"/>
          <w:iCs/>
          <w:sz w:val="20"/>
          <w:szCs w:val="20"/>
          <w:lang w:val="es-AR"/>
        </w:rPr>
        <w:t xml:space="preserve"> una medida legislativa que en sí misma conlleve una afectación directa debido a su nivel de generalidad y remite a la ley de desarrollo del Acto la obligación de consultar a los pueblos indígenas. </w:t>
      </w:r>
    </w:p>
    <w:p w14:paraId="1F8BE857" w14:textId="77777777" w:rsidR="00A053FD" w:rsidRDefault="00A053FD" w:rsidP="00A053FD">
      <w:pPr>
        <w:pStyle w:val="NormalWeb"/>
        <w:spacing w:before="0" w:beforeAutospacing="0" w:after="0" w:afterAutospacing="0"/>
        <w:ind w:left="720"/>
        <w:jc w:val="both"/>
        <w:rPr>
          <w:rFonts w:ascii="Cambria" w:hAnsi="Cambria"/>
          <w:iCs/>
          <w:sz w:val="20"/>
          <w:szCs w:val="20"/>
          <w:lang w:val="es-AR"/>
        </w:rPr>
      </w:pPr>
    </w:p>
    <w:p w14:paraId="3FAA80EC" w14:textId="1A0E9D35" w:rsidR="00A053FD" w:rsidRDefault="00A053FD" w:rsidP="00202689">
      <w:pPr>
        <w:pStyle w:val="NormalWeb"/>
        <w:numPr>
          <w:ilvl w:val="0"/>
          <w:numId w:val="61"/>
        </w:numPr>
        <w:tabs>
          <w:tab w:val="clear" w:pos="720"/>
        </w:tabs>
        <w:spacing w:before="0" w:beforeAutospacing="0" w:after="0" w:afterAutospacing="0"/>
        <w:jc w:val="both"/>
        <w:rPr>
          <w:rFonts w:ascii="Cambria" w:hAnsi="Cambria"/>
          <w:iCs/>
          <w:sz w:val="20"/>
          <w:szCs w:val="20"/>
          <w:lang w:val="es-AR"/>
        </w:rPr>
      </w:pPr>
      <w:r w:rsidRPr="00B3283F">
        <w:rPr>
          <w:rFonts w:ascii="Cambria" w:hAnsi="Cambria"/>
          <w:iCs/>
          <w:sz w:val="20"/>
          <w:szCs w:val="20"/>
          <w:lang w:val="es-AR"/>
        </w:rPr>
        <w:t xml:space="preserve">El peticionario alega </w:t>
      </w:r>
      <w:r>
        <w:rPr>
          <w:rFonts w:ascii="Cambria" w:hAnsi="Cambria"/>
          <w:iCs/>
          <w:sz w:val="20"/>
          <w:szCs w:val="20"/>
          <w:lang w:val="es-AR"/>
        </w:rPr>
        <w:t xml:space="preserve">que </w:t>
      </w:r>
      <w:r w:rsidRPr="00B3283F">
        <w:rPr>
          <w:rFonts w:ascii="Cambria" w:hAnsi="Cambria"/>
          <w:iCs/>
          <w:sz w:val="20"/>
          <w:szCs w:val="20"/>
          <w:lang w:val="es-AR"/>
        </w:rPr>
        <w:t>la sentencia C-317/12 presenta irregularidades que vulneran al debido proceso.</w:t>
      </w:r>
      <w:r w:rsidRPr="00B3283F">
        <w:rPr>
          <w:rFonts w:ascii="Cambria" w:hAnsi="Cambria"/>
          <w:iCs/>
          <w:sz w:val="20"/>
          <w:szCs w:val="20"/>
          <w:bdr w:val="nil"/>
          <w:lang w:val="es-AR"/>
        </w:rPr>
        <w:t xml:space="preserve"> </w:t>
      </w:r>
      <w:r w:rsidRPr="00B3283F">
        <w:rPr>
          <w:rFonts w:ascii="Cambria" w:hAnsi="Cambria"/>
          <w:iCs/>
          <w:sz w:val="20"/>
          <w:szCs w:val="20"/>
          <w:lang w:val="es-AR"/>
        </w:rPr>
        <w:t xml:space="preserve">Por un lado, alega que la sentencia termina por crear una nueva línea jurisprudencial en la cual no requiere la obligación de consulta “cuando una norma afecte a todos los colombianos”, desconociendo los precedentes establecidos según los cuales no “importa la redacción general de la medida, si tiene un impacto </w:t>
      </w:r>
      <w:r w:rsidRPr="00B3283F">
        <w:rPr>
          <w:rFonts w:ascii="Cambria" w:hAnsi="Cambria"/>
          <w:iCs/>
          <w:sz w:val="20"/>
          <w:szCs w:val="20"/>
          <w:lang w:val="es-AR"/>
        </w:rPr>
        <w:lastRenderedPageBreak/>
        <w:t>desproporcionado sobre las comunidades étnicas, debe ser consultado”. Argumenta que el debido proceso implica que se debía dar una explicación que apoyara esa modificación jurisprudencial. El peticionario indica que interpuso una solicitud de nulidad de la sentencia por violación del debido proceso que fue rechazada el 13 de agosto de 2014.</w:t>
      </w:r>
    </w:p>
    <w:p w14:paraId="0B20B4CE" w14:textId="77777777" w:rsidR="00A053FD" w:rsidRPr="00B3283F" w:rsidRDefault="00A053FD" w:rsidP="00202689">
      <w:pPr>
        <w:pStyle w:val="NormalWeb"/>
        <w:spacing w:before="0" w:beforeAutospacing="0" w:after="0" w:afterAutospacing="0"/>
        <w:jc w:val="both"/>
        <w:rPr>
          <w:rFonts w:ascii="Cambria" w:hAnsi="Cambria"/>
          <w:iCs/>
          <w:sz w:val="20"/>
          <w:szCs w:val="20"/>
          <w:lang w:val="es-AR"/>
        </w:rPr>
      </w:pPr>
    </w:p>
    <w:p w14:paraId="305ECB50" w14:textId="182B1885" w:rsidR="00A053FD" w:rsidRPr="00A053FD" w:rsidRDefault="00A053FD" w:rsidP="00202689">
      <w:pPr>
        <w:pStyle w:val="NormalWeb"/>
        <w:numPr>
          <w:ilvl w:val="0"/>
          <w:numId w:val="61"/>
        </w:numPr>
        <w:tabs>
          <w:tab w:val="clear" w:pos="720"/>
        </w:tabs>
        <w:spacing w:before="0" w:beforeAutospacing="0" w:after="0" w:afterAutospacing="0"/>
        <w:jc w:val="both"/>
        <w:rPr>
          <w:rFonts w:ascii="Cambria" w:hAnsi="Cambria"/>
          <w:iCs/>
          <w:sz w:val="20"/>
          <w:szCs w:val="20"/>
          <w:lang w:val="es-AR"/>
        </w:rPr>
      </w:pPr>
      <w:r>
        <w:rPr>
          <w:rFonts w:ascii="Cambria" w:hAnsi="Cambria"/>
          <w:iCs/>
          <w:sz w:val="20"/>
          <w:szCs w:val="20"/>
          <w:bdr w:val="nil"/>
          <w:lang w:val="es-AR"/>
        </w:rPr>
        <w:t>I</w:t>
      </w:r>
      <w:r w:rsidRPr="00B3283F">
        <w:rPr>
          <w:rFonts w:ascii="Cambria" w:hAnsi="Cambria"/>
          <w:iCs/>
          <w:sz w:val="20"/>
          <w:szCs w:val="20"/>
          <w:bdr w:val="nil"/>
          <w:lang w:val="es-AR"/>
        </w:rPr>
        <w:t xml:space="preserve">ndica que, mediante el </w:t>
      </w:r>
      <w:r w:rsidRPr="00B3283F">
        <w:rPr>
          <w:rFonts w:ascii="Cambria" w:hAnsi="Cambria" w:cs="Cambria"/>
          <w:iCs/>
          <w:sz w:val="20"/>
          <w:szCs w:val="20"/>
          <w:lang w:val="es-AR"/>
        </w:rPr>
        <w:t xml:space="preserve">Auto 247/12 del 24 de octubre 2012, la Corte Constitucional eliminó el fragmento de la decisión </w:t>
      </w:r>
      <w:r w:rsidRPr="00B3283F">
        <w:rPr>
          <w:rFonts w:ascii="Cambria" w:hAnsi="Cambria"/>
          <w:iCs/>
          <w:sz w:val="20"/>
          <w:szCs w:val="20"/>
          <w:lang w:val="es-AR"/>
        </w:rPr>
        <w:t xml:space="preserve">C-317/12 </w:t>
      </w:r>
      <w:r w:rsidRPr="00B3283F">
        <w:rPr>
          <w:rFonts w:ascii="Cambria" w:hAnsi="Cambria" w:cs="Cambria"/>
          <w:iCs/>
          <w:sz w:val="20"/>
          <w:szCs w:val="20"/>
          <w:lang w:val="es-AR"/>
        </w:rPr>
        <w:t>que condicionó la constitucionalidad del acto al cumplimiento de requisitos de consulta en la ley de desarrollo del sistema general de regalías. Sostiene que esta corre</w:t>
      </w:r>
      <w:r>
        <w:rPr>
          <w:rFonts w:ascii="Cambria" w:hAnsi="Cambria" w:cs="Cambria"/>
          <w:iCs/>
          <w:sz w:val="20"/>
          <w:szCs w:val="20"/>
          <w:lang w:val="es-AR"/>
        </w:rPr>
        <w:t xml:space="preserve">cción </w:t>
      </w:r>
      <w:r w:rsidR="00A524C1">
        <w:rPr>
          <w:rFonts w:ascii="Cambria" w:hAnsi="Cambria" w:cs="Cambria"/>
          <w:iCs/>
          <w:sz w:val="20"/>
          <w:szCs w:val="20"/>
          <w:lang w:val="es-AR"/>
        </w:rPr>
        <w:t xml:space="preserve">en la motivación </w:t>
      </w:r>
      <w:r>
        <w:rPr>
          <w:rFonts w:ascii="Cambria" w:hAnsi="Cambria" w:cs="Cambria"/>
          <w:iCs/>
          <w:sz w:val="20"/>
          <w:szCs w:val="20"/>
          <w:lang w:val="es-AR"/>
        </w:rPr>
        <w:t>de la s</w:t>
      </w:r>
      <w:r w:rsidRPr="00B3283F">
        <w:rPr>
          <w:rFonts w:ascii="Cambria" w:hAnsi="Cambria" w:cs="Cambria"/>
          <w:iCs/>
          <w:sz w:val="20"/>
          <w:szCs w:val="20"/>
          <w:lang w:val="es-AR"/>
        </w:rPr>
        <w:t xml:space="preserve">entencia no corresponde a una corrección sino a una supresión arbitraria de un fragmento de texto sin ninguna motivación, vulnerando de esta forma el derecho al debido proceso. </w:t>
      </w:r>
      <w:r>
        <w:rPr>
          <w:rFonts w:ascii="Cambria" w:hAnsi="Cambria" w:cs="Cambria"/>
          <w:iCs/>
          <w:sz w:val="20"/>
          <w:szCs w:val="20"/>
          <w:lang w:val="es-AR"/>
        </w:rPr>
        <w:t>Asimismo, s</w:t>
      </w:r>
      <w:r w:rsidRPr="00B3283F">
        <w:rPr>
          <w:rFonts w:ascii="Cambria" w:hAnsi="Cambria" w:cs="Cambria"/>
          <w:iCs/>
          <w:sz w:val="20"/>
          <w:szCs w:val="20"/>
          <w:lang w:val="es-AR"/>
        </w:rPr>
        <w:t>eñala que interpuso una solicitud de nulidad del Auto 247/12 que fue también rechazada por la Corte Constitucional.</w:t>
      </w:r>
      <w:r w:rsidRPr="00B3283F">
        <w:rPr>
          <w:rFonts w:ascii="Cambria" w:hAnsi="Cambria"/>
          <w:iCs/>
          <w:sz w:val="20"/>
          <w:szCs w:val="20"/>
          <w:lang w:val="es-AR"/>
        </w:rPr>
        <w:t xml:space="preserve"> </w:t>
      </w:r>
    </w:p>
    <w:p w14:paraId="4134884A" w14:textId="77777777" w:rsidR="001C5E53" w:rsidRPr="00B3283F" w:rsidRDefault="001C5E53" w:rsidP="001C5E53">
      <w:pPr>
        <w:pStyle w:val="NormalWeb"/>
        <w:spacing w:before="0" w:beforeAutospacing="0" w:after="0" w:afterAutospacing="0"/>
        <w:ind w:left="720"/>
        <w:jc w:val="both"/>
        <w:rPr>
          <w:rFonts w:ascii="Cambria" w:hAnsi="Cambria"/>
          <w:iCs/>
          <w:sz w:val="20"/>
          <w:szCs w:val="20"/>
          <w:lang w:val="es-AR"/>
        </w:rPr>
      </w:pPr>
    </w:p>
    <w:p w14:paraId="433989FA" w14:textId="35D7A3C2" w:rsidR="00680510" w:rsidRPr="006E499F" w:rsidRDefault="001325DC" w:rsidP="00202689">
      <w:pPr>
        <w:pStyle w:val="NormalWeb"/>
        <w:numPr>
          <w:ilvl w:val="0"/>
          <w:numId w:val="61"/>
        </w:numPr>
        <w:tabs>
          <w:tab w:val="clear" w:pos="720"/>
        </w:tabs>
        <w:spacing w:before="0" w:beforeAutospacing="0" w:after="0" w:afterAutospacing="0"/>
        <w:jc w:val="both"/>
        <w:rPr>
          <w:rFonts w:ascii="Cambria" w:hAnsi="Cambria"/>
          <w:iCs/>
          <w:sz w:val="20"/>
          <w:szCs w:val="20"/>
          <w:lang w:val="es-AR"/>
        </w:rPr>
      </w:pPr>
      <w:r>
        <w:rPr>
          <w:rFonts w:ascii="Cambria" w:hAnsi="Cambria"/>
          <w:iCs/>
          <w:sz w:val="20"/>
          <w:szCs w:val="20"/>
          <w:lang w:val="es-AR"/>
        </w:rPr>
        <w:t xml:space="preserve">De la mano, </w:t>
      </w:r>
      <w:r w:rsidR="006A2B83" w:rsidRPr="00B3283F">
        <w:rPr>
          <w:rFonts w:ascii="Cambria" w:hAnsi="Cambria"/>
          <w:iCs/>
          <w:sz w:val="20"/>
          <w:szCs w:val="20"/>
          <w:lang w:val="es-AR"/>
        </w:rPr>
        <w:t xml:space="preserve">el </w:t>
      </w:r>
      <w:r w:rsidR="006A2B83" w:rsidRPr="006E499F">
        <w:rPr>
          <w:rFonts w:ascii="Cambria" w:hAnsi="Cambria"/>
          <w:iCs/>
          <w:sz w:val="20"/>
          <w:szCs w:val="20"/>
          <w:lang w:val="es-AR"/>
        </w:rPr>
        <w:t>peticionario </w:t>
      </w:r>
      <w:r w:rsidRPr="006E499F">
        <w:rPr>
          <w:rFonts w:ascii="Cambria" w:hAnsi="Cambria"/>
          <w:iCs/>
          <w:sz w:val="20"/>
          <w:szCs w:val="20"/>
          <w:lang w:val="es-AR"/>
        </w:rPr>
        <w:t>argumenta que interpuso una</w:t>
      </w:r>
      <w:r w:rsidR="006A2B83" w:rsidRPr="006E499F">
        <w:rPr>
          <w:rFonts w:ascii="Cambria" w:hAnsi="Cambria"/>
          <w:iCs/>
          <w:sz w:val="20"/>
          <w:szCs w:val="20"/>
          <w:lang w:val="es-AR"/>
        </w:rPr>
        <w:t xml:space="preserve"> demanda de inconstitucionalidad contra la Ley 1530 de 2012 “Por la cual se regula la organización y el funcionamiento del Sistema General de Regalías”. </w:t>
      </w:r>
      <w:r w:rsidR="00A053FD" w:rsidRPr="006E499F">
        <w:rPr>
          <w:rFonts w:ascii="Cambria" w:hAnsi="Cambria" w:cs="Cambria"/>
          <w:iCs/>
          <w:sz w:val="20"/>
          <w:szCs w:val="20"/>
          <w:lang w:val="es-AR"/>
        </w:rPr>
        <w:t xml:space="preserve">En su demanda, sostiene que denunció que la inexistencia de una ley estatutaria sobre el procedimiento de la consulta previa, porque al Decreto 1320 de 1998 que reglamenta la consulta previa, ha sido considerado incompatible con el Convenio 169 de 1989 tanto por la OIT como por la Corte Constitucional. </w:t>
      </w:r>
      <w:r w:rsidRPr="006E499F">
        <w:rPr>
          <w:rFonts w:ascii="Cambria" w:hAnsi="Cambria"/>
          <w:iCs/>
          <w:sz w:val="20"/>
          <w:szCs w:val="20"/>
          <w:lang w:val="es-AR"/>
        </w:rPr>
        <w:t xml:space="preserve">Al respecto, señala que </w:t>
      </w:r>
      <w:r w:rsidR="00A76423" w:rsidRPr="006E499F">
        <w:rPr>
          <w:rFonts w:ascii="Cambria" w:hAnsi="Cambria"/>
          <w:iCs/>
          <w:sz w:val="20"/>
          <w:szCs w:val="20"/>
          <w:lang w:val="es-AR"/>
        </w:rPr>
        <w:t>la Corte Constitucional</w:t>
      </w:r>
      <w:r w:rsidR="00B5109C" w:rsidRPr="006E499F">
        <w:rPr>
          <w:rFonts w:ascii="Cambria" w:hAnsi="Cambria"/>
          <w:iCs/>
          <w:sz w:val="20"/>
          <w:szCs w:val="20"/>
          <w:lang w:val="es-AR"/>
        </w:rPr>
        <w:t xml:space="preserve"> </w:t>
      </w:r>
      <w:r w:rsidRPr="006E499F">
        <w:rPr>
          <w:rFonts w:ascii="Cambria" w:hAnsi="Cambria"/>
          <w:iCs/>
          <w:sz w:val="20"/>
          <w:szCs w:val="20"/>
          <w:lang w:val="es-AR"/>
        </w:rPr>
        <w:t xml:space="preserve">mediante </w:t>
      </w:r>
      <w:r w:rsidR="00F7261C" w:rsidRPr="006E499F">
        <w:rPr>
          <w:rFonts w:ascii="Cambria" w:hAnsi="Cambria"/>
          <w:iCs/>
          <w:sz w:val="20"/>
          <w:szCs w:val="20"/>
          <w:lang w:val="es-AR"/>
        </w:rPr>
        <w:t>la s</w:t>
      </w:r>
      <w:r w:rsidRPr="006E499F">
        <w:rPr>
          <w:rFonts w:ascii="Cambria" w:hAnsi="Cambria"/>
          <w:iCs/>
          <w:sz w:val="20"/>
          <w:szCs w:val="20"/>
          <w:lang w:val="es-AR"/>
        </w:rPr>
        <w:t xml:space="preserve">entencia C-068 de 2013, </w:t>
      </w:r>
      <w:r w:rsidR="00A66405" w:rsidRPr="006E499F">
        <w:rPr>
          <w:rFonts w:ascii="Cambria" w:hAnsi="Cambria"/>
          <w:iCs/>
          <w:sz w:val="20"/>
          <w:szCs w:val="20"/>
          <w:lang w:val="es-AR"/>
        </w:rPr>
        <w:t xml:space="preserve">también </w:t>
      </w:r>
      <w:r w:rsidR="00B5109C" w:rsidRPr="006E499F">
        <w:rPr>
          <w:rFonts w:ascii="Cambria" w:hAnsi="Cambria"/>
          <w:iCs/>
          <w:sz w:val="20"/>
          <w:szCs w:val="20"/>
          <w:lang w:val="es-AR"/>
        </w:rPr>
        <w:t>declar</w:t>
      </w:r>
      <w:r w:rsidR="00A76423" w:rsidRPr="006E499F">
        <w:rPr>
          <w:rFonts w:ascii="Cambria" w:hAnsi="Cambria"/>
          <w:iCs/>
          <w:sz w:val="20"/>
          <w:szCs w:val="20"/>
          <w:lang w:val="es-AR"/>
        </w:rPr>
        <w:t>ó</w:t>
      </w:r>
      <w:r w:rsidR="00B5109C" w:rsidRPr="006E499F">
        <w:rPr>
          <w:rFonts w:ascii="Cambria" w:hAnsi="Cambria"/>
          <w:iCs/>
          <w:sz w:val="20"/>
          <w:szCs w:val="20"/>
          <w:lang w:val="es-AR"/>
        </w:rPr>
        <w:t xml:space="preserve"> exequible la ley en cuanto a </w:t>
      </w:r>
      <w:r w:rsidR="003D3455" w:rsidRPr="006E499F">
        <w:rPr>
          <w:rFonts w:ascii="Cambria" w:hAnsi="Cambria"/>
          <w:iCs/>
          <w:sz w:val="20"/>
          <w:szCs w:val="20"/>
          <w:lang w:val="es-AR"/>
        </w:rPr>
        <w:t xml:space="preserve">la </w:t>
      </w:r>
      <w:r w:rsidR="00B5109C" w:rsidRPr="006E499F">
        <w:rPr>
          <w:rFonts w:ascii="Cambria" w:hAnsi="Cambria"/>
          <w:iCs/>
          <w:sz w:val="20"/>
          <w:szCs w:val="20"/>
          <w:lang w:val="es-AR"/>
        </w:rPr>
        <w:t>obligación de adelantar la consulta previa con las comunidades indígenas.</w:t>
      </w:r>
      <w:r w:rsidR="00D95504" w:rsidRPr="006E499F">
        <w:rPr>
          <w:rFonts w:ascii="Cambria" w:hAnsi="Cambria"/>
          <w:iCs/>
          <w:sz w:val="20"/>
          <w:szCs w:val="20"/>
          <w:lang w:val="es-AR"/>
        </w:rPr>
        <w:t xml:space="preserve"> </w:t>
      </w:r>
      <w:r w:rsidR="006E499F" w:rsidRPr="006E499F">
        <w:rPr>
          <w:rFonts w:ascii="Cambria" w:hAnsi="Cambria"/>
          <w:iCs/>
          <w:sz w:val="20"/>
          <w:szCs w:val="20"/>
          <w:lang w:val="es-AR"/>
        </w:rPr>
        <w:t>Asimismo en relación a la ley 1530, indica que fue convocada una Mesa Permanente de Concertación con los Pueblos y Organizaciones Indígenas para familiarizarse sobre el proyecto de ley, pero manifiesta que el Estado no ha permitido su participación en tanto no inició el proceso de consulta.</w:t>
      </w:r>
    </w:p>
    <w:p w14:paraId="175D6145" w14:textId="77777777" w:rsidR="001C5E53" w:rsidRPr="00B3283F" w:rsidRDefault="001C5E53" w:rsidP="00202689">
      <w:pPr>
        <w:pStyle w:val="NormalWeb"/>
        <w:spacing w:before="0" w:beforeAutospacing="0" w:after="0" w:afterAutospacing="0"/>
        <w:jc w:val="both"/>
        <w:rPr>
          <w:rFonts w:ascii="Cambria" w:hAnsi="Cambria"/>
          <w:iCs/>
          <w:sz w:val="20"/>
          <w:szCs w:val="20"/>
          <w:lang w:val="es-AR"/>
        </w:rPr>
      </w:pPr>
    </w:p>
    <w:p w14:paraId="0A836ED1" w14:textId="77E2F5C9" w:rsidR="00FC4936" w:rsidRDefault="000F68EF" w:rsidP="00202689">
      <w:pPr>
        <w:pStyle w:val="NormalWeb"/>
        <w:numPr>
          <w:ilvl w:val="0"/>
          <w:numId w:val="61"/>
        </w:numPr>
        <w:tabs>
          <w:tab w:val="clear" w:pos="720"/>
        </w:tabs>
        <w:spacing w:before="0" w:beforeAutospacing="0" w:after="0" w:afterAutospacing="0"/>
        <w:jc w:val="both"/>
        <w:rPr>
          <w:rFonts w:ascii="Cambria" w:hAnsi="Cambria"/>
          <w:iCs/>
          <w:sz w:val="20"/>
          <w:szCs w:val="20"/>
          <w:lang w:val="es-AR"/>
        </w:rPr>
      </w:pPr>
      <w:r w:rsidRPr="00B3283F">
        <w:rPr>
          <w:rFonts w:ascii="Cambria" w:hAnsi="Cambria"/>
          <w:iCs/>
          <w:sz w:val="20"/>
          <w:szCs w:val="20"/>
          <w:lang w:val="es-AR"/>
        </w:rPr>
        <w:t>Por su parte, e</w:t>
      </w:r>
      <w:r w:rsidR="004928AB" w:rsidRPr="00B3283F">
        <w:rPr>
          <w:rFonts w:ascii="Cambria" w:hAnsi="Cambria"/>
          <w:iCs/>
          <w:sz w:val="20"/>
          <w:szCs w:val="20"/>
          <w:lang w:val="es-AR"/>
        </w:rPr>
        <w:t xml:space="preserve">l Estado sostiene que los </w:t>
      </w:r>
      <w:r w:rsidR="008005C5" w:rsidRPr="00B3283F">
        <w:rPr>
          <w:rFonts w:ascii="Cambria" w:hAnsi="Cambria"/>
          <w:iCs/>
          <w:sz w:val="20"/>
          <w:szCs w:val="20"/>
          <w:lang w:val="es-AR"/>
        </w:rPr>
        <w:t>órganos</w:t>
      </w:r>
      <w:r w:rsidR="004928AB" w:rsidRPr="00B3283F">
        <w:rPr>
          <w:rFonts w:ascii="Cambria" w:hAnsi="Cambria"/>
          <w:iCs/>
          <w:sz w:val="20"/>
          <w:szCs w:val="20"/>
          <w:lang w:val="es-AR"/>
        </w:rPr>
        <w:t xml:space="preserve"> internos competentes han determinado que no se han vulnerado las obligaciones contenidas en la </w:t>
      </w:r>
      <w:r w:rsidR="00107B4B" w:rsidRPr="00B3283F">
        <w:rPr>
          <w:rFonts w:ascii="Cambria" w:hAnsi="Cambria"/>
          <w:iCs/>
          <w:sz w:val="20"/>
          <w:szCs w:val="20"/>
          <w:lang w:val="es-AR"/>
        </w:rPr>
        <w:t xml:space="preserve">Convención sobre consulta previa. </w:t>
      </w:r>
      <w:r w:rsidR="00531009" w:rsidRPr="00B3283F">
        <w:rPr>
          <w:rFonts w:ascii="Cambria" w:hAnsi="Cambria"/>
          <w:iCs/>
          <w:sz w:val="20"/>
          <w:szCs w:val="20"/>
          <w:lang w:val="es-AR"/>
        </w:rPr>
        <w:t>Por una parte, aduce que la aprobación del Acto legislativo 05 de 2011 no</w:t>
      </w:r>
      <w:r w:rsidR="007A0DF6" w:rsidRPr="00B3283F">
        <w:rPr>
          <w:rFonts w:ascii="Cambria" w:hAnsi="Cambria"/>
          <w:iCs/>
          <w:sz w:val="20"/>
          <w:szCs w:val="20"/>
          <w:lang w:val="es-AR"/>
        </w:rPr>
        <w:t xml:space="preserve"> requirió consulta previa pues </w:t>
      </w:r>
      <w:r w:rsidR="00211014">
        <w:rPr>
          <w:rFonts w:ascii="Cambria" w:hAnsi="Cambria"/>
          <w:iCs/>
          <w:sz w:val="20"/>
          <w:szCs w:val="20"/>
          <w:lang w:val="es-AR"/>
        </w:rPr>
        <w:t xml:space="preserve">de acuerdo con </w:t>
      </w:r>
      <w:r w:rsidR="00FC4936" w:rsidRPr="00B3283F">
        <w:rPr>
          <w:rFonts w:ascii="Cambria" w:hAnsi="Cambria"/>
          <w:iCs/>
          <w:sz w:val="20"/>
          <w:szCs w:val="20"/>
          <w:lang w:val="es-AR"/>
        </w:rPr>
        <w:t>su línea jurisprudencial</w:t>
      </w:r>
      <w:r w:rsidR="00211014">
        <w:rPr>
          <w:rFonts w:ascii="Cambria" w:hAnsi="Cambria"/>
          <w:iCs/>
          <w:sz w:val="20"/>
          <w:szCs w:val="20"/>
          <w:lang w:val="es-AR"/>
        </w:rPr>
        <w:t xml:space="preserve"> se</w:t>
      </w:r>
      <w:r w:rsidR="00FC4936" w:rsidRPr="00B3283F">
        <w:rPr>
          <w:rFonts w:ascii="Cambria" w:hAnsi="Cambria"/>
          <w:iCs/>
          <w:sz w:val="20"/>
          <w:szCs w:val="20"/>
          <w:lang w:val="es-AR"/>
        </w:rPr>
        <w:t xml:space="preserve"> exige la consulta previa de los pueblos indígenas y tribales cuando existe una “afectación directa” de la medida sobre esos pueblos. </w:t>
      </w:r>
      <w:r w:rsidR="00211014" w:rsidRPr="00B3283F">
        <w:rPr>
          <w:rFonts w:ascii="Cambria" w:hAnsi="Cambria"/>
          <w:iCs/>
          <w:sz w:val="20"/>
          <w:szCs w:val="20"/>
          <w:lang w:val="es-AR"/>
        </w:rPr>
        <w:t>En este caso, la Corte concluyó que el Acto Legislativo 05 de 2011 no era una medida legislativa que en sí misma conlleve una afectación directa debido a su nivel de generalidad y remite a la ley de desarrollo del Acto la obligación de consultar a los pueblos indígenas.</w:t>
      </w:r>
      <w:r w:rsidR="00211014">
        <w:rPr>
          <w:rFonts w:ascii="Cambria" w:hAnsi="Cambria"/>
          <w:iCs/>
          <w:sz w:val="20"/>
          <w:szCs w:val="20"/>
          <w:lang w:val="es-AR"/>
        </w:rPr>
        <w:t xml:space="preserve"> El Estado i</w:t>
      </w:r>
      <w:r w:rsidR="00FC4936" w:rsidRPr="00B3283F">
        <w:rPr>
          <w:rFonts w:ascii="Cambria" w:hAnsi="Cambria"/>
          <w:iCs/>
          <w:sz w:val="20"/>
          <w:szCs w:val="20"/>
          <w:lang w:val="es-AR"/>
        </w:rPr>
        <w:t>ndica que, aún existe “una presunción de afectación directa y profunda en todos asuntos relacionados con el territorio ancestral”, sin embargo, la simple referencia temática a estos asuntos no es suficiente por sí misma para establecer una afectación directa y se requiere analizar en cada caso el alcance y contenido específico de la medida como tal, para efectos de establecer su impacto y su nivel de afectación sobre los derechos relevantes en cada caso</w:t>
      </w:r>
      <w:r w:rsidR="00211014">
        <w:rPr>
          <w:rFonts w:ascii="Cambria" w:hAnsi="Cambria"/>
          <w:iCs/>
          <w:sz w:val="20"/>
          <w:szCs w:val="20"/>
          <w:lang w:val="es-AR"/>
        </w:rPr>
        <w:t>.</w:t>
      </w:r>
    </w:p>
    <w:p w14:paraId="35000570" w14:textId="77777777" w:rsidR="001C5E53" w:rsidRPr="00B3283F" w:rsidRDefault="001C5E53" w:rsidP="001C5E53">
      <w:pPr>
        <w:pStyle w:val="NormalWeb"/>
        <w:spacing w:before="0" w:beforeAutospacing="0" w:after="0" w:afterAutospacing="0"/>
        <w:ind w:left="720"/>
        <w:jc w:val="both"/>
        <w:rPr>
          <w:rFonts w:ascii="Cambria" w:hAnsi="Cambria"/>
          <w:iCs/>
          <w:sz w:val="20"/>
          <w:szCs w:val="20"/>
          <w:lang w:val="es-AR"/>
        </w:rPr>
      </w:pPr>
    </w:p>
    <w:p w14:paraId="5E0091EA" w14:textId="051DD65A" w:rsidR="00395BA0" w:rsidRDefault="00531009" w:rsidP="00202689">
      <w:pPr>
        <w:pStyle w:val="NormalWeb"/>
        <w:numPr>
          <w:ilvl w:val="0"/>
          <w:numId w:val="61"/>
        </w:numPr>
        <w:tabs>
          <w:tab w:val="clear" w:pos="720"/>
        </w:tabs>
        <w:spacing w:before="0" w:beforeAutospacing="0" w:after="0" w:afterAutospacing="0"/>
        <w:jc w:val="both"/>
        <w:rPr>
          <w:rFonts w:ascii="Cambria" w:hAnsi="Cambria"/>
          <w:iCs/>
          <w:sz w:val="20"/>
          <w:szCs w:val="20"/>
          <w:lang w:val="es-AR"/>
        </w:rPr>
      </w:pPr>
      <w:r w:rsidRPr="00B3283F">
        <w:rPr>
          <w:rFonts w:ascii="Cambria" w:hAnsi="Cambria"/>
          <w:iCs/>
          <w:sz w:val="20"/>
          <w:szCs w:val="20"/>
          <w:lang w:val="es-AR"/>
        </w:rPr>
        <w:t xml:space="preserve">Por otra parte, </w:t>
      </w:r>
      <w:r w:rsidR="000F68EF" w:rsidRPr="00B3283F">
        <w:rPr>
          <w:rFonts w:ascii="Cambria" w:hAnsi="Cambria"/>
          <w:iCs/>
          <w:sz w:val="20"/>
          <w:szCs w:val="20"/>
          <w:lang w:val="es-AR"/>
        </w:rPr>
        <w:t xml:space="preserve">el </w:t>
      </w:r>
      <w:r w:rsidR="00A55413" w:rsidRPr="00B3283F">
        <w:rPr>
          <w:rFonts w:ascii="Cambria" w:hAnsi="Cambria"/>
          <w:iCs/>
          <w:sz w:val="20"/>
          <w:szCs w:val="20"/>
          <w:lang w:val="es-AR"/>
        </w:rPr>
        <w:t>Estado</w:t>
      </w:r>
      <w:r w:rsidR="000F68EF" w:rsidRPr="00B3283F">
        <w:rPr>
          <w:rFonts w:ascii="Cambria" w:hAnsi="Cambria"/>
          <w:iCs/>
          <w:sz w:val="20"/>
          <w:szCs w:val="20"/>
          <w:lang w:val="es-AR"/>
        </w:rPr>
        <w:t xml:space="preserve"> señala</w:t>
      </w:r>
      <w:r w:rsidRPr="00B3283F">
        <w:rPr>
          <w:rFonts w:ascii="Cambria" w:hAnsi="Cambria"/>
          <w:iCs/>
          <w:sz w:val="20"/>
          <w:szCs w:val="20"/>
          <w:lang w:val="es-AR"/>
        </w:rPr>
        <w:t xml:space="preserve"> que la Ley 1530 de 2012 </w:t>
      </w:r>
      <w:r w:rsidR="00EC4323" w:rsidRPr="00B3283F">
        <w:rPr>
          <w:rFonts w:ascii="Cambria" w:hAnsi="Cambria"/>
          <w:iCs/>
          <w:sz w:val="20"/>
          <w:szCs w:val="20"/>
          <w:lang w:val="es-AR"/>
        </w:rPr>
        <w:t xml:space="preserve">que </w:t>
      </w:r>
      <w:r w:rsidR="008005C5" w:rsidRPr="00B3283F">
        <w:rPr>
          <w:rFonts w:ascii="Cambria" w:hAnsi="Cambria"/>
          <w:iCs/>
          <w:sz w:val="20"/>
          <w:szCs w:val="20"/>
          <w:lang w:val="es-AR"/>
        </w:rPr>
        <w:t>desarrolla</w:t>
      </w:r>
      <w:r w:rsidR="00EC4323" w:rsidRPr="00B3283F">
        <w:rPr>
          <w:rFonts w:ascii="Cambria" w:hAnsi="Cambria"/>
          <w:iCs/>
          <w:sz w:val="20"/>
          <w:szCs w:val="20"/>
          <w:lang w:val="es-AR"/>
        </w:rPr>
        <w:t xml:space="preserve"> el sistema de regalías</w:t>
      </w:r>
      <w:r w:rsidRPr="00B3283F">
        <w:rPr>
          <w:rFonts w:ascii="Cambria" w:hAnsi="Cambria"/>
          <w:iCs/>
          <w:sz w:val="20"/>
          <w:szCs w:val="20"/>
          <w:lang w:val="es-AR"/>
        </w:rPr>
        <w:t xml:space="preserve">, </w:t>
      </w:r>
      <w:r w:rsidR="00395BA0" w:rsidRPr="00B3283F">
        <w:rPr>
          <w:rFonts w:ascii="Cambria" w:hAnsi="Cambria"/>
          <w:iCs/>
          <w:sz w:val="20"/>
          <w:szCs w:val="20"/>
          <w:lang w:val="es-AR"/>
        </w:rPr>
        <w:t xml:space="preserve">fue sometida a consulta </w:t>
      </w:r>
      <w:r w:rsidRPr="00B3283F">
        <w:rPr>
          <w:rFonts w:ascii="Cambria" w:hAnsi="Cambria"/>
          <w:iCs/>
          <w:sz w:val="20"/>
          <w:szCs w:val="20"/>
          <w:lang w:val="es-AR"/>
        </w:rPr>
        <w:t xml:space="preserve">pero </w:t>
      </w:r>
      <w:r w:rsidR="002B4168" w:rsidRPr="00B3283F">
        <w:rPr>
          <w:rFonts w:ascii="Cambria" w:hAnsi="Cambria"/>
          <w:iCs/>
          <w:sz w:val="20"/>
          <w:szCs w:val="20"/>
          <w:lang w:val="es-AR"/>
        </w:rPr>
        <w:t xml:space="preserve">que </w:t>
      </w:r>
      <w:r w:rsidRPr="00B3283F">
        <w:rPr>
          <w:rFonts w:ascii="Cambria" w:hAnsi="Cambria"/>
          <w:iCs/>
          <w:sz w:val="20"/>
          <w:szCs w:val="20"/>
          <w:lang w:val="es-AR"/>
        </w:rPr>
        <w:t>los pueblos indígenas se rehusaron a participar en</w:t>
      </w:r>
      <w:r w:rsidR="00E560F4" w:rsidRPr="00B3283F">
        <w:rPr>
          <w:rFonts w:ascii="Cambria" w:hAnsi="Cambria"/>
          <w:iCs/>
          <w:sz w:val="20"/>
          <w:szCs w:val="20"/>
          <w:lang w:val="es-AR"/>
        </w:rPr>
        <w:t xml:space="preserve"> el proceso. </w:t>
      </w:r>
      <w:r w:rsidR="00395BA0" w:rsidRPr="00B3283F">
        <w:rPr>
          <w:rFonts w:ascii="Cambria" w:hAnsi="Cambria"/>
          <w:iCs/>
          <w:sz w:val="20"/>
          <w:szCs w:val="20"/>
          <w:lang w:val="es-AR"/>
        </w:rPr>
        <w:t>El Estado</w:t>
      </w:r>
      <w:r w:rsidR="00211014">
        <w:rPr>
          <w:rFonts w:ascii="Cambria" w:hAnsi="Cambria"/>
          <w:iCs/>
          <w:sz w:val="20"/>
          <w:szCs w:val="20"/>
          <w:lang w:val="es-AR"/>
        </w:rPr>
        <w:t xml:space="preserve"> c</w:t>
      </w:r>
      <w:r w:rsidR="002B4168" w:rsidRPr="00B3283F">
        <w:rPr>
          <w:rFonts w:ascii="Cambria" w:hAnsi="Cambria"/>
          <w:iCs/>
          <w:sz w:val="20"/>
          <w:szCs w:val="20"/>
          <w:lang w:val="es-AR"/>
        </w:rPr>
        <w:t>olombiano</w:t>
      </w:r>
      <w:r w:rsidR="00395BA0" w:rsidRPr="00B3283F">
        <w:rPr>
          <w:rFonts w:ascii="Cambria" w:hAnsi="Cambria"/>
          <w:iCs/>
          <w:sz w:val="20"/>
          <w:szCs w:val="20"/>
          <w:lang w:val="es-AR"/>
        </w:rPr>
        <w:t xml:space="preserve"> e</w:t>
      </w:r>
      <w:r w:rsidR="008005C5" w:rsidRPr="00B3283F">
        <w:rPr>
          <w:rFonts w:ascii="Cambria" w:hAnsi="Cambria"/>
          <w:iCs/>
          <w:sz w:val="20"/>
          <w:szCs w:val="20"/>
          <w:lang w:val="es-AR"/>
        </w:rPr>
        <w:t>stima q</w:t>
      </w:r>
      <w:r w:rsidR="002B4168" w:rsidRPr="00B3283F">
        <w:rPr>
          <w:rFonts w:ascii="Cambria" w:hAnsi="Cambria"/>
          <w:iCs/>
          <w:sz w:val="20"/>
          <w:szCs w:val="20"/>
          <w:lang w:val="es-AR"/>
        </w:rPr>
        <w:t xml:space="preserve">ue </w:t>
      </w:r>
      <w:r w:rsidR="008005C5" w:rsidRPr="00B3283F">
        <w:rPr>
          <w:rFonts w:ascii="Cambria" w:hAnsi="Cambria"/>
          <w:iCs/>
          <w:sz w:val="20"/>
          <w:szCs w:val="20"/>
          <w:lang w:val="es-AR"/>
        </w:rPr>
        <w:t xml:space="preserve">fue diligente en llevar a cabo el proceso de consulta </w:t>
      </w:r>
      <w:r w:rsidR="006F33EB" w:rsidRPr="00B3283F">
        <w:rPr>
          <w:rFonts w:ascii="Cambria" w:hAnsi="Cambria"/>
          <w:iCs/>
          <w:sz w:val="20"/>
          <w:szCs w:val="20"/>
          <w:lang w:val="es-AR"/>
        </w:rPr>
        <w:t>y</w:t>
      </w:r>
      <w:r w:rsidR="00395BA0" w:rsidRPr="00B3283F">
        <w:rPr>
          <w:rFonts w:ascii="Cambria" w:hAnsi="Cambria"/>
          <w:iCs/>
          <w:sz w:val="20"/>
          <w:szCs w:val="20"/>
          <w:lang w:val="es-AR"/>
        </w:rPr>
        <w:t xml:space="preserve"> que</w:t>
      </w:r>
      <w:r w:rsidR="008005C5" w:rsidRPr="00B3283F">
        <w:rPr>
          <w:rFonts w:ascii="Cambria" w:hAnsi="Cambria"/>
          <w:iCs/>
          <w:sz w:val="20"/>
          <w:szCs w:val="20"/>
          <w:lang w:val="es-AR"/>
        </w:rPr>
        <w:t xml:space="preserve"> la Corte </w:t>
      </w:r>
      <w:r w:rsidR="00395BA0" w:rsidRPr="00B3283F">
        <w:rPr>
          <w:rFonts w:ascii="Cambria" w:hAnsi="Cambria"/>
          <w:iCs/>
          <w:sz w:val="20"/>
          <w:szCs w:val="20"/>
          <w:lang w:val="es-AR"/>
        </w:rPr>
        <w:t xml:space="preserve">Constitucional </w:t>
      </w:r>
      <w:r w:rsidR="008005C5" w:rsidRPr="00B3283F">
        <w:rPr>
          <w:rFonts w:ascii="Cambria" w:hAnsi="Cambria"/>
          <w:iCs/>
          <w:sz w:val="20"/>
          <w:szCs w:val="20"/>
          <w:lang w:val="es-AR"/>
        </w:rPr>
        <w:t>declar</w:t>
      </w:r>
      <w:r w:rsidR="00395BA0" w:rsidRPr="00B3283F">
        <w:rPr>
          <w:rFonts w:ascii="Cambria" w:hAnsi="Cambria"/>
          <w:iCs/>
          <w:sz w:val="20"/>
          <w:szCs w:val="20"/>
          <w:lang w:val="es-AR"/>
        </w:rPr>
        <w:t>ó</w:t>
      </w:r>
      <w:r w:rsidR="008005C5" w:rsidRPr="00B3283F">
        <w:rPr>
          <w:rFonts w:ascii="Cambria" w:hAnsi="Cambria"/>
          <w:iCs/>
          <w:sz w:val="20"/>
          <w:szCs w:val="20"/>
          <w:lang w:val="es-AR"/>
        </w:rPr>
        <w:t xml:space="preserve"> que no se vulneraba la Constitución ni la </w:t>
      </w:r>
      <w:r w:rsidR="00DE0EBE">
        <w:rPr>
          <w:rFonts w:ascii="Cambria" w:hAnsi="Cambria"/>
          <w:iCs/>
          <w:sz w:val="20"/>
          <w:szCs w:val="20"/>
          <w:lang w:val="es-AR"/>
        </w:rPr>
        <w:t>Convención Americana</w:t>
      </w:r>
      <w:r w:rsidR="008005C5" w:rsidRPr="00B3283F">
        <w:rPr>
          <w:rFonts w:ascii="Cambria" w:hAnsi="Cambria"/>
          <w:iCs/>
          <w:sz w:val="20"/>
          <w:szCs w:val="20"/>
          <w:lang w:val="es-AR"/>
        </w:rPr>
        <w:t xml:space="preserve"> con la aprobación de esta normativa.</w:t>
      </w:r>
      <w:r w:rsidR="00912BE1" w:rsidRPr="00B3283F">
        <w:rPr>
          <w:rFonts w:ascii="Cambria" w:hAnsi="Cambria"/>
          <w:iCs/>
          <w:sz w:val="20"/>
          <w:szCs w:val="20"/>
          <w:lang w:val="es-AR"/>
        </w:rPr>
        <w:t xml:space="preserve"> El Estado reitera la posición de la Corte Constitucional que, e</w:t>
      </w:r>
      <w:r w:rsidR="00E577D0" w:rsidRPr="00B3283F">
        <w:rPr>
          <w:rFonts w:ascii="Cambria" w:hAnsi="Cambria"/>
          <w:iCs/>
          <w:sz w:val="20"/>
          <w:szCs w:val="20"/>
          <w:lang w:val="es-AR"/>
        </w:rPr>
        <w:t xml:space="preserve">n su Sentencia C-068 de 2013, declaró que, si </w:t>
      </w:r>
      <w:r w:rsidR="00912BE1" w:rsidRPr="00B3283F">
        <w:rPr>
          <w:rFonts w:ascii="Cambria" w:hAnsi="Cambria"/>
          <w:iCs/>
          <w:sz w:val="20"/>
          <w:szCs w:val="20"/>
          <w:lang w:val="es-AR"/>
        </w:rPr>
        <w:t xml:space="preserve">la consulta </w:t>
      </w:r>
      <w:r w:rsidR="00E577D0" w:rsidRPr="00B3283F">
        <w:rPr>
          <w:rFonts w:ascii="Cambria" w:hAnsi="Cambria"/>
          <w:iCs/>
          <w:sz w:val="20"/>
          <w:szCs w:val="20"/>
          <w:lang w:val="es-AR"/>
        </w:rPr>
        <w:t>no llega a un acuerdo o el mismo se frustra por la decisión autónoma de los pueblos indígenas, no existe razón para frenar el proceso legislativo en asuntos de interés general porqué el derecho a la consulta previa no es absoluto</w:t>
      </w:r>
      <w:r w:rsidR="005F4928" w:rsidRPr="00B3283F">
        <w:rPr>
          <w:rFonts w:ascii="Cambria" w:hAnsi="Cambria"/>
          <w:iCs/>
          <w:sz w:val="20"/>
          <w:szCs w:val="20"/>
          <w:lang w:val="es-AR"/>
        </w:rPr>
        <w:t xml:space="preserve"> y</w:t>
      </w:r>
      <w:r w:rsidR="00E577D0" w:rsidRPr="00B3283F">
        <w:rPr>
          <w:rFonts w:ascii="Cambria" w:hAnsi="Cambria"/>
          <w:iCs/>
          <w:sz w:val="20"/>
          <w:szCs w:val="20"/>
          <w:lang w:val="es-AR"/>
        </w:rPr>
        <w:t xml:space="preserve"> tampoco implica un derecho de veto. En efecto, el</w:t>
      </w:r>
      <w:r w:rsidR="00E560F4" w:rsidRPr="00B3283F">
        <w:rPr>
          <w:rFonts w:ascii="Cambria" w:hAnsi="Cambria"/>
          <w:iCs/>
          <w:sz w:val="20"/>
          <w:szCs w:val="20"/>
          <w:lang w:val="es-AR"/>
        </w:rPr>
        <w:t xml:space="preserve"> Estado </w:t>
      </w:r>
      <w:r w:rsidR="00E577D0" w:rsidRPr="00B3283F">
        <w:rPr>
          <w:rFonts w:ascii="Cambria" w:hAnsi="Cambria"/>
          <w:iCs/>
          <w:sz w:val="20"/>
          <w:szCs w:val="20"/>
          <w:lang w:val="es-AR"/>
        </w:rPr>
        <w:t>precisa</w:t>
      </w:r>
      <w:r w:rsidRPr="00B3283F">
        <w:rPr>
          <w:rFonts w:ascii="Cambria" w:hAnsi="Cambria"/>
          <w:iCs/>
          <w:sz w:val="20"/>
          <w:szCs w:val="20"/>
          <w:lang w:val="es-AR"/>
        </w:rPr>
        <w:t xml:space="preserve"> que esta negativa a ser consultados no puede ser entendida como una facultad de vetar la aprobación del proyecto de ley, puesto que “no compromete de manera fundamental la condición física o cultural de los grupos afectados con la medida”.</w:t>
      </w:r>
      <w:r w:rsidR="00FD6AD1" w:rsidRPr="00B3283F">
        <w:rPr>
          <w:rFonts w:ascii="Cambria" w:hAnsi="Cambria"/>
          <w:iCs/>
          <w:sz w:val="20"/>
          <w:szCs w:val="20"/>
          <w:lang w:val="es-AR"/>
        </w:rPr>
        <w:t xml:space="preserve"> </w:t>
      </w:r>
    </w:p>
    <w:p w14:paraId="5CDD6E94" w14:textId="77777777" w:rsidR="001C5E53" w:rsidRPr="00B3283F" w:rsidRDefault="001C5E53" w:rsidP="00202689">
      <w:pPr>
        <w:pStyle w:val="NormalWeb"/>
        <w:spacing w:before="0" w:beforeAutospacing="0" w:after="0" w:afterAutospacing="0"/>
        <w:jc w:val="both"/>
        <w:rPr>
          <w:rFonts w:ascii="Cambria" w:hAnsi="Cambria"/>
          <w:iCs/>
          <w:sz w:val="20"/>
          <w:szCs w:val="20"/>
          <w:lang w:val="es-AR"/>
        </w:rPr>
      </w:pPr>
    </w:p>
    <w:p w14:paraId="2ED9A076" w14:textId="2CCB9FD3" w:rsidR="00EC5EB0" w:rsidRPr="00B3283F" w:rsidRDefault="00E577D0" w:rsidP="00202689">
      <w:pPr>
        <w:pStyle w:val="NormalWeb"/>
        <w:numPr>
          <w:ilvl w:val="0"/>
          <w:numId w:val="61"/>
        </w:numPr>
        <w:tabs>
          <w:tab w:val="clear" w:pos="720"/>
        </w:tabs>
        <w:spacing w:before="0" w:beforeAutospacing="0" w:after="0" w:afterAutospacing="0"/>
        <w:jc w:val="both"/>
        <w:rPr>
          <w:rFonts w:ascii="Cambria" w:hAnsi="Cambria"/>
          <w:iCs/>
          <w:sz w:val="20"/>
          <w:szCs w:val="20"/>
          <w:lang w:val="es-AR"/>
        </w:rPr>
      </w:pPr>
      <w:r w:rsidRPr="00B3283F">
        <w:rPr>
          <w:rFonts w:ascii="Cambria" w:hAnsi="Cambria"/>
          <w:iCs/>
          <w:sz w:val="20"/>
          <w:szCs w:val="20"/>
          <w:lang w:val="es-AR"/>
        </w:rPr>
        <w:t>Así, e</w:t>
      </w:r>
      <w:r w:rsidR="00FD6AD1" w:rsidRPr="00B3283F">
        <w:rPr>
          <w:rFonts w:ascii="Cambria" w:hAnsi="Cambria"/>
          <w:iCs/>
          <w:sz w:val="20"/>
          <w:szCs w:val="20"/>
          <w:lang w:val="es-AR"/>
        </w:rPr>
        <w:t xml:space="preserve">l Estado aduce </w:t>
      </w:r>
      <w:r w:rsidR="00531009" w:rsidRPr="00B3283F">
        <w:rPr>
          <w:rFonts w:ascii="Cambria" w:hAnsi="Cambria"/>
          <w:iCs/>
          <w:sz w:val="20"/>
          <w:szCs w:val="20"/>
          <w:lang w:val="es-AR"/>
        </w:rPr>
        <w:t>que ambos casos fueron debidamente conocidos y decididos por parte de la Corte Constitucional Colombiana</w:t>
      </w:r>
      <w:r w:rsidR="00FD6AD1" w:rsidRPr="00B3283F">
        <w:rPr>
          <w:rFonts w:ascii="Cambria" w:hAnsi="Cambria"/>
          <w:iCs/>
          <w:sz w:val="20"/>
          <w:szCs w:val="20"/>
          <w:lang w:val="es-AR"/>
        </w:rPr>
        <w:t xml:space="preserve"> </w:t>
      </w:r>
      <w:r w:rsidR="009457AD" w:rsidRPr="00B3283F">
        <w:rPr>
          <w:rFonts w:ascii="Cambria" w:hAnsi="Cambria"/>
          <w:iCs/>
          <w:sz w:val="20"/>
          <w:szCs w:val="20"/>
          <w:lang w:val="es-AR"/>
        </w:rPr>
        <w:t xml:space="preserve">al </w:t>
      </w:r>
      <w:r w:rsidR="007A0DF6" w:rsidRPr="00B3283F">
        <w:rPr>
          <w:rFonts w:ascii="Cambria" w:hAnsi="Cambria"/>
          <w:iCs/>
          <w:sz w:val="20"/>
          <w:szCs w:val="20"/>
          <w:lang w:val="es-AR"/>
        </w:rPr>
        <w:t>encontrarla</w:t>
      </w:r>
      <w:r w:rsidR="009457AD" w:rsidRPr="00B3283F">
        <w:rPr>
          <w:rFonts w:ascii="Cambria" w:hAnsi="Cambria"/>
          <w:iCs/>
          <w:sz w:val="20"/>
          <w:szCs w:val="20"/>
          <w:lang w:val="es-AR"/>
        </w:rPr>
        <w:t xml:space="preserve"> “plenamente respetuosa de los </w:t>
      </w:r>
      <w:r w:rsidR="007A0DF6" w:rsidRPr="00B3283F">
        <w:rPr>
          <w:rFonts w:ascii="Cambria" w:hAnsi="Cambria"/>
          <w:iCs/>
          <w:sz w:val="20"/>
          <w:szCs w:val="20"/>
          <w:lang w:val="es-AR"/>
        </w:rPr>
        <w:t>estándares</w:t>
      </w:r>
      <w:r w:rsidR="009457AD" w:rsidRPr="00B3283F">
        <w:rPr>
          <w:rFonts w:ascii="Cambria" w:hAnsi="Cambria"/>
          <w:iCs/>
          <w:sz w:val="20"/>
          <w:szCs w:val="20"/>
          <w:lang w:val="es-AR"/>
        </w:rPr>
        <w:t xml:space="preserve"> </w:t>
      </w:r>
      <w:r w:rsidR="007A0DF6" w:rsidRPr="00B3283F">
        <w:rPr>
          <w:rFonts w:ascii="Cambria" w:hAnsi="Cambria"/>
          <w:iCs/>
          <w:sz w:val="20"/>
          <w:szCs w:val="20"/>
          <w:lang w:val="es-AR"/>
        </w:rPr>
        <w:t>trazados</w:t>
      </w:r>
      <w:r w:rsidR="009457AD" w:rsidRPr="00B3283F">
        <w:rPr>
          <w:rFonts w:ascii="Cambria" w:hAnsi="Cambria"/>
          <w:iCs/>
          <w:sz w:val="20"/>
          <w:szCs w:val="20"/>
          <w:lang w:val="es-AR"/>
        </w:rPr>
        <w:t xml:space="preserve"> por la </w:t>
      </w:r>
      <w:r w:rsidR="007A0DF6" w:rsidRPr="00B3283F">
        <w:rPr>
          <w:rFonts w:ascii="Cambria" w:hAnsi="Cambria"/>
          <w:iCs/>
          <w:sz w:val="20"/>
          <w:szCs w:val="20"/>
          <w:lang w:val="es-AR"/>
        </w:rPr>
        <w:t>jurisprudencia</w:t>
      </w:r>
      <w:r w:rsidR="009457AD" w:rsidRPr="00B3283F">
        <w:rPr>
          <w:rFonts w:ascii="Cambria" w:hAnsi="Cambria"/>
          <w:iCs/>
          <w:sz w:val="20"/>
          <w:szCs w:val="20"/>
          <w:lang w:val="es-AR"/>
        </w:rPr>
        <w:t xml:space="preserve"> </w:t>
      </w:r>
      <w:r w:rsidR="007A0DF6" w:rsidRPr="00B3283F">
        <w:rPr>
          <w:rFonts w:ascii="Cambria" w:hAnsi="Cambria"/>
          <w:iCs/>
          <w:sz w:val="20"/>
          <w:szCs w:val="20"/>
          <w:lang w:val="es-AR"/>
        </w:rPr>
        <w:t>interamericana</w:t>
      </w:r>
      <w:r w:rsidR="009457AD" w:rsidRPr="00B3283F">
        <w:rPr>
          <w:rFonts w:ascii="Cambria" w:hAnsi="Cambria"/>
          <w:iCs/>
          <w:sz w:val="20"/>
          <w:szCs w:val="20"/>
          <w:lang w:val="es-AR"/>
        </w:rPr>
        <w:t xml:space="preserve"> al respecto”. En este sentido, el Estado alega que</w:t>
      </w:r>
      <w:r w:rsidRPr="00B3283F">
        <w:rPr>
          <w:rFonts w:ascii="Cambria" w:hAnsi="Cambria"/>
          <w:iCs/>
          <w:sz w:val="20"/>
          <w:szCs w:val="20"/>
          <w:lang w:val="es-AR"/>
        </w:rPr>
        <w:t xml:space="preserve"> el</w:t>
      </w:r>
      <w:r w:rsidR="00974EEF" w:rsidRPr="00B3283F">
        <w:rPr>
          <w:rFonts w:ascii="Cambria" w:hAnsi="Cambria"/>
          <w:iCs/>
          <w:sz w:val="20"/>
          <w:szCs w:val="20"/>
          <w:lang w:val="es-AR"/>
        </w:rPr>
        <w:t xml:space="preserve"> juicio por parte de los </w:t>
      </w:r>
      <w:r w:rsidR="007A0DF6" w:rsidRPr="00B3283F">
        <w:rPr>
          <w:rFonts w:ascii="Cambria" w:hAnsi="Cambria"/>
          <w:iCs/>
          <w:sz w:val="20"/>
          <w:szCs w:val="20"/>
          <w:lang w:val="es-AR"/>
        </w:rPr>
        <w:t>órganos</w:t>
      </w:r>
      <w:r w:rsidR="00974EEF" w:rsidRPr="00B3283F">
        <w:rPr>
          <w:rFonts w:ascii="Cambria" w:hAnsi="Cambria"/>
          <w:iCs/>
          <w:sz w:val="20"/>
          <w:szCs w:val="20"/>
          <w:lang w:val="es-AR"/>
        </w:rPr>
        <w:t xml:space="preserve"> del Sistema </w:t>
      </w:r>
      <w:r w:rsidR="007A0DF6" w:rsidRPr="00B3283F">
        <w:rPr>
          <w:rFonts w:ascii="Cambria" w:hAnsi="Cambria"/>
          <w:iCs/>
          <w:sz w:val="20"/>
          <w:szCs w:val="20"/>
          <w:lang w:val="es-AR"/>
        </w:rPr>
        <w:t>Interamericano</w:t>
      </w:r>
      <w:r w:rsidR="008904C7">
        <w:rPr>
          <w:rFonts w:ascii="Cambria" w:hAnsi="Cambria"/>
          <w:iCs/>
          <w:sz w:val="20"/>
          <w:szCs w:val="20"/>
          <w:lang w:val="es-AR"/>
        </w:rPr>
        <w:t xml:space="preserve"> </w:t>
      </w:r>
      <w:r w:rsidR="00974EEF" w:rsidRPr="00B3283F">
        <w:rPr>
          <w:rFonts w:ascii="Cambria" w:hAnsi="Cambria"/>
          <w:iCs/>
          <w:sz w:val="20"/>
          <w:szCs w:val="20"/>
          <w:lang w:val="es-AR"/>
        </w:rPr>
        <w:t xml:space="preserve">implicaría que estos actuaran como un </w:t>
      </w:r>
      <w:r w:rsidR="001F0F69" w:rsidRPr="00B3283F">
        <w:rPr>
          <w:rFonts w:ascii="Cambria" w:hAnsi="Cambria"/>
          <w:iCs/>
          <w:sz w:val="20"/>
          <w:szCs w:val="20"/>
          <w:lang w:val="es-AR"/>
        </w:rPr>
        <w:t>órgano</w:t>
      </w:r>
      <w:r w:rsidR="00974EEF" w:rsidRPr="00B3283F">
        <w:rPr>
          <w:rFonts w:ascii="Cambria" w:hAnsi="Cambria"/>
          <w:iCs/>
          <w:sz w:val="20"/>
          <w:szCs w:val="20"/>
          <w:lang w:val="es-AR"/>
        </w:rPr>
        <w:t xml:space="preserve"> de cuarta instancia. </w:t>
      </w:r>
    </w:p>
    <w:p w14:paraId="6E236490" w14:textId="77777777" w:rsidR="00B3283F" w:rsidRPr="00B3283F" w:rsidRDefault="00B3283F" w:rsidP="00B3283F">
      <w:pPr>
        <w:pStyle w:val="NormalWeb"/>
        <w:spacing w:before="0" w:beforeAutospacing="0" w:after="0" w:afterAutospacing="0"/>
        <w:ind w:left="720"/>
        <w:jc w:val="both"/>
        <w:rPr>
          <w:rFonts w:ascii="Cambria" w:hAnsi="Cambria"/>
          <w:iCs/>
          <w:sz w:val="20"/>
          <w:szCs w:val="20"/>
          <w:lang w:val="es-AR"/>
        </w:rPr>
      </w:pPr>
    </w:p>
    <w:p w14:paraId="2D82D44D" w14:textId="77777777" w:rsidR="00B20C03" w:rsidRDefault="00B20C03" w:rsidP="00B3283F">
      <w:pPr>
        <w:pStyle w:val="ListParagraph"/>
        <w:jc w:val="both"/>
        <w:rPr>
          <w:b/>
          <w:bCs/>
          <w:sz w:val="20"/>
          <w:szCs w:val="20"/>
          <w:lang w:val="es-AR"/>
        </w:rPr>
      </w:pPr>
    </w:p>
    <w:p w14:paraId="0F03A794" w14:textId="77777777" w:rsidR="00B20C03" w:rsidRDefault="00B20C03" w:rsidP="00B3283F">
      <w:pPr>
        <w:pStyle w:val="ListParagraph"/>
        <w:jc w:val="both"/>
        <w:rPr>
          <w:b/>
          <w:bCs/>
          <w:sz w:val="20"/>
          <w:szCs w:val="20"/>
          <w:lang w:val="es-AR"/>
        </w:rPr>
      </w:pPr>
    </w:p>
    <w:p w14:paraId="6DED8D94" w14:textId="3A70A8AC" w:rsidR="004C616A" w:rsidRPr="00B3283F" w:rsidRDefault="004C616A" w:rsidP="00B3283F">
      <w:pPr>
        <w:pStyle w:val="ListParagraph"/>
        <w:jc w:val="both"/>
        <w:rPr>
          <w:b/>
          <w:bCs/>
          <w:sz w:val="20"/>
          <w:szCs w:val="20"/>
          <w:lang w:val="es-AR"/>
        </w:rPr>
      </w:pPr>
      <w:r w:rsidRPr="00B3283F">
        <w:rPr>
          <w:b/>
          <w:bCs/>
          <w:sz w:val="20"/>
          <w:szCs w:val="20"/>
          <w:lang w:val="es-AR"/>
        </w:rPr>
        <w:lastRenderedPageBreak/>
        <w:t xml:space="preserve">VI. </w:t>
      </w:r>
      <w:r w:rsidRPr="00B3283F">
        <w:rPr>
          <w:b/>
          <w:bCs/>
          <w:sz w:val="20"/>
          <w:szCs w:val="20"/>
          <w:lang w:val="es-AR"/>
        </w:rPr>
        <w:tab/>
        <w:t>AGOTAMIENTO DE LOS RECURSOS INTERNOS Y PLAZO DE PRESENTACIÓN</w:t>
      </w:r>
    </w:p>
    <w:p w14:paraId="5ED5E152" w14:textId="77777777" w:rsidR="00B3283F" w:rsidRPr="00B3283F" w:rsidRDefault="00B3283F" w:rsidP="00B3283F">
      <w:pPr>
        <w:pStyle w:val="ListParagraph"/>
        <w:jc w:val="both"/>
        <w:rPr>
          <w:b/>
          <w:bCs/>
          <w:sz w:val="20"/>
          <w:szCs w:val="20"/>
          <w:lang w:val="es-AR"/>
        </w:rPr>
      </w:pPr>
    </w:p>
    <w:p w14:paraId="2EAB6974" w14:textId="000F7C6D" w:rsidR="00B3283F" w:rsidRPr="00B3283F" w:rsidRDefault="00FB30BA" w:rsidP="00871743">
      <w:pPr>
        <w:pStyle w:val="NormalWeb"/>
        <w:numPr>
          <w:ilvl w:val="0"/>
          <w:numId w:val="61"/>
        </w:numPr>
        <w:tabs>
          <w:tab w:val="clear" w:pos="720"/>
        </w:tabs>
        <w:spacing w:before="0" w:beforeAutospacing="0" w:after="0" w:afterAutospacing="0"/>
        <w:jc w:val="both"/>
        <w:rPr>
          <w:rFonts w:ascii="Cambria" w:hAnsi="Cambria"/>
          <w:iCs/>
          <w:sz w:val="20"/>
          <w:szCs w:val="20"/>
          <w:lang w:val="es-BO"/>
        </w:rPr>
      </w:pPr>
      <w:r w:rsidRPr="00B3283F">
        <w:rPr>
          <w:rFonts w:ascii="Cambria" w:hAnsi="Cambria"/>
          <w:iCs/>
          <w:sz w:val="20"/>
          <w:szCs w:val="20"/>
          <w:lang w:val="es-AR"/>
        </w:rPr>
        <w:t xml:space="preserve">En cuanto al agotamiento de los recursos internos, el peticionario afirma </w:t>
      </w:r>
      <w:r w:rsidR="00F2579E" w:rsidRPr="00B3283F">
        <w:rPr>
          <w:rFonts w:ascii="Cambria" w:hAnsi="Cambria"/>
          <w:iCs/>
          <w:sz w:val="20"/>
          <w:szCs w:val="20"/>
          <w:lang w:val="es-AR"/>
        </w:rPr>
        <w:t xml:space="preserve">en su petición inicial </w:t>
      </w:r>
      <w:r w:rsidRPr="00B3283F">
        <w:rPr>
          <w:rFonts w:ascii="Cambria" w:hAnsi="Cambria"/>
          <w:iCs/>
          <w:sz w:val="20"/>
          <w:szCs w:val="20"/>
          <w:lang w:val="es-AR"/>
        </w:rPr>
        <w:t xml:space="preserve">que agotó los recursos internos </w:t>
      </w:r>
      <w:r w:rsidR="002440E4" w:rsidRPr="00B3283F">
        <w:rPr>
          <w:rFonts w:ascii="Cambria" w:hAnsi="Cambria" w:cs="Calibri"/>
          <w:sz w:val="20"/>
          <w:szCs w:val="20"/>
          <w:lang w:val="es-AR"/>
        </w:rPr>
        <w:t>aplicables</w:t>
      </w:r>
      <w:r w:rsidR="00604F24" w:rsidRPr="00B3283F">
        <w:rPr>
          <w:rFonts w:ascii="Cambria" w:hAnsi="Cambria" w:cs="Calibri"/>
          <w:sz w:val="20"/>
          <w:szCs w:val="20"/>
          <w:lang w:val="es-AR"/>
        </w:rPr>
        <w:t xml:space="preserve"> </w:t>
      </w:r>
      <w:r w:rsidR="002440E4" w:rsidRPr="00B3283F">
        <w:rPr>
          <w:rFonts w:ascii="Cambria" w:hAnsi="Cambria" w:cs="Calibri"/>
          <w:sz w:val="20"/>
          <w:szCs w:val="20"/>
          <w:lang w:val="es-AR"/>
        </w:rPr>
        <w:t xml:space="preserve">con el ejercicio de una acción de tutela </w:t>
      </w:r>
      <w:r w:rsidR="00725ABA" w:rsidRPr="00B3283F">
        <w:rPr>
          <w:rFonts w:ascii="Cambria" w:hAnsi="Cambria"/>
          <w:iCs/>
          <w:sz w:val="20"/>
          <w:szCs w:val="20"/>
          <w:lang w:val="es-AR"/>
        </w:rPr>
        <w:t xml:space="preserve">por </w:t>
      </w:r>
      <w:r w:rsidR="00A66405" w:rsidRPr="00B3283F">
        <w:rPr>
          <w:rFonts w:ascii="Cambria" w:hAnsi="Cambria"/>
          <w:iCs/>
          <w:sz w:val="20"/>
          <w:szCs w:val="20"/>
          <w:lang w:val="es-AR"/>
        </w:rPr>
        <w:t>el cargo de omisión de</w:t>
      </w:r>
      <w:r w:rsidR="00725ABA" w:rsidRPr="00B3283F">
        <w:rPr>
          <w:rFonts w:ascii="Cambria" w:hAnsi="Cambria"/>
          <w:iCs/>
          <w:sz w:val="20"/>
          <w:szCs w:val="20"/>
          <w:lang w:val="es-AR"/>
        </w:rPr>
        <w:t xml:space="preserve"> consulta previa </w:t>
      </w:r>
      <w:r w:rsidR="00E96481" w:rsidRPr="00B3283F">
        <w:rPr>
          <w:rFonts w:ascii="Cambria" w:hAnsi="Cambria"/>
          <w:iCs/>
          <w:sz w:val="20"/>
          <w:szCs w:val="20"/>
          <w:lang w:val="es-AR"/>
        </w:rPr>
        <w:t xml:space="preserve">que fue negada por el Tribunal </w:t>
      </w:r>
      <w:r w:rsidR="00E96481" w:rsidRPr="00B3283F">
        <w:rPr>
          <w:rFonts w:ascii="Cambria" w:hAnsi="Cambria"/>
          <w:iCs/>
          <w:sz w:val="20"/>
          <w:szCs w:val="20"/>
          <w:lang w:val="es-BO"/>
        </w:rPr>
        <w:t xml:space="preserve">Administrativo de Cundinamarca, </w:t>
      </w:r>
      <w:r w:rsidR="00F902E6" w:rsidRPr="00B3283F">
        <w:rPr>
          <w:rFonts w:ascii="Cambria" w:hAnsi="Cambria"/>
          <w:iCs/>
          <w:sz w:val="20"/>
          <w:szCs w:val="20"/>
          <w:lang w:val="es-BO"/>
        </w:rPr>
        <w:t>cuyo</w:t>
      </w:r>
      <w:r w:rsidR="00211014">
        <w:rPr>
          <w:rFonts w:ascii="Cambria" w:hAnsi="Cambria"/>
          <w:iCs/>
          <w:sz w:val="20"/>
          <w:szCs w:val="20"/>
          <w:lang w:val="es-BO"/>
        </w:rPr>
        <w:t xml:space="preserve"> fallo</w:t>
      </w:r>
      <w:r w:rsidR="00E96481" w:rsidRPr="00B3283F">
        <w:rPr>
          <w:rFonts w:ascii="Cambria" w:hAnsi="Cambria"/>
          <w:iCs/>
          <w:sz w:val="20"/>
          <w:szCs w:val="20"/>
          <w:lang w:val="es-BO"/>
        </w:rPr>
        <w:t xml:space="preserve"> fue confirmado por el Consejo del Estado</w:t>
      </w:r>
      <w:r w:rsidR="00F902E6" w:rsidRPr="00B3283F">
        <w:rPr>
          <w:rFonts w:ascii="Cambria" w:hAnsi="Cambria"/>
          <w:iCs/>
          <w:sz w:val="20"/>
          <w:szCs w:val="20"/>
          <w:lang w:val="es-BO"/>
        </w:rPr>
        <w:t xml:space="preserve"> el 5 de mayo de 2011</w:t>
      </w:r>
      <w:r w:rsidR="00211014">
        <w:rPr>
          <w:rFonts w:ascii="Cambria" w:hAnsi="Cambria"/>
          <w:iCs/>
          <w:sz w:val="20"/>
          <w:szCs w:val="20"/>
          <w:lang w:val="es-BO"/>
        </w:rPr>
        <w:t xml:space="preserve"> y </w:t>
      </w:r>
      <w:r w:rsidR="0085012B">
        <w:rPr>
          <w:rFonts w:ascii="Cambria" w:hAnsi="Cambria"/>
          <w:iCs/>
          <w:sz w:val="20"/>
          <w:szCs w:val="20"/>
          <w:lang w:val="es-BO"/>
        </w:rPr>
        <w:t xml:space="preserve">fue notificada sobre la no revisión de su </w:t>
      </w:r>
      <w:r w:rsidR="00F902E6" w:rsidRPr="00B3283F">
        <w:rPr>
          <w:rFonts w:ascii="Cambria" w:hAnsi="Cambria"/>
          <w:iCs/>
          <w:sz w:val="20"/>
          <w:szCs w:val="20"/>
          <w:lang w:val="es-BO"/>
        </w:rPr>
        <w:t>tutela por la Corte Constitucional el 22 de diciembre de 2011.</w:t>
      </w:r>
      <w:r w:rsidR="00EE3FB9" w:rsidRPr="00B3283F">
        <w:rPr>
          <w:rFonts w:ascii="Cambria" w:hAnsi="Cambria"/>
          <w:iCs/>
          <w:sz w:val="20"/>
          <w:szCs w:val="20"/>
          <w:lang w:val="es-BO"/>
        </w:rPr>
        <w:t xml:space="preserve"> Por su parte, el Estado no presenta alegatos con respecto al agotamiento de los recursos internos o el plazo de presentación de la petición.</w:t>
      </w:r>
    </w:p>
    <w:p w14:paraId="0ABB87D4" w14:textId="77777777" w:rsidR="00B3283F" w:rsidRPr="00B3283F" w:rsidRDefault="00B3283F" w:rsidP="00B3283F">
      <w:pPr>
        <w:pStyle w:val="NormalWeb"/>
        <w:spacing w:before="0" w:beforeAutospacing="0" w:after="0" w:afterAutospacing="0"/>
        <w:ind w:left="720"/>
        <w:jc w:val="both"/>
        <w:rPr>
          <w:rFonts w:ascii="Cambria" w:hAnsi="Cambria"/>
          <w:iCs/>
          <w:sz w:val="20"/>
          <w:szCs w:val="20"/>
          <w:lang w:val="es-BO"/>
        </w:rPr>
      </w:pPr>
    </w:p>
    <w:p w14:paraId="1374E792" w14:textId="43CE5E41" w:rsidR="009D5945" w:rsidRPr="00B3283F" w:rsidRDefault="0085012B" w:rsidP="00871743">
      <w:pPr>
        <w:pStyle w:val="NormalWeb"/>
        <w:numPr>
          <w:ilvl w:val="0"/>
          <w:numId w:val="61"/>
        </w:numPr>
        <w:tabs>
          <w:tab w:val="clear" w:pos="720"/>
        </w:tabs>
        <w:spacing w:before="0" w:beforeAutospacing="0" w:after="0" w:afterAutospacing="0"/>
        <w:jc w:val="both"/>
        <w:rPr>
          <w:rFonts w:ascii="Cambria" w:hAnsi="Cambria"/>
          <w:iCs/>
          <w:sz w:val="20"/>
          <w:szCs w:val="20"/>
          <w:lang w:val="es-BO"/>
        </w:rPr>
      </w:pPr>
      <w:r>
        <w:rPr>
          <w:rFonts w:ascii="Cambria" w:hAnsi="Cambria"/>
          <w:iCs/>
          <w:sz w:val="20"/>
          <w:szCs w:val="20"/>
          <w:lang w:val="es-BO"/>
        </w:rPr>
        <w:t xml:space="preserve">Para efectos de admisibilidad, </w:t>
      </w:r>
      <w:r w:rsidR="00F902E6" w:rsidRPr="00B3283F">
        <w:rPr>
          <w:rFonts w:ascii="Cambria" w:hAnsi="Cambria"/>
          <w:iCs/>
          <w:sz w:val="20"/>
          <w:szCs w:val="20"/>
          <w:lang w:val="es-BO"/>
        </w:rPr>
        <w:t xml:space="preserve">la CIDH nota que, posteriormente a la presentación de la petición ante la CIDH </w:t>
      </w:r>
      <w:r w:rsidR="00604F24" w:rsidRPr="00B3283F">
        <w:rPr>
          <w:rFonts w:ascii="Cambria" w:hAnsi="Cambria"/>
          <w:iCs/>
          <w:sz w:val="20"/>
          <w:szCs w:val="20"/>
          <w:lang w:val="es-BO"/>
        </w:rPr>
        <w:t>en fecha</w:t>
      </w:r>
      <w:r w:rsidR="00F902E6" w:rsidRPr="00B3283F">
        <w:rPr>
          <w:rFonts w:ascii="Cambria" w:hAnsi="Cambria"/>
          <w:iCs/>
          <w:sz w:val="20"/>
          <w:szCs w:val="20"/>
          <w:lang w:val="es-BO"/>
        </w:rPr>
        <w:t xml:space="preserve"> 25 de enero de 2012, la Corte Constitucional emitió </w:t>
      </w:r>
      <w:r w:rsidR="00EE3FB9" w:rsidRPr="00B3283F">
        <w:rPr>
          <w:rFonts w:ascii="Cambria" w:hAnsi="Cambria"/>
          <w:iCs/>
          <w:sz w:val="20"/>
          <w:szCs w:val="20"/>
          <w:lang w:val="es-BO"/>
        </w:rPr>
        <w:t>la</w:t>
      </w:r>
      <w:r w:rsidR="00F902E6" w:rsidRPr="00B3283F">
        <w:rPr>
          <w:rFonts w:ascii="Cambria" w:hAnsi="Cambria"/>
          <w:iCs/>
          <w:sz w:val="20"/>
          <w:szCs w:val="20"/>
          <w:lang w:val="es-BO"/>
        </w:rPr>
        <w:t xml:space="preserve"> Sentencia C-317/12</w:t>
      </w:r>
      <w:r w:rsidR="001408D2" w:rsidRPr="00B3283F">
        <w:rPr>
          <w:rFonts w:ascii="Cambria" w:hAnsi="Cambria"/>
          <w:iCs/>
          <w:sz w:val="20"/>
          <w:szCs w:val="20"/>
          <w:lang w:val="es-BO"/>
        </w:rPr>
        <w:t xml:space="preserve"> </w:t>
      </w:r>
      <w:r w:rsidR="00F902E6" w:rsidRPr="00B3283F">
        <w:rPr>
          <w:rFonts w:ascii="Cambria" w:hAnsi="Cambria"/>
          <w:iCs/>
          <w:sz w:val="20"/>
          <w:szCs w:val="20"/>
          <w:lang w:val="es-BO"/>
        </w:rPr>
        <w:t>en cuanto al Acto Legislativo 05 de 2011 que fue notificada el 3 de mayo de 2012. Asimismo, el 13 de febrero de 2013, la Corte Constitucional falló sobre la constitucionalidad de la Ley 1530 de 2012</w:t>
      </w:r>
      <w:r w:rsidR="00604F24" w:rsidRPr="00B3283F">
        <w:rPr>
          <w:rFonts w:ascii="Cambria" w:hAnsi="Cambria"/>
          <w:iCs/>
          <w:sz w:val="20"/>
          <w:szCs w:val="20"/>
          <w:lang w:val="es-BO"/>
        </w:rPr>
        <w:t xml:space="preserve"> </w:t>
      </w:r>
      <w:r w:rsidR="00EE3FB9" w:rsidRPr="00B3283F">
        <w:rPr>
          <w:rFonts w:ascii="Cambria" w:hAnsi="Cambria"/>
          <w:iCs/>
          <w:sz w:val="20"/>
          <w:szCs w:val="20"/>
          <w:lang w:val="es-BO"/>
        </w:rPr>
        <w:t>mediante la</w:t>
      </w:r>
      <w:r w:rsidR="00604F24" w:rsidRPr="00B3283F">
        <w:rPr>
          <w:rFonts w:ascii="Cambria" w:hAnsi="Cambria"/>
          <w:iCs/>
          <w:sz w:val="20"/>
          <w:szCs w:val="20"/>
          <w:lang w:val="es-BO"/>
        </w:rPr>
        <w:t xml:space="preserve"> sentencia C-068/13.</w:t>
      </w:r>
      <w:r w:rsidR="00F902E6" w:rsidRPr="00B3283F">
        <w:rPr>
          <w:rFonts w:ascii="Cambria" w:hAnsi="Cambria"/>
          <w:iCs/>
          <w:sz w:val="20"/>
          <w:szCs w:val="20"/>
          <w:lang w:val="es-BO"/>
        </w:rPr>
        <w:t xml:space="preserve"> </w:t>
      </w:r>
    </w:p>
    <w:p w14:paraId="5A40C005" w14:textId="77777777" w:rsidR="00B3283F" w:rsidRPr="00B3283F" w:rsidRDefault="00B3283F" w:rsidP="00B3283F">
      <w:pPr>
        <w:pStyle w:val="NormalWeb"/>
        <w:spacing w:before="0" w:beforeAutospacing="0" w:after="0" w:afterAutospacing="0"/>
        <w:jc w:val="both"/>
        <w:rPr>
          <w:rFonts w:ascii="Cambria" w:hAnsi="Cambria"/>
          <w:iCs/>
          <w:sz w:val="20"/>
          <w:szCs w:val="20"/>
          <w:lang w:val="es-BO"/>
        </w:rPr>
      </w:pPr>
    </w:p>
    <w:p w14:paraId="0F80A582" w14:textId="49BECBB1" w:rsidR="0085012B" w:rsidRPr="007B552C" w:rsidRDefault="00EF3D14" w:rsidP="00871743">
      <w:pPr>
        <w:pStyle w:val="NormalWeb"/>
        <w:numPr>
          <w:ilvl w:val="0"/>
          <w:numId w:val="61"/>
        </w:numPr>
        <w:tabs>
          <w:tab w:val="clear" w:pos="720"/>
        </w:tabs>
        <w:spacing w:before="0" w:beforeAutospacing="0" w:after="0" w:afterAutospacing="0"/>
        <w:jc w:val="both"/>
        <w:rPr>
          <w:rFonts w:ascii="Cambria" w:hAnsi="Cambria"/>
          <w:iCs/>
          <w:sz w:val="20"/>
          <w:szCs w:val="20"/>
          <w:lang w:val="es-AR"/>
        </w:rPr>
      </w:pPr>
      <w:r w:rsidRPr="00B3283F">
        <w:rPr>
          <w:rFonts w:ascii="Cambria" w:hAnsi="Cambria"/>
          <w:iCs/>
          <w:sz w:val="20"/>
          <w:szCs w:val="20"/>
          <w:lang w:val="es-BO"/>
        </w:rPr>
        <w:t>La Comisión Interamericana recuerda que</w:t>
      </w:r>
      <w:r w:rsidR="005F4928" w:rsidRPr="00B3283F">
        <w:rPr>
          <w:rFonts w:ascii="Cambria" w:hAnsi="Cambria"/>
          <w:iCs/>
          <w:sz w:val="20"/>
          <w:szCs w:val="20"/>
          <w:lang w:val="es-BO"/>
        </w:rPr>
        <w:t>,</w:t>
      </w:r>
      <w:r w:rsidRPr="00B3283F">
        <w:rPr>
          <w:rFonts w:ascii="Cambria" w:hAnsi="Cambria"/>
          <w:iCs/>
          <w:sz w:val="20"/>
          <w:szCs w:val="20"/>
          <w:lang w:val="es-BO"/>
        </w:rPr>
        <w:t xml:space="preserve"> </w:t>
      </w:r>
      <w:r w:rsidR="008631EA" w:rsidRPr="00B3283F">
        <w:rPr>
          <w:rFonts w:ascii="Cambria" w:hAnsi="Cambria"/>
          <w:iCs/>
          <w:sz w:val="20"/>
          <w:szCs w:val="20"/>
          <w:lang w:val="es-BO"/>
        </w:rPr>
        <w:t>aunque,</w:t>
      </w:r>
      <w:r w:rsidRPr="00B3283F">
        <w:rPr>
          <w:rFonts w:ascii="Cambria" w:hAnsi="Cambria"/>
          <w:iCs/>
          <w:sz w:val="20"/>
          <w:szCs w:val="20"/>
          <w:lang w:val="es-BO"/>
        </w:rPr>
        <w:t xml:space="preserve"> en principio, el agotamiento de recursos extraordinarios </w:t>
      </w:r>
      <w:r w:rsidR="00EE3FB9" w:rsidRPr="00B3283F">
        <w:rPr>
          <w:rFonts w:ascii="Cambria" w:hAnsi="Cambria"/>
          <w:iCs/>
          <w:sz w:val="20"/>
          <w:szCs w:val="20"/>
          <w:lang w:val="es-BO"/>
        </w:rPr>
        <w:t xml:space="preserve">no es necesario </w:t>
      </w:r>
      <w:r w:rsidRPr="00B3283F">
        <w:rPr>
          <w:rFonts w:ascii="Cambria" w:hAnsi="Cambria"/>
          <w:iCs/>
          <w:sz w:val="20"/>
          <w:szCs w:val="20"/>
          <w:lang w:val="es-BO"/>
        </w:rPr>
        <w:t xml:space="preserve">en todos los casos, si el peticionario considera que estos pueden tener un resultado favorable en el remedio de la situación jurídica </w:t>
      </w:r>
      <w:r w:rsidR="001408D2" w:rsidRPr="00B3283F">
        <w:rPr>
          <w:rFonts w:ascii="Cambria" w:hAnsi="Cambria"/>
          <w:iCs/>
          <w:sz w:val="20"/>
          <w:szCs w:val="20"/>
          <w:lang w:val="es-BO"/>
        </w:rPr>
        <w:t>alegadamente</w:t>
      </w:r>
      <w:r w:rsidRPr="00B3283F">
        <w:rPr>
          <w:rFonts w:ascii="Cambria" w:hAnsi="Cambria"/>
          <w:iCs/>
          <w:sz w:val="20"/>
          <w:szCs w:val="20"/>
          <w:lang w:val="es-BO"/>
        </w:rPr>
        <w:t xml:space="preserve"> vulnerada y decide acudir a esta vía</w:t>
      </w:r>
      <w:r w:rsidR="00836C96" w:rsidRPr="00B3283F">
        <w:rPr>
          <w:rFonts w:ascii="Cambria" w:hAnsi="Cambria"/>
          <w:iCs/>
          <w:sz w:val="20"/>
          <w:szCs w:val="20"/>
          <w:lang w:val="es-BO"/>
        </w:rPr>
        <w:t xml:space="preserve">, </w:t>
      </w:r>
      <w:r w:rsidR="00836C96" w:rsidRPr="00B3283F">
        <w:rPr>
          <w:rFonts w:ascii="Cambria" w:hAnsi="Cambria" w:cs="Calibri"/>
          <w:sz w:val="20"/>
          <w:szCs w:val="20"/>
          <w:lang w:val="es-BO"/>
        </w:rPr>
        <w:t>debe agotarlos de conformidad con las normas procesales vigentes</w:t>
      </w:r>
      <w:r w:rsidRPr="00B3283F">
        <w:rPr>
          <w:rFonts w:ascii="Cambria" w:hAnsi="Cambria"/>
          <w:iCs/>
          <w:sz w:val="20"/>
          <w:szCs w:val="20"/>
          <w:vertAlign w:val="superscript"/>
          <w:lang w:val="es-BO"/>
        </w:rPr>
        <w:footnoteReference w:id="5"/>
      </w:r>
      <w:r w:rsidRPr="00B3283F">
        <w:rPr>
          <w:rFonts w:ascii="Cambria" w:hAnsi="Cambria"/>
          <w:iCs/>
          <w:sz w:val="20"/>
          <w:szCs w:val="20"/>
          <w:lang w:val="es-BO"/>
        </w:rPr>
        <w:t xml:space="preserve">. En el presente caso, </w:t>
      </w:r>
      <w:r w:rsidR="00202689">
        <w:rPr>
          <w:rFonts w:ascii="Cambria" w:hAnsi="Cambria"/>
          <w:iCs/>
          <w:sz w:val="20"/>
          <w:szCs w:val="20"/>
          <w:lang w:val="es-ES_tradnl"/>
        </w:rPr>
        <w:t>la Comisión considera que los actos normativos impugnado</w:t>
      </w:r>
      <w:r w:rsidR="00202689" w:rsidRPr="0085012B">
        <w:rPr>
          <w:rFonts w:ascii="Cambria" w:hAnsi="Cambria"/>
          <w:iCs/>
          <w:sz w:val="20"/>
          <w:szCs w:val="20"/>
          <w:lang w:val="es-ES_tradnl"/>
        </w:rPr>
        <w:t>s constitucionalmente en el presente caso tienen un efecto directo en los derechos de las presuntas víctimas</w:t>
      </w:r>
      <w:r w:rsidR="007B552C">
        <w:rPr>
          <w:rFonts w:ascii="Cambria" w:hAnsi="Cambria"/>
          <w:iCs/>
          <w:sz w:val="20"/>
          <w:szCs w:val="20"/>
          <w:lang w:val="es-ES_tradnl"/>
        </w:rPr>
        <w:t xml:space="preserve"> por lo cual </w:t>
      </w:r>
      <w:r w:rsidR="00836C96" w:rsidRPr="00B3283F">
        <w:rPr>
          <w:rFonts w:ascii="Cambria" w:hAnsi="Cambria"/>
          <w:iCs/>
          <w:sz w:val="20"/>
          <w:szCs w:val="20"/>
          <w:lang w:val="es-BO"/>
        </w:rPr>
        <w:t>est</w:t>
      </w:r>
      <w:r w:rsidR="00EE3FB9" w:rsidRPr="00B3283F">
        <w:rPr>
          <w:rFonts w:ascii="Cambria" w:hAnsi="Cambria"/>
          <w:iCs/>
          <w:sz w:val="20"/>
          <w:szCs w:val="20"/>
          <w:lang w:val="es-BO"/>
        </w:rPr>
        <w:t>a</w:t>
      </w:r>
      <w:r w:rsidR="00836C96" w:rsidRPr="00B3283F">
        <w:rPr>
          <w:rFonts w:ascii="Cambria" w:hAnsi="Cambria"/>
          <w:iCs/>
          <w:sz w:val="20"/>
          <w:szCs w:val="20"/>
          <w:lang w:val="es-BO"/>
        </w:rPr>
        <w:t>s</w:t>
      </w:r>
      <w:r w:rsidR="00B02D7B" w:rsidRPr="00B3283F">
        <w:rPr>
          <w:rFonts w:ascii="Cambria" w:hAnsi="Cambria"/>
          <w:iCs/>
          <w:sz w:val="20"/>
          <w:szCs w:val="20"/>
          <w:lang w:val="es-BO"/>
        </w:rPr>
        <w:t xml:space="preserve"> </w:t>
      </w:r>
      <w:r w:rsidR="00EE3FB9" w:rsidRPr="00B3283F">
        <w:rPr>
          <w:rFonts w:ascii="Cambria" w:hAnsi="Cambria"/>
          <w:iCs/>
          <w:sz w:val="20"/>
          <w:szCs w:val="20"/>
          <w:lang w:val="es-BO"/>
        </w:rPr>
        <w:t>acciones públicas</w:t>
      </w:r>
      <w:r w:rsidR="00836C96" w:rsidRPr="00B3283F">
        <w:rPr>
          <w:rFonts w:ascii="Cambria" w:hAnsi="Cambria"/>
          <w:iCs/>
          <w:sz w:val="20"/>
          <w:szCs w:val="20"/>
          <w:lang w:val="es-BO"/>
        </w:rPr>
        <w:t xml:space="preserve"> </w:t>
      </w:r>
      <w:r w:rsidR="00B02D7B" w:rsidRPr="00B3283F">
        <w:rPr>
          <w:rFonts w:ascii="Cambria" w:hAnsi="Cambria"/>
          <w:iCs/>
          <w:sz w:val="20"/>
          <w:szCs w:val="20"/>
          <w:lang w:val="es-BO"/>
        </w:rPr>
        <w:t>constituyen recurso</w:t>
      </w:r>
      <w:r w:rsidR="00EE3FB9" w:rsidRPr="00B3283F">
        <w:rPr>
          <w:rFonts w:ascii="Cambria" w:hAnsi="Cambria"/>
          <w:iCs/>
          <w:sz w:val="20"/>
          <w:szCs w:val="20"/>
          <w:lang w:val="es-BO"/>
        </w:rPr>
        <w:t>s</w:t>
      </w:r>
      <w:r w:rsidR="00B02D7B" w:rsidRPr="00B3283F">
        <w:rPr>
          <w:rFonts w:ascii="Cambria" w:hAnsi="Cambria"/>
          <w:iCs/>
          <w:sz w:val="20"/>
          <w:szCs w:val="20"/>
          <w:lang w:val="es-BO"/>
        </w:rPr>
        <w:t xml:space="preserve"> idóneo</w:t>
      </w:r>
      <w:r w:rsidR="00EE3FB9" w:rsidRPr="00B3283F">
        <w:rPr>
          <w:rFonts w:ascii="Cambria" w:hAnsi="Cambria"/>
          <w:iCs/>
          <w:sz w:val="20"/>
          <w:szCs w:val="20"/>
          <w:lang w:val="es-BO"/>
        </w:rPr>
        <w:t>s</w:t>
      </w:r>
      <w:r w:rsidR="00B02D7B" w:rsidRPr="00B3283F">
        <w:rPr>
          <w:rFonts w:ascii="Cambria" w:hAnsi="Cambria"/>
          <w:iCs/>
          <w:sz w:val="20"/>
          <w:szCs w:val="20"/>
          <w:lang w:val="es-BO"/>
        </w:rPr>
        <w:t xml:space="preserve"> para proteger la situación jurídica</w:t>
      </w:r>
      <w:r w:rsidR="00B02D7B" w:rsidRPr="00B3283F">
        <w:rPr>
          <w:rFonts w:ascii="Cambria" w:hAnsi="Cambria"/>
          <w:iCs/>
          <w:sz w:val="20"/>
          <w:szCs w:val="20"/>
          <w:lang w:val="es-AR"/>
        </w:rPr>
        <w:t xml:space="preserve"> infringida de la</w:t>
      </w:r>
      <w:r w:rsidR="007B552C">
        <w:rPr>
          <w:rFonts w:ascii="Cambria" w:hAnsi="Cambria"/>
          <w:iCs/>
          <w:sz w:val="20"/>
          <w:szCs w:val="20"/>
          <w:lang w:val="es-AR"/>
        </w:rPr>
        <w:t>s</w:t>
      </w:r>
      <w:r w:rsidR="00B02D7B" w:rsidRPr="00B3283F">
        <w:rPr>
          <w:rFonts w:ascii="Cambria" w:hAnsi="Cambria"/>
          <w:iCs/>
          <w:sz w:val="20"/>
          <w:szCs w:val="20"/>
          <w:lang w:val="es-AR"/>
        </w:rPr>
        <w:t xml:space="preserve"> presunta</w:t>
      </w:r>
      <w:r w:rsidR="007B552C">
        <w:rPr>
          <w:rFonts w:ascii="Cambria" w:hAnsi="Cambria"/>
          <w:iCs/>
          <w:sz w:val="20"/>
          <w:szCs w:val="20"/>
          <w:lang w:val="es-AR"/>
        </w:rPr>
        <w:t>s</w:t>
      </w:r>
      <w:r w:rsidR="00B02D7B" w:rsidRPr="00B3283F">
        <w:rPr>
          <w:rFonts w:ascii="Cambria" w:hAnsi="Cambria"/>
          <w:iCs/>
          <w:sz w:val="20"/>
          <w:szCs w:val="20"/>
          <w:lang w:val="es-AR"/>
        </w:rPr>
        <w:t xml:space="preserve"> víctima</w:t>
      </w:r>
      <w:r w:rsidR="007B552C">
        <w:rPr>
          <w:rFonts w:ascii="Cambria" w:hAnsi="Cambria"/>
          <w:iCs/>
          <w:sz w:val="20"/>
          <w:szCs w:val="20"/>
          <w:lang w:val="es-AR"/>
        </w:rPr>
        <w:t>s</w:t>
      </w:r>
      <w:r w:rsidR="00836C96" w:rsidRPr="00B3283F">
        <w:rPr>
          <w:rStyle w:val="FootnoteReference"/>
          <w:rFonts w:ascii="Cambria" w:hAnsi="Cambria"/>
          <w:iCs/>
          <w:sz w:val="20"/>
          <w:szCs w:val="20"/>
          <w:lang w:val="es-AR"/>
        </w:rPr>
        <w:footnoteReference w:id="6"/>
      </w:r>
      <w:r w:rsidR="007B552C">
        <w:rPr>
          <w:rFonts w:ascii="Cambria" w:hAnsi="Cambria"/>
          <w:iCs/>
          <w:sz w:val="20"/>
          <w:szCs w:val="20"/>
          <w:lang w:val="es-AR"/>
        </w:rPr>
        <w:t xml:space="preserve">. </w:t>
      </w:r>
      <w:r w:rsidR="0085012B" w:rsidRPr="007B552C">
        <w:rPr>
          <w:rFonts w:ascii="Cambria" w:hAnsi="Cambria"/>
          <w:iCs/>
          <w:sz w:val="20"/>
          <w:szCs w:val="20"/>
          <w:lang w:val="es-ES_tradnl"/>
        </w:rPr>
        <w:t xml:space="preserve">Dado que en el presente caso hay una decisión definitiva de la más alta instancia judicial de </w:t>
      </w:r>
      <w:r w:rsidR="007B552C">
        <w:rPr>
          <w:rFonts w:ascii="Cambria" w:hAnsi="Cambria"/>
          <w:iCs/>
          <w:sz w:val="20"/>
          <w:szCs w:val="20"/>
          <w:lang w:val="es-ES_tradnl"/>
        </w:rPr>
        <w:t>Colombia en materia constitucional</w:t>
      </w:r>
      <w:r w:rsidR="0085012B" w:rsidRPr="007B552C">
        <w:rPr>
          <w:rFonts w:ascii="Cambria" w:hAnsi="Cambria"/>
          <w:iCs/>
          <w:sz w:val="20"/>
          <w:szCs w:val="20"/>
          <w:lang w:val="es-ES_tradnl"/>
        </w:rPr>
        <w:t>, la Comisión considera que se han agotado los recursos internos en los términos del artículo 46.1.a de la Convención Americana</w:t>
      </w:r>
      <w:r w:rsidR="0085012B" w:rsidRPr="0085012B">
        <w:rPr>
          <w:rFonts w:ascii="Cambria" w:hAnsi="Cambria"/>
          <w:iCs/>
          <w:sz w:val="20"/>
          <w:szCs w:val="20"/>
          <w:vertAlign w:val="superscript"/>
          <w:lang w:val="en-US"/>
        </w:rPr>
        <w:footnoteReference w:id="7"/>
      </w:r>
      <w:r w:rsidR="0085012B" w:rsidRPr="007B552C">
        <w:rPr>
          <w:rFonts w:ascii="Cambria" w:hAnsi="Cambria"/>
          <w:iCs/>
          <w:sz w:val="20"/>
          <w:szCs w:val="20"/>
          <w:lang w:val="es-ES_tradnl"/>
        </w:rPr>
        <w:t>.</w:t>
      </w:r>
      <w:r w:rsidR="0085012B" w:rsidRPr="007B552C">
        <w:rPr>
          <w:rFonts w:ascii="Cambria" w:hAnsi="Cambria"/>
          <w:iCs/>
          <w:sz w:val="20"/>
          <w:szCs w:val="20"/>
          <w:lang w:val="es-ES"/>
        </w:rPr>
        <w:t xml:space="preserve"> </w:t>
      </w:r>
      <w:r w:rsidR="007B552C" w:rsidRPr="007B552C">
        <w:rPr>
          <w:rFonts w:ascii="Cambria" w:hAnsi="Cambria"/>
          <w:iCs/>
          <w:sz w:val="20"/>
          <w:szCs w:val="20"/>
          <w:lang w:val="es-ES"/>
        </w:rPr>
        <w:t xml:space="preserve">Con respecto al plazo de presentación, la Comisión observa que la decisión fue emitida el </w:t>
      </w:r>
      <w:r w:rsidR="00F7261C">
        <w:rPr>
          <w:rFonts w:ascii="Cambria" w:hAnsi="Cambria"/>
          <w:iCs/>
          <w:sz w:val="20"/>
          <w:szCs w:val="20"/>
          <w:lang w:val="es-ES"/>
        </w:rPr>
        <w:t xml:space="preserve">13 de febrero de 2013 </w:t>
      </w:r>
      <w:r w:rsidR="007B552C" w:rsidRPr="007B552C">
        <w:rPr>
          <w:rFonts w:ascii="Cambria" w:hAnsi="Cambria"/>
          <w:iCs/>
          <w:sz w:val="20"/>
          <w:szCs w:val="20"/>
          <w:lang w:val="es-ES"/>
        </w:rPr>
        <w:t xml:space="preserve">y la petición fue recibida el </w:t>
      </w:r>
      <w:r w:rsidR="00F7261C">
        <w:rPr>
          <w:rFonts w:ascii="Cambria" w:hAnsi="Cambria"/>
          <w:iCs/>
          <w:sz w:val="20"/>
          <w:szCs w:val="20"/>
          <w:lang w:val="es-ES"/>
        </w:rPr>
        <w:t>25 de enero de 2012</w:t>
      </w:r>
      <w:r w:rsidR="007B552C" w:rsidRPr="007B552C">
        <w:rPr>
          <w:rFonts w:ascii="Cambria" w:hAnsi="Cambria"/>
          <w:iCs/>
          <w:sz w:val="20"/>
          <w:szCs w:val="20"/>
          <w:lang w:val="es-ES"/>
        </w:rPr>
        <w:t>. En consecuencia, la petición cumple con el requisito previsto en el artículo 46.1.b de la Convención.</w:t>
      </w:r>
    </w:p>
    <w:p w14:paraId="2490A017" w14:textId="77777777" w:rsidR="001C5E53" w:rsidRPr="00B3283F" w:rsidRDefault="001C5E53" w:rsidP="00F7261C">
      <w:pPr>
        <w:suppressAutoHyphens/>
        <w:jc w:val="both"/>
        <w:rPr>
          <w:rFonts w:ascii="Cambria" w:hAnsi="Cambria"/>
          <w:sz w:val="20"/>
          <w:szCs w:val="20"/>
          <w:lang w:val="es-ES"/>
        </w:rPr>
      </w:pPr>
    </w:p>
    <w:p w14:paraId="69B17470" w14:textId="77777777" w:rsidR="00F04591" w:rsidRDefault="00F04591" w:rsidP="00B3283F">
      <w:pPr>
        <w:pStyle w:val="ListParagraph"/>
        <w:jc w:val="both"/>
        <w:rPr>
          <w:b/>
          <w:bCs/>
          <w:sz w:val="20"/>
          <w:szCs w:val="20"/>
          <w:lang w:val="es-AR"/>
        </w:rPr>
      </w:pPr>
      <w:r w:rsidRPr="00B3283F">
        <w:rPr>
          <w:b/>
          <w:bCs/>
          <w:sz w:val="20"/>
          <w:szCs w:val="20"/>
          <w:lang w:val="es-AR"/>
        </w:rPr>
        <w:t>V</w:t>
      </w:r>
      <w:r w:rsidR="000E2789" w:rsidRPr="00B3283F">
        <w:rPr>
          <w:b/>
          <w:bCs/>
          <w:sz w:val="20"/>
          <w:szCs w:val="20"/>
          <w:lang w:val="es-AR"/>
        </w:rPr>
        <w:t>I</w:t>
      </w:r>
      <w:r w:rsidRPr="00B3283F">
        <w:rPr>
          <w:b/>
          <w:bCs/>
          <w:sz w:val="20"/>
          <w:szCs w:val="20"/>
          <w:lang w:val="es-AR"/>
        </w:rPr>
        <w:t xml:space="preserve">I. </w:t>
      </w:r>
      <w:r w:rsidRPr="00B3283F">
        <w:rPr>
          <w:b/>
          <w:bCs/>
          <w:sz w:val="20"/>
          <w:szCs w:val="20"/>
          <w:lang w:val="es-AR"/>
        </w:rPr>
        <w:tab/>
        <w:t>CARACTERIZACIÓN</w:t>
      </w:r>
    </w:p>
    <w:p w14:paraId="5B5A47DA" w14:textId="77777777" w:rsidR="001C5E53" w:rsidRPr="001C5E53" w:rsidRDefault="001C5E53" w:rsidP="00871743">
      <w:pPr>
        <w:ind w:firstLine="720"/>
        <w:jc w:val="both"/>
        <w:rPr>
          <w:b/>
          <w:bCs/>
          <w:sz w:val="20"/>
          <w:szCs w:val="20"/>
          <w:lang w:val="es-AR"/>
        </w:rPr>
      </w:pPr>
    </w:p>
    <w:p w14:paraId="57CCDA02" w14:textId="616636CE" w:rsidR="00010407" w:rsidRPr="00202689" w:rsidRDefault="0085012B" w:rsidP="00871743">
      <w:pPr>
        <w:pStyle w:val="ListParagraph"/>
        <w:numPr>
          <w:ilvl w:val="0"/>
          <w:numId w:val="61"/>
        </w:numPr>
        <w:tabs>
          <w:tab w:val="clear" w:pos="720"/>
        </w:tabs>
        <w:jc w:val="both"/>
        <w:rPr>
          <w:rFonts w:eastAsia="Arial Unicode MS" w:cs="Times New Roman"/>
          <w:color w:val="auto"/>
          <w:sz w:val="20"/>
          <w:szCs w:val="20"/>
          <w:lang w:val="es-ES" w:eastAsia="en-US"/>
        </w:rPr>
      </w:pPr>
      <w:r>
        <w:rPr>
          <w:rFonts w:eastAsia="Arial Unicode MS" w:cs="Times New Roman"/>
          <w:color w:val="auto"/>
          <w:sz w:val="20"/>
          <w:szCs w:val="20"/>
          <w:lang w:val="es-AR" w:eastAsia="en-US"/>
        </w:rPr>
        <w:t>L</w:t>
      </w:r>
      <w:r w:rsidR="003A5F3E" w:rsidRPr="00B3283F">
        <w:rPr>
          <w:rFonts w:eastAsia="Arial Unicode MS" w:cs="Times New Roman"/>
          <w:color w:val="auto"/>
          <w:sz w:val="20"/>
          <w:szCs w:val="20"/>
          <w:lang w:val="es-AR" w:eastAsia="en-US"/>
        </w:rPr>
        <w:t xml:space="preserve">a </w:t>
      </w:r>
      <w:r>
        <w:rPr>
          <w:rFonts w:eastAsia="Arial Unicode MS" w:cs="Times New Roman"/>
          <w:color w:val="auto"/>
          <w:sz w:val="20"/>
          <w:szCs w:val="20"/>
          <w:lang w:val="es-AR" w:eastAsia="en-US"/>
        </w:rPr>
        <w:t xml:space="preserve">Comisión observa que </w:t>
      </w:r>
      <w:r w:rsidRPr="0085012B">
        <w:rPr>
          <w:rFonts w:eastAsia="Arial Unicode MS" w:cs="Times New Roman"/>
          <w:color w:val="auto"/>
          <w:sz w:val="20"/>
          <w:szCs w:val="20"/>
          <w:lang w:val="es-ES" w:eastAsia="en-US"/>
        </w:rPr>
        <w:t xml:space="preserve">según reiterados pronunciamientos de los órganos del sistema interamericano, el derecho a la consulta </w:t>
      </w:r>
      <w:r w:rsidR="00C70A13" w:rsidRPr="00B3283F">
        <w:rPr>
          <w:rFonts w:eastAsia="Arial Unicode MS" w:cs="Times New Roman"/>
          <w:color w:val="auto"/>
          <w:sz w:val="20"/>
          <w:szCs w:val="20"/>
          <w:lang w:val="es-AR" w:eastAsia="en-US"/>
        </w:rPr>
        <w:t>es uno de los elementos centrales para la protección de los derechos de propiedad de los indígenas</w:t>
      </w:r>
      <w:r w:rsidR="00C70A13" w:rsidRPr="00B3283F">
        <w:rPr>
          <w:rStyle w:val="FootnoteReference"/>
          <w:rFonts w:eastAsia="Arial Unicode MS" w:cs="Times New Roman"/>
          <w:color w:val="auto"/>
          <w:sz w:val="20"/>
          <w:szCs w:val="20"/>
          <w:lang w:val="es-AR" w:eastAsia="en-US"/>
        </w:rPr>
        <w:footnoteReference w:id="8"/>
      </w:r>
      <w:r w:rsidR="00C70A13">
        <w:rPr>
          <w:rFonts w:eastAsia="Arial Unicode MS" w:cs="Times New Roman"/>
          <w:color w:val="auto"/>
          <w:sz w:val="20"/>
          <w:szCs w:val="20"/>
          <w:lang w:val="es-AR" w:eastAsia="en-US"/>
        </w:rPr>
        <w:t xml:space="preserve"> y </w:t>
      </w:r>
      <w:r w:rsidRPr="0085012B">
        <w:rPr>
          <w:rFonts w:eastAsia="Arial Unicode MS" w:cs="Times New Roman"/>
          <w:color w:val="auto"/>
          <w:sz w:val="20"/>
          <w:szCs w:val="20"/>
          <w:lang w:val="es-ES" w:eastAsia="en-US"/>
        </w:rPr>
        <w:t xml:space="preserve">comprende el deber positivo de los Estados de disponer mecanismos idóneos y eficaces a fin de obtener el consentimiento previo, libre e informado de acuerdo a las costumbres y tradiciones de los pueblos indígenas, antes de emprender actividades que impacten sus intereses o puedan afectar sus derechos sobre </w:t>
      </w:r>
      <w:r w:rsidRPr="00C70A13">
        <w:rPr>
          <w:rFonts w:eastAsia="Arial Unicode MS" w:cs="Times New Roman"/>
          <w:color w:val="auto"/>
          <w:sz w:val="20"/>
          <w:szCs w:val="20"/>
          <w:lang w:val="es-ES" w:eastAsia="en-US"/>
        </w:rPr>
        <w:t>sus tierras, territorio o recursos naturales</w:t>
      </w:r>
      <w:r w:rsidRPr="00C70A13">
        <w:rPr>
          <w:rFonts w:eastAsia="Arial Unicode MS" w:cs="Times New Roman"/>
          <w:color w:val="auto"/>
          <w:sz w:val="20"/>
          <w:szCs w:val="20"/>
          <w:vertAlign w:val="superscript"/>
          <w:lang w:val="es-ES" w:eastAsia="en-US"/>
        </w:rPr>
        <w:footnoteReference w:id="9"/>
      </w:r>
      <w:r w:rsidR="00C70A13">
        <w:rPr>
          <w:rFonts w:eastAsia="Arial Unicode MS" w:cs="Times New Roman"/>
          <w:color w:val="auto"/>
          <w:sz w:val="20"/>
          <w:szCs w:val="20"/>
          <w:lang w:val="es-ES" w:eastAsia="en-US"/>
        </w:rPr>
        <w:t>.</w:t>
      </w:r>
      <w:r w:rsidRPr="00C70A13">
        <w:rPr>
          <w:rFonts w:eastAsia="Arial Unicode MS" w:cs="Times New Roman"/>
          <w:color w:val="auto"/>
          <w:sz w:val="20"/>
          <w:szCs w:val="20"/>
          <w:lang w:val="es-ES" w:eastAsia="en-US"/>
        </w:rPr>
        <w:t xml:space="preserve"> </w:t>
      </w:r>
      <w:r w:rsidR="003A5F3E" w:rsidRPr="00C70A13">
        <w:rPr>
          <w:rFonts w:eastAsia="Arial Unicode MS" w:cs="Times New Roman"/>
          <w:color w:val="auto"/>
          <w:sz w:val="20"/>
          <w:szCs w:val="20"/>
          <w:lang w:val="es-AR" w:eastAsia="en-US"/>
        </w:rPr>
        <w:t xml:space="preserve">Además, la Corte interamericana ha establecido que </w:t>
      </w:r>
      <w:r w:rsidR="003A5F3E" w:rsidRPr="00C70A13">
        <w:rPr>
          <w:iCs/>
          <w:sz w:val="20"/>
          <w:szCs w:val="20"/>
          <w:lang w:val="es-AR"/>
        </w:rPr>
        <w:t>“</w:t>
      </w:r>
      <w:r w:rsidR="003A5F3E" w:rsidRPr="00C70A13">
        <w:rPr>
          <w:rFonts w:eastAsia="Arial Unicode MS" w:cs="Times New Roman"/>
          <w:color w:val="auto"/>
          <w:sz w:val="20"/>
          <w:szCs w:val="20"/>
          <w:lang w:val="es-AR" w:eastAsia="en-US"/>
        </w:rPr>
        <w:t>asuntos relacionados al proceso de consulta, así como aquellos relacionados a los beneficiarios de la ‘</w:t>
      </w:r>
      <w:r w:rsidR="003A5F3E" w:rsidRPr="00202689">
        <w:rPr>
          <w:rFonts w:eastAsia="Arial Unicode MS" w:cs="Times New Roman"/>
          <w:color w:val="auto"/>
          <w:sz w:val="20"/>
          <w:szCs w:val="20"/>
          <w:lang w:val="es-AR" w:eastAsia="en-US"/>
        </w:rPr>
        <w:t>justa indemnización’ que se debe compartir, deberán ser determinados y resueltos por el pueblo de conformidad con sus costumbres y normas tradicionales”</w:t>
      </w:r>
      <w:r w:rsidR="003A5F3E" w:rsidRPr="00202689">
        <w:rPr>
          <w:sz w:val="20"/>
          <w:szCs w:val="20"/>
          <w:vertAlign w:val="superscript"/>
        </w:rPr>
        <w:footnoteReference w:id="10"/>
      </w:r>
      <w:r w:rsidR="003A5F3E" w:rsidRPr="00202689">
        <w:rPr>
          <w:rFonts w:eastAsia="Arial Unicode MS" w:cs="Times New Roman"/>
          <w:color w:val="auto"/>
          <w:sz w:val="20"/>
          <w:szCs w:val="20"/>
          <w:lang w:val="es-AR" w:eastAsia="en-US"/>
        </w:rPr>
        <w:t xml:space="preserve">. </w:t>
      </w:r>
    </w:p>
    <w:p w14:paraId="6F3A2E37" w14:textId="77777777" w:rsidR="001C5E53" w:rsidRPr="00202689" w:rsidRDefault="001C5E53" w:rsidP="00871743">
      <w:pPr>
        <w:pStyle w:val="ListParagraph"/>
        <w:ind w:left="0" w:firstLine="720"/>
        <w:jc w:val="both"/>
        <w:rPr>
          <w:sz w:val="20"/>
          <w:szCs w:val="20"/>
          <w:lang w:val="es-ES"/>
        </w:rPr>
      </w:pPr>
    </w:p>
    <w:p w14:paraId="356AA371" w14:textId="22115435" w:rsidR="00F52466" w:rsidRPr="00BD1C2D" w:rsidRDefault="0056618E" w:rsidP="00871743">
      <w:pPr>
        <w:numPr>
          <w:ilvl w:val="0"/>
          <w:numId w:val="61"/>
        </w:numPr>
        <w:tabs>
          <w:tab w:val="clear" w:pos="720"/>
        </w:tabs>
        <w:suppressAutoHyphens/>
        <w:jc w:val="both"/>
        <w:rPr>
          <w:rFonts w:ascii="Cambria" w:hAnsi="Cambria"/>
          <w:sz w:val="20"/>
          <w:szCs w:val="20"/>
          <w:lang w:val="es-ES"/>
        </w:rPr>
      </w:pPr>
      <w:r w:rsidRPr="005A6E09">
        <w:rPr>
          <w:rFonts w:ascii="Cambria" w:hAnsi="Cambria"/>
          <w:sz w:val="20"/>
          <w:szCs w:val="20"/>
          <w:lang w:val="es-ES"/>
        </w:rPr>
        <w:lastRenderedPageBreak/>
        <w:t>La Comisión observa que la presente petición in</w:t>
      </w:r>
      <w:r>
        <w:rPr>
          <w:rFonts w:ascii="Cambria" w:hAnsi="Cambria"/>
          <w:sz w:val="20"/>
          <w:szCs w:val="20"/>
          <w:lang w:val="es-ES"/>
        </w:rPr>
        <w:t xml:space="preserve">cluye alegaciones con respecto </w:t>
      </w:r>
      <w:r w:rsidR="00434666" w:rsidRPr="00202689">
        <w:rPr>
          <w:rFonts w:ascii="Cambria" w:eastAsia="Arial Unicode MS" w:hAnsi="Cambria"/>
          <w:sz w:val="20"/>
          <w:szCs w:val="20"/>
          <w:lang w:val="es-AR" w:eastAsia="en-US"/>
        </w:rPr>
        <w:t xml:space="preserve">a </w:t>
      </w:r>
      <w:r w:rsidR="00434666">
        <w:rPr>
          <w:rFonts w:ascii="Cambria" w:eastAsia="Arial Unicode MS" w:hAnsi="Cambria"/>
          <w:sz w:val="20"/>
          <w:szCs w:val="20"/>
          <w:lang w:val="es-AR" w:eastAsia="en-US"/>
        </w:rPr>
        <w:t xml:space="preserve">la adopción sin consulta previa, libre e informada </w:t>
      </w:r>
      <w:r w:rsidR="00434666" w:rsidRPr="00202689">
        <w:rPr>
          <w:rFonts w:ascii="Cambria" w:eastAsia="Arial Unicode MS" w:hAnsi="Cambria"/>
          <w:sz w:val="20"/>
          <w:szCs w:val="20"/>
          <w:lang w:val="es-AR" w:eastAsia="en-US"/>
        </w:rPr>
        <w:t xml:space="preserve">al Pueblo Wayúu sobre el cambio del régimen de regalías que </w:t>
      </w:r>
      <w:r w:rsidR="00434666">
        <w:rPr>
          <w:rFonts w:ascii="Cambria" w:eastAsia="Arial Unicode MS" w:hAnsi="Cambria"/>
          <w:sz w:val="20"/>
          <w:szCs w:val="20"/>
          <w:lang w:val="es-AR" w:eastAsia="en-US"/>
        </w:rPr>
        <w:t>habría tenido un impacto en su territorio y desarrollo como pueblo, así como</w:t>
      </w:r>
      <w:r w:rsidR="00434666" w:rsidRPr="00202689">
        <w:rPr>
          <w:rFonts w:ascii="Cambria" w:eastAsia="Arial Unicode MS" w:hAnsi="Cambria"/>
          <w:sz w:val="20"/>
          <w:szCs w:val="20"/>
          <w:lang w:val="es-AR" w:eastAsia="en-US"/>
        </w:rPr>
        <w:t xml:space="preserve"> las supuestas irregularidades en el proceso judicial</w:t>
      </w:r>
      <w:r w:rsidRPr="0056618E">
        <w:rPr>
          <w:sz w:val="20"/>
          <w:szCs w:val="20"/>
          <w:lang w:val="es-ES_tradnl"/>
        </w:rPr>
        <w:t xml:space="preserve"> </w:t>
      </w:r>
      <w:r w:rsidRPr="0056618E">
        <w:rPr>
          <w:rFonts w:ascii="Cambria" w:eastAsia="Arial Unicode MS" w:hAnsi="Cambria"/>
          <w:sz w:val="20"/>
          <w:szCs w:val="20"/>
          <w:lang w:val="es-ES_tradnl" w:eastAsia="en-US"/>
        </w:rPr>
        <w:t>por las demandas de inconstitucionalidad de los actos legislativos de la reforma</w:t>
      </w:r>
      <w:r>
        <w:rPr>
          <w:rFonts w:ascii="Cambria" w:eastAsia="Arial Unicode MS" w:hAnsi="Cambria"/>
          <w:sz w:val="20"/>
          <w:szCs w:val="20"/>
          <w:lang w:val="es-AR" w:eastAsia="en-US"/>
        </w:rPr>
        <w:t xml:space="preserve">. </w:t>
      </w:r>
      <w:r w:rsidRPr="005A6E09">
        <w:rPr>
          <w:rFonts w:ascii="Cambria" w:hAnsi="Cambria"/>
          <w:sz w:val="20"/>
          <w:szCs w:val="20"/>
          <w:lang w:val="es-ES"/>
        </w:rPr>
        <w:t>En ate</w:t>
      </w:r>
      <w:r w:rsidR="00871743">
        <w:rPr>
          <w:rFonts w:ascii="Cambria" w:hAnsi="Cambria"/>
          <w:sz w:val="20"/>
          <w:szCs w:val="20"/>
          <w:lang w:val="es-ES"/>
        </w:rPr>
        <w:t>nción a estas consideraciones y</w:t>
      </w:r>
      <w:r w:rsidRPr="005A6E09">
        <w:rPr>
          <w:rFonts w:ascii="Cambria" w:hAnsi="Cambria"/>
          <w:sz w:val="20"/>
          <w:szCs w:val="20"/>
          <w:lang w:val="es-ES"/>
        </w:rPr>
        <w:t xml:space="preserve">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00F52466" w:rsidRPr="00202689">
        <w:rPr>
          <w:rFonts w:ascii="Cambria" w:eastAsia="Arial Unicode MS" w:hAnsi="Cambria"/>
          <w:sz w:val="20"/>
          <w:szCs w:val="20"/>
          <w:lang w:val="es-AR" w:eastAsia="en-US"/>
        </w:rPr>
        <w:t xml:space="preserve">8 (garantías judiciales), 21 (propiedad), </w:t>
      </w:r>
      <w:r w:rsidR="00A524C1">
        <w:rPr>
          <w:rFonts w:ascii="Cambria" w:eastAsia="Arial Unicode MS" w:hAnsi="Cambria"/>
          <w:sz w:val="20"/>
          <w:szCs w:val="20"/>
          <w:lang w:val="es-AR" w:eastAsia="en-US"/>
        </w:rPr>
        <w:t xml:space="preserve">23 (derechos políticos), </w:t>
      </w:r>
      <w:r w:rsidR="00C75163">
        <w:rPr>
          <w:rFonts w:ascii="Cambria" w:eastAsia="Arial Unicode MS" w:hAnsi="Cambria"/>
          <w:sz w:val="20"/>
          <w:szCs w:val="20"/>
          <w:lang w:val="es-AR" w:eastAsia="en-US"/>
        </w:rPr>
        <w:t>24 (igualdad ante la ley)</w:t>
      </w:r>
      <w:r w:rsidR="00F52466" w:rsidRPr="00202689">
        <w:rPr>
          <w:rFonts w:ascii="Cambria" w:eastAsia="Arial Unicode MS" w:hAnsi="Cambria"/>
          <w:sz w:val="20"/>
          <w:szCs w:val="20"/>
          <w:lang w:val="es-AR" w:eastAsia="en-US"/>
        </w:rPr>
        <w:t xml:space="preserve"> </w:t>
      </w:r>
      <w:r w:rsidR="00C75163">
        <w:rPr>
          <w:rFonts w:ascii="Cambria" w:eastAsia="Arial Unicode MS" w:hAnsi="Cambria"/>
          <w:sz w:val="20"/>
          <w:szCs w:val="20"/>
          <w:lang w:val="es-AR" w:eastAsia="en-US"/>
        </w:rPr>
        <w:t xml:space="preserve">y </w:t>
      </w:r>
      <w:r w:rsidR="00F52466" w:rsidRPr="00202689">
        <w:rPr>
          <w:rFonts w:ascii="Cambria" w:eastAsia="Arial Unicode MS" w:hAnsi="Cambria"/>
          <w:sz w:val="20"/>
          <w:szCs w:val="20"/>
          <w:lang w:val="es-AR" w:eastAsia="en-US"/>
        </w:rPr>
        <w:t>25 (protección judicial) de la Convención en relación con su</w:t>
      </w:r>
      <w:r w:rsidR="00FD017C" w:rsidRPr="00202689">
        <w:rPr>
          <w:rFonts w:ascii="Cambria" w:eastAsia="Arial Unicode MS" w:hAnsi="Cambria"/>
          <w:sz w:val="20"/>
          <w:szCs w:val="20"/>
          <w:lang w:val="es-AR" w:eastAsia="en-US"/>
        </w:rPr>
        <w:t xml:space="preserve">s </w:t>
      </w:r>
      <w:r w:rsidR="00F52466" w:rsidRPr="00202689">
        <w:rPr>
          <w:rFonts w:ascii="Cambria" w:eastAsia="Arial Unicode MS" w:hAnsi="Cambria"/>
          <w:sz w:val="20"/>
          <w:szCs w:val="20"/>
          <w:lang w:val="es-AR" w:eastAsia="en-US"/>
        </w:rPr>
        <w:t>artículo 1.1.</w:t>
      </w:r>
      <w:r w:rsidR="00FD017C" w:rsidRPr="00202689">
        <w:rPr>
          <w:rFonts w:ascii="Cambria" w:eastAsia="Arial Unicode MS" w:hAnsi="Cambria"/>
          <w:sz w:val="20"/>
          <w:szCs w:val="20"/>
          <w:lang w:val="es-AR" w:eastAsia="en-US"/>
        </w:rPr>
        <w:t xml:space="preserve"> y 2.</w:t>
      </w:r>
      <w:r w:rsidR="00202689" w:rsidRPr="00202689">
        <w:rPr>
          <w:rFonts w:ascii="Cambria" w:eastAsia="Arial Unicode MS" w:hAnsi="Cambria"/>
          <w:sz w:val="20"/>
          <w:szCs w:val="20"/>
          <w:lang w:val="es-AR" w:eastAsia="en-US"/>
        </w:rPr>
        <w:t xml:space="preserve"> </w:t>
      </w:r>
    </w:p>
    <w:p w14:paraId="391AFA0C" w14:textId="77777777" w:rsidR="00BD1C2D" w:rsidRDefault="00BD1C2D" w:rsidP="00BD1C2D">
      <w:pPr>
        <w:pStyle w:val="ListParagraph"/>
        <w:rPr>
          <w:sz w:val="20"/>
          <w:szCs w:val="20"/>
          <w:lang w:val="es-ES"/>
        </w:rPr>
      </w:pPr>
    </w:p>
    <w:p w14:paraId="0DD82BF4" w14:textId="3832B632" w:rsidR="00BD1C2D" w:rsidRPr="00202689" w:rsidRDefault="00BD1C2D" w:rsidP="00871743">
      <w:pPr>
        <w:numPr>
          <w:ilvl w:val="0"/>
          <w:numId w:val="61"/>
        </w:numPr>
        <w:tabs>
          <w:tab w:val="clear" w:pos="720"/>
        </w:tabs>
        <w:suppressAutoHyphens/>
        <w:jc w:val="both"/>
        <w:rPr>
          <w:rFonts w:ascii="Cambria" w:hAnsi="Cambria"/>
          <w:sz w:val="20"/>
          <w:szCs w:val="20"/>
          <w:lang w:val="es-ES"/>
        </w:rPr>
      </w:pPr>
      <w:r>
        <w:rPr>
          <w:rFonts w:ascii="Cambria" w:hAnsi="Cambria"/>
          <w:color w:val="000000"/>
          <w:sz w:val="20"/>
          <w:szCs w:val="20"/>
        </w:rPr>
        <w:t> Con respecto a los alegatos del Estado referidos a la llamada fórmula de “cuarta instancia”,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w:t>
      </w:r>
      <w:r w:rsidR="005D13DE">
        <w:rPr>
          <w:rFonts w:ascii="Cambria" w:hAnsi="Cambria"/>
          <w:color w:val="000000"/>
          <w:sz w:val="20"/>
          <w:szCs w:val="20"/>
        </w:rPr>
        <w:t xml:space="preserve">. </w:t>
      </w:r>
    </w:p>
    <w:p w14:paraId="2A1D6FDA" w14:textId="77777777" w:rsidR="007A3985" w:rsidRPr="00202689" w:rsidRDefault="007A3985" w:rsidP="001C5E53">
      <w:pPr>
        <w:jc w:val="both"/>
        <w:rPr>
          <w:rFonts w:ascii="Cambria" w:eastAsia="Arial Unicode MS" w:hAnsi="Cambria"/>
          <w:sz w:val="20"/>
          <w:szCs w:val="20"/>
          <w:lang w:val="es-AR" w:eastAsia="en-US"/>
        </w:rPr>
      </w:pPr>
    </w:p>
    <w:p w14:paraId="4658D7A9" w14:textId="77777777" w:rsidR="003239B8" w:rsidRDefault="00EC72AB" w:rsidP="00B3283F">
      <w:pPr>
        <w:suppressAutoHyphens/>
        <w:ind w:left="720"/>
        <w:jc w:val="both"/>
        <w:rPr>
          <w:rFonts w:ascii="Cambria" w:hAnsi="Cambria"/>
          <w:b/>
          <w:bCs/>
          <w:sz w:val="20"/>
          <w:szCs w:val="20"/>
          <w:lang w:val="es-AR"/>
        </w:rPr>
      </w:pPr>
      <w:r w:rsidRPr="00B3283F">
        <w:rPr>
          <w:rFonts w:ascii="Cambria" w:hAnsi="Cambria"/>
          <w:b/>
          <w:bCs/>
          <w:sz w:val="20"/>
          <w:szCs w:val="20"/>
          <w:lang w:val="es-AR"/>
        </w:rPr>
        <w:t>VI</w:t>
      </w:r>
      <w:r w:rsidR="00F04591" w:rsidRPr="00B3283F">
        <w:rPr>
          <w:rFonts w:ascii="Cambria" w:hAnsi="Cambria"/>
          <w:b/>
          <w:bCs/>
          <w:sz w:val="20"/>
          <w:szCs w:val="20"/>
          <w:lang w:val="es-AR"/>
        </w:rPr>
        <w:t>II</w:t>
      </w:r>
      <w:r w:rsidR="003239B8" w:rsidRPr="00B3283F">
        <w:rPr>
          <w:rFonts w:ascii="Cambria" w:hAnsi="Cambria"/>
          <w:b/>
          <w:bCs/>
          <w:sz w:val="20"/>
          <w:szCs w:val="20"/>
          <w:lang w:val="es-AR"/>
        </w:rPr>
        <w:t xml:space="preserve">. </w:t>
      </w:r>
      <w:r w:rsidR="003239B8" w:rsidRPr="00B3283F">
        <w:rPr>
          <w:rFonts w:ascii="Cambria" w:hAnsi="Cambria"/>
          <w:b/>
          <w:bCs/>
          <w:sz w:val="20"/>
          <w:szCs w:val="20"/>
          <w:lang w:val="es-AR"/>
        </w:rPr>
        <w:tab/>
        <w:t>DECISIÓN</w:t>
      </w:r>
    </w:p>
    <w:p w14:paraId="5A6F939E" w14:textId="77777777" w:rsidR="001C5E53" w:rsidRPr="00B3283F" w:rsidRDefault="001C5E53" w:rsidP="00B3283F">
      <w:pPr>
        <w:suppressAutoHyphens/>
        <w:ind w:left="720"/>
        <w:jc w:val="both"/>
        <w:rPr>
          <w:rFonts w:ascii="Cambria" w:hAnsi="Cambria"/>
          <w:b/>
          <w:bCs/>
          <w:sz w:val="20"/>
          <w:szCs w:val="20"/>
          <w:lang w:val="es-AR"/>
        </w:rPr>
      </w:pPr>
    </w:p>
    <w:p w14:paraId="59564396" w14:textId="75A3068C" w:rsidR="003239B8" w:rsidRDefault="003239B8" w:rsidP="00B3283F">
      <w:pPr>
        <w:numPr>
          <w:ilvl w:val="0"/>
          <w:numId w:val="56"/>
        </w:numPr>
        <w:suppressAutoHyphens/>
        <w:jc w:val="both"/>
        <w:rPr>
          <w:rFonts w:ascii="Cambria" w:hAnsi="Cambria"/>
          <w:sz w:val="20"/>
          <w:szCs w:val="20"/>
          <w:lang w:val="es-AR"/>
        </w:rPr>
      </w:pPr>
      <w:r w:rsidRPr="00B3283F">
        <w:rPr>
          <w:rFonts w:ascii="Cambria" w:hAnsi="Cambria"/>
          <w:sz w:val="20"/>
          <w:szCs w:val="20"/>
          <w:lang w:val="es-AR"/>
        </w:rPr>
        <w:t>Declarar admisible la presente petición en relación con</w:t>
      </w:r>
      <w:r w:rsidR="003A6337" w:rsidRPr="00B3283F">
        <w:rPr>
          <w:rFonts w:ascii="Cambria" w:hAnsi="Cambria"/>
          <w:sz w:val="20"/>
          <w:szCs w:val="20"/>
          <w:lang w:val="es-AR"/>
        </w:rPr>
        <w:t xml:space="preserve"> los </w:t>
      </w:r>
      <w:r w:rsidR="003A6337" w:rsidRPr="00B3283F">
        <w:rPr>
          <w:rFonts w:ascii="Cambria" w:hAnsi="Cambria"/>
          <w:bCs/>
          <w:sz w:val="20"/>
          <w:szCs w:val="20"/>
          <w:lang w:val="es-AR"/>
        </w:rPr>
        <w:t xml:space="preserve">artículos </w:t>
      </w:r>
      <w:r w:rsidR="00571A0E" w:rsidRPr="00B3283F">
        <w:rPr>
          <w:rFonts w:ascii="Cambria" w:hAnsi="Cambria"/>
          <w:bCs/>
          <w:sz w:val="20"/>
          <w:szCs w:val="20"/>
          <w:lang w:val="es-AR"/>
        </w:rPr>
        <w:t>8, 21</w:t>
      </w:r>
      <w:r w:rsidR="00165C99" w:rsidRPr="00B3283F">
        <w:rPr>
          <w:rFonts w:ascii="Cambria" w:hAnsi="Cambria"/>
          <w:bCs/>
          <w:sz w:val="20"/>
          <w:szCs w:val="20"/>
          <w:lang w:val="es-AR"/>
        </w:rPr>
        <w:t xml:space="preserve">, </w:t>
      </w:r>
      <w:r w:rsidR="00594DC5">
        <w:rPr>
          <w:rFonts w:ascii="Cambria" w:hAnsi="Cambria"/>
          <w:bCs/>
          <w:sz w:val="20"/>
          <w:szCs w:val="20"/>
          <w:lang w:val="es-AR"/>
        </w:rPr>
        <w:t xml:space="preserve">23, </w:t>
      </w:r>
      <w:r w:rsidR="00C75163">
        <w:rPr>
          <w:rFonts w:ascii="Cambria" w:hAnsi="Cambria"/>
          <w:bCs/>
          <w:sz w:val="20"/>
          <w:szCs w:val="20"/>
          <w:lang w:val="es-AR"/>
        </w:rPr>
        <w:t>24 y</w:t>
      </w:r>
      <w:r w:rsidR="00165C99" w:rsidRPr="00B3283F">
        <w:rPr>
          <w:rFonts w:ascii="Cambria" w:hAnsi="Cambria"/>
          <w:bCs/>
          <w:sz w:val="20"/>
          <w:szCs w:val="20"/>
          <w:lang w:val="es-AR"/>
        </w:rPr>
        <w:t xml:space="preserve"> </w:t>
      </w:r>
      <w:r w:rsidR="00571A0E" w:rsidRPr="00B3283F">
        <w:rPr>
          <w:rFonts w:ascii="Cambria" w:hAnsi="Cambria"/>
          <w:sz w:val="20"/>
          <w:szCs w:val="20"/>
          <w:lang w:val="es-AR"/>
        </w:rPr>
        <w:t>25</w:t>
      </w:r>
      <w:r w:rsidR="00165C99" w:rsidRPr="00B3283F">
        <w:rPr>
          <w:rFonts w:ascii="Cambria" w:hAnsi="Cambria"/>
          <w:sz w:val="20"/>
          <w:szCs w:val="20"/>
          <w:lang w:val="es-AR"/>
        </w:rPr>
        <w:t xml:space="preserve"> </w:t>
      </w:r>
      <w:r w:rsidR="00B840D6" w:rsidRPr="00B3283F">
        <w:rPr>
          <w:rFonts w:ascii="Cambria" w:hAnsi="Cambria"/>
          <w:sz w:val="20"/>
          <w:szCs w:val="20"/>
          <w:lang w:val="es-AR"/>
        </w:rPr>
        <w:t xml:space="preserve">de la Convención Americana, en relación con </w:t>
      </w:r>
      <w:r w:rsidR="00FD017C" w:rsidRPr="00B3283F">
        <w:rPr>
          <w:rFonts w:ascii="Cambria" w:hAnsi="Cambria"/>
          <w:sz w:val="20"/>
          <w:szCs w:val="20"/>
          <w:lang w:val="es-AR"/>
        </w:rPr>
        <w:t>sus</w:t>
      </w:r>
      <w:r w:rsidR="00B840D6" w:rsidRPr="00B3283F">
        <w:rPr>
          <w:rFonts w:ascii="Cambria" w:hAnsi="Cambria"/>
          <w:sz w:val="20"/>
          <w:szCs w:val="20"/>
          <w:lang w:val="es-AR"/>
        </w:rPr>
        <w:t xml:space="preserve"> artículo</w:t>
      </w:r>
      <w:r w:rsidR="00FD017C" w:rsidRPr="00B3283F">
        <w:rPr>
          <w:rFonts w:ascii="Cambria" w:hAnsi="Cambria"/>
          <w:sz w:val="20"/>
          <w:szCs w:val="20"/>
          <w:lang w:val="es-AR"/>
        </w:rPr>
        <w:t>s</w:t>
      </w:r>
      <w:r w:rsidR="00B840D6" w:rsidRPr="00B3283F">
        <w:rPr>
          <w:rFonts w:ascii="Cambria" w:hAnsi="Cambria"/>
          <w:sz w:val="20"/>
          <w:szCs w:val="20"/>
          <w:lang w:val="es-AR"/>
        </w:rPr>
        <w:t xml:space="preserve"> 1.1 </w:t>
      </w:r>
      <w:r w:rsidR="00FD017C" w:rsidRPr="00B3283F">
        <w:rPr>
          <w:rFonts w:ascii="Cambria" w:hAnsi="Cambria"/>
          <w:sz w:val="20"/>
          <w:szCs w:val="20"/>
          <w:lang w:val="es-AR"/>
        </w:rPr>
        <w:t>y 2</w:t>
      </w:r>
      <w:r w:rsidR="00B840D6" w:rsidRPr="00B3283F">
        <w:rPr>
          <w:rFonts w:ascii="Cambria" w:hAnsi="Cambria"/>
          <w:sz w:val="20"/>
          <w:szCs w:val="20"/>
          <w:lang w:val="es-AR"/>
        </w:rPr>
        <w:t>;</w:t>
      </w:r>
    </w:p>
    <w:p w14:paraId="057F0B8A" w14:textId="77777777" w:rsidR="001C5E53" w:rsidRPr="00B3283F" w:rsidRDefault="001C5E53" w:rsidP="001C5E53">
      <w:pPr>
        <w:suppressAutoHyphens/>
        <w:ind w:left="720"/>
        <w:jc w:val="both"/>
        <w:rPr>
          <w:rFonts w:ascii="Cambria" w:hAnsi="Cambria"/>
          <w:sz w:val="20"/>
          <w:szCs w:val="20"/>
          <w:lang w:val="es-AR"/>
        </w:rPr>
      </w:pPr>
    </w:p>
    <w:p w14:paraId="5D6BBF7C" w14:textId="3B74CCD5" w:rsidR="00787D1E" w:rsidRPr="00B20C03" w:rsidRDefault="004A6A54" w:rsidP="00B3283F">
      <w:pPr>
        <w:numPr>
          <w:ilvl w:val="0"/>
          <w:numId w:val="56"/>
        </w:numPr>
        <w:suppressAutoHyphens/>
        <w:jc w:val="both"/>
        <w:rPr>
          <w:rFonts w:ascii="Cambria" w:hAnsi="Cambria"/>
          <w:color w:val="FF0000"/>
          <w:sz w:val="20"/>
          <w:szCs w:val="20"/>
          <w:lang w:val="es-US"/>
        </w:rPr>
      </w:pPr>
      <w:r w:rsidRPr="00B3283F">
        <w:rPr>
          <w:rFonts w:ascii="Cambria" w:hAnsi="Cambria"/>
          <w:sz w:val="20"/>
          <w:szCs w:val="20"/>
          <w:lang w:val="es-AR"/>
        </w:rPr>
        <w:t xml:space="preserve">Notificar a las partes la presente decisión; </w:t>
      </w:r>
      <w:r w:rsidRPr="00B3283F">
        <w:rPr>
          <w:rFonts w:ascii="Cambria" w:hAnsi="Cambria"/>
          <w:color w:val="000000" w:themeColor="text1"/>
          <w:sz w:val="20"/>
          <w:szCs w:val="20"/>
          <w:lang w:val="es-AR"/>
        </w:rPr>
        <w:t>continuar con el análisis del fondo de la cuestión; y publicar esta decisión e incluirla en su Informe Anual a la Asamblea General de la Organización de los Estados Americanos.</w:t>
      </w:r>
    </w:p>
    <w:p w14:paraId="6BF0CF18" w14:textId="77777777" w:rsidR="00B20C03" w:rsidRDefault="00B20C03" w:rsidP="00B20C03">
      <w:pPr>
        <w:pStyle w:val="ListParagraph"/>
        <w:rPr>
          <w:color w:val="FF0000"/>
          <w:sz w:val="20"/>
          <w:szCs w:val="20"/>
          <w:lang w:val="es-US"/>
        </w:rPr>
      </w:pPr>
    </w:p>
    <w:p w14:paraId="228B3E99" w14:textId="3F2A6ABE" w:rsidR="00B20C03" w:rsidRPr="00A37B82" w:rsidRDefault="00B20C03" w:rsidP="00B20C03">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4</w:t>
      </w:r>
      <w:r w:rsidRPr="00A37B82">
        <w:rPr>
          <w:rFonts w:asciiTheme="majorHAnsi" w:hAnsiTheme="majorHAnsi" w:cs="Arial"/>
          <w:noProof/>
          <w:spacing w:val="-2"/>
          <w:sz w:val="20"/>
          <w:szCs w:val="20"/>
          <w:lang w:val="es-CL"/>
        </w:rPr>
        <w:t xml:space="preserve"> días del mes de </w:t>
      </w:r>
      <w:r w:rsidR="00B570A3">
        <w:rPr>
          <w:rFonts w:asciiTheme="majorHAnsi" w:hAnsiTheme="majorHAnsi" w:cs="Arial"/>
          <w:noProof/>
          <w:spacing w:val="-2"/>
          <w:sz w:val="20"/>
          <w:szCs w:val="20"/>
          <w:lang w:val="es-CL"/>
        </w:rPr>
        <w:t>agosto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2ED47E0" w14:textId="77777777" w:rsidR="00B20C03" w:rsidRPr="00A37B82" w:rsidRDefault="00B20C03" w:rsidP="00B20C03">
      <w:pPr>
        <w:suppressAutoHyphens/>
        <w:ind w:firstLine="720"/>
        <w:jc w:val="both"/>
        <w:rPr>
          <w:rFonts w:asciiTheme="majorHAnsi" w:hAnsiTheme="majorHAnsi" w:cs="Arial"/>
          <w:noProof/>
          <w:spacing w:val="-2"/>
          <w:sz w:val="20"/>
          <w:szCs w:val="20"/>
          <w:lang w:val="es-CL"/>
        </w:rPr>
      </w:pPr>
    </w:p>
    <w:sectPr w:rsidR="00B20C03"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67113" w14:textId="77777777" w:rsidR="007B07AD" w:rsidRDefault="007B07AD">
      <w:r>
        <w:separator/>
      </w:r>
    </w:p>
  </w:endnote>
  <w:endnote w:type="continuationSeparator" w:id="0">
    <w:p w14:paraId="78DF346B" w14:textId="77777777" w:rsidR="007B07AD" w:rsidRDefault="007B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6EE7D" w14:textId="77777777" w:rsidR="00A764C2" w:rsidRDefault="00A76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01C8C50E" w14:textId="6AFE5293" w:rsidR="00001845" w:rsidRPr="00934A2C" w:rsidRDefault="0000184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764C2">
          <w:rPr>
            <w:noProof/>
            <w:sz w:val="16"/>
            <w:szCs w:val="22"/>
          </w:rPr>
          <w:t>5</w:t>
        </w:r>
        <w:r w:rsidRPr="00934A2C">
          <w:rPr>
            <w:noProof/>
            <w:sz w:val="16"/>
            <w:szCs w:val="22"/>
          </w:rPr>
          <w:fldChar w:fldCharType="end"/>
        </w:r>
      </w:p>
    </w:sdtContent>
  </w:sdt>
  <w:p w14:paraId="0E3C4D61" w14:textId="77777777" w:rsidR="00001845" w:rsidRDefault="000018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4118F" w14:textId="77777777" w:rsidR="00001845" w:rsidRPr="00934A2C" w:rsidRDefault="00001845">
    <w:pPr>
      <w:pStyle w:val="Footer"/>
      <w:jc w:val="center"/>
      <w:rPr>
        <w:sz w:val="16"/>
        <w:szCs w:val="22"/>
      </w:rPr>
    </w:pPr>
  </w:p>
  <w:p w14:paraId="5F325BE9" w14:textId="77777777" w:rsidR="00001845" w:rsidRDefault="00001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3524F" w14:textId="77777777" w:rsidR="007B07AD" w:rsidRPr="000F35ED" w:rsidRDefault="007B07A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CB09DF6" w14:textId="77777777" w:rsidR="007B07AD" w:rsidRPr="000F35ED" w:rsidRDefault="007B07AD" w:rsidP="000F35ED">
      <w:pPr>
        <w:rPr>
          <w:rFonts w:asciiTheme="majorHAnsi" w:hAnsiTheme="majorHAnsi"/>
          <w:sz w:val="16"/>
          <w:szCs w:val="16"/>
        </w:rPr>
      </w:pPr>
      <w:r w:rsidRPr="000F35ED">
        <w:rPr>
          <w:rFonts w:asciiTheme="majorHAnsi" w:hAnsiTheme="majorHAnsi"/>
          <w:sz w:val="16"/>
          <w:szCs w:val="16"/>
        </w:rPr>
        <w:separator/>
      </w:r>
    </w:p>
    <w:p w14:paraId="0EA8C382" w14:textId="77777777" w:rsidR="007B07AD" w:rsidRPr="000F35ED" w:rsidRDefault="007B07AD"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2DFCAAD" w14:textId="77777777" w:rsidR="007B07AD" w:rsidRPr="000F35ED" w:rsidRDefault="007B07A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39D7684" w14:textId="77777777" w:rsidR="00001845" w:rsidRPr="001F0F69" w:rsidRDefault="00001845" w:rsidP="00202689">
      <w:pPr>
        <w:pStyle w:val="FootnoteText"/>
        <w:ind w:firstLine="720"/>
        <w:jc w:val="both"/>
        <w:rPr>
          <w:rFonts w:asciiTheme="majorHAnsi" w:hAnsiTheme="majorHAnsi"/>
          <w:sz w:val="16"/>
          <w:szCs w:val="16"/>
          <w:lang w:val="es-ES"/>
        </w:rPr>
      </w:pPr>
      <w:r w:rsidRPr="001F0F69">
        <w:rPr>
          <w:rStyle w:val="FootnoteReference"/>
          <w:rFonts w:asciiTheme="majorHAnsi" w:hAnsiTheme="majorHAnsi"/>
          <w:sz w:val="16"/>
          <w:szCs w:val="16"/>
        </w:rPr>
        <w:footnoteRef/>
      </w:r>
      <w:r w:rsidRPr="001F0F69">
        <w:rPr>
          <w:rFonts w:asciiTheme="majorHAnsi" w:hAnsiTheme="majorHAnsi"/>
          <w:sz w:val="16"/>
          <w:szCs w:val="16"/>
          <w:lang w:val="es-ES"/>
        </w:rPr>
        <w:t xml:space="preserve"> En adelante “la Convención Americana” o “la Convención”.</w:t>
      </w:r>
    </w:p>
  </w:footnote>
  <w:footnote w:id="3">
    <w:p w14:paraId="3AD87D9F" w14:textId="77777777" w:rsidR="00001845" w:rsidRPr="00DD061E" w:rsidRDefault="00001845" w:rsidP="00202689">
      <w:pPr>
        <w:pStyle w:val="FootnoteText"/>
        <w:ind w:firstLine="720"/>
        <w:jc w:val="both"/>
        <w:rPr>
          <w:rFonts w:ascii="Cambria" w:hAnsi="Cambria"/>
          <w:sz w:val="16"/>
          <w:szCs w:val="16"/>
          <w:lang w:val="es-ES"/>
        </w:rPr>
      </w:pPr>
      <w:r w:rsidRPr="001F0F69">
        <w:rPr>
          <w:rStyle w:val="FootnoteReference"/>
          <w:rFonts w:asciiTheme="majorHAnsi" w:hAnsiTheme="majorHAnsi"/>
          <w:sz w:val="16"/>
          <w:szCs w:val="16"/>
        </w:rPr>
        <w:footnoteRef/>
      </w:r>
      <w:r w:rsidRPr="001F0F69">
        <w:rPr>
          <w:rFonts w:asciiTheme="majorHAnsi" w:hAnsiTheme="majorHAnsi"/>
          <w:sz w:val="16"/>
          <w:szCs w:val="16"/>
          <w:lang w:val="es-ES"/>
        </w:rPr>
        <w:t xml:space="preserve"> Las observaciones de cada parte fueron debidamente trasladadas a la parte contraria.</w:t>
      </w:r>
    </w:p>
  </w:footnote>
  <w:footnote w:id="4">
    <w:p w14:paraId="1BD77BEC" w14:textId="5EAA60F7" w:rsidR="00B3283F" w:rsidRPr="006E499F" w:rsidRDefault="00B3283F" w:rsidP="00202689">
      <w:pPr>
        <w:pStyle w:val="FootnoteText"/>
        <w:ind w:firstLine="720"/>
        <w:jc w:val="both"/>
        <w:rPr>
          <w:rFonts w:ascii="Cambria" w:hAnsi="Cambria"/>
          <w:sz w:val="16"/>
          <w:szCs w:val="16"/>
          <w:lang w:val="es-ES"/>
        </w:rPr>
      </w:pPr>
      <w:r w:rsidRPr="006E499F">
        <w:rPr>
          <w:rStyle w:val="FootnoteReference"/>
          <w:rFonts w:ascii="Cambria" w:hAnsi="Cambria"/>
          <w:sz w:val="16"/>
          <w:szCs w:val="16"/>
        </w:rPr>
        <w:footnoteRef/>
      </w:r>
      <w:r w:rsidRPr="006E499F">
        <w:rPr>
          <w:rFonts w:ascii="Cambria" w:hAnsi="Cambria"/>
          <w:sz w:val="16"/>
          <w:szCs w:val="16"/>
          <w:lang w:val="es-ES"/>
        </w:rPr>
        <w:t xml:space="preserve"> </w:t>
      </w:r>
      <w:r w:rsidR="006E499F" w:rsidRPr="006E499F">
        <w:rPr>
          <w:rFonts w:ascii="Cambria" w:hAnsi="Cambria"/>
          <w:sz w:val="16"/>
          <w:szCs w:val="16"/>
          <w:lang w:val="es-ES"/>
        </w:rPr>
        <w:t xml:space="preserve">El peticionario indica que </w:t>
      </w:r>
      <w:r w:rsidR="006E499F" w:rsidRPr="006E499F">
        <w:rPr>
          <w:rFonts w:ascii="Cambria" w:hAnsi="Cambria"/>
          <w:sz w:val="16"/>
          <w:szCs w:val="16"/>
          <w:lang w:val="es-AR"/>
        </w:rPr>
        <w:t xml:space="preserve">las regalías se entienden como </w:t>
      </w:r>
      <w:r w:rsidRPr="006E499F">
        <w:rPr>
          <w:rFonts w:ascii="Cambria" w:hAnsi="Cambria"/>
          <w:sz w:val="16"/>
          <w:szCs w:val="16"/>
          <w:lang w:val="es-AR"/>
        </w:rPr>
        <w:t>una contraprestación económica que recibe el Estado por la explotación de los recursos naturales no renovables</w:t>
      </w:r>
      <w:r w:rsidR="006E499F" w:rsidRPr="006E499F">
        <w:rPr>
          <w:rFonts w:ascii="Cambria" w:hAnsi="Cambria"/>
          <w:sz w:val="16"/>
          <w:szCs w:val="16"/>
          <w:lang w:val="es-AR"/>
        </w:rPr>
        <w:t>.</w:t>
      </w:r>
    </w:p>
  </w:footnote>
  <w:footnote w:id="5">
    <w:p w14:paraId="31A4C36F" w14:textId="77777777" w:rsidR="00EF3D14" w:rsidRPr="00AB6C7D" w:rsidRDefault="00EF3D14" w:rsidP="00202689">
      <w:pPr>
        <w:spacing w:after="40"/>
        <w:ind w:firstLine="720"/>
        <w:jc w:val="both"/>
        <w:rPr>
          <w:rFonts w:asciiTheme="majorHAnsi" w:hAnsiTheme="majorHAnsi"/>
          <w:lang w:val="es-ES"/>
        </w:rPr>
      </w:pPr>
      <w:r w:rsidRPr="00AB6C7D">
        <w:rPr>
          <w:rStyle w:val="FootnoteReference"/>
          <w:rFonts w:asciiTheme="majorHAnsi" w:hAnsiTheme="majorHAnsi"/>
          <w:sz w:val="16"/>
          <w:szCs w:val="16"/>
        </w:rPr>
        <w:footnoteRef/>
      </w:r>
      <w:r w:rsidRPr="00AB6C7D">
        <w:rPr>
          <w:rFonts w:asciiTheme="majorHAnsi" w:hAnsiTheme="majorHAnsi"/>
          <w:lang w:val="es-US"/>
        </w:rPr>
        <w:t xml:space="preserve"> </w:t>
      </w:r>
      <w:r w:rsidRPr="00AB6C7D">
        <w:rPr>
          <w:rFonts w:asciiTheme="majorHAnsi" w:hAnsiTheme="majorHAnsi"/>
          <w:sz w:val="16"/>
          <w:szCs w:val="16"/>
          <w:lang w:val="es-ES"/>
        </w:rPr>
        <w:t xml:space="preserve">CIDH, Informe No. 135/18, Petición 1045-07. Inadmisibilidad. Enrique Alberto Elías </w:t>
      </w:r>
      <w:proofErr w:type="spellStart"/>
      <w:r w:rsidRPr="00AB6C7D">
        <w:rPr>
          <w:rFonts w:asciiTheme="majorHAnsi" w:hAnsiTheme="majorHAnsi"/>
          <w:sz w:val="16"/>
          <w:szCs w:val="16"/>
          <w:lang w:val="es-ES"/>
        </w:rPr>
        <w:t>Waiman</w:t>
      </w:r>
      <w:proofErr w:type="spellEnd"/>
      <w:r w:rsidRPr="00AB6C7D">
        <w:rPr>
          <w:rFonts w:asciiTheme="majorHAnsi" w:hAnsiTheme="majorHAnsi"/>
          <w:sz w:val="16"/>
          <w:szCs w:val="16"/>
          <w:lang w:val="es-ES"/>
        </w:rPr>
        <w:t xml:space="preserve">. Argentina. 20 de noviembre de 2018, </w:t>
      </w:r>
      <w:proofErr w:type="spellStart"/>
      <w:r w:rsidRPr="00AB6C7D">
        <w:rPr>
          <w:rFonts w:asciiTheme="majorHAnsi" w:hAnsiTheme="majorHAnsi"/>
          <w:sz w:val="16"/>
          <w:szCs w:val="16"/>
          <w:lang w:val="es-ES"/>
        </w:rPr>
        <w:t>párrs</w:t>
      </w:r>
      <w:proofErr w:type="spellEnd"/>
      <w:r w:rsidRPr="00AB6C7D">
        <w:rPr>
          <w:rFonts w:asciiTheme="majorHAnsi" w:hAnsiTheme="majorHAnsi"/>
          <w:sz w:val="16"/>
          <w:szCs w:val="16"/>
          <w:lang w:val="es-ES"/>
        </w:rPr>
        <w:t>. 9 y 10.</w:t>
      </w:r>
    </w:p>
  </w:footnote>
  <w:footnote w:id="6">
    <w:p w14:paraId="18EA3CB0" w14:textId="77777777" w:rsidR="00836C96" w:rsidRPr="00AB6C7D" w:rsidRDefault="00836C96" w:rsidP="00202689">
      <w:pPr>
        <w:spacing w:after="40"/>
        <w:ind w:firstLine="720"/>
        <w:jc w:val="both"/>
        <w:rPr>
          <w:rFonts w:asciiTheme="majorHAnsi" w:hAnsiTheme="majorHAnsi"/>
          <w:lang w:val="es-ES"/>
        </w:rPr>
      </w:pPr>
      <w:r w:rsidRPr="00AB6C7D">
        <w:rPr>
          <w:rStyle w:val="FootnoteReference"/>
          <w:rFonts w:asciiTheme="majorHAnsi" w:hAnsiTheme="majorHAnsi"/>
          <w:sz w:val="16"/>
          <w:szCs w:val="16"/>
        </w:rPr>
        <w:footnoteRef/>
      </w:r>
      <w:r w:rsidR="001F0F69">
        <w:rPr>
          <w:rFonts w:asciiTheme="majorHAnsi" w:hAnsiTheme="majorHAnsi"/>
          <w:sz w:val="16"/>
          <w:szCs w:val="16"/>
          <w:lang w:val="es-ES"/>
        </w:rPr>
        <w:t xml:space="preserve"> </w:t>
      </w:r>
      <w:r w:rsidRPr="00AB6C7D">
        <w:rPr>
          <w:rFonts w:asciiTheme="majorHAnsi" w:hAnsiTheme="majorHAnsi"/>
          <w:sz w:val="16"/>
          <w:szCs w:val="16"/>
          <w:lang w:val="es-ES"/>
        </w:rPr>
        <w:t xml:space="preserve">CIDH, Informe No. 51/18. Petición 1779-12, Admisibilidad, Pueblos </w:t>
      </w:r>
      <w:r w:rsidR="00787D1E" w:rsidRPr="00AB6C7D">
        <w:rPr>
          <w:rFonts w:asciiTheme="majorHAnsi" w:hAnsiTheme="majorHAnsi"/>
          <w:sz w:val="16"/>
          <w:szCs w:val="16"/>
          <w:lang w:val="es-ES"/>
        </w:rPr>
        <w:t>i</w:t>
      </w:r>
      <w:r w:rsidRPr="00AB6C7D">
        <w:rPr>
          <w:rFonts w:asciiTheme="majorHAnsi" w:hAnsiTheme="majorHAnsi"/>
          <w:sz w:val="16"/>
          <w:szCs w:val="16"/>
          <w:lang w:val="es-ES"/>
        </w:rPr>
        <w:t xml:space="preserve">ndígenas Maya </w:t>
      </w:r>
      <w:proofErr w:type="spellStart"/>
      <w:r w:rsidRPr="00AB6C7D">
        <w:rPr>
          <w:rFonts w:asciiTheme="majorHAnsi" w:hAnsiTheme="majorHAnsi"/>
          <w:sz w:val="16"/>
          <w:szCs w:val="16"/>
          <w:lang w:val="es-ES"/>
        </w:rPr>
        <w:t>Kaqchikuel</w:t>
      </w:r>
      <w:proofErr w:type="spellEnd"/>
      <w:r w:rsidRPr="00AB6C7D">
        <w:rPr>
          <w:rFonts w:asciiTheme="majorHAnsi" w:hAnsiTheme="majorHAnsi"/>
          <w:sz w:val="16"/>
          <w:szCs w:val="16"/>
          <w:lang w:val="es-ES"/>
        </w:rPr>
        <w:t xml:space="preserve"> de </w:t>
      </w:r>
      <w:proofErr w:type="spellStart"/>
      <w:r w:rsidRPr="00AB6C7D">
        <w:rPr>
          <w:rFonts w:asciiTheme="majorHAnsi" w:hAnsiTheme="majorHAnsi"/>
          <w:sz w:val="16"/>
          <w:szCs w:val="16"/>
          <w:lang w:val="es-ES"/>
        </w:rPr>
        <w:t>Sumpango</w:t>
      </w:r>
      <w:proofErr w:type="spellEnd"/>
      <w:r w:rsidRPr="00AB6C7D">
        <w:rPr>
          <w:rFonts w:asciiTheme="majorHAnsi" w:hAnsiTheme="majorHAnsi"/>
          <w:sz w:val="16"/>
          <w:szCs w:val="16"/>
          <w:lang w:val="es-ES"/>
        </w:rPr>
        <w:t xml:space="preserve"> y Otros. Guatemala. 5 de mayo de 2018, párr. 14.</w:t>
      </w:r>
    </w:p>
  </w:footnote>
  <w:footnote w:id="7">
    <w:p w14:paraId="00FA25FA" w14:textId="77777777" w:rsidR="0085012B" w:rsidRDefault="0085012B" w:rsidP="00202689">
      <w:pPr>
        <w:pStyle w:val="FootnoteText"/>
        <w:ind w:firstLine="720"/>
        <w:jc w:val="both"/>
        <w:rPr>
          <w:rFonts w:ascii="Cambria" w:hAnsi="Cambria"/>
          <w:sz w:val="16"/>
          <w:szCs w:val="16"/>
          <w:lang w:val="es-ES"/>
        </w:rPr>
      </w:pPr>
      <w:r>
        <w:rPr>
          <w:rStyle w:val="FootnoteReference"/>
          <w:rFonts w:ascii="Cambria" w:hAnsi="Cambria"/>
          <w:sz w:val="16"/>
          <w:szCs w:val="16"/>
        </w:rPr>
        <w:footnoteRef/>
      </w:r>
      <w:r>
        <w:rPr>
          <w:rFonts w:ascii="Cambria" w:hAnsi="Cambria"/>
          <w:sz w:val="16"/>
          <w:szCs w:val="16"/>
          <w:lang w:val="es-ES"/>
        </w:rPr>
        <w:t xml:space="preserve"> CIDH, Informe No. 51/18, Petición 1779-12. Admisibilidad. Pueblos Indígenas Maya </w:t>
      </w:r>
      <w:proofErr w:type="spellStart"/>
      <w:r>
        <w:rPr>
          <w:rFonts w:ascii="Cambria" w:hAnsi="Cambria"/>
          <w:sz w:val="16"/>
          <w:szCs w:val="16"/>
          <w:lang w:val="es-ES"/>
        </w:rPr>
        <w:t>Kaqchikuel</w:t>
      </w:r>
      <w:proofErr w:type="spellEnd"/>
      <w:r>
        <w:rPr>
          <w:rFonts w:ascii="Cambria" w:hAnsi="Cambria"/>
          <w:sz w:val="16"/>
          <w:szCs w:val="16"/>
          <w:lang w:val="es-ES"/>
        </w:rPr>
        <w:t xml:space="preserve"> de </w:t>
      </w:r>
      <w:proofErr w:type="spellStart"/>
      <w:r>
        <w:rPr>
          <w:rFonts w:ascii="Cambria" w:hAnsi="Cambria"/>
          <w:sz w:val="16"/>
          <w:szCs w:val="16"/>
          <w:lang w:val="es-ES"/>
        </w:rPr>
        <w:t>Sumpango</w:t>
      </w:r>
      <w:proofErr w:type="spellEnd"/>
      <w:r>
        <w:rPr>
          <w:rFonts w:ascii="Cambria" w:hAnsi="Cambria"/>
          <w:sz w:val="16"/>
          <w:szCs w:val="16"/>
          <w:lang w:val="es-ES"/>
        </w:rPr>
        <w:t xml:space="preserve"> y otros. Guatemala. 5 de mayo de 2018, </w:t>
      </w:r>
      <w:proofErr w:type="spellStart"/>
      <w:r>
        <w:rPr>
          <w:rFonts w:ascii="Cambria" w:hAnsi="Cambria"/>
          <w:sz w:val="16"/>
          <w:szCs w:val="16"/>
          <w:lang w:val="es-ES"/>
        </w:rPr>
        <w:t>párrs</w:t>
      </w:r>
      <w:proofErr w:type="spellEnd"/>
      <w:r>
        <w:rPr>
          <w:rFonts w:ascii="Cambria" w:hAnsi="Cambria"/>
          <w:sz w:val="16"/>
          <w:szCs w:val="16"/>
          <w:lang w:val="es-ES"/>
        </w:rPr>
        <w:t>. 13, 14 y 16.</w:t>
      </w:r>
    </w:p>
  </w:footnote>
  <w:footnote w:id="8">
    <w:p w14:paraId="5210CBBB" w14:textId="77777777" w:rsidR="00C70A13" w:rsidRPr="00AB6C7D" w:rsidRDefault="00C70A13" w:rsidP="00202689">
      <w:pPr>
        <w:pStyle w:val="FootnoteText"/>
        <w:pBdr>
          <w:top w:val="none" w:sz="0" w:space="0" w:color="auto"/>
          <w:left w:val="none" w:sz="0" w:space="0" w:color="auto"/>
          <w:bottom w:val="none" w:sz="0" w:space="0" w:color="auto"/>
          <w:right w:val="none" w:sz="0" w:space="0" w:color="auto"/>
          <w:bar w:val="none" w:sz="0" w:color="auto"/>
        </w:pBdr>
        <w:spacing w:after="40"/>
        <w:ind w:firstLine="720"/>
        <w:jc w:val="both"/>
        <w:rPr>
          <w:rFonts w:asciiTheme="majorHAnsi" w:hAnsiTheme="majorHAnsi"/>
          <w:sz w:val="16"/>
          <w:szCs w:val="16"/>
          <w:lang w:val="es-ES"/>
        </w:rPr>
      </w:pPr>
      <w:r w:rsidRPr="00AB6C7D">
        <w:rPr>
          <w:rFonts w:asciiTheme="majorHAnsi" w:hAnsiTheme="majorHAnsi"/>
          <w:sz w:val="16"/>
          <w:szCs w:val="16"/>
          <w:vertAlign w:val="superscript"/>
          <w:lang w:val="es-ES"/>
        </w:rPr>
        <w:footnoteRef/>
      </w:r>
      <w:r w:rsidRPr="00AB6C7D">
        <w:rPr>
          <w:rFonts w:asciiTheme="majorHAnsi" w:hAnsiTheme="majorHAnsi"/>
          <w:sz w:val="16"/>
          <w:szCs w:val="16"/>
          <w:vertAlign w:val="superscript"/>
          <w:lang w:val="es-ES"/>
        </w:rPr>
        <w:t xml:space="preserve"> </w:t>
      </w:r>
      <w:r w:rsidRPr="00AB6C7D">
        <w:rPr>
          <w:rFonts w:asciiTheme="majorHAnsi" w:hAnsiTheme="majorHAnsi"/>
          <w:sz w:val="16"/>
          <w:szCs w:val="16"/>
          <w:lang w:val="es-ES"/>
        </w:rPr>
        <w:t>CIDH. Derechos de los pueblos indígenas y tribales sobre sus tierras ancestrales y recursos naturales. Normas y jurisprudencia del Sistema Interamericano de Derechos Humanos. OEA/Ser.L/V/II.Doc.56/09, 30 de diciembre de 2009, párr. 275.</w:t>
      </w:r>
    </w:p>
  </w:footnote>
  <w:footnote w:id="9">
    <w:p w14:paraId="4D93B7F4" w14:textId="4E88A0F9" w:rsidR="0085012B" w:rsidRDefault="0085012B" w:rsidP="00202689">
      <w:pPr>
        <w:suppressAutoHyphens/>
        <w:ind w:firstLine="720"/>
        <w:jc w:val="both"/>
        <w:rPr>
          <w:rFonts w:ascii="Cambria" w:hAnsi="Cambria"/>
          <w:sz w:val="16"/>
          <w:szCs w:val="16"/>
          <w:lang w:val="es-ES"/>
        </w:rPr>
      </w:pPr>
      <w:r>
        <w:rPr>
          <w:rStyle w:val="FootnoteReference"/>
          <w:rFonts w:ascii="Cambria" w:hAnsi="Cambria"/>
          <w:sz w:val="16"/>
          <w:szCs w:val="16"/>
        </w:rPr>
        <w:footnoteRef/>
      </w:r>
      <w:r>
        <w:rPr>
          <w:rFonts w:ascii="Cambria" w:hAnsi="Cambria"/>
          <w:sz w:val="16"/>
          <w:szCs w:val="16"/>
          <w:lang w:val="es-ES"/>
        </w:rPr>
        <w:t xml:space="preserve"> Véase inter </w:t>
      </w:r>
      <w:proofErr w:type="spellStart"/>
      <w:r>
        <w:rPr>
          <w:rFonts w:ascii="Cambria" w:hAnsi="Cambria"/>
          <w:sz w:val="16"/>
          <w:szCs w:val="16"/>
          <w:lang w:val="es-ES"/>
        </w:rPr>
        <w:t>alia</w:t>
      </w:r>
      <w:proofErr w:type="spellEnd"/>
      <w:r>
        <w:rPr>
          <w:rFonts w:ascii="Cambria" w:hAnsi="Cambria"/>
          <w:sz w:val="16"/>
          <w:szCs w:val="16"/>
          <w:lang w:val="es-ES"/>
        </w:rPr>
        <w:t xml:space="preserve"> CIDH, Informe de Ecuador 1997 Conclusiones del Capítulo IX y del Capítulo VIII; CIDH, Informe sobre la situación de los derechos humanos en Colombia, Capítulo X, 1999. Recomendación N</w:t>
      </w:r>
      <w:r w:rsidR="00202689">
        <w:rPr>
          <w:rFonts w:ascii="Cambria" w:hAnsi="Cambria"/>
          <w:sz w:val="16"/>
          <w:szCs w:val="16"/>
          <w:lang w:val="es-ES"/>
        </w:rPr>
        <w:t>o. 4.; CIDH, Informe de fondo No.</w:t>
      </w:r>
      <w:r>
        <w:rPr>
          <w:rFonts w:ascii="Cambria" w:hAnsi="Cambria"/>
          <w:sz w:val="16"/>
          <w:szCs w:val="16"/>
          <w:lang w:val="es-ES"/>
        </w:rPr>
        <w:t xml:space="preserve"> 75/02, Caso 11.140, Mary y </w:t>
      </w:r>
      <w:proofErr w:type="spellStart"/>
      <w:r>
        <w:rPr>
          <w:rFonts w:ascii="Cambria" w:hAnsi="Cambria"/>
          <w:sz w:val="16"/>
          <w:szCs w:val="16"/>
          <w:lang w:val="es-ES"/>
        </w:rPr>
        <w:t>Carrie</w:t>
      </w:r>
      <w:proofErr w:type="spellEnd"/>
      <w:r>
        <w:rPr>
          <w:rFonts w:ascii="Cambria" w:hAnsi="Cambria"/>
          <w:sz w:val="16"/>
          <w:szCs w:val="16"/>
          <w:lang w:val="es-ES"/>
        </w:rPr>
        <w:t xml:space="preserve"> </w:t>
      </w:r>
      <w:proofErr w:type="spellStart"/>
      <w:r>
        <w:rPr>
          <w:rFonts w:ascii="Cambria" w:hAnsi="Cambria"/>
          <w:sz w:val="16"/>
          <w:szCs w:val="16"/>
          <w:lang w:val="es-ES"/>
        </w:rPr>
        <w:t>Dann</w:t>
      </w:r>
      <w:proofErr w:type="spellEnd"/>
      <w:r>
        <w:rPr>
          <w:rFonts w:ascii="Cambria" w:hAnsi="Cambria"/>
          <w:sz w:val="16"/>
          <w:szCs w:val="16"/>
          <w:lang w:val="es-ES"/>
        </w:rPr>
        <w:t xml:space="preserve"> (Estados Unidos), Informe Anual de la CIDH 2002, párr. 140; CIDH, Derechos de los pueblos indígenas y tribales sobre sus tierras ancestrales y recursos naturales. Normas y jurisprudencia del Sistema Interamericano de Derechos Humanos. OEA/Ser.L/V/II.Doc.56/09, 30 de diciembre de 2009, Capítulo IX</w:t>
      </w:r>
      <w:r w:rsidR="00202689">
        <w:rPr>
          <w:rFonts w:ascii="Cambria" w:hAnsi="Cambria"/>
          <w:sz w:val="16"/>
          <w:szCs w:val="16"/>
          <w:lang w:val="es-ES"/>
        </w:rPr>
        <w:t>.</w:t>
      </w:r>
    </w:p>
  </w:footnote>
  <w:footnote w:id="10">
    <w:p w14:paraId="64DE9728" w14:textId="77777777" w:rsidR="003A5F3E" w:rsidRPr="00A2046B" w:rsidRDefault="003A5F3E" w:rsidP="00202689">
      <w:pPr>
        <w:pStyle w:val="FootnoteText"/>
        <w:pBdr>
          <w:top w:val="none" w:sz="0" w:space="0" w:color="auto"/>
          <w:left w:val="none" w:sz="0" w:space="0" w:color="auto"/>
          <w:bottom w:val="none" w:sz="0" w:space="0" w:color="auto"/>
          <w:right w:val="none" w:sz="0" w:space="0" w:color="auto"/>
          <w:bar w:val="none" w:sz="0" w:color="auto"/>
        </w:pBdr>
        <w:spacing w:before="40" w:after="40"/>
        <w:ind w:firstLine="720"/>
        <w:jc w:val="both"/>
        <w:rPr>
          <w:lang w:val="es-ES"/>
        </w:rPr>
      </w:pPr>
      <w:r w:rsidRPr="00AB6C7D">
        <w:rPr>
          <w:rFonts w:asciiTheme="majorHAnsi" w:hAnsiTheme="majorHAnsi"/>
          <w:sz w:val="16"/>
          <w:szCs w:val="16"/>
          <w:vertAlign w:val="superscript"/>
          <w:lang w:val="es-ES"/>
        </w:rPr>
        <w:footnoteRef/>
      </w:r>
      <w:r w:rsidRPr="00AB6C7D">
        <w:rPr>
          <w:rFonts w:asciiTheme="majorHAnsi" w:hAnsiTheme="majorHAnsi"/>
          <w:sz w:val="16"/>
          <w:szCs w:val="16"/>
          <w:lang w:val="es-ES"/>
        </w:rPr>
        <w:t xml:space="preserve"> Corte IDH. Caso del Pueblo </w:t>
      </w:r>
      <w:proofErr w:type="spellStart"/>
      <w:r w:rsidRPr="00AB6C7D">
        <w:rPr>
          <w:rFonts w:asciiTheme="majorHAnsi" w:hAnsiTheme="majorHAnsi"/>
          <w:sz w:val="16"/>
          <w:szCs w:val="16"/>
          <w:lang w:val="es-ES"/>
        </w:rPr>
        <w:t>Saramaka</w:t>
      </w:r>
      <w:proofErr w:type="spellEnd"/>
      <w:r w:rsidRPr="00AB6C7D">
        <w:rPr>
          <w:rFonts w:asciiTheme="majorHAnsi" w:hAnsiTheme="majorHAnsi"/>
          <w:sz w:val="16"/>
          <w:szCs w:val="16"/>
          <w:lang w:val="es-ES"/>
        </w:rPr>
        <w:t xml:space="preserve"> Vs. Surinam. Interpretación de la Sentencia de Excepciones Preliminares, Fondo, Reparaciones y Costas. Sentencia de 12 de agosto de 2008 Serie C No. 185, párr.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FA240" w14:textId="77777777" w:rsidR="00001845" w:rsidRDefault="00001845" w:rsidP="0000184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FB05A73" w14:textId="77777777" w:rsidR="00001845" w:rsidRDefault="000018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B4885" w14:textId="77777777" w:rsidR="00001845" w:rsidRDefault="00001845" w:rsidP="00A50FCF">
    <w:pPr>
      <w:pStyle w:val="Header"/>
      <w:tabs>
        <w:tab w:val="clear" w:pos="4320"/>
        <w:tab w:val="clear" w:pos="8640"/>
      </w:tabs>
      <w:jc w:val="center"/>
      <w:rPr>
        <w:sz w:val="22"/>
        <w:szCs w:val="22"/>
      </w:rPr>
    </w:pPr>
    <w:r>
      <w:rPr>
        <w:noProof/>
        <w:sz w:val="22"/>
        <w:szCs w:val="22"/>
        <w:lang w:val="en-US" w:eastAsia="en-US"/>
      </w:rPr>
      <w:drawing>
        <wp:inline distT="0" distB="0" distL="0" distR="0" wp14:anchorId="10ED503B" wp14:editId="7B2B9F1A">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B59E4C4" w14:textId="77777777" w:rsidR="00001845" w:rsidRPr="00EC7D62" w:rsidRDefault="007B07AD" w:rsidP="00A50FCF">
    <w:pPr>
      <w:pStyle w:val="Header"/>
      <w:tabs>
        <w:tab w:val="clear" w:pos="4320"/>
        <w:tab w:val="clear" w:pos="8640"/>
      </w:tabs>
      <w:jc w:val="center"/>
      <w:rPr>
        <w:sz w:val="22"/>
        <w:szCs w:val="22"/>
      </w:rPr>
    </w:pPr>
    <w:r>
      <w:rPr>
        <w:noProof/>
        <w:sz w:val="22"/>
        <w:szCs w:val="22"/>
        <w:bdr w:val="nil"/>
      </w:rPr>
      <w:pict w14:anchorId="5383A713">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7BFEC" w14:textId="77777777" w:rsidR="00A764C2" w:rsidRDefault="00A764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9634773"/>
    <w:multiLevelType w:val="hybridMultilevel"/>
    <w:tmpl w:val="AD96D81E"/>
    <w:lvl w:ilvl="0" w:tplc="7F4E5174">
      <w:start w:val="1"/>
      <w:numFmt w:val="decimal"/>
      <w:lvlText w:val="%1."/>
      <w:lvlJc w:val="left"/>
      <w:pPr>
        <w:tabs>
          <w:tab w:val="num" w:pos="720"/>
        </w:tabs>
        <w:ind w:left="0" w:firstLine="720"/>
      </w:pPr>
      <w:rPr>
        <w:rFonts w:hint="default"/>
        <w:b w:val="0"/>
        <w:i w:val="0"/>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2F73A51"/>
    <w:multiLevelType w:val="hybridMultilevel"/>
    <w:tmpl w:val="A8EAADFE"/>
    <w:lvl w:ilvl="0" w:tplc="7F4E5174">
      <w:start w:val="1"/>
      <w:numFmt w:val="decimal"/>
      <w:lvlText w:val="%1."/>
      <w:lvlJc w:val="left"/>
      <w:pPr>
        <w:tabs>
          <w:tab w:val="num" w:pos="720"/>
        </w:tabs>
        <w:ind w:left="0" w:firstLine="720"/>
      </w:pPr>
      <w:rPr>
        <w:rFonts w:hint="default"/>
        <w:b w:val="0"/>
        <w:i w:val="0"/>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B612CB"/>
    <w:multiLevelType w:val="hybridMultilevel"/>
    <w:tmpl w:val="4F5AB6D2"/>
    <w:lvl w:ilvl="0" w:tplc="48008720">
      <w:start w:val="1"/>
      <w:numFmt w:val="decimal"/>
      <w:lvlText w:val="%1."/>
      <w:lvlJc w:val="left"/>
      <w:pPr>
        <w:tabs>
          <w:tab w:val="num" w:pos="720"/>
        </w:tabs>
        <w:ind w:left="0" w:firstLine="720"/>
      </w:pPr>
      <w:rPr>
        <w:rFonts w:hint="default"/>
        <w:b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8D0B12"/>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65845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4F1425"/>
    <w:multiLevelType w:val="hybridMultilevel"/>
    <w:tmpl w:val="782CA9C0"/>
    <w:lvl w:ilvl="0" w:tplc="BF3021A0">
      <w:start w:val="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049242D"/>
    <w:multiLevelType w:val="hybridMultilevel"/>
    <w:tmpl w:val="4BA6730E"/>
    <w:lvl w:ilvl="0" w:tplc="4108226E">
      <w:start w:val="5"/>
      <w:numFmt w:val="bullet"/>
      <w:lvlText w:val="-"/>
      <w:lvlJc w:val="left"/>
      <w:pPr>
        <w:ind w:left="1080" w:hanging="360"/>
      </w:pPr>
      <w:rPr>
        <w:rFonts w:ascii="Cambria" w:eastAsia="Arial Unicode MS"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47360E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4"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5" w15:restartNumberingAfterBreak="0">
    <w:nsid w:val="3C5A7C6D"/>
    <w:multiLevelType w:val="hybridMultilevel"/>
    <w:tmpl w:val="FE28D2B6"/>
    <w:lvl w:ilvl="0" w:tplc="A9FEF18C">
      <w:start w:val="1"/>
      <w:numFmt w:val="decimal"/>
      <w:lvlText w:val="%1."/>
      <w:lvlJc w:val="left"/>
      <w:pPr>
        <w:tabs>
          <w:tab w:val="num" w:pos="720"/>
        </w:tabs>
        <w:ind w:left="0" w:firstLine="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F805D0F"/>
    <w:multiLevelType w:val="hybridMultilevel"/>
    <w:tmpl w:val="7C040E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CE2A69"/>
    <w:multiLevelType w:val="hybridMultilevel"/>
    <w:tmpl w:val="71AA03B6"/>
    <w:lvl w:ilvl="0" w:tplc="BD7EFCD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473FA2"/>
    <w:multiLevelType w:val="hybridMultilevel"/>
    <w:tmpl w:val="FE28D2B6"/>
    <w:lvl w:ilvl="0" w:tplc="A9FEF18C">
      <w:start w:val="1"/>
      <w:numFmt w:val="decimal"/>
      <w:lvlText w:val="%1."/>
      <w:lvlJc w:val="left"/>
      <w:pPr>
        <w:tabs>
          <w:tab w:val="num" w:pos="720"/>
        </w:tabs>
        <w:ind w:left="0" w:firstLine="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60"/>
  </w:num>
  <w:num w:numId="4">
    <w:abstractNumId w:val="27"/>
  </w:num>
  <w:num w:numId="5">
    <w:abstractNumId w:val="54"/>
  </w:num>
  <w:num w:numId="6">
    <w:abstractNumId w:val="33"/>
  </w:num>
  <w:num w:numId="7">
    <w:abstractNumId w:val="9"/>
  </w:num>
  <w:num w:numId="8">
    <w:abstractNumId w:val="21"/>
  </w:num>
  <w:num w:numId="9">
    <w:abstractNumId w:val="49"/>
  </w:num>
  <w:num w:numId="10">
    <w:abstractNumId w:val="0"/>
  </w:num>
  <w:num w:numId="11">
    <w:abstractNumId w:val="44"/>
  </w:num>
  <w:num w:numId="12">
    <w:abstractNumId w:val="45"/>
  </w:num>
  <w:num w:numId="13">
    <w:abstractNumId w:val="51"/>
  </w:num>
  <w:num w:numId="14">
    <w:abstractNumId w:val="1"/>
  </w:num>
  <w:num w:numId="15">
    <w:abstractNumId w:val="3"/>
  </w:num>
  <w:num w:numId="16">
    <w:abstractNumId w:val="10"/>
  </w:num>
  <w:num w:numId="17">
    <w:abstractNumId w:val="11"/>
  </w:num>
  <w:num w:numId="18">
    <w:abstractNumId w:val="12"/>
  </w:num>
  <w:num w:numId="19">
    <w:abstractNumId w:val="13"/>
  </w:num>
  <w:num w:numId="20">
    <w:abstractNumId w:val="14"/>
  </w:num>
  <w:num w:numId="21">
    <w:abstractNumId w:val="16"/>
  </w:num>
  <w:num w:numId="22">
    <w:abstractNumId w:val="17"/>
  </w:num>
  <w:num w:numId="23">
    <w:abstractNumId w:val="19"/>
  </w:num>
  <w:num w:numId="24">
    <w:abstractNumId w:val="20"/>
  </w:num>
  <w:num w:numId="25">
    <w:abstractNumId w:val="23"/>
  </w:num>
  <w:num w:numId="26">
    <w:abstractNumId w:val="24"/>
  </w:num>
  <w:num w:numId="27">
    <w:abstractNumId w:val="28"/>
  </w:num>
  <w:num w:numId="28">
    <w:abstractNumId w:val="29"/>
  </w:num>
  <w:num w:numId="29">
    <w:abstractNumId w:val="30"/>
  </w:num>
  <w:num w:numId="30">
    <w:abstractNumId w:val="32"/>
  </w:num>
  <w:num w:numId="31">
    <w:abstractNumId w:val="34"/>
  </w:num>
  <w:num w:numId="32">
    <w:abstractNumId w:val="37"/>
  </w:num>
  <w:num w:numId="33">
    <w:abstractNumId w:val="38"/>
  </w:num>
  <w:num w:numId="34">
    <w:abstractNumId w:val="39"/>
  </w:num>
  <w:num w:numId="35">
    <w:abstractNumId w:val="40"/>
  </w:num>
  <w:num w:numId="36">
    <w:abstractNumId w:val="41"/>
  </w:num>
  <w:num w:numId="37">
    <w:abstractNumId w:val="42"/>
  </w:num>
  <w:num w:numId="38">
    <w:abstractNumId w:val="43"/>
  </w:num>
  <w:num w:numId="39">
    <w:abstractNumId w:val="46"/>
  </w:num>
  <w:num w:numId="40">
    <w:abstractNumId w:val="47"/>
  </w:num>
  <w:num w:numId="41">
    <w:abstractNumId w:val="53"/>
  </w:num>
  <w:num w:numId="42">
    <w:abstractNumId w:val="55"/>
  </w:num>
  <w:num w:numId="43">
    <w:abstractNumId w:val="56"/>
  </w:num>
  <w:num w:numId="44">
    <w:abstractNumId w:val="58"/>
  </w:num>
  <w:num w:numId="45">
    <w:abstractNumId w:val="59"/>
  </w:num>
  <w:num w:numId="46">
    <w:abstractNumId w:val="62"/>
  </w:num>
  <w:num w:numId="47">
    <w:abstractNumId w:val="63"/>
  </w:num>
  <w:num w:numId="48">
    <w:abstractNumId w:val="64"/>
  </w:num>
  <w:num w:numId="49">
    <w:abstractNumId w:val="66"/>
  </w:num>
  <w:num w:numId="50">
    <w:abstractNumId w:val="67"/>
  </w:num>
  <w:num w:numId="51">
    <w:abstractNumId w:val="26"/>
  </w:num>
  <w:num w:numId="52">
    <w:abstractNumId w:val="48"/>
  </w:num>
  <w:num w:numId="53">
    <w:abstractNumId w:val="57"/>
  </w:num>
  <w:num w:numId="54">
    <w:abstractNumId w:val="52"/>
  </w:num>
  <w:num w:numId="55">
    <w:abstractNumId w:val="5"/>
  </w:num>
  <w:num w:numId="56">
    <w:abstractNumId w:val="50"/>
  </w:num>
  <w:num w:numId="57">
    <w:abstractNumId w:val="25"/>
  </w:num>
  <w:num w:numId="58">
    <w:abstractNumId w:val="36"/>
  </w:num>
  <w:num w:numId="59">
    <w:abstractNumId w:val="61"/>
  </w:num>
  <w:num w:numId="60">
    <w:abstractNumId w:val="15"/>
  </w:num>
  <w:num w:numId="61">
    <w:abstractNumId w:val="7"/>
  </w:num>
  <w:num w:numId="62">
    <w:abstractNumId w:val="22"/>
  </w:num>
  <w:num w:numId="63">
    <w:abstractNumId w:val="65"/>
  </w:num>
  <w:num w:numId="64">
    <w:abstractNumId w:val="35"/>
  </w:num>
  <w:num w:numId="65">
    <w:abstractNumId w:val="18"/>
  </w:num>
  <w:num w:numId="66">
    <w:abstractNumId w:val="31"/>
  </w:num>
  <w:num w:numId="67">
    <w:abstractNumId w:val="8"/>
  </w:num>
  <w:num w:numId="68">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1845"/>
    <w:rsid w:val="000065D0"/>
    <w:rsid w:val="00006B74"/>
    <w:rsid w:val="00006E1F"/>
    <w:rsid w:val="000070D7"/>
    <w:rsid w:val="00010407"/>
    <w:rsid w:val="000104F5"/>
    <w:rsid w:val="00015701"/>
    <w:rsid w:val="00017450"/>
    <w:rsid w:val="0001788C"/>
    <w:rsid w:val="000214BC"/>
    <w:rsid w:val="0002186F"/>
    <w:rsid w:val="00023506"/>
    <w:rsid w:val="000246EB"/>
    <w:rsid w:val="00024940"/>
    <w:rsid w:val="00027874"/>
    <w:rsid w:val="00030EEF"/>
    <w:rsid w:val="000337EF"/>
    <w:rsid w:val="00040C3A"/>
    <w:rsid w:val="000419AD"/>
    <w:rsid w:val="00055163"/>
    <w:rsid w:val="0005596A"/>
    <w:rsid w:val="000716C5"/>
    <w:rsid w:val="00075E23"/>
    <w:rsid w:val="000819D5"/>
    <w:rsid w:val="00081C21"/>
    <w:rsid w:val="000831A2"/>
    <w:rsid w:val="00085AFE"/>
    <w:rsid w:val="0009006E"/>
    <w:rsid w:val="0009344A"/>
    <w:rsid w:val="000A19F8"/>
    <w:rsid w:val="000A3254"/>
    <w:rsid w:val="000A392E"/>
    <w:rsid w:val="000A575F"/>
    <w:rsid w:val="000A63D0"/>
    <w:rsid w:val="000A7FF4"/>
    <w:rsid w:val="000B0579"/>
    <w:rsid w:val="000B4A54"/>
    <w:rsid w:val="000C1C69"/>
    <w:rsid w:val="000C32B9"/>
    <w:rsid w:val="000C3A31"/>
    <w:rsid w:val="000C4D47"/>
    <w:rsid w:val="000D0DF1"/>
    <w:rsid w:val="000D1063"/>
    <w:rsid w:val="000D10DB"/>
    <w:rsid w:val="000D37AF"/>
    <w:rsid w:val="000D6358"/>
    <w:rsid w:val="000D7263"/>
    <w:rsid w:val="000E10C7"/>
    <w:rsid w:val="000E1AC4"/>
    <w:rsid w:val="000E2789"/>
    <w:rsid w:val="000E5E4E"/>
    <w:rsid w:val="000E5EB5"/>
    <w:rsid w:val="000F217E"/>
    <w:rsid w:val="000F2308"/>
    <w:rsid w:val="000F35ED"/>
    <w:rsid w:val="000F5B30"/>
    <w:rsid w:val="000F68EF"/>
    <w:rsid w:val="000F71D6"/>
    <w:rsid w:val="00100AE8"/>
    <w:rsid w:val="00101E8D"/>
    <w:rsid w:val="0010253A"/>
    <w:rsid w:val="00104B74"/>
    <w:rsid w:val="00107131"/>
    <w:rsid w:val="0010736F"/>
    <w:rsid w:val="00107B4B"/>
    <w:rsid w:val="00111994"/>
    <w:rsid w:val="00111A8A"/>
    <w:rsid w:val="00113F73"/>
    <w:rsid w:val="00117AB2"/>
    <w:rsid w:val="00121CC2"/>
    <w:rsid w:val="00131D8B"/>
    <w:rsid w:val="001325DC"/>
    <w:rsid w:val="00133EE5"/>
    <w:rsid w:val="001346B1"/>
    <w:rsid w:val="00136E3D"/>
    <w:rsid w:val="001408D2"/>
    <w:rsid w:val="00140F4D"/>
    <w:rsid w:val="0014362B"/>
    <w:rsid w:val="00143EFE"/>
    <w:rsid w:val="001479C0"/>
    <w:rsid w:val="001515C9"/>
    <w:rsid w:val="0015330B"/>
    <w:rsid w:val="00157C13"/>
    <w:rsid w:val="00160B05"/>
    <w:rsid w:val="001656E2"/>
    <w:rsid w:val="00165C99"/>
    <w:rsid w:val="00165E8F"/>
    <w:rsid w:val="00167A34"/>
    <w:rsid w:val="00171561"/>
    <w:rsid w:val="00176BB3"/>
    <w:rsid w:val="00177EEF"/>
    <w:rsid w:val="00192668"/>
    <w:rsid w:val="00196529"/>
    <w:rsid w:val="001A16EC"/>
    <w:rsid w:val="001A7870"/>
    <w:rsid w:val="001B3A00"/>
    <w:rsid w:val="001B4C00"/>
    <w:rsid w:val="001B7513"/>
    <w:rsid w:val="001C075F"/>
    <w:rsid w:val="001C1B41"/>
    <w:rsid w:val="001C2570"/>
    <w:rsid w:val="001C5E53"/>
    <w:rsid w:val="001C637B"/>
    <w:rsid w:val="001D65EF"/>
    <w:rsid w:val="001E49E7"/>
    <w:rsid w:val="001F0F69"/>
    <w:rsid w:val="001F271B"/>
    <w:rsid w:val="001F6104"/>
    <w:rsid w:val="001F7201"/>
    <w:rsid w:val="001F757A"/>
    <w:rsid w:val="002008ED"/>
    <w:rsid w:val="00202689"/>
    <w:rsid w:val="00204931"/>
    <w:rsid w:val="00211014"/>
    <w:rsid w:val="00211E8C"/>
    <w:rsid w:val="00217557"/>
    <w:rsid w:val="0022363B"/>
    <w:rsid w:val="00223A29"/>
    <w:rsid w:val="00224011"/>
    <w:rsid w:val="002250A3"/>
    <w:rsid w:val="002255B8"/>
    <w:rsid w:val="00226C05"/>
    <w:rsid w:val="00231294"/>
    <w:rsid w:val="002347EF"/>
    <w:rsid w:val="00235217"/>
    <w:rsid w:val="002355A9"/>
    <w:rsid w:val="0024348B"/>
    <w:rsid w:val="002440E4"/>
    <w:rsid w:val="0024632C"/>
    <w:rsid w:val="00246C92"/>
    <w:rsid w:val="00246D1F"/>
    <w:rsid w:val="00247403"/>
    <w:rsid w:val="00247542"/>
    <w:rsid w:val="002536A6"/>
    <w:rsid w:val="00254FD9"/>
    <w:rsid w:val="00263845"/>
    <w:rsid w:val="00266B61"/>
    <w:rsid w:val="0026712A"/>
    <w:rsid w:val="002704DB"/>
    <w:rsid w:val="002712B8"/>
    <w:rsid w:val="00272CD0"/>
    <w:rsid w:val="00277BDA"/>
    <w:rsid w:val="00283849"/>
    <w:rsid w:val="002862CA"/>
    <w:rsid w:val="0029575A"/>
    <w:rsid w:val="002A0756"/>
    <w:rsid w:val="002A0AAE"/>
    <w:rsid w:val="002A5820"/>
    <w:rsid w:val="002B4168"/>
    <w:rsid w:val="002B5F45"/>
    <w:rsid w:val="002B6B87"/>
    <w:rsid w:val="002C3350"/>
    <w:rsid w:val="002C4D17"/>
    <w:rsid w:val="002C53DE"/>
    <w:rsid w:val="002D2B26"/>
    <w:rsid w:val="002D7EA2"/>
    <w:rsid w:val="002E187C"/>
    <w:rsid w:val="002E3103"/>
    <w:rsid w:val="002E3615"/>
    <w:rsid w:val="002E7512"/>
    <w:rsid w:val="002F3724"/>
    <w:rsid w:val="002F556E"/>
    <w:rsid w:val="002F741F"/>
    <w:rsid w:val="00302733"/>
    <w:rsid w:val="00307001"/>
    <w:rsid w:val="003121D5"/>
    <w:rsid w:val="00312244"/>
    <w:rsid w:val="00314078"/>
    <w:rsid w:val="0031535D"/>
    <w:rsid w:val="00315F97"/>
    <w:rsid w:val="003239B8"/>
    <w:rsid w:val="0033169F"/>
    <w:rsid w:val="00340880"/>
    <w:rsid w:val="0034170A"/>
    <w:rsid w:val="0034224A"/>
    <w:rsid w:val="00343438"/>
    <w:rsid w:val="00344977"/>
    <w:rsid w:val="00346C95"/>
    <w:rsid w:val="00351155"/>
    <w:rsid w:val="00356185"/>
    <w:rsid w:val="00360380"/>
    <w:rsid w:val="003652C9"/>
    <w:rsid w:val="003739ED"/>
    <w:rsid w:val="0037519E"/>
    <w:rsid w:val="00386C6C"/>
    <w:rsid w:val="00386CF0"/>
    <w:rsid w:val="00390561"/>
    <w:rsid w:val="003942EC"/>
    <w:rsid w:val="00395BA0"/>
    <w:rsid w:val="003A5F3E"/>
    <w:rsid w:val="003A6337"/>
    <w:rsid w:val="003B4FF6"/>
    <w:rsid w:val="003B70FB"/>
    <w:rsid w:val="003C6112"/>
    <w:rsid w:val="003C676B"/>
    <w:rsid w:val="003D0A55"/>
    <w:rsid w:val="003D3455"/>
    <w:rsid w:val="003D3BC2"/>
    <w:rsid w:val="003E2D06"/>
    <w:rsid w:val="003E32D5"/>
    <w:rsid w:val="003E4C53"/>
    <w:rsid w:val="003E561B"/>
    <w:rsid w:val="003E614F"/>
    <w:rsid w:val="003E6CA1"/>
    <w:rsid w:val="003E7BAB"/>
    <w:rsid w:val="004065A8"/>
    <w:rsid w:val="004129A4"/>
    <w:rsid w:val="004130CC"/>
    <w:rsid w:val="004153F5"/>
    <w:rsid w:val="004165C2"/>
    <w:rsid w:val="004172B2"/>
    <w:rsid w:val="00424C18"/>
    <w:rsid w:val="004260B2"/>
    <w:rsid w:val="004304AD"/>
    <w:rsid w:val="004306B2"/>
    <w:rsid w:val="00433470"/>
    <w:rsid w:val="00434666"/>
    <w:rsid w:val="00435F47"/>
    <w:rsid w:val="00441ECB"/>
    <w:rsid w:val="0044401D"/>
    <w:rsid w:val="00445193"/>
    <w:rsid w:val="00447158"/>
    <w:rsid w:val="00447CCF"/>
    <w:rsid w:val="004565BA"/>
    <w:rsid w:val="00462C1B"/>
    <w:rsid w:val="00467B7E"/>
    <w:rsid w:val="0047080D"/>
    <w:rsid w:val="00473BB4"/>
    <w:rsid w:val="00475AF4"/>
    <w:rsid w:val="00476211"/>
    <w:rsid w:val="00477592"/>
    <w:rsid w:val="00477C72"/>
    <w:rsid w:val="00486F1C"/>
    <w:rsid w:val="004928AB"/>
    <w:rsid w:val="0049419D"/>
    <w:rsid w:val="00496DC5"/>
    <w:rsid w:val="004A39A4"/>
    <w:rsid w:val="004A3B5E"/>
    <w:rsid w:val="004A59CC"/>
    <w:rsid w:val="004A6A54"/>
    <w:rsid w:val="004B4657"/>
    <w:rsid w:val="004B6CDE"/>
    <w:rsid w:val="004B7E8B"/>
    <w:rsid w:val="004C20D2"/>
    <w:rsid w:val="004C2312"/>
    <w:rsid w:val="004C3785"/>
    <w:rsid w:val="004C3EEA"/>
    <w:rsid w:val="004C4B62"/>
    <w:rsid w:val="004C54C9"/>
    <w:rsid w:val="004C616A"/>
    <w:rsid w:val="004D4ABA"/>
    <w:rsid w:val="004D6025"/>
    <w:rsid w:val="004D724D"/>
    <w:rsid w:val="004E19B1"/>
    <w:rsid w:val="004E2649"/>
    <w:rsid w:val="004F64F9"/>
    <w:rsid w:val="004F67B4"/>
    <w:rsid w:val="00501399"/>
    <w:rsid w:val="00501652"/>
    <w:rsid w:val="00502140"/>
    <w:rsid w:val="00504A76"/>
    <w:rsid w:val="00505DEC"/>
    <w:rsid w:val="0050633D"/>
    <w:rsid w:val="00507BC4"/>
    <w:rsid w:val="00511F07"/>
    <w:rsid w:val="005128E4"/>
    <w:rsid w:val="005133DB"/>
    <w:rsid w:val="00517267"/>
    <w:rsid w:val="005221D8"/>
    <w:rsid w:val="00525560"/>
    <w:rsid w:val="00525AF0"/>
    <w:rsid w:val="00526F42"/>
    <w:rsid w:val="00531009"/>
    <w:rsid w:val="0053535B"/>
    <w:rsid w:val="00537554"/>
    <w:rsid w:val="005415E6"/>
    <w:rsid w:val="00544216"/>
    <w:rsid w:val="00544C49"/>
    <w:rsid w:val="005456A1"/>
    <w:rsid w:val="005516A1"/>
    <w:rsid w:val="00563557"/>
    <w:rsid w:val="0056618E"/>
    <w:rsid w:val="005719D4"/>
    <w:rsid w:val="00571A0E"/>
    <w:rsid w:val="0057402A"/>
    <w:rsid w:val="00574513"/>
    <w:rsid w:val="00574832"/>
    <w:rsid w:val="00574CB7"/>
    <w:rsid w:val="00577010"/>
    <w:rsid w:val="005771D0"/>
    <w:rsid w:val="00586EF1"/>
    <w:rsid w:val="0059191A"/>
    <w:rsid w:val="005921FF"/>
    <w:rsid w:val="00594707"/>
    <w:rsid w:val="00594DC5"/>
    <w:rsid w:val="005A24ED"/>
    <w:rsid w:val="005A6D0E"/>
    <w:rsid w:val="005B37CC"/>
    <w:rsid w:val="005B52B0"/>
    <w:rsid w:val="005B6806"/>
    <w:rsid w:val="005B6D22"/>
    <w:rsid w:val="005B6E38"/>
    <w:rsid w:val="005C23EE"/>
    <w:rsid w:val="005C261A"/>
    <w:rsid w:val="005C4225"/>
    <w:rsid w:val="005C7989"/>
    <w:rsid w:val="005D13DE"/>
    <w:rsid w:val="005D3CE8"/>
    <w:rsid w:val="005D66AD"/>
    <w:rsid w:val="005E0B65"/>
    <w:rsid w:val="005E11B2"/>
    <w:rsid w:val="005E1814"/>
    <w:rsid w:val="005F0DAD"/>
    <w:rsid w:val="005F0F33"/>
    <w:rsid w:val="005F18E8"/>
    <w:rsid w:val="005F48B0"/>
    <w:rsid w:val="005F4928"/>
    <w:rsid w:val="00600DEB"/>
    <w:rsid w:val="00602A1C"/>
    <w:rsid w:val="00604F24"/>
    <w:rsid w:val="006068B7"/>
    <w:rsid w:val="00606A96"/>
    <w:rsid w:val="00613449"/>
    <w:rsid w:val="00615B4C"/>
    <w:rsid w:val="006165C0"/>
    <w:rsid w:val="00622A44"/>
    <w:rsid w:val="006277DE"/>
    <w:rsid w:val="00627C9F"/>
    <w:rsid w:val="006311E9"/>
    <w:rsid w:val="00632354"/>
    <w:rsid w:val="00642810"/>
    <w:rsid w:val="0064588D"/>
    <w:rsid w:val="00647756"/>
    <w:rsid w:val="006509DA"/>
    <w:rsid w:val="00652333"/>
    <w:rsid w:val="0067213F"/>
    <w:rsid w:val="006775AB"/>
    <w:rsid w:val="0068009E"/>
    <w:rsid w:val="00680510"/>
    <w:rsid w:val="006819E9"/>
    <w:rsid w:val="00684011"/>
    <w:rsid w:val="00686471"/>
    <w:rsid w:val="0068794B"/>
    <w:rsid w:val="00691BBE"/>
    <w:rsid w:val="00692219"/>
    <w:rsid w:val="00692506"/>
    <w:rsid w:val="0069402E"/>
    <w:rsid w:val="00696E28"/>
    <w:rsid w:val="006A0ABD"/>
    <w:rsid w:val="006A17D2"/>
    <w:rsid w:val="006A2B83"/>
    <w:rsid w:val="006A579F"/>
    <w:rsid w:val="006A73E6"/>
    <w:rsid w:val="006B2755"/>
    <w:rsid w:val="006B2D5C"/>
    <w:rsid w:val="006B2EE8"/>
    <w:rsid w:val="006C1AE6"/>
    <w:rsid w:val="006C3AAE"/>
    <w:rsid w:val="006C4EB1"/>
    <w:rsid w:val="006C724D"/>
    <w:rsid w:val="006C7E85"/>
    <w:rsid w:val="006E0166"/>
    <w:rsid w:val="006E499F"/>
    <w:rsid w:val="006E772A"/>
    <w:rsid w:val="006E780B"/>
    <w:rsid w:val="006E7B34"/>
    <w:rsid w:val="006F186A"/>
    <w:rsid w:val="006F33EB"/>
    <w:rsid w:val="006F5611"/>
    <w:rsid w:val="0070697F"/>
    <w:rsid w:val="00713524"/>
    <w:rsid w:val="00714638"/>
    <w:rsid w:val="007176A8"/>
    <w:rsid w:val="0072199C"/>
    <w:rsid w:val="00722C9F"/>
    <w:rsid w:val="007253B8"/>
    <w:rsid w:val="00725ABA"/>
    <w:rsid w:val="00727B0E"/>
    <w:rsid w:val="0073598C"/>
    <w:rsid w:val="0073741F"/>
    <w:rsid w:val="00742E81"/>
    <w:rsid w:val="007458F5"/>
    <w:rsid w:val="00757B67"/>
    <w:rsid w:val="00762793"/>
    <w:rsid w:val="0076643F"/>
    <w:rsid w:val="00773BAA"/>
    <w:rsid w:val="007773E8"/>
    <w:rsid w:val="00777F63"/>
    <w:rsid w:val="007852B5"/>
    <w:rsid w:val="00785BA6"/>
    <w:rsid w:val="00787D1E"/>
    <w:rsid w:val="00796A37"/>
    <w:rsid w:val="00797B16"/>
    <w:rsid w:val="007A0DF6"/>
    <w:rsid w:val="007A1A59"/>
    <w:rsid w:val="007A3985"/>
    <w:rsid w:val="007A4D91"/>
    <w:rsid w:val="007A5817"/>
    <w:rsid w:val="007B05C4"/>
    <w:rsid w:val="007B07AD"/>
    <w:rsid w:val="007B07B0"/>
    <w:rsid w:val="007B552C"/>
    <w:rsid w:val="007B60E9"/>
    <w:rsid w:val="007B6CC3"/>
    <w:rsid w:val="007C1783"/>
    <w:rsid w:val="007C3334"/>
    <w:rsid w:val="007C3F7F"/>
    <w:rsid w:val="007C402A"/>
    <w:rsid w:val="007D2B98"/>
    <w:rsid w:val="007D3E30"/>
    <w:rsid w:val="007D4C79"/>
    <w:rsid w:val="007D7C02"/>
    <w:rsid w:val="007E21BC"/>
    <w:rsid w:val="007E326A"/>
    <w:rsid w:val="007E57E8"/>
    <w:rsid w:val="007E58FE"/>
    <w:rsid w:val="007E7C82"/>
    <w:rsid w:val="007F243B"/>
    <w:rsid w:val="007F588D"/>
    <w:rsid w:val="008005C5"/>
    <w:rsid w:val="0080109A"/>
    <w:rsid w:val="00802748"/>
    <w:rsid w:val="00803F1C"/>
    <w:rsid w:val="0080600E"/>
    <w:rsid w:val="00817612"/>
    <w:rsid w:val="00833725"/>
    <w:rsid w:val="008338A4"/>
    <w:rsid w:val="00834D49"/>
    <w:rsid w:val="00836C96"/>
    <w:rsid w:val="00837C45"/>
    <w:rsid w:val="008411F0"/>
    <w:rsid w:val="008439BC"/>
    <w:rsid w:val="00844730"/>
    <w:rsid w:val="008457C2"/>
    <w:rsid w:val="0085012B"/>
    <w:rsid w:val="0085742D"/>
    <w:rsid w:val="00857A82"/>
    <w:rsid w:val="008631EA"/>
    <w:rsid w:val="00864892"/>
    <w:rsid w:val="00865C03"/>
    <w:rsid w:val="00871526"/>
    <w:rsid w:val="00871743"/>
    <w:rsid w:val="00873836"/>
    <w:rsid w:val="00875668"/>
    <w:rsid w:val="0087622C"/>
    <w:rsid w:val="008846D2"/>
    <w:rsid w:val="00885737"/>
    <w:rsid w:val="008904C7"/>
    <w:rsid w:val="00890650"/>
    <w:rsid w:val="00897E12"/>
    <w:rsid w:val="008A0AB0"/>
    <w:rsid w:val="008A0F81"/>
    <w:rsid w:val="008A310C"/>
    <w:rsid w:val="008A7E0F"/>
    <w:rsid w:val="008B12F5"/>
    <w:rsid w:val="008B5932"/>
    <w:rsid w:val="008C2526"/>
    <w:rsid w:val="008C2DA5"/>
    <w:rsid w:val="008C3D4A"/>
    <w:rsid w:val="008C5751"/>
    <w:rsid w:val="008D0278"/>
    <w:rsid w:val="008D32A3"/>
    <w:rsid w:val="008D4F58"/>
    <w:rsid w:val="008D768D"/>
    <w:rsid w:val="008E0878"/>
    <w:rsid w:val="008E0FD8"/>
    <w:rsid w:val="008E328A"/>
    <w:rsid w:val="008E3331"/>
    <w:rsid w:val="008E36A9"/>
    <w:rsid w:val="008E3759"/>
    <w:rsid w:val="008E3BFE"/>
    <w:rsid w:val="008E485E"/>
    <w:rsid w:val="008E633A"/>
    <w:rsid w:val="008E71DE"/>
    <w:rsid w:val="008E7900"/>
    <w:rsid w:val="008F1912"/>
    <w:rsid w:val="008F1B00"/>
    <w:rsid w:val="008F55F8"/>
    <w:rsid w:val="0090270B"/>
    <w:rsid w:val="009041DC"/>
    <w:rsid w:val="00907DF0"/>
    <w:rsid w:val="00912BE1"/>
    <w:rsid w:val="00917B5A"/>
    <w:rsid w:val="00920A58"/>
    <w:rsid w:val="00920A8C"/>
    <w:rsid w:val="00922ADC"/>
    <w:rsid w:val="00932210"/>
    <w:rsid w:val="0093391E"/>
    <w:rsid w:val="00934A2C"/>
    <w:rsid w:val="00935F06"/>
    <w:rsid w:val="00937B3A"/>
    <w:rsid w:val="00943467"/>
    <w:rsid w:val="00943E0A"/>
    <w:rsid w:val="009457AD"/>
    <w:rsid w:val="00947015"/>
    <w:rsid w:val="0095154A"/>
    <w:rsid w:val="00951649"/>
    <w:rsid w:val="00954B82"/>
    <w:rsid w:val="00957000"/>
    <w:rsid w:val="00960865"/>
    <w:rsid w:val="009622B0"/>
    <w:rsid w:val="00962436"/>
    <w:rsid w:val="0096706E"/>
    <w:rsid w:val="0097021A"/>
    <w:rsid w:val="00974491"/>
    <w:rsid w:val="00974EEF"/>
    <w:rsid w:val="00975C4E"/>
    <w:rsid w:val="00981FBA"/>
    <w:rsid w:val="0098329A"/>
    <w:rsid w:val="009851CB"/>
    <w:rsid w:val="00987371"/>
    <w:rsid w:val="009941AA"/>
    <w:rsid w:val="00997BC5"/>
    <w:rsid w:val="009A3D60"/>
    <w:rsid w:val="009A4F41"/>
    <w:rsid w:val="009B2B8B"/>
    <w:rsid w:val="009B381B"/>
    <w:rsid w:val="009B4BA4"/>
    <w:rsid w:val="009C2FC5"/>
    <w:rsid w:val="009D1753"/>
    <w:rsid w:val="009D4606"/>
    <w:rsid w:val="009D5945"/>
    <w:rsid w:val="009D6502"/>
    <w:rsid w:val="009D7611"/>
    <w:rsid w:val="009D78A5"/>
    <w:rsid w:val="009E08DD"/>
    <w:rsid w:val="009E0B61"/>
    <w:rsid w:val="009E53DE"/>
    <w:rsid w:val="009E7C00"/>
    <w:rsid w:val="00A05333"/>
    <w:rsid w:val="00A053FD"/>
    <w:rsid w:val="00A05740"/>
    <w:rsid w:val="00A05EF8"/>
    <w:rsid w:val="00A0691C"/>
    <w:rsid w:val="00A11E44"/>
    <w:rsid w:val="00A154C8"/>
    <w:rsid w:val="00A22397"/>
    <w:rsid w:val="00A273A2"/>
    <w:rsid w:val="00A32313"/>
    <w:rsid w:val="00A328B3"/>
    <w:rsid w:val="00A4542B"/>
    <w:rsid w:val="00A46D0C"/>
    <w:rsid w:val="00A47777"/>
    <w:rsid w:val="00A50FCF"/>
    <w:rsid w:val="00A524C1"/>
    <w:rsid w:val="00A528D1"/>
    <w:rsid w:val="00A55413"/>
    <w:rsid w:val="00A56C95"/>
    <w:rsid w:val="00A610CD"/>
    <w:rsid w:val="00A625E0"/>
    <w:rsid w:val="00A6276D"/>
    <w:rsid w:val="00A66405"/>
    <w:rsid w:val="00A671AF"/>
    <w:rsid w:val="00A7339B"/>
    <w:rsid w:val="00A74947"/>
    <w:rsid w:val="00A758AA"/>
    <w:rsid w:val="00A76423"/>
    <w:rsid w:val="00A764C2"/>
    <w:rsid w:val="00A85D88"/>
    <w:rsid w:val="00A92093"/>
    <w:rsid w:val="00A95835"/>
    <w:rsid w:val="00AA09A2"/>
    <w:rsid w:val="00AA29E4"/>
    <w:rsid w:val="00AA2B32"/>
    <w:rsid w:val="00AA7996"/>
    <w:rsid w:val="00AB6C7D"/>
    <w:rsid w:val="00AB7221"/>
    <w:rsid w:val="00AC19CB"/>
    <w:rsid w:val="00AC4031"/>
    <w:rsid w:val="00AC5D27"/>
    <w:rsid w:val="00AD1886"/>
    <w:rsid w:val="00AE0D0D"/>
    <w:rsid w:val="00AE5488"/>
    <w:rsid w:val="00AE6F91"/>
    <w:rsid w:val="00AF5571"/>
    <w:rsid w:val="00B02D7B"/>
    <w:rsid w:val="00B04576"/>
    <w:rsid w:val="00B06B4E"/>
    <w:rsid w:val="00B07341"/>
    <w:rsid w:val="00B118FB"/>
    <w:rsid w:val="00B1667E"/>
    <w:rsid w:val="00B202B5"/>
    <w:rsid w:val="00B20C03"/>
    <w:rsid w:val="00B26A49"/>
    <w:rsid w:val="00B30539"/>
    <w:rsid w:val="00B314DB"/>
    <w:rsid w:val="00B3283F"/>
    <w:rsid w:val="00B33467"/>
    <w:rsid w:val="00B34531"/>
    <w:rsid w:val="00B361F2"/>
    <w:rsid w:val="00B3718B"/>
    <w:rsid w:val="00B4632A"/>
    <w:rsid w:val="00B473D9"/>
    <w:rsid w:val="00B5067D"/>
    <w:rsid w:val="00B5109C"/>
    <w:rsid w:val="00B530F1"/>
    <w:rsid w:val="00B53832"/>
    <w:rsid w:val="00B55889"/>
    <w:rsid w:val="00B56672"/>
    <w:rsid w:val="00B570A3"/>
    <w:rsid w:val="00B57297"/>
    <w:rsid w:val="00B736AF"/>
    <w:rsid w:val="00B742BE"/>
    <w:rsid w:val="00B840D6"/>
    <w:rsid w:val="00B87359"/>
    <w:rsid w:val="00B97946"/>
    <w:rsid w:val="00BA12E5"/>
    <w:rsid w:val="00BA1611"/>
    <w:rsid w:val="00BA276C"/>
    <w:rsid w:val="00BA32BC"/>
    <w:rsid w:val="00BA3705"/>
    <w:rsid w:val="00BA5544"/>
    <w:rsid w:val="00BA5886"/>
    <w:rsid w:val="00BB306F"/>
    <w:rsid w:val="00BB3FBD"/>
    <w:rsid w:val="00BC2EAF"/>
    <w:rsid w:val="00BC6CD0"/>
    <w:rsid w:val="00BD1C2D"/>
    <w:rsid w:val="00BD4B89"/>
    <w:rsid w:val="00BD5922"/>
    <w:rsid w:val="00BD76D9"/>
    <w:rsid w:val="00BE0ED6"/>
    <w:rsid w:val="00BE2885"/>
    <w:rsid w:val="00BF02CB"/>
    <w:rsid w:val="00BF514A"/>
    <w:rsid w:val="00BF6FD8"/>
    <w:rsid w:val="00BF775D"/>
    <w:rsid w:val="00C03680"/>
    <w:rsid w:val="00C03C7C"/>
    <w:rsid w:val="00C054DF"/>
    <w:rsid w:val="00C10AFC"/>
    <w:rsid w:val="00C21562"/>
    <w:rsid w:val="00C21762"/>
    <w:rsid w:val="00C21FEF"/>
    <w:rsid w:val="00C24543"/>
    <w:rsid w:val="00C25337"/>
    <w:rsid w:val="00C256A2"/>
    <w:rsid w:val="00C31583"/>
    <w:rsid w:val="00C31A42"/>
    <w:rsid w:val="00C35A26"/>
    <w:rsid w:val="00C37183"/>
    <w:rsid w:val="00C50332"/>
    <w:rsid w:val="00C51515"/>
    <w:rsid w:val="00C53910"/>
    <w:rsid w:val="00C5660B"/>
    <w:rsid w:val="00C56854"/>
    <w:rsid w:val="00C5788A"/>
    <w:rsid w:val="00C66B72"/>
    <w:rsid w:val="00C70A13"/>
    <w:rsid w:val="00C75163"/>
    <w:rsid w:val="00C82102"/>
    <w:rsid w:val="00C87AC4"/>
    <w:rsid w:val="00C94201"/>
    <w:rsid w:val="00C9567A"/>
    <w:rsid w:val="00CA15F4"/>
    <w:rsid w:val="00CA48A3"/>
    <w:rsid w:val="00CA51A0"/>
    <w:rsid w:val="00CA566F"/>
    <w:rsid w:val="00CB1420"/>
    <w:rsid w:val="00CB2088"/>
    <w:rsid w:val="00CB212D"/>
    <w:rsid w:val="00CB2660"/>
    <w:rsid w:val="00CB5157"/>
    <w:rsid w:val="00CB7C9C"/>
    <w:rsid w:val="00CC2290"/>
    <w:rsid w:val="00CC5E90"/>
    <w:rsid w:val="00CD046C"/>
    <w:rsid w:val="00CD186A"/>
    <w:rsid w:val="00CE0222"/>
    <w:rsid w:val="00CE076C"/>
    <w:rsid w:val="00CE5199"/>
    <w:rsid w:val="00CE66D5"/>
    <w:rsid w:val="00CF637A"/>
    <w:rsid w:val="00D059DE"/>
    <w:rsid w:val="00D05ABD"/>
    <w:rsid w:val="00D13FCE"/>
    <w:rsid w:val="00D17E8C"/>
    <w:rsid w:val="00D20D10"/>
    <w:rsid w:val="00D306D1"/>
    <w:rsid w:val="00D30800"/>
    <w:rsid w:val="00D30B5A"/>
    <w:rsid w:val="00D34786"/>
    <w:rsid w:val="00D37BFC"/>
    <w:rsid w:val="00D40C2A"/>
    <w:rsid w:val="00D42822"/>
    <w:rsid w:val="00D42F8F"/>
    <w:rsid w:val="00D47A8E"/>
    <w:rsid w:val="00D52D14"/>
    <w:rsid w:val="00D55256"/>
    <w:rsid w:val="00D56D93"/>
    <w:rsid w:val="00D66518"/>
    <w:rsid w:val="00D712D3"/>
    <w:rsid w:val="00D71422"/>
    <w:rsid w:val="00D72DC6"/>
    <w:rsid w:val="00D73F5E"/>
    <w:rsid w:val="00D7558D"/>
    <w:rsid w:val="00D77503"/>
    <w:rsid w:val="00D81D92"/>
    <w:rsid w:val="00D8237C"/>
    <w:rsid w:val="00D876F9"/>
    <w:rsid w:val="00D877B6"/>
    <w:rsid w:val="00D87A0D"/>
    <w:rsid w:val="00D92765"/>
    <w:rsid w:val="00D93360"/>
    <w:rsid w:val="00D93A90"/>
    <w:rsid w:val="00D95504"/>
    <w:rsid w:val="00DA0572"/>
    <w:rsid w:val="00DA4A9A"/>
    <w:rsid w:val="00DA7B5F"/>
    <w:rsid w:val="00DB5F36"/>
    <w:rsid w:val="00DB73E5"/>
    <w:rsid w:val="00DB79E8"/>
    <w:rsid w:val="00DC11E7"/>
    <w:rsid w:val="00DC3D43"/>
    <w:rsid w:val="00DC7023"/>
    <w:rsid w:val="00DC769A"/>
    <w:rsid w:val="00DD061E"/>
    <w:rsid w:val="00DD3D86"/>
    <w:rsid w:val="00DD6B9C"/>
    <w:rsid w:val="00DE0EBE"/>
    <w:rsid w:val="00DE12F0"/>
    <w:rsid w:val="00DE359E"/>
    <w:rsid w:val="00DE3DC4"/>
    <w:rsid w:val="00DE6B15"/>
    <w:rsid w:val="00DE6BD0"/>
    <w:rsid w:val="00DF1D11"/>
    <w:rsid w:val="00DF1EC4"/>
    <w:rsid w:val="00DF51E9"/>
    <w:rsid w:val="00E01489"/>
    <w:rsid w:val="00E0190E"/>
    <w:rsid w:val="00E01943"/>
    <w:rsid w:val="00E02D79"/>
    <w:rsid w:val="00E0340B"/>
    <w:rsid w:val="00E04A90"/>
    <w:rsid w:val="00E0551F"/>
    <w:rsid w:val="00E12CEC"/>
    <w:rsid w:val="00E15859"/>
    <w:rsid w:val="00E1734C"/>
    <w:rsid w:val="00E2072D"/>
    <w:rsid w:val="00E219C7"/>
    <w:rsid w:val="00E26CCA"/>
    <w:rsid w:val="00E27F56"/>
    <w:rsid w:val="00E30500"/>
    <w:rsid w:val="00E34D5A"/>
    <w:rsid w:val="00E4118C"/>
    <w:rsid w:val="00E43157"/>
    <w:rsid w:val="00E461CE"/>
    <w:rsid w:val="00E560F4"/>
    <w:rsid w:val="00E577D0"/>
    <w:rsid w:val="00E62A30"/>
    <w:rsid w:val="00E64E3F"/>
    <w:rsid w:val="00E720CA"/>
    <w:rsid w:val="00E73F9A"/>
    <w:rsid w:val="00E77751"/>
    <w:rsid w:val="00E81E00"/>
    <w:rsid w:val="00E84598"/>
    <w:rsid w:val="00E84EB5"/>
    <w:rsid w:val="00E85662"/>
    <w:rsid w:val="00E8789F"/>
    <w:rsid w:val="00E878CF"/>
    <w:rsid w:val="00E9136B"/>
    <w:rsid w:val="00E92747"/>
    <w:rsid w:val="00E9412A"/>
    <w:rsid w:val="00E94B79"/>
    <w:rsid w:val="00E96481"/>
    <w:rsid w:val="00E97B71"/>
    <w:rsid w:val="00EA3D34"/>
    <w:rsid w:val="00EA63F9"/>
    <w:rsid w:val="00EB2A3C"/>
    <w:rsid w:val="00EB3229"/>
    <w:rsid w:val="00EB454D"/>
    <w:rsid w:val="00EC0C7C"/>
    <w:rsid w:val="00EC26E9"/>
    <w:rsid w:val="00EC4323"/>
    <w:rsid w:val="00EC5EB0"/>
    <w:rsid w:val="00EC72AB"/>
    <w:rsid w:val="00ED1AC8"/>
    <w:rsid w:val="00ED2F03"/>
    <w:rsid w:val="00ED549D"/>
    <w:rsid w:val="00ED76BE"/>
    <w:rsid w:val="00ED7F05"/>
    <w:rsid w:val="00EE00E9"/>
    <w:rsid w:val="00EE014D"/>
    <w:rsid w:val="00EE3FB9"/>
    <w:rsid w:val="00EE5587"/>
    <w:rsid w:val="00EF35AB"/>
    <w:rsid w:val="00EF3D14"/>
    <w:rsid w:val="00EF4C44"/>
    <w:rsid w:val="00EF57C1"/>
    <w:rsid w:val="00EF619B"/>
    <w:rsid w:val="00F00B55"/>
    <w:rsid w:val="00F02188"/>
    <w:rsid w:val="00F02AD1"/>
    <w:rsid w:val="00F04591"/>
    <w:rsid w:val="00F06354"/>
    <w:rsid w:val="00F131BD"/>
    <w:rsid w:val="00F253CC"/>
    <w:rsid w:val="00F2579E"/>
    <w:rsid w:val="00F31FD4"/>
    <w:rsid w:val="00F332EF"/>
    <w:rsid w:val="00F355B1"/>
    <w:rsid w:val="00F36E72"/>
    <w:rsid w:val="00F37106"/>
    <w:rsid w:val="00F4423E"/>
    <w:rsid w:val="00F519CF"/>
    <w:rsid w:val="00F52466"/>
    <w:rsid w:val="00F53168"/>
    <w:rsid w:val="00F56BA5"/>
    <w:rsid w:val="00F60E22"/>
    <w:rsid w:val="00F61F41"/>
    <w:rsid w:val="00F62F66"/>
    <w:rsid w:val="00F63B39"/>
    <w:rsid w:val="00F702E7"/>
    <w:rsid w:val="00F7146D"/>
    <w:rsid w:val="00F7261C"/>
    <w:rsid w:val="00F81395"/>
    <w:rsid w:val="00F81887"/>
    <w:rsid w:val="00F81BB8"/>
    <w:rsid w:val="00F902E6"/>
    <w:rsid w:val="00F915D7"/>
    <w:rsid w:val="00F917D1"/>
    <w:rsid w:val="00F9342C"/>
    <w:rsid w:val="00F95F58"/>
    <w:rsid w:val="00F9653B"/>
    <w:rsid w:val="00FA2322"/>
    <w:rsid w:val="00FA2851"/>
    <w:rsid w:val="00FA56EA"/>
    <w:rsid w:val="00FB30BA"/>
    <w:rsid w:val="00FB48AB"/>
    <w:rsid w:val="00FB62CF"/>
    <w:rsid w:val="00FC05AA"/>
    <w:rsid w:val="00FC0F4A"/>
    <w:rsid w:val="00FC3330"/>
    <w:rsid w:val="00FC4936"/>
    <w:rsid w:val="00FC63DC"/>
    <w:rsid w:val="00FC6D26"/>
    <w:rsid w:val="00FC729A"/>
    <w:rsid w:val="00FD017C"/>
    <w:rsid w:val="00FD3C3B"/>
    <w:rsid w:val="00FD6AD1"/>
    <w:rsid w:val="00FE0603"/>
    <w:rsid w:val="00FE07DD"/>
    <w:rsid w:val="00FE6B45"/>
    <w:rsid w:val="00FF55F3"/>
    <w:rsid w:val="00FF5851"/>
    <w:rsid w:val="00FF7B79"/>
    <w:rsid w:val="00FF7BB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21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C7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fr-FR" w:eastAsia="fr-FR"/>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val="fr-FR" w:eastAsia="fr-FR"/>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unhideWhenUsed/>
    <w:rsid w:val="005B6D22"/>
    <w:rPr>
      <w:sz w:val="20"/>
      <w:szCs w:val="20"/>
    </w:rPr>
  </w:style>
  <w:style w:type="character" w:customStyle="1" w:styleId="CommentTextChar">
    <w:name w:val="Comment Text Char"/>
    <w:basedOn w:val="DefaultParagraphFont"/>
    <w:link w:val="CommentText"/>
    <w:uiPriority w:val="99"/>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Emphasis">
    <w:name w:val="Emphasis"/>
    <w:basedOn w:val="DefaultParagraphFont"/>
    <w:uiPriority w:val="20"/>
    <w:qFormat/>
    <w:rsid w:val="002C4D17"/>
    <w:rPr>
      <w:i/>
      <w:iCs/>
    </w:rPr>
  </w:style>
  <w:style w:type="paragraph" w:styleId="NormalWeb">
    <w:name w:val="Normal (Web)"/>
    <w:basedOn w:val="Normal"/>
    <w:uiPriority w:val="99"/>
    <w:unhideWhenUsed/>
    <w:rsid w:val="00E9412A"/>
    <w:pPr>
      <w:spacing w:before="100" w:beforeAutospacing="1" w:after="100" w:afterAutospacing="1"/>
    </w:pPr>
  </w:style>
  <w:style w:type="paragraph" w:styleId="HTMLPreformatted">
    <w:name w:val="HTML Preformatted"/>
    <w:basedOn w:val="Normal"/>
    <w:link w:val="HTMLPreformattedChar"/>
    <w:uiPriority w:val="99"/>
    <w:semiHidden/>
    <w:unhideWhenUsed/>
    <w:rsid w:val="00A0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05EF8"/>
    <w:rPr>
      <w:rFonts w:ascii="Courier New" w:eastAsia="Times New Roman" w:hAnsi="Courier New" w:cs="Courier New"/>
      <w:bdr w:val="none" w:sz="0" w:space="0" w:color="auto"/>
      <w:lang w:val="fr-FR" w:eastAsia="fr-FR"/>
    </w:rPr>
  </w:style>
  <w:style w:type="character" w:styleId="PlaceholderText">
    <w:name w:val="Placeholder Text"/>
    <w:basedOn w:val="DefaultParagraphFont"/>
    <w:uiPriority w:val="99"/>
    <w:semiHidden/>
    <w:rsid w:val="002E36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6056">
      <w:bodyDiv w:val="1"/>
      <w:marLeft w:val="0"/>
      <w:marRight w:val="0"/>
      <w:marTop w:val="0"/>
      <w:marBottom w:val="0"/>
      <w:divBdr>
        <w:top w:val="none" w:sz="0" w:space="0" w:color="auto"/>
        <w:left w:val="none" w:sz="0" w:space="0" w:color="auto"/>
        <w:bottom w:val="none" w:sz="0" w:space="0" w:color="auto"/>
        <w:right w:val="none" w:sz="0" w:space="0" w:color="auto"/>
      </w:divBdr>
    </w:div>
    <w:div w:id="94256325">
      <w:bodyDiv w:val="1"/>
      <w:marLeft w:val="0"/>
      <w:marRight w:val="0"/>
      <w:marTop w:val="0"/>
      <w:marBottom w:val="0"/>
      <w:divBdr>
        <w:top w:val="none" w:sz="0" w:space="0" w:color="auto"/>
        <w:left w:val="none" w:sz="0" w:space="0" w:color="auto"/>
        <w:bottom w:val="none" w:sz="0" w:space="0" w:color="auto"/>
        <w:right w:val="none" w:sz="0" w:space="0" w:color="auto"/>
      </w:divBdr>
    </w:div>
    <w:div w:id="99692349">
      <w:bodyDiv w:val="1"/>
      <w:marLeft w:val="0"/>
      <w:marRight w:val="0"/>
      <w:marTop w:val="0"/>
      <w:marBottom w:val="0"/>
      <w:divBdr>
        <w:top w:val="none" w:sz="0" w:space="0" w:color="auto"/>
        <w:left w:val="none" w:sz="0" w:space="0" w:color="auto"/>
        <w:bottom w:val="none" w:sz="0" w:space="0" w:color="auto"/>
        <w:right w:val="none" w:sz="0" w:space="0" w:color="auto"/>
      </w:divBdr>
    </w:div>
    <w:div w:id="176892414">
      <w:bodyDiv w:val="1"/>
      <w:marLeft w:val="0"/>
      <w:marRight w:val="0"/>
      <w:marTop w:val="0"/>
      <w:marBottom w:val="0"/>
      <w:divBdr>
        <w:top w:val="none" w:sz="0" w:space="0" w:color="auto"/>
        <w:left w:val="none" w:sz="0" w:space="0" w:color="auto"/>
        <w:bottom w:val="none" w:sz="0" w:space="0" w:color="auto"/>
        <w:right w:val="none" w:sz="0" w:space="0" w:color="auto"/>
      </w:divBdr>
      <w:divsChild>
        <w:div w:id="1474249810">
          <w:marLeft w:val="0"/>
          <w:marRight w:val="0"/>
          <w:marTop w:val="0"/>
          <w:marBottom w:val="0"/>
          <w:divBdr>
            <w:top w:val="none" w:sz="0" w:space="0" w:color="auto"/>
            <w:left w:val="none" w:sz="0" w:space="0" w:color="auto"/>
            <w:bottom w:val="none" w:sz="0" w:space="0" w:color="auto"/>
            <w:right w:val="none" w:sz="0" w:space="0" w:color="auto"/>
          </w:divBdr>
          <w:divsChild>
            <w:div w:id="1803158047">
              <w:marLeft w:val="0"/>
              <w:marRight w:val="0"/>
              <w:marTop w:val="0"/>
              <w:marBottom w:val="0"/>
              <w:divBdr>
                <w:top w:val="none" w:sz="0" w:space="0" w:color="auto"/>
                <w:left w:val="none" w:sz="0" w:space="0" w:color="auto"/>
                <w:bottom w:val="none" w:sz="0" w:space="0" w:color="auto"/>
                <w:right w:val="none" w:sz="0" w:space="0" w:color="auto"/>
              </w:divBdr>
              <w:divsChild>
                <w:div w:id="6182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664335">
      <w:bodyDiv w:val="1"/>
      <w:marLeft w:val="0"/>
      <w:marRight w:val="0"/>
      <w:marTop w:val="0"/>
      <w:marBottom w:val="0"/>
      <w:divBdr>
        <w:top w:val="none" w:sz="0" w:space="0" w:color="auto"/>
        <w:left w:val="none" w:sz="0" w:space="0" w:color="auto"/>
        <w:bottom w:val="none" w:sz="0" w:space="0" w:color="auto"/>
        <w:right w:val="none" w:sz="0" w:space="0" w:color="auto"/>
      </w:divBdr>
    </w:div>
    <w:div w:id="361128698">
      <w:bodyDiv w:val="1"/>
      <w:marLeft w:val="0"/>
      <w:marRight w:val="0"/>
      <w:marTop w:val="0"/>
      <w:marBottom w:val="0"/>
      <w:divBdr>
        <w:top w:val="none" w:sz="0" w:space="0" w:color="auto"/>
        <w:left w:val="none" w:sz="0" w:space="0" w:color="auto"/>
        <w:bottom w:val="none" w:sz="0" w:space="0" w:color="auto"/>
        <w:right w:val="none" w:sz="0" w:space="0" w:color="auto"/>
      </w:divBdr>
    </w:div>
    <w:div w:id="395013559">
      <w:bodyDiv w:val="1"/>
      <w:marLeft w:val="0"/>
      <w:marRight w:val="0"/>
      <w:marTop w:val="0"/>
      <w:marBottom w:val="0"/>
      <w:divBdr>
        <w:top w:val="none" w:sz="0" w:space="0" w:color="auto"/>
        <w:left w:val="none" w:sz="0" w:space="0" w:color="auto"/>
        <w:bottom w:val="none" w:sz="0" w:space="0" w:color="auto"/>
        <w:right w:val="none" w:sz="0" w:space="0" w:color="auto"/>
      </w:divBdr>
    </w:div>
    <w:div w:id="395737943">
      <w:bodyDiv w:val="1"/>
      <w:marLeft w:val="0"/>
      <w:marRight w:val="0"/>
      <w:marTop w:val="0"/>
      <w:marBottom w:val="0"/>
      <w:divBdr>
        <w:top w:val="none" w:sz="0" w:space="0" w:color="auto"/>
        <w:left w:val="none" w:sz="0" w:space="0" w:color="auto"/>
        <w:bottom w:val="none" w:sz="0" w:space="0" w:color="auto"/>
        <w:right w:val="none" w:sz="0" w:space="0" w:color="auto"/>
      </w:divBdr>
    </w:div>
    <w:div w:id="429401383">
      <w:bodyDiv w:val="1"/>
      <w:marLeft w:val="0"/>
      <w:marRight w:val="0"/>
      <w:marTop w:val="0"/>
      <w:marBottom w:val="0"/>
      <w:divBdr>
        <w:top w:val="none" w:sz="0" w:space="0" w:color="auto"/>
        <w:left w:val="none" w:sz="0" w:space="0" w:color="auto"/>
        <w:bottom w:val="none" w:sz="0" w:space="0" w:color="auto"/>
        <w:right w:val="none" w:sz="0" w:space="0" w:color="auto"/>
      </w:divBdr>
      <w:divsChild>
        <w:div w:id="1567448888">
          <w:marLeft w:val="0"/>
          <w:marRight w:val="0"/>
          <w:marTop w:val="0"/>
          <w:marBottom w:val="0"/>
          <w:divBdr>
            <w:top w:val="none" w:sz="0" w:space="0" w:color="auto"/>
            <w:left w:val="none" w:sz="0" w:space="0" w:color="auto"/>
            <w:bottom w:val="none" w:sz="0" w:space="0" w:color="auto"/>
            <w:right w:val="none" w:sz="0" w:space="0" w:color="auto"/>
          </w:divBdr>
          <w:divsChild>
            <w:div w:id="189801847">
              <w:marLeft w:val="0"/>
              <w:marRight w:val="0"/>
              <w:marTop w:val="0"/>
              <w:marBottom w:val="0"/>
              <w:divBdr>
                <w:top w:val="none" w:sz="0" w:space="0" w:color="auto"/>
                <w:left w:val="none" w:sz="0" w:space="0" w:color="auto"/>
                <w:bottom w:val="none" w:sz="0" w:space="0" w:color="auto"/>
                <w:right w:val="none" w:sz="0" w:space="0" w:color="auto"/>
              </w:divBdr>
              <w:divsChild>
                <w:div w:id="16763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8534">
      <w:bodyDiv w:val="1"/>
      <w:marLeft w:val="0"/>
      <w:marRight w:val="0"/>
      <w:marTop w:val="0"/>
      <w:marBottom w:val="0"/>
      <w:divBdr>
        <w:top w:val="none" w:sz="0" w:space="0" w:color="auto"/>
        <w:left w:val="none" w:sz="0" w:space="0" w:color="auto"/>
        <w:bottom w:val="none" w:sz="0" w:space="0" w:color="auto"/>
        <w:right w:val="none" w:sz="0" w:space="0" w:color="auto"/>
      </w:divBdr>
    </w:div>
    <w:div w:id="529876986">
      <w:bodyDiv w:val="1"/>
      <w:marLeft w:val="0"/>
      <w:marRight w:val="0"/>
      <w:marTop w:val="0"/>
      <w:marBottom w:val="0"/>
      <w:divBdr>
        <w:top w:val="none" w:sz="0" w:space="0" w:color="auto"/>
        <w:left w:val="none" w:sz="0" w:space="0" w:color="auto"/>
        <w:bottom w:val="none" w:sz="0" w:space="0" w:color="auto"/>
        <w:right w:val="none" w:sz="0" w:space="0" w:color="auto"/>
      </w:divBdr>
      <w:divsChild>
        <w:div w:id="937174149">
          <w:marLeft w:val="0"/>
          <w:marRight w:val="0"/>
          <w:marTop w:val="0"/>
          <w:marBottom w:val="0"/>
          <w:divBdr>
            <w:top w:val="none" w:sz="0" w:space="0" w:color="auto"/>
            <w:left w:val="none" w:sz="0" w:space="0" w:color="auto"/>
            <w:bottom w:val="none" w:sz="0" w:space="0" w:color="auto"/>
            <w:right w:val="none" w:sz="0" w:space="0" w:color="auto"/>
          </w:divBdr>
          <w:divsChild>
            <w:div w:id="1612975089">
              <w:marLeft w:val="0"/>
              <w:marRight w:val="0"/>
              <w:marTop w:val="0"/>
              <w:marBottom w:val="0"/>
              <w:divBdr>
                <w:top w:val="none" w:sz="0" w:space="0" w:color="auto"/>
                <w:left w:val="none" w:sz="0" w:space="0" w:color="auto"/>
                <w:bottom w:val="none" w:sz="0" w:space="0" w:color="auto"/>
                <w:right w:val="none" w:sz="0" w:space="0" w:color="auto"/>
              </w:divBdr>
              <w:divsChild>
                <w:div w:id="17641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69468">
      <w:bodyDiv w:val="1"/>
      <w:marLeft w:val="0"/>
      <w:marRight w:val="0"/>
      <w:marTop w:val="0"/>
      <w:marBottom w:val="0"/>
      <w:divBdr>
        <w:top w:val="none" w:sz="0" w:space="0" w:color="auto"/>
        <w:left w:val="none" w:sz="0" w:space="0" w:color="auto"/>
        <w:bottom w:val="none" w:sz="0" w:space="0" w:color="auto"/>
        <w:right w:val="none" w:sz="0" w:space="0" w:color="auto"/>
      </w:divBdr>
      <w:divsChild>
        <w:div w:id="926185504">
          <w:marLeft w:val="0"/>
          <w:marRight w:val="0"/>
          <w:marTop w:val="0"/>
          <w:marBottom w:val="0"/>
          <w:divBdr>
            <w:top w:val="none" w:sz="0" w:space="0" w:color="auto"/>
            <w:left w:val="none" w:sz="0" w:space="0" w:color="auto"/>
            <w:bottom w:val="none" w:sz="0" w:space="0" w:color="auto"/>
            <w:right w:val="none" w:sz="0" w:space="0" w:color="auto"/>
          </w:divBdr>
          <w:divsChild>
            <w:div w:id="279993395">
              <w:marLeft w:val="0"/>
              <w:marRight w:val="0"/>
              <w:marTop w:val="0"/>
              <w:marBottom w:val="0"/>
              <w:divBdr>
                <w:top w:val="none" w:sz="0" w:space="0" w:color="auto"/>
                <w:left w:val="none" w:sz="0" w:space="0" w:color="auto"/>
                <w:bottom w:val="none" w:sz="0" w:space="0" w:color="auto"/>
                <w:right w:val="none" w:sz="0" w:space="0" w:color="auto"/>
              </w:divBdr>
              <w:divsChild>
                <w:div w:id="979310314">
                  <w:marLeft w:val="0"/>
                  <w:marRight w:val="0"/>
                  <w:marTop w:val="0"/>
                  <w:marBottom w:val="0"/>
                  <w:divBdr>
                    <w:top w:val="none" w:sz="0" w:space="0" w:color="auto"/>
                    <w:left w:val="none" w:sz="0" w:space="0" w:color="auto"/>
                    <w:bottom w:val="none" w:sz="0" w:space="0" w:color="auto"/>
                    <w:right w:val="none" w:sz="0" w:space="0" w:color="auto"/>
                  </w:divBdr>
                  <w:divsChild>
                    <w:div w:id="18539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615525546">
      <w:bodyDiv w:val="1"/>
      <w:marLeft w:val="0"/>
      <w:marRight w:val="0"/>
      <w:marTop w:val="0"/>
      <w:marBottom w:val="0"/>
      <w:divBdr>
        <w:top w:val="none" w:sz="0" w:space="0" w:color="auto"/>
        <w:left w:val="none" w:sz="0" w:space="0" w:color="auto"/>
        <w:bottom w:val="none" w:sz="0" w:space="0" w:color="auto"/>
        <w:right w:val="none" w:sz="0" w:space="0" w:color="auto"/>
      </w:divBdr>
    </w:div>
    <w:div w:id="620841015">
      <w:bodyDiv w:val="1"/>
      <w:marLeft w:val="0"/>
      <w:marRight w:val="0"/>
      <w:marTop w:val="0"/>
      <w:marBottom w:val="0"/>
      <w:divBdr>
        <w:top w:val="none" w:sz="0" w:space="0" w:color="auto"/>
        <w:left w:val="none" w:sz="0" w:space="0" w:color="auto"/>
        <w:bottom w:val="none" w:sz="0" w:space="0" w:color="auto"/>
        <w:right w:val="none" w:sz="0" w:space="0" w:color="auto"/>
      </w:divBdr>
    </w:div>
    <w:div w:id="624771151">
      <w:bodyDiv w:val="1"/>
      <w:marLeft w:val="0"/>
      <w:marRight w:val="0"/>
      <w:marTop w:val="0"/>
      <w:marBottom w:val="0"/>
      <w:divBdr>
        <w:top w:val="none" w:sz="0" w:space="0" w:color="auto"/>
        <w:left w:val="none" w:sz="0" w:space="0" w:color="auto"/>
        <w:bottom w:val="none" w:sz="0" w:space="0" w:color="auto"/>
        <w:right w:val="none" w:sz="0" w:space="0" w:color="auto"/>
      </w:divBdr>
    </w:div>
    <w:div w:id="642931445">
      <w:bodyDiv w:val="1"/>
      <w:marLeft w:val="0"/>
      <w:marRight w:val="0"/>
      <w:marTop w:val="0"/>
      <w:marBottom w:val="0"/>
      <w:divBdr>
        <w:top w:val="none" w:sz="0" w:space="0" w:color="auto"/>
        <w:left w:val="none" w:sz="0" w:space="0" w:color="auto"/>
        <w:bottom w:val="none" w:sz="0" w:space="0" w:color="auto"/>
        <w:right w:val="none" w:sz="0" w:space="0" w:color="auto"/>
      </w:divBdr>
    </w:div>
    <w:div w:id="650445604">
      <w:bodyDiv w:val="1"/>
      <w:marLeft w:val="0"/>
      <w:marRight w:val="0"/>
      <w:marTop w:val="0"/>
      <w:marBottom w:val="0"/>
      <w:divBdr>
        <w:top w:val="none" w:sz="0" w:space="0" w:color="auto"/>
        <w:left w:val="none" w:sz="0" w:space="0" w:color="auto"/>
        <w:bottom w:val="none" w:sz="0" w:space="0" w:color="auto"/>
        <w:right w:val="none" w:sz="0" w:space="0" w:color="auto"/>
      </w:divBdr>
    </w:div>
    <w:div w:id="662005013">
      <w:bodyDiv w:val="1"/>
      <w:marLeft w:val="0"/>
      <w:marRight w:val="0"/>
      <w:marTop w:val="0"/>
      <w:marBottom w:val="0"/>
      <w:divBdr>
        <w:top w:val="none" w:sz="0" w:space="0" w:color="auto"/>
        <w:left w:val="none" w:sz="0" w:space="0" w:color="auto"/>
        <w:bottom w:val="none" w:sz="0" w:space="0" w:color="auto"/>
        <w:right w:val="none" w:sz="0" w:space="0" w:color="auto"/>
      </w:divBdr>
    </w:div>
    <w:div w:id="662587428">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859313950">
      <w:bodyDiv w:val="1"/>
      <w:marLeft w:val="0"/>
      <w:marRight w:val="0"/>
      <w:marTop w:val="0"/>
      <w:marBottom w:val="0"/>
      <w:divBdr>
        <w:top w:val="none" w:sz="0" w:space="0" w:color="auto"/>
        <w:left w:val="none" w:sz="0" w:space="0" w:color="auto"/>
        <w:bottom w:val="none" w:sz="0" w:space="0" w:color="auto"/>
        <w:right w:val="none" w:sz="0" w:space="0" w:color="auto"/>
      </w:divBdr>
    </w:div>
    <w:div w:id="904798789">
      <w:bodyDiv w:val="1"/>
      <w:marLeft w:val="0"/>
      <w:marRight w:val="0"/>
      <w:marTop w:val="0"/>
      <w:marBottom w:val="0"/>
      <w:divBdr>
        <w:top w:val="none" w:sz="0" w:space="0" w:color="auto"/>
        <w:left w:val="none" w:sz="0" w:space="0" w:color="auto"/>
        <w:bottom w:val="none" w:sz="0" w:space="0" w:color="auto"/>
        <w:right w:val="none" w:sz="0" w:space="0" w:color="auto"/>
      </w:divBdr>
    </w:div>
    <w:div w:id="914163124">
      <w:bodyDiv w:val="1"/>
      <w:marLeft w:val="0"/>
      <w:marRight w:val="0"/>
      <w:marTop w:val="0"/>
      <w:marBottom w:val="0"/>
      <w:divBdr>
        <w:top w:val="none" w:sz="0" w:space="0" w:color="auto"/>
        <w:left w:val="none" w:sz="0" w:space="0" w:color="auto"/>
        <w:bottom w:val="none" w:sz="0" w:space="0" w:color="auto"/>
        <w:right w:val="none" w:sz="0" w:space="0" w:color="auto"/>
      </w:divBdr>
    </w:div>
    <w:div w:id="921910257">
      <w:bodyDiv w:val="1"/>
      <w:marLeft w:val="0"/>
      <w:marRight w:val="0"/>
      <w:marTop w:val="0"/>
      <w:marBottom w:val="0"/>
      <w:divBdr>
        <w:top w:val="none" w:sz="0" w:space="0" w:color="auto"/>
        <w:left w:val="none" w:sz="0" w:space="0" w:color="auto"/>
        <w:bottom w:val="none" w:sz="0" w:space="0" w:color="auto"/>
        <w:right w:val="none" w:sz="0" w:space="0" w:color="auto"/>
      </w:divBdr>
    </w:div>
    <w:div w:id="937172691">
      <w:bodyDiv w:val="1"/>
      <w:marLeft w:val="0"/>
      <w:marRight w:val="0"/>
      <w:marTop w:val="0"/>
      <w:marBottom w:val="0"/>
      <w:divBdr>
        <w:top w:val="none" w:sz="0" w:space="0" w:color="auto"/>
        <w:left w:val="none" w:sz="0" w:space="0" w:color="auto"/>
        <w:bottom w:val="none" w:sz="0" w:space="0" w:color="auto"/>
        <w:right w:val="none" w:sz="0" w:space="0" w:color="auto"/>
      </w:divBdr>
    </w:div>
    <w:div w:id="950357878">
      <w:bodyDiv w:val="1"/>
      <w:marLeft w:val="0"/>
      <w:marRight w:val="0"/>
      <w:marTop w:val="0"/>
      <w:marBottom w:val="0"/>
      <w:divBdr>
        <w:top w:val="none" w:sz="0" w:space="0" w:color="auto"/>
        <w:left w:val="none" w:sz="0" w:space="0" w:color="auto"/>
        <w:bottom w:val="none" w:sz="0" w:space="0" w:color="auto"/>
        <w:right w:val="none" w:sz="0" w:space="0" w:color="auto"/>
      </w:divBdr>
    </w:div>
    <w:div w:id="960653552">
      <w:bodyDiv w:val="1"/>
      <w:marLeft w:val="0"/>
      <w:marRight w:val="0"/>
      <w:marTop w:val="0"/>
      <w:marBottom w:val="0"/>
      <w:divBdr>
        <w:top w:val="none" w:sz="0" w:space="0" w:color="auto"/>
        <w:left w:val="none" w:sz="0" w:space="0" w:color="auto"/>
        <w:bottom w:val="none" w:sz="0" w:space="0" w:color="auto"/>
        <w:right w:val="none" w:sz="0" w:space="0" w:color="auto"/>
      </w:divBdr>
    </w:div>
    <w:div w:id="976033323">
      <w:bodyDiv w:val="1"/>
      <w:marLeft w:val="0"/>
      <w:marRight w:val="0"/>
      <w:marTop w:val="0"/>
      <w:marBottom w:val="0"/>
      <w:divBdr>
        <w:top w:val="none" w:sz="0" w:space="0" w:color="auto"/>
        <w:left w:val="none" w:sz="0" w:space="0" w:color="auto"/>
        <w:bottom w:val="none" w:sz="0" w:space="0" w:color="auto"/>
        <w:right w:val="none" w:sz="0" w:space="0" w:color="auto"/>
      </w:divBdr>
    </w:div>
    <w:div w:id="987175841">
      <w:bodyDiv w:val="1"/>
      <w:marLeft w:val="0"/>
      <w:marRight w:val="0"/>
      <w:marTop w:val="0"/>
      <w:marBottom w:val="0"/>
      <w:divBdr>
        <w:top w:val="none" w:sz="0" w:space="0" w:color="auto"/>
        <w:left w:val="none" w:sz="0" w:space="0" w:color="auto"/>
        <w:bottom w:val="none" w:sz="0" w:space="0" w:color="auto"/>
        <w:right w:val="none" w:sz="0" w:space="0" w:color="auto"/>
      </w:divBdr>
    </w:div>
    <w:div w:id="1014261297">
      <w:bodyDiv w:val="1"/>
      <w:marLeft w:val="0"/>
      <w:marRight w:val="0"/>
      <w:marTop w:val="0"/>
      <w:marBottom w:val="0"/>
      <w:divBdr>
        <w:top w:val="none" w:sz="0" w:space="0" w:color="auto"/>
        <w:left w:val="none" w:sz="0" w:space="0" w:color="auto"/>
        <w:bottom w:val="none" w:sz="0" w:space="0" w:color="auto"/>
        <w:right w:val="none" w:sz="0" w:space="0" w:color="auto"/>
      </w:divBdr>
    </w:div>
    <w:div w:id="1021592431">
      <w:bodyDiv w:val="1"/>
      <w:marLeft w:val="0"/>
      <w:marRight w:val="0"/>
      <w:marTop w:val="0"/>
      <w:marBottom w:val="0"/>
      <w:divBdr>
        <w:top w:val="none" w:sz="0" w:space="0" w:color="auto"/>
        <w:left w:val="none" w:sz="0" w:space="0" w:color="auto"/>
        <w:bottom w:val="none" w:sz="0" w:space="0" w:color="auto"/>
        <w:right w:val="none" w:sz="0" w:space="0" w:color="auto"/>
      </w:divBdr>
    </w:div>
    <w:div w:id="1045327772">
      <w:bodyDiv w:val="1"/>
      <w:marLeft w:val="0"/>
      <w:marRight w:val="0"/>
      <w:marTop w:val="0"/>
      <w:marBottom w:val="0"/>
      <w:divBdr>
        <w:top w:val="none" w:sz="0" w:space="0" w:color="auto"/>
        <w:left w:val="none" w:sz="0" w:space="0" w:color="auto"/>
        <w:bottom w:val="none" w:sz="0" w:space="0" w:color="auto"/>
        <w:right w:val="none" w:sz="0" w:space="0" w:color="auto"/>
      </w:divBdr>
      <w:divsChild>
        <w:div w:id="833379700">
          <w:marLeft w:val="0"/>
          <w:marRight w:val="0"/>
          <w:marTop w:val="0"/>
          <w:marBottom w:val="0"/>
          <w:divBdr>
            <w:top w:val="none" w:sz="0" w:space="0" w:color="auto"/>
            <w:left w:val="none" w:sz="0" w:space="0" w:color="auto"/>
            <w:bottom w:val="none" w:sz="0" w:space="0" w:color="auto"/>
            <w:right w:val="none" w:sz="0" w:space="0" w:color="auto"/>
          </w:divBdr>
          <w:divsChild>
            <w:div w:id="1137797679">
              <w:marLeft w:val="0"/>
              <w:marRight w:val="0"/>
              <w:marTop w:val="0"/>
              <w:marBottom w:val="0"/>
              <w:divBdr>
                <w:top w:val="none" w:sz="0" w:space="0" w:color="auto"/>
                <w:left w:val="none" w:sz="0" w:space="0" w:color="auto"/>
                <w:bottom w:val="none" w:sz="0" w:space="0" w:color="auto"/>
                <w:right w:val="none" w:sz="0" w:space="0" w:color="auto"/>
              </w:divBdr>
              <w:divsChild>
                <w:div w:id="801920334">
                  <w:marLeft w:val="0"/>
                  <w:marRight w:val="0"/>
                  <w:marTop w:val="0"/>
                  <w:marBottom w:val="0"/>
                  <w:divBdr>
                    <w:top w:val="none" w:sz="0" w:space="0" w:color="auto"/>
                    <w:left w:val="none" w:sz="0" w:space="0" w:color="auto"/>
                    <w:bottom w:val="none" w:sz="0" w:space="0" w:color="auto"/>
                    <w:right w:val="none" w:sz="0" w:space="0" w:color="auto"/>
                  </w:divBdr>
                  <w:divsChild>
                    <w:div w:id="7086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38165">
      <w:bodyDiv w:val="1"/>
      <w:marLeft w:val="0"/>
      <w:marRight w:val="0"/>
      <w:marTop w:val="0"/>
      <w:marBottom w:val="0"/>
      <w:divBdr>
        <w:top w:val="none" w:sz="0" w:space="0" w:color="auto"/>
        <w:left w:val="none" w:sz="0" w:space="0" w:color="auto"/>
        <w:bottom w:val="none" w:sz="0" w:space="0" w:color="auto"/>
        <w:right w:val="none" w:sz="0" w:space="0" w:color="auto"/>
      </w:divBdr>
    </w:div>
    <w:div w:id="1071733526">
      <w:bodyDiv w:val="1"/>
      <w:marLeft w:val="0"/>
      <w:marRight w:val="0"/>
      <w:marTop w:val="0"/>
      <w:marBottom w:val="0"/>
      <w:divBdr>
        <w:top w:val="none" w:sz="0" w:space="0" w:color="auto"/>
        <w:left w:val="none" w:sz="0" w:space="0" w:color="auto"/>
        <w:bottom w:val="none" w:sz="0" w:space="0" w:color="auto"/>
        <w:right w:val="none" w:sz="0" w:space="0" w:color="auto"/>
      </w:divBdr>
    </w:div>
    <w:div w:id="1129471464">
      <w:bodyDiv w:val="1"/>
      <w:marLeft w:val="0"/>
      <w:marRight w:val="0"/>
      <w:marTop w:val="0"/>
      <w:marBottom w:val="0"/>
      <w:divBdr>
        <w:top w:val="none" w:sz="0" w:space="0" w:color="auto"/>
        <w:left w:val="none" w:sz="0" w:space="0" w:color="auto"/>
        <w:bottom w:val="none" w:sz="0" w:space="0" w:color="auto"/>
        <w:right w:val="none" w:sz="0" w:space="0" w:color="auto"/>
      </w:divBdr>
    </w:div>
    <w:div w:id="1132745866">
      <w:bodyDiv w:val="1"/>
      <w:marLeft w:val="0"/>
      <w:marRight w:val="0"/>
      <w:marTop w:val="0"/>
      <w:marBottom w:val="0"/>
      <w:divBdr>
        <w:top w:val="none" w:sz="0" w:space="0" w:color="auto"/>
        <w:left w:val="none" w:sz="0" w:space="0" w:color="auto"/>
        <w:bottom w:val="none" w:sz="0" w:space="0" w:color="auto"/>
        <w:right w:val="none" w:sz="0" w:space="0" w:color="auto"/>
      </w:divBdr>
      <w:divsChild>
        <w:div w:id="36122662">
          <w:marLeft w:val="0"/>
          <w:marRight w:val="0"/>
          <w:marTop w:val="0"/>
          <w:marBottom w:val="0"/>
          <w:divBdr>
            <w:top w:val="none" w:sz="0" w:space="0" w:color="auto"/>
            <w:left w:val="none" w:sz="0" w:space="0" w:color="auto"/>
            <w:bottom w:val="none" w:sz="0" w:space="0" w:color="auto"/>
            <w:right w:val="none" w:sz="0" w:space="0" w:color="auto"/>
          </w:divBdr>
          <w:divsChild>
            <w:div w:id="237594988">
              <w:marLeft w:val="0"/>
              <w:marRight w:val="0"/>
              <w:marTop w:val="0"/>
              <w:marBottom w:val="0"/>
              <w:divBdr>
                <w:top w:val="none" w:sz="0" w:space="0" w:color="auto"/>
                <w:left w:val="none" w:sz="0" w:space="0" w:color="auto"/>
                <w:bottom w:val="none" w:sz="0" w:space="0" w:color="auto"/>
                <w:right w:val="none" w:sz="0" w:space="0" w:color="auto"/>
              </w:divBdr>
              <w:divsChild>
                <w:div w:id="15016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16720">
      <w:bodyDiv w:val="1"/>
      <w:marLeft w:val="0"/>
      <w:marRight w:val="0"/>
      <w:marTop w:val="0"/>
      <w:marBottom w:val="0"/>
      <w:divBdr>
        <w:top w:val="none" w:sz="0" w:space="0" w:color="auto"/>
        <w:left w:val="none" w:sz="0" w:space="0" w:color="auto"/>
        <w:bottom w:val="none" w:sz="0" w:space="0" w:color="auto"/>
        <w:right w:val="none" w:sz="0" w:space="0" w:color="auto"/>
      </w:divBdr>
    </w:div>
    <w:div w:id="1218014260">
      <w:bodyDiv w:val="1"/>
      <w:marLeft w:val="0"/>
      <w:marRight w:val="0"/>
      <w:marTop w:val="0"/>
      <w:marBottom w:val="0"/>
      <w:divBdr>
        <w:top w:val="none" w:sz="0" w:space="0" w:color="auto"/>
        <w:left w:val="none" w:sz="0" w:space="0" w:color="auto"/>
        <w:bottom w:val="none" w:sz="0" w:space="0" w:color="auto"/>
        <w:right w:val="none" w:sz="0" w:space="0" w:color="auto"/>
      </w:divBdr>
    </w:div>
    <w:div w:id="1293943842">
      <w:bodyDiv w:val="1"/>
      <w:marLeft w:val="0"/>
      <w:marRight w:val="0"/>
      <w:marTop w:val="0"/>
      <w:marBottom w:val="0"/>
      <w:divBdr>
        <w:top w:val="none" w:sz="0" w:space="0" w:color="auto"/>
        <w:left w:val="none" w:sz="0" w:space="0" w:color="auto"/>
        <w:bottom w:val="none" w:sz="0" w:space="0" w:color="auto"/>
        <w:right w:val="none" w:sz="0" w:space="0" w:color="auto"/>
      </w:divBdr>
      <w:divsChild>
        <w:div w:id="463276998">
          <w:marLeft w:val="0"/>
          <w:marRight w:val="0"/>
          <w:marTop w:val="0"/>
          <w:marBottom w:val="0"/>
          <w:divBdr>
            <w:top w:val="none" w:sz="0" w:space="0" w:color="auto"/>
            <w:left w:val="none" w:sz="0" w:space="0" w:color="auto"/>
            <w:bottom w:val="none" w:sz="0" w:space="0" w:color="auto"/>
            <w:right w:val="none" w:sz="0" w:space="0" w:color="auto"/>
          </w:divBdr>
        </w:div>
        <w:div w:id="761075570">
          <w:marLeft w:val="0"/>
          <w:marRight w:val="0"/>
          <w:marTop w:val="0"/>
          <w:marBottom w:val="0"/>
          <w:divBdr>
            <w:top w:val="none" w:sz="0" w:space="0" w:color="auto"/>
            <w:left w:val="none" w:sz="0" w:space="0" w:color="auto"/>
            <w:bottom w:val="none" w:sz="0" w:space="0" w:color="auto"/>
            <w:right w:val="none" w:sz="0" w:space="0" w:color="auto"/>
          </w:divBdr>
        </w:div>
      </w:divsChild>
    </w:div>
    <w:div w:id="1319112008">
      <w:bodyDiv w:val="1"/>
      <w:marLeft w:val="0"/>
      <w:marRight w:val="0"/>
      <w:marTop w:val="0"/>
      <w:marBottom w:val="0"/>
      <w:divBdr>
        <w:top w:val="none" w:sz="0" w:space="0" w:color="auto"/>
        <w:left w:val="none" w:sz="0" w:space="0" w:color="auto"/>
        <w:bottom w:val="none" w:sz="0" w:space="0" w:color="auto"/>
        <w:right w:val="none" w:sz="0" w:space="0" w:color="auto"/>
      </w:divBdr>
      <w:divsChild>
        <w:div w:id="1745183766">
          <w:marLeft w:val="0"/>
          <w:marRight w:val="0"/>
          <w:marTop w:val="0"/>
          <w:marBottom w:val="0"/>
          <w:divBdr>
            <w:top w:val="none" w:sz="0" w:space="0" w:color="auto"/>
            <w:left w:val="none" w:sz="0" w:space="0" w:color="auto"/>
            <w:bottom w:val="none" w:sz="0" w:space="0" w:color="auto"/>
            <w:right w:val="none" w:sz="0" w:space="0" w:color="auto"/>
          </w:divBdr>
          <w:divsChild>
            <w:div w:id="495459172">
              <w:marLeft w:val="0"/>
              <w:marRight w:val="0"/>
              <w:marTop w:val="0"/>
              <w:marBottom w:val="0"/>
              <w:divBdr>
                <w:top w:val="none" w:sz="0" w:space="0" w:color="auto"/>
                <w:left w:val="none" w:sz="0" w:space="0" w:color="auto"/>
                <w:bottom w:val="none" w:sz="0" w:space="0" w:color="auto"/>
                <w:right w:val="none" w:sz="0" w:space="0" w:color="auto"/>
              </w:divBdr>
              <w:divsChild>
                <w:div w:id="10485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90147">
      <w:bodyDiv w:val="1"/>
      <w:marLeft w:val="0"/>
      <w:marRight w:val="0"/>
      <w:marTop w:val="0"/>
      <w:marBottom w:val="0"/>
      <w:divBdr>
        <w:top w:val="none" w:sz="0" w:space="0" w:color="auto"/>
        <w:left w:val="none" w:sz="0" w:space="0" w:color="auto"/>
        <w:bottom w:val="none" w:sz="0" w:space="0" w:color="auto"/>
        <w:right w:val="none" w:sz="0" w:space="0" w:color="auto"/>
      </w:divBdr>
      <w:divsChild>
        <w:div w:id="893081261">
          <w:marLeft w:val="0"/>
          <w:marRight w:val="0"/>
          <w:marTop w:val="0"/>
          <w:marBottom w:val="0"/>
          <w:divBdr>
            <w:top w:val="none" w:sz="0" w:space="0" w:color="auto"/>
            <w:left w:val="none" w:sz="0" w:space="0" w:color="auto"/>
            <w:bottom w:val="none" w:sz="0" w:space="0" w:color="auto"/>
            <w:right w:val="none" w:sz="0" w:space="0" w:color="auto"/>
          </w:divBdr>
          <w:divsChild>
            <w:div w:id="222760982">
              <w:marLeft w:val="0"/>
              <w:marRight w:val="0"/>
              <w:marTop w:val="0"/>
              <w:marBottom w:val="0"/>
              <w:divBdr>
                <w:top w:val="none" w:sz="0" w:space="0" w:color="auto"/>
                <w:left w:val="none" w:sz="0" w:space="0" w:color="auto"/>
                <w:bottom w:val="none" w:sz="0" w:space="0" w:color="auto"/>
                <w:right w:val="none" w:sz="0" w:space="0" w:color="auto"/>
              </w:divBdr>
              <w:divsChild>
                <w:div w:id="4914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60929">
      <w:bodyDiv w:val="1"/>
      <w:marLeft w:val="0"/>
      <w:marRight w:val="0"/>
      <w:marTop w:val="0"/>
      <w:marBottom w:val="0"/>
      <w:divBdr>
        <w:top w:val="none" w:sz="0" w:space="0" w:color="auto"/>
        <w:left w:val="none" w:sz="0" w:space="0" w:color="auto"/>
        <w:bottom w:val="none" w:sz="0" w:space="0" w:color="auto"/>
        <w:right w:val="none" w:sz="0" w:space="0" w:color="auto"/>
      </w:divBdr>
    </w:div>
    <w:div w:id="1482379505">
      <w:bodyDiv w:val="1"/>
      <w:marLeft w:val="0"/>
      <w:marRight w:val="0"/>
      <w:marTop w:val="0"/>
      <w:marBottom w:val="0"/>
      <w:divBdr>
        <w:top w:val="none" w:sz="0" w:space="0" w:color="auto"/>
        <w:left w:val="none" w:sz="0" w:space="0" w:color="auto"/>
        <w:bottom w:val="none" w:sz="0" w:space="0" w:color="auto"/>
        <w:right w:val="none" w:sz="0" w:space="0" w:color="auto"/>
      </w:divBdr>
      <w:divsChild>
        <w:div w:id="898899465">
          <w:marLeft w:val="0"/>
          <w:marRight w:val="0"/>
          <w:marTop w:val="0"/>
          <w:marBottom w:val="0"/>
          <w:divBdr>
            <w:top w:val="none" w:sz="0" w:space="0" w:color="auto"/>
            <w:left w:val="none" w:sz="0" w:space="0" w:color="auto"/>
            <w:bottom w:val="none" w:sz="0" w:space="0" w:color="auto"/>
            <w:right w:val="none" w:sz="0" w:space="0" w:color="auto"/>
          </w:divBdr>
          <w:divsChild>
            <w:div w:id="787898046">
              <w:marLeft w:val="0"/>
              <w:marRight w:val="0"/>
              <w:marTop w:val="0"/>
              <w:marBottom w:val="0"/>
              <w:divBdr>
                <w:top w:val="none" w:sz="0" w:space="0" w:color="auto"/>
                <w:left w:val="none" w:sz="0" w:space="0" w:color="auto"/>
                <w:bottom w:val="none" w:sz="0" w:space="0" w:color="auto"/>
                <w:right w:val="none" w:sz="0" w:space="0" w:color="auto"/>
              </w:divBdr>
              <w:divsChild>
                <w:div w:id="110393981">
                  <w:marLeft w:val="0"/>
                  <w:marRight w:val="0"/>
                  <w:marTop w:val="0"/>
                  <w:marBottom w:val="0"/>
                  <w:divBdr>
                    <w:top w:val="none" w:sz="0" w:space="0" w:color="auto"/>
                    <w:left w:val="none" w:sz="0" w:space="0" w:color="auto"/>
                    <w:bottom w:val="none" w:sz="0" w:space="0" w:color="auto"/>
                    <w:right w:val="none" w:sz="0" w:space="0" w:color="auto"/>
                  </w:divBdr>
                  <w:divsChild>
                    <w:div w:id="19178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253331">
      <w:bodyDiv w:val="1"/>
      <w:marLeft w:val="0"/>
      <w:marRight w:val="0"/>
      <w:marTop w:val="0"/>
      <w:marBottom w:val="0"/>
      <w:divBdr>
        <w:top w:val="none" w:sz="0" w:space="0" w:color="auto"/>
        <w:left w:val="none" w:sz="0" w:space="0" w:color="auto"/>
        <w:bottom w:val="none" w:sz="0" w:space="0" w:color="auto"/>
        <w:right w:val="none" w:sz="0" w:space="0" w:color="auto"/>
      </w:divBdr>
    </w:div>
    <w:div w:id="1612784072">
      <w:bodyDiv w:val="1"/>
      <w:marLeft w:val="0"/>
      <w:marRight w:val="0"/>
      <w:marTop w:val="0"/>
      <w:marBottom w:val="0"/>
      <w:divBdr>
        <w:top w:val="none" w:sz="0" w:space="0" w:color="auto"/>
        <w:left w:val="none" w:sz="0" w:space="0" w:color="auto"/>
        <w:bottom w:val="none" w:sz="0" w:space="0" w:color="auto"/>
        <w:right w:val="none" w:sz="0" w:space="0" w:color="auto"/>
      </w:divBdr>
    </w:div>
    <w:div w:id="1622802892">
      <w:bodyDiv w:val="1"/>
      <w:marLeft w:val="0"/>
      <w:marRight w:val="0"/>
      <w:marTop w:val="0"/>
      <w:marBottom w:val="0"/>
      <w:divBdr>
        <w:top w:val="none" w:sz="0" w:space="0" w:color="auto"/>
        <w:left w:val="none" w:sz="0" w:space="0" w:color="auto"/>
        <w:bottom w:val="none" w:sz="0" w:space="0" w:color="auto"/>
        <w:right w:val="none" w:sz="0" w:space="0" w:color="auto"/>
      </w:divBdr>
    </w:div>
    <w:div w:id="1638755883">
      <w:bodyDiv w:val="1"/>
      <w:marLeft w:val="0"/>
      <w:marRight w:val="0"/>
      <w:marTop w:val="0"/>
      <w:marBottom w:val="0"/>
      <w:divBdr>
        <w:top w:val="none" w:sz="0" w:space="0" w:color="auto"/>
        <w:left w:val="none" w:sz="0" w:space="0" w:color="auto"/>
        <w:bottom w:val="none" w:sz="0" w:space="0" w:color="auto"/>
        <w:right w:val="none" w:sz="0" w:space="0" w:color="auto"/>
      </w:divBdr>
    </w:div>
    <w:div w:id="1650132417">
      <w:bodyDiv w:val="1"/>
      <w:marLeft w:val="0"/>
      <w:marRight w:val="0"/>
      <w:marTop w:val="0"/>
      <w:marBottom w:val="0"/>
      <w:divBdr>
        <w:top w:val="none" w:sz="0" w:space="0" w:color="auto"/>
        <w:left w:val="none" w:sz="0" w:space="0" w:color="auto"/>
        <w:bottom w:val="none" w:sz="0" w:space="0" w:color="auto"/>
        <w:right w:val="none" w:sz="0" w:space="0" w:color="auto"/>
      </w:divBdr>
    </w:div>
    <w:div w:id="1683583586">
      <w:bodyDiv w:val="1"/>
      <w:marLeft w:val="0"/>
      <w:marRight w:val="0"/>
      <w:marTop w:val="0"/>
      <w:marBottom w:val="0"/>
      <w:divBdr>
        <w:top w:val="none" w:sz="0" w:space="0" w:color="auto"/>
        <w:left w:val="none" w:sz="0" w:space="0" w:color="auto"/>
        <w:bottom w:val="none" w:sz="0" w:space="0" w:color="auto"/>
        <w:right w:val="none" w:sz="0" w:space="0" w:color="auto"/>
      </w:divBdr>
    </w:div>
    <w:div w:id="1687902369">
      <w:bodyDiv w:val="1"/>
      <w:marLeft w:val="0"/>
      <w:marRight w:val="0"/>
      <w:marTop w:val="0"/>
      <w:marBottom w:val="0"/>
      <w:divBdr>
        <w:top w:val="none" w:sz="0" w:space="0" w:color="auto"/>
        <w:left w:val="none" w:sz="0" w:space="0" w:color="auto"/>
        <w:bottom w:val="none" w:sz="0" w:space="0" w:color="auto"/>
        <w:right w:val="none" w:sz="0" w:space="0" w:color="auto"/>
      </w:divBdr>
    </w:div>
    <w:div w:id="1703359657">
      <w:bodyDiv w:val="1"/>
      <w:marLeft w:val="0"/>
      <w:marRight w:val="0"/>
      <w:marTop w:val="0"/>
      <w:marBottom w:val="0"/>
      <w:divBdr>
        <w:top w:val="none" w:sz="0" w:space="0" w:color="auto"/>
        <w:left w:val="none" w:sz="0" w:space="0" w:color="auto"/>
        <w:bottom w:val="none" w:sz="0" w:space="0" w:color="auto"/>
        <w:right w:val="none" w:sz="0" w:space="0" w:color="auto"/>
      </w:divBdr>
      <w:divsChild>
        <w:div w:id="2001542932">
          <w:marLeft w:val="0"/>
          <w:marRight w:val="0"/>
          <w:marTop w:val="0"/>
          <w:marBottom w:val="0"/>
          <w:divBdr>
            <w:top w:val="none" w:sz="0" w:space="0" w:color="auto"/>
            <w:left w:val="single" w:sz="12" w:space="23" w:color="004D77"/>
            <w:bottom w:val="none" w:sz="0" w:space="0" w:color="auto"/>
            <w:right w:val="none" w:sz="0" w:space="0" w:color="auto"/>
          </w:divBdr>
        </w:div>
        <w:div w:id="1394112950">
          <w:marLeft w:val="0"/>
          <w:marRight w:val="0"/>
          <w:marTop w:val="0"/>
          <w:marBottom w:val="0"/>
          <w:divBdr>
            <w:top w:val="none" w:sz="0" w:space="0" w:color="auto"/>
            <w:left w:val="single" w:sz="12" w:space="23" w:color="004D77"/>
            <w:bottom w:val="none" w:sz="0" w:space="0" w:color="auto"/>
            <w:right w:val="none" w:sz="0" w:space="0" w:color="auto"/>
          </w:divBdr>
        </w:div>
      </w:divsChild>
    </w:div>
    <w:div w:id="1762723463">
      <w:bodyDiv w:val="1"/>
      <w:marLeft w:val="0"/>
      <w:marRight w:val="0"/>
      <w:marTop w:val="0"/>
      <w:marBottom w:val="0"/>
      <w:divBdr>
        <w:top w:val="none" w:sz="0" w:space="0" w:color="auto"/>
        <w:left w:val="none" w:sz="0" w:space="0" w:color="auto"/>
        <w:bottom w:val="none" w:sz="0" w:space="0" w:color="auto"/>
        <w:right w:val="none" w:sz="0" w:space="0" w:color="auto"/>
      </w:divBdr>
    </w:div>
    <w:div w:id="178653850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642040">
      <w:bodyDiv w:val="1"/>
      <w:marLeft w:val="0"/>
      <w:marRight w:val="0"/>
      <w:marTop w:val="0"/>
      <w:marBottom w:val="0"/>
      <w:divBdr>
        <w:top w:val="none" w:sz="0" w:space="0" w:color="auto"/>
        <w:left w:val="none" w:sz="0" w:space="0" w:color="auto"/>
        <w:bottom w:val="none" w:sz="0" w:space="0" w:color="auto"/>
        <w:right w:val="none" w:sz="0" w:space="0" w:color="auto"/>
      </w:divBdr>
    </w:div>
    <w:div w:id="1803227586">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870948816">
      <w:bodyDiv w:val="1"/>
      <w:marLeft w:val="0"/>
      <w:marRight w:val="0"/>
      <w:marTop w:val="0"/>
      <w:marBottom w:val="0"/>
      <w:divBdr>
        <w:top w:val="none" w:sz="0" w:space="0" w:color="auto"/>
        <w:left w:val="none" w:sz="0" w:space="0" w:color="auto"/>
        <w:bottom w:val="none" w:sz="0" w:space="0" w:color="auto"/>
        <w:right w:val="none" w:sz="0" w:space="0" w:color="auto"/>
      </w:divBdr>
    </w:div>
    <w:div w:id="1905994353">
      <w:bodyDiv w:val="1"/>
      <w:marLeft w:val="0"/>
      <w:marRight w:val="0"/>
      <w:marTop w:val="0"/>
      <w:marBottom w:val="0"/>
      <w:divBdr>
        <w:top w:val="none" w:sz="0" w:space="0" w:color="auto"/>
        <w:left w:val="none" w:sz="0" w:space="0" w:color="auto"/>
        <w:bottom w:val="none" w:sz="0" w:space="0" w:color="auto"/>
        <w:right w:val="none" w:sz="0" w:space="0" w:color="auto"/>
      </w:divBdr>
    </w:div>
    <w:div w:id="1924219542">
      <w:bodyDiv w:val="1"/>
      <w:marLeft w:val="0"/>
      <w:marRight w:val="0"/>
      <w:marTop w:val="0"/>
      <w:marBottom w:val="0"/>
      <w:divBdr>
        <w:top w:val="none" w:sz="0" w:space="0" w:color="auto"/>
        <w:left w:val="none" w:sz="0" w:space="0" w:color="auto"/>
        <w:bottom w:val="none" w:sz="0" w:space="0" w:color="auto"/>
        <w:right w:val="none" w:sz="0" w:space="0" w:color="auto"/>
      </w:divBdr>
      <w:divsChild>
        <w:div w:id="1337342523">
          <w:marLeft w:val="0"/>
          <w:marRight w:val="0"/>
          <w:marTop w:val="0"/>
          <w:marBottom w:val="0"/>
          <w:divBdr>
            <w:top w:val="none" w:sz="0" w:space="0" w:color="auto"/>
            <w:left w:val="none" w:sz="0" w:space="0" w:color="auto"/>
            <w:bottom w:val="none" w:sz="0" w:space="0" w:color="auto"/>
            <w:right w:val="none" w:sz="0" w:space="0" w:color="auto"/>
          </w:divBdr>
          <w:divsChild>
            <w:div w:id="412508109">
              <w:marLeft w:val="0"/>
              <w:marRight w:val="0"/>
              <w:marTop w:val="0"/>
              <w:marBottom w:val="0"/>
              <w:divBdr>
                <w:top w:val="none" w:sz="0" w:space="0" w:color="auto"/>
                <w:left w:val="none" w:sz="0" w:space="0" w:color="auto"/>
                <w:bottom w:val="none" w:sz="0" w:space="0" w:color="auto"/>
                <w:right w:val="none" w:sz="0" w:space="0" w:color="auto"/>
              </w:divBdr>
              <w:divsChild>
                <w:div w:id="3128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67369">
      <w:bodyDiv w:val="1"/>
      <w:marLeft w:val="0"/>
      <w:marRight w:val="0"/>
      <w:marTop w:val="0"/>
      <w:marBottom w:val="0"/>
      <w:divBdr>
        <w:top w:val="none" w:sz="0" w:space="0" w:color="auto"/>
        <w:left w:val="none" w:sz="0" w:space="0" w:color="auto"/>
        <w:bottom w:val="none" w:sz="0" w:space="0" w:color="auto"/>
        <w:right w:val="none" w:sz="0" w:space="0" w:color="auto"/>
      </w:divBdr>
    </w:div>
    <w:div w:id="2017340290">
      <w:bodyDiv w:val="1"/>
      <w:marLeft w:val="0"/>
      <w:marRight w:val="0"/>
      <w:marTop w:val="0"/>
      <w:marBottom w:val="0"/>
      <w:divBdr>
        <w:top w:val="none" w:sz="0" w:space="0" w:color="auto"/>
        <w:left w:val="none" w:sz="0" w:space="0" w:color="auto"/>
        <w:bottom w:val="none" w:sz="0" w:space="0" w:color="auto"/>
        <w:right w:val="none" w:sz="0" w:space="0" w:color="auto"/>
      </w:divBdr>
    </w:div>
    <w:div w:id="2018993039">
      <w:bodyDiv w:val="1"/>
      <w:marLeft w:val="0"/>
      <w:marRight w:val="0"/>
      <w:marTop w:val="0"/>
      <w:marBottom w:val="0"/>
      <w:divBdr>
        <w:top w:val="none" w:sz="0" w:space="0" w:color="auto"/>
        <w:left w:val="none" w:sz="0" w:space="0" w:color="auto"/>
        <w:bottom w:val="none" w:sz="0" w:space="0" w:color="auto"/>
        <w:right w:val="none" w:sz="0" w:space="0" w:color="auto"/>
      </w:divBdr>
    </w:div>
    <w:div w:id="2036226877">
      <w:bodyDiv w:val="1"/>
      <w:marLeft w:val="0"/>
      <w:marRight w:val="0"/>
      <w:marTop w:val="0"/>
      <w:marBottom w:val="0"/>
      <w:divBdr>
        <w:top w:val="none" w:sz="0" w:space="0" w:color="auto"/>
        <w:left w:val="none" w:sz="0" w:space="0" w:color="auto"/>
        <w:bottom w:val="none" w:sz="0" w:space="0" w:color="auto"/>
        <w:right w:val="none" w:sz="0" w:space="0" w:color="auto"/>
      </w:divBdr>
      <w:divsChild>
        <w:div w:id="1877886263">
          <w:marLeft w:val="0"/>
          <w:marRight w:val="0"/>
          <w:marTop w:val="0"/>
          <w:marBottom w:val="0"/>
          <w:divBdr>
            <w:top w:val="none" w:sz="0" w:space="0" w:color="auto"/>
            <w:left w:val="none" w:sz="0" w:space="0" w:color="auto"/>
            <w:bottom w:val="none" w:sz="0" w:space="0" w:color="auto"/>
            <w:right w:val="none" w:sz="0" w:space="0" w:color="auto"/>
          </w:divBdr>
          <w:divsChild>
            <w:div w:id="863441324">
              <w:marLeft w:val="0"/>
              <w:marRight w:val="0"/>
              <w:marTop w:val="0"/>
              <w:marBottom w:val="0"/>
              <w:divBdr>
                <w:top w:val="none" w:sz="0" w:space="0" w:color="auto"/>
                <w:left w:val="none" w:sz="0" w:space="0" w:color="auto"/>
                <w:bottom w:val="none" w:sz="0" w:space="0" w:color="auto"/>
                <w:right w:val="none" w:sz="0" w:space="0" w:color="auto"/>
              </w:divBdr>
              <w:divsChild>
                <w:div w:id="333463030">
                  <w:marLeft w:val="0"/>
                  <w:marRight w:val="0"/>
                  <w:marTop w:val="0"/>
                  <w:marBottom w:val="0"/>
                  <w:divBdr>
                    <w:top w:val="none" w:sz="0" w:space="0" w:color="auto"/>
                    <w:left w:val="none" w:sz="0" w:space="0" w:color="auto"/>
                    <w:bottom w:val="none" w:sz="0" w:space="0" w:color="auto"/>
                    <w:right w:val="none" w:sz="0" w:space="0" w:color="auto"/>
                  </w:divBdr>
                  <w:divsChild>
                    <w:div w:id="141597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947280">
      <w:bodyDiv w:val="1"/>
      <w:marLeft w:val="0"/>
      <w:marRight w:val="0"/>
      <w:marTop w:val="0"/>
      <w:marBottom w:val="0"/>
      <w:divBdr>
        <w:top w:val="none" w:sz="0" w:space="0" w:color="auto"/>
        <w:left w:val="none" w:sz="0" w:space="0" w:color="auto"/>
        <w:bottom w:val="none" w:sz="0" w:space="0" w:color="auto"/>
        <w:right w:val="none" w:sz="0" w:space="0" w:color="auto"/>
      </w:divBdr>
    </w:div>
    <w:div w:id="2090468393">
      <w:bodyDiv w:val="1"/>
      <w:marLeft w:val="0"/>
      <w:marRight w:val="0"/>
      <w:marTop w:val="0"/>
      <w:marBottom w:val="0"/>
      <w:divBdr>
        <w:top w:val="none" w:sz="0" w:space="0" w:color="auto"/>
        <w:left w:val="none" w:sz="0" w:space="0" w:color="auto"/>
        <w:bottom w:val="none" w:sz="0" w:space="0" w:color="auto"/>
        <w:right w:val="none" w:sz="0" w:space="0" w:color="auto"/>
      </w:divBdr>
    </w:div>
    <w:div w:id="2099011784">
      <w:bodyDiv w:val="1"/>
      <w:marLeft w:val="0"/>
      <w:marRight w:val="0"/>
      <w:marTop w:val="0"/>
      <w:marBottom w:val="0"/>
      <w:divBdr>
        <w:top w:val="none" w:sz="0" w:space="0" w:color="auto"/>
        <w:left w:val="none" w:sz="0" w:space="0" w:color="auto"/>
        <w:bottom w:val="none" w:sz="0" w:space="0" w:color="auto"/>
        <w:right w:val="none" w:sz="0" w:space="0" w:color="auto"/>
      </w:divBdr>
    </w:div>
    <w:div w:id="2118209653">
      <w:bodyDiv w:val="1"/>
      <w:marLeft w:val="0"/>
      <w:marRight w:val="0"/>
      <w:marTop w:val="0"/>
      <w:marBottom w:val="0"/>
      <w:divBdr>
        <w:top w:val="none" w:sz="0" w:space="0" w:color="auto"/>
        <w:left w:val="none" w:sz="0" w:space="0" w:color="auto"/>
        <w:bottom w:val="none" w:sz="0" w:space="0" w:color="auto"/>
        <w:right w:val="none" w:sz="0" w:space="0" w:color="auto"/>
      </w:divBdr>
    </w:div>
    <w:div w:id="2119177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260C-1BF5-46D2-AA4D-C6328D10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2963</Words>
  <Characters>15142</Characters>
  <Application>Microsoft Office Word</Application>
  <DocSecurity>0</DocSecurity>
  <Lines>244</Lines>
  <Paragraphs>59</Paragraphs>
  <ScaleCrop>false</ScaleCrop>
  <Company/>
  <LinksUpToDate>false</LinksUpToDate>
  <CharactersWithSpaces>18046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202/20</dc:title>
  <dc:creator/>
  <cp:lastModifiedBy/>
  <cp:revision>1</cp:revision>
  <dcterms:created xsi:type="dcterms:W3CDTF">2020-08-21T12:32:00Z</dcterms:created>
  <dcterms:modified xsi:type="dcterms:W3CDTF">2020-08-21T12:32:00Z</dcterms:modified>
</cp:coreProperties>
</file>