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1A7C" w14:textId="77777777" w:rsidR="0053292A" w:rsidRPr="00030A24" w:rsidRDefault="0053292A" w:rsidP="00030A24">
      <w:pPr>
        <w:pStyle w:val="Cuadrculamedia21"/>
        <w:ind w:left="-270" w:right="-270"/>
        <w:jc w:val="center"/>
        <w:rPr>
          <w:rFonts w:ascii="Cambria" w:hAnsi="Cambria"/>
          <w:b/>
          <w:color w:val="000000"/>
          <w:lang w:val="es-CO"/>
        </w:rPr>
      </w:pPr>
    </w:p>
    <w:p w14:paraId="075DD919"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FICHA TÉCNICA INFORMATIVA</w:t>
      </w:r>
    </w:p>
    <w:p w14:paraId="365E4396"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CASO 11.450 MARCO VINICIO ALMEIDA CALISPA </w:t>
      </w:r>
    </w:p>
    <w:p w14:paraId="5953B179"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106/01</w:t>
      </w:r>
    </w:p>
    <w:p w14:paraId="7ACC62F1"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0DFCBEA6" w14:textId="3C13B225"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342AACF7" w14:textId="77777777" w:rsidR="0053292A" w:rsidRPr="00030A24" w:rsidRDefault="0053292A" w:rsidP="00030A24">
      <w:pPr>
        <w:pStyle w:val="Cuadrculamedia21"/>
        <w:ind w:left="-270" w:right="-270"/>
        <w:jc w:val="center"/>
        <w:rPr>
          <w:rFonts w:ascii="Cambria" w:hAnsi="Cambria"/>
          <w:b/>
          <w:color w:val="000000"/>
          <w:lang w:val="es-CO"/>
        </w:rPr>
      </w:pPr>
    </w:p>
    <w:p w14:paraId="643A3E38" w14:textId="77777777" w:rsidR="0053292A" w:rsidRPr="00030A24" w:rsidRDefault="0053292A" w:rsidP="00030A24">
      <w:pPr>
        <w:numPr>
          <w:ilvl w:val="0"/>
          <w:numId w:val="13"/>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2971D6EB"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600E3C" w14:paraId="1720F6D5" w14:textId="77777777" w:rsidTr="00550EB8">
        <w:trPr>
          <w:jc w:val="center"/>
        </w:trPr>
        <w:tc>
          <w:tcPr>
            <w:tcW w:w="9576" w:type="dxa"/>
            <w:shd w:val="clear" w:color="auto" w:fill="F2F2F2"/>
          </w:tcPr>
          <w:p w14:paraId="0F4EB06B"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Marco Vinicio Almeida Calispa </w:t>
            </w:r>
          </w:p>
          <w:p w14:paraId="58D2B171"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25EE1B36" w14:textId="77777777" w:rsidR="0053292A" w:rsidRPr="00030A24" w:rsidRDefault="0053292A" w:rsidP="00030A24">
            <w:pPr>
              <w:pStyle w:val="Cuadrculamedia21"/>
              <w:jc w:val="both"/>
              <w:rPr>
                <w:rFonts w:ascii="Cambria" w:hAnsi="Cambria"/>
                <w:b/>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r w:rsidRPr="00030A24">
              <w:rPr>
                <w:rFonts w:ascii="Cambria" w:hAnsi="Cambria"/>
                <w:b/>
                <w:color w:val="000000"/>
                <w:lang w:val="es-CO"/>
              </w:rPr>
              <w:t xml:space="preserve"> </w:t>
            </w:r>
          </w:p>
          <w:p w14:paraId="3A96B452"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11 de mayo de 1999</w:t>
            </w:r>
          </w:p>
          <w:p w14:paraId="42906F20"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15 de agosto de 2001</w:t>
            </w:r>
          </w:p>
          <w:p w14:paraId="3A040773"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r w:rsidRPr="00030A24">
              <w:rPr>
                <w:rFonts w:ascii="Cambria" w:hAnsi="Cambria"/>
                <w:b/>
                <w:color w:val="000000"/>
                <w:u w:val="single"/>
                <w:lang w:val="es-CO"/>
              </w:rPr>
              <w:t>106/01</w:t>
            </w:r>
            <w:r w:rsidRPr="00030A24">
              <w:rPr>
                <w:rFonts w:ascii="Cambria" w:hAnsi="Cambria"/>
                <w:color w:val="000000"/>
                <w:lang w:val="es-CO"/>
              </w:rPr>
              <w:t>, publicado el 11 de octubre de 2001</w:t>
            </w:r>
          </w:p>
          <w:p w14:paraId="479EA509"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lang w:val="es-CO"/>
              </w:rPr>
              <w:t>2 años</w:t>
            </w:r>
          </w:p>
          <w:p w14:paraId="2C2E3771"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0411B67B"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w:t>
            </w:r>
            <w:r w:rsidRPr="00030A24">
              <w:rPr>
                <w:rFonts w:ascii="Cambria" w:hAnsi="Cambria"/>
                <w:b/>
                <w:color w:val="000000"/>
                <w:lang w:val="es-CO"/>
              </w:rPr>
              <w:t xml:space="preserve"> </w:t>
            </w:r>
          </w:p>
          <w:p w14:paraId="36924AA6" w14:textId="77777777" w:rsidR="0053292A" w:rsidRPr="00030A24" w:rsidRDefault="0053292A" w:rsidP="00030A24">
            <w:pPr>
              <w:pStyle w:val="Cuadrculamedia21"/>
              <w:tabs>
                <w:tab w:val="left" w:pos="9270"/>
              </w:tabs>
              <w:jc w:val="both"/>
              <w:rPr>
                <w:rFonts w:ascii="Cambria" w:hAnsi="Cambria"/>
                <w:color w:val="000000"/>
                <w:lang w:val="es-CO"/>
              </w:rPr>
            </w:pPr>
          </w:p>
          <w:p w14:paraId="2546A476" w14:textId="5AA5FF52"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presente Caso versa sobre la muerte de Marco Vinicio Almeida Calispa por asfixia el 2 de febrero de 1988 mientras se encontraba bajo la custodia de agentes de la Policía, y su falta de esclarecimiento judicial. El 2 de febrero de 1988 durante los interrogatorios policiales realizados en el SIC-P, se produjo la muerte de Marco Almeida por asfixia. El </w:t>
            </w:r>
            <w:r w:rsidRPr="00030A24">
              <w:rPr>
                <w:rFonts w:ascii="Cambria" w:eastAsia="MS Mincho" w:hAnsi="Cambria"/>
                <w:color w:val="000000"/>
                <w:lang w:val="es-CO"/>
              </w:rPr>
              <w:t>teniente</w:t>
            </w:r>
            <w:r w:rsidRPr="00030A24">
              <w:rPr>
                <w:rFonts w:ascii="Cambria" w:hAnsi="Cambria"/>
                <w:color w:val="000000"/>
                <w:lang w:val="es-CO"/>
              </w:rPr>
              <w:t xml:space="preserve"> Juan Sosa Mosquera y los detectives Víctor y Manuel Soto Betancourt fueron denunciados como responsables de la custodia de Marco Almeida cuando murió. En el Juzgado 1º de lo Penal de Pichincha se inició el proceso penal correspondiente, ordenando el Juez la detención de los agentes; sin embargo, dicha orden no se acató. El 14 de septiembre de 1988 se inició proceso indagatorio en el Juzgado 1º del 1er. Distrito de la Policía, previniendo competencia al Juez de la jurisdicción penal ordinaria por el fuero de los denunciados. Posteriormente, el caso pasó a la Corte Suprema donde estuvo paralizado 2 años y el 10 de febrero de 1992 la Corte resolvió la competencia a favor del Juez 1º del 1er. Distrito de Policía. En el juicio indagatorio, en agosto de 1993, se emitió dictamen fiscal acusatorio y se dispuso el auto motivado en contra de los agentes de policía Víctor Abraham Soto Betancourt y Manuel Benigno Soto Betancourt. Sin embargo, a 1994, luego de 6 años de haberse iniciado el proceso, no se había dictado sentencia.</w:t>
            </w:r>
          </w:p>
          <w:p w14:paraId="22201AC3" w14:textId="77777777" w:rsidR="0053292A" w:rsidRPr="00030A24" w:rsidRDefault="0053292A" w:rsidP="00030A24">
            <w:pPr>
              <w:pStyle w:val="Cuadrculamedia21"/>
              <w:tabs>
                <w:tab w:val="left" w:pos="9270"/>
              </w:tabs>
              <w:jc w:val="both"/>
              <w:rPr>
                <w:rFonts w:ascii="Cambria" w:hAnsi="Cambria"/>
                <w:color w:val="000000"/>
                <w:lang w:val="es-CO"/>
              </w:rPr>
            </w:pPr>
          </w:p>
          <w:p w14:paraId="44AF60CA"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derecho a la integridad personal (artículo 5), garantías judiciales (artículo 8) y derecho a la protección judicial (artículo 25), de la Convención Americana de Derechos Humanos (CADH), todo en contravención de las obligaciones que figuran en el artículo 1(1) del mismo instrumento, en perjuicio del señor Marco Vinicio Almeida Calispa. </w:t>
            </w:r>
          </w:p>
        </w:tc>
      </w:tr>
    </w:tbl>
    <w:p w14:paraId="66AA0DDD"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24E2B1E0" w14:textId="77777777" w:rsidR="0053292A" w:rsidRPr="00030A24" w:rsidRDefault="0053292A" w:rsidP="00030A24">
      <w:pPr>
        <w:pStyle w:val="Listavistosa-nfasis11"/>
        <w:numPr>
          <w:ilvl w:val="0"/>
          <w:numId w:val="14"/>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27CEA901"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3E3661E8" w14:textId="0D26AE8A" w:rsidR="0053292A" w:rsidRPr="00030A24" w:rsidRDefault="0053292A" w:rsidP="00030A24">
      <w:pPr>
        <w:numPr>
          <w:ilvl w:val="3"/>
          <w:numId w:val="14"/>
        </w:numPr>
        <w:spacing w:after="0" w:line="240" w:lineRule="auto"/>
        <w:ind w:left="0" w:firstLine="720"/>
        <w:jc w:val="both"/>
        <w:rPr>
          <w:rFonts w:ascii="Cambria" w:hAnsi="Cambria"/>
          <w:color w:val="000000"/>
          <w:lang w:val="es-CO"/>
        </w:rPr>
      </w:pPr>
      <w:r w:rsidRPr="00030A24">
        <w:rPr>
          <w:rFonts w:ascii="Cambria" w:hAnsi="Cambria"/>
          <w:color w:val="000000"/>
          <w:lang w:val="es-CO"/>
        </w:rPr>
        <w:t>El 15 de agosto de 2001</w:t>
      </w:r>
      <w:r w:rsidR="00E6512A"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4756D341" w14:textId="77777777" w:rsidR="0053292A" w:rsidRPr="00030A24" w:rsidRDefault="0053292A" w:rsidP="00030A24">
      <w:pPr>
        <w:spacing w:after="0" w:line="240" w:lineRule="auto"/>
        <w:ind w:firstLine="720"/>
        <w:jc w:val="both"/>
        <w:rPr>
          <w:rFonts w:ascii="Cambria" w:hAnsi="Cambria"/>
          <w:color w:val="000000"/>
          <w:lang w:val="es-CO"/>
        </w:rPr>
      </w:pPr>
    </w:p>
    <w:p w14:paraId="68F33383" w14:textId="2D40CA60" w:rsidR="0053292A" w:rsidRPr="00030A24" w:rsidRDefault="0053292A" w:rsidP="00030A24">
      <w:pPr>
        <w:numPr>
          <w:ilvl w:val="3"/>
          <w:numId w:val="14"/>
        </w:numPr>
        <w:spacing w:after="0" w:line="240" w:lineRule="auto"/>
        <w:ind w:left="0" w:firstLine="720"/>
        <w:jc w:val="both"/>
        <w:rPr>
          <w:rFonts w:ascii="Cambria" w:hAnsi="Cambria"/>
          <w:color w:val="000000"/>
          <w:lang w:val="es-CO"/>
        </w:rPr>
      </w:pPr>
      <w:r w:rsidRPr="00030A24">
        <w:rPr>
          <w:rFonts w:ascii="Cambria" w:hAnsi="Cambria"/>
          <w:color w:val="000000"/>
          <w:lang w:val="es-CO"/>
        </w:rPr>
        <w:lastRenderedPageBreak/>
        <w:t xml:space="preserve">El 11 de octubre de 2001, la Comisión aprobó el acuerdo de solución amistosa, mediante informe No. </w:t>
      </w:r>
      <w:r w:rsidRPr="00030A24">
        <w:rPr>
          <w:rFonts w:ascii="Cambria" w:hAnsi="Cambria" w:cs="Calibri Light"/>
          <w:color w:val="000000"/>
          <w:lang w:val="es-CO"/>
        </w:rPr>
        <w:t>106</w:t>
      </w:r>
      <w:r w:rsidRPr="00030A24">
        <w:rPr>
          <w:rFonts w:ascii="Cambria" w:hAnsi="Cambria"/>
          <w:color w:val="000000"/>
          <w:lang w:val="es-CO"/>
        </w:rPr>
        <w:t>/01.</w:t>
      </w:r>
    </w:p>
    <w:p w14:paraId="550C0CB1" w14:textId="77777777" w:rsidR="0053292A" w:rsidRPr="00030A24" w:rsidRDefault="0053292A" w:rsidP="00030A24">
      <w:pPr>
        <w:pStyle w:val="ListParagraph"/>
        <w:spacing w:after="0" w:line="240" w:lineRule="auto"/>
        <w:rPr>
          <w:rFonts w:ascii="Cambria" w:hAnsi="Cambria"/>
          <w:color w:val="000000"/>
          <w:lang w:val="es-CO"/>
        </w:rPr>
      </w:pPr>
    </w:p>
    <w:p w14:paraId="4A4FD5EA" w14:textId="29A099B2" w:rsidR="0053292A" w:rsidRPr="00030A24" w:rsidRDefault="0053292A" w:rsidP="00030A24">
      <w:pPr>
        <w:pStyle w:val="Listavistosa-nfasis11"/>
        <w:numPr>
          <w:ilvl w:val="0"/>
          <w:numId w:val="14"/>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73CE5642" w14:textId="77777777" w:rsidR="0053292A" w:rsidRPr="00030A24" w:rsidRDefault="0053292A" w:rsidP="00030A24">
      <w:pPr>
        <w:spacing w:after="0" w:line="240" w:lineRule="auto"/>
        <w:jc w:val="both"/>
        <w:rPr>
          <w:rFonts w:ascii="Cambria" w:hAnsi="Cambria"/>
          <w:color w:val="000000"/>
          <w:lang w:val="es-C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710"/>
      </w:tblGrid>
      <w:tr w:rsidR="00035E03" w:rsidRPr="00030A24" w14:paraId="07890DD0" w14:textId="77777777" w:rsidTr="00035E03">
        <w:trPr>
          <w:jc w:val="center"/>
        </w:trPr>
        <w:tc>
          <w:tcPr>
            <w:tcW w:w="7830" w:type="dxa"/>
            <w:shd w:val="clear" w:color="auto" w:fill="D9D9D9"/>
            <w:vAlign w:val="center"/>
          </w:tcPr>
          <w:p w14:paraId="3163CD7C"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710" w:type="dxa"/>
            <w:shd w:val="clear" w:color="auto" w:fill="D9D9D9"/>
            <w:vAlign w:val="center"/>
          </w:tcPr>
          <w:p w14:paraId="5CCEE08B"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796874" w:rsidRPr="00030A24" w14:paraId="01271F94" w14:textId="77777777" w:rsidTr="00035E03">
        <w:trPr>
          <w:jc w:val="center"/>
        </w:trPr>
        <w:tc>
          <w:tcPr>
            <w:tcW w:w="7830" w:type="dxa"/>
            <w:shd w:val="clear" w:color="auto" w:fill="auto"/>
            <w:vAlign w:val="center"/>
          </w:tcPr>
          <w:p w14:paraId="28B00FAB" w14:textId="77777777" w:rsidR="00CE6C01" w:rsidRPr="00030A24" w:rsidRDefault="00CE6C01" w:rsidP="00030A24">
            <w:pPr>
              <w:spacing w:after="0" w:line="240" w:lineRule="auto"/>
              <w:jc w:val="both"/>
              <w:rPr>
                <w:rFonts w:ascii="Cambria" w:hAnsi="Cambria"/>
                <w:b/>
                <w:color w:val="000000"/>
                <w:lang w:val="es-CO"/>
              </w:rPr>
            </w:pPr>
            <w:r w:rsidRPr="00030A24">
              <w:rPr>
                <w:rFonts w:ascii="Cambria" w:hAnsi="Cambria"/>
                <w:b/>
                <w:color w:val="000000"/>
                <w:lang w:val="es-CO"/>
              </w:rPr>
              <w:t>III. RESPONSABILIDAD DEL ESTADO Y ALLANAMIENTO</w:t>
            </w:r>
          </w:p>
          <w:p w14:paraId="0555D6BF" w14:textId="77777777" w:rsidR="00CE6C01" w:rsidRPr="00030A24" w:rsidRDefault="00CE6C01" w:rsidP="00030A24">
            <w:pPr>
              <w:spacing w:after="0" w:line="240" w:lineRule="auto"/>
              <w:jc w:val="both"/>
              <w:rPr>
                <w:rFonts w:ascii="Cambria" w:hAnsi="Cambria"/>
                <w:b/>
                <w:color w:val="000000"/>
                <w:lang w:val="es-CO"/>
              </w:rPr>
            </w:pPr>
          </w:p>
          <w:p w14:paraId="2991BAAA" w14:textId="77777777" w:rsidR="00C67EC4" w:rsidRPr="00030A24" w:rsidRDefault="00C67EC4" w:rsidP="00030A24">
            <w:pPr>
              <w:spacing w:after="0" w:line="240" w:lineRule="auto"/>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Marco Vinicio Almeida Calipsa, reconocidos en los Artículos 4 (Derecho a la Vida),  Artículo 8 (Garantías Judiciales), Artículo 5 (Derecho a la Integridad Personal) Artículo 7 (Derecho a la Libertad Personal)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56B2E419" w14:textId="77777777" w:rsidR="00C67EC4" w:rsidRPr="00030A24" w:rsidRDefault="00C67EC4" w:rsidP="00030A24">
            <w:pPr>
              <w:spacing w:after="0" w:line="240" w:lineRule="auto"/>
              <w:jc w:val="both"/>
              <w:rPr>
                <w:rFonts w:ascii="Cambria" w:hAnsi="Cambria"/>
                <w:bCs/>
                <w:color w:val="000000"/>
                <w:lang w:val="es-CO"/>
              </w:rPr>
            </w:pPr>
          </w:p>
          <w:p w14:paraId="45E30557" w14:textId="27E572D8" w:rsidR="00796874" w:rsidRPr="00030A24" w:rsidRDefault="00C67EC4" w:rsidP="00030A24">
            <w:pPr>
              <w:spacing w:after="0" w:line="240" w:lineRule="auto"/>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11.450, que se encuentra en trámite ante la Comisión Interamericana de Derechos Humanos que se obliga a asumir las medidas reparadoras necesarias a fin de resarcir los perjuicios ocasionados a las víctimas de tales violaciones o en su defecto a sus causahabientes.</w:t>
            </w:r>
          </w:p>
        </w:tc>
        <w:tc>
          <w:tcPr>
            <w:tcW w:w="1710" w:type="dxa"/>
            <w:tcBorders>
              <w:bottom w:val="single" w:sz="4" w:space="0" w:color="auto"/>
            </w:tcBorders>
            <w:shd w:val="clear" w:color="auto" w:fill="auto"/>
            <w:vAlign w:val="center"/>
          </w:tcPr>
          <w:p w14:paraId="3150BB1D" w14:textId="59D7EC4A" w:rsidR="00796874" w:rsidRPr="00030A24" w:rsidRDefault="004B37E4"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3AB3442B" w14:textId="77777777" w:rsidTr="00035E03">
        <w:trPr>
          <w:jc w:val="center"/>
        </w:trPr>
        <w:tc>
          <w:tcPr>
            <w:tcW w:w="7830" w:type="dxa"/>
            <w:shd w:val="clear" w:color="auto" w:fill="auto"/>
            <w:vAlign w:val="center"/>
          </w:tcPr>
          <w:p w14:paraId="737FE409"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IV.</w:t>
            </w:r>
            <w:r w:rsidRPr="00030A24">
              <w:rPr>
                <w:rFonts w:ascii="Cambria" w:hAnsi="Cambria"/>
                <w:b/>
                <w:color w:val="000000"/>
                <w:lang w:val="es-CO"/>
              </w:rPr>
              <w:tab/>
              <w:t xml:space="preserve">INDEMNIZACIÓN  </w:t>
            </w:r>
          </w:p>
          <w:p w14:paraId="0C5C2D1A"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al señor Segundo José Arauz Maldonado, con cédula de ciudadanía número 170034937-4, suegro del señor Marco Vinicio Almeida Calispa, fallecido, en representación de los señores Sonia del Rosario Arauz Olmedo y Jaime Andrés Almeida Arauz, viuda e hijo del señor Marco Vinicio Almeida Calispa, fallecido, una indemnización compensatoria por una sola vez, de treinta mil dólares de los Estados Unidos de Norteamérica (US$ 30,000.00), con cargo al Presupuesto General del Estado. […]</w:t>
            </w:r>
          </w:p>
        </w:tc>
        <w:tc>
          <w:tcPr>
            <w:tcW w:w="1710" w:type="dxa"/>
            <w:tcBorders>
              <w:bottom w:val="single" w:sz="4" w:space="0" w:color="auto"/>
            </w:tcBorders>
            <w:shd w:val="clear" w:color="auto" w:fill="auto"/>
            <w:vAlign w:val="center"/>
          </w:tcPr>
          <w:p w14:paraId="473AED6D"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3787BA41" w14:textId="77777777" w:rsidTr="00035E03">
        <w:trPr>
          <w:trHeight w:val="350"/>
          <w:jc w:val="center"/>
        </w:trPr>
        <w:tc>
          <w:tcPr>
            <w:tcW w:w="7830" w:type="dxa"/>
            <w:shd w:val="clear" w:color="auto" w:fill="auto"/>
            <w:vAlign w:val="center"/>
          </w:tcPr>
          <w:p w14:paraId="6DB07537"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258DB512"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se compromete al enjuiciamiento tanto civil como penal y a la búsqueda de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funciones estatales o prevalidos del poder público, se presume que tuvieron participación en la violación alegada. </w:t>
            </w:r>
          </w:p>
          <w:p w14:paraId="48683134"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w:t>
            </w:r>
            <w:r w:rsidRPr="00030A24">
              <w:rPr>
                <w:rFonts w:ascii="Cambria" w:hAnsi="Cambria"/>
                <w:color w:val="000000"/>
                <w:lang w:val="es-CO"/>
              </w:rPr>
              <w:lastRenderedPageBreak/>
              <w:t>personas.  De haber lugar, este enjuiciamiento se realizará con sujeción al ordenamiento constitucional y legal del Estado Ecuatoriano.</w:t>
            </w:r>
          </w:p>
        </w:tc>
        <w:tc>
          <w:tcPr>
            <w:tcW w:w="1710" w:type="dxa"/>
            <w:vAlign w:val="center"/>
          </w:tcPr>
          <w:p w14:paraId="60348489" w14:textId="617A8EFB"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lastRenderedPageBreak/>
              <w:t>Incumplido</w:t>
            </w:r>
            <w:r w:rsidRPr="00030A24">
              <w:rPr>
                <w:rStyle w:val="FootnoteReference"/>
                <w:rFonts w:ascii="Cambria" w:hAnsi="Cambria"/>
                <w:b/>
                <w:color w:val="000000"/>
                <w:lang w:val="es-CO"/>
              </w:rPr>
              <w:footnoteReference w:id="3"/>
            </w:r>
          </w:p>
          <w:p w14:paraId="59CD6425" w14:textId="77777777" w:rsidR="00035E03" w:rsidRPr="00030A24" w:rsidRDefault="00035E03" w:rsidP="00030A24">
            <w:pPr>
              <w:spacing w:after="0" w:line="240" w:lineRule="auto"/>
              <w:jc w:val="both"/>
              <w:rPr>
                <w:rFonts w:ascii="Cambria" w:hAnsi="Cambria"/>
                <w:color w:val="000000"/>
                <w:shd w:val="clear" w:color="auto" w:fill="00FF00"/>
                <w:lang w:val="es-CO"/>
              </w:rPr>
            </w:pPr>
          </w:p>
        </w:tc>
      </w:tr>
    </w:tbl>
    <w:p w14:paraId="72D43DFE" w14:textId="77777777" w:rsidR="0053292A" w:rsidRPr="00030A24" w:rsidRDefault="0053292A" w:rsidP="00030A24">
      <w:pPr>
        <w:spacing w:after="0" w:line="240" w:lineRule="auto"/>
        <w:rPr>
          <w:rFonts w:ascii="Cambria" w:hAnsi="Cambria"/>
          <w:color w:val="000000"/>
          <w:lang w:val="es-CO"/>
        </w:rPr>
      </w:pPr>
    </w:p>
    <w:p w14:paraId="535B337B" w14:textId="77777777" w:rsidR="0053292A" w:rsidRPr="00030A24" w:rsidRDefault="0053292A" w:rsidP="00030A24">
      <w:pPr>
        <w:numPr>
          <w:ilvl w:val="0"/>
          <w:numId w:val="14"/>
        </w:numPr>
        <w:autoSpaceDE w:val="0"/>
        <w:autoSpaceDN w:val="0"/>
        <w:adjustRightInd w:val="0"/>
        <w:spacing w:after="0" w:line="240" w:lineRule="auto"/>
        <w:ind w:left="0" w:firstLine="709"/>
        <w:jc w:val="both"/>
        <w:rPr>
          <w:rFonts w:ascii="Cambria" w:hAnsi="Cambria"/>
          <w:color w:val="000000"/>
          <w:lang w:val="es-CO"/>
        </w:rPr>
      </w:pPr>
      <w:r w:rsidRPr="00030A24">
        <w:rPr>
          <w:rFonts w:ascii="Cambria" w:hAnsi="Cambria"/>
          <w:b/>
          <w:color w:val="000000"/>
          <w:lang w:val="es-CO"/>
        </w:rPr>
        <w:t xml:space="preserve">NIVEL DE CUMPLIMIENTO DEL CASO </w:t>
      </w:r>
    </w:p>
    <w:p w14:paraId="6CD2D969" w14:textId="77777777" w:rsidR="0053292A" w:rsidRPr="00030A24" w:rsidRDefault="0053292A" w:rsidP="00030A24">
      <w:pPr>
        <w:autoSpaceDE w:val="0"/>
        <w:autoSpaceDN w:val="0"/>
        <w:adjustRightInd w:val="0"/>
        <w:spacing w:after="0" w:line="240" w:lineRule="auto"/>
        <w:ind w:firstLine="709"/>
        <w:jc w:val="both"/>
        <w:rPr>
          <w:rFonts w:ascii="Cambria" w:hAnsi="Cambria"/>
          <w:color w:val="000000"/>
          <w:lang w:val="es-CO"/>
        </w:rPr>
      </w:pPr>
    </w:p>
    <w:p w14:paraId="6FEB8847" w14:textId="35CC2CCB" w:rsidR="0053292A" w:rsidRPr="00030A24" w:rsidRDefault="0053292A" w:rsidP="00030A24">
      <w:pPr>
        <w:numPr>
          <w:ilvl w:val="0"/>
          <w:numId w:val="100"/>
        </w:numPr>
        <w:autoSpaceDE w:val="0"/>
        <w:autoSpaceDN w:val="0"/>
        <w:adjustRightInd w:val="0"/>
        <w:spacing w:after="0" w:line="240" w:lineRule="auto"/>
        <w:ind w:left="0" w:firstLine="709"/>
        <w:jc w:val="both"/>
        <w:rPr>
          <w:rFonts w:ascii="Cambria" w:hAnsi="Cambria"/>
          <w:color w:val="000000"/>
          <w:lang w:val="es-CO"/>
        </w:rPr>
      </w:pPr>
      <w:r w:rsidRPr="00030A24">
        <w:rPr>
          <w:rFonts w:ascii="Cambria" w:hAnsi="Cambria"/>
          <w:color w:val="000000"/>
          <w:lang w:val="es-CO"/>
        </w:rPr>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39D804CE" w14:textId="77777777" w:rsidR="0053292A" w:rsidRPr="00030A24" w:rsidRDefault="0053292A" w:rsidP="00030A24">
      <w:pPr>
        <w:autoSpaceDE w:val="0"/>
        <w:autoSpaceDN w:val="0"/>
        <w:adjustRightInd w:val="0"/>
        <w:spacing w:after="0" w:line="240" w:lineRule="auto"/>
        <w:ind w:firstLine="709"/>
        <w:jc w:val="both"/>
        <w:rPr>
          <w:rFonts w:ascii="Cambria" w:hAnsi="Cambria"/>
          <w:color w:val="000000"/>
          <w:lang w:val="es-CO"/>
        </w:rPr>
      </w:pPr>
    </w:p>
    <w:p w14:paraId="2F3D13CD" w14:textId="77777777" w:rsidR="0053292A" w:rsidRPr="00030A24" w:rsidRDefault="0053292A" w:rsidP="00DE1436">
      <w:pPr>
        <w:pStyle w:val="Listavistosa-nfasis11"/>
        <w:numPr>
          <w:ilvl w:val="0"/>
          <w:numId w:val="14"/>
        </w:numPr>
        <w:tabs>
          <w:tab w:val="left" w:pos="1440"/>
        </w:tabs>
        <w:spacing w:after="0" w:line="240" w:lineRule="auto"/>
        <w:ind w:left="0" w:firstLine="709"/>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552D6574" w14:textId="77777777" w:rsidR="0053292A" w:rsidRPr="00030A24" w:rsidRDefault="0053292A" w:rsidP="00DE1436">
      <w:pPr>
        <w:pStyle w:val="Listavistosa-nfasis11"/>
        <w:spacing w:after="0" w:line="240" w:lineRule="auto"/>
        <w:ind w:left="0" w:firstLine="709"/>
        <w:jc w:val="both"/>
        <w:rPr>
          <w:rFonts w:ascii="Cambria" w:hAnsi="Cambria"/>
          <w:b/>
          <w:color w:val="000000"/>
          <w:lang w:val="es-CO"/>
        </w:rPr>
      </w:pPr>
    </w:p>
    <w:p w14:paraId="499A0601" w14:textId="77777777" w:rsidR="0053292A" w:rsidRPr="00030A24" w:rsidRDefault="0053292A" w:rsidP="00DE1436">
      <w:pPr>
        <w:pStyle w:val="Listavistosa-nfasis11"/>
        <w:numPr>
          <w:ilvl w:val="0"/>
          <w:numId w:val="15"/>
        </w:numPr>
        <w:spacing w:after="0" w:line="240" w:lineRule="auto"/>
        <w:ind w:left="0" w:firstLine="709"/>
        <w:jc w:val="both"/>
        <w:rPr>
          <w:rFonts w:ascii="Cambria" w:hAnsi="Cambria"/>
          <w:b/>
          <w:color w:val="000000"/>
          <w:lang w:val="es-CO"/>
        </w:rPr>
      </w:pPr>
      <w:r w:rsidRPr="00030A24">
        <w:rPr>
          <w:rFonts w:ascii="Cambria" w:hAnsi="Cambria"/>
          <w:b/>
          <w:color w:val="000000"/>
          <w:lang w:val="es-CO"/>
        </w:rPr>
        <w:t>Resultados individuales del caso</w:t>
      </w:r>
    </w:p>
    <w:p w14:paraId="34E53FA9" w14:textId="77777777" w:rsidR="0053292A" w:rsidRPr="00030A24" w:rsidRDefault="0053292A" w:rsidP="00DE1436">
      <w:pPr>
        <w:pStyle w:val="Listavistosa-nfasis11"/>
        <w:spacing w:after="0" w:line="240" w:lineRule="auto"/>
        <w:ind w:left="0" w:firstLine="709"/>
        <w:jc w:val="both"/>
        <w:rPr>
          <w:rFonts w:ascii="Cambria" w:hAnsi="Cambria"/>
          <w:b/>
          <w:color w:val="000000"/>
          <w:lang w:val="es-CO"/>
        </w:rPr>
      </w:pPr>
    </w:p>
    <w:p w14:paraId="6BC49839" w14:textId="2E5CE52F" w:rsidR="0053292A" w:rsidRPr="00DE1436" w:rsidRDefault="0053292A" w:rsidP="00600E3C">
      <w:pPr>
        <w:pStyle w:val="Listavistosa-nfasis11"/>
        <w:numPr>
          <w:ilvl w:val="0"/>
          <w:numId w:val="4"/>
        </w:numPr>
        <w:spacing w:after="0" w:line="240" w:lineRule="auto"/>
        <w:ind w:right="-270" w:hanging="810"/>
        <w:jc w:val="center"/>
        <w:rPr>
          <w:rFonts w:ascii="Cambria" w:hAnsi="Cambria"/>
          <w:b/>
          <w:color w:val="000000"/>
          <w:lang w:val="es-CO"/>
        </w:rPr>
      </w:pPr>
      <w:r w:rsidRPr="00DE1436">
        <w:rPr>
          <w:rFonts w:ascii="Cambria" w:hAnsi="Cambria"/>
          <w:color w:val="000000"/>
          <w:lang w:val="es-CO"/>
        </w:rPr>
        <w:t>El Estado realizó la reparación económica, según lo establecido en el acuerdo.</w:t>
      </w:r>
    </w:p>
    <w:sectPr w:rsidR="0053292A" w:rsidRPr="00DE1436" w:rsidSect="007E4ED5">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664B65"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6860A312" w14:textId="77777777" w:rsidR="0053292A" w:rsidRPr="00766537" w:rsidRDefault="0053292A" w:rsidP="0053292A">
      <w:pPr>
        <w:pStyle w:val="FootnoteText"/>
        <w:ind w:firstLine="851"/>
        <w:jc w:val="both"/>
        <w:rPr>
          <w:rFonts w:ascii="Cambria" w:hAnsi="Cambria"/>
          <w:color w:val="000000"/>
          <w:sz w:val="16"/>
          <w:szCs w:val="16"/>
          <w:lang w:val="es-AR"/>
        </w:rPr>
      </w:pPr>
      <w:r w:rsidRPr="00766537">
        <w:rPr>
          <w:rStyle w:val="FootnoteReference"/>
          <w:rFonts w:ascii="Cambria" w:hAnsi="Cambria"/>
          <w:color w:val="000000"/>
          <w:sz w:val="16"/>
          <w:szCs w:val="16"/>
          <w:lang w:val="es-AR"/>
        </w:rPr>
        <w:footnoteRef/>
      </w:r>
      <w:r w:rsidRPr="00766537">
        <w:rPr>
          <w:rFonts w:ascii="Cambria" w:hAnsi="Cambria"/>
          <w:color w:val="000000"/>
          <w:sz w:val="16"/>
          <w:szCs w:val="16"/>
          <w:lang w:val="es-AR"/>
        </w:rPr>
        <w:t xml:space="preserve"> CIDH, Informe No. 106/01, Caso 11.450, Solución Amistosa, Marco Vinicio Almeida Calispa, Ecuador, 11 de octubre de 2001.</w:t>
      </w:r>
    </w:p>
  </w:footnote>
  <w:footnote w:id="3">
    <w:p w14:paraId="6D012F25" w14:textId="77777777" w:rsidR="00035E03" w:rsidRPr="00766537" w:rsidRDefault="00035E03" w:rsidP="0053292A">
      <w:pPr>
        <w:pStyle w:val="FootnoteText"/>
        <w:ind w:firstLine="851"/>
        <w:jc w:val="both"/>
        <w:rPr>
          <w:lang w:val="es-ES"/>
        </w:rPr>
      </w:pPr>
      <w:r w:rsidRPr="00766537">
        <w:rPr>
          <w:rStyle w:val="FootnoteReference"/>
          <w:sz w:val="16"/>
          <w:szCs w:val="16"/>
        </w:rPr>
        <w:footnoteRef/>
      </w:r>
      <w:r w:rsidRPr="00766537">
        <w:rPr>
          <w:sz w:val="16"/>
          <w:szCs w:val="16"/>
          <w:lang w:val="es-AR"/>
        </w:rPr>
        <w:t xml:space="preserve"> </w:t>
      </w:r>
      <w:r w:rsidRPr="00766537">
        <w:rPr>
          <w:rFonts w:ascii="Cambria" w:hAnsi="Cambria"/>
          <w:color w:val="000000"/>
          <w:sz w:val="16"/>
          <w:szCs w:val="16"/>
          <w:lang w:val="es-ES"/>
        </w:rPr>
        <w:t xml:space="preserve">Ver CIDH, Informe Anual 2020, Capítulo II, Sección F. Negociación e implementación de acuerdos de solución amistosa. </w:t>
      </w:r>
      <w:r w:rsidRPr="00766537">
        <w:rPr>
          <w:rFonts w:ascii="Cambria" w:hAnsi="Cambria"/>
          <w:color w:val="000000"/>
          <w:sz w:val="16"/>
          <w:szCs w:val="16"/>
          <w:lang w:val="es-CO"/>
        </w:rPr>
        <w:t xml:space="preserve">Disponible en: </w:t>
      </w:r>
      <w:hyperlink r:id="rId1" w:history="1">
        <w:r w:rsidRPr="00766537">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664B65">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664B65"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5B4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0E3C"/>
    <w:rsid w:val="0060164F"/>
    <w:rsid w:val="00603990"/>
    <w:rsid w:val="00604132"/>
    <w:rsid w:val="006041C3"/>
    <w:rsid w:val="00604F1C"/>
    <w:rsid w:val="00607BF8"/>
    <w:rsid w:val="006152C5"/>
    <w:rsid w:val="006218C5"/>
    <w:rsid w:val="00634593"/>
    <w:rsid w:val="00664B65"/>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1436"/>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2023-03-03T22:09:00Z</dcterms:created>
  <dcterms:modified xsi:type="dcterms:W3CDTF">2023-03-03T22:09:00Z</dcterms:modified>
</cp:coreProperties>
</file>