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43DF" w14:textId="77777777" w:rsidR="0053292A" w:rsidRPr="00030A24" w:rsidRDefault="0053292A" w:rsidP="00030A24">
      <w:pPr>
        <w:spacing w:after="0" w:line="240" w:lineRule="auto"/>
        <w:ind w:right="-270"/>
        <w:jc w:val="center"/>
        <w:rPr>
          <w:rFonts w:ascii="Cambria" w:hAnsi="Cambria"/>
          <w:b/>
          <w:color w:val="000000"/>
          <w:lang w:val="es-CO"/>
        </w:rPr>
      </w:pPr>
    </w:p>
    <w:p w14:paraId="7717DFE5" w14:textId="77777777" w:rsidR="0053292A" w:rsidRPr="00030A24" w:rsidRDefault="0053292A" w:rsidP="00030A24">
      <w:pPr>
        <w:spacing w:after="0" w:line="240" w:lineRule="auto"/>
        <w:ind w:right="-270"/>
        <w:contextualSpacing/>
        <w:jc w:val="both"/>
        <w:rPr>
          <w:rFonts w:ascii="Cambria" w:hAnsi="Cambria"/>
          <w:color w:val="000000"/>
          <w:lang w:val="es-CO"/>
        </w:rPr>
      </w:pPr>
    </w:p>
    <w:p w14:paraId="67BCAE68" w14:textId="77777777" w:rsidR="0053292A" w:rsidRPr="00030A24" w:rsidRDefault="0053292A" w:rsidP="00030A24">
      <w:pPr>
        <w:spacing w:after="0" w:line="240" w:lineRule="auto"/>
        <w:ind w:right="-270"/>
        <w:jc w:val="center"/>
        <w:rPr>
          <w:rFonts w:ascii="Cambria" w:hAnsi="Cambria"/>
          <w:b/>
          <w:color w:val="000000"/>
          <w:lang w:val="es-CO"/>
        </w:rPr>
      </w:pPr>
      <w:r w:rsidRPr="00030A24">
        <w:rPr>
          <w:rFonts w:ascii="Cambria" w:hAnsi="Cambria"/>
          <w:b/>
          <w:color w:val="000000"/>
          <w:lang w:val="es-CO"/>
        </w:rPr>
        <w:t xml:space="preserve">FICHA TÉCNICA INFORMATIVA  </w:t>
      </w:r>
    </w:p>
    <w:p w14:paraId="4C7BAA44" w14:textId="77777777" w:rsidR="0053292A" w:rsidRPr="00030A24" w:rsidRDefault="0053292A" w:rsidP="00030A24">
      <w:pPr>
        <w:spacing w:after="0" w:line="240" w:lineRule="auto"/>
        <w:ind w:right="-270"/>
        <w:jc w:val="center"/>
        <w:rPr>
          <w:rFonts w:ascii="Cambria" w:hAnsi="Cambria"/>
          <w:b/>
          <w:color w:val="000000"/>
          <w:lang w:val="es-CO"/>
        </w:rPr>
      </w:pPr>
      <w:r w:rsidRPr="00030A24">
        <w:rPr>
          <w:rFonts w:ascii="Cambria" w:hAnsi="Cambria"/>
          <w:b/>
          <w:color w:val="000000"/>
          <w:lang w:val="es-CO"/>
        </w:rPr>
        <w:t>CASO 11.626 B- LUIS ENRIQUE CAÑOLA VALENCIA</w:t>
      </w:r>
    </w:p>
    <w:p w14:paraId="3F3FCE6A" w14:textId="77777777" w:rsidR="0053292A" w:rsidRPr="00030A24" w:rsidRDefault="0053292A" w:rsidP="00030A24">
      <w:pPr>
        <w:spacing w:after="0" w:line="240" w:lineRule="auto"/>
        <w:ind w:right="-270"/>
        <w:jc w:val="center"/>
        <w:rPr>
          <w:rFonts w:ascii="Cambria" w:hAnsi="Cambria"/>
          <w:b/>
          <w:color w:val="000000"/>
          <w:lang w:val="es-CO"/>
        </w:rPr>
      </w:pPr>
      <w:r w:rsidRPr="00030A24">
        <w:rPr>
          <w:rFonts w:ascii="Cambria" w:hAnsi="Cambria"/>
          <w:b/>
          <w:color w:val="000000"/>
          <w:lang w:val="es-CO"/>
        </w:rPr>
        <w:t>INFORME DE SOLUCIÓN AMISTOSA Nº 82/20</w:t>
      </w:r>
    </w:p>
    <w:p w14:paraId="0DDE9EF0" w14:textId="77777777" w:rsidR="0053292A" w:rsidRPr="00030A24" w:rsidRDefault="0053292A" w:rsidP="00030A24">
      <w:pPr>
        <w:spacing w:after="0" w:line="240" w:lineRule="auto"/>
        <w:ind w:right="-270"/>
        <w:jc w:val="center"/>
        <w:rPr>
          <w:rFonts w:ascii="Cambria" w:hAnsi="Cambria"/>
          <w:b/>
          <w:color w:val="000000"/>
          <w:lang w:val="es-CO"/>
        </w:rPr>
      </w:pPr>
      <w:r w:rsidRPr="00030A24">
        <w:rPr>
          <w:rFonts w:ascii="Cambria" w:hAnsi="Cambria"/>
          <w:b/>
          <w:color w:val="000000"/>
          <w:lang w:val="es-CO"/>
        </w:rPr>
        <w:t>ARCHIVO</w:t>
      </w:r>
    </w:p>
    <w:p w14:paraId="30841C47" w14:textId="31A6F6BF" w:rsidR="0053292A" w:rsidRPr="00030A24" w:rsidRDefault="0053292A" w:rsidP="00030A24">
      <w:pPr>
        <w:spacing w:after="0" w:line="240" w:lineRule="auto"/>
        <w:ind w:right="-270"/>
        <w:jc w:val="center"/>
        <w:rPr>
          <w:rFonts w:ascii="Cambria" w:hAnsi="Cambria"/>
          <w:b/>
          <w:color w:val="000000"/>
          <w:lang w:val="es-CO"/>
        </w:rPr>
      </w:pPr>
      <w:r w:rsidRPr="00030A24">
        <w:rPr>
          <w:rFonts w:ascii="Cambria" w:hAnsi="Cambria"/>
          <w:b/>
          <w:color w:val="000000"/>
          <w:lang w:val="es-CO"/>
        </w:rPr>
        <w:t>(ECUADOR)</w:t>
      </w:r>
    </w:p>
    <w:p w14:paraId="573DA762" w14:textId="77777777" w:rsidR="0053292A" w:rsidRPr="00030A24" w:rsidRDefault="0053292A" w:rsidP="00030A24">
      <w:pPr>
        <w:spacing w:after="0" w:line="240" w:lineRule="auto"/>
        <w:ind w:right="-270"/>
        <w:jc w:val="center"/>
        <w:rPr>
          <w:rFonts w:ascii="Cambria" w:hAnsi="Cambria"/>
          <w:b/>
          <w:color w:val="000000"/>
          <w:lang w:val="es-CO"/>
        </w:rPr>
      </w:pPr>
    </w:p>
    <w:p w14:paraId="734B4166" w14:textId="77777777" w:rsidR="0053292A" w:rsidRPr="00030A24" w:rsidRDefault="0053292A" w:rsidP="00030A24">
      <w:pPr>
        <w:numPr>
          <w:ilvl w:val="0"/>
          <w:numId w:val="89"/>
        </w:numPr>
        <w:tabs>
          <w:tab w:val="left" w:pos="720"/>
        </w:tabs>
        <w:spacing w:after="0" w:line="240" w:lineRule="auto"/>
        <w:ind w:left="0" w:firstLine="720"/>
        <w:rPr>
          <w:rFonts w:ascii="Cambria" w:hAnsi="Cambria"/>
          <w:b/>
          <w:color w:val="000000"/>
          <w:lang w:val="es-CO"/>
        </w:rPr>
      </w:pPr>
      <w:r w:rsidRPr="00030A24">
        <w:rPr>
          <w:rFonts w:ascii="Cambria" w:hAnsi="Cambria"/>
          <w:b/>
          <w:color w:val="000000"/>
          <w:lang w:val="es-CO"/>
        </w:rPr>
        <w:t xml:space="preserve">RESUMEN DEL CASO </w:t>
      </w:r>
    </w:p>
    <w:p w14:paraId="2918EE5A" w14:textId="77777777" w:rsidR="0053292A" w:rsidRPr="00030A24" w:rsidRDefault="0053292A" w:rsidP="00030A24">
      <w:pPr>
        <w:spacing w:after="0" w:line="240" w:lineRule="auto"/>
        <w:rPr>
          <w:rFonts w:ascii="Cambria" w:hAnsi="Cambria"/>
          <w:b/>
          <w:color w:val="00000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3292A" w:rsidRPr="0019645D" w14:paraId="1AE6C414" w14:textId="77777777" w:rsidTr="00550EB8">
        <w:trPr>
          <w:trHeight w:val="6484"/>
          <w:jc w:val="center"/>
        </w:trPr>
        <w:tc>
          <w:tcPr>
            <w:tcW w:w="9576" w:type="dxa"/>
            <w:shd w:val="clear" w:color="auto" w:fill="F2F2F2"/>
          </w:tcPr>
          <w:p w14:paraId="3C7CB5C2"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Víctima (s):</w:t>
            </w:r>
            <w:r w:rsidRPr="00030A24">
              <w:rPr>
                <w:rFonts w:ascii="Cambria" w:hAnsi="Cambria"/>
                <w:color w:val="000000"/>
                <w:lang w:val="es-CO"/>
              </w:rPr>
              <w:t xml:space="preserve"> Luis Enrique Cañola Valencia</w:t>
            </w:r>
          </w:p>
          <w:p w14:paraId="17559CC2"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 xml:space="preserve">Peticionario (s): </w:t>
            </w:r>
            <w:r w:rsidRPr="00030A24">
              <w:rPr>
                <w:rFonts w:ascii="Cambria" w:hAnsi="Cambria"/>
                <w:color w:val="000000"/>
                <w:lang w:val="es-CO"/>
              </w:rPr>
              <w:t>Comisión Ecuménica de Derechos Humanos</w:t>
            </w:r>
          </w:p>
          <w:p w14:paraId="4A6B8AAE"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Estado:</w:t>
            </w:r>
            <w:r w:rsidRPr="00030A24">
              <w:rPr>
                <w:rFonts w:ascii="Cambria" w:hAnsi="Cambria"/>
                <w:color w:val="000000"/>
                <w:lang w:val="es-CO"/>
              </w:rPr>
              <w:t xml:space="preserve"> Ecuador</w:t>
            </w:r>
          </w:p>
          <w:p w14:paraId="1AB404A3"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 xml:space="preserve">Fecha de inicio de las negociaciones: </w:t>
            </w:r>
            <w:r w:rsidRPr="00030A24">
              <w:rPr>
                <w:rFonts w:ascii="Cambria" w:hAnsi="Cambria"/>
                <w:color w:val="000000"/>
                <w:lang w:val="es-CO"/>
              </w:rPr>
              <w:t>11 de junio de 1999</w:t>
            </w:r>
          </w:p>
          <w:p w14:paraId="0722A960"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 xml:space="preserve">Fecha de Firma de ASA: </w:t>
            </w:r>
            <w:r w:rsidRPr="00030A24">
              <w:rPr>
                <w:rFonts w:ascii="Cambria" w:hAnsi="Cambria"/>
                <w:color w:val="000000"/>
                <w:lang w:val="es-CO"/>
              </w:rPr>
              <w:t>11 de junio de 1999</w:t>
            </w:r>
          </w:p>
          <w:p w14:paraId="57C87847" w14:textId="77777777" w:rsidR="0053292A" w:rsidRPr="00030A24" w:rsidRDefault="0053292A" w:rsidP="00030A24">
            <w:pPr>
              <w:tabs>
                <w:tab w:val="left" w:pos="9270"/>
              </w:tabs>
              <w:spacing w:after="0" w:line="240" w:lineRule="auto"/>
              <w:jc w:val="both"/>
              <w:rPr>
                <w:rFonts w:ascii="Cambria" w:hAnsi="Cambria"/>
                <w:b/>
                <w:color w:val="000000"/>
                <w:lang w:val="es-CO"/>
              </w:rPr>
            </w:pPr>
            <w:r w:rsidRPr="00030A24">
              <w:rPr>
                <w:rFonts w:ascii="Cambria" w:hAnsi="Cambria"/>
                <w:b/>
                <w:color w:val="000000"/>
                <w:lang w:val="es-CO"/>
              </w:rPr>
              <w:t xml:space="preserve">Informe de Acuerdo de Solución Amistosa </w:t>
            </w:r>
            <w:r w:rsidRPr="00030A24">
              <w:rPr>
                <w:rFonts w:ascii="Cambria" w:hAnsi="Cambria"/>
                <w:color w:val="000000"/>
                <w:lang w:val="es-CO"/>
              </w:rPr>
              <w:t xml:space="preserve">Nº </w:t>
            </w:r>
            <w:hyperlink r:id="rId13" w:history="1">
              <w:r w:rsidRPr="00030A24">
                <w:rPr>
                  <w:rFonts w:ascii="Cambria" w:hAnsi="Cambria"/>
                  <w:b/>
                  <w:u w:val="single"/>
                  <w:lang w:val="es-CO"/>
                </w:rPr>
                <w:t>82/20</w:t>
              </w:r>
            </w:hyperlink>
            <w:r w:rsidRPr="00030A24">
              <w:rPr>
                <w:rFonts w:ascii="Cambria" w:hAnsi="Cambria"/>
                <w:color w:val="000000"/>
                <w:lang w:val="es-CO"/>
              </w:rPr>
              <w:t>, publicado el 1 de junio de 2020</w:t>
            </w:r>
          </w:p>
          <w:p w14:paraId="40BB22AB"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 xml:space="preserve">Duración estimada de la fase de negociación: </w:t>
            </w:r>
            <w:r w:rsidRPr="00030A24">
              <w:rPr>
                <w:rFonts w:ascii="Cambria" w:hAnsi="Cambria"/>
                <w:color w:val="000000"/>
                <w:lang w:val="es-CO"/>
              </w:rPr>
              <w:t>21 años</w:t>
            </w:r>
          </w:p>
          <w:p w14:paraId="662DE305"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Relatoría vinculada:</w:t>
            </w:r>
            <w:r w:rsidRPr="00030A24">
              <w:rPr>
                <w:rFonts w:ascii="Cambria" w:hAnsi="Cambria"/>
                <w:color w:val="000000"/>
                <w:lang w:val="es-CO"/>
              </w:rPr>
              <w:t xml:space="preserve"> Personas Privadas de Libertad</w:t>
            </w:r>
          </w:p>
          <w:p w14:paraId="096B1C0C"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 xml:space="preserve">Temas: </w:t>
            </w:r>
            <w:r w:rsidRPr="00030A24">
              <w:rPr>
                <w:rFonts w:ascii="Cambria" w:hAnsi="Cambria"/>
                <w:color w:val="000000"/>
                <w:lang w:val="es-CO"/>
              </w:rPr>
              <w:t>Derecho a la Vida/ Desaparición forzada/ Detención arbitraria o ilegal/ Garantías Judiciales/</w:t>
            </w:r>
            <w:r w:rsidRPr="00030A24">
              <w:rPr>
                <w:rFonts w:ascii="Cambria" w:hAnsi="Cambria"/>
                <w:b/>
                <w:color w:val="000000"/>
                <w:lang w:val="es-CO"/>
              </w:rPr>
              <w:t xml:space="preserve"> </w:t>
            </w:r>
            <w:r w:rsidRPr="00030A24">
              <w:rPr>
                <w:rFonts w:ascii="Cambria" w:hAnsi="Cambria"/>
                <w:color w:val="000000"/>
                <w:lang w:val="es-CO"/>
              </w:rPr>
              <w:t>Investigación y Debida Diligencia/ Protección Judicial/ Seguridad y Violencia/ Torturas, tratos crueles inhumanos y/o degradantes/ Violencia Policial</w:t>
            </w:r>
          </w:p>
          <w:p w14:paraId="6D1FBB0B" w14:textId="77777777" w:rsidR="0053292A" w:rsidRPr="00030A24" w:rsidRDefault="0053292A" w:rsidP="00030A24">
            <w:pPr>
              <w:tabs>
                <w:tab w:val="left" w:pos="9270"/>
              </w:tabs>
              <w:spacing w:after="0" w:line="240" w:lineRule="auto"/>
              <w:jc w:val="both"/>
              <w:rPr>
                <w:rFonts w:ascii="Cambria" w:hAnsi="Cambria"/>
                <w:color w:val="000000"/>
                <w:lang w:val="es-CO"/>
              </w:rPr>
            </w:pPr>
          </w:p>
          <w:p w14:paraId="75578828" w14:textId="77777777" w:rsidR="0053292A" w:rsidRPr="00030A24" w:rsidRDefault="0053292A" w:rsidP="00030A24">
            <w:pPr>
              <w:autoSpaceDE w:val="0"/>
              <w:autoSpaceDN w:val="0"/>
              <w:adjustRightInd w:val="0"/>
              <w:spacing w:after="0" w:line="240" w:lineRule="auto"/>
              <w:jc w:val="both"/>
              <w:rPr>
                <w:rFonts w:ascii="Cambria" w:hAnsi="Cambria"/>
                <w:color w:val="000000"/>
                <w:lang w:val="es-CO"/>
              </w:rPr>
            </w:pPr>
            <w:r w:rsidRPr="00030A24">
              <w:rPr>
                <w:rFonts w:ascii="Cambria" w:hAnsi="Cambria"/>
                <w:b/>
                <w:color w:val="000000"/>
                <w:lang w:val="es-CO"/>
              </w:rPr>
              <w:t>Hechos:</w:t>
            </w:r>
            <w:r w:rsidRPr="00030A24">
              <w:rPr>
                <w:rFonts w:ascii="Cambria" w:hAnsi="Cambria"/>
                <w:color w:val="000000"/>
                <w:lang w:val="es-CO"/>
              </w:rPr>
              <w:t xml:space="preserve"> La parte peticionaria alegó que el 12 de abril de 1993, Luis Enrique Cañola Gonzáles Valencia sido detenido por agentes policiales en el sector Chancana de la Parroquia Chura en el cantón Quinindé de la Provincia de Esmeraldas en compañía de Santo Cañola Gonzáles, con posterioridad a las detenciones, las presuntas víctimas habrían sido trasladadas a Viche, donde habrían sido puestas a órdenes de una Teniente de la Policía de Ecuador. Adicionalmente, la parte peticionaria alegó que las presuntas víctimas habrían sido trasladadas por agentes policiales hacia Esmeraldas, donde dos horas más tarde habrían sido encontrados los cuerpos sin vida, en el cementerio de la ciudad, junto con el cadáver de Fredy Oreste Cañola Valencia, con señales de tortura e impactos de balas. Adicionalmente, la parte peticionaria informó que en mayo de 1994 presentó una acusación particular y que con posterioridad se llevó a cabo un juicio penal ante el Juzgado Cuarto de lo Penal de Quinindé y que el Juez habría “abandonado la causa penal”. Asimismo, informó que habría denunciado el abandono de la 2 causa penal ante el Comité de Derechos Humanos de Esmeraldas y que, al momento de la petición, la causa se encontraba pendiente ante la Corte Superior de Esmeraldas.</w:t>
            </w:r>
          </w:p>
          <w:p w14:paraId="3A0F6DC7" w14:textId="77777777" w:rsidR="0053292A" w:rsidRPr="00030A24" w:rsidRDefault="0053292A" w:rsidP="00030A24">
            <w:pPr>
              <w:tabs>
                <w:tab w:val="left" w:pos="9270"/>
              </w:tabs>
              <w:spacing w:after="0" w:line="240" w:lineRule="auto"/>
              <w:jc w:val="both"/>
              <w:rPr>
                <w:rFonts w:ascii="Cambria" w:hAnsi="Cambria"/>
                <w:color w:val="000000"/>
                <w:lang w:val="es-CO"/>
              </w:rPr>
            </w:pPr>
          </w:p>
          <w:p w14:paraId="7CF33FE2"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 xml:space="preserve">Derechos alegados: </w:t>
            </w:r>
            <w:r w:rsidRPr="00030A24">
              <w:rPr>
                <w:rFonts w:ascii="Cambria" w:hAnsi="Cambria"/>
                <w:color w:val="000000"/>
                <w:lang w:val="es-CO"/>
              </w:rPr>
              <w:t>Los peticionarios alegaron que la República de Ecuador violó los artículos 4 (derecho a la vida), 7 (derecho a la libertad Personal), 8 (garantías judiciales) y 25 (protección judicial) de la Convención Americana, con relación al artículo 1.1 del mismo instrumento.</w:t>
            </w:r>
          </w:p>
        </w:tc>
      </w:tr>
    </w:tbl>
    <w:p w14:paraId="21FCFA3A" w14:textId="77777777" w:rsidR="0053292A" w:rsidRPr="00030A24" w:rsidRDefault="0053292A" w:rsidP="00030A24">
      <w:pPr>
        <w:spacing w:after="0" w:line="240" w:lineRule="auto"/>
        <w:contextualSpacing/>
        <w:jc w:val="both"/>
        <w:rPr>
          <w:rFonts w:ascii="Cambria" w:hAnsi="Cambria"/>
          <w:b/>
          <w:color w:val="000000"/>
          <w:lang w:val="es-CO"/>
        </w:rPr>
      </w:pPr>
    </w:p>
    <w:p w14:paraId="01183713" w14:textId="77777777" w:rsidR="0053292A" w:rsidRPr="00030A24" w:rsidRDefault="0053292A" w:rsidP="00030A24">
      <w:pPr>
        <w:numPr>
          <w:ilvl w:val="0"/>
          <w:numId w:val="90"/>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ACTIVIDAD PROCESAL</w:t>
      </w:r>
    </w:p>
    <w:p w14:paraId="190589A1" w14:textId="77777777" w:rsidR="0053292A" w:rsidRPr="00030A24" w:rsidRDefault="0053292A" w:rsidP="00030A24">
      <w:pPr>
        <w:spacing w:after="0" w:line="240" w:lineRule="auto"/>
        <w:ind w:firstLine="720"/>
        <w:jc w:val="both"/>
        <w:rPr>
          <w:rFonts w:ascii="Cambria" w:hAnsi="Cambria"/>
          <w:b/>
          <w:lang w:val="es-CO"/>
        </w:rPr>
      </w:pPr>
    </w:p>
    <w:p w14:paraId="047DA209" w14:textId="31458109" w:rsidR="0053292A" w:rsidRPr="00030A24" w:rsidRDefault="0053292A" w:rsidP="00030A24">
      <w:pPr>
        <w:numPr>
          <w:ilvl w:val="0"/>
          <w:numId w:val="91"/>
        </w:numPr>
        <w:spacing w:after="0" w:line="240" w:lineRule="auto"/>
        <w:ind w:left="0" w:firstLine="720"/>
        <w:jc w:val="both"/>
        <w:rPr>
          <w:rFonts w:ascii="Cambria" w:hAnsi="Cambria" w:cs="Calibri Light"/>
          <w:color w:val="000000"/>
          <w:lang w:val="es-CO"/>
        </w:rPr>
      </w:pPr>
      <w:r w:rsidRPr="00030A24">
        <w:rPr>
          <w:rFonts w:ascii="Cambria" w:hAnsi="Cambria"/>
          <w:color w:val="000000"/>
          <w:lang w:val="es-CO"/>
        </w:rPr>
        <w:t>El 11 de junio de 1999</w:t>
      </w:r>
      <w:r w:rsidR="00317354" w:rsidRPr="00030A24">
        <w:rPr>
          <w:rFonts w:ascii="Cambria" w:hAnsi="Cambria"/>
          <w:color w:val="000000"/>
          <w:lang w:val="es-CO"/>
        </w:rPr>
        <w:t>,</w:t>
      </w:r>
      <w:r w:rsidRPr="00030A24">
        <w:rPr>
          <w:rFonts w:ascii="Cambria" w:hAnsi="Cambria"/>
          <w:color w:val="000000"/>
          <w:lang w:val="es-CO"/>
        </w:rPr>
        <w:t xml:space="preserve"> las partes firmaron un acuerdo de solución amistosa.</w:t>
      </w:r>
    </w:p>
    <w:p w14:paraId="62BDE941" w14:textId="77777777" w:rsidR="0053292A" w:rsidRPr="00030A24" w:rsidRDefault="0053292A" w:rsidP="00030A24">
      <w:pPr>
        <w:spacing w:after="0" w:line="240" w:lineRule="auto"/>
        <w:ind w:firstLine="720"/>
        <w:jc w:val="both"/>
        <w:rPr>
          <w:rFonts w:ascii="Cambria" w:hAnsi="Cambria"/>
          <w:color w:val="000000"/>
          <w:lang w:val="es-CO"/>
        </w:rPr>
      </w:pPr>
    </w:p>
    <w:p w14:paraId="2AAA4ABA" w14:textId="77777777" w:rsidR="0053292A" w:rsidRPr="00030A24" w:rsidRDefault="0053292A" w:rsidP="00030A24">
      <w:pPr>
        <w:numPr>
          <w:ilvl w:val="0"/>
          <w:numId w:val="91"/>
        </w:numPr>
        <w:spacing w:after="0" w:line="240" w:lineRule="auto"/>
        <w:ind w:left="0" w:firstLine="720"/>
        <w:jc w:val="both"/>
        <w:rPr>
          <w:rFonts w:ascii="Cambria" w:hAnsi="Cambria"/>
          <w:color w:val="000000"/>
          <w:lang w:val="es-CO"/>
        </w:rPr>
      </w:pPr>
      <w:r w:rsidRPr="00030A24">
        <w:rPr>
          <w:rFonts w:ascii="Cambria" w:hAnsi="Cambria"/>
          <w:color w:val="000000"/>
          <w:lang w:val="es-CO"/>
        </w:rPr>
        <w:t>El 1 de junio de 2020, la Comisión aprobó el acuerdo de solución amistosa, mediante informe No. 82/20.</w:t>
      </w:r>
    </w:p>
    <w:p w14:paraId="62019723" w14:textId="77777777" w:rsidR="0053292A" w:rsidRPr="00030A24" w:rsidRDefault="0053292A" w:rsidP="00030A24">
      <w:pPr>
        <w:spacing w:after="0" w:line="240" w:lineRule="auto"/>
        <w:jc w:val="both"/>
        <w:rPr>
          <w:rFonts w:ascii="Cambria" w:hAnsi="Cambria"/>
          <w:color w:val="000000"/>
          <w:lang w:val="es-CO"/>
        </w:rPr>
      </w:pPr>
    </w:p>
    <w:p w14:paraId="492C7118" w14:textId="77777777" w:rsidR="0053292A" w:rsidRPr="00030A24" w:rsidRDefault="0053292A" w:rsidP="00030A24">
      <w:pPr>
        <w:tabs>
          <w:tab w:val="left" w:pos="1440"/>
        </w:tabs>
        <w:spacing w:after="0" w:line="240" w:lineRule="auto"/>
        <w:ind w:firstLine="720"/>
        <w:contextualSpacing/>
        <w:jc w:val="both"/>
        <w:rPr>
          <w:rFonts w:ascii="Cambria" w:hAnsi="Cambria"/>
          <w:b/>
          <w:color w:val="000000"/>
          <w:lang w:val="es-CO"/>
        </w:rPr>
      </w:pPr>
      <w:r w:rsidRPr="00030A24">
        <w:rPr>
          <w:rFonts w:ascii="Cambria" w:hAnsi="Cambria"/>
          <w:b/>
          <w:color w:val="000000"/>
          <w:lang w:val="es-CO"/>
        </w:rPr>
        <w:t xml:space="preserve">III. </w:t>
      </w:r>
      <w:r w:rsidRPr="00030A24">
        <w:rPr>
          <w:rFonts w:ascii="Cambria" w:hAnsi="Cambria"/>
          <w:b/>
          <w:color w:val="000000"/>
          <w:lang w:val="es-CO"/>
        </w:rPr>
        <w:tab/>
        <w:t>ANÁLISIS DEL CUMPLIMIENTO DE LAS CLÁUSULAS DEL ACUERDO DE SOLUCIÓN AMISTOSA</w:t>
      </w:r>
    </w:p>
    <w:p w14:paraId="48FB7A76" w14:textId="77777777" w:rsidR="0053292A" w:rsidRPr="00030A24" w:rsidRDefault="0053292A" w:rsidP="00030A24">
      <w:pPr>
        <w:spacing w:after="0" w:line="240" w:lineRule="auto"/>
        <w:rPr>
          <w:rFonts w:ascii="Cambria" w:hAnsi="Cambria"/>
          <w:color w:val="000000"/>
          <w:lang w:val="es-CO"/>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7472"/>
        <w:gridCol w:w="2044"/>
      </w:tblGrid>
      <w:tr w:rsidR="00035E03" w:rsidRPr="00030A24" w14:paraId="1CE99D4D" w14:textId="77777777" w:rsidTr="000214CA">
        <w:trPr>
          <w:jc w:val="center"/>
        </w:trPr>
        <w:tc>
          <w:tcPr>
            <w:tcW w:w="74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C012586" w14:textId="77777777" w:rsidR="00035E03" w:rsidRPr="00030A24" w:rsidRDefault="00035E03" w:rsidP="00030A24">
            <w:pPr>
              <w:tabs>
                <w:tab w:val="center" w:pos="2049"/>
              </w:tabs>
              <w:spacing w:after="0" w:line="240" w:lineRule="auto"/>
              <w:jc w:val="center"/>
              <w:rPr>
                <w:rFonts w:ascii="Cambria" w:hAnsi="Cambria"/>
                <w:b/>
                <w:color w:val="000000"/>
                <w:lang w:val="es-CO"/>
              </w:rPr>
            </w:pPr>
            <w:r w:rsidRPr="00030A24">
              <w:rPr>
                <w:rFonts w:ascii="Cambria" w:hAnsi="Cambria"/>
                <w:b/>
                <w:color w:val="000000"/>
                <w:lang w:val="es-CO"/>
              </w:rPr>
              <w:t>Cláusula del Acuerdo</w:t>
            </w:r>
          </w:p>
        </w:tc>
        <w:tc>
          <w:tcPr>
            <w:tcW w:w="2044" w:type="dxa"/>
            <w:tcBorders>
              <w:top w:val="single" w:sz="4" w:space="0" w:color="auto"/>
              <w:left w:val="single" w:sz="4" w:space="0" w:color="auto"/>
              <w:bottom w:val="single" w:sz="4" w:space="0" w:color="auto"/>
            </w:tcBorders>
            <w:shd w:val="clear" w:color="auto" w:fill="D9D9D9"/>
            <w:vAlign w:val="center"/>
            <w:hideMark/>
          </w:tcPr>
          <w:p w14:paraId="03097567" w14:textId="77777777" w:rsidR="00035E03" w:rsidRPr="00030A24" w:rsidRDefault="00035E03" w:rsidP="00030A24">
            <w:pPr>
              <w:spacing w:after="0" w:line="240" w:lineRule="auto"/>
              <w:jc w:val="center"/>
              <w:rPr>
                <w:rFonts w:ascii="Cambria" w:hAnsi="Cambria"/>
                <w:b/>
                <w:color w:val="000000"/>
                <w:lang w:val="es-CO"/>
              </w:rPr>
            </w:pPr>
            <w:r w:rsidRPr="00030A24">
              <w:rPr>
                <w:rFonts w:ascii="Cambria" w:hAnsi="Cambria"/>
                <w:b/>
                <w:color w:val="000000"/>
                <w:lang w:val="es-CO"/>
              </w:rPr>
              <w:t>Estado de Cumplimiento</w:t>
            </w:r>
          </w:p>
        </w:tc>
      </w:tr>
      <w:tr w:rsidR="0053292A" w:rsidRPr="0019645D" w14:paraId="552F9484" w14:textId="77777777" w:rsidTr="00035E03">
        <w:trPr>
          <w:trHeight w:val="526"/>
          <w:jc w:val="center"/>
        </w:trPr>
        <w:tc>
          <w:tcPr>
            <w:tcW w:w="9540" w:type="dxa"/>
            <w:gridSpan w:val="3"/>
            <w:tcBorders>
              <w:top w:val="single" w:sz="4" w:space="0" w:color="auto"/>
              <w:left w:val="single" w:sz="4" w:space="0" w:color="auto"/>
              <w:right w:val="single" w:sz="4" w:space="0" w:color="auto"/>
            </w:tcBorders>
            <w:vAlign w:val="center"/>
          </w:tcPr>
          <w:p w14:paraId="44A3A64C"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CLAUSULA 3. RESPONSABILIDAD DEL ESTADO Y ALLANAMIENTO</w:t>
            </w:r>
          </w:p>
        </w:tc>
      </w:tr>
      <w:tr w:rsidR="0053292A" w:rsidRPr="00030A24" w14:paraId="58482226" w14:textId="77777777" w:rsidTr="00035E03">
        <w:trPr>
          <w:trHeight w:val="2015"/>
          <w:jc w:val="center"/>
        </w:trPr>
        <w:tc>
          <w:tcPr>
            <w:tcW w:w="7496" w:type="dxa"/>
            <w:gridSpan w:val="2"/>
            <w:tcBorders>
              <w:top w:val="single" w:sz="4" w:space="0" w:color="auto"/>
              <w:left w:val="single" w:sz="4" w:space="0" w:color="auto"/>
              <w:bottom w:val="single" w:sz="4" w:space="0" w:color="auto"/>
              <w:right w:val="single" w:sz="4" w:space="0" w:color="auto"/>
            </w:tcBorders>
          </w:tcPr>
          <w:p w14:paraId="1D615CCE" w14:textId="77777777" w:rsidR="0053292A" w:rsidRPr="00030A24" w:rsidRDefault="0053292A" w:rsidP="00030A24">
            <w:pPr>
              <w:spacing w:after="0" w:line="240" w:lineRule="auto"/>
              <w:ind w:right="72"/>
              <w:jc w:val="both"/>
              <w:rPr>
                <w:rFonts w:ascii="Cambria" w:hAnsi="Cambria"/>
                <w:color w:val="000000"/>
                <w:kern w:val="36"/>
                <w:lang w:val="es-CO"/>
              </w:rPr>
            </w:pPr>
            <w:r w:rsidRPr="00030A24">
              <w:rPr>
                <w:rFonts w:ascii="Cambria" w:hAnsi="Cambria"/>
                <w:color w:val="000000"/>
                <w:kern w:val="36"/>
                <w:lang w:val="es-CO"/>
              </w:rPr>
              <w:t>El Estado Ecuatoriano reconoce su responsabilidad internacional por haber transgredido los derechos humanos del señor Luis Enrique Cañola Valencia, reconocidos en los Artículos 4 (Derecho a la Vida), Artículo 7 (Derecho a la libertad Personal), Articulo 8 (Garantías Judiciales), Artículo 25 (Protección Judicial) y a su vez la obligación general contenida en el Art. 1.1. de la Convención Americana sobre Derechos Humanos y otros instrumentos internacionales, siendo dichas violaciones cometidas por agentes del Estado, hechos que no ha podido ser desvirtuados por el Estado y ha generado la responsabilidad de este frente a la sociedad. Con estos antecedentes el Estado Ecuatoriano se allana a los hechos constitutivos del Caso No.11.626, que se encuentra en trámite ante la Comisión Interamericana de Derechos Humanos y se obliga a asumir las medidas reparadoras necesarias a fin de resarcir los perjuicios ocasionados a la víctima de tales violaciones o en su defecto a sus causahabientes.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3B31FDF0" w14:textId="77777777" w:rsidR="0053292A" w:rsidRPr="00030A24" w:rsidRDefault="0053292A" w:rsidP="00030A24">
            <w:pPr>
              <w:spacing w:after="0" w:line="240" w:lineRule="auto"/>
              <w:jc w:val="center"/>
              <w:rPr>
                <w:rFonts w:ascii="Cambria" w:hAnsi="Cambria"/>
                <w:b/>
                <w:color w:val="000000"/>
                <w:lang w:val="es-CO"/>
              </w:rPr>
            </w:pPr>
            <w:r w:rsidRPr="00030A24">
              <w:rPr>
                <w:rFonts w:ascii="Cambria" w:hAnsi="Cambria"/>
                <w:b/>
                <w:color w:val="000000"/>
                <w:lang w:val="es-CO"/>
              </w:rPr>
              <w:t>Cláusula Declarativa</w:t>
            </w:r>
          </w:p>
          <w:p w14:paraId="07E7B562" w14:textId="77777777" w:rsidR="0053292A" w:rsidRPr="00030A24" w:rsidRDefault="0053292A" w:rsidP="00030A24">
            <w:pPr>
              <w:spacing w:after="0" w:line="240" w:lineRule="auto"/>
              <w:jc w:val="both"/>
              <w:rPr>
                <w:rFonts w:ascii="Cambria" w:hAnsi="Cambria"/>
                <w:b/>
                <w:color w:val="000000"/>
                <w:lang w:val="es-CO"/>
              </w:rPr>
            </w:pPr>
          </w:p>
          <w:p w14:paraId="5F26383B" w14:textId="77777777" w:rsidR="0053292A" w:rsidRPr="00030A24" w:rsidRDefault="0053292A" w:rsidP="00030A24">
            <w:pPr>
              <w:spacing w:after="0" w:line="240" w:lineRule="auto"/>
              <w:jc w:val="both"/>
              <w:rPr>
                <w:rFonts w:ascii="Cambria" w:hAnsi="Cambria"/>
                <w:b/>
                <w:color w:val="000000"/>
                <w:lang w:val="es-CO"/>
              </w:rPr>
            </w:pPr>
          </w:p>
        </w:tc>
      </w:tr>
      <w:tr w:rsidR="0053292A" w:rsidRPr="00030A24" w14:paraId="21C7D689" w14:textId="77777777" w:rsidTr="00035E03">
        <w:trPr>
          <w:trHeight w:val="288"/>
          <w:jc w:val="center"/>
        </w:trPr>
        <w:tc>
          <w:tcPr>
            <w:tcW w:w="9540" w:type="dxa"/>
            <w:gridSpan w:val="3"/>
            <w:tcBorders>
              <w:top w:val="single" w:sz="4" w:space="0" w:color="auto"/>
              <w:left w:val="single" w:sz="4" w:space="0" w:color="auto"/>
              <w:bottom w:val="single" w:sz="4" w:space="0" w:color="auto"/>
              <w:right w:val="single" w:sz="4" w:space="0" w:color="auto"/>
            </w:tcBorders>
          </w:tcPr>
          <w:p w14:paraId="6252E92A"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 xml:space="preserve">CLÁUSULA 4. INDEMNIZACIÓN </w:t>
            </w:r>
          </w:p>
        </w:tc>
      </w:tr>
      <w:tr w:rsidR="0053292A" w:rsidRPr="00030A24" w14:paraId="770EB7BF" w14:textId="77777777" w:rsidTr="00035E03">
        <w:trPr>
          <w:trHeight w:val="672"/>
          <w:jc w:val="center"/>
        </w:trPr>
        <w:tc>
          <w:tcPr>
            <w:tcW w:w="7496" w:type="dxa"/>
            <w:gridSpan w:val="2"/>
            <w:tcBorders>
              <w:top w:val="single" w:sz="4" w:space="0" w:color="auto"/>
              <w:left w:val="single" w:sz="4" w:space="0" w:color="auto"/>
              <w:bottom w:val="single" w:sz="4" w:space="0" w:color="auto"/>
              <w:right w:val="single" w:sz="4" w:space="0" w:color="auto"/>
            </w:tcBorders>
          </w:tcPr>
          <w:p w14:paraId="0A7E1D4A" w14:textId="77777777" w:rsidR="0053292A" w:rsidRPr="00030A24" w:rsidRDefault="0053292A" w:rsidP="00030A24">
            <w:pPr>
              <w:spacing w:after="0" w:line="240" w:lineRule="auto"/>
              <w:ind w:right="72"/>
              <w:jc w:val="both"/>
              <w:rPr>
                <w:rFonts w:ascii="Cambria" w:hAnsi="Cambria"/>
                <w:color w:val="000000"/>
                <w:kern w:val="36"/>
                <w:lang w:val="es-CO"/>
              </w:rPr>
            </w:pPr>
            <w:r w:rsidRPr="00030A24">
              <w:rPr>
                <w:rFonts w:ascii="Cambria" w:hAnsi="Cambria"/>
                <w:color w:val="000000"/>
                <w:kern w:val="36"/>
                <w:lang w:val="es-CO"/>
              </w:rPr>
              <w:t>Con estos antecedentes, el Estado Ecuatoriano, por intermedio del Procurador General del Estado, éste como único representante judicial del Estado Ecuatoriano de acuerdo con el Art. 215, de la Constitución Política de la República del Ecuador, promulgada en el Registro Oficial No. 1, vigente desde el 11 de Agosto de 1998, entrega al señor Jorge Iván Bolaño Pazmiño, de acuerdo a lo establecido en el poder especial, al tenor de lo previsto en los artículos l045 y 1052 del Código Civil, una indemnización compensatoria por una sola vez, de quince mil dólares de los Estados Unidos de Norteamérica (US 15.000) o su equivalente en moneda nacional, calculado al tipo de cambio vigente al momento del pago, con cargo al Presupuesto General del Estado. […]</w:t>
            </w:r>
          </w:p>
        </w:tc>
        <w:tc>
          <w:tcPr>
            <w:tcW w:w="2044" w:type="dxa"/>
            <w:tcBorders>
              <w:top w:val="single" w:sz="4" w:space="0" w:color="auto"/>
              <w:left w:val="single" w:sz="4" w:space="0" w:color="auto"/>
              <w:bottom w:val="single" w:sz="4" w:space="0" w:color="auto"/>
              <w:right w:val="single" w:sz="4" w:space="0" w:color="auto"/>
            </w:tcBorders>
            <w:vAlign w:val="center"/>
          </w:tcPr>
          <w:p w14:paraId="2336595B" w14:textId="77777777" w:rsidR="0053292A" w:rsidRPr="00030A24" w:rsidRDefault="0053292A" w:rsidP="00030A24">
            <w:pPr>
              <w:spacing w:after="0" w:line="240" w:lineRule="auto"/>
              <w:jc w:val="center"/>
              <w:rPr>
                <w:rFonts w:ascii="Cambria" w:hAnsi="Cambria"/>
                <w:b/>
                <w:color w:val="000000"/>
                <w:vertAlign w:val="superscript"/>
                <w:lang w:val="es-CO"/>
              </w:rPr>
            </w:pPr>
            <w:r w:rsidRPr="00030A24">
              <w:rPr>
                <w:rFonts w:ascii="Cambria" w:hAnsi="Cambria"/>
                <w:b/>
                <w:color w:val="000000"/>
                <w:lang w:val="es-CO"/>
              </w:rPr>
              <w:t>Total</w:t>
            </w:r>
            <w:r w:rsidRPr="00030A24">
              <w:rPr>
                <w:rFonts w:ascii="Cambria" w:hAnsi="Cambria"/>
                <w:b/>
                <w:color w:val="000000"/>
                <w:vertAlign w:val="superscript"/>
                <w:lang w:val="es-CO"/>
              </w:rPr>
              <w:footnoteReference w:id="2"/>
            </w:r>
          </w:p>
        </w:tc>
      </w:tr>
      <w:tr w:rsidR="0053292A" w:rsidRPr="00030A24" w14:paraId="0409CCB2" w14:textId="77777777" w:rsidTr="00035E03">
        <w:trPr>
          <w:gridBefore w:val="1"/>
          <w:wBefore w:w="24" w:type="dxa"/>
          <w:trHeight w:val="228"/>
          <w:jc w:val="center"/>
        </w:trPr>
        <w:tc>
          <w:tcPr>
            <w:tcW w:w="9516" w:type="dxa"/>
            <w:gridSpan w:val="2"/>
            <w:tcBorders>
              <w:top w:val="single" w:sz="4" w:space="0" w:color="auto"/>
              <w:left w:val="single" w:sz="4" w:space="0" w:color="auto"/>
              <w:bottom w:val="single" w:sz="4" w:space="0" w:color="auto"/>
              <w:right w:val="single" w:sz="4" w:space="0" w:color="auto"/>
            </w:tcBorders>
          </w:tcPr>
          <w:p w14:paraId="0AAC035D" w14:textId="77777777" w:rsidR="0053292A" w:rsidRPr="00030A24" w:rsidRDefault="0053292A" w:rsidP="00030A24">
            <w:pPr>
              <w:spacing w:after="0" w:line="240" w:lineRule="auto"/>
              <w:ind w:right="72"/>
              <w:jc w:val="both"/>
              <w:rPr>
                <w:rFonts w:ascii="Cambria" w:hAnsi="Cambria"/>
                <w:b/>
                <w:color w:val="000000"/>
                <w:kern w:val="36"/>
                <w:lang w:val="es-CO"/>
              </w:rPr>
            </w:pPr>
            <w:r w:rsidRPr="00030A24">
              <w:rPr>
                <w:rFonts w:ascii="Cambria" w:hAnsi="Cambria"/>
                <w:b/>
                <w:color w:val="000000"/>
                <w:kern w:val="36"/>
                <w:lang w:val="es-CO"/>
              </w:rPr>
              <w:t>CLAUSULA 5. SANCIÓN DE RESPONSABLES</w:t>
            </w:r>
          </w:p>
        </w:tc>
      </w:tr>
      <w:tr w:rsidR="00035E03" w:rsidRPr="00030A24" w14:paraId="1F4BAB43" w14:textId="77777777" w:rsidTr="00FC375A">
        <w:trPr>
          <w:gridBefore w:val="1"/>
          <w:wBefore w:w="24" w:type="dxa"/>
          <w:trHeight w:val="440"/>
          <w:jc w:val="center"/>
        </w:trPr>
        <w:tc>
          <w:tcPr>
            <w:tcW w:w="7472" w:type="dxa"/>
            <w:tcBorders>
              <w:top w:val="single" w:sz="4" w:space="0" w:color="auto"/>
              <w:left w:val="single" w:sz="4" w:space="0" w:color="auto"/>
              <w:right w:val="single" w:sz="4" w:space="0" w:color="auto"/>
            </w:tcBorders>
          </w:tcPr>
          <w:p w14:paraId="6D4A226F" w14:textId="77777777" w:rsidR="00035E03" w:rsidRPr="00030A24" w:rsidRDefault="00035E03" w:rsidP="00030A24">
            <w:pPr>
              <w:spacing w:after="0" w:line="240" w:lineRule="auto"/>
              <w:ind w:right="72"/>
              <w:jc w:val="both"/>
              <w:rPr>
                <w:rFonts w:ascii="Cambria" w:hAnsi="Cambria"/>
                <w:color w:val="000000"/>
                <w:kern w:val="36"/>
                <w:lang w:val="es-CO"/>
              </w:rPr>
            </w:pPr>
            <w:r w:rsidRPr="00030A24">
              <w:rPr>
                <w:rFonts w:ascii="Cambria" w:hAnsi="Cambria"/>
                <w:color w:val="000000"/>
                <w:kern w:val="36"/>
                <w:lang w:val="es-CO"/>
              </w:rPr>
              <w:t>El Estado Ecuatoriano, se compromete al enjuiciamiento tanto civil como penal y a la búsqueda de las sanciones administrativas de las personas que, en cumplimiento de funciones estatales o prevalidos del poder público, se presume que tuvieron participación en la violación alegada. La Procuraduría General del Estado se compromete a excitar tanto a la Ministra Fiscal General del Estado, organismos competentes de la Función Judicial, coma a los organismos públicos o privados para que aporten información legalmente respaldada que permita establecer la responsabilidad de dichas personas. De haber lugar, este enjuiciamiento se realizará con sujeción al ordenamiento constitucional y legal del Estado Ecuatoriano.</w:t>
            </w:r>
          </w:p>
        </w:tc>
        <w:tc>
          <w:tcPr>
            <w:tcW w:w="2044" w:type="dxa"/>
            <w:tcBorders>
              <w:top w:val="single" w:sz="4" w:space="0" w:color="auto"/>
              <w:left w:val="single" w:sz="4" w:space="0" w:color="auto"/>
              <w:right w:val="single" w:sz="4" w:space="0" w:color="auto"/>
            </w:tcBorders>
            <w:vAlign w:val="center"/>
          </w:tcPr>
          <w:p w14:paraId="5017FA34" w14:textId="77777777" w:rsidR="00035E03" w:rsidRPr="00030A24" w:rsidRDefault="00035E03" w:rsidP="00030A24">
            <w:pPr>
              <w:spacing w:after="0" w:line="240" w:lineRule="auto"/>
              <w:rPr>
                <w:rFonts w:ascii="Cambria" w:hAnsi="Cambria"/>
                <w:b/>
                <w:color w:val="000000"/>
                <w:lang w:val="es-CO"/>
              </w:rPr>
            </w:pPr>
          </w:p>
          <w:p w14:paraId="42E67CB9" w14:textId="77777777" w:rsidR="00035E03" w:rsidRPr="00030A24" w:rsidRDefault="00035E03" w:rsidP="00030A24">
            <w:pPr>
              <w:spacing w:after="0" w:line="240" w:lineRule="auto"/>
              <w:jc w:val="center"/>
              <w:rPr>
                <w:rFonts w:ascii="Cambria" w:hAnsi="Cambria"/>
                <w:lang w:val="es-CO"/>
              </w:rPr>
            </w:pPr>
            <w:r w:rsidRPr="00030A24">
              <w:rPr>
                <w:rFonts w:ascii="Cambria" w:hAnsi="Cambria"/>
                <w:b/>
                <w:color w:val="000000"/>
                <w:lang w:val="es-CO"/>
              </w:rPr>
              <w:t>Incumplido</w:t>
            </w:r>
            <w:r w:rsidRPr="00030A24">
              <w:rPr>
                <w:rStyle w:val="FootnoteReference"/>
                <w:rFonts w:ascii="Cambria" w:hAnsi="Cambria"/>
                <w:b/>
                <w:color w:val="000000"/>
                <w:lang w:val="es-CO"/>
              </w:rPr>
              <w:footnoteReference w:id="3"/>
            </w:r>
          </w:p>
        </w:tc>
      </w:tr>
      <w:tr w:rsidR="0053292A" w:rsidRPr="00030A24" w14:paraId="43692291" w14:textId="77777777" w:rsidTr="00035E03">
        <w:trPr>
          <w:gridBefore w:val="1"/>
          <w:wBefore w:w="24" w:type="dxa"/>
          <w:trHeight w:val="300"/>
          <w:jc w:val="center"/>
        </w:trPr>
        <w:tc>
          <w:tcPr>
            <w:tcW w:w="9516" w:type="dxa"/>
            <w:gridSpan w:val="2"/>
            <w:tcBorders>
              <w:top w:val="single" w:sz="4" w:space="0" w:color="auto"/>
              <w:left w:val="single" w:sz="4" w:space="0" w:color="auto"/>
              <w:right w:val="single" w:sz="4" w:space="0" w:color="auto"/>
            </w:tcBorders>
          </w:tcPr>
          <w:p w14:paraId="6DFAA3C1" w14:textId="77777777" w:rsidR="0053292A" w:rsidRPr="00030A24" w:rsidRDefault="0053292A" w:rsidP="00030A24">
            <w:pPr>
              <w:spacing w:after="0" w:line="240" w:lineRule="auto"/>
              <w:jc w:val="both"/>
              <w:rPr>
                <w:rFonts w:ascii="Cambria" w:hAnsi="Cambria"/>
                <w:lang w:val="es-CO"/>
              </w:rPr>
            </w:pPr>
            <w:r w:rsidRPr="00030A24">
              <w:rPr>
                <w:rFonts w:ascii="Cambria" w:hAnsi="Cambria"/>
                <w:b/>
                <w:color w:val="000000"/>
                <w:kern w:val="36"/>
                <w:lang w:val="es-CO"/>
              </w:rPr>
              <w:lastRenderedPageBreak/>
              <w:t>CLÁUSULA 6. DERECHO DE REPETICIÓN</w:t>
            </w:r>
          </w:p>
        </w:tc>
      </w:tr>
      <w:tr w:rsidR="0053292A" w:rsidRPr="00030A24" w14:paraId="7FE07C0B" w14:textId="77777777" w:rsidTr="00035E03">
        <w:trPr>
          <w:gridBefore w:val="1"/>
          <w:wBefore w:w="24" w:type="dxa"/>
          <w:trHeight w:val="1727"/>
          <w:jc w:val="center"/>
        </w:trPr>
        <w:tc>
          <w:tcPr>
            <w:tcW w:w="7472" w:type="dxa"/>
            <w:tcBorders>
              <w:top w:val="single" w:sz="4" w:space="0" w:color="auto"/>
              <w:left w:val="single" w:sz="4" w:space="0" w:color="auto"/>
              <w:right w:val="single" w:sz="4" w:space="0" w:color="auto"/>
            </w:tcBorders>
          </w:tcPr>
          <w:p w14:paraId="335FED78" w14:textId="77777777" w:rsidR="0053292A" w:rsidRPr="00030A24" w:rsidRDefault="0053292A" w:rsidP="00030A24">
            <w:pPr>
              <w:spacing w:after="0" w:line="240" w:lineRule="auto"/>
              <w:ind w:right="72"/>
              <w:jc w:val="both"/>
              <w:rPr>
                <w:rFonts w:ascii="Cambria" w:hAnsi="Cambria"/>
                <w:color w:val="000000"/>
                <w:kern w:val="36"/>
                <w:lang w:val="es-CO"/>
              </w:rPr>
            </w:pPr>
            <w:r w:rsidRPr="00030A24">
              <w:rPr>
                <w:rFonts w:ascii="Cambria" w:hAnsi="Cambria"/>
                <w:color w:val="000000"/>
                <w:kern w:val="36"/>
                <w:lang w:val="es-CO"/>
              </w:rPr>
              <w:t>El Estado Ecuatoriano se reserva el Derecho de Repetición conforme al Art. 22 de la Constitución Política de la República del Ecuador, contra aquellas personas que resulten responsables de la violación a los derechos humanos mediante sentencia definitiva, firme, 4 dictada por los tribunales del país o cuando se hubieren determinado responsabilidades administrativas, de conformidad con el artículo 8 de la Convención Americana sobre Derechos Humanos.</w:t>
            </w:r>
          </w:p>
        </w:tc>
        <w:tc>
          <w:tcPr>
            <w:tcW w:w="2044" w:type="dxa"/>
            <w:tcBorders>
              <w:top w:val="single" w:sz="4" w:space="0" w:color="auto"/>
              <w:left w:val="single" w:sz="4" w:space="0" w:color="auto"/>
              <w:right w:val="single" w:sz="4" w:space="0" w:color="auto"/>
            </w:tcBorders>
            <w:vAlign w:val="center"/>
          </w:tcPr>
          <w:p w14:paraId="0225D171" w14:textId="5969B579" w:rsidR="0053292A" w:rsidRPr="00030A24" w:rsidRDefault="0053292A" w:rsidP="00030A24">
            <w:pPr>
              <w:spacing w:after="0" w:line="240" w:lineRule="auto"/>
              <w:jc w:val="center"/>
              <w:rPr>
                <w:rFonts w:ascii="Cambria" w:hAnsi="Cambria"/>
                <w:lang w:val="es-CO"/>
              </w:rPr>
            </w:pPr>
            <w:r w:rsidRPr="00030A24">
              <w:rPr>
                <w:rFonts w:ascii="Cambria" w:hAnsi="Cambria"/>
                <w:b/>
                <w:lang w:val="es-CO"/>
              </w:rPr>
              <w:t>Cláusula Declarativa</w:t>
            </w:r>
          </w:p>
        </w:tc>
      </w:tr>
      <w:tr w:rsidR="0053292A" w:rsidRPr="0019645D" w14:paraId="40517460" w14:textId="77777777" w:rsidTr="00035E03">
        <w:trPr>
          <w:gridBefore w:val="1"/>
          <w:wBefore w:w="24" w:type="dxa"/>
          <w:trHeight w:val="216"/>
          <w:jc w:val="center"/>
        </w:trPr>
        <w:tc>
          <w:tcPr>
            <w:tcW w:w="9516" w:type="dxa"/>
            <w:gridSpan w:val="2"/>
            <w:tcBorders>
              <w:top w:val="single" w:sz="4" w:space="0" w:color="auto"/>
              <w:left w:val="single" w:sz="4" w:space="0" w:color="auto"/>
              <w:bottom w:val="single" w:sz="4" w:space="0" w:color="auto"/>
              <w:right w:val="single" w:sz="4" w:space="0" w:color="auto"/>
            </w:tcBorders>
          </w:tcPr>
          <w:p w14:paraId="6203A157" w14:textId="77777777" w:rsidR="0053292A" w:rsidRPr="00030A24" w:rsidRDefault="0053292A" w:rsidP="00030A24">
            <w:pPr>
              <w:spacing w:after="0" w:line="240" w:lineRule="auto"/>
              <w:rPr>
                <w:rFonts w:ascii="Cambria" w:hAnsi="Cambria"/>
                <w:b/>
                <w:lang w:val="es-CO"/>
              </w:rPr>
            </w:pPr>
            <w:r w:rsidRPr="00030A24">
              <w:rPr>
                <w:rFonts w:ascii="Cambria" w:hAnsi="Cambria"/>
                <w:b/>
                <w:lang w:val="es-CO"/>
              </w:rPr>
              <w:t>CLÁUSULA 7. PAGOS EXENTOS DE IMPUESTOS Y MORA EN EL CUMPLIMIENTO</w:t>
            </w:r>
          </w:p>
        </w:tc>
      </w:tr>
      <w:tr w:rsidR="0053292A" w:rsidRPr="00030A24" w14:paraId="6E5E83C3" w14:textId="77777777" w:rsidTr="00035E03">
        <w:trPr>
          <w:gridBefore w:val="1"/>
          <w:wBefore w:w="24" w:type="dxa"/>
          <w:trHeight w:val="2069"/>
          <w:jc w:val="center"/>
        </w:trPr>
        <w:tc>
          <w:tcPr>
            <w:tcW w:w="7472" w:type="dxa"/>
            <w:tcBorders>
              <w:top w:val="single" w:sz="4" w:space="0" w:color="auto"/>
              <w:left w:val="single" w:sz="4" w:space="0" w:color="auto"/>
              <w:bottom w:val="single" w:sz="4" w:space="0" w:color="auto"/>
              <w:right w:val="single" w:sz="4" w:space="0" w:color="auto"/>
            </w:tcBorders>
          </w:tcPr>
          <w:p w14:paraId="0FEA64B0" w14:textId="77777777" w:rsidR="0053292A" w:rsidRPr="00030A24" w:rsidRDefault="0053292A" w:rsidP="00030A24">
            <w:pPr>
              <w:spacing w:after="0" w:line="240" w:lineRule="auto"/>
              <w:jc w:val="both"/>
              <w:rPr>
                <w:rFonts w:ascii="Cambria" w:hAnsi="Cambria"/>
                <w:lang w:val="es-CO"/>
              </w:rPr>
            </w:pPr>
            <w:r w:rsidRPr="00030A24">
              <w:rPr>
                <w:rFonts w:ascii="Cambria" w:hAnsi="Cambria"/>
                <w:lang w:val="es-CO"/>
              </w:rPr>
              <w:t>El pago que el Estado Ecuatoriano realizará a la persona objeto de este acuerdo amistoso, no está sujeto a impuestos actualmente existentes o que pueda decretarse en el futuro con excepción del impuesto a la circulación de capitales "impuesto del 1%". En el caso que el Estado incurriese en mora por más de tres meses, desde la firma del acuerdo, deberá pagar sobre la cantidad adeudada un interés que corresponderá al interés bancario corriente de los tres bancos de mayor captación en el Ecuador, durante todo el periodo de la mora.</w:t>
            </w:r>
          </w:p>
        </w:tc>
        <w:tc>
          <w:tcPr>
            <w:tcW w:w="2044" w:type="dxa"/>
            <w:tcBorders>
              <w:top w:val="single" w:sz="4" w:space="0" w:color="auto"/>
              <w:left w:val="single" w:sz="4" w:space="0" w:color="auto"/>
              <w:bottom w:val="single" w:sz="4" w:space="0" w:color="auto"/>
              <w:right w:val="single" w:sz="4" w:space="0" w:color="auto"/>
            </w:tcBorders>
            <w:vAlign w:val="center"/>
          </w:tcPr>
          <w:p w14:paraId="2E25774D" w14:textId="4763C7E3" w:rsidR="0053292A" w:rsidRPr="00030A24" w:rsidRDefault="0053292A" w:rsidP="00030A24">
            <w:pPr>
              <w:spacing w:after="0" w:line="240" w:lineRule="auto"/>
              <w:jc w:val="center"/>
              <w:rPr>
                <w:rFonts w:ascii="Cambria" w:hAnsi="Cambria"/>
                <w:b/>
                <w:lang w:val="es-CO"/>
              </w:rPr>
            </w:pPr>
            <w:r w:rsidRPr="00030A24">
              <w:rPr>
                <w:rFonts w:ascii="Cambria" w:hAnsi="Cambria"/>
                <w:b/>
                <w:lang w:val="es-CO"/>
              </w:rPr>
              <w:t>Cláusula Declarativa</w:t>
            </w:r>
          </w:p>
        </w:tc>
      </w:tr>
      <w:tr w:rsidR="0053292A" w:rsidRPr="00030A24" w14:paraId="65437BBB" w14:textId="77777777" w:rsidTr="00035E03">
        <w:trPr>
          <w:gridBefore w:val="1"/>
          <w:wBefore w:w="24" w:type="dxa"/>
          <w:trHeight w:val="78"/>
          <w:jc w:val="center"/>
        </w:trPr>
        <w:tc>
          <w:tcPr>
            <w:tcW w:w="9516" w:type="dxa"/>
            <w:gridSpan w:val="2"/>
            <w:tcBorders>
              <w:top w:val="single" w:sz="4" w:space="0" w:color="auto"/>
              <w:left w:val="single" w:sz="4" w:space="0" w:color="auto"/>
              <w:bottom w:val="single" w:sz="4" w:space="0" w:color="auto"/>
              <w:right w:val="single" w:sz="4" w:space="0" w:color="auto"/>
            </w:tcBorders>
          </w:tcPr>
          <w:p w14:paraId="3AF1B1EC" w14:textId="77777777" w:rsidR="0053292A" w:rsidRPr="00030A24" w:rsidRDefault="0053292A" w:rsidP="00030A24">
            <w:pPr>
              <w:spacing w:after="0" w:line="240" w:lineRule="auto"/>
              <w:rPr>
                <w:rFonts w:ascii="Cambria" w:hAnsi="Cambria"/>
                <w:b/>
                <w:lang w:val="es-CO"/>
              </w:rPr>
            </w:pPr>
            <w:r w:rsidRPr="00030A24">
              <w:rPr>
                <w:rFonts w:ascii="Cambria" w:hAnsi="Cambria"/>
                <w:b/>
                <w:lang w:val="es-CO"/>
              </w:rPr>
              <w:t>CLÁUSULA 8. INFORMACIÓN</w:t>
            </w:r>
          </w:p>
        </w:tc>
      </w:tr>
      <w:tr w:rsidR="0053292A" w:rsidRPr="00030A24" w14:paraId="4200CE22" w14:textId="77777777" w:rsidTr="00035E03">
        <w:trPr>
          <w:gridBefore w:val="1"/>
          <w:wBefore w:w="24" w:type="dxa"/>
          <w:trHeight w:val="1799"/>
          <w:jc w:val="center"/>
        </w:trPr>
        <w:tc>
          <w:tcPr>
            <w:tcW w:w="7472" w:type="dxa"/>
            <w:tcBorders>
              <w:top w:val="single" w:sz="4" w:space="0" w:color="auto"/>
              <w:left w:val="single" w:sz="4" w:space="0" w:color="auto"/>
              <w:bottom w:val="single" w:sz="4" w:space="0" w:color="auto"/>
              <w:right w:val="single" w:sz="4" w:space="0" w:color="auto"/>
            </w:tcBorders>
          </w:tcPr>
          <w:p w14:paraId="68EE9C55" w14:textId="77777777" w:rsidR="0053292A" w:rsidRPr="00030A24" w:rsidRDefault="0053292A" w:rsidP="00030A24">
            <w:pPr>
              <w:autoSpaceDE w:val="0"/>
              <w:autoSpaceDN w:val="0"/>
              <w:adjustRightInd w:val="0"/>
              <w:spacing w:after="0" w:line="240" w:lineRule="auto"/>
              <w:jc w:val="both"/>
              <w:rPr>
                <w:rFonts w:ascii="Cambria" w:hAnsi="Cambria"/>
                <w:color w:val="000000"/>
                <w:lang w:val="es-CO"/>
              </w:rPr>
            </w:pPr>
            <w:r w:rsidRPr="00030A24">
              <w:rPr>
                <w:rFonts w:ascii="Cambria" w:hAnsi="Cambria"/>
                <w:color w:val="000000"/>
                <w:lang w:val="es-CO"/>
              </w:rPr>
              <w:t xml:space="preserve">El Estado Ecuatoriano, a través de la Procuraduría General del Estado, se compromete a informar cada tres meses, a la Comisión Interamericana de Derechos Humanos, del cumplimiento de las obligaciones asumidas por el Estado en virtud de este arreglo amistoso. </w:t>
            </w:r>
          </w:p>
          <w:p w14:paraId="24F05C32" w14:textId="77777777" w:rsidR="0053292A" w:rsidRPr="00030A24" w:rsidRDefault="0053292A" w:rsidP="00030A24">
            <w:pPr>
              <w:spacing w:after="0" w:line="240" w:lineRule="auto"/>
              <w:jc w:val="both"/>
              <w:rPr>
                <w:rFonts w:ascii="Cambria" w:hAnsi="Cambria"/>
                <w:lang w:val="es-CO"/>
              </w:rPr>
            </w:pPr>
            <w:r w:rsidRPr="00030A24">
              <w:rPr>
                <w:rFonts w:ascii="Cambria" w:hAnsi="Cambria"/>
                <w:color w:val="000000"/>
                <w:lang w:val="es-CO"/>
              </w:rPr>
              <w:t>En concordancia con su práctica constante y las obligaciones que le impone la Convención Americana, la Comisión Interamericana de Derechos Humanos supervisará el cumplimiento de este acuerdo.</w:t>
            </w:r>
          </w:p>
        </w:tc>
        <w:tc>
          <w:tcPr>
            <w:tcW w:w="2044" w:type="dxa"/>
            <w:tcBorders>
              <w:top w:val="single" w:sz="4" w:space="0" w:color="auto"/>
              <w:left w:val="single" w:sz="4" w:space="0" w:color="auto"/>
              <w:bottom w:val="single" w:sz="4" w:space="0" w:color="auto"/>
              <w:right w:val="single" w:sz="4" w:space="0" w:color="auto"/>
            </w:tcBorders>
            <w:vAlign w:val="center"/>
          </w:tcPr>
          <w:p w14:paraId="340DB28C" w14:textId="77777777" w:rsidR="0053292A" w:rsidRPr="00030A24" w:rsidRDefault="0053292A" w:rsidP="00030A24">
            <w:pPr>
              <w:spacing w:after="0" w:line="240" w:lineRule="auto"/>
              <w:jc w:val="center"/>
              <w:rPr>
                <w:rFonts w:ascii="Cambria" w:hAnsi="Cambria"/>
                <w:b/>
                <w:lang w:val="es-CO"/>
              </w:rPr>
            </w:pPr>
          </w:p>
          <w:p w14:paraId="0C876A2C" w14:textId="77777777" w:rsidR="0053292A" w:rsidRPr="00030A24" w:rsidRDefault="0053292A" w:rsidP="00030A24">
            <w:pPr>
              <w:spacing w:after="0" w:line="240" w:lineRule="auto"/>
              <w:jc w:val="center"/>
              <w:rPr>
                <w:rFonts w:ascii="Cambria" w:hAnsi="Cambria"/>
                <w:b/>
                <w:lang w:val="es-CO"/>
              </w:rPr>
            </w:pPr>
            <w:r w:rsidRPr="00030A24">
              <w:rPr>
                <w:rFonts w:ascii="Cambria" w:hAnsi="Cambria"/>
                <w:b/>
                <w:lang w:val="es-CO"/>
              </w:rPr>
              <w:t>Clausula Declarativa</w:t>
            </w:r>
          </w:p>
        </w:tc>
      </w:tr>
    </w:tbl>
    <w:p w14:paraId="33F0D860" w14:textId="77777777" w:rsidR="0053292A" w:rsidRPr="00030A24" w:rsidRDefault="0053292A" w:rsidP="00030A24">
      <w:pPr>
        <w:spacing w:after="0" w:line="240" w:lineRule="auto"/>
        <w:jc w:val="both"/>
        <w:rPr>
          <w:rFonts w:ascii="Cambria" w:hAnsi="Cambria"/>
          <w:b/>
          <w:lang w:val="es-CO"/>
        </w:rPr>
      </w:pPr>
    </w:p>
    <w:p w14:paraId="39A9B58A" w14:textId="77777777" w:rsidR="0053292A" w:rsidRPr="00030A24" w:rsidRDefault="0053292A" w:rsidP="00030A24">
      <w:pPr>
        <w:numPr>
          <w:ilvl w:val="0"/>
          <w:numId w:val="101"/>
        </w:numPr>
        <w:spacing w:after="0" w:line="240" w:lineRule="auto"/>
        <w:ind w:left="0" w:firstLine="720"/>
        <w:jc w:val="both"/>
        <w:rPr>
          <w:rFonts w:ascii="Cambria" w:hAnsi="Cambria"/>
          <w:b/>
          <w:lang w:val="es-CO"/>
        </w:rPr>
      </w:pPr>
      <w:r w:rsidRPr="00030A24">
        <w:rPr>
          <w:rFonts w:ascii="Cambria" w:hAnsi="Cambria"/>
          <w:b/>
          <w:lang w:val="es-CO"/>
        </w:rPr>
        <w:t>NIVEL DE CUMPLIMIENTO</w:t>
      </w:r>
    </w:p>
    <w:p w14:paraId="3EA640BB" w14:textId="77777777" w:rsidR="0053292A" w:rsidRPr="00030A24" w:rsidRDefault="0053292A" w:rsidP="00030A24">
      <w:pPr>
        <w:spacing w:after="0" w:line="240" w:lineRule="auto"/>
        <w:ind w:firstLine="720"/>
        <w:jc w:val="both"/>
        <w:rPr>
          <w:rFonts w:ascii="Cambria" w:hAnsi="Cambria"/>
          <w:b/>
          <w:lang w:val="es-CO"/>
        </w:rPr>
      </w:pPr>
    </w:p>
    <w:p w14:paraId="0B0E185C" w14:textId="1E6F9CDE" w:rsidR="0053292A" w:rsidRPr="00030A24" w:rsidRDefault="0053292A" w:rsidP="00030A24">
      <w:pPr>
        <w:numPr>
          <w:ilvl w:val="0"/>
          <w:numId w:val="91"/>
        </w:numPr>
        <w:spacing w:after="0" w:line="240" w:lineRule="auto"/>
        <w:ind w:left="0" w:firstLine="720"/>
        <w:jc w:val="both"/>
        <w:rPr>
          <w:rFonts w:ascii="Cambria" w:hAnsi="Cambria"/>
          <w:b/>
          <w:color w:val="000000"/>
          <w:lang w:val="es-CO"/>
        </w:rPr>
      </w:pPr>
      <w:r w:rsidRPr="00030A24">
        <w:rPr>
          <w:rFonts w:ascii="Cambria" w:eastAsia="Times New Roman" w:hAnsi="Cambria" w:cs="Calibri"/>
          <w:color w:val="000000"/>
          <w:lang w:val="es-CO" w:eastAsia="es-ES_tradnl"/>
        </w:rPr>
        <w:t xml:space="preserve">La Comisión </w:t>
      </w:r>
      <w:r w:rsidRPr="00030A24">
        <w:rPr>
          <w:rFonts w:ascii="Cambria" w:eastAsia="Batang" w:hAnsi="Cambria"/>
          <w:lang w:val="es-ES"/>
        </w:rPr>
        <w:t>tomó en especial consideración la solicitud de la parte peticionaria de archivo del caso, por lo que consideró que no correspondía continuar con la supervisión de la implementación del acuerdo. Por lo anterior, la</w:t>
      </w:r>
      <w:r w:rsidRPr="00030A24">
        <w:rPr>
          <w:rFonts w:ascii="Cambria" w:hAnsi="Cambria"/>
          <w:lang w:val="es-ES"/>
        </w:rPr>
        <w:t xml:space="preserve"> Comisión </w:t>
      </w:r>
      <w:r w:rsidRPr="00030A24">
        <w:rPr>
          <w:rFonts w:ascii="Cambria" w:hAnsi="Cambria"/>
          <w:color w:val="000000"/>
          <w:lang w:val="es-CO"/>
        </w:rPr>
        <w:t>decidió cesar la supervisión del acuerdo de solución amistosa y archivar el caso, dejando constancia en el Informe Anual 2020 que la medida de justicia fue incumplida por el Estado ecuatoriano y que el nivel de cumplimiento del acuerdo es parcial.</w:t>
      </w:r>
    </w:p>
    <w:p w14:paraId="36C92D68" w14:textId="77777777" w:rsidR="0053292A" w:rsidRPr="00030A24" w:rsidRDefault="0053292A" w:rsidP="00030A24">
      <w:pPr>
        <w:spacing w:after="0" w:line="240" w:lineRule="auto"/>
        <w:ind w:firstLine="720"/>
        <w:jc w:val="both"/>
        <w:rPr>
          <w:rFonts w:ascii="Cambria" w:hAnsi="Cambria"/>
          <w:b/>
          <w:lang w:val="es-CO"/>
        </w:rPr>
      </w:pPr>
    </w:p>
    <w:p w14:paraId="5EDFBA28" w14:textId="77777777" w:rsidR="0053292A" w:rsidRPr="00030A24" w:rsidRDefault="0053292A" w:rsidP="00030A24">
      <w:pPr>
        <w:numPr>
          <w:ilvl w:val="0"/>
          <w:numId w:val="101"/>
        </w:numPr>
        <w:spacing w:after="0" w:line="240" w:lineRule="auto"/>
        <w:ind w:left="0" w:firstLine="720"/>
        <w:jc w:val="both"/>
        <w:rPr>
          <w:rFonts w:ascii="Cambria" w:hAnsi="Cambria"/>
          <w:b/>
          <w:lang w:val="es-CO"/>
        </w:rPr>
      </w:pPr>
      <w:r w:rsidRPr="00030A24">
        <w:rPr>
          <w:rFonts w:ascii="Cambria" w:hAnsi="Cambria"/>
          <w:b/>
          <w:lang w:val="es-CO"/>
        </w:rPr>
        <w:t>RESULTADOS INDIVIDUALES Y ESTRUCTURALES DEL CASO</w:t>
      </w:r>
    </w:p>
    <w:p w14:paraId="47F58665" w14:textId="77777777" w:rsidR="0053292A" w:rsidRPr="00030A24" w:rsidRDefault="0053292A" w:rsidP="00030A24">
      <w:pPr>
        <w:spacing w:after="0" w:line="240" w:lineRule="auto"/>
        <w:ind w:firstLine="720"/>
        <w:jc w:val="both"/>
        <w:rPr>
          <w:rFonts w:ascii="Cambria" w:hAnsi="Cambria"/>
          <w:b/>
          <w:lang w:val="es-CO"/>
        </w:rPr>
      </w:pPr>
    </w:p>
    <w:p w14:paraId="31319FD1" w14:textId="3AE1A998" w:rsidR="0053292A" w:rsidRPr="00030A24" w:rsidRDefault="0053292A" w:rsidP="00030A24">
      <w:pPr>
        <w:numPr>
          <w:ilvl w:val="5"/>
          <w:numId w:val="8"/>
        </w:numPr>
        <w:spacing w:after="0" w:line="240" w:lineRule="auto"/>
        <w:ind w:left="0" w:firstLine="720"/>
        <w:jc w:val="both"/>
        <w:rPr>
          <w:rFonts w:ascii="Cambria" w:hAnsi="Cambria"/>
          <w:b/>
          <w:lang w:val="es-CO"/>
        </w:rPr>
      </w:pPr>
      <w:r w:rsidRPr="00030A24">
        <w:rPr>
          <w:rFonts w:ascii="Cambria" w:hAnsi="Cambria"/>
          <w:b/>
          <w:lang w:val="es-CO"/>
        </w:rPr>
        <w:t>Resultados individuales del caso</w:t>
      </w:r>
    </w:p>
    <w:p w14:paraId="57CCE792" w14:textId="77777777" w:rsidR="0053292A" w:rsidRPr="00030A24" w:rsidRDefault="0053292A" w:rsidP="00030A24">
      <w:pPr>
        <w:spacing w:after="0" w:line="240" w:lineRule="auto"/>
        <w:ind w:left="4500" w:hanging="672"/>
        <w:jc w:val="both"/>
        <w:rPr>
          <w:rFonts w:ascii="Cambria" w:hAnsi="Cambria"/>
          <w:lang w:val="es-CO"/>
        </w:rPr>
      </w:pPr>
    </w:p>
    <w:p w14:paraId="2FD70343" w14:textId="703FD1FB" w:rsidR="0053292A" w:rsidRPr="0019645D" w:rsidRDefault="0053292A" w:rsidP="0019645D">
      <w:pPr>
        <w:numPr>
          <w:ilvl w:val="0"/>
          <w:numId w:val="33"/>
        </w:numPr>
        <w:spacing w:after="0" w:line="240" w:lineRule="auto"/>
        <w:ind w:right="-270" w:hanging="672"/>
        <w:jc w:val="both"/>
        <w:rPr>
          <w:rFonts w:ascii="Cambria" w:hAnsi="Cambria"/>
          <w:lang w:val="es-CO"/>
        </w:rPr>
      </w:pPr>
      <w:r w:rsidRPr="0019645D">
        <w:rPr>
          <w:rFonts w:ascii="Cambria" w:hAnsi="Cambria"/>
          <w:lang w:val="es-CO"/>
        </w:rPr>
        <w:t>El Estado realizó el pago correspondiente a la indemnización pecuniaria, según lo acordado.</w:t>
      </w:r>
    </w:p>
    <w:sectPr w:rsidR="0053292A" w:rsidRPr="0019645D" w:rsidSect="007E4ED5">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41D65" w14:textId="77777777" w:rsidR="008C4038" w:rsidRDefault="008C4038" w:rsidP="00A343FF">
      <w:pPr>
        <w:spacing w:after="0" w:line="240" w:lineRule="auto"/>
      </w:pPr>
      <w:r>
        <w:separator/>
      </w:r>
    </w:p>
  </w:endnote>
  <w:endnote w:type="continuationSeparator" w:id="0">
    <w:p w14:paraId="0E5D8A4A" w14:textId="77777777" w:rsidR="008C4038" w:rsidRDefault="008C4038" w:rsidP="00A343FF">
      <w:pPr>
        <w:spacing w:after="0" w:line="240" w:lineRule="auto"/>
      </w:pPr>
      <w:r>
        <w:continuationSeparator/>
      </w:r>
    </w:p>
  </w:endnote>
  <w:endnote w:type="continuationNotice" w:id="1">
    <w:p w14:paraId="47E30D86" w14:textId="77777777" w:rsidR="008C4038" w:rsidRDefault="008C40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F4"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06C59">
      <w:rPr>
        <w:noProof/>
        <w:color w:val="7F7F7F"/>
        <w:sz w:val="16"/>
      </w:rPr>
      <w:t>2</w:t>
    </w:r>
    <w:r w:rsidRPr="00A72869">
      <w:rPr>
        <w:noProof/>
        <w:color w:val="7F7F7F"/>
        <w:sz w:val="16"/>
      </w:rPr>
      <w:fldChar w:fldCharType="end"/>
    </w:r>
  </w:p>
  <w:p w14:paraId="0A53E73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241" w14:textId="77777777" w:rsidR="00D222B7" w:rsidRDefault="00FC07EE" w:rsidP="00CA3AA8">
    <w:pPr>
      <w:pStyle w:val="Footer"/>
      <w:spacing w:line="360" w:lineRule="auto"/>
      <w:jc w:val="right"/>
    </w:pPr>
    <w:r>
      <w:pict w14:anchorId="37144E62">
        <v:rect id="_x0000_i1027" style="width:0;height:1.5pt" o:hralign="center" o:hrstd="t" o:hr="t" fillcolor="#a0a0a0" stroked="f"/>
      </w:pict>
    </w:r>
  </w:p>
  <w:p w14:paraId="5568A725" w14:textId="0844C300" w:rsidR="00D13990" w:rsidRDefault="00035E03" w:rsidP="00604F1C">
    <w:pPr>
      <w:pStyle w:val="Footer"/>
      <w:jc w:val="center"/>
    </w:pPr>
    <w:r>
      <w:rPr>
        <w:noProof/>
      </w:rPr>
      <w:drawing>
        <wp:inline distT="0" distB="0" distL="0" distR="0" wp14:anchorId="53E17E08" wp14:editId="62D45EC6">
          <wp:extent cx="5120640" cy="32766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20E71" w14:textId="77777777" w:rsidR="008C4038" w:rsidRDefault="008C4038" w:rsidP="00A343FF">
      <w:pPr>
        <w:spacing w:after="0" w:line="240" w:lineRule="auto"/>
      </w:pPr>
      <w:r>
        <w:separator/>
      </w:r>
    </w:p>
  </w:footnote>
  <w:footnote w:type="continuationSeparator" w:id="0">
    <w:p w14:paraId="766AC6E5" w14:textId="77777777" w:rsidR="008C4038" w:rsidRDefault="008C4038" w:rsidP="00A343FF">
      <w:pPr>
        <w:spacing w:after="0" w:line="240" w:lineRule="auto"/>
      </w:pPr>
      <w:r>
        <w:continuationSeparator/>
      </w:r>
    </w:p>
  </w:footnote>
  <w:footnote w:type="continuationNotice" w:id="1">
    <w:p w14:paraId="0A640B49" w14:textId="77777777" w:rsidR="008C4038" w:rsidRDefault="008C4038">
      <w:pPr>
        <w:spacing w:after="0" w:line="240" w:lineRule="auto"/>
      </w:pPr>
    </w:p>
  </w:footnote>
  <w:footnote w:id="2">
    <w:p w14:paraId="1AAD4901" w14:textId="77777777" w:rsidR="0053292A" w:rsidRPr="00682AEA" w:rsidRDefault="0053292A" w:rsidP="0053292A">
      <w:pPr>
        <w:pStyle w:val="Default"/>
        <w:ind w:firstLine="720"/>
        <w:jc w:val="both"/>
        <w:rPr>
          <w:sz w:val="16"/>
          <w:szCs w:val="16"/>
          <w:lang w:val="es-MX" w:eastAsia="es-MX"/>
        </w:rPr>
      </w:pPr>
      <w:r w:rsidRPr="00682AEA">
        <w:rPr>
          <w:rStyle w:val="FootnoteReference"/>
          <w:sz w:val="16"/>
          <w:szCs w:val="16"/>
        </w:rPr>
        <w:footnoteRef/>
      </w:r>
      <w:r w:rsidRPr="00682AEA">
        <w:rPr>
          <w:sz w:val="16"/>
          <w:szCs w:val="16"/>
          <w:lang w:val="es-MX" w:eastAsia="es-MX"/>
        </w:rPr>
        <w:t>CIDH,</w:t>
      </w:r>
      <w:r w:rsidRPr="00682AEA">
        <w:rPr>
          <w:sz w:val="16"/>
          <w:szCs w:val="16"/>
          <w:lang w:val="es-VE"/>
        </w:rPr>
        <w:t xml:space="preserve"> </w:t>
      </w:r>
      <w:r w:rsidRPr="00682AEA">
        <w:rPr>
          <w:sz w:val="16"/>
          <w:szCs w:val="16"/>
          <w:lang w:val="es-MX" w:eastAsia="es-MX"/>
        </w:rPr>
        <w:t xml:space="preserve">Informe No. 82/20, Caso 11.626 B. Solución Amistosa Luis Enrique Cañola Valencia. Ecuador. 1 de junio de 2020.  Disponible en </w:t>
      </w:r>
      <w:hyperlink r:id="rId1" w:history="1">
        <w:r w:rsidRPr="00682AEA">
          <w:rPr>
            <w:rStyle w:val="Hyperlink"/>
            <w:sz w:val="16"/>
            <w:szCs w:val="16"/>
            <w:lang w:val="es-MX" w:eastAsia="es-MX"/>
          </w:rPr>
          <w:t>http://www.oas.org/es/cidh/decisiones/2020/ecsa11626bes.pdf</w:t>
        </w:r>
      </w:hyperlink>
      <w:r w:rsidRPr="00682AEA">
        <w:rPr>
          <w:sz w:val="16"/>
          <w:szCs w:val="16"/>
          <w:lang w:val="es-MX" w:eastAsia="es-MX"/>
        </w:rPr>
        <w:t xml:space="preserve"> </w:t>
      </w:r>
    </w:p>
    <w:p w14:paraId="04D676F8" w14:textId="77777777" w:rsidR="0053292A" w:rsidRPr="00250E33" w:rsidRDefault="0053292A" w:rsidP="0053292A">
      <w:pPr>
        <w:pStyle w:val="FootnoteText"/>
        <w:ind w:firstLine="720"/>
        <w:jc w:val="both"/>
        <w:rPr>
          <w:sz w:val="16"/>
          <w:szCs w:val="16"/>
          <w:lang w:val="es-MX"/>
        </w:rPr>
      </w:pPr>
    </w:p>
  </w:footnote>
  <w:footnote w:id="3">
    <w:p w14:paraId="34F5EBF4" w14:textId="77777777" w:rsidR="00035E03" w:rsidRPr="00FC4F45" w:rsidRDefault="00035E03" w:rsidP="0053292A">
      <w:pPr>
        <w:pStyle w:val="FootnoteText"/>
        <w:ind w:firstLine="709"/>
        <w:jc w:val="both"/>
        <w:rPr>
          <w:sz w:val="16"/>
          <w:szCs w:val="16"/>
          <w:lang w:val="es-ES"/>
        </w:rPr>
      </w:pPr>
      <w:r w:rsidRPr="00FC4F45">
        <w:rPr>
          <w:rStyle w:val="FootnoteReference"/>
          <w:sz w:val="16"/>
          <w:szCs w:val="16"/>
        </w:rPr>
        <w:footnoteRef/>
      </w:r>
      <w:r w:rsidRPr="00FC4F45">
        <w:rPr>
          <w:sz w:val="16"/>
          <w:szCs w:val="16"/>
          <w:lang w:val="es-AR"/>
        </w:rPr>
        <w:t xml:space="preserve"> </w:t>
      </w:r>
      <w:r w:rsidRPr="00FC4F45">
        <w:rPr>
          <w:rFonts w:ascii="Cambria" w:hAnsi="Cambria"/>
          <w:color w:val="000000"/>
          <w:sz w:val="16"/>
          <w:szCs w:val="16"/>
          <w:lang w:val="es-ES"/>
        </w:rPr>
        <w:t xml:space="preserve">Ver CIDH, Informe Anual 2020, Capítulo II, Sección F. Negociación e implementación de acuerdos de solución amistosa. </w:t>
      </w:r>
      <w:r w:rsidRPr="00FC4F45">
        <w:rPr>
          <w:rFonts w:ascii="Cambria" w:hAnsi="Cambria"/>
          <w:color w:val="000000"/>
          <w:sz w:val="16"/>
          <w:szCs w:val="16"/>
          <w:lang w:val="es-CO"/>
        </w:rPr>
        <w:t xml:space="preserve">Disponible en: </w:t>
      </w:r>
      <w:hyperlink r:id="rId2" w:history="1">
        <w:r w:rsidRPr="00FC4F45">
          <w:rPr>
            <w:rStyle w:val="Hyperlink"/>
            <w:rFonts w:ascii="Cambria" w:hAnsi="Cambria"/>
            <w:sz w:val="16"/>
            <w:szCs w:val="16"/>
            <w:lang w:val="es-CO"/>
          </w:rPr>
          <w:t>http://www.oas.org/es/cidh/docs/anual/2020/capitulos/IA2020cap2-es.pdf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B56" w14:textId="7BFB7BD5" w:rsidR="00A343FF" w:rsidRPr="0058688A" w:rsidRDefault="00035E03" w:rsidP="00ED4C58">
    <w:pPr>
      <w:pStyle w:val="Header"/>
      <w:jc w:val="center"/>
      <w:rPr>
        <w:lang w:val="es-ES_tradnl"/>
      </w:rPr>
    </w:pPr>
    <w:r>
      <w:rPr>
        <w:noProof/>
        <w:lang w:val="es-ES_tradnl"/>
      </w:rPr>
      <w:drawing>
        <wp:inline distT="0" distB="0" distL="0" distR="0" wp14:anchorId="0CACC869" wp14:editId="04423BC4">
          <wp:extent cx="22936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1920"/>
                  </a:xfrm>
                  <a:prstGeom prst="rect">
                    <a:avLst/>
                  </a:prstGeom>
                  <a:noFill/>
                  <a:ln>
                    <a:noFill/>
                  </a:ln>
                </pic:spPr>
              </pic:pic>
            </a:graphicData>
          </a:graphic>
        </wp:inline>
      </w:drawing>
    </w:r>
  </w:p>
  <w:p w14:paraId="44618D10" w14:textId="77777777" w:rsidR="00A343FF" w:rsidRDefault="00FC07EE">
    <w:pPr>
      <w:pStyle w:val="Header"/>
    </w:pPr>
    <w:r>
      <w:pict w14:anchorId="2AE53C2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CB1E" w14:textId="006B8831" w:rsidR="00D13990" w:rsidRDefault="00035E03" w:rsidP="00D13990">
    <w:pPr>
      <w:pStyle w:val="Header"/>
    </w:pPr>
    <w:r>
      <w:rPr>
        <w:noProof/>
      </w:rPr>
      <w:drawing>
        <wp:inline distT="0" distB="0" distL="0" distR="0" wp14:anchorId="2B9024D3" wp14:editId="02A49EC4">
          <wp:extent cx="2354580" cy="449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rsidR="00D13990">
      <w:tab/>
    </w:r>
    <w:r w:rsidR="00D13990">
      <w:tab/>
    </w:r>
    <w:r>
      <w:rPr>
        <w:noProof/>
      </w:rPr>
      <w:drawing>
        <wp:inline distT="0" distB="0" distL="0" distR="0" wp14:anchorId="7B9F51A7" wp14:editId="5B6599EB">
          <wp:extent cx="19431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FB9F8A5" w14:textId="77777777" w:rsidR="00D13990" w:rsidRDefault="00D13990" w:rsidP="00D13990">
    <w:pPr>
      <w:pStyle w:val="Header"/>
    </w:pPr>
  </w:p>
  <w:p w14:paraId="3C849501" w14:textId="77777777" w:rsidR="00D13990" w:rsidRDefault="00FC07EE" w:rsidP="00D13990">
    <w:pPr>
      <w:pStyle w:val="Header"/>
    </w:pPr>
    <w:r>
      <w:pict w14:anchorId="2A0C5B3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32"/>
    <w:multiLevelType w:val="hybridMultilevel"/>
    <w:tmpl w:val="F9AE14E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87F23"/>
    <w:multiLevelType w:val="hybridMultilevel"/>
    <w:tmpl w:val="F06ADC22"/>
    <w:lvl w:ilvl="0" w:tplc="A0347F4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37673"/>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0237B"/>
    <w:multiLevelType w:val="hybridMultilevel"/>
    <w:tmpl w:val="0A244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8142E9"/>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E15981"/>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497D7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B263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D741203"/>
    <w:multiLevelType w:val="hybridMultilevel"/>
    <w:tmpl w:val="F9689EBE"/>
    <w:lvl w:ilvl="0" w:tplc="55089BEC">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A03FBC"/>
    <w:multiLevelType w:val="hybridMultilevel"/>
    <w:tmpl w:val="6BE834D6"/>
    <w:lvl w:ilvl="0" w:tplc="5AC811F6">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E16DF5"/>
    <w:multiLevelType w:val="hybridMultilevel"/>
    <w:tmpl w:val="79DECFE2"/>
    <w:lvl w:ilvl="0" w:tplc="D070E74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F02392C"/>
    <w:multiLevelType w:val="hybridMultilevel"/>
    <w:tmpl w:val="BBC03DE4"/>
    <w:lvl w:ilvl="0" w:tplc="3530E7EC">
      <w:start w:val="1"/>
      <w:numFmt w:val="upperLetter"/>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1AC8E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1AB562A"/>
    <w:multiLevelType w:val="hybridMultilevel"/>
    <w:tmpl w:val="523054CA"/>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D05AA9"/>
    <w:multiLevelType w:val="hybridMultilevel"/>
    <w:tmpl w:val="5272790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33461A"/>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42637C"/>
    <w:multiLevelType w:val="hybridMultilevel"/>
    <w:tmpl w:val="E452D580"/>
    <w:lvl w:ilvl="0" w:tplc="443AE810">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8B5396"/>
    <w:multiLevelType w:val="hybridMultilevel"/>
    <w:tmpl w:val="E6249728"/>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63C7FC2"/>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15346"/>
    <w:multiLevelType w:val="hybridMultilevel"/>
    <w:tmpl w:val="6C64CAEA"/>
    <w:lvl w:ilvl="0" w:tplc="F886CB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550389"/>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CB1E9C"/>
    <w:multiLevelType w:val="hybridMultilevel"/>
    <w:tmpl w:val="1C5EB32E"/>
    <w:lvl w:ilvl="0" w:tplc="12CA1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37CFF"/>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2A808D6"/>
    <w:multiLevelType w:val="hybridMultilevel"/>
    <w:tmpl w:val="A2B68E72"/>
    <w:lvl w:ilvl="0" w:tplc="E24E8FFA">
      <w:start w:val="2"/>
      <w:numFmt w:val="upperRoman"/>
      <w:lvlText w:val="%1."/>
      <w:lvlJc w:val="left"/>
      <w:pPr>
        <w:ind w:left="1080" w:hanging="720"/>
      </w:pPr>
      <w:rPr>
        <w:rFonts w:cs="Times New Roman"/>
        <w:b/>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3AC18B8"/>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34A84033"/>
    <w:multiLevelType w:val="hybridMultilevel"/>
    <w:tmpl w:val="55621258"/>
    <w:lvl w:ilvl="0" w:tplc="EEF49C9A">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7787F2A">
      <w:start w:val="1"/>
      <w:numFmt w:val="decimal"/>
      <w:lvlText w:val="%4."/>
      <w:lvlJc w:val="left"/>
      <w:pPr>
        <w:ind w:left="2880" w:hanging="360"/>
      </w:pPr>
      <w:rPr>
        <w:b w:val="0"/>
        <w:bCs/>
      </w:rPr>
    </w:lvl>
    <w:lvl w:ilvl="4" w:tplc="F7FE8486">
      <w:start w:val="1"/>
      <w:numFmt w:val="upperLetter"/>
      <w:lvlText w:val="%5."/>
      <w:lvlJc w:val="left"/>
      <w:pPr>
        <w:ind w:left="3600" w:hanging="360"/>
      </w:pPr>
      <w:rPr>
        <w:rFonts w:hint="default"/>
      </w:rPr>
    </w:lvl>
    <w:lvl w:ilvl="5" w:tplc="1B3A0722">
      <w:start w:val="4"/>
      <w:numFmt w:val="upperRoman"/>
      <w:lvlText w:val="%6&gt;"/>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6093702"/>
    <w:multiLevelType w:val="hybridMultilevel"/>
    <w:tmpl w:val="0AB4FF1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6F522E8"/>
    <w:multiLevelType w:val="hybridMultilevel"/>
    <w:tmpl w:val="862CD100"/>
    <w:lvl w:ilvl="0" w:tplc="167E62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378816C6"/>
    <w:multiLevelType w:val="hybridMultilevel"/>
    <w:tmpl w:val="6CBE4536"/>
    <w:lvl w:ilvl="0" w:tplc="A7C484C6">
      <w:start w:val="1"/>
      <w:numFmt w:val="upperLetter"/>
      <w:lvlText w:val="%1."/>
      <w:lvlJc w:val="left"/>
      <w:pPr>
        <w:ind w:left="720" w:hanging="360"/>
      </w:pPr>
      <w:rPr>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9A4549"/>
    <w:multiLevelType w:val="hybridMultilevel"/>
    <w:tmpl w:val="2CE0DE5E"/>
    <w:lvl w:ilvl="0" w:tplc="73BC7BC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47"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9232894"/>
    <w:multiLevelType w:val="hybridMultilevel"/>
    <w:tmpl w:val="C50C150A"/>
    <w:lvl w:ilvl="0" w:tplc="0C0A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98A17C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C5B3B88"/>
    <w:multiLevelType w:val="hybridMultilevel"/>
    <w:tmpl w:val="91388CCA"/>
    <w:lvl w:ilvl="0" w:tplc="C7E42A7E">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51B6923"/>
    <w:multiLevelType w:val="hybridMultilevel"/>
    <w:tmpl w:val="21FE5D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78C09A8"/>
    <w:multiLevelType w:val="hybridMultilevel"/>
    <w:tmpl w:val="72EC5F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2" w15:restartNumberingAfterBreak="0">
    <w:nsid w:val="49E92F50"/>
    <w:multiLevelType w:val="hybridMultilevel"/>
    <w:tmpl w:val="B6CC4AF6"/>
    <w:lvl w:ilvl="0" w:tplc="35BA8536">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4A695C3D"/>
    <w:multiLevelType w:val="hybridMultilevel"/>
    <w:tmpl w:val="DF9866BC"/>
    <w:lvl w:ilvl="0" w:tplc="28801B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4" w15:restartNumberingAfterBreak="0">
    <w:nsid w:val="4C8728AA"/>
    <w:multiLevelType w:val="hybridMultilevel"/>
    <w:tmpl w:val="4E269A86"/>
    <w:lvl w:ilvl="0" w:tplc="79CE3554">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F5EBA"/>
    <w:multiLevelType w:val="hybridMultilevel"/>
    <w:tmpl w:val="A59C053A"/>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D3F4BFC8">
      <w:start w:val="2"/>
      <w:numFmt w:val="upperRoman"/>
      <w:lvlText w:val="%3."/>
      <w:lvlJc w:val="left"/>
      <w:pPr>
        <w:ind w:left="2700" w:hanging="720"/>
      </w:pPr>
      <w:rPr>
        <w:rFonts w:cs="Times New Roman" w:hint="default"/>
      </w:rPr>
    </w:lvl>
    <w:lvl w:ilvl="3" w:tplc="0409000F">
      <w:start w:val="1"/>
      <w:numFmt w:val="decimal"/>
      <w:lvlText w:val="%4."/>
      <w:lvlJc w:val="left"/>
      <w:pPr>
        <w:ind w:left="2880" w:hanging="360"/>
      </w:pPr>
    </w:lvl>
    <w:lvl w:ilvl="4" w:tplc="1A80FEF0">
      <w:start w:val="5"/>
      <w:numFmt w:val="lowerRoman"/>
      <w:lvlText w:val="%5."/>
      <w:lvlJc w:val="left"/>
      <w:pPr>
        <w:ind w:left="3960" w:hanging="720"/>
      </w:pPr>
      <w:rPr>
        <w:rFonts w:hint="default"/>
      </w:rPr>
    </w:lvl>
    <w:lvl w:ilvl="5" w:tplc="D02224B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4505AB"/>
    <w:multiLevelType w:val="hybridMultilevel"/>
    <w:tmpl w:val="53AA1E40"/>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43B2BB5"/>
    <w:multiLevelType w:val="hybridMultilevel"/>
    <w:tmpl w:val="3F60D7D8"/>
    <w:lvl w:ilvl="0" w:tplc="88CC5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B4354A"/>
    <w:multiLevelType w:val="hybridMultilevel"/>
    <w:tmpl w:val="D45A0014"/>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9D91E52"/>
    <w:multiLevelType w:val="hybridMultilevel"/>
    <w:tmpl w:val="0C2C39F0"/>
    <w:lvl w:ilvl="0" w:tplc="0EDA22B6">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373B46"/>
    <w:multiLevelType w:val="hybridMultilevel"/>
    <w:tmpl w:val="0D2A5288"/>
    <w:lvl w:ilvl="0" w:tplc="7250E0AE">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E372E85"/>
    <w:multiLevelType w:val="hybridMultilevel"/>
    <w:tmpl w:val="A054341E"/>
    <w:lvl w:ilvl="0" w:tplc="8F481FD0">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24EF1"/>
    <w:multiLevelType w:val="hybridMultilevel"/>
    <w:tmpl w:val="08BE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950B98"/>
    <w:multiLevelType w:val="hybridMultilevel"/>
    <w:tmpl w:val="11CAD89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60E036A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E04952"/>
    <w:multiLevelType w:val="hybridMultilevel"/>
    <w:tmpl w:val="6CBE4536"/>
    <w:lvl w:ilvl="0" w:tplc="FFFFFFFF">
      <w:start w:val="1"/>
      <w:numFmt w:val="upperLetter"/>
      <w:lvlText w:val="%1."/>
      <w:lvlJc w:val="left"/>
      <w:pPr>
        <w:ind w:left="720" w:hanging="360"/>
      </w:pPr>
      <w:rPr>
        <w:lang w:val="es-AR"/>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5582925"/>
    <w:multiLevelType w:val="hybridMultilevel"/>
    <w:tmpl w:val="E86876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66BE5907"/>
    <w:multiLevelType w:val="hybridMultilevel"/>
    <w:tmpl w:val="55AE757E"/>
    <w:lvl w:ilvl="0" w:tplc="0409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675D1C95"/>
    <w:multiLevelType w:val="hybridMultilevel"/>
    <w:tmpl w:val="81A887C4"/>
    <w:lvl w:ilvl="0" w:tplc="CDC0D01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681D621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C3C15F2"/>
    <w:multiLevelType w:val="hybridMultilevel"/>
    <w:tmpl w:val="141E20DA"/>
    <w:lvl w:ilvl="0" w:tplc="8272DEFC">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3" w15:restartNumberingAfterBreak="0">
    <w:nsid w:val="6D117A24"/>
    <w:multiLevelType w:val="hybridMultilevel"/>
    <w:tmpl w:val="862CD1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6DDE3171"/>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5C848B6"/>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683979"/>
    <w:multiLevelType w:val="hybridMultilevel"/>
    <w:tmpl w:val="977AAD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2813753">
    <w:abstractNumId w:val="73"/>
  </w:num>
  <w:num w:numId="2" w16cid:durableId="2115054450">
    <w:abstractNumId w:val="66"/>
  </w:num>
  <w:num w:numId="3" w16cid:durableId="2032804260">
    <w:abstractNumId w:val="54"/>
  </w:num>
  <w:num w:numId="4" w16cid:durableId="1181504651">
    <w:abstractNumId w:val="16"/>
  </w:num>
  <w:num w:numId="5" w16cid:durableId="267012528">
    <w:abstractNumId w:val="63"/>
  </w:num>
  <w:num w:numId="6" w16cid:durableId="815072793">
    <w:abstractNumId w:val="40"/>
  </w:num>
  <w:num w:numId="7" w16cid:durableId="767195201">
    <w:abstractNumId w:val="13"/>
  </w:num>
  <w:num w:numId="8" w16cid:durableId="537937438">
    <w:abstractNumId w:val="67"/>
  </w:num>
  <w:num w:numId="9" w16cid:durableId="590166390">
    <w:abstractNumId w:val="82"/>
  </w:num>
  <w:num w:numId="10" w16cid:durableId="434254849">
    <w:abstractNumId w:val="87"/>
  </w:num>
  <w:num w:numId="11" w16cid:durableId="1425111347">
    <w:abstractNumId w:val="46"/>
  </w:num>
  <w:num w:numId="12" w16cid:durableId="1735666106">
    <w:abstractNumId w:val="41"/>
  </w:num>
  <w:num w:numId="13" w16cid:durableId="2039433149">
    <w:abstractNumId w:val="59"/>
  </w:num>
  <w:num w:numId="14" w16cid:durableId="1473593858">
    <w:abstractNumId w:val="42"/>
  </w:num>
  <w:num w:numId="15" w16cid:durableId="67269782">
    <w:abstractNumId w:val="65"/>
  </w:num>
  <w:num w:numId="16" w16cid:durableId="1673098059">
    <w:abstractNumId w:val="29"/>
  </w:num>
  <w:num w:numId="17" w16cid:durableId="1660502674">
    <w:abstractNumId w:val="30"/>
  </w:num>
  <w:num w:numId="18" w16cid:durableId="716471371">
    <w:abstractNumId w:val="0"/>
  </w:num>
  <w:num w:numId="19" w16cid:durableId="567351301">
    <w:abstractNumId w:val="75"/>
  </w:num>
  <w:num w:numId="20" w16cid:durableId="777336572">
    <w:abstractNumId w:val="48"/>
  </w:num>
  <w:num w:numId="21" w16cid:durableId="53346456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9496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3219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233725">
    <w:abstractNumId w:val="16"/>
  </w:num>
  <w:num w:numId="25" w16cid:durableId="2021198761">
    <w:abstractNumId w:val="35"/>
  </w:num>
  <w:num w:numId="26" w16cid:durableId="2112891407">
    <w:abstractNumId w:val="11"/>
  </w:num>
  <w:num w:numId="27" w16cid:durableId="866910735">
    <w:abstractNumId w:val="9"/>
  </w:num>
  <w:num w:numId="28" w16cid:durableId="897519200">
    <w:abstractNumId w:val="96"/>
  </w:num>
  <w:num w:numId="29" w16cid:durableId="966468260">
    <w:abstractNumId w:val="19"/>
  </w:num>
  <w:num w:numId="30" w16cid:durableId="591743685">
    <w:abstractNumId w:val="7"/>
  </w:num>
  <w:num w:numId="31" w16cid:durableId="485172226">
    <w:abstractNumId w:val="25"/>
  </w:num>
  <w:num w:numId="32" w16cid:durableId="199703604">
    <w:abstractNumId w:val="58"/>
  </w:num>
  <w:num w:numId="33" w16cid:durableId="1409696415">
    <w:abstractNumId w:val="61"/>
  </w:num>
  <w:num w:numId="34" w16cid:durableId="39987676">
    <w:abstractNumId w:val="5"/>
  </w:num>
  <w:num w:numId="35" w16cid:durableId="153959048">
    <w:abstractNumId w:val="92"/>
  </w:num>
  <w:num w:numId="36" w16cid:durableId="743573554">
    <w:abstractNumId w:val="47"/>
  </w:num>
  <w:num w:numId="37" w16cid:durableId="89930539">
    <w:abstractNumId w:val="26"/>
  </w:num>
  <w:num w:numId="38" w16cid:durableId="780415954">
    <w:abstractNumId w:val="32"/>
  </w:num>
  <w:num w:numId="39" w16cid:durableId="989748333">
    <w:abstractNumId w:val="72"/>
  </w:num>
  <w:num w:numId="40" w16cid:durableId="287703933">
    <w:abstractNumId w:val="50"/>
  </w:num>
  <w:num w:numId="41" w16cid:durableId="2030989942">
    <w:abstractNumId w:val="57"/>
  </w:num>
  <w:num w:numId="42" w16cid:durableId="2035617381">
    <w:abstractNumId w:val="21"/>
  </w:num>
  <w:num w:numId="43" w16cid:durableId="1875380500">
    <w:abstractNumId w:val="79"/>
  </w:num>
  <w:num w:numId="44" w16cid:durableId="12850466">
    <w:abstractNumId w:val="17"/>
  </w:num>
  <w:num w:numId="45" w16cid:durableId="1548369145">
    <w:abstractNumId w:val="60"/>
  </w:num>
  <w:num w:numId="46" w16cid:durableId="1398935514">
    <w:abstractNumId w:val="2"/>
  </w:num>
  <w:num w:numId="47" w16cid:durableId="1074014659">
    <w:abstractNumId w:val="55"/>
  </w:num>
  <w:num w:numId="48" w16cid:durableId="1238785317">
    <w:abstractNumId w:val="90"/>
  </w:num>
  <w:num w:numId="49" w16cid:durableId="636682874">
    <w:abstractNumId w:val="94"/>
  </w:num>
  <w:num w:numId="50" w16cid:durableId="1033656124">
    <w:abstractNumId w:val="84"/>
  </w:num>
  <w:num w:numId="51" w16cid:durableId="1723094282">
    <w:abstractNumId w:val="44"/>
  </w:num>
  <w:num w:numId="52" w16cid:durableId="959411249">
    <w:abstractNumId w:val="1"/>
  </w:num>
  <w:num w:numId="53" w16cid:durableId="1132944805">
    <w:abstractNumId w:val="27"/>
  </w:num>
  <w:num w:numId="54" w16cid:durableId="1610237121">
    <w:abstractNumId w:val="6"/>
  </w:num>
  <w:num w:numId="55" w16cid:durableId="1359816197">
    <w:abstractNumId w:val="93"/>
  </w:num>
  <w:num w:numId="56" w16cid:durableId="1515998173">
    <w:abstractNumId w:val="69"/>
  </w:num>
  <w:num w:numId="57" w16cid:durableId="498925901">
    <w:abstractNumId w:val="24"/>
  </w:num>
  <w:num w:numId="58" w16cid:durableId="424108781">
    <w:abstractNumId w:val="14"/>
  </w:num>
  <w:num w:numId="59" w16cid:durableId="2058623943">
    <w:abstractNumId w:val="97"/>
  </w:num>
  <w:num w:numId="60" w16cid:durableId="1171480738">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91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9652572">
    <w:abstractNumId w:val="37"/>
  </w:num>
  <w:num w:numId="63" w16cid:durableId="1202741754">
    <w:abstractNumId w:val="76"/>
  </w:num>
  <w:num w:numId="64" w16cid:durableId="17080098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70717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988762">
    <w:abstractNumId w:val="15"/>
  </w:num>
  <w:num w:numId="67" w16cid:durableId="11963065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6141467">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3397117">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83026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2593232">
    <w:abstractNumId w:val="3"/>
  </w:num>
  <w:num w:numId="72" w16cid:durableId="6889883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2124009">
    <w:abstractNumId w:val="38"/>
  </w:num>
  <w:num w:numId="74" w16cid:durableId="7142333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5901129">
    <w:abstractNumId w:val="10"/>
  </w:num>
  <w:num w:numId="76" w16cid:durableId="14081113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952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2910043">
    <w:abstractNumId w:val="83"/>
  </w:num>
  <w:num w:numId="79" w16cid:durableId="1515261719">
    <w:abstractNumId w:val="4"/>
  </w:num>
  <w:num w:numId="80" w16cid:durableId="661003481">
    <w:abstractNumId w:val="78"/>
  </w:num>
  <w:num w:numId="81" w16cid:durableId="1504315678">
    <w:abstractNumId w:val="49"/>
  </w:num>
  <w:num w:numId="82" w16cid:durableId="20017216">
    <w:abstractNumId w:val="85"/>
  </w:num>
  <w:num w:numId="83" w16cid:durableId="6795448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6488742">
    <w:abstractNumId w:val="62"/>
  </w:num>
  <w:num w:numId="85" w16cid:durableId="797534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3527917">
    <w:abstractNumId w:val="74"/>
  </w:num>
  <w:num w:numId="87" w16cid:durableId="38826666">
    <w:abstractNumId w:val="77"/>
  </w:num>
  <w:num w:numId="88" w16cid:durableId="785151425">
    <w:abstractNumId w:val="64"/>
  </w:num>
  <w:num w:numId="89" w16cid:durableId="1030767985">
    <w:abstractNumId w:val="39"/>
  </w:num>
  <w:num w:numId="90" w16cid:durableId="817109807">
    <w:abstractNumId w:val="20"/>
  </w:num>
  <w:num w:numId="91" w16cid:durableId="435710926">
    <w:abstractNumId w:val="89"/>
  </w:num>
  <w:num w:numId="92" w16cid:durableId="55204699">
    <w:abstractNumId w:val="33"/>
  </w:num>
  <w:num w:numId="93" w16cid:durableId="1763718214">
    <w:abstractNumId w:val="34"/>
  </w:num>
  <w:num w:numId="94" w16cid:durableId="689188302">
    <w:abstractNumId w:val="88"/>
  </w:num>
  <w:num w:numId="95" w16cid:durableId="1926456853">
    <w:abstractNumId w:val="8"/>
  </w:num>
  <w:num w:numId="96" w16cid:durableId="227108902">
    <w:abstractNumId w:val="81"/>
  </w:num>
  <w:num w:numId="97" w16cid:durableId="1358653080">
    <w:abstractNumId w:val="68"/>
  </w:num>
  <w:num w:numId="98" w16cid:durableId="364865914">
    <w:abstractNumId w:val="28"/>
  </w:num>
  <w:num w:numId="99" w16cid:durableId="1287273087">
    <w:abstractNumId w:val="43"/>
  </w:num>
  <w:num w:numId="100" w16cid:durableId="1250583600">
    <w:abstractNumId w:val="36"/>
  </w:num>
  <w:num w:numId="101" w16cid:durableId="1354456027">
    <w:abstractNumId w:val="80"/>
  </w:num>
  <w:num w:numId="102" w16cid:durableId="161162811">
    <w:abstractNumId w:val="12"/>
  </w:num>
  <w:num w:numId="103" w16cid:durableId="271400427">
    <w:abstractNumId w:val="38"/>
  </w:num>
  <w:num w:numId="104" w16cid:durableId="459033289">
    <w:abstractNumId w:val="7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375"/>
    <w:rsid w:val="0001720F"/>
    <w:rsid w:val="00024A89"/>
    <w:rsid w:val="00030A24"/>
    <w:rsid w:val="00035E03"/>
    <w:rsid w:val="00037EE7"/>
    <w:rsid w:val="00042C83"/>
    <w:rsid w:val="000466DE"/>
    <w:rsid w:val="0005228B"/>
    <w:rsid w:val="000620D7"/>
    <w:rsid w:val="0006625E"/>
    <w:rsid w:val="000700D4"/>
    <w:rsid w:val="00077FEA"/>
    <w:rsid w:val="00081A0C"/>
    <w:rsid w:val="00082741"/>
    <w:rsid w:val="000827C8"/>
    <w:rsid w:val="000840A1"/>
    <w:rsid w:val="00096411"/>
    <w:rsid w:val="000A1EFD"/>
    <w:rsid w:val="000A3622"/>
    <w:rsid w:val="000A6C27"/>
    <w:rsid w:val="000A6E38"/>
    <w:rsid w:val="000B6162"/>
    <w:rsid w:val="000C3E8B"/>
    <w:rsid w:val="000D5F50"/>
    <w:rsid w:val="000D66DB"/>
    <w:rsid w:val="000E053B"/>
    <w:rsid w:val="000E60DC"/>
    <w:rsid w:val="000F4520"/>
    <w:rsid w:val="000F6ECD"/>
    <w:rsid w:val="0010099C"/>
    <w:rsid w:val="00104460"/>
    <w:rsid w:val="00104BB1"/>
    <w:rsid w:val="00106C59"/>
    <w:rsid w:val="00111F6D"/>
    <w:rsid w:val="001140AD"/>
    <w:rsid w:val="001206AF"/>
    <w:rsid w:val="00122274"/>
    <w:rsid w:val="001244FD"/>
    <w:rsid w:val="00134F0B"/>
    <w:rsid w:val="00136DFA"/>
    <w:rsid w:val="00144015"/>
    <w:rsid w:val="001639E3"/>
    <w:rsid w:val="00163E52"/>
    <w:rsid w:val="00171DCF"/>
    <w:rsid w:val="001820AB"/>
    <w:rsid w:val="00183508"/>
    <w:rsid w:val="0018512A"/>
    <w:rsid w:val="0019645D"/>
    <w:rsid w:val="001A1080"/>
    <w:rsid w:val="001A238E"/>
    <w:rsid w:val="001A671F"/>
    <w:rsid w:val="001B0F35"/>
    <w:rsid w:val="001B24FB"/>
    <w:rsid w:val="001B4C93"/>
    <w:rsid w:val="001C03CD"/>
    <w:rsid w:val="001C0A6D"/>
    <w:rsid w:val="001C113D"/>
    <w:rsid w:val="001C230A"/>
    <w:rsid w:val="001D14E2"/>
    <w:rsid w:val="001D5AB8"/>
    <w:rsid w:val="001E078E"/>
    <w:rsid w:val="001E4C53"/>
    <w:rsid w:val="001E7583"/>
    <w:rsid w:val="001F0B72"/>
    <w:rsid w:val="001F495A"/>
    <w:rsid w:val="001F58D0"/>
    <w:rsid w:val="0020441D"/>
    <w:rsid w:val="00211BB5"/>
    <w:rsid w:val="002131FD"/>
    <w:rsid w:val="00213C5E"/>
    <w:rsid w:val="00214961"/>
    <w:rsid w:val="0021669C"/>
    <w:rsid w:val="00217A39"/>
    <w:rsid w:val="00217F58"/>
    <w:rsid w:val="00220AB1"/>
    <w:rsid w:val="002230F2"/>
    <w:rsid w:val="0023054E"/>
    <w:rsid w:val="002429EE"/>
    <w:rsid w:val="00250058"/>
    <w:rsid w:val="00253E2A"/>
    <w:rsid w:val="00260BCB"/>
    <w:rsid w:val="002637BA"/>
    <w:rsid w:val="00272AB9"/>
    <w:rsid w:val="0028228E"/>
    <w:rsid w:val="0029369D"/>
    <w:rsid w:val="0029509F"/>
    <w:rsid w:val="002A1ED6"/>
    <w:rsid w:val="002A39B2"/>
    <w:rsid w:val="002B0B2A"/>
    <w:rsid w:val="002B0F57"/>
    <w:rsid w:val="002B2264"/>
    <w:rsid w:val="002B6E6C"/>
    <w:rsid w:val="002C446E"/>
    <w:rsid w:val="002D1279"/>
    <w:rsid w:val="002D1CCF"/>
    <w:rsid w:val="002D47C0"/>
    <w:rsid w:val="002D6467"/>
    <w:rsid w:val="002E0A3C"/>
    <w:rsid w:val="002F09B3"/>
    <w:rsid w:val="0030169A"/>
    <w:rsid w:val="00301A2A"/>
    <w:rsid w:val="00306B83"/>
    <w:rsid w:val="00317354"/>
    <w:rsid w:val="00321A6F"/>
    <w:rsid w:val="003302BF"/>
    <w:rsid w:val="00344F04"/>
    <w:rsid w:val="00345B5C"/>
    <w:rsid w:val="00351EA4"/>
    <w:rsid w:val="00360412"/>
    <w:rsid w:val="003625E1"/>
    <w:rsid w:val="00367803"/>
    <w:rsid w:val="00373626"/>
    <w:rsid w:val="00384AB3"/>
    <w:rsid w:val="00393310"/>
    <w:rsid w:val="00394D28"/>
    <w:rsid w:val="003A7955"/>
    <w:rsid w:val="003B000F"/>
    <w:rsid w:val="003B3579"/>
    <w:rsid w:val="003C0BD2"/>
    <w:rsid w:val="003C1FF6"/>
    <w:rsid w:val="003D4630"/>
    <w:rsid w:val="003D75CB"/>
    <w:rsid w:val="003E3690"/>
    <w:rsid w:val="003F34D0"/>
    <w:rsid w:val="00400EE8"/>
    <w:rsid w:val="00401FE0"/>
    <w:rsid w:val="00403581"/>
    <w:rsid w:val="0041423F"/>
    <w:rsid w:val="00432811"/>
    <w:rsid w:val="004357C5"/>
    <w:rsid w:val="00452C8D"/>
    <w:rsid w:val="00454C20"/>
    <w:rsid w:val="00455A79"/>
    <w:rsid w:val="004619E0"/>
    <w:rsid w:val="00461DA1"/>
    <w:rsid w:val="0047175E"/>
    <w:rsid w:val="00471B53"/>
    <w:rsid w:val="004812C5"/>
    <w:rsid w:val="00483B3C"/>
    <w:rsid w:val="00483CF7"/>
    <w:rsid w:val="004A00A5"/>
    <w:rsid w:val="004A15BA"/>
    <w:rsid w:val="004A48DA"/>
    <w:rsid w:val="004B37E4"/>
    <w:rsid w:val="004B5117"/>
    <w:rsid w:val="004C24CA"/>
    <w:rsid w:val="004C4D9C"/>
    <w:rsid w:val="004D2D42"/>
    <w:rsid w:val="004D7942"/>
    <w:rsid w:val="004D7999"/>
    <w:rsid w:val="004E211E"/>
    <w:rsid w:val="004F3B49"/>
    <w:rsid w:val="004F57FF"/>
    <w:rsid w:val="005006D7"/>
    <w:rsid w:val="0050180C"/>
    <w:rsid w:val="00515B87"/>
    <w:rsid w:val="00525898"/>
    <w:rsid w:val="00527AEF"/>
    <w:rsid w:val="0053292A"/>
    <w:rsid w:val="00535E7C"/>
    <w:rsid w:val="00550898"/>
    <w:rsid w:val="00550EB8"/>
    <w:rsid w:val="00557F91"/>
    <w:rsid w:val="00560171"/>
    <w:rsid w:val="00563259"/>
    <w:rsid w:val="00563D32"/>
    <w:rsid w:val="0056491D"/>
    <w:rsid w:val="005664CA"/>
    <w:rsid w:val="0058688A"/>
    <w:rsid w:val="00590BCD"/>
    <w:rsid w:val="0059485E"/>
    <w:rsid w:val="005A336F"/>
    <w:rsid w:val="005A4914"/>
    <w:rsid w:val="005B23B6"/>
    <w:rsid w:val="005B4C0E"/>
    <w:rsid w:val="005C45EE"/>
    <w:rsid w:val="005C5563"/>
    <w:rsid w:val="005D3CE5"/>
    <w:rsid w:val="005D73BC"/>
    <w:rsid w:val="005E11CE"/>
    <w:rsid w:val="005F179B"/>
    <w:rsid w:val="005F2FF7"/>
    <w:rsid w:val="005F4AAA"/>
    <w:rsid w:val="0060164F"/>
    <w:rsid w:val="00603990"/>
    <w:rsid w:val="00604132"/>
    <w:rsid w:val="006041C3"/>
    <w:rsid w:val="00604F1C"/>
    <w:rsid w:val="00607BF8"/>
    <w:rsid w:val="006152C5"/>
    <w:rsid w:val="006218C5"/>
    <w:rsid w:val="006344B9"/>
    <w:rsid w:val="00634593"/>
    <w:rsid w:val="00667860"/>
    <w:rsid w:val="006753A9"/>
    <w:rsid w:val="00676FA5"/>
    <w:rsid w:val="00677473"/>
    <w:rsid w:val="00682AEA"/>
    <w:rsid w:val="0068332F"/>
    <w:rsid w:val="006839D0"/>
    <w:rsid w:val="006852DD"/>
    <w:rsid w:val="00695E55"/>
    <w:rsid w:val="00695E9A"/>
    <w:rsid w:val="006964C0"/>
    <w:rsid w:val="006A0DF9"/>
    <w:rsid w:val="006A2560"/>
    <w:rsid w:val="006A28F2"/>
    <w:rsid w:val="006A592E"/>
    <w:rsid w:val="006A6CAF"/>
    <w:rsid w:val="006B7557"/>
    <w:rsid w:val="006C420B"/>
    <w:rsid w:val="006C5510"/>
    <w:rsid w:val="006D215E"/>
    <w:rsid w:val="006F0429"/>
    <w:rsid w:val="006F09C9"/>
    <w:rsid w:val="006F0DE2"/>
    <w:rsid w:val="006F7141"/>
    <w:rsid w:val="0070174A"/>
    <w:rsid w:val="0070192E"/>
    <w:rsid w:val="0070714C"/>
    <w:rsid w:val="00713B5D"/>
    <w:rsid w:val="007178F4"/>
    <w:rsid w:val="00717B2C"/>
    <w:rsid w:val="00720BFF"/>
    <w:rsid w:val="00724513"/>
    <w:rsid w:val="007333A6"/>
    <w:rsid w:val="00735E96"/>
    <w:rsid w:val="00741910"/>
    <w:rsid w:val="007445A4"/>
    <w:rsid w:val="00745807"/>
    <w:rsid w:val="007605EB"/>
    <w:rsid w:val="00766537"/>
    <w:rsid w:val="007672BD"/>
    <w:rsid w:val="007779B2"/>
    <w:rsid w:val="00777F00"/>
    <w:rsid w:val="0078116D"/>
    <w:rsid w:val="007841EB"/>
    <w:rsid w:val="007841F1"/>
    <w:rsid w:val="00793A9D"/>
    <w:rsid w:val="00794735"/>
    <w:rsid w:val="00796874"/>
    <w:rsid w:val="007A2670"/>
    <w:rsid w:val="007A4177"/>
    <w:rsid w:val="007A6889"/>
    <w:rsid w:val="007B1AD6"/>
    <w:rsid w:val="007B3758"/>
    <w:rsid w:val="007B463C"/>
    <w:rsid w:val="007B5D3C"/>
    <w:rsid w:val="007B70B2"/>
    <w:rsid w:val="007C0C65"/>
    <w:rsid w:val="007C224B"/>
    <w:rsid w:val="007C2CC3"/>
    <w:rsid w:val="007C351D"/>
    <w:rsid w:val="007C3D01"/>
    <w:rsid w:val="007C5D2C"/>
    <w:rsid w:val="007D12DC"/>
    <w:rsid w:val="007D37B4"/>
    <w:rsid w:val="007D50C6"/>
    <w:rsid w:val="007D52A4"/>
    <w:rsid w:val="007D543E"/>
    <w:rsid w:val="007E3059"/>
    <w:rsid w:val="007E49E9"/>
    <w:rsid w:val="007E4ED5"/>
    <w:rsid w:val="007E7421"/>
    <w:rsid w:val="007F3E6A"/>
    <w:rsid w:val="007F5A92"/>
    <w:rsid w:val="007F5F4E"/>
    <w:rsid w:val="007F7616"/>
    <w:rsid w:val="007F77EE"/>
    <w:rsid w:val="0080116E"/>
    <w:rsid w:val="008012A4"/>
    <w:rsid w:val="00803A39"/>
    <w:rsid w:val="008060DE"/>
    <w:rsid w:val="00807BAA"/>
    <w:rsid w:val="00810352"/>
    <w:rsid w:val="0082342B"/>
    <w:rsid w:val="00827E4C"/>
    <w:rsid w:val="008550EF"/>
    <w:rsid w:val="00862A68"/>
    <w:rsid w:val="008664A7"/>
    <w:rsid w:val="00867C76"/>
    <w:rsid w:val="008740E3"/>
    <w:rsid w:val="008776EB"/>
    <w:rsid w:val="00891698"/>
    <w:rsid w:val="0089637D"/>
    <w:rsid w:val="008A2059"/>
    <w:rsid w:val="008A64C1"/>
    <w:rsid w:val="008C2A91"/>
    <w:rsid w:val="008C4038"/>
    <w:rsid w:val="008D5E80"/>
    <w:rsid w:val="008E13F4"/>
    <w:rsid w:val="008E6D12"/>
    <w:rsid w:val="008E6F9C"/>
    <w:rsid w:val="00906FDD"/>
    <w:rsid w:val="00913BF3"/>
    <w:rsid w:val="00917950"/>
    <w:rsid w:val="009222E9"/>
    <w:rsid w:val="00925B1D"/>
    <w:rsid w:val="00931D14"/>
    <w:rsid w:val="009331A5"/>
    <w:rsid w:val="00933A89"/>
    <w:rsid w:val="00944F57"/>
    <w:rsid w:val="00945FAB"/>
    <w:rsid w:val="00946B52"/>
    <w:rsid w:val="009477D5"/>
    <w:rsid w:val="00955123"/>
    <w:rsid w:val="00955F99"/>
    <w:rsid w:val="00957E52"/>
    <w:rsid w:val="009602EF"/>
    <w:rsid w:val="00961E4F"/>
    <w:rsid w:val="00963237"/>
    <w:rsid w:val="00967524"/>
    <w:rsid w:val="00977EF7"/>
    <w:rsid w:val="00981020"/>
    <w:rsid w:val="00990E46"/>
    <w:rsid w:val="00991F03"/>
    <w:rsid w:val="00992834"/>
    <w:rsid w:val="009A1EC5"/>
    <w:rsid w:val="009A542A"/>
    <w:rsid w:val="009B480D"/>
    <w:rsid w:val="009C1410"/>
    <w:rsid w:val="009C1A56"/>
    <w:rsid w:val="009C4D87"/>
    <w:rsid w:val="009C7072"/>
    <w:rsid w:val="009D20DE"/>
    <w:rsid w:val="009D577E"/>
    <w:rsid w:val="009D7D02"/>
    <w:rsid w:val="009E0F73"/>
    <w:rsid w:val="009F0FEB"/>
    <w:rsid w:val="009F1C70"/>
    <w:rsid w:val="00A00688"/>
    <w:rsid w:val="00A13508"/>
    <w:rsid w:val="00A13D4B"/>
    <w:rsid w:val="00A14C56"/>
    <w:rsid w:val="00A22CD7"/>
    <w:rsid w:val="00A25CA7"/>
    <w:rsid w:val="00A343FF"/>
    <w:rsid w:val="00A42A40"/>
    <w:rsid w:val="00A45B46"/>
    <w:rsid w:val="00A47C59"/>
    <w:rsid w:val="00A47FF7"/>
    <w:rsid w:val="00A70432"/>
    <w:rsid w:val="00A72869"/>
    <w:rsid w:val="00A759EB"/>
    <w:rsid w:val="00A854F6"/>
    <w:rsid w:val="00A87AF1"/>
    <w:rsid w:val="00A942E0"/>
    <w:rsid w:val="00AA1AD7"/>
    <w:rsid w:val="00AB2CDA"/>
    <w:rsid w:val="00AB49C7"/>
    <w:rsid w:val="00AC2BAD"/>
    <w:rsid w:val="00AC5F46"/>
    <w:rsid w:val="00AD5748"/>
    <w:rsid w:val="00AE1B0F"/>
    <w:rsid w:val="00AE1ECD"/>
    <w:rsid w:val="00AE747F"/>
    <w:rsid w:val="00AF0CEC"/>
    <w:rsid w:val="00AF1AA0"/>
    <w:rsid w:val="00AF4DD4"/>
    <w:rsid w:val="00B001C1"/>
    <w:rsid w:val="00B056D9"/>
    <w:rsid w:val="00B1572A"/>
    <w:rsid w:val="00B2161A"/>
    <w:rsid w:val="00B24FCA"/>
    <w:rsid w:val="00B44C49"/>
    <w:rsid w:val="00B52B3E"/>
    <w:rsid w:val="00B56493"/>
    <w:rsid w:val="00B740FE"/>
    <w:rsid w:val="00B75824"/>
    <w:rsid w:val="00B7652F"/>
    <w:rsid w:val="00B806AC"/>
    <w:rsid w:val="00B86B49"/>
    <w:rsid w:val="00B90B9D"/>
    <w:rsid w:val="00B91D8E"/>
    <w:rsid w:val="00B93993"/>
    <w:rsid w:val="00B93EA8"/>
    <w:rsid w:val="00B9535E"/>
    <w:rsid w:val="00BB0196"/>
    <w:rsid w:val="00BB157A"/>
    <w:rsid w:val="00BB1589"/>
    <w:rsid w:val="00BB2348"/>
    <w:rsid w:val="00BB6816"/>
    <w:rsid w:val="00BB7F08"/>
    <w:rsid w:val="00BC4BF2"/>
    <w:rsid w:val="00BD0D67"/>
    <w:rsid w:val="00BE4883"/>
    <w:rsid w:val="00BE72E8"/>
    <w:rsid w:val="00BF33B2"/>
    <w:rsid w:val="00BF687A"/>
    <w:rsid w:val="00BF69C4"/>
    <w:rsid w:val="00C04C07"/>
    <w:rsid w:val="00C04F91"/>
    <w:rsid w:val="00C10C5C"/>
    <w:rsid w:val="00C11597"/>
    <w:rsid w:val="00C13299"/>
    <w:rsid w:val="00C1382E"/>
    <w:rsid w:val="00C17A24"/>
    <w:rsid w:val="00C20984"/>
    <w:rsid w:val="00C26DA3"/>
    <w:rsid w:val="00C3172B"/>
    <w:rsid w:val="00C37599"/>
    <w:rsid w:val="00C40F2C"/>
    <w:rsid w:val="00C63038"/>
    <w:rsid w:val="00C67EC4"/>
    <w:rsid w:val="00C75161"/>
    <w:rsid w:val="00CA2777"/>
    <w:rsid w:val="00CA3AA8"/>
    <w:rsid w:val="00CA45B6"/>
    <w:rsid w:val="00CA4F83"/>
    <w:rsid w:val="00CC1C3E"/>
    <w:rsid w:val="00CC4274"/>
    <w:rsid w:val="00CC59DF"/>
    <w:rsid w:val="00CD413D"/>
    <w:rsid w:val="00CD58A4"/>
    <w:rsid w:val="00CE3A73"/>
    <w:rsid w:val="00CE5FDB"/>
    <w:rsid w:val="00CE6C01"/>
    <w:rsid w:val="00CE7538"/>
    <w:rsid w:val="00CE7A45"/>
    <w:rsid w:val="00D01883"/>
    <w:rsid w:val="00D05BCC"/>
    <w:rsid w:val="00D05EB2"/>
    <w:rsid w:val="00D12218"/>
    <w:rsid w:val="00D13990"/>
    <w:rsid w:val="00D15A16"/>
    <w:rsid w:val="00D222B7"/>
    <w:rsid w:val="00D238DD"/>
    <w:rsid w:val="00D23C9A"/>
    <w:rsid w:val="00D344CF"/>
    <w:rsid w:val="00D353EA"/>
    <w:rsid w:val="00D37FAD"/>
    <w:rsid w:val="00D4213A"/>
    <w:rsid w:val="00D43F4F"/>
    <w:rsid w:val="00D50D9D"/>
    <w:rsid w:val="00D515CE"/>
    <w:rsid w:val="00D5166A"/>
    <w:rsid w:val="00D549E4"/>
    <w:rsid w:val="00D65717"/>
    <w:rsid w:val="00D667C2"/>
    <w:rsid w:val="00D773D0"/>
    <w:rsid w:val="00D82E91"/>
    <w:rsid w:val="00D85481"/>
    <w:rsid w:val="00D945D1"/>
    <w:rsid w:val="00DA7666"/>
    <w:rsid w:val="00DB013F"/>
    <w:rsid w:val="00DB13C0"/>
    <w:rsid w:val="00DB56BE"/>
    <w:rsid w:val="00DB5E3D"/>
    <w:rsid w:val="00DC246B"/>
    <w:rsid w:val="00DD1CFF"/>
    <w:rsid w:val="00DD2FE8"/>
    <w:rsid w:val="00DD4F27"/>
    <w:rsid w:val="00DD7443"/>
    <w:rsid w:val="00DE2E0D"/>
    <w:rsid w:val="00DE5755"/>
    <w:rsid w:val="00DF0FE5"/>
    <w:rsid w:val="00DF199E"/>
    <w:rsid w:val="00DF612A"/>
    <w:rsid w:val="00E04605"/>
    <w:rsid w:val="00E06D52"/>
    <w:rsid w:val="00E24DFC"/>
    <w:rsid w:val="00E24F33"/>
    <w:rsid w:val="00E26E89"/>
    <w:rsid w:val="00E30407"/>
    <w:rsid w:val="00E3040C"/>
    <w:rsid w:val="00E30888"/>
    <w:rsid w:val="00E37BF8"/>
    <w:rsid w:val="00E42942"/>
    <w:rsid w:val="00E52331"/>
    <w:rsid w:val="00E62255"/>
    <w:rsid w:val="00E64F44"/>
    <w:rsid w:val="00E6512A"/>
    <w:rsid w:val="00E705D2"/>
    <w:rsid w:val="00E73335"/>
    <w:rsid w:val="00E74921"/>
    <w:rsid w:val="00E77756"/>
    <w:rsid w:val="00E91CF1"/>
    <w:rsid w:val="00EA424C"/>
    <w:rsid w:val="00EA4364"/>
    <w:rsid w:val="00EB3609"/>
    <w:rsid w:val="00EB3ACF"/>
    <w:rsid w:val="00EB61DE"/>
    <w:rsid w:val="00EC03C5"/>
    <w:rsid w:val="00EC64BF"/>
    <w:rsid w:val="00ED0B2A"/>
    <w:rsid w:val="00ED4C58"/>
    <w:rsid w:val="00ED518E"/>
    <w:rsid w:val="00EF0591"/>
    <w:rsid w:val="00EF1BD7"/>
    <w:rsid w:val="00EF70C9"/>
    <w:rsid w:val="00F00E16"/>
    <w:rsid w:val="00F0294F"/>
    <w:rsid w:val="00F058CE"/>
    <w:rsid w:val="00F06E69"/>
    <w:rsid w:val="00F07B09"/>
    <w:rsid w:val="00F116BD"/>
    <w:rsid w:val="00F13D78"/>
    <w:rsid w:val="00F16EB4"/>
    <w:rsid w:val="00F231C2"/>
    <w:rsid w:val="00F4025A"/>
    <w:rsid w:val="00F46A46"/>
    <w:rsid w:val="00F52F31"/>
    <w:rsid w:val="00F54F60"/>
    <w:rsid w:val="00F60489"/>
    <w:rsid w:val="00F66FEE"/>
    <w:rsid w:val="00F72E41"/>
    <w:rsid w:val="00F80C0D"/>
    <w:rsid w:val="00F81F74"/>
    <w:rsid w:val="00F85603"/>
    <w:rsid w:val="00F91CA4"/>
    <w:rsid w:val="00F9542F"/>
    <w:rsid w:val="00FB0EBA"/>
    <w:rsid w:val="00FC0266"/>
    <w:rsid w:val="00FC07EE"/>
    <w:rsid w:val="00FC151C"/>
    <w:rsid w:val="00FC375A"/>
    <w:rsid w:val="00FC4F45"/>
    <w:rsid w:val="00FC66C2"/>
    <w:rsid w:val="00FC74FE"/>
    <w:rsid w:val="00FC7CC1"/>
    <w:rsid w:val="00FD09E6"/>
    <w:rsid w:val="00FD7ED8"/>
    <w:rsid w:val="00FE0A8B"/>
    <w:rsid w:val="00FE7A25"/>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B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E06D52"/>
    <w:rPr>
      <w:vertAlign w:val="superscript"/>
    </w:rPr>
  </w:style>
  <w:style w:type="paragraph" w:customStyle="1" w:styleId="Appelnotedebasde">
    <w:name w:val="Appel note de bas de..."/>
    <w:basedOn w:val="Normal"/>
    <w:link w:val="FootnoteReference"/>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3292A"/>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53292A"/>
    <w:rPr>
      <w:rFonts w:ascii="Times New Roman" w:hAnsi="Times New Roman"/>
    </w:rPr>
  </w:style>
  <w:style w:type="paragraph" w:customStyle="1" w:styleId="Listavistosa-nfasis11">
    <w:name w:val="Lista vistosa - Énfasis 11"/>
    <w:aliases w:val="Párrafo de lista1,List Paragraph1,Colorful List - Accent 11,List Paragraph11"/>
    <w:basedOn w:val="Normal"/>
    <w:link w:val="ColorfulList-Accent1Char"/>
    <w:uiPriority w:val="34"/>
    <w:qFormat/>
    <w:rsid w:val="0053292A"/>
    <w:pPr>
      <w:ind w:left="720"/>
      <w:contextualSpacing/>
    </w:pPr>
  </w:style>
  <w:style w:type="character" w:styleId="Hyperlink">
    <w:name w:val="Hyperlink"/>
    <w:uiPriority w:val="99"/>
    <w:unhideWhenUsed/>
    <w:rsid w:val="0053292A"/>
    <w:rPr>
      <w:color w:val="0000FF"/>
      <w:u w:val="single"/>
    </w:rPr>
  </w:style>
  <w:style w:type="paragraph" w:customStyle="1" w:styleId="Cuadrculamedia21">
    <w:name w:val="Cuadrícula media 21"/>
    <w:uiPriority w:val="1"/>
    <w:qFormat/>
    <w:rsid w:val="0053292A"/>
    <w:rPr>
      <w:sz w:val="22"/>
      <w:szCs w:val="22"/>
      <w:lang w:val="pt-BR"/>
    </w:rPr>
  </w:style>
  <w:style w:type="character" w:customStyle="1" w:styleId="ColorfulList-Accent1Char">
    <w:name w:val="Colorful List - Accent 1 Char"/>
    <w:aliases w:val="Párrafo de lista1 Char,List Paragraph1 Char,Colorful List - Accent 11 Char,List Paragraph11 Char"/>
    <w:link w:val="Listavistosa-nfasis11"/>
    <w:uiPriority w:val="34"/>
    <w:locked/>
    <w:rsid w:val="0053292A"/>
    <w:rPr>
      <w:sz w:val="22"/>
      <w:szCs w:val="22"/>
    </w:rPr>
  </w:style>
  <w:style w:type="character" w:styleId="CommentReference">
    <w:name w:val="annotation reference"/>
    <w:uiPriority w:val="99"/>
    <w:semiHidden/>
    <w:unhideWhenUsed/>
    <w:rsid w:val="0053292A"/>
    <w:rPr>
      <w:sz w:val="16"/>
      <w:szCs w:val="16"/>
    </w:rPr>
  </w:style>
  <w:style w:type="paragraph" w:styleId="CommentText">
    <w:name w:val="annotation text"/>
    <w:basedOn w:val="Normal"/>
    <w:link w:val="CommentTextChar"/>
    <w:uiPriority w:val="99"/>
    <w:unhideWhenUsed/>
    <w:rsid w:val="0053292A"/>
    <w:rPr>
      <w:sz w:val="20"/>
      <w:szCs w:val="20"/>
    </w:rPr>
  </w:style>
  <w:style w:type="character" w:customStyle="1" w:styleId="CommentTextChar">
    <w:name w:val="Comment Text Char"/>
    <w:basedOn w:val="DefaultParagraphFont"/>
    <w:link w:val="CommentText"/>
    <w:uiPriority w:val="99"/>
    <w:rsid w:val="0053292A"/>
  </w:style>
  <w:style w:type="paragraph" w:styleId="CommentSubject">
    <w:name w:val="annotation subject"/>
    <w:basedOn w:val="CommentText"/>
    <w:next w:val="CommentText"/>
    <w:link w:val="CommentSubjectChar"/>
    <w:uiPriority w:val="99"/>
    <w:semiHidden/>
    <w:unhideWhenUsed/>
    <w:rsid w:val="0053292A"/>
    <w:rPr>
      <w:b/>
      <w:bCs/>
    </w:rPr>
  </w:style>
  <w:style w:type="character" w:customStyle="1" w:styleId="CommentSubjectChar">
    <w:name w:val="Comment Subject Char"/>
    <w:link w:val="CommentSubject"/>
    <w:uiPriority w:val="99"/>
    <w:semiHidden/>
    <w:rsid w:val="0053292A"/>
    <w:rPr>
      <w:b/>
      <w:bCs/>
    </w:rPr>
  </w:style>
  <w:style w:type="paragraph" w:styleId="Revision">
    <w:name w:val="Revision"/>
    <w:hidden/>
    <w:uiPriority w:val="99"/>
    <w:semiHidden/>
    <w:rsid w:val="0053292A"/>
    <w:rPr>
      <w:sz w:val="22"/>
      <w:szCs w:val="22"/>
    </w:rPr>
  </w:style>
  <w:style w:type="character" w:styleId="FollowedHyperlink">
    <w:name w:val="FollowedHyperlink"/>
    <w:uiPriority w:val="99"/>
    <w:semiHidden/>
    <w:unhideWhenUsed/>
    <w:rsid w:val="0053292A"/>
    <w:rPr>
      <w:color w:val="954F72"/>
      <w:u w:val="single"/>
    </w:rPr>
  </w:style>
  <w:style w:type="paragraph" w:styleId="ListParagraph">
    <w:name w:val="List Paragraph"/>
    <w:basedOn w:val="Normal"/>
    <w:link w:val="ListParagraphChar"/>
    <w:uiPriority w:val="34"/>
    <w:qFormat/>
    <w:rsid w:val="0053292A"/>
    <w:pPr>
      <w:ind w:left="708"/>
    </w:pPr>
  </w:style>
  <w:style w:type="character" w:customStyle="1" w:styleId="ListParagraphChar">
    <w:name w:val="List Paragraph Char"/>
    <w:link w:val="ListParagraph"/>
    <w:uiPriority w:val="34"/>
    <w:locked/>
    <w:rsid w:val="0053292A"/>
    <w:rPr>
      <w:sz w:val="22"/>
      <w:szCs w:val="22"/>
    </w:rPr>
  </w:style>
  <w:style w:type="paragraph" w:customStyle="1" w:styleId="Default">
    <w:name w:val="Default"/>
    <w:rsid w:val="0053292A"/>
    <w:pPr>
      <w:autoSpaceDE w:val="0"/>
      <w:autoSpaceDN w:val="0"/>
      <w:adjustRightInd w:val="0"/>
    </w:pPr>
    <w:rPr>
      <w:rFonts w:ascii="Cambria" w:hAnsi="Cambria" w:cs="Cambria"/>
      <w:color w:val="000000"/>
      <w:sz w:val="24"/>
      <w:szCs w:val="24"/>
      <w:lang w:val="pt-BR" w:eastAsia="pt-BR"/>
    </w:rPr>
  </w:style>
  <w:style w:type="character" w:styleId="UnresolvedMention">
    <w:name w:val="Unresolved Mention"/>
    <w:uiPriority w:val="99"/>
    <w:semiHidden/>
    <w:unhideWhenUsed/>
    <w:rsid w:val="005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oas.org/es/cidh/decisiones/2020/ecsa11626b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docs/anual/2020/capitulos/IA2020cap2-es.pdf" TargetMode="External"/><Relationship Id="rId1" Type="http://schemas.openxmlformats.org/officeDocument/2006/relationships/hyperlink" Target="http://www.oas.org/es/cidh/decisiones/2020/ecsa11626b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BA926-2486-45F4-9173-34A1C45A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B33E2-1271-4194-B33F-E938765E26E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5.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6.xml><?xml version="1.0" encoding="utf-8"?>
<ds:datastoreItem xmlns:ds="http://schemas.openxmlformats.org/officeDocument/2006/customXml" ds:itemID="{67B860E9-D705-4CC0-8F2E-B8214DB7B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1150</Words>
  <Characters>6558</Characters>
  <Application>Microsoft Office Word</Application>
  <DocSecurity>0</DocSecurity>
  <Lines>54</Lines>
  <Paragraphs>15</Paragraphs>
  <ScaleCrop>false</ScaleCrop>
  <Company/>
  <LinksUpToDate>false</LinksUpToDate>
  <CharactersWithSpaces>7693</CharactersWithSpaces>
  <SharedDoc>false</SharedDoc>
  <HLinks>
    <vt:vector size="456" baseType="variant">
      <vt:variant>
        <vt:i4>6619240</vt:i4>
      </vt:variant>
      <vt:variant>
        <vt:i4>90</vt:i4>
      </vt:variant>
      <vt:variant>
        <vt:i4>0</vt:i4>
      </vt:variant>
      <vt:variant>
        <vt:i4>5</vt:i4>
      </vt:variant>
      <vt:variant>
        <vt:lpwstr>http://www.cidh.oas.org/annualrep/2008sp/Argentina12298.sp.htm</vt:lpwstr>
      </vt:variant>
      <vt:variant>
        <vt:lpwstr/>
      </vt:variant>
      <vt:variant>
        <vt:i4>7536757</vt:i4>
      </vt:variant>
      <vt:variant>
        <vt:i4>87</vt:i4>
      </vt:variant>
      <vt:variant>
        <vt:i4>0</vt:i4>
      </vt:variant>
      <vt:variant>
        <vt:i4>5</vt:i4>
      </vt:variant>
      <vt:variant>
        <vt:lpwstr>http://www.cidh.oas.org/annualrep/2000sp/CapituloIII/Admisible/Argentina12.298.htm</vt:lpwstr>
      </vt:variant>
      <vt:variant>
        <vt:lpwstr/>
      </vt:variant>
      <vt:variant>
        <vt:i4>2949167</vt:i4>
      </vt:variant>
      <vt:variant>
        <vt:i4>84</vt:i4>
      </vt:variant>
      <vt:variant>
        <vt:i4>0</vt:i4>
      </vt:variant>
      <vt:variant>
        <vt:i4>5</vt:i4>
      </vt:variant>
      <vt:variant>
        <vt:lpwstr>http://www.oas.org/es/cidh/decisiones/2020/ecsa11626ces.pdf</vt:lpwstr>
      </vt:variant>
      <vt:variant>
        <vt:lpwstr/>
      </vt:variant>
      <vt:variant>
        <vt:i4>2949166</vt:i4>
      </vt:variant>
      <vt:variant>
        <vt:i4>81</vt:i4>
      </vt:variant>
      <vt:variant>
        <vt:i4>0</vt:i4>
      </vt:variant>
      <vt:variant>
        <vt:i4>5</vt:i4>
      </vt:variant>
      <vt:variant>
        <vt:lpwstr>http://www.oas.org/es/cidh/decisiones/2020/ecsa11626bes.pdf</vt:lpwstr>
      </vt:variant>
      <vt:variant>
        <vt:lpwstr/>
      </vt:variant>
      <vt:variant>
        <vt:i4>2949165</vt:i4>
      </vt:variant>
      <vt:variant>
        <vt:i4>78</vt:i4>
      </vt:variant>
      <vt:variant>
        <vt:i4>0</vt:i4>
      </vt:variant>
      <vt:variant>
        <vt:i4>5</vt:i4>
      </vt:variant>
      <vt:variant>
        <vt:lpwstr>http://www.oas.org/es/cidh/decisiones/2020/ecsa11626aes.pdf</vt:lpwstr>
      </vt:variant>
      <vt:variant>
        <vt:lpwstr/>
      </vt:variant>
      <vt:variant>
        <vt:i4>6815868</vt:i4>
      </vt:variant>
      <vt:variant>
        <vt:i4>75</vt:i4>
      </vt:variant>
      <vt:variant>
        <vt:i4>0</vt:i4>
      </vt:variant>
      <vt:variant>
        <vt:i4>5</vt:i4>
      </vt:variant>
      <vt:variant>
        <vt:lpwstr>http://www.oas.org/es/cidh/decisiones/amistosas.asp</vt:lpwstr>
      </vt:variant>
      <vt:variant>
        <vt:lpwstr/>
      </vt:variant>
      <vt:variant>
        <vt:i4>8060977</vt:i4>
      </vt:variant>
      <vt:variant>
        <vt:i4>72</vt:i4>
      </vt:variant>
      <vt:variant>
        <vt:i4>0</vt:i4>
      </vt:variant>
      <vt:variant>
        <vt:i4>5</vt:i4>
      </vt:variant>
      <vt:variant>
        <vt:lpwstr>http://www.cidh.oas.org/annualrep/2000sp/CapituloIII/Sol.Ami/Ecuador11.991.htm</vt:lpwstr>
      </vt:variant>
      <vt:variant>
        <vt:lpwstr/>
      </vt:variant>
      <vt:variant>
        <vt:i4>262149</vt:i4>
      </vt:variant>
      <vt:variant>
        <vt:i4>69</vt:i4>
      </vt:variant>
      <vt:variant>
        <vt:i4>0</vt:i4>
      </vt:variant>
      <vt:variant>
        <vt:i4>5</vt:i4>
      </vt:variant>
      <vt:variant>
        <vt:lpwstr>http://www.cidh.oas.org/annualrep/2006sp/Ecuador533.01sp.htm</vt:lpwstr>
      </vt:variant>
      <vt:variant>
        <vt:lpwstr/>
      </vt:variant>
      <vt:variant>
        <vt:i4>7733305</vt:i4>
      </vt:variant>
      <vt:variant>
        <vt:i4>66</vt:i4>
      </vt:variant>
      <vt:variant>
        <vt:i4>0</vt:i4>
      </vt:variant>
      <vt:variant>
        <vt:i4>5</vt:i4>
      </vt:variant>
      <vt:variant>
        <vt:lpwstr>http://www.cidh.oas.org/annualrep/2005sp/Ecuador12238sp.htm</vt:lpwstr>
      </vt:variant>
      <vt:variant>
        <vt:lpwstr/>
      </vt:variant>
      <vt:variant>
        <vt:i4>7667769</vt:i4>
      </vt:variant>
      <vt:variant>
        <vt:i4>63</vt:i4>
      </vt:variant>
      <vt:variant>
        <vt:i4>0</vt:i4>
      </vt:variant>
      <vt:variant>
        <vt:i4>5</vt:i4>
      </vt:variant>
      <vt:variant>
        <vt:lpwstr>http://www.cidh.oas.org/annualrep/2006sp/Ecuador12238sp.htm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6619236</vt:i4>
      </vt:variant>
      <vt:variant>
        <vt:i4>57</vt:i4>
      </vt:variant>
      <vt:variant>
        <vt:i4>0</vt:i4>
      </vt:variant>
      <vt:variant>
        <vt:i4>5</vt:i4>
      </vt:variant>
      <vt:variant>
        <vt:lpwstr>http://www.cidh.oas.org/annualrep/2003sp/Ecuador.12188.htm</vt:lpwstr>
      </vt:variant>
      <vt:variant>
        <vt:lpwstr/>
      </vt:variant>
      <vt:variant>
        <vt:i4>131140</vt:i4>
      </vt:variant>
      <vt:variant>
        <vt:i4>54</vt:i4>
      </vt:variant>
      <vt:variant>
        <vt:i4>0</vt:i4>
      </vt:variant>
      <vt:variant>
        <vt:i4>5</vt:i4>
      </vt:variant>
      <vt:variant>
        <vt:lpwstr>http://www.cidh.oas.org/annualrep/2001sp/Ecuador12007.htm</vt:lpwstr>
      </vt:variant>
      <vt:variant>
        <vt:lpwstr/>
      </vt:variant>
      <vt:variant>
        <vt:i4>7536702</vt:i4>
      </vt:variant>
      <vt:variant>
        <vt:i4>51</vt:i4>
      </vt:variant>
      <vt:variant>
        <vt:i4>0</vt:i4>
      </vt:variant>
      <vt:variant>
        <vt:i4>5</vt:i4>
      </vt:variant>
      <vt:variant>
        <vt:lpwstr>http://www.cidh.oas.org/annualrep/2000sp/CapituloIII/Sol.Ami/Ecuador11.868.htm</vt:lpwstr>
      </vt:variant>
      <vt:variant>
        <vt:lpwstr/>
      </vt:variant>
      <vt:variant>
        <vt:i4>393231</vt:i4>
      </vt:variant>
      <vt:variant>
        <vt:i4>48</vt:i4>
      </vt:variant>
      <vt:variant>
        <vt:i4>0</vt:i4>
      </vt:variant>
      <vt:variant>
        <vt:i4>5</vt:i4>
      </vt:variant>
      <vt:variant>
        <vt:lpwstr>http://www.cidh.oas.org/annualrep/2003sp/Argentina.11804.htm</vt:lpwstr>
      </vt:variant>
      <vt:variant>
        <vt:lpwstr/>
      </vt:variant>
      <vt:variant>
        <vt:i4>7798832</vt:i4>
      </vt:variant>
      <vt:variant>
        <vt:i4>45</vt:i4>
      </vt:variant>
      <vt:variant>
        <vt:i4>0</vt:i4>
      </vt:variant>
      <vt:variant>
        <vt:i4>5</vt:i4>
      </vt:variant>
      <vt:variant>
        <vt:lpwstr>http://www.cidh.oas.org/annualrep/2000sp/CapituloIII/Sol.Ami/Ecuador11.783.htm</vt:lpwstr>
      </vt:variant>
      <vt:variant>
        <vt:lpwstr/>
      </vt:variant>
      <vt:variant>
        <vt:i4>8192063</vt:i4>
      </vt:variant>
      <vt:variant>
        <vt:i4>42</vt:i4>
      </vt:variant>
      <vt:variant>
        <vt:i4>0</vt:i4>
      </vt:variant>
      <vt:variant>
        <vt:i4>5</vt:i4>
      </vt:variant>
      <vt:variant>
        <vt:lpwstr>http://www.cidh.oas.org/annualrep/2000sp/CapituloIII/Sol.Ami/Ecuador11.779.htm</vt:lpwstr>
      </vt:variant>
      <vt:variant>
        <vt:lpwstr/>
      </vt:variant>
      <vt:variant>
        <vt:i4>131143</vt:i4>
      </vt:variant>
      <vt:variant>
        <vt:i4>39</vt:i4>
      </vt:variant>
      <vt:variant>
        <vt:i4>0</vt:i4>
      </vt:variant>
      <vt:variant>
        <vt:i4>5</vt:i4>
      </vt:variant>
      <vt:variant>
        <vt:lpwstr>http://www.cidh.oas.org/annualrep/2001sp/Ecuador11632.htm</vt:lpwstr>
      </vt:variant>
      <vt:variant>
        <vt:lpwstr/>
      </vt:variant>
      <vt:variant>
        <vt:i4>7340088</vt:i4>
      </vt:variant>
      <vt:variant>
        <vt:i4>36</vt:i4>
      </vt:variant>
      <vt:variant>
        <vt:i4>0</vt:i4>
      </vt:variant>
      <vt:variant>
        <vt:i4>5</vt:i4>
      </vt:variant>
      <vt:variant>
        <vt:lpwstr>http://www.cidh.oas.org/annualrep/2000sp/CapituloIII/Sol.Ami/Ecuador11.605.htm</vt:lpwstr>
      </vt:variant>
      <vt:variant>
        <vt:lpwstr/>
      </vt:variant>
      <vt:variant>
        <vt:i4>7471152</vt:i4>
      </vt:variant>
      <vt:variant>
        <vt:i4>33</vt:i4>
      </vt:variant>
      <vt:variant>
        <vt:i4>0</vt:i4>
      </vt:variant>
      <vt:variant>
        <vt:i4>5</vt:i4>
      </vt:variant>
      <vt:variant>
        <vt:lpwstr>http://www.cidh.oas.org/annualrep/2000sp/CapituloIII/Sol.Ami/Ecuador11.584.htm</vt:lpwstr>
      </vt:variant>
      <vt:variant>
        <vt:lpwstr/>
      </vt:variant>
      <vt:variant>
        <vt:i4>393282</vt:i4>
      </vt:variant>
      <vt:variant>
        <vt:i4>30</vt:i4>
      </vt:variant>
      <vt:variant>
        <vt:i4>0</vt:i4>
      </vt:variant>
      <vt:variant>
        <vt:i4>5</vt:i4>
      </vt:variant>
      <vt:variant>
        <vt:lpwstr>http://www.cidh.oas.org/annualrep/2001sp/Ecuador11574.htm</vt:lpwstr>
      </vt:variant>
      <vt:variant>
        <vt:lpwstr/>
      </vt:variant>
      <vt:variant>
        <vt:i4>327748</vt:i4>
      </vt:variant>
      <vt:variant>
        <vt:i4>27</vt:i4>
      </vt:variant>
      <vt:variant>
        <vt:i4>0</vt:i4>
      </vt:variant>
      <vt:variant>
        <vt:i4>5</vt:i4>
      </vt:variant>
      <vt:variant>
        <vt:lpwstr>http://www.cidh.oas.org/annualrep/2001sp/Ecuador11542.htm</vt:lpwstr>
      </vt:variant>
      <vt:variant>
        <vt:lpwstr/>
      </vt:variant>
      <vt:variant>
        <vt:i4>5832729</vt:i4>
      </vt:variant>
      <vt:variant>
        <vt:i4>24</vt:i4>
      </vt:variant>
      <vt:variant>
        <vt:i4>0</vt:i4>
      </vt:variant>
      <vt:variant>
        <vt:i4>5</vt:i4>
      </vt:variant>
      <vt:variant>
        <vt:lpwstr>http://www.cidh.oas.org/annualrep/96span/Ecuador11515.htm</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7602233</vt:i4>
      </vt:variant>
      <vt:variant>
        <vt:i4>18</vt:i4>
      </vt:variant>
      <vt:variant>
        <vt:i4>0</vt:i4>
      </vt:variant>
      <vt:variant>
        <vt:i4>5</vt:i4>
      </vt:variant>
      <vt:variant>
        <vt:lpwstr>http://www.cidh.oas.org/annualrep/2000sp/CapituloIII/Sol.Ami/Ecuador11.512.htm</vt:lpwstr>
      </vt:variant>
      <vt:variant>
        <vt:lpwstr/>
      </vt:variant>
      <vt:variant>
        <vt:i4>7405630</vt:i4>
      </vt:variant>
      <vt:variant>
        <vt:i4>15</vt:i4>
      </vt:variant>
      <vt:variant>
        <vt:i4>0</vt:i4>
      </vt:variant>
      <vt:variant>
        <vt:i4>5</vt:i4>
      </vt:variant>
      <vt:variant>
        <vt:lpwstr>http://www.cidh.oas.org/annualrep/2000sp/CapituloIII/Sol.Ami/Ecuador11.466.htm</vt:lpwstr>
      </vt:variant>
      <vt:variant>
        <vt:lpwstr/>
      </vt:variant>
      <vt:variant>
        <vt:i4>327748</vt:i4>
      </vt:variant>
      <vt:variant>
        <vt:i4>12</vt:i4>
      </vt:variant>
      <vt:variant>
        <vt:i4>0</vt:i4>
      </vt:variant>
      <vt:variant>
        <vt:i4>5</vt:i4>
      </vt:variant>
      <vt:variant>
        <vt:lpwstr>http://www.cidh.oas.org/annualrep/2001sp/Ecuador11443.htm</vt:lpwstr>
      </vt:variant>
      <vt:variant>
        <vt:lpwstr/>
      </vt:variant>
      <vt:variant>
        <vt:i4>327750</vt:i4>
      </vt:variant>
      <vt:variant>
        <vt:i4>9</vt:i4>
      </vt:variant>
      <vt:variant>
        <vt:i4>0</vt:i4>
      </vt:variant>
      <vt:variant>
        <vt:i4>5</vt:i4>
      </vt:variant>
      <vt:variant>
        <vt:lpwstr>http://www.cidh.oas.org/annualrep/2001sp/Ecuador11441.htm</vt:lpwstr>
      </vt:variant>
      <vt:variant>
        <vt:lpwstr/>
      </vt:variant>
      <vt:variant>
        <vt:i4>393231</vt:i4>
      </vt:variant>
      <vt:variant>
        <vt:i4>6</vt:i4>
      </vt:variant>
      <vt:variant>
        <vt:i4>0</vt:i4>
      </vt:variant>
      <vt:variant>
        <vt:i4>5</vt:i4>
      </vt:variant>
      <vt:variant>
        <vt:lpwstr>http://www.cidh.oas.org/annualrep/2003sp/Argentina.11804.htm</vt:lpwstr>
      </vt:variant>
      <vt:variant>
        <vt:lpwstr/>
      </vt:variant>
      <vt:variant>
        <vt:i4>8257595</vt:i4>
      </vt:variant>
      <vt:variant>
        <vt:i4>3</vt:i4>
      </vt:variant>
      <vt:variant>
        <vt:i4>0</vt:i4>
      </vt:variant>
      <vt:variant>
        <vt:i4>5</vt:i4>
      </vt:variant>
      <vt:variant>
        <vt:lpwstr>http://www.cidh.oas.org/annualrep/2000sp/CapituloIII/Sol.Ami/Ecuador11.439.htm</vt:lpwstr>
      </vt:variant>
      <vt:variant>
        <vt:lpwstr/>
      </vt:variant>
      <vt:variant>
        <vt:i4>7733306</vt:i4>
      </vt:variant>
      <vt:variant>
        <vt:i4>0</vt:i4>
      </vt:variant>
      <vt:variant>
        <vt:i4>0</vt:i4>
      </vt:variant>
      <vt:variant>
        <vt:i4>5</vt:i4>
      </vt:variant>
      <vt:variant>
        <vt:lpwstr>http://www.cidh.oas.org/annualrep/2000sp/CapituloIII/Sol.Ami/Ecuador11.421.htm</vt:lpwstr>
      </vt:variant>
      <vt:variant>
        <vt:lpwstr/>
      </vt:variant>
      <vt:variant>
        <vt:i4>4784154</vt:i4>
      </vt:variant>
      <vt:variant>
        <vt:i4>132</vt:i4>
      </vt:variant>
      <vt:variant>
        <vt:i4>0</vt:i4>
      </vt:variant>
      <vt:variant>
        <vt:i4>5</vt:i4>
      </vt:variant>
      <vt:variant>
        <vt:lpwstr>http://www.oas.org/es/cidh/docs/anual/2019/docs/IA2019cap2-es.pdf</vt:lpwstr>
      </vt:variant>
      <vt:variant>
        <vt:lpwstr/>
      </vt:variant>
      <vt:variant>
        <vt:i4>3276841</vt:i4>
      </vt:variant>
      <vt:variant>
        <vt:i4>129</vt:i4>
      </vt:variant>
      <vt:variant>
        <vt:i4>0</vt:i4>
      </vt:variant>
      <vt:variant>
        <vt:i4>5</vt:i4>
      </vt:variant>
      <vt:variant>
        <vt:lpwstr>http://www.oas.org/es/cidh/docs/anual/2018/docs/IA2018cap.2-es.pdf</vt:lpwstr>
      </vt:variant>
      <vt:variant>
        <vt:lpwstr/>
      </vt:variant>
      <vt:variant>
        <vt:i4>4784154</vt:i4>
      </vt:variant>
      <vt:variant>
        <vt:i4>126</vt:i4>
      </vt:variant>
      <vt:variant>
        <vt:i4>0</vt:i4>
      </vt:variant>
      <vt:variant>
        <vt:i4>5</vt:i4>
      </vt:variant>
      <vt:variant>
        <vt:lpwstr>http://www.oas.org/es/cidh/docs/anual/2019/docs/IA2019cap2-es.pdf</vt:lpwstr>
      </vt:variant>
      <vt:variant>
        <vt:lpwstr/>
      </vt:variant>
      <vt:variant>
        <vt:i4>3276841</vt:i4>
      </vt:variant>
      <vt:variant>
        <vt:i4>123</vt:i4>
      </vt:variant>
      <vt:variant>
        <vt:i4>0</vt:i4>
      </vt:variant>
      <vt:variant>
        <vt:i4>5</vt:i4>
      </vt:variant>
      <vt:variant>
        <vt:lpwstr>http://www.oas.org/es/cidh/docs/anual/2018/docs/IA2018cap.2-es.pdf</vt:lpwstr>
      </vt:variant>
      <vt:variant>
        <vt:lpwstr/>
      </vt:variant>
      <vt:variant>
        <vt:i4>3997799</vt:i4>
      </vt:variant>
      <vt:variant>
        <vt:i4>120</vt:i4>
      </vt:variant>
      <vt:variant>
        <vt:i4>0</vt:i4>
      </vt:variant>
      <vt:variant>
        <vt:i4>5</vt:i4>
      </vt:variant>
      <vt:variant>
        <vt:lpwstr>http://www.oas.org/es/cidh/docs/anual/2013/docs-es/InformeAnual-Cap2-D.pdf</vt:lpwstr>
      </vt:variant>
      <vt:variant>
        <vt:lpwstr/>
      </vt:variant>
      <vt:variant>
        <vt:i4>3539058</vt:i4>
      </vt:variant>
      <vt:variant>
        <vt:i4>117</vt:i4>
      </vt:variant>
      <vt:variant>
        <vt:i4>0</vt:i4>
      </vt:variant>
      <vt:variant>
        <vt:i4>5</vt:i4>
      </vt:variant>
      <vt:variant>
        <vt:lpwstr>http://www.oas.org/es/cidh/docs/anual/2020/capitulos/IA2020cap2-es.pdf</vt:lpwstr>
      </vt:variant>
      <vt:variant>
        <vt:lpwstr/>
      </vt:variant>
      <vt:variant>
        <vt:i4>2949167</vt:i4>
      </vt:variant>
      <vt:variant>
        <vt:i4>114</vt:i4>
      </vt:variant>
      <vt:variant>
        <vt:i4>0</vt:i4>
      </vt:variant>
      <vt:variant>
        <vt:i4>5</vt:i4>
      </vt:variant>
      <vt:variant>
        <vt:lpwstr>http://www.oas.org/es/cidh/decisiones/2020/ecsa11626ces.pdf</vt:lpwstr>
      </vt:variant>
      <vt:variant>
        <vt:lpwstr/>
      </vt:variant>
      <vt:variant>
        <vt:i4>3539058</vt:i4>
      </vt:variant>
      <vt:variant>
        <vt:i4>111</vt:i4>
      </vt:variant>
      <vt:variant>
        <vt:i4>0</vt:i4>
      </vt:variant>
      <vt:variant>
        <vt:i4>5</vt:i4>
      </vt:variant>
      <vt:variant>
        <vt:lpwstr>http://www.oas.org/es/cidh/docs/anual/2020/capitulos/IA2020cap2-es.pdf</vt:lpwstr>
      </vt:variant>
      <vt:variant>
        <vt:lpwstr/>
      </vt:variant>
      <vt:variant>
        <vt:i4>2949166</vt:i4>
      </vt:variant>
      <vt:variant>
        <vt:i4>108</vt:i4>
      </vt:variant>
      <vt:variant>
        <vt:i4>0</vt:i4>
      </vt:variant>
      <vt:variant>
        <vt:i4>5</vt:i4>
      </vt:variant>
      <vt:variant>
        <vt:lpwstr>http://www.oas.org/es/cidh/decisiones/2020/ecsa11626bes.pdf</vt:lpwstr>
      </vt:variant>
      <vt:variant>
        <vt:lpwstr/>
      </vt:variant>
      <vt:variant>
        <vt:i4>3539058</vt:i4>
      </vt:variant>
      <vt:variant>
        <vt:i4>105</vt:i4>
      </vt:variant>
      <vt:variant>
        <vt:i4>0</vt:i4>
      </vt:variant>
      <vt:variant>
        <vt:i4>5</vt:i4>
      </vt:variant>
      <vt:variant>
        <vt:lpwstr>http://www.oas.org/es/cidh/docs/anual/2020/capitulos/IA2020cap2-es.pdf</vt:lpwstr>
      </vt:variant>
      <vt:variant>
        <vt:lpwstr/>
      </vt:variant>
      <vt:variant>
        <vt:i4>2949165</vt:i4>
      </vt:variant>
      <vt:variant>
        <vt:i4>102</vt:i4>
      </vt:variant>
      <vt:variant>
        <vt:i4>0</vt:i4>
      </vt:variant>
      <vt:variant>
        <vt:i4>5</vt:i4>
      </vt:variant>
      <vt:variant>
        <vt:lpwstr>http://www.oas.org/es/cidh/decisiones/2020/ecsa11626aes.pdf</vt:lpwstr>
      </vt:variant>
      <vt:variant>
        <vt:lpwstr/>
      </vt:variant>
      <vt:variant>
        <vt:i4>3539058</vt:i4>
      </vt:variant>
      <vt:variant>
        <vt:i4>99</vt:i4>
      </vt:variant>
      <vt:variant>
        <vt:i4>0</vt:i4>
      </vt:variant>
      <vt:variant>
        <vt:i4>5</vt:i4>
      </vt:variant>
      <vt:variant>
        <vt:lpwstr>http://www.oas.org/es/cidh/docs/anual/2020/capitulos/IA2020cap2-es.pdf</vt:lpwstr>
      </vt:variant>
      <vt:variant>
        <vt:lpwstr/>
      </vt:variant>
      <vt:variant>
        <vt:i4>6815868</vt:i4>
      </vt:variant>
      <vt:variant>
        <vt:i4>96</vt:i4>
      </vt:variant>
      <vt:variant>
        <vt:i4>0</vt:i4>
      </vt:variant>
      <vt:variant>
        <vt:i4>5</vt:i4>
      </vt:variant>
      <vt:variant>
        <vt:lpwstr>http://www.oas.org/es/cidh/decisiones/amistosas.asp</vt:lpwstr>
      </vt:variant>
      <vt:variant>
        <vt:lpwstr/>
      </vt:variant>
      <vt:variant>
        <vt:i4>6815868</vt:i4>
      </vt:variant>
      <vt:variant>
        <vt:i4>93</vt:i4>
      </vt:variant>
      <vt:variant>
        <vt:i4>0</vt:i4>
      </vt:variant>
      <vt:variant>
        <vt:i4>5</vt:i4>
      </vt:variant>
      <vt:variant>
        <vt:lpwstr>http://www.oas.org/es/cidh/decisiones/amistosas.asp</vt:lpwstr>
      </vt:variant>
      <vt:variant>
        <vt:lpwstr/>
      </vt:variant>
      <vt:variant>
        <vt:i4>3539058</vt:i4>
      </vt:variant>
      <vt:variant>
        <vt:i4>90</vt:i4>
      </vt:variant>
      <vt:variant>
        <vt:i4>0</vt:i4>
      </vt:variant>
      <vt:variant>
        <vt:i4>5</vt:i4>
      </vt:variant>
      <vt:variant>
        <vt:lpwstr>http://www.oas.org/es/cidh/docs/anual/2020/capitulos/IA2020cap2-es.pdf</vt:lpwstr>
      </vt:variant>
      <vt:variant>
        <vt:lpwstr/>
      </vt:variant>
      <vt:variant>
        <vt:i4>3539058</vt:i4>
      </vt:variant>
      <vt:variant>
        <vt:i4>87</vt:i4>
      </vt:variant>
      <vt:variant>
        <vt:i4>0</vt:i4>
      </vt:variant>
      <vt:variant>
        <vt:i4>5</vt:i4>
      </vt:variant>
      <vt:variant>
        <vt:lpwstr>http://www.oas.org/es/cidh/docs/anual/2020/capitulos/IA2020cap2-es.pdf</vt:lpwstr>
      </vt:variant>
      <vt:variant>
        <vt:lpwstr/>
      </vt:variant>
      <vt:variant>
        <vt:i4>262149</vt:i4>
      </vt:variant>
      <vt:variant>
        <vt:i4>84</vt:i4>
      </vt:variant>
      <vt:variant>
        <vt:i4>0</vt:i4>
      </vt:variant>
      <vt:variant>
        <vt:i4>5</vt:i4>
      </vt:variant>
      <vt:variant>
        <vt:lpwstr>http://www.cidh.oas.org/annualrep/2006sp/Ecuador533.01sp.htm</vt:lpwstr>
      </vt:variant>
      <vt:variant>
        <vt:lpwstr/>
      </vt:variant>
      <vt:variant>
        <vt:i4>3539058</vt:i4>
      </vt:variant>
      <vt:variant>
        <vt:i4>81</vt:i4>
      </vt:variant>
      <vt:variant>
        <vt:i4>0</vt:i4>
      </vt:variant>
      <vt:variant>
        <vt:i4>5</vt:i4>
      </vt:variant>
      <vt:variant>
        <vt:lpwstr>http://www.oas.org/es/cidh/docs/anual/2020/capitulos/IA2020cap2-es.pdf</vt:lpwstr>
      </vt:variant>
      <vt:variant>
        <vt:lpwstr/>
      </vt:variant>
      <vt:variant>
        <vt:i4>7012453</vt:i4>
      </vt:variant>
      <vt:variant>
        <vt:i4>78</vt:i4>
      </vt:variant>
      <vt:variant>
        <vt:i4>0</vt:i4>
      </vt:variant>
      <vt:variant>
        <vt:i4>5</vt:i4>
      </vt:variant>
      <vt:variant>
        <vt:lpwstr>http://www.cidh.oas.org/annualrep/2003sp/Ecuador.12394.htm</vt:lpwstr>
      </vt:variant>
      <vt:variant>
        <vt:lpwstr/>
      </vt:variant>
      <vt:variant>
        <vt:i4>3539058</vt:i4>
      </vt:variant>
      <vt:variant>
        <vt:i4>75</vt:i4>
      </vt:variant>
      <vt:variant>
        <vt:i4>0</vt:i4>
      </vt:variant>
      <vt:variant>
        <vt:i4>5</vt:i4>
      </vt:variant>
      <vt:variant>
        <vt:lpwstr>http://www.oas.org/es/cidh/docs/anual/2020/capitulos/IA2020cap2-es.pdf</vt:lpwstr>
      </vt:variant>
      <vt:variant>
        <vt:lpwstr/>
      </vt:variant>
      <vt:variant>
        <vt:i4>3539058</vt:i4>
      </vt:variant>
      <vt:variant>
        <vt:i4>72</vt:i4>
      </vt:variant>
      <vt:variant>
        <vt:i4>0</vt:i4>
      </vt:variant>
      <vt:variant>
        <vt:i4>5</vt:i4>
      </vt:variant>
      <vt:variant>
        <vt:lpwstr>http://www.oas.org/es/cidh/docs/anual/2020/capitulos/IA2020cap2-es.pdf</vt:lpwstr>
      </vt:variant>
      <vt:variant>
        <vt:lpwstr/>
      </vt:variant>
      <vt:variant>
        <vt:i4>3539058</vt:i4>
      </vt:variant>
      <vt:variant>
        <vt:i4>69</vt:i4>
      </vt:variant>
      <vt:variant>
        <vt:i4>0</vt:i4>
      </vt:variant>
      <vt:variant>
        <vt:i4>5</vt:i4>
      </vt:variant>
      <vt:variant>
        <vt:lpwstr>http://www.oas.org/es/cidh/docs/anual/2020/capitulos/IA2020cap2-es.pdf</vt:lpwstr>
      </vt:variant>
      <vt:variant>
        <vt:lpwstr/>
      </vt:variant>
      <vt:variant>
        <vt:i4>3539058</vt:i4>
      </vt:variant>
      <vt:variant>
        <vt:i4>66</vt:i4>
      </vt:variant>
      <vt:variant>
        <vt:i4>0</vt:i4>
      </vt:variant>
      <vt:variant>
        <vt:i4>5</vt:i4>
      </vt:variant>
      <vt:variant>
        <vt:lpwstr>http://www.oas.org/es/cidh/docs/anual/2020/capitulos/IA2020cap2-es.pdf</vt:lpwstr>
      </vt:variant>
      <vt:variant>
        <vt:lpwstr/>
      </vt:variant>
      <vt:variant>
        <vt:i4>3276841</vt:i4>
      </vt:variant>
      <vt:variant>
        <vt:i4>63</vt:i4>
      </vt:variant>
      <vt:variant>
        <vt:i4>0</vt:i4>
      </vt:variant>
      <vt:variant>
        <vt:i4>5</vt:i4>
      </vt:variant>
      <vt:variant>
        <vt:lpwstr>http://www.oas.org/es/cidh/docs/anual/2018/docs/IA2018cap.2-es.pdf</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3276841</vt:i4>
      </vt:variant>
      <vt:variant>
        <vt:i4>57</vt:i4>
      </vt:variant>
      <vt:variant>
        <vt:i4>0</vt:i4>
      </vt:variant>
      <vt:variant>
        <vt:i4>5</vt:i4>
      </vt:variant>
      <vt:variant>
        <vt:lpwstr>http://www.oas.org/es/cidh/docs/anual/2018/docs/IA2018cap.2-es.pdf</vt:lpwstr>
      </vt:variant>
      <vt:variant>
        <vt:lpwstr/>
      </vt:variant>
      <vt:variant>
        <vt:i4>3604595</vt:i4>
      </vt:variant>
      <vt:variant>
        <vt:i4>54</vt:i4>
      </vt:variant>
      <vt:variant>
        <vt:i4>0</vt:i4>
      </vt:variant>
      <vt:variant>
        <vt:i4>5</vt:i4>
      </vt:variant>
      <vt:variant>
        <vt:lpwstr>http://www.oas.org/es/cidh/docs/anual/2021/capitulos/IA2021cap2-es.pdf</vt:lpwstr>
      </vt:variant>
      <vt:variant>
        <vt:lpwstr/>
      </vt:variant>
      <vt:variant>
        <vt:i4>3539058</vt:i4>
      </vt:variant>
      <vt:variant>
        <vt:i4>51</vt:i4>
      </vt:variant>
      <vt:variant>
        <vt:i4>0</vt:i4>
      </vt:variant>
      <vt:variant>
        <vt:i4>5</vt:i4>
      </vt:variant>
      <vt:variant>
        <vt:lpwstr>http://www.oas.org/es/cidh/docs/anual/2020/capitulos/IA2020cap2-es.pdf</vt:lpwstr>
      </vt:variant>
      <vt:variant>
        <vt:lpwstr/>
      </vt:variant>
      <vt:variant>
        <vt:i4>3539058</vt:i4>
      </vt:variant>
      <vt:variant>
        <vt:i4>48</vt:i4>
      </vt:variant>
      <vt:variant>
        <vt:i4>0</vt:i4>
      </vt:variant>
      <vt:variant>
        <vt:i4>5</vt:i4>
      </vt:variant>
      <vt:variant>
        <vt:lpwstr>http://www.oas.org/es/cidh/docs/anual/2020/capitulos/IA2020cap2-es.pdf</vt:lpwstr>
      </vt:variant>
      <vt:variant>
        <vt:lpwstr/>
      </vt:variant>
      <vt:variant>
        <vt:i4>4784154</vt:i4>
      </vt:variant>
      <vt:variant>
        <vt:i4>45</vt:i4>
      </vt:variant>
      <vt:variant>
        <vt:i4>0</vt:i4>
      </vt:variant>
      <vt:variant>
        <vt:i4>5</vt:i4>
      </vt:variant>
      <vt:variant>
        <vt:lpwstr>http://www.oas.org/es/cidh/docs/anual/2019/docs/IA2019cap2-es.pdf</vt:lpwstr>
      </vt:variant>
      <vt:variant>
        <vt:lpwstr/>
      </vt:variant>
      <vt:variant>
        <vt:i4>3276841</vt:i4>
      </vt:variant>
      <vt:variant>
        <vt:i4>42</vt:i4>
      </vt:variant>
      <vt:variant>
        <vt:i4>0</vt:i4>
      </vt:variant>
      <vt:variant>
        <vt:i4>5</vt:i4>
      </vt:variant>
      <vt:variant>
        <vt:lpwstr>http://www.oas.org/es/cidh/docs/anual/2018/docs/IA2018cap.2-es.pdf</vt:lpwstr>
      </vt:variant>
      <vt:variant>
        <vt:lpwstr/>
      </vt:variant>
      <vt:variant>
        <vt:i4>3539058</vt:i4>
      </vt:variant>
      <vt:variant>
        <vt:i4>39</vt:i4>
      </vt:variant>
      <vt:variant>
        <vt:i4>0</vt:i4>
      </vt:variant>
      <vt:variant>
        <vt:i4>5</vt:i4>
      </vt:variant>
      <vt:variant>
        <vt:lpwstr>http://www.oas.org/es/cidh/docs/anual/2020/capitulos/IA2020cap2-es.pdf</vt:lpwstr>
      </vt:variant>
      <vt:variant>
        <vt:lpwstr/>
      </vt:variant>
      <vt:variant>
        <vt:i4>3539058</vt:i4>
      </vt:variant>
      <vt:variant>
        <vt:i4>36</vt:i4>
      </vt:variant>
      <vt:variant>
        <vt:i4>0</vt:i4>
      </vt:variant>
      <vt:variant>
        <vt:i4>5</vt:i4>
      </vt:variant>
      <vt:variant>
        <vt:lpwstr>http://www.oas.org/es/cidh/docs/anual/2020/capitulos/IA2020cap2-es.pdf</vt:lpwstr>
      </vt:variant>
      <vt:variant>
        <vt:lpwstr/>
      </vt:variant>
      <vt:variant>
        <vt:i4>3539058</vt:i4>
      </vt:variant>
      <vt:variant>
        <vt:i4>33</vt:i4>
      </vt:variant>
      <vt:variant>
        <vt:i4>0</vt:i4>
      </vt:variant>
      <vt:variant>
        <vt:i4>5</vt:i4>
      </vt:variant>
      <vt:variant>
        <vt:lpwstr>http://www.oas.org/es/cidh/docs/anual/2020/capitulos/IA2020cap2-es.pdf</vt:lpwstr>
      </vt:variant>
      <vt:variant>
        <vt:lpwstr/>
      </vt:variant>
      <vt:variant>
        <vt:i4>3539058</vt:i4>
      </vt:variant>
      <vt:variant>
        <vt:i4>30</vt:i4>
      </vt:variant>
      <vt:variant>
        <vt:i4>0</vt:i4>
      </vt:variant>
      <vt:variant>
        <vt:i4>5</vt:i4>
      </vt:variant>
      <vt:variant>
        <vt:lpwstr>http://www.oas.org/es/cidh/docs/anual/2020/capitulos/IA2020cap2-es.pdf</vt:lpwstr>
      </vt:variant>
      <vt:variant>
        <vt:lpwstr/>
      </vt:variant>
      <vt:variant>
        <vt:i4>3539058</vt:i4>
      </vt:variant>
      <vt:variant>
        <vt:i4>27</vt:i4>
      </vt:variant>
      <vt:variant>
        <vt:i4>0</vt:i4>
      </vt:variant>
      <vt:variant>
        <vt:i4>5</vt:i4>
      </vt:variant>
      <vt:variant>
        <vt:lpwstr>http://www.oas.org/es/cidh/docs/anual/2020/capitulos/IA2020cap2-es.pdf</vt:lpwstr>
      </vt:variant>
      <vt:variant>
        <vt:lpwstr/>
      </vt:variant>
      <vt:variant>
        <vt:i4>3276841</vt:i4>
      </vt:variant>
      <vt:variant>
        <vt:i4>24</vt:i4>
      </vt:variant>
      <vt:variant>
        <vt:i4>0</vt:i4>
      </vt:variant>
      <vt:variant>
        <vt:i4>5</vt:i4>
      </vt:variant>
      <vt:variant>
        <vt:lpwstr>http://www.oas.org/es/cidh/docs/anual/2018/docs/IA2018cap.2-es.pdf</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3276841</vt:i4>
      </vt:variant>
      <vt:variant>
        <vt:i4>18</vt:i4>
      </vt:variant>
      <vt:variant>
        <vt:i4>0</vt:i4>
      </vt:variant>
      <vt:variant>
        <vt:i4>5</vt:i4>
      </vt:variant>
      <vt:variant>
        <vt:lpwstr>http://www.oas.org/es/cidh/docs/anual/2018/docs/IA2018cap.2-es.pdf</vt:lpwstr>
      </vt:variant>
      <vt:variant>
        <vt:lpwstr/>
      </vt:variant>
      <vt:variant>
        <vt:i4>3539058</vt:i4>
      </vt:variant>
      <vt:variant>
        <vt:i4>15</vt:i4>
      </vt:variant>
      <vt:variant>
        <vt:i4>0</vt:i4>
      </vt:variant>
      <vt:variant>
        <vt:i4>5</vt:i4>
      </vt:variant>
      <vt:variant>
        <vt:lpwstr>http://www.oas.org/es/cidh/docs/anual/2020/capitulos/IA2020cap2-es.pdf</vt:lpwstr>
      </vt:variant>
      <vt:variant>
        <vt:lpwstr/>
      </vt:variant>
      <vt:variant>
        <vt:i4>3539058</vt:i4>
      </vt:variant>
      <vt:variant>
        <vt:i4>12</vt:i4>
      </vt:variant>
      <vt:variant>
        <vt:i4>0</vt:i4>
      </vt:variant>
      <vt:variant>
        <vt:i4>5</vt:i4>
      </vt:variant>
      <vt:variant>
        <vt:lpwstr>http://www.oas.org/es/cidh/docs/anual/2020/capitulos/IA2020cap2-es.pdf</vt:lpwstr>
      </vt:variant>
      <vt:variant>
        <vt:lpwstr/>
      </vt:variant>
      <vt:variant>
        <vt:i4>3539058</vt:i4>
      </vt:variant>
      <vt:variant>
        <vt:i4>9</vt:i4>
      </vt:variant>
      <vt:variant>
        <vt:i4>0</vt:i4>
      </vt:variant>
      <vt:variant>
        <vt:i4>5</vt:i4>
      </vt:variant>
      <vt:variant>
        <vt:lpwstr>http://www.oas.org/es/cidh/docs/anual/2020/capitulos/IA2020cap2-es.pdf</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3539058</vt:i4>
      </vt:variant>
      <vt:variant>
        <vt:i4>3</vt:i4>
      </vt:variant>
      <vt:variant>
        <vt:i4>0</vt:i4>
      </vt:variant>
      <vt:variant>
        <vt:i4>5</vt:i4>
      </vt:variant>
      <vt:variant>
        <vt:lpwstr>http://www.oas.org/es/cidh/docs/anual/2020/capitulos/IA2020cap2-es.pdf</vt:lpwstr>
      </vt:variant>
      <vt:variant>
        <vt:lpwstr/>
      </vt:variant>
      <vt:variant>
        <vt:i4>3539058</vt:i4>
      </vt:variant>
      <vt:variant>
        <vt:i4>0</vt:i4>
      </vt:variant>
      <vt:variant>
        <vt:i4>0</vt:i4>
      </vt:variant>
      <vt:variant>
        <vt:i4>5</vt:i4>
      </vt:variant>
      <vt:variant>
        <vt:lpwstr>http://www.oas.org/es/cidh/docs/anual/2020/capitulos/IA2020cap2-es.pdf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2023-03-03T22:11:00Z</dcterms:created>
  <dcterms:modified xsi:type="dcterms:W3CDTF">2023-03-03T22:11:00Z</dcterms:modified>
</cp:coreProperties>
</file>