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2841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A10C55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072C">
                              <w:rPr>
                                <w:rFonts w:asciiTheme="majorHAnsi" w:hAnsiTheme="majorHAnsi" w:cs="Arial"/>
                                <w:b/>
                                <w:bCs/>
                                <w:color w:val="0D0D0D" w:themeColor="text1" w:themeTint="F2"/>
                                <w:sz w:val="36"/>
                                <w:szCs w:val="22"/>
                                <w:lang w:val="es-ES_tradnl"/>
                              </w:rPr>
                              <w:t>3</w:t>
                            </w:r>
                            <w:r w:rsidR="006D1592">
                              <w:rPr>
                                <w:rFonts w:asciiTheme="majorHAnsi" w:hAnsiTheme="majorHAnsi" w:cs="Arial"/>
                                <w:b/>
                                <w:bCs/>
                                <w:color w:val="0D0D0D" w:themeColor="text1" w:themeTint="F2"/>
                                <w:sz w:val="36"/>
                                <w:szCs w:val="22"/>
                                <w:lang w:val="es-ES_tradnl"/>
                              </w:rPr>
                              <w:t>82</w:t>
                            </w:r>
                            <w:r w:rsidR="007B05C4">
                              <w:rPr>
                                <w:rFonts w:asciiTheme="majorHAnsi" w:hAnsiTheme="majorHAnsi" w:cs="Arial"/>
                                <w:b/>
                                <w:bCs/>
                                <w:color w:val="0D0D0D" w:themeColor="text1" w:themeTint="F2"/>
                                <w:sz w:val="36"/>
                                <w:szCs w:val="22"/>
                                <w:lang w:val="es-ES_tradnl"/>
                              </w:rPr>
                              <w:t>/</w:t>
                            </w:r>
                            <w:r w:rsidR="0058191A">
                              <w:rPr>
                                <w:rFonts w:asciiTheme="majorHAnsi" w:hAnsiTheme="majorHAnsi" w:cs="Arial"/>
                                <w:b/>
                                <w:bCs/>
                                <w:color w:val="0D0D0D" w:themeColor="text1" w:themeTint="F2"/>
                                <w:sz w:val="36"/>
                                <w:szCs w:val="22"/>
                                <w:lang w:val="es-ES_tradnl"/>
                              </w:rPr>
                              <w:t>20</w:t>
                            </w:r>
                          </w:p>
                          <w:p w14:paraId="09C54AB3" w14:textId="7C1E5EA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4772">
                              <w:rPr>
                                <w:rFonts w:asciiTheme="majorHAnsi" w:hAnsiTheme="majorHAnsi" w:cs="Arial"/>
                                <w:b/>
                                <w:color w:val="0D0D0D" w:themeColor="text1" w:themeTint="F2"/>
                                <w:sz w:val="36"/>
                                <w:szCs w:val="22"/>
                                <w:lang w:val="es-ES_tradnl"/>
                              </w:rPr>
                              <w:t>1323</w:t>
                            </w:r>
                            <w:r w:rsidR="00246D1F" w:rsidRPr="004E2649">
                              <w:rPr>
                                <w:rFonts w:asciiTheme="majorHAnsi" w:hAnsiTheme="majorHAnsi" w:cs="Arial"/>
                                <w:b/>
                                <w:color w:val="0D0D0D" w:themeColor="text1" w:themeTint="F2"/>
                                <w:sz w:val="36"/>
                                <w:szCs w:val="22"/>
                                <w:lang w:val="es-ES_tradnl"/>
                              </w:rPr>
                              <w:t>-</w:t>
                            </w:r>
                            <w:r w:rsidR="00E8477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2DC20C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C6D95">
                              <w:rPr>
                                <w:rFonts w:asciiTheme="majorHAnsi" w:hAnsiTheme="majorHAnsi" w:cs="Arial"/>
                                <w:color w:val="0D0D0D" w:themeColor="text1" w:themeTint="F2"/>
                                <w:szCs w:val="22"/>
                                <w:lang w:val="es-ES_tradnl"/>
                              </w:rPr>
                              <w:t>IN</w:t>
                            </w:r>
                            <w:r w:rsidR="008C5751">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1EBA003E" w:rsidR="005B52B0" w:rsidRPr="0010736F" w:rsidRDefault="009634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w:t>
                            </w:r>
                            <w:r w:rsidR="00E84772">
                              <w:rPr>
                                <w:rFonts w:asciiTheme="majorHAnsi" w:hAnsiTheme="majorHAnsi" w:cs="Arial"/>
                                <w:color w:val="0D0D0D" w:themeColor="text1" w:themeTint="F2"/>
                                <w:szCs w:val="22"/>
                                <w:lang w:val="es-ES_tradnl"/>
                              </w:rPr>
                              <w:t xml:space="preserve"> DE LA AUTORIDAD DEL CANAL DE PANAMÁ</w:t>
                            </w:r>
                          </w:p>
                          <w:bookmarkEnd w:id="0"/>
                          <w:p w14:paraId="35068D0D" w14:textId="46453045" w:rsidR="005B52B0" w:rsidRPr="0010736F" w:rsidRDefault="00E847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3A10C55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76072C">
                        <w:rPr>
                          <w:rFonts w:asciiTheme="majorHAnsi" w:hAnsiTheme="majorHAnsi" w:cs="Arial"/>
                          <w:b/>
                          <w:bCs/>
                          <w:color w:val="0D0D0D" w:themeColor="text1" w:themeTint="F2"/>
                          <w:sz w:val="36"/>
                          <w:szCs w:val="22"/>
                          <w:lang w:val="es-ES_tradnl"/>
                        </w:rPr>
                        <w:t>3</w:t>
                      </w:r>
                      <w:r w:rsidR="006D1592">
                        <w:rPr>
                          <w:rFonts w:asciiTheme="majorHAnsi" w:hAnsiTheme="majorHAnsi" w:cs="Arial"/>
                          <w:b/>
                          <w:bCs/>
                          <w:color w:val="0D0D0D" w:themeColor="text1" w:themeTint="F2"/>
                          <w:sz w:val="36"/>
                          <w:szCs w:val="22"/>
                          <w:lang w:val="es-ES_tradnl"/>
                        </w:rPr>
                        <w:t>82</w:t>
                      </w:r>
                      <w:r w:rsidR="007B05C4">
                        <w:rPr>
                          <w:rFonts w:asciiTheme="majorHAnsi" w:hAnsiTheme="majorHAnsi" w:cs="Arial"/>
                          <w:b/>
                          <w:bCs/>
                          <w:color w:val="0D0D0D" w:themeColor="text1" w:themeTint="F2"/>
                          <w:sz w:val="36"/>
                          <w:szCs w:val="22"/>
                          <w:lang w:val="es-ES_tradnl"/>
                        </w:rPr>
                        <w:t>/</w:t>
                      </w:r>
                      <w:r w:rsidR="0058191A">
                        <w:rPr>
                          <w:rFonts w:asciiTheme="majorHAnsi" w:hAnsiTheme="majorHAnsi" w:cs="Arial"/>
                          <w:b/>
                          <w:bCs/>
                          <w:color w:val="0D0D0D" w:themeColor="text1" w:themeTint="F2"/>
                          <w:sz w:val="36"/>
                          <w:szCs w:val="22"/>
                          <w:lang w:val="es-ES_tradnl"/>
                        </w:rPr>
                        <w:t>20</w:t>
                      </w:r>
                    </w:p>
                    <w:p w14:paraId="09C54AB3" w14:textId="7C1E5EAF"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84772">
                        <w:rPr>
                          <w:rFonts w:asciiTheme="majorHAnsi" w:hAnsiTheme="majorHAnsi" w:cs="Arial"/>
                          <w:b/>
                          <w:color w:val="0D0D0D" w:themeColor="text1" w:themeTint="F2"/>
                          <w:sz w:val="36"/>
                          <w:szCs w:val="22"/>
                          <w:lang w:val="es-ES_tradnl"/>
                        </w:rPr>
                        <w:t>1323</w:t>
                      </w:r>
                      <w:r w:rsidR="00246D1F" w:rsidRPr="004E2649">
                        <w:rPr>
                          <w:rFonts w:asciiTheme="majorHAnsi" w:hAnsiTheme="majorHAnsi" w:cs="Arial"/>
                          <w:b/>
                          <w:color w:val="0D0D0D" w:themeColor="text1" w:themeTint="F2"/>
                          <w:sz w:val="36"/>
                          <w:szCs w:val="22"/>
                          <w:lang w:val="es-ES_tradnl"/>
                        </w:rPr>
                        <w:t>-</w:t>
                      </w:r>
                      <w:r w:rsidR="00E84772">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70CF6833" w14:textId="2DC20C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4C6D95">
                        <w:rPr>
                          <w:rFonts w:asciiTheme="majorHAnsi" w:hAnsiTheme="majorHAnsi" w:cs="Arial"/>
                          <w:color w:val="0D0D0D" w:themeColor="text1" w:themeTint="F2"/>
                          <w:szCs w:val="22"/>
                          <w:lang w:val="es-ES_tradnl"/>
                        </w:rPr>
                        <w:t>IN</w:t>
                      </w:r>
                      <w:r w:rsidR="008C5751">
                        <w:rPr>
                          <w:rFonts w:asciiTheme="majorHAnsi" w:hAnsiTheme="majorHAnsi" w:cs="Arial"/>
                          <w:color w:val="0D0D0D" w:themeColor="text1" w:themeTint="F2"/>
                          <w:szCs w:val="22"/>
                          <w:lang w:val="es-ES_tradnl"/>
                        </w:rPr>
                        <w:t>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EBA003E" w:rsidR="005B52B0" w:rsidRPr="0010736F" w:rsidRDefault="0096344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TRABAJADORES</w:t>
                      </w:r>
                      <w:r w:rsidR="00E84772">
                        <w:rPr>
                          <w:rFonts w:asciiTheme="majorHAnsi" w:hAnsiTheme="majorHAnsi" w:cs="Arial"/>
                          <w:color w:val="0D0D0D" w:themeColor="text1" w:themeTint="F2"/>
                          <w:szCs w:val="22"/>
                          <w:lang w:val="es-ES_tradnl"/>
                        </w:rPr>
                        <w:t xml:space="preserve"> DE LA AUTORIDAD DEL CANAL DE PANAMÁ</w:t>
                      </w:r>
                    </w:p>
                    <w:bookmarkEnd w:id="1"/>
                    <w:p w14:paraId="35068D0D" w14:textId="46453045" w:rsidR="005B52B0" w:rsidRPr="0010736F" w:rsidRDefault="00E8477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PANAMÁ</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228BC" w14:textId="77777777" w:rsidR="0076072C" w:rsidRPr="00BD261A" w:rsidRDefault="0076072C" w:rsidP="0076072C">
                            <w:pPr>
                              <w:spacing w:line="276" w:lineRule="auto"/>
                              <w:jc w:val="right"/>
                              <w:rPr>
                                <w:rFonts w:asciiTheme="minorHAnsi" w:hAnsiTheme="minorHAnsi"/>
                                <w:color w:val="FFFFFF" w:themeColor="background1"/>
                                <w:sz w:val="22"/>
                                <w:lang w:val="pt-BR"/>
                              </w:rPr>
                            </w:pPr>
                            <w:r w:rsidRPr="00BD261A">
                              <w:rPr>
                                <w:rFonts w:asciiTheme="minorHAnsi" w:hAnsiTheme="minorHAnsi"/>
                                <w:color w:val="FFFFFF" w:themeColor="background1"/>
                                <w:sz w:val="22"/>
                                <w:lang w:val="pt-BR"/>
                              </w:rPr>
                              <w:t>OEA/Ser.L/V/II.</w:t>
                            </w:r>
                          </w:p>
                          <w:p w14:paraId="3FB1A165" w14:textId="77777777" w:rsidR="0076072C" w:rsidRPr="00BD261A" w:rsidRDefault="0076072C" w:rsidP="0076072C">
                            <w:pPr>
                              <w:spacing w:line="276" w:lineRule="auto"/>
                              <w:jc w:val="right"/>
                              <w:rPr>
                                <w:rFonts w:asciiTheme="minorHAnsi" w:hAnsiTheme="minorHAnsi"/>
                                <w:color w:val="FFFFFF" w:themeColor="background1"/>
                                <w:sz w:val="22"/>
                                <w:lang w:val="pt-BR"/>
                              </w:rPr>
                            </w:pPr>
                            <w:r w:rsidRPr="00BD261A">
                              <w:rPr>
                                <w:rFonts w:asciiTheme="minorHAnsi" w:hAnsiTheme="minorHAnsi"/>
                                <w:color w:val="FFFFFF" w:themeColor="background1"/>
                                <w:sz w:val="22"/>
                                <w:lang w:val="pt-BR"/>
                              </w:rPr>
                              <w:t>Doc</w:t>
                            </w:r>
                            <w:r>
                              <w:rPr>
                                <w:rFonts w:asciiTheme="minorHAnsi" w:hAnsiTheme="minorHAnsi"/>
                                <w:color w:val="FFFFFF" w:themeColor="background1"/>
                                <w:sz w:val="22"/>
                                <w:lang w:val="pt-BR"/>
                              </w:rPr>
                              <w:t>. 399</w:t>
                            </w:r>
                          </w:p>
                          <w:p w14:paraId="1C896527" w14:textId="77777777" w:rsidR="0076072C" w:rsidRPr="00556222" w:rsidRDefault="0076072C" w:rsidP="0076072C">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12 diciembre</w:t>
                            </w:r>
                            <w:r w:rsidRPr="00556222">
                              <w:rPr>
                                <w:rFonts w:asciiTheme="minorHAnsi" w:hAnsiTheme="minorHAnsi"/>
                                <w:color w:val="FFFFFF" w:themeColor="background1"/>
                                <w:sz w:val="22"/>
                                <w:lang w:val="es-419"/>
                              </w:rPr>
                              <w:t xml:space="preserve"> 2020</w:t>
                            </w:r>
                          </w:p>
                          <w:p w14:paraId="5DFA4B41" w14:textId="77777777" w:rsidR="0076072C" w:rsidRPr="00556222" w:rsidRDefault="0076072C" w:rsidP="0076072C">
                            <w:pPr>
                              <w:spacing w:line="276" w:lineRule="auto"/>
                              <w:jc w:val="right"/>
                              <w:rPr>
                                <w:rFonts w:asciiTheme="minorHAnsi" w:hAnsiTheme="minorHAnsi"/>
                                <w:color w:val="FFFFFF" w:themeColor="background1"/>
                                <w:sz w:val="22"/>
                                <w:lang w:val="es-419"/>
                              </w:rPr>
                            </w:pPr>
                            <w:r w:rsidRPr="00556222">
                              <w:rPr>
                                <w:rFonts w:asciiTheme="minorHAnsi" w:hAnsiTheme="minorHAnsi"/>
                                <w:color w:val="FFFFFF" w:themeColor="background1"/>
                                <w:sz w:val="22"/>
                                <w:lang w:val="es-419"/>
                              </w:rPr>
                              <w:t>Original: español</w:t>
                            </w:r>
                          </w:p>
                          <w:p w14:paraId="6625DE65" w14:textId="77777777" w:rsidR="0076072C" w:rsidRPr="00556222" w:rsidRDefault="0076072C" w:rsidP="0076072C">
                            <w:pPr>
                              <w:spacing w:line="276" w:lineRule="auto"/>
                              <w:jc w:val="right"/>
                              <w:rPr>
                                <w:rFonts w:asciiTheme="minorHAnsi" w:hAnsiTheme="minorHAnsi"/>
                                <w:color w:val="FFFFFF" w:themeColor="background1"/>
                                <w:sz w:val="22"/>
                                <w:lang w:val="es-419"/>
                              </w:rPr>
                            </w:pPr>
                          </w:p>
                          <w:p w14:paraId="0771DB5B" w14:textId="2B6BA7D4" w:rsidR="00627C9F" w:rsidRPr="00556222" w:rsidRDefault="00627C9F" w:rsidP="007A5817">
                            <w:pPr>
                              <w:spacing w:line="276" w:lineRule="auto"/>
                              <w:jc w:val="right"/>
                              <w:rPr>
                                <w:rFonts w:asciiTheme="minorHAnsi" w:hAnsiTheme="minorHAnsi"/>
                                <w:color w:val="FFFFFF" w:themeColor="background1"/>
                                <w:sz w:val="22"/>
                                <w:lang w:val="es-4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5C1228BC" w14:textId="77777777" w:rsidR="0076072C" w:rsidRPr="00BD261A" w:rsidRDefault="0076072C" w:rsidP="0076072C">
                      <w:pPr>
                        <w:spacing w:line="276" w:lineRule="auto"/>
                        <w:jc w:val="right"/>
                        <w:rPr>
                          <w:rFonts w:asciiTheme="minorHAnsi" w:hAnsiTheme="minorHAnsi"/>
                          <w:color w:val="FFFFFF" w:themeColor="background1"/>
                          <w:sz w:val="22"/>
                          <w:lang w:val="pt-BR"/>
                        </w:rPr>
                      </w:pPr>
                      <w:r w:rsidRPr="00BD261A">
                        <w:rPr>
                          <w:rFonts w:asciiTheme="minorHAnsi" w:hAnsiTheme="minorHAnsi"/>
                          <w:color w:val="FFFFFF" w:themeColor="background1"/>
                          <w:sz w:val="22"/>
                          <w:lang w:val="pt-BR"/>
                        </w:rPr>
                        <w:t>OEA/Ser.L/V/II.</w:t>
                      </w:r>
                    </w:p>
                    <w:p w14:paraId="3FB1A165" w14:textId="77777777" w:rsidR="0076072C" w:rsidRPr="00BD261A" w:rsidRDefault="0076072C" w:rsidP="0076072C">
                      <w:pPr>
                        <w:spacing w:line="276" w:lineRule="auto"/>
                        <w:jc w:val="right"/>
                        <w:rPr>
                          <w:rFonts w:asciiTheme="minorHAnsi" w:hAnsiTheme="minorHAnsi"/>
                          <w:color w:val="FFFFFF" w:themeColor="background1"/>
                          <w:sz w:val="22"/>
                          <w:lang w:val="pt-BR"/>
                        </w:rPr>
                      </w:pPr>
                      <w:r w:rsidRPr="00BD261A">
                        <w:rPr>
                          <w:rFonts w:asciiTheme="minorHAnsi" w:hAnsiTheme="minorHAnsi"/>
                          <w:color w:val="FFFFFF" w:themeColor="background1"/>
                          <w:sz w:val="22"/>
                          <w:lang w:val="pt-BR"/>
                        </w:rPr>
                        <w:t>Doc</w:t>
                      </w:r>
                      <w:r>
                        <w:rPr>
                          <w:rFonts w:asciiTheme="minorHAnsi" w:hAnsiTheme="minorHAnsi"/>
                          <w:color w:val="FFFFFF" w:themeColor="background1"/>
                          <w:sz w:val="22"/>
                          <w:lang w:val="pt-BR"/>
                        </w:rPr>
                        <w:t>. 399</w:t>
                      </w:r>
                    </w:p>
                    <w:p w14:paraId="1C896527" w14:textId="77777777" w:rsidR="0076072C" w:rsidRPr="00556222" w:rsidRDefault="0076072C" w:rsidP="0076072C">
                      <w:pPr>
                        <w:spacing w:line="276" w:lineRule="auto"/>
                        <w:jc w:val="right"/>
                        <w:rPr>
                          <w:rFonts w:asciiTheme="minorHAnsi" w:hAnsiTheme="minorHAnsi"/>
                          <w:color w:val="FFFFFF" w:themeColor="background1"/>
                          <w:sz w:val="22"/>
                          <w:lang w:val="es-419"/>
                        </w:rPr>
                      </w:pPr>
                      <w:r>
                        <w:rPr>
                          <w:rFonts w:asciiTheme="minorHAnsi" w:hAnsiTheme="minorHAnsi"/>
                          <w:color w:val="FFFFFF" w:themeColor="background1"/>
                          <w:sz w:val="22"/>
                          <w:lang w:val="es-419"/>
                        </w:rPr>
                        <w:t>12 diciembre</w:t>
                      </w:r>
                      <w:r w:rsidRPr="00556222">
                        <w:rPr>
                          <w:rFonts w:asciiTheme="minorHAnsi" w:hAnsiTheme="minorHAnsi"/>
                          <w:color w:val="FFFFFF" w:themeColor="background1"/>
                          <w:sz w:val="22"/>
                          <w:lang w:val="es-419"/>
                        </w:rPr>
                        <w:t xml:space="preserve"> 2020</w:t>
                      </w:r>
                    </w:p>
                    <w:p w14:paraId="5DFA4B41" w14:textId="77777777" w:rsidR="0076072C" w:rsidRPr="00556222" w:rsidRDefault="0076072C" w:rsidP="0076072C">
                      <w:pPr>
                        <w:spacing w:line="276" w:lineRule="auto"/>
                        <w:jc w:val="right"/>
                        <w:rPr>
                          <w:rFonts w:asciiTheme="minorHAnsi" w:hAnsiTheme="minorHAnsi"/>
                          <w:color w:val="FFFFFF" w:themeColor="background1"/>
                          <w:sz w:val="22"/>
                          <w:lang w:val="es-419"/>
                        </w:rPr>
                      </w:pPr>
                      <w:r w:rsidRPr="00556222">
                        <w:rPr>
                          <w:rFonts w:asciiTheme="minorHAnsi" w:hAnsiTheme="minorHAnsi"/>
                          <w:color w:val="FFFFFF" w:themeColor="background1"/>
                          <w:sz w:val="22"/>
                          <w:lang w:val="es-419"/>
                        </w:rPr>
                        <w:t>Original: español</w:t>
                      </w:r>
                    </w:p>
                    <w:p w14:paraId="6625DE65" w14:textId="77777777" w:rsidR="0076072C" w:rsidRPr="00556222" w:rsidRDefault="0076072C" w:rsidP="0076072C">
                      <w:pPr>
                        <w:spacing w:line="276" w:lineRule="auto"/>
                        <w:jc w:val="right"/>
                        <w:rPr>
                          <w:rFonts w:asciiTheme="minorHAnsi" w:hAnsiTheme="minorHAnsi"/>
                          <w:color w:val="FFFFFF" w:themeColor="background1"/>
                          <w:sz w:val="22"/>
                          <w:lang w:val="es-419"/>
                        </w:rPr>
                      </w:pPr>
                    </w:p>
                    <w:p w14:paraId="0771DB5B" w14:textId="2B6BA7D4" w:rsidR="00627C9F" w:rsidRPr="00556222" w:rsidRDefault="00627C9F" w:rsidP="007A5817">
                      <w:pPr>
                        <w:spacing w:line="276" w:lineRule="auto"/>
                        <w:jc w:val="right"/>
                        <w:rPr>
                          <w:rFonts w:asciiTheme="minorHAnsi" w:hAnsiTheme="minorHAnsi"/>
                          <w:color w:val="FFFFFF" w:themeColor="background1"/>
                          <w:sz w:val="22"/>
                          <w:lang w:val="es-419"/>
                        </w:rPr>
                      </w:pP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1A9D1" w14:textId="77777777" w:rsidR="0076072C" w:rsidRPr="00890650" w:rsidRDefault="0076072C" w:rsidP="0076072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38FC94A9" w14:textId="77777777" w:rsidR="0076072C" w:rsidRPr="007A5817" w:rsidRDefault="0076072C" w:rsidP="0076072C">
                            <w:pPr>
                              <w:tabs>
                                <w:tab w:val="center" w:pos="5400"/>
                              </w:tabs>
                              <w:suppressAutoHyphens/>
                              <w:spacing w:before="60"/>
                              <w:rPr>
                                <w:rFonts w:asciiTheme="minorHAnsi" w:hAnsiTheme="minorHAnsi" w:cs="Univers"/>
                                <w:color w:val="0D0D0D" w:themeColor="text1" w:themeTint="F2"/>
                                <w:sz w:val="20"/>
                                <w:szCs w:val="20"/>
                                <w:lang w:val="es-ES"/>
                              </w:rPr>
                            </w:pPr>
                          </w:p>
                          <w:p w14:paraId="4CDFFA26" w14:textId="77777777" w:rsidR="0076072C" w:rsidRPr="00167A34" w:rsidRDefault="0076072C" w:rsidP="0076072C">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34A1A9D1" w14:textId="77777777" w:rsidR="0076072C" w:rsidRPr="00890650" w:rsidRDefault="0076072C" w:rsidP="0076072C">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 xml:space="preserve">diciembre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p>
                    <w:p w14:paraId="38FC94A9" w14:textId="77777777" w:rsidR="0076072C" w:rsidRPr="007A5817" w:rsidRDefault="0076072C" w:rsidP="0076072C">
                      <w:pPr>
                        <w:tabs>
                          <w:tab w:val="center" w:pos="5400"/>
                        </w:tabs>
                        <w:suppressAutoHyphens/>
                        <w:spacing w:before="60"/>
                        <w:rPr>
                          <w:rFonts w:asciiTheme="minorHAnsi" w:hAnsiTheme="minorHAnsi" w:cs="Univers"/>
                          <w:color w:val="0D0D0D" w:themeColor="text1" w:themeTint="F2"/>
                          <w:sz w:val="20"/>
                          <w:szCs w:val="20"/>
                          <w:lang w:val="es-ES"/>
                        </w:rPr>
                      </w:pPr>
                    </w:p>
                    <w:p w14:paraId="4CDFFA26" w14:textId="77777777" w:rsidR="0076072C" w:rsidRPr="00167A34" w:rsidRDefault="0076072C" w:rsidP="0076072C">
                      <w:pPr>
                        <w:tabs>
                          <w:tab w:val="center" w:pos="5400"/>
                        </w:tabs>
                        <w:suppressAutoHyphens/>
                        <w:spacing w:before="60"/>
                        <w:rPr>
                          <w:rFonts w:ascii="Calibri" w:hAnsi="Calibri"/>
                          <w:color w:val="FFFFFF" w:themeColor="background1"/>
                          <w:spacing w:val="-2"/>
                          <w:sz w:val="16"/>
                          <w:lang w:val="es-ES"/>
                        </w:rPr>
                      </w:pP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CCF352" w14:textId="01969C4E" w:rsidR="0076072C" w:rsidRPr="007B05C4" w:rsidRDefault="0076072C" w:rsidP="0076072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w:t>
                            </w:r>
                            <w:r w:rsidR="006D1592">
                              <w:rPr>
                                <w:rFonts w:asciiTheme="majorHAnsi" w:hAnsiTheme="majorHAnsi"/>
                                <w:color w:val="595959" w:themeColor="text1" w:themeTint="A6"/>
                                <w:sz w:val="18"/>
                                <w:szCs w:val="18"/>
                                <w:lang w:val="pt-BR"/>
                              </w:rPr>
                              <w:t>82</w:t>
                            </w:r>
                            <w:r>
                              <w:rPr>
                                <w:rFonts w:asciiTheme="majorHAnsi" w:hAnsiTheme="majorHAnsi"/>
                                <w:color w:val="595959" w:themeColor="text1" w:themeTint="A6"/>
                                <w:sz w:val="18"/>
                                <w:szCs w:val="18"/>
                                <w:lang w:val="pt-BR"/>
                              </w:rPr>
                              <w:t>/</w:t>
                            </w:r>
                            <w:r w:rsidRPr="00D668CC">
                              <w:rPr>
                                <w:rFonts w:asciiTheme="majorHAnsi" w:hAnsiTheme="majorHAnsi"/>
                                <w:color w:val="595959" w:themeColor="text1" w:themeTint="A6"/>
                                <w:sz w:val="18"/>
                                <w:szCs w:val="18"/>
                                <w:lang w:val="pt-BR"/>
                              </w:rPr>
                              <w:t>20.</w:t>
                            </w:r>
                            <w:r>
                              <w:rPr>
                                <w:rFonts w:asciiTheme="majorHAnsi" w:hAnsiTheme="majorHAnsi"/>
                                <w:color w:val="595959" w:themeColor="text1" w:themeTint="A6"/>
                                <w:sz w:val="18"/>
                                <w:szCs w:val="18"/>
                                <w:lang w:val="pt-BR"/>
                              </w:rPr>
                              <w:t xml:space="preserve"> </w:t>
                            </w:r>
                            <w:r w:rsidRPr="00627194">
                              <w:rPr>
                                <w:rFonts w:asciiTheme="majorHAnsi" w:hAnsiTheme="majorHAnsi"/>
                                <w:color w:val="595959" w:themeColor="text1" w:themeTint="A6"/>
                                <w:sz w:val="18"/>
                                <w:szCs w:val="18"/>
                                <w:lang w:val="es-419"/>
                              </w:rPr>
                              <w:t xml:space="preserve">Petición 1323-09. </w:t>
                            </w:r>
                            <w:r>
                              <w:rPr>
                                <w:rFonts w:asciiTheme="majorHAnsi" w:hAnsiTheme="majorHAnsi"/>
                                <w:color w:val="595959" w:themeColor="text1" w:themeTint="A6"/>
                                <w:sz w:val="18"/>
                                <w:szCs w:val="18"/>
                                <w:lang w:val="es-ES_tradnl"/>
                              </w:rPr>
                              <w:t>I</w:t>
                            </w:r>
                            <w:r w:rsidRPr="00890650">
                              <w:rPr>
                                <w:rFonts w:asciiTheme="majorHAnsi" w:hAnsiTheme="majorHAnsi"/>
                                <w:color w:val="595959" w:themeColor="text1" w:themeTint="A6"/>
                                <w:sz w:val="18"/>
                                <w:szCs w:val="18"/>
                                <w:lang w:val="es-ES_tradnl"/>
                              </w:rPr>
                              <w:t xml:space="preserve">nadmisibilidad. </w:t>
                            </w:r>
                            <w:r>
                              <w:rPr>
                                <w:rFonts w:asciiTheme="majorHAnsi" w:hAnsiTheme="majorHAnsi"/>
                                <w:color w:val="595959" w:themeColor="text1" w:themeTint="A6"/>
                                <w:sz w:val="18"/>
                                <w:szCs w:val="18"/>
                                <w:lang w:val="es-ES_tradnl"/>
                              </w:rPr>
                              <w:t>Empleados de la Autoridad del Canal de Panamá</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12 de diciembre de 2020</w:t>
                            </w:r>
                            <w:r w:rsidRPr="007B05C4">
                              <w:rPr>
                                <w:rFonts w:asciiTheme="majorHAnsi" w:hAnsiTheme="majorHAnsi"/>
                                <w:color w:val="595959" w:themeColor="text1" w:themeTint="A6"/>
                                <w:sz w:val="18"/>
                                <w:szCs w:val="18"/>
                                <w:lang w:val="es-ES"/>
                              </w:rPr>
                              <w:t>.</w:t>
                            </w:r>
                          </w:p>
                          <w:p w14:paraId="539F7724" w14:textId="77777777" w:rsidR="0076072C" w:rsidRPr="007B05C4" w:rsidRDefault="0076072C" w:rsidP="0076072C">
                            <w:pPr>
                              <w:spacing w:line="276" w:lineRule="auto"/>
                              <w:rPr>
                                <w:rFonts w:asciiTheme="majorHAnsi" w:hAnsiTheme="majorHAnsi"/>
                                <w:color w:val="595959" w:themeColor="text1" w:themeTint="A6"/>
                                <w:sz w:val="18"/>
                                <w:szCs w:val="18"/>
                                <w:lang w:val="es-ES"/>
                              </w:rPr>
                            </w:pPr>
                          </w:p>
                          <w:p w14:paraId="0D1B22CF" w14:textId="582A535D"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6ACCF352" w14:textId="01969C4E" w:rsidR="0076072C" w:rsidRPr="007B05C4" w:rsidRDefault="0076072C" w:rsidP="0076072C">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w:t>
                      </w:r>
                      <w:r w:rsidR="006D1592">
                        <w:rPr>
                          <w:rFonts w:asciiTheme="majorHAnsi" w:hAnsiTheme="majorHAnsi"/>
                          <w:color w:val="595959" w:themeColor="text1" w:themeTint="A6"/>
                          <w:sz w:val="18"/>
                          <w:szCs w:val="18"/>
                          <w:lang w:val="pt-BR"/>
                        </w:rPr>
                        <w:t>82</w:t>
                      </w:r>
                      <w:r>
                        <w:rPr>
                          <w:rFonts w:asciiTheme="majorHAnsi" w:hAnsiTheme="majorHAnsi"/>
                          <w:color w:val="595959" w:themeColor="text1" w:themeTint="A6"/>
                          <w:sz w:val="18"/>
                          <w:szCs w:val="18"/>
                          <w:lang w:val="pt-BR"/>
                        </w:rPr>
                        <w:t>/</w:t>
                      </w:r>
                      <w:r w:rsidRPr="00D668CC">
                        <w:rPr>
                          <w:rFonts w:asciiTheme="majorHAnsi" w:hAnsiTheme="majorHAnsi"/>
                          <w:color w:val="595959" w:themeColor="text1" w:themeTint="A6"/>
                          <w:sz w:val="18"/>
                          <w:szCs w:val="18"/>
                          <w:lang w:val="pt-BR"/>
                        </w:rPr>
                        <w:t>20.</w:t>
                      </w:r>
                      <w:r>
                        <w:rPr>
                          <w:rFonts w:asciiTheme="majorHAnsi" w:hAnsiTheme="majorHAnsi"/>
                          <w:color w:val="595959" w:themeColor="text1" w:themeTint="A6"/>
                          <w:sz w:val="18"/>
                          <w:szCs w:val="18"/>
                          <w:lang w:val="pt-BR"/>
                        </w:rPr>
                        <w:t xml:space="preserve"> </w:t>
                      </w:r>
                      <w:r w:rsidRPr="00627194">
                        <w:rPr>
                          <w:rFonts w:asciiTheme="majorHAnsi" w:hAnsiTheme="majorHAnsi"/>
                          <w:color w:val="595959" w:themeColor="text1" w:themeTint="A6"/>
                          <w:sz w:val="18"/>
                          <w:szCs w:val="18"/>
                          <w:lang w:val="es-419"/>
                        </w:rPr>
                        <w:t xml:space="preserve">Petición 1323-09. </w:t>
                      </w:r>
                      <w:r>
                        <w:rPr>
                          <w:rFonts w:asciiTheme="majorHAnsi" w:hAnsiTheme="majorHAnsi"/>
                          <w:color w:val="595959" w:themeColor="text1" w:themeTint="A6"/>
                          <w:sz w:val="18"/>
                          <w:szCs w:val="18"/>
                          <w:lang w:val="es-ES_tradnl"/>
                        </w:rPr>
                        <w:t>I</w:t>
                      </w:r>
                      <w:r w:rsidRPr="00890650">
                        <w:rPr>
                          <w:rFonts w:asciiTheme="majorHAnsi" w:hAnsiTheme="majorHAnsi"/>
                          <w:color w:val="595959" w:themeColor="text1" w:themeTint="A6"/>
                          <w:sz w:val="18"/>
                          <w:szCs w:val="18"/>
                          <w:lang w:val="es-ES_tradnl"/>
                        </w:rPr>
                        <w:t xml:space="preserve">nadmisibilidad. </w:t>
                      </w:r>
                      <w:r>
                        <w:rPr>
                          <w:rFonts w:asciiTheme="majorHAnsi" w:hAnsiTheme="majorHAnsi"/>
                          <w:color w:val="595959" w:themeColor="text1" w:themeTint="A6"/>
                          <w:sz w:val="18"/>
                          <w:szCs w:val="18"/>
                          <w:lang w:val="es-ES_tradnl"/>
                        </w:rPr>
                        <w:t>Empleados de la Autoridad del Canal de Panamá</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Panamá</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12 de diciembre de 2020</w:t>
                      </w:r>
                      <w:r w:rsidRPr="007B05C4">
                        <w:rPr>
                          <w:rFonts w:asciiTheme="majorHAnsi" w:hAnsiTheme="majorHAnsi"/>
                          <w:color w:val="595959" w:themeColor="text1" w:themeTint="A6"/>
                          <w:sz w:val="18"/>
                          <w:szCs w:val="18"/>
                          <w:lang w:val="es-ES"/>
                        </w:rPr>
                        <w:t>.</w:t>
                      </w:r>
                    </w:p>
                    <w:p w14:paraId="539F7724" w14:textId="77777777" w:rsidR="0076072C" w:rsidRPr="007B05C4" w:rsidRDefault="0076072C" w:rsidP="0076072C">
                      <w:pPr>
                        <w:spacing w:line="276" w:lineRule="auto"/>
                        <w:rPr>
                          <w:rFonts w:asciiTheme="majorHAnsi" w:hAnsiTheme="majorHAnsi"/>
                          <w:color w:val="595959" w:themeColor="text1" w:themeTint="A6"/>
                          <w:sz w:val="18"/>
                          <w:szCs w:val="18"/>
                          <w:lang w:val="es-ES"/>
                        </w:rPr>
                      </w:pPr>
                    </w:p>
                    <w:p w14:paraId="0D1B22CF" w14:textId="582A535D"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118EDAEF"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631E7B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3071BB79" w:rsidR="0070697F" w:rsidRPr="00006B74" w:rsidRDefault="0076072C" w:rsidP="005516A1">
      <w:pPr>
        <w:tabs>
          <w:tab w:val="center" w:pos="5400"/>
        </w:tabs>
        <w:suppressAutoHyphens/>
        <w:jc w:val="center"/>
        <w:rPr>
          <w:rFonts w:asciiTheme="majorHAnsi" w:hAnsiTheme="majorHAnsi"/>
          <w:b/>
          <w:sz w:val="20"/>
          <w:lang w:val="es-ES"/>
        </w:rPr>
        <w:sectPr w:rsidR="0070697F" w:rsidRPr="00006B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0C01339D">
                <wp:simplePos x="0" y="0"/>
                <wp:positionH relativeFrom="column">
                  <wp:posOffset>1329690</wp:posOffset>
                </wp:positionH>
                <wp:positionV relativeFrom="paragraph">
                  <wp:posOffset>575673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02990037" w:rsidR="00D72DC6" w:rsidRPr="00D72DC6" w:rsidRDefault="0076072C" w:rsidP="00F02AD1">
                            <w:pPr>
                              <w:rPr>
                                <w:color w:val="FFFFFF" w:themeColor="background1"/>
                                <w14:textFill>
                                  <w14:noFill/>
                                </w14:textFill>
                              </w:rPr>
                            </w:pPr>
                            <w:r>
                              <w:rPr>
                                <w:noProof/>
                                <w:color w:val="FFFFFF" w:themeColor="background1"/>
                              </w:rPr>
                              <w:drawing>
                                <wp:inline distT="0" distB="0" distL="0" distR="0" wp14:anchorId="42A9E2FF" wp14:editId="0A76202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5.3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" fillcolor="white [3201]" stroked="f" strokeweight=".5pt">
                <v:textbox>
                  <w:txbxContent>
                    <w:p w14:paraId="2A1ECD3C" w14:textId="02990037" w:rsidR="00D72DC6" w:rsidRPr="00D72DC6" w:rsidRDefault="0076072C" w:rsidP="00F02AD1">
                      <w:pPr>
                        <w:rPr>
                          <w:color w:val="FFFFFF" w:themeColor="background1"/>
                          <w14:textFill>
                            <w14:noFill/>
                          </w14:textFill>
                        </w:rPr>
                      </w:pPr>
                      <w:r>
                        <w:rPr>
                          <w:noProof/>
                          <w:color w:val="FFFFFF" w:themeColor="background1"/>
                        </w:rPr>
                        <w:drawing>
                          <wp:inline distT="0" distB="0" distL="0" distR="0" wp14:anchorId="42A9E2FF" wp14:editId="0A762024">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2B21A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2734943C" w:rsidR="003239B8" w:rsidRPr="002B21AD" w:rsidRDefault="002B21AD" w:rsidP="00853A49">
            <w:pPr>
              <w:jc w:val="both"/>
              <w:rPr>
                <w:rFonts w:ascii="Cambria" w:hAnsi="Cambria"/>
                <w:bCs/>
                <w:sz w:val="19"/>
                <w:szCs w:val="19"/>
                <w:lang w:val="es-ES"/>
              </w:rPr>
            </w:pPr>
            <w:proofErr w:type="spellStart"/>
            <w:r w:rsidRPr="002B21AD">
              <w:rPr>
                <w:rFonts w:ascii="Cambria" w:hAnsi="Cambria"/>
                <w:sz w:val="19"/>
                <w:szCs w:val="19"/>
                <w:lang w:val="es-ES"/>
              </w:rPr>
              <w:t>Panama</w:t>
            </w:r>
            <w:proofErr w:type="spellEnd"/>
            <w:r w:rsidRPr="002B21AD">
              <w:rPr>
                <w:rFonts w:ascii="Cambria" w:hAnsi="Cambria"/>
                <w:sz w:val="19"/>
                <w:szCs w:val="19"/>
                <w:lang w:val="es-ES"/>
              </w:rPr>
              <w:t xml:space="preserve"> </w:t>
            </w:r>
            <w:proofErr w:type="spellStart"/>
            <w:r w:rsidRPr="002B21AD">
              <w:rPr>
                <w:rFonts w:ascii="Cambria" w:hAnsi="Cambria"/>
                <w:sz w:val="19"/>
                <w:szCs w:val="19"/>
                <w:lang w:val="es-ES"/>
              </w:rPr>
              <w:t>Area</w:t>
            </w:r>
            <w:proofErr w:type="spellEnd"/>
            <w:r w:rsidRPr="002B21AD">
              <w:rPr>
                <w:rFonts w:ascii="Cambria" w:hAnsi="Cambria"/>
                <w:sz w:val="19"/>
                <w:szCs w:val="19"/>
                <w:lang w:val="es-ES"/>
              </w:rPr>
              <w:t xml:space="preserve"> Metal </w:t>
            </w:r>
            <w:proofErr w:type="spellStart"/>
            <w:r w:rsidRPr="002B21AD">
              <w:rPr>
                <w:rFonts w:ascii="Cambria" w:hAnsi="Cambria"/>
                <w:sz w:val="19"/>
                <w:szCs w:val="19"/>
                <w:lang w:val="es-ES"/>
              </w:rPr>
              <w:t>Trades</w:t>
            </w:r>
            <w:proofErr w:type="spellEnd"/>
            <w:r w:rsidRPr="002B21AD">
              <w:rPr>
                <w:rFonts w:ascii="Cambria" w:hAnsi="Cambria"/>
                <w:sz w:val="19"/>
                <w:szCs w:val="19"/>
                <w:lang w:val="es-ES"/>
              </w:rPr>
              <w:t xml:space="preserve"> Council </w:t>
            </w:r>
            <w:r w:rsidR="00EB7210" w:rsidRPr="002B21AD">
              <w:rPr>
                <w:rFonts w:ascii="Cambria" w:hAnsi="Cambria"/>
                <w:bCs/>
                <w:sz w:val="19"/>
                <w:szCs w:val="19"/>
                <w:lang w:val="es-419"/>
              </w:rPr>
              <w:t>B </w:t>
            </w:r>
            <w:r w:rsidR="00853A49" w:rsidRPr="002B21AD">
              <w:rPr>
                <w:rStyle w:val="FootnoteReference"/>
                <w:rFonts w:ascii="Cambria" w:hAnsi="Cambria"/>
                <w:bCs/>
                <w:sz w:val="19"/>
                <w:szCs w:val="19"/>
                <w:lang w:val="es-ES"/>
              </w:rPr>
              <w:footnoteReference w:id="2"/>
            </w:r>
          </w:p>
        </w:tc>
      </w:tr>
      <w:tr w:rsidR="003239B8" w:rsidRPr="00E17F4C"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FC7EB2" w:rsidRDefault="006E2D33"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FC7EB2">
                  <w:rPr>
                    <w:rFonts w:ascii="Cambria" w:hAnsi="Cambria"/>
                    <w:bCs/>
                    <w:color w:val="FFFFFF" w:themeColor="background1"/>
                    <w:sz w:val="19"/>
                    <w:szCs w:val="19"/>
                    <w:lang w:val="es-ES"/>
                  </w:rPr>
                  <w:t>Presunta víctima</w:t>
                </w:r>
              </w:sdtContent>
            </w:sdt>
          </w:p>
        </w:tc>
        <w:tc>
          <w:tcPr>
            <w:tcW w:w="6570" w:type="dxa"/>
            <w:vAlign w:val="center"/>
          </w:tcPr>
          <w:p w14:paraId="4AEBF59E" w14:textId="1CA69212" w:rsidR="003239B8" w:rsidRPr="002B21AD" w:rsidRDefault="00CB3F9B" w:rsidP="00853A49">
            <w:pPr>
              <w:jc w:val="both"/>
              <w:rPr>
                <w:rFonts w:ascii="Cambria" w:hAnsi="Cambria"/>
                <w:bCs/>
                <w:sz w:val="19"/>
                <w:szCs w:val="19"/>
                <w:lang w:val="es-ES"/>
              </w:rPr>
            </w:pPr>
            <w:r w:rsidRPr="002B21AD">
              <w:rPr>
                <w:rFonts w:ascii="Cambria" w:hAnsi="Cambria"/>
                <w:bCs/>
                <w:sz w:val="19"/>
                <w:szCs w:val="19"/>
                <w:lang w:val="es-ES"/>
              </w:rPr>
              <w:t>Empleados del Canal de Panamá</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FC7EB2" w:rsidRDefault="00D77503" w:rsidP="008D2290">
            <w:pPr>
              <w:jc w:val="center"/>
              <w:rPr>
                <w:rFonts w:ascii="Cambria" w:hAnsi="Cambria"/>
                <w:bCs/>
                <w:color w:val="FFFFFF" w:themeColor="background1"/>
                <w:sz w:val="19"/>
                <w:szCs w:val="19"/>
                <w:lang w:val="es-ES"/>
              </w:rPr>
            </w:pPr>
            <w:r w:rsidRPr="00FC7EB2">
              <w:rPr>
                <w:rFonts w:ascii="Cambria" w:hAnsi="Cambria"/>
                <w:bCs/>
                <w:color w:val="FFFFFF" w:themeColor="background1"/>
                <w:sz w:val="19"/>
                <w:szCs w:val="19"/>
                <w:lang w:val="es-ES"/>
              </w:rPr>
              <w:t>Estado denunciado</w:t>
            </w:r>
          </w:p>
        </w:tc>
        <w:tc>
          <w:tcPr>
            <w:tcW w:w="6570" w:type="dxa"/>
            <w:vAlign w:val="center"/>
          </w:tcPr>
          <w:p w14:paraId="274C8A50" w14:textId="44EEC59F" w:rsidR="003239B8" w:rsidRPr="00FC7EB2" w:rsidRDefault="00E84772" w:rsidP="00E84772">
            <w:pPr>
              <w:jc w:val="both"/>
              <w:rPr>
                <w:rFonts w:ascii="Cambria" w:hAnsi="Cambria"/>
                <w:bCs/>
                <w:sz w:val="19"/>
                <w:szCs w:val="19"/>
                <w:lang w:val="es-ES"/>
              </w:rPr>
            </w:pPr>
            <w:r w:rsidRPr="00FC7EB2">
              <w:rPr>
                <w:rFonts w:ascii="Cambria" w:hAnsi="Cambria"/>
                <w:bCs/>
                <w:sz w:val="19"/>
                <w:szCs w:val="19"/>
                <w:lang w:val="es-ES"/>
              </w:rPr>
              <w:t>Panamá</w:t>
            </w:r>
            <w:r w:rsidR="004A6A54" w:rsidRPr="00FC7EB2">
              <w:rPr>
                <w:rStyle w:val="FootnoteReference"/>
                <w:rFonts w:ascii="Cambria" w:hAnsi="Cambria"/>
                <w:bCs/>
                <w:sz w:val="19"/>
                <w:szCs w:val="19"/>
                <w:lang w:val="es-ES"/>
              </w:rPr>
              <w:footnoteReference w:id="3"/>
            </w:r>
          </w:p>
        </w:tc>
      </w:tr>
      <w:tr w:rsidR="00223A29" w:rsidRPr="00E17F4C"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FC7EB2" w:rsidRDefault="001B3A00" w:rsidP="00E4118C">
            <w:pPr>
              <w:jc w:val="center"/>
              <w:rPr>
                <w:rFonts w:ascii="Cambria" w:hAnsi="Cambria"/>
                <w:bCs/>
                <w:color w:val="FFFFFF" w:themeColor="background1"/>
                <w:sz w:val="19"/>
                <w:szCs w:val="19"/>
                <w:lang w:val="es-ES"/>
              </w:rPr>
            </w:pPr>
            <w:r w:rsidRPr="00FC7EB2">
              <w:rPr>
                <w:rFonts w:ascii="Cambria" w:hAnsi="Cambria"/>
                <w:bCs/>
                <w:color w:val="FFFFFF" w:themeColor="background1"/>
                <w:sz w:val="19"/>
                <w:szCs w:val="19"/>
                <w:lang w:val="es-ES"/>
              </w:rPr>
              <w:t xml:space="preserve">Derechos </w:t>
            </w:r>
            <w:r w:rsidR="00E4118C" w:rsidRPr="00FC7EB2">
              <w:rPr>
                <w:rFonts w:ascii="Cambria" w:hAnsi="Cambria"/>
                <w:bCs/>
                <w:color w:val="FFFFFF" w:themeColor="background1"/>
                <w:sz w:val="19"/>
                <w:szCs w:val="19"/>
                <w:lang w:val="es-ES"/>
              </w:rPr>
              <w:t>invocados</w:t>
            </w:r>
          </w:p>
        </w:tc>
        <w:tc>
          <w:tcPr>
            <w:tcW w:w="6570" w:type="dxa"/>
            <w:vAlign w:val="center"/>
          </w:tcPr>
          <w:p w14:paraId="6DEE1EEB" w14:textId="190CA363" w:rsidR="00223A29" w:rsidRPr="001D52F4" w:rsidRDefault="001D52F4" w:rsidP="00702458">
            <w:pPr>
              <w:jc w:val="both"/>
              <w:rPr>
                <w:rFonts w:ascii="Cambria" w:hAnsi="Cambria"/>
                <w:bCs/>
                <w:sz w:val="19"/>
                <w:szCs w:val="19"/>
                <w:lang w:val="es-ES"/>
              </w:rPr>
            </w:pPr>
            <w:r w:rsidRPr="001D52F4">
              <w:rPr>
                <w:rFonts w:ascii="Cambria" w:hAnsi="Cambria"/>
                <w:bCs/>
                <w:sz w:val="19"/>
                <w:szCs w:val="19"/>
                <w:lang w:val="es-ES"/>
              </w:rPr>
              <w:t>Artículo 25 (protección judicial) de la Convención Americana sobre Derechos Humanos</w:t>
            </w:r>
            <w:r w:rsidRPr="001D52F4">
              <w:rPr>
                <w:rStyle w:val="FootnoteReference"/>
                <w:rFonts w:ascii="Cambria" w:hAnsi="Cambria"/>
                <w:bCs/>
                <w:sz w:val="19"/>
                <w:szCs w:val="19"/>
                <w:lang w:val="es-ES"/>
              </w:rPr>
              <w:footnoteReference w:id="4"/>
            </w:r>
            <w:r w:rsidR="00702458">
              <w:rPr>
                <w:rFonts w:ascii="Cambria" w:hAnsi="Cambria"/>
                <w:bCs/>
                <w:sz w:val="19"/>
                <w:szCs w:val="19"/>
                <w:lang w:val="es-ES"/>
              </w:rPr>
              <w:t>; a</w:t>
            </w:r>
            <w:r w:rsidRPr="001D52F4">
              <w:rPr>
                <w:rFonts w:ascii="Cambria" w:hAnsi="Cambria"/>
                <w:bCs/>
                <w:sz w:val="19"/>
                <w:szCs w:val="19"/>
                <w:lang w:val="es-ES"/>
              </w:rPr>
              <w:t>rtículo 8</w:t>
            </w:r>
            <w:r w:rsidR="000D02F3">
              <w:rPr>
                <w:rFonts w:ascii="Cambria" w:hAnsi="Cambria"/>
                <w:bCs/>
                <w:sz w:val="19"/>
                <w:szCs w:val="19"/>
                <w:lang w:val="es-ES"/>
              </w:rPr>
              <w:t>.1.b</w:t>
            </w:r>
            <w:r w:rsidRPr="001D52F4">
              <w:rPr>
                <w:rFonts w:ascii="Cambria" w:hAnsi="Cambria"/>
                <w:bCs/>
                <w:sz w:val="19"/>
                <w:szCs w:val="19"/>
                <w:lang w:val="es-ES"/>
              </w:rPr>
              <w:t xml:space="preserve"> </w:t>
            </w:r>
            <w:r w:rsidR="00702458">
              <w:rPr>
                <w:rFonts w:ascii="Cambria" w:hAnsi="Cambria"/>
                <w:bCs/>
                <w:sz w:val="19"/>
                <w:szCs w:val="19"/>
                <w:lang w:val="es-ES"/>
              </w:rPr>
              <w:t xml:space="preserve">(derechos sindicales) </w:t>
            </w:r>
            <w:r w:rsidRPr="001D52F4">
              <w:rPr>
                <w:rFonts w:ascii="Cambria" w:hAnsi="Cambria"/>
                <w:bCs/>
                <w:sz w:val="19"/>
                <w:szCs w:val="19"/>
                <w:lang w:val="es-ES"/>
              </w:rPr>
              <w:t>del Protocolo Adicional a la Convención Americana sobre Derechos Humanos en materia de Derechos Económicos, Sociales y Culturales</w:t>
            </w:r>
            <w:r w:rsidR="00702458">
              <w:rPr>
                <w:rStyle w:val="FootnoteReference"/>
                <w:rFonts w:ascii="Cambria" w:hAnsi="Cambria"/>
                <w:bCs/>
                <w:sz w:val="19"/>
                <w:szCs w:val="19"/>
                <w:lang w:val="es-ES"/>
              </w:rPr>
              <w:footnoteReference w:id="5"/>
            </w:r>
            <w:r w:rsidR="00702458">
              <w:rPr>
                <w:rFonts w:ascii="Cambria" w:hAnsi="Cambria"/>
                <w:bCs/>
                <w:sz w:val="19"/>
                <w:szCs w:val="19"/>
                <w:lang w:val="es-ES"/>
              </w:rPr>
              <w:t>; a</w:t>
            </w:r>
            <w:r w:rsidRPr="001D52F4">
              <w:rPr>
                <w:rFonts w:ascii="Cambria" w:hAnsi="Cambria"/>
                <w:bCs/>
                <w:sz w:val="19"/>
                <w:szCs w:val="19"/>
                <w:lang w:val="es-ES"/>
              </w:rPr>
              <w:t>rtículo XVIII de la Declaración Americana de los Derechos y Deberes del Hombre</w:t>
            </w:r>
            <w:r w:rsidR="00702458">
              <w:rPr>
                <w:rStyle w:val="FootnoteReference"/>
                <w:rFonts w:ascii="Cambria" w:hAnsi="Cambria"/>
                <w:bCs/>
                <w:sz w:val="19"/>
                <w:szCs w:val="19"/>
                <w:lang w:val="es-ES"/>
              </w:rPr>
              <w:footnoteReference w:id="6"/>
            </w:r>
            <w:r w:rsidR="00702458">
              <w:rPr>
                <w:rFonts w:ascii="Cambria" w:hAnsi="Cambria"/>
                <w:bCs/>
                <w:sz w:val="19"/>
                <w:szCs w:val="19"/>
                <w:lang w:val="es-ES"/>
              </w:rPr>
              <w:t>; y otros tratados internacionales</w:t>
            </w:r>
            <w:r w:rsidR="00702458">
              <w:rPr>
                <w:rStyle w:val="FootnoteReference"/>
                <w:rFonts w:ascii="Cambria" w:hAnsi="Cambria"/>
                <w:bCs/>
                <w:sz w:val="19"/>
                <w:szCs w:val="19"/>
                <w:lang w:val="es-ES"/>
              </w:rPr>
              <w:footnoteReference w:id="7"/>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006B74" w:rsidRDefault="000C1C69" w:rsidP="004A6A54">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Recepción</w:t>
            </w:r>
            <w:r w:rsidR="00D77503" w:rsidRPr="00006B74">
              <w:rPr>
                <w:rFonts w:ascii="Cambria" w:hAnsi="Cambria"/>
                <w:bCs/>
                <w:color w:val="FFFFFF" w:themeColor="background1"/>
                <w:sz w:val="19"/>
                <w:szCs w:val="19"/>
                <w:lang w:val="es-ES"/>
              </w:rPr>
              <w:t xml:space="preserve"> de la petición</w:t>
            </w:r>
          </w:p>
        </w:tc>
        <w:tc>
          <w:tcPr>
            <w:tcW w:w="6570" w:type="dxa"/>
            <w:vAlign w:val="center"/>
          </w:tcPr>
          <w:p w14:paraId="6E579153" w14:textId="3598256E" w:rsidR="004C2312" w:rsidRPr="00006B74" w:rsidRDefault="00EB7210" w:rsidP="002625EA">
            <w:pPr>
              <w:jc w:val="both"/>
              <w:rPr>
                <w:rFonts w:ascii="Cambria" w:hAnsi="Cambria"/>
                <w:bCs/>
                <w:sz w:val="19"/>
                <w:szCs w:val="19"/>
                <w:lang w:val="es-ES"/>
              </w:rPr>
            </w:pPr>
            <w:r>
              <w:rPr>
                <w:rFonts w:ascii="Cambria" w:hAnsi="Cambria"/>
                <w:bCs/>
                <w:sz w:val="19"/>
                <w:szCs w:val="19"/>
                <w:lang w:val="es-ES"/>
              </w:rPr>
              <w:t>26 de octubre de 2009</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006B74" w:rsidRDefault="004A6A54" w:rsidP="000C1C69">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N</w:t>
            </w:r>
            <w:r w:rsidR="004C2312" w:rsidRPr="00006B74">
              <w:rPr>
                <w:rFonts w:ascii="Cambria" w:hAnsi="Cambria"/>
                <w:color w:val="FFFFFF" w:themeColor="background1"/>
                <w:sz w:val="19"/>
                <w:szCs w:val="19"/>
                <w:lang w:val="es-ES"/>
              </w:rPr>
              <w:t>otificación de la petición</w:t>
            </w:r>
          </w:p>
        </w:tc>
        <w:tc>
          <w:tcPr>
            <w:tcW w:w="6570" w:type="dxa"/>
            <w:vAlign w:val="center"/>
          </w:tcPr>
          <w:p w14:paraId="1519DA6A" w14:textId="3AB81176" w:rsidR="004C2312" w:rsidRPr="00006B74" w:rsidRDefault="00EB7210" w:rsidP="008D2290">
            <w:pPr>
              <w:jc w:val="both"/>
              <w:rPr>
                <w:rFonts w:ascii="Cambria" w:hAnsi="Cambria"/>
                <w:bCs/>
                <w:sz w:val="19"/>
                <w:szCs w:val="19"/>
                <w:lang w:val="es-ES"/>
              </w:rPr>
            </w:pPr>
            <w:r>
              <w:rPr>
                <w:rFonts w:ascii="Cambria" w:hAnsi="Cambria"/>
                <w:bCs/>
                <w:sz w:val="19"/>
                <w:szCs w:val="19"/>
                <w:lang w:val="es-ES"/>
              </w:rPr>
              <w:t>2</w:t>
            </w:r>
            <w:r w:rsidR="008A7A02">
              <w:rPr>
                <w:rFonts w:ascii="Cambria" w:hAnsi="Cambria"/>
                <w:bCs/>
                <w:sz w:val="19"/>
                <w:szCs w:val="19"/>
                <w:lang w:val="es-ES"/>
              </w:rPr>
              <w:t>5</w:t>
            </w:r>
            <w:r>
              <w:rPr>
                <w:rFonts w:ascii="Cambria" w:hAnsi="Cambria"/>
                <w:bCs/>
                <w:sz w:val="19"/>
                <w:szCs w:val="19"/>
                <w:lang w:val="es-ES"/>
              </w:rPr>
              <w:t xml:space="preserve"> de octubre de 201</w:t>
            </w:r>
            <w:r w:rsidR="008B3C07">
              <w:rPr>
                <w:rFonts w:ascii="Cambria" w:hAnsi="Cambria"/>
                <w:bCs/>
                <w:sz w:val="19"/>
                <w:szCs w:val="19"/>
                <w:lang w:val="es-ES"/>
              </w:rPr>
              <w:t>6</w:t>
            </w:r>
          </w:p>
        </w:tc>
      </w:tr>
      <w:tr w:rsidR="000A23C0" w:rsidRPr="00006B74" w14:paraId="033D46EB" w14:textId="77777777" w:rsidTr="00854D46">
        <w:tc>
          <w:tcPr>
            <w:tcW w:w="2790" w:type="dxa"/>
            <w:tcBorders>
              <w:top w:val="single" w:sz="6" w:space="0" w:color="auto"/>
              <w:bottom w:val="single" w:sz="6" w:space="0" w:color="auto"/>
            </w:tcBorders>
            <w:shd w:val="clear" w:color="auto" w:fill="386294"/>
            <w:vAlign w:val="center"/>
          </w:tcPr>
          <w:p w14:paraId="59BD4559" w14:textId="77777777" w:rsidR="000A23C0" w:rsidRPr="00006B74" w:rsidRDefault="000A23C0" w:rsidP="00854D46">
            <w:pPr>
              <w:jc w:val="center"/>
              <w:rPr>
                <w:rFonts w:ascii="Cambria" w:hAnsi="Cambria"/>
                <w:bCs/>
                <w:color w:val="FFFFFF" w:themeColor="background1"/>
                <w:sz w:val="19"/>
                <w:szCs w:val="19"/>
                <w:lang w:val="es-ES"/>
              </w:rPr>
            </w:pPr>
            <w:r w:rsidRPr="00006B74">
              <w:rPr>
                <w:rFonts w:ascii="Cambria" w:hAnsi="Cambria"/>
                <w:color w:val="FFFFFF" w:themeColor="background1"/>
                <w:sz w:val="19"/>
                <w:szCs w:val="19"/>
                <w:lang w:val="es-ES"/>
              </w:rPr>
              <w:t>Primera respuesta del Estado</w:t>
            </w:r>
          </w:p>
        </w:tc>
        <w:tc>
          <w:tcPr>
            <w:tcW w:w="6570" w:type="dxa"/>
            <w:vAlign w:val="center"/>
          </w:tcPr>
          <w:p w14:paraId="4D1A4105" w14:textId="77777777" w:rsidR="000A23C0" w:rsidRPr="00006B74" w:rsidRDefault="000A23C0" w:rsidP="00854D46">
            <w:pPr>
              <w:jc w:val="both"/>
              <w:rPr>
                <w:rFonts w:ascii="Cambria" w:hAnsi="Cambria"/>
                <w:bCs/>
                <w:sz w:val="19"/>
                <w:szCs w:val="19"/>
                <w:lang w:val="es-ES"/>
              </w:rPr>
            </w:pPr>
            <w:r>
              <w:rPr>
                <w:rFonts w:ascii="Cambria" w:hAnsi="Cambria"/>
                <w:bCs/>
                <w:sz w:val="19"/>
                <w:szCs w:val="19"/>
                <w:lang w:val="es-ES"/>
              </w:rPr>
              <w:t>9 de febrero de 2017</w:t>
            </w:r>
          </w:p>
        </w:tc>
      </w:tr>
      <w:tr w:rsidR="002B21AD" w:rsidRPr="002B21AD" w14:paraId="7A782905" w14:textId="77777777" w:rsidTr="00954B82">
        <w:tc>
          <w:tcPr>
            <w:tcW w:w="2790" w:type="dxa"/>
            <w:tcBorders>
              <w:top w:val="single" w:sz="6" w:space="0" w:color="auto"/>
              <w:bottom w:val="single" w:sz="6" w:space="0" w:color="auto"/>
            </w:tcBorders>
            <w:shd w:val="clear" w:color="auto" w:fill="386294"/>
            <w:vAlign w:val="center"/>
          </w:tcPr>
          <w:p w14:paraId="61156286" w14:textId="32B27053" w:rsidR="002B21AD" w:rsidRDefault="002B21AD" w:rsidP="00F06354">
            <w:pPr>
              <w:jc w:val="center"/>
              <w:rPr>
                <w:rFonts w:ascii="Cambria" w:hAnsi="Cambria"/>
                <w:color w:val="FFFFFF" w:themeColor="background1"/>
                <w:sz w:val="19"/>
                <w:szCs w:val="19"/>
                <w:lang w:val="es-ES"/>
              </w:rPr>
            </w:pPr>
            <w:r w:rsidRPr="002B21AD">
              <w:rPr>
                <w:rFonts w:ascii="Cambria" w:hAnsi="Cambria"/>
                <w:color w:val="FFFFFF" w:themeColor="background1"/>
                <w:sz w:val="19"/>
                <w:szCs w:val="19"/>
                <w:lang w:val="es-ES"/>
              </w:rPr>
              <w:t>Observaciones adicionales de la parte peticionaria:</w:t>
            </w:r>
          </w:p>
        </w:tc>
        <w:tc>
          <w:tcPr>
            <w:tcW w:w="6570" w:type="dxa"/>
            <w:vAlign w:val="center"/>
          </w:tcPr>
          <w:p w14:paraId="0C7187EC" w14:textId="0B4877C4" w:rsidR="002B21AD" w:rsidRDefault="002B21AD" w:rsidP="00F06354">
            <w:pPr>
              <w:jc w:val="both"/>
              <w:rPr>
                <w:rFonts w:ascii="Cambria" w:hAnsi="Cambria"/>
                <w:bCs/>
                <w:sz w:val="19"/>
                <w:szCs w:val="19"/>
                <w:lang w:val="es-ES"/>
              </w:rPr>
            </w:pPr>
            <w:r>
              <w:rPr>
                <w:rFonts w:ascii="Cambria" w:hAnsi="Cambria"/>
                <w:bCs/>
                <w:sz w:val="19"/>
                <w:szCs w:val="19"/>
                <w:lang w:val="es-ES"/>
              </w:rPr>
              <w:t>1 de julio de 2020</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3C7AA1BE" w:rsidR="00F06354" w:rsidRPr="00006B74" w:rsidRDefault="000A23C0" w:rsidP="00F06354">
            <w:pPr>
              <w:jc w:val="center"/>
              <w:rPr>
                <w:rFonts w:ascii="Cambria" w:hAnsi="Cambria"/>
                <w:bCs/>
                <w:color w:val="FFFFFF" w:themeColor="background1"/>
                <w:sz w:val="19"/>
                <w:szCs w:val="19"/>
                <w:lang w:val="es-ES"/>
              </w:rPr>
            </w:pPr>
            <w:r>
              <w:rPr>
                <w:rFonts w:ascii="Cambria" w:hAnsi="Cambria"/>
                <w:color w:val="FFFFFF" w:themeColor="background1"/>
                <w:sz w:val="19"/>
                <w:szCs w:val="19"/>
                <w:lang w:val="es-ES"/>
              </w:rPr>
              <w:t>Observaciones adicionales del Estado</w:t>
            </w:r>
          </w:p>
        </w:tc>
        <w:tc>
          <w:tcPr>
            <w:tcW w:w="6570" w:type="dxa"/>
            <w:vAlign w:val="center"/>
          </w:tcPr>
          <w:p w14:paraId="1972B99E" w14:textId="479BCE5D" w:rsidR="00F06354" w:rsidRPr="00006B74" w:rsidRDefault="000A23C0" w:rsidP="00F06354">
            <w:pPr>
              <w:jc w:val="both"/>
              <w:rPr>
                <w:rFonts w:ascii="Cambria" w:hAnsi="Cambria"/>
                <w:bCs/>
                <w:sz w:val="19"/>
                <w:szCs w:val="19"/>
                <w:lang w:val="es-ES"/>
              </w:rPr>
            </w:pPr>
            <w:r>
              <w:rPr>
                <w:rFonts w:ascii="Cambria" w:hAnsi="Cambria"/>
                <w:bCs/>
                <w:sz w:val="19"/>
                <w:szCs w:val="19"/>
                <w:lang w:val="es-ES"/>
              </w:rPr>
              <w:t>27 de diciembre de 2019</w:t>
            </w:r>
          </w:p>
        </w:tc>
      </w:tr>
    </w:tbl>
    <w:p w14:paraId="21DAA666" w14:textId="155C7A04" w:rsidR="003239B8" w:rsidRPr="00006B74" w:rsidRDefault="002B21AD"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 xml:space="preserve">III. </w:t>
      </w:r>
      <w:r w:rsidR="003239B8"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006B74" w:rsidRDefault="00D77503" w:rsidP="008D2290">
            <w:pPr>
              <w:jc w:val="center"/>
              <w:rPr>
                <w:rFonts w:ascii="Cambria" w:hAnsi="Cambria"/>
                <w:bCs/>
                <w:i/>
                <w:color w:val="FFFFFF" w:themeColor="background1"/>
                <w:sz w:val="19"/>
                <w:szCs w:val="19"/>
                <w:lang w:val="es-ES"/>
              </w:rPr>
            </w:pPr>
            <w:r w:rsidRPr="00006B74">
              <w:rPr>
                <w:rFonts w:ascii="Cambria" w:hAnsi="Cambria"/>
                <w:bCs/>
                <w:i/>
                <w:color w:val="FFFFFF" w:themeColor="background1"/>
                <w:sz w:val="19"/>
                <w:szCs w:val="19"/>
                <w:lang w:val="es-ES"/>
              </w:rPr>
              <w:t>Ratione personae</w:t>
            </w:r>
          </w:p>
        </w:tc>
        <w:tc>
          <w:tcPr>
            <w:tcW w:w="6570" w:type="dxa"/>
            <w:vAlign w:val="center"/>
          </w:tcPr>
          <w:p w14:paraId="7707F3E9" w14:textId="0CDEB1E7" w:rsidR="003239B8" w:rsidRPr="00EB7210" w:rsidRDefault="00EB7210" w:rsidP="008D2290">
            <w:pPr>
              <w:rPr>
                <w:bCs/>
                <w:sz w:val="19"/>
                <w:szCs w:val="19"/>
                <w:lang w:val="es-ES" w:eastAsia="zh-CN"/>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loci</w:t>
            </w:r>
          </w:p>
        </w:tc>
        <w:tc>
          <w:tcPr>
            <w:tcW w:w="6570" w:type="dxa"/>
            <w:vAlign w:val="center"/>
          </w:tcPr>
          <w:p w14:paraId="12C931CB" w14:textId="1F8D927C" w:rsidR="003239B8" w:rsidRPr="00006B74" w:rsidRDefault="00EB7210" w:rsidP="008D2290">
            <w:pPr>
              <w:rPr>
                <w:rFonts w:ascii="Cambria" w:hAnsi="Cambria"/>
                <w:bCs/>
                <w:sz w:val="19"/>
                <w:szCs w:val="19"/>
                <w:lang w:val="es-ES"/>
              </w:rPr>
            </w:pPr>
            <w:r>
              <w:rPr>
                <w:rFonts w:ascii="Cambria" w:hAnsi="Cambria"/>
                <w:bCs/>
                <w:sz w:val="19"/>
                <w:szCs w:val="19"/>
                <w:lang w:val="es-ES"/>
              </w:rPr>
              <w:t>Sí</w:t>
            </w:r>
          </w:p>
        </w:tc>
      </w:tr>
      <w:tr w:rsidR="003239B8" w:rsidRPr="0058191A"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temporis</w:t>
            </w:r>
          </w:p>
        </w:tc>
        <w:tc>
          <w:tcPr>
            <w:tcW w:w="6570" w:type="dxa"/>
            <w:vAlign w:val="center"/>
          </w:tcPr>
          <w:p w14:paraId="6F8B059B" w14:textId="6D27F674" w:rsidR="003239B8" w:rsidRPr="00EB7210" w:rsidRDefault="00EB7210" w:rsidP="000A23C0">
            <w:pPr>
              <w:rPr>
                <w:bCs/>
                <w:sz w:val="19"/>
                <w:szCs w:val="19"/>
                <w:lang w:val="es-ES"/>
              </w:rPr>
            </w:pPr>
            <w:r>
              <w:rPr>
                <w:rFonts w:ascii="Cambria" w:hAnsi="Cambria"/>
                <w:bCs/>
                <w:sz w:val="19"/>
                <w:szCs w:val="19"/>
                <w:lang w:val="es-ES"/>
              </w:rPr>
              <w:t>Sí</w:t>
            </w:r>
          </w:p>
        </w:tc>
      </w:tr>
      <w:tr w:rsidR="003239B8" w:rsidRPr="00E17F4C"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006B74" w:rsidRDefault="003239B8" w:rsidP="008D2290">
            <w:pPr>
              <w:jc w:val="center"/>
              <w:rPr>
                <w:rFonts w:ascii="Cambria" w:hAnsi="Cambria"/>
                <w:bCs/>
                <w:color w:val="FFFFFF" w:themeColor="background1"/>
                <w:sz w:val="19"/>
                <w:szCs w:val="19"/>
                <w:lang w:val="es-ES"/>
              </w:rPr>
            </w:pPr>
            <w:r w:rsidRPr="00006B74">
              <w:rPr>
                <w:rFonts w:ascii="Cambria" w:hAnsi="Cambria"/>
                <w:bCs/>
                <w:i/>
                <w:color w:val="FFFFFF" w:themeColor="background1"/>
                <w:sz w:val="19"/>
                <w:szCs w:val="19"/>
                <w:lang w:val="es-ES"/>
              </w:rPr>
              <w:t>Ratione materia</w:t>
            </w:r>
            <w:r w:rsidR="00EE00E9" w:rsidRPr="00006B74">
              <w:rPr>
                <w:rFonts w:ascii="Cambria" w:hAnsi="Cambria"/>
                <w:bCs/>
                <w:i/>
                <w:color w:val="FFFFFF" w:themeColor="background1"/>
                <w:sz w:val="19"/>
                <w:szCs w:val="19"/>
                <w:lang w:val="es-ES"/>
              </w:rPr>
              <w:t>e</w:t>
            </w:r>
          </w:p>
        </w:tc>
        <w:tc>
          <w:tcPr>
            <w:tcW w:w="6570" w:type="dxa"/>
            <w:vAlign w:val="center"/>
          </w:tcPr>
          <w:p w14:paraId="0C122F44" w14:textId="1C01C869" w:rsidR="003239B8" w:rsidRPr="00006B74" w:rsidRDefault="00EB7210" w:rsidP="008D2290">
            <w:pPr>
              <w:jc w:val="both"/>
              <w:rPr>
                <w:rFonts w:ascii="Cambria" w:hAnsi="Cambria"/>
                <w:bCs/>
                <w:sz w:val="19"/>
                <w:szCs w:val="19"/>
                <w:lang w:val="es-ES"/>
              </w:rPr>
            </w:pPr>
            <w:r>
              <w:rPr>
                <w:rFonts w:ascii="Cambria" w:hAnsi="Cambria"/>
                <w:bCs/>
                <w:sz w:val="19"/>
                <w:szCs w:val="19"/>
                <w:lang w:val="es-ES"/>
              </w:rPr>
              <w:t>Sí</w:t>
            </w:r>
            <w:r w:rsidR="000A23C0">
              <w:rPr>
                <w:rFonts w:ascii="Cambria" w:hAnsi="Cambria"/>
                <w:bCs/>
                <w:sz w:val="19"/>
                <w:szCs w:val="19"/>
                <w:lang w:val="es-ES"/>
              </w:rPr>
              <w:t xml:space="preserve">, </w:t>
            </w:r>
            <w:r w:rsidR="000A23C0" w:rsidRPr="00EB7210">
              <w:rPr>
                <w:rFonts w:ascii="Cambria" w:hAnsi="Cambria"/>
                <w:bCs/>
                <w:sz w:val="19"/>
                <w:szCs w:val="19"/>
                <w:lang w:val="es-ES"/>
              </w:rPr>
              <w:t>Convención A</w:t>
            </w:r>
            <w:r w:rsidR="000A23C0">
              <w:rPr>
                <w:rFonts w:ascii="Cambria" w:hAnsi="Cambria"/>
                <w:bCs/>
                <w:sz w:val="19"/>
                <w:szCs w:val="19"/>
                <w:lang w:val="es-ES"/>
              </w:rPr>
              <w:t>mericana sobre Derechos Humanos</w:t>
            </w:r>
            <w:r w:rsidR="000A23C0" w:rsidRPr="00EB7210">
              <w:rPr>
                <w:rFonts w:ascii="Cambria" w:hAnsi="Cambria"/>
                <w:bCs/>
                <w:sz w:val="19"/>
                <w:szCs w:val="19"/>
                <w:lang w:val="es-ES"/>
              </w:rPr>
              <w:t xml:space="preserve"> (depósito de instrumento re</w:t>
            </w:r>
            <w:r w:rsidR="000A23C0">
              <w:rPr>
                <w:rFonts w:ascii="Cambria" w:hAnsi="Cambria"/>
                <w:bCs/>
                <w:sz w:val="19"/>
                <w:szCs w:val="19"/>
                <w:lang w:val="es-ES"/>
              </w:rPr>
              <w:t>alizado el 22 de junio de 1978)</w:t>
            </w:r>
          </w:p>
        </w:tc>
      </w:tr>
    </w:tbl>
    <w:p w14:paraId="4E92C444" w14:textId="28A09997" w:rsidR="003239B8" w:rsidRPr="00006B74" w:rsidRDefault="003239B8" w:rsidP="007620CF">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INTERNACIONAL,</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5"/>
        <w:gridCol w:w="6477"/>
      </w:tblGrid>
      <w:tr w:rsidR="00EE00E9" w:rsidRPr="00E17F4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006B74" w:rsidRDefault="00EE00E9" w:rsidP="00954B82">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Duplicación </w:t>
            </w:r>
            <w:r w:rsidR="00D77503" w:rsidRPr="00006B74">
              <w:rPr>
                <w:rFonts w:ascii="Cambria" w:hAnsi="Cambria"/>
                <w:bCs/>
                <w:color w:val="FFFFFF" w:themeColor="background1"/>
                <w:sz w:val="19"/>
                <w:szCs w:val="19"/>
                <w:lang w:val="es-ES"/>
              </w:rPr>
              <w:t>y cosa juzgada internacional</w:t>
            </w:r>
          </w:p>
        </w:tc>
        <w:tc>
          <w:tcPr>
            <w:tcW w:w="6570" w:type="dxa"/>
            <w:vAlign w:val="center"/>
          </w:tcPr>
          <w:p w14:paraId="240941E6" w14:textId="33759885" w:rsidR="00EE00E9" w:rsidRPr="00006B74" w:rsidRDefault="004C6D95" w:rsidP="009A5176">
            <w:pPr>
              <w:jc w:val="both"/>
              <w:rPr>
                <w:rFonts w:ascii="Cambria" w:hAnsi="Cambria"/>
                <w:bCs/>
                <w:sz w:val="19"/>
                <w:szCs w:val="19"/>
                <w:lang w:val="es-ES"/>
              </w:rPr>
            </w:pPr>
            <w:r>
              <w:rPr>
                <w:rFonts w:ascii="Cambria" w:hAnsi="Cambria"/>
                <w:bCs/>
                <w:sz w:val="19"/>
                <w:szCs w:val="19"/>
                <w:lang w:val="es-ES"/>
              </w:rPr>
              <w:t>Sí, en los términos de la sección VI</w:t>
            </w:r>
          </w:p>
        </w:tc>
      </w:tr>
      <w:tr w:rsidR="003239B8" w:rsidRPr="00357CD8"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006B74" w:rsidRDefault="003239B8" w:rsidP="00954B82">
            <w:pPr>
              <w:jc w:val="center"/>
              <w:rPr>
                <w:rFonts w:ascii="Cambria" w:hAnsi="Cambria"/>
                <w:bCs/>
                <w:i/>
                <w:color w:val="FFFFFF" w:themeColor="background1"/>
                <w:sz w:val="19"/>
                <w:szCs w:val="19"/>
                <w:lang w:val="es-ES"/>
              </w:rPr>
            </w:pPr>
            <w:r w:rsidRPr="00006B74">
              <w:rPr>
                <w:rFonts w:ascii="Cambria" w:hAnsi="Cambria"/>
                <w:bCs/>
                <w:color w:val="FFFFFF" w:themeColor="background1"/>
                <w:sz w:val="19"/>
                <w:szCs w:val="19"/>
                <w:lang w:val="es-ES"/>
              </w:rPr>
              <w:t>Derechos admi</w:t>
            </w:r>
            <w:r w:rsidR="00954B82" w:rsidRPr="00006B74">
              <w:rPr>
                <w:rFonts w:ascii="Cambria" w:hAnsi="Cambria"/>
                <w:bCs/>
                <w:color w:val="FFFFFF" w:themeColor="background1"/>
                <w:sz w:val="19"/>
                <w:szCs w:val="19"/>
                <w:lang w:val="es-ES"/>
              </w:rPr>
              <w:t>tidos</w:t>
            </w:r>
          </w:p>
        </w:tc>
        <w:tc>
          <w:tcPr>
            <w:tcW w:w="6570" w:type="dxa"/>
            <w:vAlign w:val="center"/>
          </w:tcPr>
          <w:p w14:paraId="6310C8F7" w14:textId="2739A24B" w:rsidR="003239B8" w:rsidRPr="00D578A8" w:rsidRDefault="004C6D95" w:rsidP="00D578A8">
            <w:pPr>
              <w:jc w:val="both"/>
              <w:rPr>
                <w:rFonts w:ascii="Cambria" w:hAnsi="Cambria"/>
                <w:bCs/>
                <w:sz w:val="19"/>
                <w:szCs w:val="19"/>
                <w:lang w:val="es-ES"/>
              </w:rPr>
            </w:pPr>
            <w:r>
              <w:rPr>
                <w:rFonts w:ascii="Cambria" w:hAnsi="Cambria"/>
                <w:bCs/>
                <w:sz w:val="19"/>
                <w:szCs w:val="19"/>
                <w:lang w:val="es-ES"/>
              </w:rPr>
              <w:t>Ninguno</w:t>
            </w:r>
          </w:p>
        </w:tc>
      </w:tr>
      <w:tr w:rsidR="003239B8" w:rsidRPr="00357CD8"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006B74" w:rsidRDefault="003239B8" w:rsidP="00D77503">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 xml:space="preserve">Agotamiento de recursos </w:t>
            </w:r>
            <w:r w:rsidR="00D77503" w:rsidRPr="00006B74">
              <w:rPr>
                <w:rFonts w:ascii="Cambria" w:hAnsi="Cambria"/>
                <w:bCs/>
                <w:color w:val="FFFFFF" w:themeColor="background1"/>
                <w:sz w:val="19"/>
                <w:szCs w:val="19"/>
                <w:lang w:val="es-ES"/>
              </w:rPr>
              <w:t>o procedencia de una excepción</w:t>
            </w:r>
          </w:p>
        </w:tc>
        <w:tc>
          <w:tcPr>
            <w:tcW w:w="6570" w:type="dxa"/>
            <w:vAlign w:val="center"/>
          </w:tcPr>
          <w:p w14:paraId="69C53E8A" w14:textId="39C790B0" w:rsidR="003239B8" w:rsidRPr="00702458" w:rsidRDefault="004C6D95" w:rsidP="004C6D95">
            <w:pPr>
              <w:rPr>
                <w:rFonts w:ascii="Cambria" w:hAnsi="Cambria"/>
                <w:bCs/>
                <w:sz w:val="19"/>
                <w:szCs w:val="19"/>
                <w:lang w:val="es-ES"/>
              </w:rPr>
            </w:pPr>
            <w:r>
              <w:rPr>
                <w:rFonts w:ascii="Cambria" w:hAnsi="Cambria"/>
                <w:bCs/>
                <w:sz w:val="19"/>
                <w:szCs w:val="19"/>
                <w:lang w:val="es-ES"/>
              </w:rPr>
              <w:t>No aplica</w:t>
            </w:r>
          </w:p>
        </w:tc>
      </w:tr>
      <w:tr w:rsidR="003239B8" w:rsidRPr="00357CD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006B74" w:rsidRDefault="00D77503" w:rsidP="008D2290">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Presentación dentro de plazo</w:t>
            </w:r>
          </w:p>
        </w:tc>
        <w:tc>
          <w:tcPr>
            <w:tcW w:w="6570" w:type="dxa"/>
            <w:vAlign w:val="center"/>
          </w:tcPr>
          <w:p w14:paraId="4A2A4569" w14:textId="6B68056A" w:rsidR="003239B8" w:rsidRPr="00702458" w:rsidRDefault="004C6D95" w:rsidP="008D2290">
            <w:pPr>
              <w:rPr>
                <w:rFonts w:ascii="Cambria" w:hAnsi="Cambria"/>
                <w:bCs/>
                <w:sz w:val="19"/>
                <w:szCs w:val="19"/>
                <w:lang w:val="es-ES"/>
              </w:rPr>
            </w:pPr>
            <w:r>
              <w:rPr>
                <w:rFonts w:ascii="Cambria" w:hAnsi="Cambria"/>
                <w:bCs/>
                <w:sz w:val="19"/>
                <w:szCs w:val="19"/>
                <w:lang w:val="es-ES"/>
              </w:rPr>
              <w:t>No aplica</w:t>
            </w:r>
          </w:p>
        </w:tc>
      </w:tr>
    </w:tbl>
    <w:p w14:paraId="44FDD183" w14:textId="77777777" w:rsidR="0065630D" w:rsidRDefault="0065630D" w:rsidP="0065630D">
      <w:pPr>
        <w:ind w:firstLine="720"/>
        <w:jc w:val="both"/>
        <w:rPr>
          <w:rFonts w:asciiTheme="majorHAnsi" w:hAnsiTheme="majorHAnsi"/>
          <w:b/>
          <w:sz w:val="20"/>
          <w:szCs w:val="20"/>
          <w:lang w:val="es-ES"/>
        </w:rPr>
      </w:pPr>
    </w:p>
    <w:p w14:paraId="18E6423B" w14:textId="72EB3930" w:rsidR="003239B8" w:rsidRPr="00006B74" w:rsidRDefault="00223A29" w:rsidP="0065630D">
      <w:pPr>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585B57CB" w14:textId="77777777" w:rsidR="0065630D"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6310EBB" w14:textId="3EA6202B" w:rsidR="00DE12F0" w:rsidRDefault="00CB3F9B"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C23DDF">
        <w:rPr>
          <w:rFonts w:ascii="Cambria" w:hAnsi="Cambria"/>
          <w:sz w:val="20"/>
          <w:szCs w:val="20"/>
          <w:lang w:val="es-ES"/>
        </w:rPr>
        <w:t>La petición se present</w:t>
      </w:r>
      <w:r w:rsidR="005108D8">
        <w:rPr>
          <w:rFonts w:ascii="Cambria" w:hAnsi="Cambria"/>
          <w:sz w:val="20"/>
          <w:szCs w:val="20"/>
          <w:lang w:val="es-ES"/>
        </w:rPr>
        <w:t xml:space="preserve">a </w:t>
      </w:r>
      <w:r w:rsidR="005B1468" w:rsidRPr="00C23DDF">
        <w:rPr>
          <w:rFonts w:ascii="Cambria" w:hAnsi="Cambria"/>
          <w:sz w:val="20"/>
          <w:szCs w:val="20"/>
          <w:lang w:val="es-ES"/>
        </w:rPr>
        <w:t xml:space="preserve">por la supuesta situación de desprotección </w:t>
      </w:r>
      <w:r w:rsidR="00E5019B" w:rsidRPr="00C23DDF">
        <w:rPr>
          <w:rFonts w:ascii="Cambria" w:hAnsi="Cambria"/>
          <w:sz w:val="20"/>
          <w:szCs w:val="20"/>
          <w:lang w:val="es-ES"/>
        </w:rPr>
        <w:t xml:space="preserve">en la que se encuentran </w:t>
      </w:r>
      <w:r w:rsidR="005B1468" w:rsidRPr="00C23DDF">
        <w:rPr>
          <w:rFonts w:ascii="Cambria" w:hAnsi="Cambria"/>
          <w:sz w:val="20"/>
          <w:szCs w:val="20"/>
          <w:lang w:val="es-ES"/>
        </w:rPr>
        <w:t xml:space="preserve">los </w:t>
      </w:r>
      <w:r w:rsidR="00E5019B" w:rsidRPr="00C23DDF">
        <w:rPr>
          <w:rFonts w:ascii="Cambria" w:hAnsi="Cambria"/>
          <w:sz w:val="20"/>
          <w:szCs w:val="20"/>
          <w:lang w:val="es-ES"/>
        </w:rPr>
        <w:t xml:space="preserve">trabajadores </w:t>
      </w:r>
      <w:r w:rsidR="005B1468" w:rsidRPr="00C23DDF">
        <w:rPr>
          <w:rFonts w:ascii="Cambria" w:hAnsi="Cambria"/>
          <w:sz w:val="20"/>
          <w:szCs w:val="20"/>
          <w:lang w:val="es-ES"/>
        </w:rPr>
        <w:t xml:space="preserve">de la </w:t>
      </w:r>
      <w:r w:rsidR="00E5019B" w:rsidRPr="00C23DDF">
        <w:rPr>
          <w:rFonts w:ascii="Cambria" w:hAnsi="Cambria"/>
          <w:sz w:val="20"/>
          <w:szCs w:val="20"/>
          <w:lang w:val="es-ES"/>
        </w:rPr>
        <w:t>A</w:t>
      </w:r>
      <w:r w:rsidR="005B1468" w:rsidRPr="00C23DDF">
        <w:rPr>
          <w:rFonts w:ascii="Cambria" w:hAnsi="Cambria"/>
          <w:sz w:val="20"/>
          <w:szCs w:val="20"/>
          <w:lang w:val="es-ES"/>
        </w:rPr>
        <w:t xml:space="preserve">utoridad del Canal de Panamá a raíz de la </w:t>
      </w:r>
      <w:r w:rsidR="001D52F4" w:rsidRPr="00C23DDF">
        <w:rPr>
          <w:rFonts w:ascii="Cambria" w:hAnsi="Cambria"/>
          <w:sz w:val="20"/>
          <w:szCs w:val="20"/>
          <w:lang w:val="es-ES"/>
        </w:rPr>
        <w:t>publicación</w:t>
      </w:r>
      <w:r w:rsidR="001F112D" w:rsidRPr="00C23DDF">
        <w:rPr>
          <w:rFonts w:ascii="Cambria" w:hAnsi="Cambria"/>
          <w:sz w:val="20"/>
          <w:szCs w:val="20"/>
          <w:lang w:val="es-ES"/>
        </w:rPr>
        <w:t xml:space="preserve"> por parte de la Asamblea Legislativa </w:t>
      </w:r>
      <w:r w:rsidR="001D52F4" w:rsidRPr="00C23DDF">
        <w:rPr>
          <w:rFonts w:ascii="Cambria" w:hAnsi="Cambria"/>
          <w:sz w:val="20"/>
          <w:szCs w:val="20"/>
          <w:lang w:val="es-ES"/>
        </w:rPr>
        <w:t>de la Ley 19 del 11 de junio de 1997 que rige la administración del Canal de Panamá.</w:t>
      </w:r>
      <w:r w:rsidR="001F112D" w:rsidRPr="00C23DDF">
        <w:rPr>
          <w:rFonts w:ascii="Cambria" w:hAnsi="Cambria"/>
          <w:sz w:val="20"/>
          <w:szCs w:val="20"/>
          <w:lang w:val="es-ES"/>
        </w:rPr>
        <w:t xml:space="preserve"> </w:t>
      </w:r>
      <w:r w:rsidR="00C23DDF">
        <w:rPr>
          <w:rFonts w:ascii="Cambria" w:hAnsi="Cambria"/>
          <w:sz w:val="20"/>
          <w:szCs w:val="20"/>
          <w:lang w:val="es-ES"/>
        </w:rPr>
        <w:t>E</w:t>
      </w:r>
      <w:r w:rsidR="00E5019B" w:rsidRPr="00C23DDF">
        <w:rPr>
          <w:rFonts w:ascii="Cambria" w:hAnsi="Cambria"/>
          <w:sz w:val="20"/>
          <w:szCs w:val="20"/>
          <w:lang w:val="es-ES"/>
        </w:rPr>
        <w:t xml:space="preserve">n particular </w:t>
      </w:r>
      <w:r w:rsidR="007D4EF3">
        <w:rPr>
          <w:rFonts w:ascii="Cambria" w:hAnsi="Cambria"/>
          <w:sz w:val="20"/>
          <w:szCs w:val="20"/>
          <w:lang w:val="es-ES"/>
        </w:rPr>
        <w:t xml:space="preserve">la parte </w:t>
      </w:r>
      <w:r w:rsidR="00E5019B" w:rsidRPr="00C23DDF">
        <w:rPr>
          <w:rFonts w:ascii="Cambria" w:hAnsi="Cambria"/>
          <w:sz w:val="20"/>
          <w:szCs w:val="20"/>
          <w:lang w:val="es-ES"/>
        </w:rPr>
        <w:t>peticionari</w:t>
      </w:r>
      <w:r w:rsidR="007D4EF3">
        <w:rPr>
          <w:rFonts w:ascii="Cambria" w:hAnsi="Cambria"/>
          <w:sz w:val="20"/>
          <w:szCs w:val="20"/>
          <w:lang w:val="es-ES"/>
        </w:rPr>
        <w:t>a</w:t>
      </w:r>
      <w:r w:rsidR="00E5019B" w:rsidRPr="00C23DDF">
        <w:rPr>
          <w:rFonts w:ascii="Cambria" w:hAnsi="Cambria"/>
          <w:sz w:val="20"/>
          <w:szCs w:val="20"/>
          <w:lang w:val="es-ES"/>
        </w:rPr>
        <w:t xml:space="preserve"> argumenta </w:t>
      </w:r>
      <w:r w:rsidR="00C23DDF" w:rsidRPr="00C23DDF">
        <w:rPr>
          <w:rFonts w:ascii="Cambria" w:hAnsi="Cambria"/>
          <w:sz w:val="20"/>
          <w:szCs w:val="20"/>
          <w:lang w:val="es-ES"/>
        </w:rPr>
        <w:t>que esta Ley es contraria a la Constitución panameña y a distintos tratados internacional</w:t>
      </w:r>
      <w:r w:rsidR="00EB5185">
        <w:rPr>
          <w:rFonts w:ascii="Cambria" w:hAnsi="Cambria"/>
          <w:sz w:val="20"/>
          <w:szCs w:val="20"/>
          <w:lang w:val="es-ES"/>
        </w:rPr>
        <w:t>es</w:t>
      </w:r>
      <w:r w:rsidR="00C23DDF" w:rsidRPr="00C23DDF">
        <w:rPr>
          <w:rFonts w:ascii="Cambria" w:hAnsi="Cambria"/>
          <w:sz w:val="20"/>
          <w:szCs w:val="20"/>
          <w:lang w:val="es-ES"/>
        </w:rPr>
        <w:t xml:space="preserve"> en tanto estipula una </w:t>
      </w:r>
      <w:r w:rsidR="00E5019B" w:rsidRPr="00C23DDF">
        <w:rPr>
          <w:rFonts w:ascii="Cambria" w:hAnsi="Cambria"/>
          <w:sz w:val="20"/>
          <w:szCs w:val="20"/>
          <w:lang w:val="es-ES"/>
        </w:rPr>
        <w:t xml:space="preserve">prohibición </w:t>
      </w:r>
      <w:r w:rsidR="00DE291E">
        <w:rPr>
          <w:rFonts w:ascii="Cambria" w:hAnsi="Cambria"/>
          <w:sz w:val="20"/>
          <w:szCs w:val="20"/>
          <w:lang w:val="es-ES"/>
        </w:rPr>
        <w:t xml:space="preserve">del derecho a huelga y sostiene que no se ha garantizado la protección judicial contra los actos del órgano legislativo. </w:t>
      </w:r>
    </w:p>
    <w:p w14:paraId="4343F258" w14:textId="77777777" w:rsidR="0065630D" w:rsidRPr="00C23DDF"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3DF5565" w14:textId="16ADE4F9" w:rsidR="009068D5" w:rsidRDefault="007D4EF3"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lastRenderedPageBreak/>
        <w:t>La parte peticionaria</w:t>
      </w:r>
      <w:r w:rsidR="001D52F4">
        <w:rPr>
          <w:rFonts w:ascii="Cambria" w:hAnsi="Cambria"/>
          <w:sz w:val="20"/>
          <w:szCs w:val="20"/>
          <w:lang w:val="es-ES"/>
        </w:rPr>
        <w:t xml:space="preserve"> indica que </w:t>
      </w:r>
      <w:r w:rsidR="001F112D">
        <w:rPr>
          <w:rFonts w:ascii="Cambria" w:hAnsi="Cambria"/>
          <w:sz w:val="20"/>
          <w:szCs w:val="20"/>
          <w:lang w:val="es-ES"/>
        </w:rPr>
        <w:t xml:space="preserve">el 27 de diciembre de 2001, la Confederación Nacional de Unidad Sindical Independiente (en adelante “CONUSI”) interpuso </w:t>
      </w:r>
      <w:r w:rsidR="00E150C1">
        <w:rPr>
          <w:rFonts w:ascii="Cambria" w:hAnsi="Cambria"/>
          <w:sz w:val="20"/>
          <w:szCs w:val="20"/>
          <w:lang w:val="es-ES"/>
        </w:rPr>
        <w:t>una demanda de inconstitucionalidad ante la Corte Suprema de Justicia</w:t>
      </w:r>
      <w:r w:rsidR="00E5019B">
        <w:rPr>
          <w:rFonts w:ascii="Cambria" w:hAnsi="Cambria"/>
          <w:sz w:val="20"/>
          <w:szCs w:val="20"/>
          <w:lang w:val="es-ES"/>
        </w:rPr>
        <w:t xml:space="preserve"> contra varios artículos y expresiones de esta Ley</w:t>
      </w:r>
      <w:r w:rsidR="00E150C1">
        <w:rPr>
          <w:rFonts w:ascii="Cambria" w:hAnsi="Cambria"/>
          <w:sz w:val="20"/>
          <w:szCs w:val="20"/>
          <w:lang w:val="es-ES"/>
        </w:rPr>
        <w:t xml:space="preserve">. </w:t>
      </w:r>
      <w:r w:rsidR="009068D5">
        <w:rPr>
          <w:rFonts w:ascii="Cambria" w:hAnsi="Cambria"/>
          <w:sz w:val="20"/>
          <w:szCs w:val="20"/>
          <w:lang w:val="es-ES"/>
        </w:rPr>
        <w:t xml:space="preserve">En el marco de ésta, la CONUSI alegó que </w:t>
      </w:r>
      <w:r w:rsidR="002C4C72">
        <w:rPr>
          <w:rFonts w:ascii="Cambria" w:hAnsi="Cambria"/>
          <w:sz w:val="20"/>
          <w:szCs w:val="20"/>
          <w:lang w:val="es-ES"/>
        </w:rPr>
        <w:t xml:space="preserve">la mencionada Ley no desarrolla aspectos esenciales del régimen </w:t>
      </w:r>
      <w:r w:rsidR="00493915">
        <w:rPr>
          <w:rFonts w:ascii="Cambria" w:hAnsi="Cambria"/>
          <w:sz w:val="20"/>
          <w:szCs w:val="20"/>
          <w:lang w:val="es-ES"/>
        </w:rPr>
        <w:t xml:space="preserve">laboral </w:t>
      </w:r>
      <w:r w:rsidR="002C4C72">
        <w:rPr>
          <w:rFonts w:ascii="Cambria" w:hAnsi="Cambria"/>
          <w:sz w:val="20"/>
          <w:szCs w:val="20"/>
          <w:lang w:val="es-ES"/>
        </w:rPr>
        <w:t>especial aplicable a los trabajadores o funcionarios del Canal de Panamá remitiendo dicha tarea a la Junta Directiva de la Autoridad del Canal de Panamá para que sean regulados a través de reglamentos</w:t>
      </w:r>
      <w:r w:rsidR="00EB5185">
        <w:rPr>
          <w:rFonts w:ascii="Cambria" w:hAnsi="Cambria"/>
          <w:sz w:val="20"/>
          <w:szCs w:val="20"/>
          <w:lang w:val="es-ES"/>
        </w:rPr>
        <w:t>;</w:t>
      </w:r>
      <w:r w:rsidR="002C4C72">
        <w:rPr>
          <w:rFonts w:ascii="Cambria" w:hAnsi="Cambria"/>
          <w:sz w:val="20"/>
          <w:szCs w:val="20"/>
          <w:lang w:val="es-ES"/>
        </w:rPr>
        <w:t xml:space="preserve"> impide la aplicación de cualquier otra ley que regule los derechos constitucionales establecidos a favor de los trabajadores en general </w:t>
      </w:r>
      <w:r w:rsidR="00493915">
        <w:rPr>
          <w:rFonts w:ascii="Cambria" w:hAnsi="Cambria"/>
          <w:sz w:val="20"/>
          <w:szCs w:val="20"/>
          <w:lang w:val="es-ES"/>
        </w:rPr>
        <w:t xml:space="preserve">que establezca salarios, bonificaciones, </w:t>
      </w:r>
      <w:r w:rsidR="00EB5185">
        <w:rPr>
          <w:rFonts w:ascii="Cambria" w:hAnsi="Cambria"/>
          <w:sz w:val="20"/>
          <w:szCs w:val="20"/>
          <w:lang w:val="es-ES"/>
        </w:rPr>
        <w:t>jurisdicciones</w:t>
      </w:r>
      <w:r w:rsidR="00493915">
        <w:rPr>
          <w:rFonts w:ascii="Cambria" w:hAnsi="Cambria"/>
          <w:sz w:val="20"/>
          <w:szCs w:val="20"/>
          <w:lang w:val="es-ES"/>
        </w:rPr>
        <w:t xml:space="preserve"> o procedimientos</w:t>
      </w:r>
      <w:r w:rsidR="00EB5185">
        <w:rPr>
          <w:rFonts w:ascii="Cambria" w:hAnsi="Cambria"/>
          <w:sz w:val="20"/>
          <w:szCs w:val="20"/>
          <w:lang w:val="es-ES"/>
        </w:rPr>
        <w:t>;</w:t>
      </w:r>
      <w:r w:rsidR="00493915">
        <w:rPr>
          <w:rFonts w:ascii="Cambria" w:hAnsi="Cambria"/>
          <w:sz w:val="20"/>
          <w:szCs w:val="20"/>
          <w:lang w:val="es-ES"/>
        </w:rPr>
        <w:t xml:space="preserve"> </w:t>
      </w:r>
      <w:r w:rsidR="00937D3B">
        <w:rPr>
          <w:rFonts w:ascii="Cambria" w:hAnsi="Cambria"/>
          <w:sz w:val="20"/>
          <w:szCs w:val="20"/>
          <w:lang w:val="es-ES"/>
        </w:rPr>
        <w:t xml:space="preserve">e </w:t>
      </w:r>
      <w:r w:rsidR="00493915">
        <w:rPr>
          <w:rFonts w:ascii="Cambria" w:hAnsi="Cambria"/>
          <w:sz w:val="20"/>
          <w:szCs w:val="20"/>
          <w:lang w:val="es-ES"/>
        </w:rPr>
        <w:t>impide taxativamente el derecho de huelga</w:t>
      </w:r>
      <w:r w:rsidR="00EB5185">
        <w:rPr>
          <w:rFonts w:ascii="Cambria" w:hAnsi="Cambria"/>
          <w:sz w:val="20"/>
          <w:szCs w:val="20"/>
          <w:lang w:val="es-ES"/>
        </w:rPr>
        <w:t xml:space="preserve">. Al respecto, </w:t>
      </w:r>
      <w:r>
        <w:rPr>
          <w:rFonts w:ascii="Cambria" w:hAnsi="Cambria"/>
          <w:sz w:val="20"/>
          <w:szCs w:val="20"/>
          <w:lang w:val="es-ES"/>
        </w:rPr>
        <w:t>la parte peticionaria</w:t>
      </w:r>
      <w:r w:rsidR="00937D3B">
        <w:rPr>
          <w:rFonts w:ascii="Cambria" w:hAnsi="Cambria"/>
          <w:sz w:val="20"/>
          <w:szCs w:val="20"/>
          <w:lang w:val="es-ES"/>
        </w:rPr>
        <w:t xml:space="preserve"> señala que </w:t>
      </w:r>
      <w:r w:rsidR="00EB5185">
        <w:rPr>
          <w:rFonts w:ascii="Cambria" w:hAnsi="Cambria"/>
          <w:sz w:val="20"/>
          <w:szCs w:val="20"/>
          <w:lang w:val="es-ES"/>
        </w:rPr>
        <w:t>la CONUSI sostuvo</w:t>
      </w:r>
      <w:r w:rsidR="00482D33">
        <w:rPr>
          <w:rFonts w:ascii="Cambria" w:hAnsi="Cambria"/>
          <w:sz w:val="20"/>
          <w:szCs w:val="20"/>
          <w:lang w:val="es-ES"/>
        </w:rPr>
        <w:t xml:space="preserve"> que</w:t>
      </w:r>
      <w:r w:rsidR="00EB5185">
        <w:rPr>
          <w:rFonts w:ascii="Cambria" w:hAnsi="Cambria"/>
          <w:sz w:val="20"/>
          <w:szCs w:val="20"/>
          <w:lang w:val="es-ES"/>
        </w:rPr>
        <w:t xml:space="preserve"> </w:t>
      </w:r>
      <w:r w:rsidR="00937D3B">
        <w:rPr>
          <w:rFonts w:ascii="Cambria" w:hAnsi="Cambria"/>
          <w:sz w:val="20"/>
          <w:szCs w:val="20"/>
          <w:lang w:val="es-ES"/>
        </w:rPr>
        <w:t xml:space="preserve">el </w:t>
      </w:r>
      <w:r w:rsidR="00EB5185">
        <w:rPr>
          <w:rFonts w:ascii="Cambria" w:hAnsi="Cambria"/>
          <w:sz w:val="20"/>
          <w:szCs w:val="20"/>
          <w:lang w:val="es-ES"/>
        </w:rPr>
        <w:t>vacío</w:t>
      </w:r>
      <w:r w:rsidR="00493915">
        <w:rPr>
          <w:rFonts w:ascii="Cambria" w:hAnsi="Cambria"/>
          <w:sz w:val="20"/>
          <w:szCs w:val="20"/>
          <w:lang w:val="es-ES"/>
        </w:rPr>
        <w:t xml:space="preserve"> jurídico que </w:t>
      </w:r>
      <w:r w:rsidR="00937D3B">
        <w:rPr>
          <w:rFonts w:ascii="Cambria" w:hAnsi="Cambria"/>
          <w:sz w:val="20"/>
          <w:szCs w:val="20"/>
          <w:lang w:val="es-ES"/>
        </w:rPr>
        <w:t xml:space="preserve">genera la Ley 19 </w:t>
      </w:r>
      <w:r w:rsidR="00493915">
        <w:rPr>
          <w:rFonts w:ascii="Cambria" w:hAnsi="Cambria"/>
          <w:sz w:val="20"/>
          <w:szCs w:val="20"/>
          <w:lang w:val="es-ES"/>
        </w:rPr>
        <w:t>no pue</w:t>
      </w:r>
      <w:r w:rsidR="00832BF7">
        <w:rPr>
          <w:rFonts w:ascii="Cambria" w:hAnsi="Cambria"/>
          <w:sz w:val="20"/>
          <w:szCs w:val="20"/>
          <w:lang w:val="es-ES"/>
        </w:rPr>
        <w:t xml:space="preserve">de ser suplido por otras normas. </w:t>
      </w:r>
    </w:p>
    <w:p w14:paraId="5808A8BC" w14:textId="77777777" w:rsidR="0065630D"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9C3219F" w14:textId="062C76F8" w:rsidR="001D52F4" w:rsidRDefault="00E150C1"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Expone </w:t>
      </w:r>
      <w:r w:rsidR="00E760FA">
        <w:rPr>
          <w:rFonts w:ascii="Cambria" w:hAnsi="Cambria"/>
          <w:sz w:val="20"/>
          <w:szCs w:val="20"/>
          <w:lang w:val="es-ES"/>
        </w:rPr>
        <w:t>que,</w:t>
      </w:r>
      <w:r>
        <w:rPr>
          <w:rFonts w:ascii="Cambria" w:hAnsi="Cambria"/>
          <w:sz w:val="20"/>
          <w:szCs w:val="20"/>
          <w:lang w:val="es-ES"/>
        </w:rPr>
        <w:t xml:space="preserve"> </w:t>
      </w:r>
      <w:r w:rsidR="009068D5">
        <w:rPr>
          <w:rFonts w:ascii="Cambria" w:hAnsi="Cambria"/>
          <w:sz w:val="20"/>
          <w:szCs w:val="20"/>
          <w:lang w:val="es-ES"/>
        </w:rPr>
        <w:t>durante</w:t>
      </w:r>
      <w:r>
        <w:rPr>
          <w:rFonts w:ascii="Cambria" w:hAnsi="Cambria"/>
          <w:sz w:val="20"/>
          <w:szCs w:val="20"/>
          <w:lang w:val="es-ES"/>
        </w:rPr>
        <w:t xml:space="preserve"> el trámite de la demanda</w:t>
      </w:r>
      <w:r w:rsidR="00DE291E">
        <w:rPr>
          <w:rFonts w:ascii="Cambria" w:hAnsi="Cambria"/>
          <w:sz w:val="20"/>
          <w:szCs w:val="20"/>
          <w:lang w:val="es-ES"/>
        </w:rPr>
        <w:t>,</w:t>
      </w:r>
      <w:r>
        <w:rPr>
          <w:rFonts w:ascii="Cambria" w:hAnsi="Cambria"/>
          <w:sz w:val="20"/>
          <w:szCs w:val="20"/>
          <w:lang w:val="es-ES"/>
        </w:rPr>
        <w:t xml:space="preserve"> la </w:t>
      </w:r>
      <w:r w:rsidR="000C4E63">
        <w:rPr>
          <w:rFonts w:ascii="Cambria" w:hAnsi="Cambria"/>
          <w:sz w:val="20"/>
          <w:szCs w:val="20"/>
          <w:lang w:val="es-ES"/>
        </w:rPr>
        <w:t>Procuraduría</w:t>
      </w:r>
      <w:r>
        <w:rPr>
          <w:rFonts w:ascii="Cambria" w:hAnsi="Cambria"/>
          <w:sz w:val="20"/>
          <w:szCs w:val="20"/>
          <w:lang w:val="es-ES"/>
        </w:rPr>
        <w:t xml:space="preserve"> de la </w:t>
      </w:r>
      <w:r w:rsidR="00E5019B">
        <w:rPr>
          <w:rFonts w:ascii="Cambria" w:hAnsi="Cambria"/>
          <w:sz w:val="20"/>
          <w:szCs w:val="20"/>
          <w:lang w:val="es-ES"/>
        </w:rPr>
        <w:t>Administración</w:t>
      </w:r>
      <w:r>
        <w:rPr>
          <w:rFonts w:ascii="Cambria" w:hAnsi="Cambria"/>
          <w:sz w:val="20"/>
          <w:szCs w:val="20"/>
          <w:lang w:val="es-ES"/>
        </w:rPr>
        <w:t xml:space="preserve"> </w:t>
      </w:r>
      <w:r w:rsidR="001F112D">
        <w:rPr>
          <w:rFonts w:ascii="Cambria" w:hAnsi="Cambria"/>
          <w:sz w:val="20"/>
          <w:szCs w:val="20"/>
          <w:lang w:val="es-ES"/>
        </w:rPr>
        <w:t xml:space="preserve">presentó su </w:t>
      </w:r>
      <w:r w:rsidR="00E5019B">
        <w:rPr>
          <w:rFonts w:ascii="Cambria" w:hAnsi="Cambria"/>
          <w:sz w:val="20"/>
          <w:szCs w:val="20"/>
          <w:lang w:val="es-ES"/>
        </w:rPr>
        <w:t xml:space="preserve">criterio sugiriendo </w:t>
      </w:r>
      <w:r>
        <w:rPr>
          <w:rFonts w:ascii="Cambria" w:hAnsi="Cambria"/>
          <w:sz w:val="20"/>
          <w:szCs w:val="20"/>
          <w:lang w:val="es-ES"/>
        </w:rPr>
        <w:t xml:space="preserve">la declaratoria de </w:t>
      </w:r>
      <w:r w:rsidR="00E5019B">
        <w:rPr>
          <w:rFonts w:ascii="Cambria" w:hAnsi="Cambria"/>
          <w:sz w:val="20"/>
          <w:szCs w:val="20"/>
          <w:lang w:val="es-ES"/>
        </w:rPr>
        <w:t>inconstitucionalidad</w:t>
      </w:r>
      <w:r>
        <w:rPr>
          <w:rFonts w:ascii="Cambria" w:hAnsi="Cambria"/>
          <w:sz w:val="20"/>
          <w:szCs w:val="20"/>
          <w:lang w:val="es-ES"/>
        </w:rPr>
        <w:t xml:space="preserve"> de los artículos en lo que se refiere a la prohibición del derecho de huelga. </w:t>
      </w:r>
      <w:r w:rsidR="00DE291E">
        <w:rPr>
          <w:rFonts w:ascii="Cambria" w:hAnsi="Cambria"/>
          <w:sz w:val="20"/>
          <w:szCs w:val="20"/>
          <w:lang w:val="es-ES"/>
        </w:rPr>
        <w:t xml:space="preserve">No obstante, </w:t>
      </w:r>
      <w:r w:rsidR="000C4E63">
        <w:rPr>
          <w:rFonts w:ascii="Cambria" w:hAnsi="Cambria"/>
          <w:sz w:val="20"/>
          <w:szCs w:val="20"/>
          <w:lang w:val="es-ES"/>
        </w:rPr>
        <w:t xml:space="preserve">la Sala </w:t>
      </w:r>
      <w:r w:rsidR="00DE291E">
        <w:rPr>
          <w:rFonts w:ascii="Cambria" w:hAnsi="Cambria"/>
          <w:sz w:val="20"/>
          <w:szCs w:val="20"/>
          <w:lang w:val="es-ES"/>
        </w:rPr>
        <w:t>C</w:t>
      </w:r>
      <w:r w:rsidR="000C4E63">
        <w:rPr>
          <w:rFonts w:ascii="Cambria" w:hAnsi="Cambria"/>
          <w:sz w:val="20"/>
          <w:szCs w:val="20"/>
          <w:lang w:val="es-ES"/>
        </w:rPr>
        <w:t>onstitucional</w:t>
      </w:r>
      <w:r w:rsidR="000D2200">
        <w:rPr>
          <w:rFonts w:ascii="Cambria" w:hAnsi="Cambria"/>
          <w:sz w:val="20"/>
          <w:szCs w:val="20"/>
          <w:lang w:val="es-ES"/>
        </w:rPr>
        <w:t xml:space="preserve"> de la Corte Suprema</w:t>
      </w:r>
      <w:r w:rsidR="000C4E63">
        <w:rPr>
          <w:rFonts w:ascii="Cambria" w:hAnsi="Cambria"/>
          <w:sz w:val="20"/>
          <w:szCs w:val="20"/>
          <w:lang w:val="es-ES"/>
        </w:rPr>
        <w:t xml:space="preserve"> </w:t>
      </w:r>
      <w:r w:rsidR="00DE291E">
        <w:rPr>
          <w:rFonts w:ascii="Cambria" w:hAnsi="Cambria"/>
          <w:sz w:val="20"/>
          <w:szCs w:val="20"/>
          <w:lang w:val="es-ES"/>
        </w:rPr>
        <w:t>emiti</w:t>
      </w:r>
      <w:r w:rsidR="009068D5">
        <w:rPr>
          <w:rFonts w:ascii="Cambria" w:hAnsi="Cambria"/>
          <w:sz w:val="20"/>
          <w:szCs w:val="20"/>
          <w:lang w:val="es-ES"/>
        </w:rPr>
        <w:t>ó su fallo el 27 de abril de 2009 declarando l</w:t>
      </w:r>
      <w:r w:rsidR="000C4E63">
        <w:rPr>
          <w:rFonts w:ascii="Cambria" w:hAnsi="Cambria"/>
          <w:sz w:val="20"/>
          <w:szCs w:val="20"/>
          <w:lang w:val="es-ES"/>
        </w:rPr>
        <w:t>a constituciona</w:t>
      </w:r>
      <w:r w:rsidR="009068D5">
        <w:rPr>
          <w:rFonts w:ascii="Cambria" w:hAnsi="Cambria"/>
          <w:sz w:val="20"/>
          <w:szCs w:val="20"/>
          <w:lang w:val="es-ES"/>
        </w:rPr>
        <w:t>l</w:t>
      </w:r>
      <w:r w:rsidR="000C4E63">
        <w:rPr>
          <w:rFonts w:ascii="Cambria" w:hAnsi="Cambria"/>
          <w:sz w:val="20"/>
          <w:szCs w:val="20"/>
          <w:lang w:val="es-ES"/>
        </w:rPr>
        <w:t xml:space="preserve">idad de todos los </w:t>
      </w:r>
      <w:r w:rsidR="009068D5">
        <w:rPr>
          <w:rFonts w:ascii="Cambria" w:hAnsi="Cambria"/>
          <w:sz w:val="20"/>
          <w:szCs w:val="20"/>
          <w:lang w:val="es-ES"/>
        </w:rPr>
        <w:t>artículos</w:t>
      </w:r>
      <w:r w:rsidR="000C4E63">
        <w:rPr>
          <w:rFonts w:ascii="Cambria" w:hAnsi="Cambria"/>
          <w:sz w:val="20"/>
          <w:szCs w:val="20"/>
          <w:lang w:val="es-ES"/>
        </w:rPr>
        <w:t>.</w:t>
      </w:r>
      <w:r w:rsidR="000411D0">
        <w:rPr>
          <w:rFonts w:ascii="Cambria" w:hAnsi="Cambria"/>
          <w:sz w:val="20"/>
          <w:szCs w:val="20"/>
          <w:lang w:val="es-ES"/>
        </w:rPr>
        <w:t xml:space="preserve"> En concreto, l</w:t>
      </w:r>
      <w:r w:rsidR="00B32F5D">
        <w:rPr>
          <w:rFonts w:ascii="Cambria" w:hAnsi="Cambria"/>
          <w:sz w:val="20"/>
          <w:szCs w:val="20"/>
          <w:lang w:val="es-ES"/>
        </w:rPr>
        <w:t xml:space="preserve">a </w:t>
      </w:r>
      <w:r w:rsidR="000411D0">
        <w:rPr>
          <w:rFonts w:ascii="Cambria" w:hAnsi="Cambria"/>
          <w:sz w:val="20"/>
          <w:szCs w:val="20"/>
          <w:lang w:val="es-ES"/>
        </w:rPr>
        <w:t>Corte Suprema consideró</w:t>
      </w:r>
      <w:r w:rsidR="00B32F5D">
        <w:rPr>
          <w:rFonts w:ascii="Cambria" w:hAnsi="Cambria"/>
          <w:sz w:val="20"/>
          <w:szCs w:val="20"/>
          <w:lang w:val="es-ES"/>
        </w:rPr>
        <w:t xml:space="preserve"> que </w:t>
      </w:r>
      <w:r w:rsidR="000411D0">
        <w:rPr>
          <w:rFonts w:ascii="Cambria" w:hAnsi="Cambria"/>
          <w:sz w:val="20"/>
          <w:szCs w:val="20"/>
          <w:lang w:val="es-ES"/>
        </w:rPr>
        <w:t>el</w:t>
      </w:r>
      <w:r w:rsidR="00B32F5D">
        <w:rPr>
          <w:rFonts w:ascii="Cambria" w:hAnsi="Cambria"/>
          <w:sz w:val="20"/>
          <w:szCs w:val="20"/>
          <w:lang w:val="es-ES"/>
        </w:rPr>
        <w:t xml:space="preserve"> derecho a la huelga podría </w:t>
      </w:r>
      <w:r w:rsidR="000411D0">
        <w:rPr>
          <w:rFonts w:ascii="Cambria" w:hAnsi="Cambria"/>
          <w:sz w:val="20"/>
          <w:szCs w:val="20"/>
          <w:lang w:val="es-ES"/>
        </w:rPr>
        <w:t xml:space="preserve">estar sujeto a limitaciones en </w:t>
      </w:r>
      <w:r w:rsidR="00B32F5D">
        <w:rPr>
          <w:rFonts w:ascii="Cambria" w:hAnsi="Cambria"/>
          <w:sz w:val="20"/>
          <w:szCs w:val="20"/>
          <w:lang w:val="es-ES"/>
        </w:rPr>
        <w:t xml:space="preserve">el marco de la función </w:t>
      </w:r>
      <w:r w:rsidR="000411D0">
        <w:rPr>
          <w:rFonts w:ascii="Cambria" w:hAnsi="Cambria"/>
          <w:sz w:val="20"/>
          <w:szCs w:val="20"/>
          <w:lang w:val="es-ES"/>
        </w:rPr>
        <w:t>públic</w:t>
      </w:r>
      <w:r w:rsidR="00B32F5D">
        <w:rPr>
          <w:rFonts w:ascii="Cambria" w:hAnsi="Cambria"/>
          <w:sz w:val="20"/>
          <w:szCs w:val="20"/>
          <w:lang w:val="es-ES"/>
        </w:rPr>
        <w:t>a y los servicios ese</w:t>
      </w:r>
      <w:r w:rsidR="000411D0">
        <w:rPr>
          <w:rFonts w:ascii="Cambria" w:hAnsi="Cambria"/>
          <w:sz w:val="20"/>
          <w:szCs w:val="20"/>
          <w:lang w:val="es-ES"/>
        </w:rPr>
        <w:t>n</w:t>
      </w:r>
      <w:r w:rsidR="00B32F5D">
        <w:rPr>
          <w:rFonts w:ascii="Cambria" w:hAnsi="Cambria"/>
          <w:sz w:val="20"/>
          <w:szCs w:val="20"/>
          <w:lang w:val="es-ES"/>
        </w:rPr>
        <w:t>ciales</w:t>
      </w:r>
      <w:r w:rsidR="000411D0">
        <w:rPr>
          <w:rFonts w:ascii="Cambria" w:hAnsi="Cambria"/>
          <w:sz w:val="20"/>
          <w:szCs w:val="20"/>
          <w:lang w:val="es-ES"/>
        </w:rPr>
        <w:t xml:space="preserve"> en el cual estaría incluido la labor de los empleados del Canal de Panamá como un servicio púb</w:t>
      </w:r>
      <w:r w:rsidR="00B32F5D">
        <w:rPr>
          <w:rFonts w:ascii="Cambria" w:hAnsi="Cambria"/>
          <w:sz w:val="20"/>
          <w:szCs w:val="20"/>
          <w:lang w:val="es-ES"/>
        </w:rPr>
        <w:t xml:space="preserve">lico </w:t>
      </w:r>
      <w:r w:rsidR="000411D0">
        <w:rPr>
          <w:rFonts w:ascii="Cambria" w:hAnsi="Cambria"/>
          <w:sz w:val="20"/>
          <w:szCs w:val="20"/>
          <w:lang w:val="es-ES"/>
        </w:rPr>
        <w:t xml:space="preserve">internacional </w:t>
      </w:r>
      <w:r w:rsidR="00B32F5D">
        <w:rPr>
          <w:rFonts w:ascii="Cambria" w:hAnsi="Cambria"/>
          <w:sz w:val="20"/>
          <w:szCs w:val="20"/>
          <w:lang w:val="es-ES"/>
        </w:rPr>
        <w:t xml:space="preserve">esencial </w:t>
      </w:r>
      <w:r w:rsidR="000411D0">
        <w:rPr>
          <w:rFonts w:ascii="Cambria" w:hAnsi="Cambria"/>
          <w:sz w:val="20"/>
          <w:szCs w:val="20"/>
          <w:lang w:val="es-ES"/>
        </w:rPr>
        <w:t xml:space="preserve">como </w:t>
      </w:r>
      <w:r w:rsidR="00C93585">
        <w:rPr>
          <w:rFonts w:ascii="Cambria" w:hAnsi="Cambria"/>
          <w:sz w:val="20"/>
          <w:szCs w:val="20"/>
          <w:lang w:val="es-ES"/>
        </w:rPr>
        <w:t xml:space="preserve">resultado del </w:t>
      </w:r>
      <w:r w:rsidR="0014618A">
        <w:rPr>
          <w:rFonts w:ascii="Cambria" w:hAnsi="Cambria"/>
          <w:sz w:val="20"/>
          <w:szCs w:val="20"/>
          <w:lang w:val="es-ES"/>
        </w:rPr>
        <w:t>compromiso</w:t>
      </w:r>
      <w:r w:rsidR="00C93585">
        <w:rPr>
          <w:rFonts w:ascii="Cambria" w:hAnsi="Cambria"/>
          <w:sz w:val="20"/>
          <w:szCs w:val="20"/>
          <w:lang w:val="es-ES"/>
        </w:rPr>
        <w:t xml:space="preserve"> adquirido por la </w:t>
      </w:r>
      <w:r w:rsidR="005D3A43">
        <w:rPr>
          <w:rFonts w:ascii="Cambria" w:hAnsi="Cambria"/>
          <w:sz w:val="20"/>
          <w:szCs w:val="20"/>
          <w:lang w:val="es-ES"/>
        </w:rPr>
        <w:t>República</w:t>
      </w:r>
      <w:r w:rsidR="00C93585">
        <w:rPr>
          <w:rFonts w:ascii="Cambria" w:hAnsi="Cambria"/>
          <w:sz w:val="20"/>
          <w:szCs w:val="20"/>
          <w:lang w:val="es-ES"/>
        </w:rPr>
        <w:t xml:space="preserve"> de </w:t>
      </w:r>
      <w:r w:rsidR="0014618A">
        <w:rPr>
          <w:rFonts w:ascii="Cambria" w:hAnsi="Cambria"/>
          <w:sz w:val="20"/>
          <w:szCs w:val="20"/>
          <w:lang w:val="es-ES"/>
        </w:rPr>
        <w:t>Panamá</w:t>
      </w:r>
      <w:r w:rsidR="00C93585">
        <w:rPr>
          <w:rFonts w:ascii="Cambria" w:hAnsi="Cambria"/>
          <w:sz w:val="20"/>
          <w:szCs w:val="20"/>
          <w:lang w:val="es-ES"/>
        </w:rPr>
        <w:t xml:space="preserve"> en el Tratado Concerniente a la Neutralidad del Permanente y los Tratados Torrijos-Carter</w:t>
      </w:r>
      <w:r w:rsidR="000411D0">
        <w:rPr>
          <w:rFonts w:ascii="Cambria" w:hAnsi="Cambria"/>
          <w:sz w:val="20"/>
          <w:szCs w:val="20"/>
          <w:lang w:val="es-ES"/>
        </w:rPr>
        <w:t>.</w:t>
      </w:r>
      <w:r w:rsidR="00EB5185">
        <w:rPr>
          <w:rFonts w:ascii="Cambria" w:hAnsi="Cambria"/>
          <w:sz w:val="20"/>
          <w:szCs w:val="20"/>
          <w:lang w:val="es-ES"/>
        </w:rPr>
        <w:t xml:space="preserve"> </w:t>
      </w:r>
      <w:r w:rsidR="0014618A">
        <w:rPr>
          <w:rFonts w:ascii="Cambria" w:hAnsi="Cambria"/>
          <w:sz w:val="20"/>
          <w:szCs w:val="20"/>
          <w:lang w:val="es-ES"/>
        </w:rPr>
        <w:t xml:space="preserve">Así, el Tribunal agregó </w:t>
      </w:r>
      <w:r w:rsidR="00E760FA">
        <w:rPr>
          <w:rFonts w:ascii="Cambria" w:hAnsi="Cambria"/>
          <w:sz w:val="20"/>
          <w:szCs w:val="20"/>
          <w:lang w:val="es-ES"/>
        </w:rPr>
        <w:t>que,</w:t>
      </w:r>
      <w:r w:rsidR="0014618A">
        <w:rPr>
          <w:rFonts w:ascii="Cambria" w:hAnsi="Cambria"/>
          <w:sz w:val="20"/>
          <w:szCs w:val="20"/>
          <w:lang w:val="es-ES"/>
        </w:rPr>
        <w:t xml:space="preserve"> en vista de la prohibición del derecho de huelga, </w:t>
      </w:r>
      <w:r w:rsidR="000411D0">
        <w:rPr>
          <w:rFonts w:ascii="Cambria" w:hAnsi="Cambria"/>
          <w:sz w:val="20"/>
          <w:szCs w:val="20"/>
          <w:lang w:val="es-ES"/>
        </w:rPr>
        <w:t>el legislador dot</w:t>
      </w:r>
      <w:r w:rsidR="0014618A">
        <w:rPr>
          <w:rFonts w:ascii="Cambria" w:hAnsi="Cambria"/>
          <w:sz w:val="20"/>
          <w:szCs w:val="20"/>
          <w:lang w:val="es-ES"/>
        </w:rPr>
        <w:t>ó</w:t>
      </w:r>
      <w:r w:rsidR="000411D0">
        <w:rPr>
          <w:rFonts w:ascii="Cambria" w:hAnsi="Cambria"/>
          <w:sz w:val="20"/>
          <w:szCs w:val="20"/>
          <w:lang w:val="es-ES"/>
        </w:rPr>
        <w:t xml:space="preserve"> a los trabajadores de esta </w:t>
      </w:r>
      <w:r w:rsidR="0014618A">
        <w:rPr>
          <w:rFonts w:ascii="Cambria" w:hAnsi="Cambria"/>
          <w:sz w:val="20"/>
          <w:szCs w:val="20"/>
          <w:lang w:val="es-ES"/>
        </w:rPr>
        <w:t>institución</w:t>
      </w:r>
      <w:r w:rsidR="000411D0">
        <w:rPr>
          <w:rFonts w:ascii="Cambria" w:hAnsi="Cambria"/>
          <w:sz w:val="20"/>
          <w:szCs w:val="20"/>
          <w:lang w:val="es-ES"/>
        </w:rPr>
        <w:t xml:space="preserve"> de </w:t>
      </w:r>
      <w:r w:rsidR="0014618A">
        <w:rPr>
          <w:rFonts w:ascii="Cambria" w:hAnsi="Cambria"/>
          <w:sz w:val="20"/>
          <w:szCs w:val="20"/>
          <w:lang w:val="es-ES"/>
        </w:rPr>
        <w:t>garantías</w:t>
      </w:r>
      <w:r w:rsidR="000411D0">
        <w:rPr>
          <w:rFonts w:ascii="Cambria" w:hAnsi="Cambria"/>
          <w:sz w:val="20"/>
          <w:szCs w:val="20"/>
          <w:lang w:val="es-ES"/>
        </w:rPr>
        <w:t xml:space="preserve"> compensatorias imparciales y </w:t>
      </w:r>
      <w:r w:rsidR="0014618A">
        <w:rPr>
          <w:rFonts w:ascii="Cambria" w:hAnsi="Cambria"/>
          <w:sz w:val="20"/>
          <w:szCs w:val="20"/>
          <w:lang w:val="es-ES"/>
        </w:rPr>
        <w:t>rápidas.</w:t>
      </w:r>
    </w:p>
    <w:p w14:paraId="54231C93" w14:textId="77777777" w:rsidR="00357CD8" w:rsidRDefault="00357CD8" w:rsidP="00357CD8">
      <w:pPr>
        <w:pStyle w:val="ListParagraph"/>
        <w:rPr>
          <w:sz w:val="20"/>
          <w:szCs w:val="20"/>
          <w:lang w:val="es-ES"/>
        </w:rPr>
      </w:pPr>
    </w:p>
    <w:p w14:paraId="6735CBA2" w14:textId="77777777" w:rsidR="00DE230A" w:rsidRPr="00DE230A" w:rsidRDefault="00FB4612"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Con respecto a</w:t>
      </w:r>
      <w:r w:rsidR="00DE230A">
        <w:rPr>
          <w:rFonts w:ascii="Cambria" w:hAnsi="Cambria"/>
          <w:sz w:val="20"/>
          <w:szCs w:val="20"/>
          <w:lang w:val="es-ES"/>
        </w:rPr>
        <w:t>l argumento del Estado sobre a la</w:t>
      </w:r>
      <w:r>
        <w:rPr>
          <w:rFonts w:ascii="Cambria" w:hAnsi="Cambria"/>
          <w:sz w:val="20"/>
          <w:szCs w:val="20"/>
          <w:lang w:val="es-ES"/>
        </w:rPr>
        <w:t xml:space="preserve"> alegada litispendencia internacional y duplicidad, </w:t>
      </w:r>
      <w:r w:rsidR="00DE230A">
        <w:rPr>
          <w:rFonts w:ascii="Cambria" w:hAnsi="Cambria"/>
          <w:sz w:val="20"/>
          <w:szCs w:val="20"/>
          <w:lang w:val="es-ES"/>
        </w:rPr>
        <w:t xml:space="preserve">la parte peticionaria </w:t>
      </w:r>
      <w:r>
        <w:rPr>
          <w:rFonts w:ascii="Cambria" w:hAnsi="Cambria"/>
          <w:sz w:val="20"/>
          <w:szCs w:val="20"/>
          <w:lang w:val="es-ES"/>
        </w:rPr>
        <w:t xml:space="preserve">sostiene que </w:t>
      </w:r>
      <w:r w:rsidR="00DE230A">
        <w:rPr>
          <w:rFonts w:ascii="Cambria" w:hAnsi="Cambria"/>
          <w:sz w:val="20"/>
          <w:szCs w:val="20"/>
          <w:lang w:val="es-ES"/>
        </w:rPr>
        <w:t xml:space="preserve">el Estado </w:t>
      </w:r>
      <w:r>
        <w:rPr>
          <w:rFonts w:ascii="Cambria" w:hAnsi="Cambria"/>
          <w:sz w:val="20"/>
          <w:szCs w:val="20"/>
          <w:lang w:val="es-ES"/>
        </w:rPr>
        <w:t xml:space="preserve">no ha demostrado que la presente petición incurra en los requisitos establecidos para que sea declarada inadmisible. </w:t>
      </w:r>
      <w:r w:rsidR="00DE230A">
        <w:rPr>
          <w:rFonts w:ascii="Cambria" w:hAnsi="Cambria"/>
          <w:sz w:val="20"/>
          <w:szCs w:val="20"/>
          <w:lang w:val="es-ES"/>
        </w:rPr>
        <w:t xml:space="preserve">Al respecto, </w:t>
      </w:r>
      <w:r>
        <w:rPr>
          <w:rFonts w:ascii="Cambria" w:hAnsi="Cambria"/>
          <w:sz w:val="20"/>
          <w:szCs w:val="20"/>
          <w:lang w:val="es-ES"/>
        </w:rPr>
        <w:t>sostiene que en relación a la presunta litispendencia</w:t>
      </w:r>
      <w:r w:rsidR="00DE230A">
        <w:rPr>
          <w:rFonts w:ascii="Cambria" w:hAnsi="Cambria"/>
          <w:sz w:val="20"/>
          <w:szCs w:val="20"/>
          <w:lang w:val="es-ES"/>
        </w:rPr>
        <w:t xml:space="preserve"> internacional</w:t>
      </w:r>
      <w:r>
        <w:rPr>
          <w:rFonts w:ascii="Cambria" w:hAnsi="Cambria"/>
          <w:sz w:val="20"/>
          <w:szCs w:val="20"/>
          <w:lang w:val="es-ES"/>
        </w:rPr>
        <w:t xml:space="preserve"> </w:t>
      </w:r>
      <w:r w:rsidR="00DE230A">
        <w:rPr>
          <w:rFonts w:ascii="Cambria" w:hAnsi="Cambria"/>
          <w:sz w:val="20"/>
          <w:szCs w:val="20"/>
          <w:lang w:val="es-ES"/>
        </w:rPr>
        <w:t xml:space="preserve">vinculada a </w:t>
      </w:r>
      <w:r>
        <w:rPr>
          <w:rFonts w:ascii="Cambria" w:hAnsi="Cambria"/>
          <w:sz w:val="20"/>
          <w:szCs w:val="20"/>
          <w:lang w:val="es-ES"/>
        </w:rPr>
        <w:t xml:space="preserve">la queja 3106 objeto de examen ante el Comité de Libertad Sindical de la Organización Internacional de Trabajo (en adelante “la OIT”), </w:t>
      </w:r>
      <w:r w:rsidR="001F57B8" w:rsidRPr="001F57B8">
        <w:rPr>
          <w:rFonts w:ascii="Cambria" w:hAnsi="Cambria"/>
          <w:sz w:val="20"/>
          <w:szCs w:val="20"/>
          <w:lang w:val="es-419"/>
        </w:rPr>
        <w:t xml:space="preserve">el Estado pretende convencer que la queja </w:t>
      </w:r>
      <w:r w:rsidR="00DE230A">
        <w:rPr>
          <w:rFonts w:ascii="Cambria" w:hAnsi="Cambria"/>
          <w:sz w:val="20"/>
          <w:szCs w:val="20"/>
          <w:lang w:val="es-419"/>
        </w:rPr>
        <w:t xml:space="preserve">presentada en el </w:t>
      </w:r>
      <w:r w:rsidR="001F57B8">
        <w:rPr>
          <w:rFonts w:ascii="Cambria" w:hAnsi="Cambria"/>
          <w:sz w:val="20"/>
          <w:szCs w:val="20"/>
          <w:lang w:val="es-419"/>
        </w:rPr>
        <w:t>2014</w:t>
      </w:r>
      <w:r w:rsidR="001F57B8" w:rsidRPr="001F57B8">
        <w:rPr>
          <w:rFonts w:ascii="Cambria" w:hAnsi="Cambria"/>
          <w:sz w:val="20"/>
          <w:szCs w:val="20"/>
          <w:lang w:val="es-419"/>
        </w:rPr>
        <w:t xml:space="preserve"> es anterior a la presente petici</w:t>
      </w:r>
      <w:r w:rsidR="001F57B8">
        <w:rPr>
          <w:rFonts w:ascii="Cambria" w:hAnsi="Cambria"/>
          <w:sz w:val="20"/>
          <w:szCs w:val="20"/>
          <w:lang w:val="es-419"/>
        </w:rPr>
        <w:t>ó</w:t>
      </w:r>
      <w:r w:rsidR="001F57B8" w:rsidRPr="001F57B8">
        <w:rPr>
          <w:rFonts w:ascii="Cambria" w:hAnsi="Cambria"/>
          <w:sz w:val="20"/>
          <w:szCs w:val="20"/>
          <w:lang w:val="es-419"/>
        </w:rPr>
        <w:t xml:space="preserve">n por el hecho que </w:t>
      </w:r>
      <w:r w:rsidR="001F57B8">
        <w:rPr>
          <w:rFonts w:ascii="Cambria" w:hAnsi="Cambria"/>
          <w:sz w:val="20"/>
          <w:szCs w:val="20"/>
          <w:lang w:val="es-419"/>
        </w:rPr>
        <w:t>e</w:t>
      </w:r>
      <w:r w:rsidR="001F57B8" w:rsidRPr="001F57B8">
        <w:rPr>
          <w:rFonts w:ascii="Cambria" w:hAnsi="Cambria"/>
          <w:sz w:val="20"/>
          <w:szCs w:val="20"/>
          <w:lang w:val="es-419"/>
        </w:rPr>
        <w:t>sta</w:t>
      </w:r>
      <w:r w:rsidR="001F57B8">
        <w:rPr>
          <w:rFonts w:ascii="Cambria" w:hAnsi="Cambria"/>
          <w:sz w:val="20"/>
          <w:szCs w:val="20"/>
          <w:lang w:val="es-419"/>
        </w:rPr>
        <w:t xml:space="preserve"> última</w:t>
      </w:r>
      <w:r w:rsidR="001F57B8" w:rsidRPr="001F57B8">
        <w:rPr>
          <w:rFonts w:ascii="Cambria" w:hAnsi="Cambria"/>
          <w:sz w:val="20"/>
          <w:szCs w:val="20"/>
          <w:lang w:val="es-419"/>
        </w:rPr>
        <w:t xml:space="preserve"> fue notificada en el 2016 </w:t>
      </w:r>
      <w:r w:rsidR="001F57B8">
        <w:rPr>
          <w:rFonts w:ascii="Cambria" w:hAnsi="Cambria"/>
          <w:sz w:val="20"/>
          <w:szCs w:val="20"/>
          <w:lang w:val="es-419"/>
        </w:rPr>
        <w:t>y de acuerdo a su interpretación del artículo 30 del Reglamento de la CIDH, ese sería el inicio de la petición. Argumenta, no obstante, que es una caprichosa interpretación en tanto el artículo no establece términos de inicio sino el procedimiento seguido por la Comisión</w:t>
      </w:r>
      <w:r w:rsidR="00D80EA5">
        <w:rPr>
          <w:rFonts w:ascii="Cambria" w:hAnsi="Cambria"/>
          <w:sz w:val="20"/>
          <w:szCs w:val="20"/>
          <w:lang w:val="es-419"/>
        </w:rPr>
        <w:t xml:space="preserve"> y consideran que la petición ante la CIDH fue presentada con anterioridad</w:t>
      </w:r>
      <w:r w:rsidR="001F57B8">
        <w:rPr>
          <w:rFonts w:ascii="Cambria" w:hAnsi="Cambria"/>
          <w:sz w:val="20"/>
          <w:szCs w:val="20"/>
          <w:lang w:val="es-419"/>
        </w:rPr>
        <w:t xml:space="preserve">. </w:t>
      </w:r>
      <w:r w:rsidR="00D80EA5">
        <w:rPr>
          <w:rFonts w:ascii="Cambria" w:hAnsi="Cambria"/>
          <w:sz w:val="20"/>
          <w:szCs w:val="20"/>
          <w:lang w:val="es-419"/>
        </w:rPr>
        <w:t>Asimismo, e</w:t>
      </w:r>
      <w:r w:rsidR="001F57B8">
        <w:rPr>
          <w:rFonts w:ascii="Cambria" w:hAnsi="Cambria"/>
          <w:sz w:val="20"/>
          <w:szCs w:val="20"/>
          <w:lang w:val="es-419"/>
        </w:rPr>
        <w:t>nfatiza que la OIT no resolvió el asunto ya que fue archivado por falta de informaciones adicionales de las organizaciones querellantes. En particular sobre</w:t>
      </w:r>
      <w:r w:rsidR="00DE230A">
        <w:rPr>
          <w:rFonts w:ascii="Cambria" w:hAnsi="Cambria"/>
          <w:sz w:val="20"/>
          <w:szCs w:val="20"/>
          <w:lang w:val="es-419"/>
        </w:rPr>
        <w:t xml:space="preserve"> el análisis de</w:t>
      </w:r>
      <w:r w:rsidR="001F57B8">
        <w:rPr>
          <w:rFonts w:ascii="Cambria" w:hAnsi="Cambria"/>
          <w:sz w:val="20"/>
          <w:szCs w:val="20"/>
          <w:lang w:val="es-419"/>
        </w:rPr>
        <w:t xml:space="preserve"> la identidad de los elementos, alega que </w:t>
      </w:r>
      <w:r w:rsidR="005F42C3">
        <w:rPr>
          <w:rFonts w:ascii="Cambria" w:hAnsi="Cambria"/>
          <w:sz w:val="20"/>
          <w:szCs w:val="20"/>
          <w:lang w:val="es-419"/>
        </w:rPr>
        <w:t>el análisis del Estado es dife</w:t>
      </w:r>
      <w:r w:rsidR="00D80EA5">
        <w:rPr>
          <w:rFonts w:ascii="Cambria" w:hAnsi="Cambria"/>
          <w:sz w:val="20"/>
          <w:szCs w:val="20"/>
          <w:lang w:val="es-419"/>
        </w:rPr>
        <w:t>re</w:t>
      </w:r>
      <w:r w:rsidR="005F42C3">
        <w:rPr>
          <w:rFonts w:ascii="Cambria" w:hAnsi="Cambria"/>
          <w:sz w:val="20"/>
          <w:szCs w:val="20"/>
          <w:lang w:val="es-419"/>
        </w:rPr>
        <w:t xml:space="preserve">nte a la jurisprudencia de la CIDH </w:t>
      </w:r>
      <w:r w:rsidR="00D80EA5">
        <w:rPr>
          <w:rFonts w:ascii="Cambria" w:hAnsi="Cambria"/>
          <w:sz w:val="20"/>
          <w:szCs w:val="20"/>
          <w:lang w:val="es-419"/>
        </w:rPr>
        <w:t>sobre la reproducción sustancias. C</w:t>
      </w:r>
      <w:r w:rsidR="005F42C3">
        <w:rPr>
          <w:rFonts w:ascii="Cambria" w:hAnsi="Cambria"/>
          <w:sz w:val="20"/>
          <w:szCs w:val="20"/>
          <w:lang w:val="es-419"/>
        </w:rPr>
        <w:t xml:space="preserve">oncuerda con el Estado en la coincidencia </w:t>
      </w:r>
      <w:r w:rsidR="00D80EA5">
        <w:rPr>
          <w:rFonts w:ascii="Cambria" w:hAnsi="Cambria"/>
          <w:sz w:val="20"/>
          <w:szCs w:val="20"/>
          <w:lang w:val="es-419"/>
        </w:rPr>
        <w:t>de</w:t>
      </w:r>
      <w:r w:rsidR="005F42C3">
        <w:rPr>
          <w:rFonts w:ascii="Cambria" w:hAnsi="Cambria"/>
          <w:sz w:val="20"/>
          <w:szCs w:val="20"/>
          <w:lang w:val="es-419"/>
        </w:rPr>
        <w:t xml:space="preserve"> la identidad de </w:t>
      </w:r>
      <w:r w:rsidR="00D80EA5">
        <w:rPr>
          <w:rFonts w:ascii="Cambria" w:hAnsi="Cambria"/>
          <w:sz w:val="20"/>
          <w:szCs w:val="20"/>
          <w:lang w:val="es-419"/>
        </w:rPr>
        <w:t>las v</w:t>
      </w:r>
      <w:r w:rsidR="0070754E">
        <w:rPr>
          <w:rFonts w:ascii="Cambria" w:hAnsi="Cambria"/>
          <w:sz w:val="20"/>
          <w:szCs w:val="20"/>
          <w:lang w:val="es-419"/>
        </w:rPr>
        <w:t>íctimas en tanto son</w:t>
      </w:r>
      <w:r w:rsidR="00D80EA5">
        <w:rPr>
          <w:rFonts w:ascii="Cambria" w:hAnsi="Cambria"/>
          <w:sz w:val="20"/>
          <w:szCs w:val="20"/>
          <w:lang w:val="es-419"/>
        </w:rPr>
        <w:t xml:space="preserve"> los trabajadores del Canal de Panamá, pero recalca que los peticionarios son distintos</w:t>
      </w:r>
      <w:r w:rsidR="00D80EA5">
        <w:rPr>
          <w:rStyle w:val="FootnoteReference"/>
          <w:rFonts w:ascii="Cambria" w:hAnsi="Cambria"/>
          <w:sz w:val="20"/>
          <w:szCs w:val="20"/>
          <w:lang w:val="es-419"/>
        </w:rPr>
        <w:footnoteReference w:id="9"/>
      </w:r>
      <w:r w:rsidR="00D80EA5">
        <w:rPr>
          <w:rFonts w:ascii="Cambria" w:hAnsi="Cambria"/>
          <w:sz w:val="20"/>
          <w:szCs w:val="20"/>
          <w:lang w:val="es-419"/>
        </w:rPr>
        <w:t xml:space="preserve"> lo cual quebraría la triple identidad. </w:t>
      </w:r>
      <w:r w:rsidR="0070754E">
        <w:rPr>
          <w:rFonts w:ascii="Cambria" w:hAnsi="Cambria"/>
          <w:sz w:val="20"/>
          <w:szCs w:val="20"/>
          <w:lang w:val="es-419"/>
        </w:rPr>
        <w:t>Sostiene que no existe identidad en el objeto ya que los hechos en el caso ante la OIT refieren a la negación al derecho a huelga y a la aplicación de las garantías fundamentales otorgadas a cambio del derecho a huelga mientras que la presente petición no se menciona ni argumenta las garantías fundamentales. Por último, argumenta que no existe similitud alguna entre las bases legales utilizadas que en el caso de la queja ante la OIT refieren a los Convenios 87 y 98 de la OIT ratificados por Panamá.</w:t>
      </w:r>
    </w:p>
    <w:p w14:paraId="60E97C9C" w14:textId="1F85B321" w:rsidR="00357CD8" w:rsidRPr="00DE230A" w:rsidRDefault="0070754E" w:rsidP="00DE230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r>
        <w:rPr>
          <w:rFonts w:ascii="Cambria" w:hAnsi="Cambria"/>
          <w:sz w:val="20"/>
          <w:szCs w:val="20"/>
          <w:lang w:val="es-419"/>
        </w:rPr>
        <w:t xml:space="preserve"> </w:t>
      </w:r>
    </w:p>
    <w:p w14:paraId="3D0BC850" w14:textId="7DBBCBEE" w:rsidR="0070754E" w:rsidRPr="00EB5185" w:rsidRDefault="00DE230A"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Asimismo, frente a la alegada duplicidad de procesos de la presente petición con el caso 13.649 en trámite de fondo ante la CIDH, la parte peticionaria argumenta igualmente que, si bien existe coincidencia entre el Estado y las presuntas víctimas, los peticionarios son distintos. Al respecto destaca que en el caso mencionado la parte peticionaria son la Organización Sindical de Empleados Canaleros y la Unión de Capitanes y Oficiales del Canal de Panamá, las cuales son agrupaciones sindicales con el derecho a presentar peticiones ante la CIDH sin que ello sea causal de inadmisibilidad. </w:t>
      </w:r>
      <w:r w:rsidR="007F65CC">
        <w:rPr>
          <w:rFonts w:ascii="Cambria" w:hAnsi="Cambria"/>
          <w:sz w:val="20"/>
          <w:szCs w:val="20"/>
          <w:lang w:val="es-ES"/>
        </w:rPr>
        <w:t xml:space="preserve">En cuanto a la identidad del objeto, la parte peticionaria alega que la presenta </w:t>
      </w:r>
      <w:r w:rsidR="00453E99">
        <w:rPr>
          <w:rFonts w:ascii="Cambria" w:hAnsi="Cambria"/>
          <w:sz w:val="20"/>
          <w:szCs w:val="20"/>
          <w:lang w:val="es-ES"/>
        </w:rPr>
        <w:t>petición</w:t>
      </w:r>
      <w:r w:rsidR="007F65CC">
        <w:rPr>
          <w:rFonts w:ascii="Cambria" w:hAnsi="Cambria"/>
          <w:sz w:val="20"/>
          <w:szCs w:val="20"/>
          <w:lang w:val="es-ES"/>
        </w:rPr>
        <w:t xml:space="preserve"> únicamente declara como violatorio el fallo de la Corte Suprema de Justicia que prohíbe el derecho a huelga aun cuando la Procuraduría de la Administración emitiera criterio sobre su inconstitucionalidad</w:t>
      </w:r>
      <w:r w:rsidR="00453E99">
        <w:rPr>
          <w:rFonts w:ascii="Cambria" w:hAnsi="Cambria"/>
          <w:sz w:val="20"/>
          <w:szCs w:val="20"/>
          <w:lang w:val="es-ES"/>
        </w:rPr>
        <w:t xml:space="preserve"> y sostiene que los artículos 92, 109.7 y 113.5 de la Ley 19 de 1997 impiden que los trabajadores y las organizaciones sindicales ejerzan el derecho a huelga con consecuencias de despido para los </w:t>
      </w:r>
      <w:r w:rsidR="00453E99">
        <w:rPr>
          <w:rFonts w:ascii="Cambria" w:hAnsi="Cambria"/>
          <w:sz w:val="20"/>
          <w:szCs w:val="20"/>
          <w:lang w:val="es-ES"/>
        </w:rPr>
        <w:lastRenderedPageBreak/>
        <w:t xml:space="preserve">primeros y pérdida de certificación para representar para los últimos; mientras que el caso 13.649, de acuerdo al informe de admisibilidad No. 88/18, argumenta varios hechos entre ellos, que: i) la Ley 19 priva a los trabajadores de beneficios económicos con lo cual excluye a los trabajadores del Canal de percibir el pago de la bonificación; ii) la demora injustificada de la Corte Suprema de Justicia en resolver la demanda de inconstitucionalidad en contra de la mencionada ley; iii) el silencio del mismo tribunal en relación a la misma demanda; iv) el Estado ha propiciado la violación del Protocolo de San Salvador al permitir que la Corte confirme la prohibición de derecho a huelga; y v) la ineficiencia de las garantías compensatorias. Por último, aclara que la base legal es distinta en tanto el caso en fondo vincula los artículos 1.2, 2, 8, 24, 25 y 26 de la Convención Americana y el artículo 8 del Protocolo de San Salvador; mientras que la </w:t>
      </w:r>
      <w:r w:rsidR="005F4FB7">
        <w:rPr>
          <w:rFonts w:ascii="Cambria" w:hAnsi="Cambria"/>
          <w:sz w:val="20"/>
          <w:szCs w:val="20"/>
          <w:lang w:val="es-ES"/>
        </w:rPr>
        <w:t xml:space="preserve">base legal de la </w:t>
      </w:r>
      <w:r w:rsidR="00453E99">
        <w:rPr>
          <w:rFonts w:ascii="Cambria" w:hAnsi="Cambria"/>
          <w:sz w:val="20"/>
          <w:szCs w:val="20"/>
          <w:lang w:val="es-ES"/>
        </w:rPr>
        <w:t xml:space="preserve">presente petición descansa </w:t>
      </w:r>
      <w:r w:rsidR="005F4FB7">
        <w:rPr>
          <w:rFonts w:ascii="Cambria" w:hAnsi="Cambria"/>
          <w:sz w:val="20"/>
          <w:szCs w:val="20"/>
          <w:lang w:val="es-ES"/>
        </w:rPr>
        <w:t xml:space="preserve">en el artículo 25 de la Convención, XVIII de la Declaración, 8 del Protocolo de San Salvador, 45.C de la Carta de la OEA y 27 de la Carta Americana de Garantías Sociales. </w:t>
      </w:r>
    </w:p>
    <w:p w14:paraId="6AC2659C" w14:textId="77777777" w:rsidR="0065630D"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47AA3C3" w14:textId="281C0993" w:rsidR="00E150C1" w:rsidRDefault="00DE291E"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Por su parte, e</w:t>
      </w:r>
      <w:r w:rsidR="00E150C1">
        <w:rPr>
          <w:rFonts w:ascii="Cambria" w:hAnsi="Cambria"/>
          <w:sz w:val="20"/>
          <w:szCs w:val="20"/>
          <w:lang w:val="es-ES"/>
        </w:rPr>
        <w:t xml:space="preserve">l Estado </w:t>
      </w:r>
      <w:r w:rsidR="00FC5B39">
        <w:rPr>
          <w:rFonts w:ascii="Cambria" w:hAnsi="Cambria"/>
          <w:sz w:val="20"/>
          <w:szCs w:val="20"/>
          <w:lang w:val="es-ES"/>
        </w:rPr>
        <w:t xml:space="preserve">alega que </w:t>
      </w:r>
      <w:r w:rsidR="00A863F6">
        <w:rPr>
          <w:rFonts w:ascii="Cambria" w:hAnsi="Cambria"/>
          <w:sz w:val="20"/>
          <w:szCs w:val="20"/>
          <w:lang w:val="es-ES"/>
        </w:rPr>
        <w:t xml:space="preserve">la Ley No. 19 y un Título Constitucional denominado El Canal de Panamá se aprobaron luego de una amplia discusión con todos los sectores de la nación a raíz de </w:t>
      </w:r>
      <w:r w:rsidR="00FC5B39">
        <w:rPr>
          <w:rFonts w:ascii="Cambria" w:hAnsi="Cambria"/>
          <w:sz w:val="20"/>
          <w:szCs w:val="20"/>
          <w:lang w:val="es-ES"/>
        </w:rPr>
        <w:t xml:space="preserve">los compromisos adquiridos en virtud del Tratado del Canal de Panamá (en adelante “Tratado Torrijos-Carter”) </w:t>
      </w:r>
      <w:r w:rsidR="00A863F6">
        <w:rPr>
          <w:rFonts w:ascii="Cambria" w:hAnsi="Cambria"/>
          <w:sz w:val="20"/>
          <w:szCs w:val="20"/>
          <w:lang w:val="es-ES"/>
        </w:rPr>
        <w:t xml:space="preserve"> y del Tratado concerniente a la Neutralidad Permanente del Canal (en adelante “Trato de Neutralidad”) como una normativa especial dentro del ordenamiento jurídico para instrumentar una entidad estatal que se hiciera cargo del Canal. </w:t>
      </w:r>
      <w:r w:rsidR="00757766">
        <w:rPr>
          <w:rFonts w:ascii="Cambria" w:hAnsi="Cambria"/>
          <w:sz w:val="20"/>
          <w:szCs w:val="20"/>
          <w:lang w:val="es-ES"/>
        </w:rPr>
        <w:t>Alega que esta Ley tiene como propósito proporcionar</w:t>
      </w:r>
      <w:r w:rsidR="00482D33">
        <w:rPr>
          <w:rFonts w:ascii="Cambria" w:hAnsi="Cambria"/>
          <w:sz w:val="20"/>
          <w:szCs w:val="20"/>
          <w:lang w:val="es-ES"/>
        </w:rPr>
        <w:t xml:space="preserve"> a</w:t>
      </w:r>
      <w:r w:rsidR="00757766">
        <w:rPr>
          <w:rFonts w:ascii="Cambria" w:hAnsi="Cambria"/>
          <w:sz w:val="20"/>
          <w:szCs w:val="20"/>
          <w:lang w:val="es-ES"/>
        </w:rPr>
        <w:t xml:space="preserve"> la entidad con normas de carácter general para su organización, funcionamiento y modernización</w:t>
      </w:r>
      <w:r w:rsidR="0043295F">
        <w:rPr>
          <w:rFonts w:ascii="Cambria" w:hAnsi="Cambria"/>
          <w:sz w:val="20"/>
          <w:szCs w:val="20"/>
          <w:lang w:val="es-ES"/>
        </w:rPr>
        <w:t>. E</w:t>
      </w:r>
      <w:r w:rsidR="00757766">
        <w:rPr>
          <w:rFonts w:ascii="Cambria" w:hAnsi="Cambria"/>
          <w:sz w:val="20"/>
          <w:szCs w:val="20"/>
          <w:lang w:val="es-ES"/>
        </w:rPr>
        <w:t xml:space="preserve">n este sentido, </w:t>
      </w:r>
      <w:r w:rsidR="0043295F">
        <w:rPr>
          <w:rFonts w:ascii="Cambria" w:hAnsi="Cambria"/>
          <w:sz w:val="20"/>
          <w:szCs w:val="20"/>
          <w:lang w:val="es-ES"/>
        </w:rPr>
        <w:t xml:space="preserve">la prohibición de la huelga en el Canal de Panamá  obedece a una decisión del pueblo confirmada por los tres órganos del Estado y en vista de lo mismo, </w:t>
      </w:r>
      <w:r w:rsidR="00757766">
        <w:rPr>
          <w:rFonts w:ascii="Cambria" w:hAnsi="Cambria"/>
          <w:sz w:val="20"/>
          <w:szCs w:val="20"/>
          <w:lang w:val="es-ES"/>
        </w:rPr>
        <w:t xml:space="preserve">contiene </w:t>
      </w:r>
      <w:r w:rsidR="0043295F">
        <w:rPr>
          <w:rFonts w:ascii="Cambria" w:hAnsi="Cambria"/>
          <w:sz w:val="20"/>
          <w:szCs w:val="20"/>
          <w:lang w:val="es-ES"/>
        </w:rPr>
        <w:t>garantías</w:t>
      </w:r>
      <w:r w:rsidR="00757766">
        <w:rPr>
          <w:rFonts w:ascii="Cambria" w:hAnsi="Cambria"/>
          <w:sz w:val="20"/>
          <w:szCs w:val="20"/>
          <w:lang w:val="es-ES"/>
        </w:rPr>
        <w:t xml:space="preserve"> compensatorias para los trabajadores del Canal, entre otras, el sistema de libertad de información, el derechos de las organizaciones sindicales a mante</w:t>
      </w:r>
      <w:r w:rsidR="0043295F">
        <w:rPr>
          <w:rFonts w:ascii="Cambria" w:hAnsi="Cambria"/>
          <w:sz w:val="20"/>
          <w:szCs w:val="20"/>
          <w:lang w:val="es-ES"/>
        </w:rPr>
        <w:t>ne</w:t>
      </w:r>
      <w:r w:rsidR="00757766">
        <w:rPr>
          <w:rFonts w:ascii="Cambria" w:hAnsi="Cambria"/>
          <w:sz w:val="20"/>
          <w:szCs w:val="20"/>
          <w:lang w:val="es-ES"/>
        </w:rPr>
        <w:t xml:space="preserve">r afiliación a organizaciones internacionales, el derecho al </w:t>
      </w:r>
      <w:r w:rsidR="0043295F">
        <w:rPr>
          <w:rFonts w:ascii="Cambria" w:hAnsi="Cambria"/>
          <w:sz w:val="20"/>
          <w:szCs w:val="20"/>
          <w:lang w:val="es-ES"/>
        </w:rPr>
        <w:t>procedimiento</w:t>
      </w:r>
      <w:r w:rsidR="00757766">
        <w:rPr>
          <w:rFonts w:ascii="Cambria" w:hAnsi="Cambria"/>
          <w:sz w:val="20"/>
          <w:szCs w:val="20"/>
          <w:lang w:val="es-ES"/>
        </w:rPr>
        <w:t xml:space="preserve"> de </w:t>
      </w:r>
      <w:r w:rsidR="0043295F">
        <w:rPr>
          <w:rFonts w:ascii="Cambria" w:hAnsi="Cambria"/>
          <w:sz w:val="20"/>
          <w:szCs w:val="20"/>
          <w:lang w:val="es-ES"/>
        </w:rPr>
        <w:t>tramitación</w:t>
      </w:r>
      <w:r w:rsidR="00757766">
        <w:rPr>
          <w:rFonts w:ascii="Cambria" w:hAnsi="Cambria"/>
          <w:sz w:val="20"/>
          <w:szCs w:val="20"/>
          <w:lang w:val="es-ES"/>
        </w:rPr>
        <w:t xml:space="preserve"> de quejas y arbitraje</w:t>
      </w:r>
      <w:r w:rsidR="0043295F">
        <w:rPr>
          <w:rFonts w:ascii="Cambria" w:hAnsi="Cambria"/>
          <w:sz w:val="20"/>
          <w:szCs w:val="20"/>
          <w:lang w:val="es-ES"/>
        </w:rPr>
        <w:t>, los procedimientos de negociación colectiva y la creación de un organismo independiente para resolver los conflictos laborales como la Junta de Relaciones Laborales.</w:t>
      </w:r>
    </w:p>
    <w:p w14:paraId="5809764F" w14:textId="77777777" w:rsidR="00E269CA" w:rsidRDefault="00E269CA" w:rsidP="00E269C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CEC2A78" w14:textId="4B3CB60C" w:rsidR="00EE2573" w:rsidRDefault="0043295F"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485FC6">
        <w:rPr>
          <w:rFonts w:ascii="Cambria" w:hAnsi="Cambria"/>
          <w:sz w:val="20"/>
          <w:szCs w:val="20"/>
          <w:lang w:val="es-ES"/>
        </w:rPr>
        <w:t xml:space="preserve">Argumenta que las presuntas víctimas, junto con el sindicato </w:t>
      </w:r>
      <w:proofErr w:type="spellStart"/>
      <w:r w:rsidRPr="00485FC6">
        <w:rPr>
          <w:rFonts w:ascii="Cambria" w:hAnsi="Cambria"/>
          <w:sz w:val="20"/>
          <w:szCs w:val="20"/>
          <w:lang w:val="es-ES"/>
        </w:rPr>
        <w:t>National</w:t>
      </w:r>
      <w:proofErr w:type="spellEnd"/>
      <w:r w:rsidRPr="00485FC6">
        <w:rPr>
          <w:rFonts w:ascii="Cambria" w:hAnsi="Cambria"/>
          <w:sz w:val="20"/>
          <w:szCs w:val="20"/>
          <w:lang w:val="es-ES"/>
        </w:rPr>
        <w:t xml:space="preserve"> </w:t>
      </w:r>
      <w:proofErr w:type="spellStart"/>
      <w:r w:rsidRPr="00485FC6">
        <w:rPr>
          <w:rFonts w:ascii="Cambria" w:hAnsi="Cambria"/>
          <w:sz w:val="20"/>
          <w:szCs w:val="20"/>
          <w:lang w:val="es-ES"/>
        </w:rPr>
        <w:t>Maritime</w:t>
      </w:r>
      <w:proofErr w:type="spellEnd"/>
      <w:r w:rsidRPr="00485FC6">
        <w:rPr>
          <w:rFonts w:ascii="Cambria" w:hAnsi="Cambria"/>
          <w:sz w:val="20"/>
          <w:szCs w:val="20"/>
          <w:lang w:val="es-ES"/>
        </w:rPr>
        <w:t xml:space="preserve"> </w:t>
      </w:r>
      <w:proofErr w:type="spellStart"/>
      <w:r w:rsidRPr="00485FC6">
        <w:rPr>
          <w:rFonts w:ascii="Cambria" w:hAnsi="Cambria"/>
          <w:sz w:val="20"/>
          <w:szCs w:val="20"/>
          <w:lang w:val="es-ES"/>
        </w:rPr>
        <w:t>Union</w:t>
      </w:r>
      <w:proofErr w:type="spellEnd"/>
      <w:r w:rsidRPr="00485FC6">
        <w:rPr>
          <w:rFonts w:ascii="Cambria" w:hAnsi="Cambria"/>
          <w:sz w:val="20"/>
          <w:szCs w:val="20"/>
          <w:lang w:val="es-ES"/>
        </w:rPr>
        <w:t xml:space="preserve"> y el sindicato del Canal de Panamá y del Caribe componen el Representante Exclusivo de la Unidad Negociadora de los Trabajadores No Profesionales que, de acuerdo a la Le</w:t>
      </w:r>
      <w:r w:rsidR="002274FD" w:rsidRPr="00485FC6">
        <w:rPr>
          <w:rFonts w:ascii="Cambria" w:hAnsi="Cambria"/>
          <w:sz w:val="20"/>
          <w:szCs w:val="20"/>
          <w:lang w:val="es-ES"/>
        </w:rPr>
        <w:t>y</w:t>
      </w:r>
      <w:r w:rsidRPr="00485FC6">
        <w:rPr>
          <w:rFonts w:ascii="Cambria" w:hAnsi="Cambria"/>
          <w:sz w:val="20"/>
          <w:szCs w:val="20"/>
          <w:lang w:val="es-ES"/>
        </w:rPr>
        <w:t xml:space="preserve"> 19, debe promover la </w:t>
      </w:r>
      <w:r w:rsidR="00E269CA" w:rsidRPr="00485FC6">
        <w:rPr>
          <w:rFonts w:ascii="Cambria" w:hAnsi="Cambria"/>
          <w:sz w:val="20"/>
          <w:szCs w:val="20"/>
          <w:lang w:val="es-ES"/>
        </w:rPr>
        <w:t>eficiencia</w:t>
      </w:r>
      <w:r w:rsidRPr="00485FC6">
        <w:rPr>
          <w:rFonts w:ascii="Cambria" w:hAnsi="Cambria"/>
          <w:sz w:val="20"/>
          <w:szCs w:val="20"/>
          <w:lang w:val="es-ES"/>
        </w:rPr>
        <w:t xml:space="preserve"> de la operación del Canal.  El Estado agrega que </w:t>
      </w:r>
      <w:r w:rsidR="007D4EF3">
        <w:rPr>
          <w:rFonts w:ascii="Cambria" w:hAnsi="Cambria"/>
          <w:sz w:val="20"/>
          <w:szCs w:val="20"/>
          <w:lang w:val="es-ES"/>
        </w:rPr>
        <w:t>la parte peticionaria</w:t>
      </w:r>
      <w:r w:rsidRPr="00485FC6">
        <w:rPr>
          <w:rFonts w:ascii="Cambria" w:hAnsi="Cambria"/>
          <w:sz w:val="20"/>
          <w:szCs w:val="20"/>
          <w:lang w:val="es-ES"/>
        </w:rPr>
        <w:t xml:space="preserve"> no ha agotado los recursos de la </w:t>
      </w:r>
      <w:r w:rsidR="00E269CA" w:rsidRPr="00504AB2">
        <w:rPr>
          <w:rFonts w:ascii="Cambria" w:hAnsi="Cambria"/>
          <w:sz w:val="20"/>
          <w:szCs w:val="20"/>
          <w:lang w:val="es-ES"/>
        </w:rPr>
        <w:t>jurisdicción</w:t>
      </w:r>
      <w:r w:rsidRPr="00485FC6">
        <w:rPr>
          <w:rFonts w:ascii="Cambria" w:hAnsi="Cambria"/>
          <w:sz w:val="20"/>
          <w:szCs w:val="20"/>
          <w:lang w:val="es-ES"/>
        </w:rPr>
        <w:t xml:space="preserve"> interna en tanto las presuntas víctimas de esta </w:t>
      </w:r>
      <w:r w:rsidR="00E269CA" w:rsidRPr="00485FC6">
        <w:rPr>
          <w:rFonts w:ascii="Cambria" w:hAnsi="Cambria"/>
          <w:sz w:val="20"/>
          <w:szCs w:val="20"/>
          <w:lang w:val="es-ES"/>
        </w:rPr>
        <w:t>petición</w:t>
      </w:r>
      <w:r w:rsidRPr="00485FC6">
        <w:rPr>
          <w:rFonts w:ascii="Cambria" w:hAnsi="Cambria"/>
          <w:sz w:val="20"/>
          <w:szCs w:val="20"/>
          <w:lang w:val="es-ES"/>
        </w:rPr>
        <w:t xml:space="preserve"> no </w:t>
      </w:r>
      <w:r w:rsidR="00E269CA" w:rsidRPr="00485FC6">
        <w:rPr>
          <w:rFonts w:ascii="Cambria" w:hAnsi="Cambria"/>
          <w:sz w:val="20"/>
          <w:szCs w:val="20"/>
          <w:lang w:val="es-ES"/>
        </w:rPr>
        <w:t>participaron</w:t>
      </w:r>
      <w:r w:rsidRPr="00485FC6">
        <w:rPr>
          <w:rFonts w:ascii="Cambria" w:hAnsi="Cambria"/>
          <w:sz w:val="20"/>
          <w:szCs w:val="20"/>
          <w:lang w:val="es-ES"/>
        </w:rPr>
        <w:t xml:space="preserve"> </w:t>
      </w:r>
      <w:r w:rsidR="00E269CA" w:rsidRPr="00485FC6">
        <w:rPr>
          <w:rFonts w:ascii="Cambria" w:hAnsi="Cambria"/>
          <w:sz w:val="20"/>
          <w:szCs w:val="20"/>
          <w:lang w:val="es-ES"/>
        </w:rPr>
        <w:t xml:space="preserve">de manera directa ni indirecta en la acción de constitucionalidad interpuesta por el CONUSI y en este sentido, no han reclamado la ilegalidad, inconstitucionalidad o violación de sus derechos. </w:t>
      </w:r>
      <w:r w:rsidR="00485FC6" w:rsidRPr="00485FC6">
        <w:rPr>
          <w:rFonts w:ascii="Cambria" w:hAnsi="Cambria"/>
          <w:sz w:val="20"/>
          <w:szCs w:val="20"/>
          <w:lang w:val="es-ES"/>
        </w:rPr>
        <w:t xml:space="preserve"> </w:t>
      </w:r>
      <w:r w:rsidR="00EE2573" w:rsidRPr="00274539">
        <w:rPr>
          <w:rFonts w:ascii="Cambria" w:hAnsi="Cambria"/>
          <w:sz w:val="20"/>
          <w:szCs w:val="20"/>
          <w:lang w:val="es-ES"/>
        </w:rPr>
        <w:t xml:space="preserve">Alega que se evidencia que no hubo violación al derecho de justicia o protección judicial en tanto los peticionarios no acudieron a la Corte Suprema de Justicia para ejercer algún derecho relacionado alguna acción judicial. Describe que la falta de acción judicial por parte de los mismos no debe interpretarse como una violación a los mencionados derechos ya que contaban con la acción para tutelar su derecho sin que mediara ninguna causa o impedimento para hacerlo. </w:t>
      </w:r>
      <w:r w:rsidR="00481290" w:rsidRPr="00274539">
        <w:rPr>
          <w:rFonts w:ascii="Cambria" w:hAnsi="Cambria"/>
          <w:sz w:val="20"/>
          <w:szCs w:val="20"/>
          <w:lang w:val="es-ES"/>
        </w:rPr>
        <w:t xml:space="preserve">Adicionalmente argumenta que el derecho a huelga de acuerdo con el Protocolo de San Salvador está sujeto a limitaciones y en este caso las mismas están contenidas en una norma que deviene de la propia constitución y de tratados internacionales. </w:t>
      </w:r>
    </w:p>
    <w:p w14:paraId="1FA0899B" w14:textId="77777777" w:rsidR="00485FC6" w:rsidRDefault="00485FC6" w:rsidP="00485FC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1B28A088" w14:textId="7F676496" w:rsidR="004051C3" w:rsidRDefault="00485FC6"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Por último, el Estado argumenta </w:t>
      </w:r>
      <w:r w:rsidR="006A6686">
        <w:rPr>
          <w:rFonts w:ascii="Cambria" w:hAnsi="Cambria"/>
          <w:sz w:val="20"/>
          <w:szCs w:val="20"/>
          <w:lang w:val="es-ES"/>
        </w:rPr>
        <w:t xml:space="preserve">la inadmisibilidad de la presente petición en tanto la materia </w:t>
      </w:r>
      <w:r>
        <w:rPr>
          <w:rFonts w:ascii="Cambria" w:hAnsi="Cambria"/>
          <w:sz w:val="20"/>
          <w:szCs w:val="20"/>
          <w:lang w:val="es-ES"/>
        </w:rPr>
        <w:t xml:space="preserve">ya fue </w:t>
      </w:r>
      <w:r w:rsidR="006448A3">
        <w:rPr>
          <w:rFonts w:ascii="Cambria" w:hAnsi="Cambria"/>
          <w:sz w:val="20"/>
          <w:szCs w:val="20"/>
          <w:lang w:val="es-ES"/>
        </w:rPr>
        <w:t xml:space="preserve">objeto de examen y resolución </w:t>
      </w:r>
      <w:r>
        <w:rPr>
          <w:rFonts w:ascii="Cambria" w:hAnsi="Cambria"/>
          <w:sz w:val="20"/>
          <w:szCs w:val="20"/>
          <w:lang w:val="es-ES"/>
        </w:rPr>
        <w:t xml:space="preserve">por </w:t>
      </w:r>
      <w:r w:rsidR="006A6686">
        <w:rPr>
          <w:rFonts w:ascii="Cambria" w:hAnsi="Cambria"/>
          <w:sz w:val="20"/>
          <w:szCs w:val="20"/>
          <w:lang w:val="es-ES"/>
        </w:rPr>
        <w:t xml:space="preserve">parte de un organismo internacional y, además, reproduce sustancialmente una petición anterior que actualmente es objeto del examen por parte de la Comisión en la etapa de fondo. Al respecto, el Estado sostiene que </w:t>
      </w:r>
      <w:r>
        <w:rPr>
          <w:rFonts w:ascii="Cambria" w:hAnsi="Cambria"/>
          <w:sz w:val="20"/>
          <w:szCs w:val="20"/>
          <w:lang w:val="es-ES"/>
        </w:rPr>
        <w:t>el Comité de Libertad Sindical de la OIT</w:t>
      </w:r>
      <w:r w:rsidR="006A6686">
        <w:rPr>
          <w:rFonts w:ascii="Cambria" w:hAnsi="Cambria"/>
          <w:sz w:val="20"/>
          <w:szCs w:val="20"/>
          <w:lang w:val="es-ES"/>
        </w:rPr>
        <w:t xml:space="preserve"> analizó </w:t>
      </w:r>
      <w:r>
        <w:rPr>
          <w:rFonts w:ascii="Cambria" w:hAnsi="Cambria"/>
          <w:sz w:val="20"/>
          <w:szCs w:val="20"/>
          <w:lang w:val="es-ES"/>
        </w:rPr>
        <w:t xml:space="preserve">la queja sobre </w:t>
      </w:r>
      <w:r w:rsidR="006448A3">
        <w:rPr>
          <w:rFonts w:ascii="Cambria" w:hAnsi="Cambria"/>
          <w:sz w:val="20"/>
          <w:szCs w:val="20"/>
          <w:lang w:val="es-ES"/>
        </w:rPr>
        <w:t xml:space="preserve">la prohibición de la huelga en el Canal de Panamá presentada </w:t>
      </w:r>
      <w:r w:rsidRPr="005F4FB7">
        <w:rPr>
          <w:rFonts w:ascii="Cambria" w:hAnsi="Cambria"/>
          <w:sz w:val="20"/>
          <w:szCs w:val="20"/>
          <w:lang w:val="es-ES"/>
        </w:rPr>
        <w:t xml:space="preserve">contra el Estado de Panamá el 10 de agosto y 20 de noviembre de 2014 </w:t>
      </w:r>
      <w:r w:rsidR="00D83C4F" w:rsidRPr="005F4FB7">
        <w:rPr>
          <w:rFonts w:ascii="Cambria" w:hAnsi="Cambria"/>
          <w:sz w:val="20"/>
          <w:szCs w:val="20"/>
          <w:lang w:val="es-ES"/>
        </w:rPr>
        <w:t xml:space="preserve">por </w:t>
      </w:r>
      <w:r w:rsidRPr="005F4FB7">
        <w:rPr>
          <w:rFonts w:ascii="Cambria" w:hAnsi="Cambria"/>
          <w:sz w:val="20"/>
          <w:szCs w:val="20"/>
          <w:lang w:val="es-ES"/>
        </w:rPr>
        <w:t>la Unión de Capitanes y Oficiales de Cubierta, la Unión de Prácticos del Canal de Panamá, la Unión de Ingenieros Marinos y el Sindicato del Canal de Panamá y del Caribe.</w:t>
      </w:r>
      <w:r w:rsidR="006A6686" w:rsidRPr="005F4FB7">
        <w:rPr>
          <w:rFonts w:ascii="Cambria" w:hAnsi="Cambria"/>
          <w:sz w:val="20"/>
          <w:szCs w:val="20"/>
          <w:lang w:val="es-ES"/>
        </w:rPr>
        <w:t xml:space="preserve"> </w:t>
      </w:r>
      <w:r w:rsidR="00E4645A">
        <w:rPr>
          <w:rFonts w:ascii="Cambria" w:hAnsi="Cambria"/>
          <w:sz w:val="20"/>
          <w:szCs w:val="20"/>
          <w:lang w:val="es-ES"/>
        </w:rPr>
        <w:t>Alega que</w:t>
      </w:r>
      <w:r w:rsidR="00A00A1E">
        <w:rPr>
          <w:rFonts w:ascii="Cambria" w:hAnsi="Cambria"/>
          <w:sz w:val="20"/>
          <w:szCs w:val="20"/>
          <w:lang w:val="es-ES"/>
        </w:rPr>
        <w:t xml:space="preserve"> el proceso adelantado ante la O</w:t>
      </w:r>
      <w:r w:rsidR="00E4645A">
        <w:rPr>
          <w:rFonts w:ascii="Cambria" w:hAnsi="Cambria"/>
          <w:sz w:val="20"/>
          <w:szCs w:val="20"/>
          <w:lang w:val="es-ES"/>
        </w:rPr>
        <w:t xml:space="preserve">IT no constituye un examen general de la situación del derecho a huelga en Panamá, sino que consistió en el análisis y atención de la situación específica de los trabajadores del Canal de Panamá en relación con la prohibición contenida en la Ley Orgánica de la Autoridad del Canal de Panamá. </w:t>
      </w:r>
      <w:r w:rsidR="006A6686" w:rsidRPr="005F4FB7">
        <w:rPr>
          <w:rFonts w:ascii="Cambria" w:hAnsi="Cambria"/>
          <w:sz w:val="20"/>
          <w:szCs w:val="20"/>
          <w:lang w:val="es-ES"/>
        </w:rPr>
        <w:t>En</w:t>
      </w:r>
      <w:r w:rsidR="006A6686">
        <w:rPr>
          <w:rFonts w:ascii="Cambria" w:hAnsi="Cambria"/>
          <w:sz w:val="20"/>
          <w:szCs w:val="20"/>
          <w:lang w:val="es-ES"/>
        </w:rPr>
        <w:t xml:space="preserve"> este sentido, s</w:t>
      </w:r>
      <w:r w:rsidR="006448A3">
        <w:rPr>
          <w:rFonts w:ascii="Cambria" w:hAnsi="Cambria"/>
          <w:sz w:val="20"/>
          <w:szCs w:val="20"/>
          <w:lang w:val="es-ES"/>
        </w:rPr>
        <w:t xml:space="preserve">ostiene que </w:t>
      </w:r>
      <w:r w:rsidR="006A6686">
        <w:rPr>
          <w:rFonts w:ascii="Cambria" w:hAnsi="Cambria"/>
          <w:sz w:val="20"/>
          <w:szCs w:val="20"/>
          <w:lang w:val="es-ES"/>
        </w:rPr>
        <w:t xml:space="preserve">la </w:t>
      </w:r>
      <w:r w:rsidR="006448A3">
        <w:rPr>
          <w:rFonts w:ascii="Cambria" w:hAnsi="Cambria"/>
          <w:sz w:val="20"/>
          <w:szCs w:val="20"/>
          <w:lang w:val="es-ES"/>
        </w:rPr>
        <w:t xml:space="preserve">presente petición </w:t>
      </w:r>
      <w:r w:rsidR="006A6686">
        <w:rPr>
          <w:rFonts w:ascii="Cambria" w:hAnsi="Cambria"/>
          <w:sz w:val="20"/>
          <w:szCs w:val="20"/>
          <w:lang w:val="es-ES"/>
        </w:rPr>
        <w:t xml:space="preserve">ante la Comisión </w:t>
      </w:r>
      <w:r w:rsidR="006448A3">
        <w:rPr>
          <w:rFonts w:ascii="Cambria" w:hAnsi="Cambria"/>
          <w:sz w:val="20"/>
          <w:szCs w:val="20"/>
          <w:lang w:val="es-ES"/>
        </w:rPr>
        <w:t>fue transmitida siete años después de su presentación</w:t>
      </w:r>
      <w:r w:rsidR="006A6686">
        <w:rPr>
          <w:rFonts w:ascii="Cambria" w:hAnsi="Cambria"/>
          <w:sz w:val="20"/>
          <w:szCs w:val="20"/>
          <w:lang w:val="es-ES"/>
        </w:rPr>
        <w:t>,</w:t>
      </w:r>
      <w:r w:rsidR="006448A3">
        <w:rPr>
          <w:rFonts w:ascii="Cambria" w:hAnsi="Cambria"/>
          <w:sz w:val="20"/>
          <w:szCs w:val="20"/>
          <w:lang w:val="es-ES"/>
        </w:rPr>
        <w:t xml:space="preserve"> cuando la OIT ya estaba examinando la mencionada queja promovida por los mismos denunciantes. </w:t>
      </w:r>
      <w:r w:rsidR="00A00A1E">
        <w:rPr>
          <w:rFonts w:ascii="Cambria" w:hAnsi="Cambria"/>
          <w:sz w:val="20"/>
          <w:szCs w:val="20"/>
          <w:lang w:val="es-ES"/>
        </w:rPr>
        <w:t xml:space="preserve">Recalca que esta demora resulta de fundamental importancia al efecto de determinar el incumplimiento del artículo 46.1.c de la Convención Americana por cuanto la fecha de inicio del proceso de peticiones individuales queda </w:t>
      </w:r>
      <w:r w:rsidR="00A00A1E">
        <w:rPr>
          <w:rFonts w:ascii="Cambria" w:hAnsi="Cambria"/>
          <w:sz w:val="20"/>
          <w:szCs w:val="20"/>
          <w:lang w:val="es-ES"/>
        </w:rPr>
        <w:lastRenderedPageBreak/>
        <w:t>determinada por la fecha de traslado al Estado conforme al contenido del artículo 30 del Reglamento de la CIDH y por tanto la petición constituye un hecho sobreviviente que modificó el cumplimiento del requisito contemplado en el artículo 47.d de la Convención Americ</w:t>
      </w:r>
      <w:r w:rsidR="004051C3">
        <w:rPr>
          <w:rFonts w:ascii="Cambria" w:hAnsi="Cambria"/>
          <w:sz w:val="20"/>
          <w:szCs w:val="20"/>
          <w:lang w:val="es-ES"/>
        </w:rPr>
        <w:t>a</w:t>
      </w:r>
      <w:r w:rsidR="00A00A1E">
        <w:rPr>
          <w:rFonts w:ascii="Cambria" w:hAnsi="Cambria"/>
          <w:sz w:val="20"/>
          <w:szCs w:val="20"/>
          <w:lang w:val="es-ES"/>
        </w:rPr>
        <w:t xml:space="preserve">na. </w:t>
      </w:r>
    </w:p>
    <w:p w14:paraId="656D28C7" w14:textId="77777777" w:rsidR="004051C3" w:rsidRDefault="004051C3" w:rsidP="004051C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43A2250" w14:textId="625802B8" w:rsidR="00485FC6" w:rsidRDefault="00E4645A"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Aduce que </w:t>
      </w:r>
      <w:r w:rsidR="00665A5F">
        <w:rPr>
          <w:rFonts w:ascii="Cambria" w:hAnsi="Cambria"/>
          <w:sz w:val="20"/>
          <w:szCs w:val="20"/>
          <w:lang w:val="es-ES"/>
        </w:rPr>
        <w:t xml:space="preserve">existe una coincidencia plena de las partes entre la presente petición y el caso examinado por la OIT en la medida que </w:t>
      </w:r>
      <w:r w:rsidR="001F0CF0">
        <w:rPr>
          <w:rFonts w:ascii="Cambria" w:hAnsi="Cambria"/>
          <w:sz w:val="20"/>
          <w:szCs w:val="20"/>
          <w:lang w:val="es-ES"/>
        </w:rPr>
        <w:t xml:space="preserve">se señala como responsable al Estado panameño, a los trabajadores del Canal de Panamá como las presuntas víctimas y, en ambos casos, los peticionarios son sindicatos de trabajadores de la Autoridad del Canal de Panamá. </w:t>
      </w:r>
      <w:r w:rsidR="00665A5F">
        <w:rPr>
          <w:rFonts w:ascii="Cambria" w:hAnsi="Cambria"/>
          <w:sz w:val="20"/>
          <w:szCs w:val="20"/>
          <w:lang w:val="es-ES"/>
        </w:rPr>
        <w:t xml:space="preserve">Asimismo, argumenta que ambos procedimientos reclaman la responsabilidad internación del Estado por cuanto el contenido del artículo 92 de la Ley 19 señala la prohibición de la huelga en el Canal ocurriendo una identidad en el objeto. Finalmente, </w:t>
      </w:r>
      <w:r w:rsidR="00986FA9">
        <w:rPr>
          <w:rFonts w:ascii="Cambria" w:hAnsi="Cambria"/>
          <w:sz w:val="20"/>
          <w:szCs w:val="20"/>
          <w:lang w:val="es-ES"/>
        </w:rPr>
        <w:t>señala que la petición se refiere al derecho a la huelga aduciendo a la violación del Protocolo de San Salvador, a la Carta de la OEA y a la Carta de Garantías Sociales mientras la queja ante la OIT señala la prohibición de la huelga a los trabajadores del Canal sin asegurar suficientes garantías compensatorias incumpliendo los principios recogidos por los Convenios No. 87 sobre la libertad sindical y derecho de asociación y No. 98 sobre el derecho de negociación colectiva. Sostiene que</w:t>
      </w:r>
      <w:r w:rsidR="00A00A1E">
        <w:rPr>
          <w:rFonts w:ascii="Cambria" w:hAnsi="Cambria"/>
          <w:sz w:val="20"/>
          <w:szCs w:val="20"/>
          <w:lang w:val="es-ES"/>
        </w:rPr>
        <w:t>,</w:t>
      </w:r>
      <w:r w:rsidR="00986FA9">
        <w:rPr>
          <w:rFonts w:ascii="Cambria" w:hAnsi="Cambria"/>
          <w:sz w:val="20"/>
          <w:szCs w:val="20"/>
          <w:lang w:val="es-ES"/>
        </w:rPr>
        <w:t xml:space="preserve"> si bien el Convenio No. 87 no </w:t>
      </w:r>
      <w:r w:rsidR="00A00A1E">
        <w:rPr>
          <w:rFonts w:ascii="Cambria" w:hAnsi="Cambria"/>
          <w:sz w:val="20"/>
          <w:szCs w:val="20"/>
          <w:lang w:val="es-ES"/>
        </w:rPr>
        <w:t>desarrolla</w:t>
      </w:r>
      <w:r w:rsidR="00986FA9">
        <w:rPr>
          <w:rFonts w:ascii="Cambria" w:hAnsi="Cambria"/>
          <w:sz w:val="20"/>
          <w:szCs w:val="20"/>
          <w:lang w:val="es-ES"/>
        </w:rPr>
        <w:t xml:space="preserve"> textualmente el derecho a la huelga, el Comité de Libertad Sindical ha señalado que el derecho de huelga es corolario indisociable </w:t>
      </w:r>
      <w:r w:rsidR="00A00A1E">
        <w:rPr>
          <w:rFonts w:ascii="Cambria" w:hAnsi="Cambria"/>
          <w:sz w:val="20"/>
          <w:szCs w:val="20"/>
          <w:lang w:val="es-ES"/>
        </w:rPr>
        <w:t xml:space="preserve">del derecho de sindicación protegido por el mencionado Convenio. </w:t>
      </w:r>
    </w:p>
    <w:p w14:paraId="11A72E17" w14:textId="77777777" w:rsidR="006A6686" w:rsidRDefault="006A6686" w:rsidP="006A6686">
      <w:pPr>
        <w:pStyle w:val="ListParagraph"/>
        <w:rPr>
          <w:sz w:val="20"/>
          <w:szCs w:val="20"/>
          <w:lang w:val="es-ES"/>
        </w:rPr>
      </w:pPr>
    </w:p>
    <w:p w14:paraId="04B06B1A" w14:textId="2F41B955" w:rsidR="00077815" w:rsidRPr="00077815" w:rsidRDefault="00374458"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77815">
        <w:rPr>
          <w:rFonts w:ascii="Cambria" w:hAnsi="Cambria"/>
          <w:sz w:val="20"/>
          <w:szCs w:val="20"/>
          <w:lang w:val="es-ES"/>
        </w:rPr>
        <w:t xml:space="preserve">Asimismo, en relación a la duplicidad de la presente petición, el Estado argumenta que la Comisión emitió </w:t>
      </w:r>
      <w:r w:rsidR="00EA5D26" w:rsidRPr="00DA681E">
        <w:rPr>
          <w:rFonts w:ascii="Cambria" w:hAnsi="Cambria"/>
          <w:sz w:val="20"/>
          <w:szCs w:val="20"/>
          <w:lang w:val="es-ES"/>
        </w:rPr>
        <w:t>el I</w:t>
      </w:r>
      <w:r w:rsidRPr="00DA681E">
        <w:rPr>
          <w:rFonts w:ascii="Cambria" w:hAnsi="Cambria"/>
          <w:sz w:val="20"/>
          <w:szCs w:val="20"/>
          <w:lang w:val="es-ES"/>
        </w:rPr>
        <w:t>nforme No. 88/18 que determinó la admisibilidad de la petición que actualmente se encuentra en la etapa de análisis de fondo</w:t>
      </w:r>
      <w:r w:rsidR="00EA5D26" w:rsidRPr="000F3D21">
        <w:rPr>
          <w:rFonts w:ascii="Cambria" w:hAnsi="Cambria"/>
          <w:sz w:val="20"/>
          <w:szCs w:val="20"/>
          <w:lang w:val="es-ES"/>
        </w:rPr>
        <w:t xml:space="preserve"> bajo el No. 13.649</w:t>
      </w:r>
      <w:r w:rsidRPr="000F3D21">
        <w:rPr>
          <w:rFonts w:ascii="Cambria" w:hAnsi="Cambria"/>
          <w:sz w:val="20"/>
          <w:szCs w:val="20"/>
          <w:lang w:val="es-ES"/>
        </w:rPr>
        <w:t xml:space="preserve">. </w:t>
      </w:r>
      <w:r w:rsidR="00077815" w:rsidRPr="000F3D21">
        <w:rPr>
          <w:rFonts w:ascii="Cambria" w:hAnsi="Cambria"/>
          <w:sz w:val="20"/>
          <w:szCs w:val="20"/>
          <w:lang w:val="es-ES"/>
        </w:rPr>
        <w:t xml:space="preserve">Destaca igualmente que el trámite de admisibilidad del caso referenciado, la entonces petición 1077-07, inició el 13 de noviembre de 2007 es decir 9 años antes que la comunicación hecho al Estado respecto de la presente petición. </w:t>
      </w:r>
      <w:r w:rsidRPr="000F3D21">
        <w:rPr>
          <w:rFonts w:ascii="Cambria" w:hAnsi="Cambria"/>
          <w:sz w:val="20"/>
          <w:szCs w:val="20"/>
          <w:lang w:val="es-ES"/>
        </w:rPr>
        <w:t xml:space="preserve">Al respecto identifica que en ambas peticiones existe una coincidencia entre las partes del proceso, los hechos y los </w:t>
      </w:r>
      <w:r w:rsidR="00B21DC0" w:rsidRPr="00846490">
        <w:rPr>
          <w:rFonts w:ascii="Cambria" w:hAnsi="Cambria"/>
          <w:sz w:val="20"/>
          <w:szCs w:val="20"/>
          <w:lang w:val="es-ES"/>
        </w:rPr>
        <w:t xml:space="preserve">presuntos </w:t>
      </w:r>
      <w:r w:rsidRPr="00846490">
        <w:rPr>
          <w:rFonts w:ascii="Cambria" w:hAnsi="Cambria"/>
          <w:sz w:val="20"/>
          <w:szCs w:val="20"/>
          <w:lang w:val="es-ES"/>
        </w:rPr>
        <w:t xml:space="preserve">derechos conculcados. En particular, refiere que como presuntas víctimas se presentan a los trabajadores del Canal de Panamá y por su parte, ambos casos tienen por peticionarios a sindicatos de trabajadores del Canal que, al momento de las denuncias correspondientes, hacían parte de la misma unidad negociadora de trabajadores no profesionales del Canal de Panamá. </w:t>
      </w:r>
      <w:r w:rsidR="00EA5D26" w:rsidRPr="00846490">
        <w:rPr>
          <w:rFonts w:ascii="Cambria" w:hAnsi="Cambria"/>
          <w:sz w:val="20"/>
          <w:szCs w:val="20"/>
          <w:lang w:val="es-ES"/>
        </w:rPr>
        <w:t>Refiere que en ambos procesos, los hechos aducidos refieren a la pro</w:t>
      </w:r>
      <w:r w:rsidR="00EA5D26" w:rsidRPr="00853A49">
        <w:rPr>
          <w:rFonts w:ascii="Cambria" w:hAnsi="Cambria"/>
          <w:sz w:val="20"/>
          <w:szCs w:val="20"/>
          <w:lang w:val="es-ES"/>
        </w:rPr>
        <w:t xml:space="preserve">hibición de la huelga en el Canal de Panamá y al alegado retaso injustificado de la Corte Suprema de Justicia para resolver el recurso de inconstitucionalidad presentado </w:t>
      </w:r>
      <w:r w:rsidR="00EA5D26" w:rsidRPr="00923529">
        <w:rPr>
          <w:rFonts w:ascii="Cambria" w:hAnsi="Cambria"/>
          <w:sz w:val="20"/>
          <w:szCs w:val="20"/>
          <w:lang w:val="es-ES"/>
        </w:rPr>
        <w:t xml:space="preserve">en contra de dicha prohibición. Por último, destaca que </w:t>
      </w:r>
      <w:r w:rsidR="00077815" w:rsidRPr="00923529">
        <w:rPr>
          <w:rFonts w:ascii="Cambria" w:hAnsi="Cambria"/>
          <w:sz w:val="20"/>
          <w:szCs w:val="20"/>
          <w:lang w:val="es-ES"/>
        </w:rPr>
        <w:t xml:space="preserve">ambos casos los peticionarios señalaron que los hechos constituyen la </w:t>
      </w:r>
      <w:r w:rsidR="00077815" w:rsidRPr="004C6D95">
        <w:rPr>
          <w:rFonts w:ascii="Cambria" w:hAnsi="Cambria"/>
          <w:sz w:val="20"/>
          <w:szCs w:val="20"/>
          <w:lang w:val="es-ES"/>
        </w:rPr>
        <w:t>violación del art</w:t>
      </w:r>
      <w:r w:rsidR="00077815" w:rsidRPr="00077815">
        <w:rPr>
          <w:rFonts w:ascii="Cambria" w:hAnsi="Cambria"/>
          <w:sz w:val="20"/>
          <w:szCs w:val="20"/>
          <w:lang w:val="es-ES"/>
        </w:rPr>
        <w:t xml:space="preserve">ículo XVIII de la Declaración, el artículo 25 de la Convención y artículo 8 del Protocolo de San Salvador. En cuanto a la posibilidad de una acumulación de la presente petición y el caso, señala que la </w:t>
      </w:r>
      <w:r w:rsidR="00077815">
        <w:rPr>
          <w:rFonts w:ascii="Cambria" w:hAnsi="Cambria"/>
          <w:sz w:val="20"/>
          <w:szCs w:val="20"/>
          <w:lang w:val="es-ES"/>
        </w:rPr>
        <w:t xml:space="preserve">oportunidad procesal ha precluido en tanto esta prerrogativa </w:t>
      </w:r>
      <w:r w:rsidR="00077815" w:rsidRPr="00077815">
        <w:rPr>
          <w:rFonts w:ascii="Cambria" w:hAnsi="Cambria"/>
          <w:sz w:val="20"/>
          <w:szCs w:val="20"/>
          <w:lang w:val="es-ES"/>
        </w:rPr>
        <w:t>solo hubiese sido posible en la etapa de análisis inicial del procedimiento</w:t>
      </w:r>
      <w:r w:rsidR="00077815">
        <w:rPr>
          <w:rFonts w:ascii="Cambria" w:hAnsi="Cambria"/>
          <w:sz w:val="20"/>
          <w:szCs w:val="20"/>
          <w:lang w:val="es-ES"/>
        </w:rPr>
        <w:t xml:space="preserve"> de ambas peticiones</w:t>
      </w:r>
      <w:r w:rsidR="00077815" w:rsidRPr="00077815">
        <w:rPr>
          <w:rFonts w:ascii="Cambria" w:hAnsi="Cambria"/>
          <w:sz w:val="20"/>
          <w:szCs w:val="20"/>
          <w:lang w:val="es-ES"/>
        </w:rPr>
        <w:t>.</w:t>
      </w:r>
    </w:p>
    <w:p w14:paraId="4843EAC5" w14:textId="77777777" w:rsidR="00357CD8" w:rsidRDefault="00357CD8" w:rsidP="00357CD8">
      <w:pPr>
        <w:pStyle w:val="ListParagraph"/>
        <w:rPr>
          <w:sz w:val="20"/>
          <w:szCs w:val="20"/>
          <w:lang w:val="es-ES"/>
        </w:rPr>
      </w:pPr>
    </w:p>
    <w:p w14:paraId="6E7BD012" w14:textId="1C7236B0" w:rsidR="00357CD8" w:rsidRDefault="00357CD8" w:rsidP="0035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357CD8">
        <w:rPr>
          <w:rFonts w:asciiTheme="majorHAnsi" w:hAnsiTheme="majorHAnsi"/>
          <w:b/>
          <w:bCs/>
          <w:sz w:val="20"/>
          <w:szCs w:val="20"/>
          <w:lang w:val="es-ES"/>
        </w:rPr>
        <w:t xml:space="preserve">VI. </w:t>
      </w:r>
      <w:r>
        <w:rPr>
          <w:rFonts w:asciiTheme="majorHAnsi" w:hAnsiTheme="majorHAnsi"/>
          <w:b/>
          <w:bCs/>
          <w:sz w:val="20"/>
          <w:szCs w:val="20"/>
          <w:lang w:val="es-ES"/>
        </w:rPr>
        <w:tab/>
      </w:r>
      <w:r w:rsidRPr="00357CD8">
        <w:rPr>
          <w:rFonts w:asciiTheme="majorHAnsi" w:hAnsiTheme="majorHAnsi"/>
          <w:b/>
          <w:bCs/>
          <w:sz w:val="20"/>
          <w:szCs w:val="20"/>
          <w:lang w:val="es-ES"/>
        </w:rPr>
        <w:t xml:space="preserve">COMPETENCIA </w:t>
      </w:r>
    </w:p>
    <w:p w14:paraId="64A8B89B" w14:textId="1BF5AA7E" w:rsidR="00357CD8" w:rsidRDefault="00357CD8" w:rsidP="00357CD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501E76D7" w14:textId="518E39E2" w:rsidR="000F3D21" w:rsidRPr="00846490" w:rsidRDefault="00DA681E" w:rsidP="00981CB4">
      <w:pPr>
        <w:pStyle w:val="ListParagraph"/>
        <w:numPr>
          <w:ilvl w:val="0"/>
          <w:numId w:val="55"/>
        </w:numPr>
        <w:jc w:val="both"/>
        <w:rPr>
          <w:sz w:val="20"/>
          <w:szCs w:val="20"/>
          <w:lang w:val="es-ES"/>
        </w:rPr>
      </w:pPr>
      <w:r w:rsidRPr="000F3D21">
        <w:rPr>
          <w:rFonts w:eastAsia="Times New Roman" w:cs="Calibri"/>
          <w:sz w:val="20"/>
          <w:szCs w:val="20"/>
          <w:bdr w:val="none" w:sz="0" w:space="0" w:color="auto"/>
          <w:lang w:val="es-ES_tradnl"/>
        </w:rPr>
        <w:t>La Comisión recuerda que para que se considere que en un caso hay duplicidad o cosa juzgada internacional, además de identidad de sujetos, objeto y pretensión, se requiere que la petición esté siendo considerada, o haya sido decidida, por un organismo internacional que tenga competencia para adoptar decisiones sobre los hechos específicos contenidos en la petición, y medidas tendientes a la efectiva resolución de la disputa de que se trate</w:t>
      </w:r>
      <w:r w:rsidRPr="000F3D21">
        <w:rPr>
          <w:rFonts w:eastAsia="Times New Roman" w:cs="Calibri"/>
          <w:sz w:val="20"/>
          <w:szCs w:val="20"/>
          <w:bdr w:val="none" w:sz="0" w:space="0" w:color="auto"/>
          <w:vertAlign w:val="superscript"/>
        </w:rPr>
        <w:footnoteReference w:id="10"/>
      </w:r>
      <w:r w:rsidRPr="000F3D21">
        <w:rPr>
          <w:rFonts w:eastAsia="Times New Roman" w:cs="Calibri"/>
          <w:sz w:val="20"/>
          <w:szCs w:val="20"/>
          <w:bdr w:val="none" w:sz="0" w:space="0" w:color="auto"/>
          <w:lang w:val="es-ES_tradnl"/>
        </w:rPr>
        <w:t xml:space="preserve">. </w:t>
      </w:r>
      <w:r w:rsidR="000F3D21" w:rsidRPr="000F3D21">
        <w:rPr>
          <w:sz w:val="20"/>
          <w:szCs w:val="20"/>
          <w:lang w:val="es-ES"/>
        </w:rPr>
        <w:t xml:space="preserve">En tal sentido, la Comisión nota que el Estado plantea la inadmisibilidad de la presente petición toda vez que la misma fue examinada por parte del Comité de Libertad Sindical de la OIT. A este respecto, la Comisión ha señalado que no debe inhibirse cuando el procedimiento seguido ante la otra organización se limita al examen de la situación general sobre derechos humanos en un </w:t>
      </w:r>
      <w:r w:rsidR="000F3D21" w:rsidRPr="00846490">
        <w:rPr>
          <w:sz w:val="20"/>
          <w:szCs w:val="20"/>
          <w:lang w:val="es-ES"/>
        </w:rPr>
        <w:t>Estado, y no exista una decisión sobre los hechos específicos que son objeto de la petición sometida a la Comisión o que no conduzca a un arreglo efectivo de la violación denunciada. Para efectos del presente caso, la Comisión observa que las recomendaciones de este mecanismo internacional no tienen un efecto jurídico vinculante, ni pecuniario-</w:t>
      </w:r>
      <w:r w:rsidR="000F3D21" w:rsidRPr="00846490">
        <w:rPr>
          <w:sz w:val="20"/>
          <w:szCs w:val="20"/>
          <w:lang w:val="es-ES"/>
        </w:rPr>
        <w:lastRenderedPageBreak/>
        <w:t>restitutivo, o de carácter indemnizatorio</w:t>
      </w:r>
      <w:r w:rsidR="000F3D21" w:rsidRPr="00846490">
        <w:rPr>
          <w:rStyle w:val="FootnoteReference"/>
          <w:rFonts w:cs="Calibri"/>
          <w:sz w:val="20"/>
          <w:szCs w:val="20"/>
          <w:lang w:val="es-ES_tradnl"/>
        </w:rPr>
        <w:footnoteReference w:id="11"/>
      </w:r>
      <w:r w:rsidR="000F3D21" w:rsidRPr="00846490">
        <w:rPr>
          <w:sz w:val="20"/>
          <w:szCs w:val="20"/>
          <w:lang w:val="es-ES"/>
        </w:rPr>
        <w:t xml:space="preserve"> y sus pronunciamientos, no se refieren a la eventual vulneración de otros derechos que escapan a la competencia de ese organismo, y sobre los cuales sí tienen competencia los órganos del Sistema Interamericano</w:t>
      </w:r>
      <w:r w:rsidR="000F3D21" w:rsidRPr="00846490">
        <w:rPr>
          <w:rStyle w:val="FootnoteReference"/>
          <w:rFonts w:cs="Calibri"/>
          <w:sz w:val="20"/>
          <w:szCs w:val="20"/>
          <w:lang w:val="es-ES_tradnl"/>
        </w:rPr>
        <w:footnoteReference w:id="12"/>
      </w:r>
      <w:r w:rsidR="000F3D21" w:rsidRPr="00846490">
        <w:rPr>
          <w:rFonts w:cs="Calibri"/>
          <w:sz w:val="20"/>
          <w:szCs w:val="20"/>
          <w:lang w:val="es-ES_tradnl"/>
        </w:rPr>
        <w:t xml:space="preserve">. </w:t>
      </w:r>
      <w:r w:rsidR="00054B08">
        <w:rPr>
          <w:rFonts w:cs="Calibri"/>
          <w:sz w:val="20"/>
          <w:szCs w:val="20"/>
          <w:lang w:val="es-ES_tradnl"/>
        </w:rPr>
        <w:t>En consecuencia, la Comisión Interamericana considera que el litigio ante el Comité de Libertad Sindical de la OIT no impide la admisibilidad de la presente petición</w:t>
      </w:r>
      <w:r w:rsidR="00CA5381">
        <w:rPr>
          <w:rFonts w:cs="Calibri"/>
          <w:sz w:val="20"/>
          <w:szCs w:val="20"/>
          <w:lang w:val="es-ES_tradnl"/>
        </w:rPr>
        <w:t>.</w:t>
      </w:r>
    </w:p>
    <w:p w14:paraId="0797A467" w14:textId="3B5E4263" w:rsidR="00DA681E" w:rsidRPr="00846490" w:rsidRDefault="00DA681E" w:rsidP="000F3D2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Cambria" w:eastAsia="Times New Roman" w:hAnsi="Cambria" w:cs="Calibri"/>
          <w:color w:val="000000"/>
          <w:sz w:val="20"/>
          <w:szCs w:val="20"/>
          <w:u w:color="000000"/>
          <w:bdr w:val="none" w:sz="0" w:space="0" w:color="auto"/>
          <w:lang w:val="es-ES_tradnl" w:eastAsia="es-ES"/>
        </w:rPr>
      </w:pPr>
    </w:p>
    <w:p w14:paraId="45287BA6" w14:textId="02CA83F6" w:rsidR="00DA681E" w:rsidRPr="004C6D95" w:rsidRDefault="00846490" w:rsidP="00981CB4">
      <w:pPr>
        <w:pStyle w:val="ListParagraph"/>
        <w:numPr>
          <w:ilvl w:val="0"/>
          <w:numId w:val="55"/>
        </w:numPr>
        <w:jc w:val="both"/>
        <w:rPr>
          <w:sz w:val="20"/>
          <w:szCs w:val="20"/>
          <w:lang w:val="es-419" w:eastAsia="es-419"/>
        </w:rPr>
      </w:pPr>
      <w:r w:rsidRPr="00846490">
        <w:rPr>
          <w:rFonts w:cs="Calibri"/>
          <w:sz w:val="20"/>
          <w:szCs w:val="20"/>
          <w:lang w:val="es-ES_tradnl"/>
        </w:rPr>
        <w:t>Por otra parte, la Comisión asimismo observa que el Estado alega la inadmisibilidad de la presente petici</w:t>
      </w:r>
      <w:r w:rsidRPr="00054B08">
        <w:rPr>
          <w:rFonts w:cs="Calibri"/>
          <w:sz w:val="20"/>
          <w:szCs w:val="20"/>
          <w:lang w:val="es-ES_tradnl"/>
        </w:rPr>
        <w:t xml:space="preserve">ón en cuanto existe una duplicidad </w:t>
      </w:r>
      <w:r w:rsidR="00054B08">
        <w:rPr>
          <w:rFonts w:cs="Calibri"/>
          <w:sz w:val="20"/>
          <w:szCs w:val="20"/>
          <w:lang w:val="es-ES_tradnl"/>
        </w:rPr>
        <w:t xml:space="preserve">por litispendencia </w:t>
      </w:r>
      <w:r w:rsidRPr="00054B08">
        <w:rPr>
          <w:rFonts w:cs="Calibri"/>
          <w:sz w:val="20"/>
          <w:szCs w:val="20"/>
          <w:lang w:val="es-ES_tradnl"/>
        </w:rPr>
        <w:t>entre ésta y el caso 13.649</w:t>
      </w:r>
      <w:r w:rsidR="00054B08">
        <w:rPr>
          <w:rFonts w:cs="Calibri"/>
          <w:sz w:val="20"/>
          <w:szCs w:val="20"/>
          <w:lang w:val="es-ES_tradnl"/>
        </w:rPr>
        <w:t xml:space="preserve"> pendiente de trámite ante la misma Comisión</w:t>
      </w:r>
      <w:r w:rsidRPr="00054B08">
        <w:rPr>
          <w:rFonts w:cs="Calibri"/>
          <w:sz w:val="20"/>
          <w:szCs w:val="20"/>
          <w:lang w:val="es-ES_tradnl"/>
        </w:rPr>
        <w:t>. Al respecto, la Comisión destaca que e</w:t>
      </w:r>
      <w:r w:rsidR="000F3D21" w:rsidRPr="00054B08">
        <w:rPr>
          <w:rFonts w:cs="Calibri"/>
          <w:sz w:val="20"/>
          <w:szCs w:val="20"/>
          <w:lang w:val="es-ES_tradnl"/>
        </w:rPr>
        <w:t xml:space="preserve">l hecho de que una comunicación involucre a la misma persona que en una petición anterior, constituye sólo un elemento de duplicación. También es preciso examinar la naturaleza de las denuncias presentadas y los hechos aducidos como fundamento de las mismas. </w:t>
      </w:r>
      <w:r w:rsidR="000F3D21" w:rsidRPr="004C6D95">
        <w:rPr>
          <w:rFonts w:cs="Calibri"/>
          <w:sz w:val="20"/>
          <w:szCs w:val="20"/>
          <w:lang w:val="es-ES_tradnl"/>
        </w:rPr>
        <w:t>La presentación de nuevos hechos y/o denuncias suficientemente diferentes acerca de la misma persona</w:t>
      </w:r>
      <w:r w:rsidR="000F3D21" w:rsidRPr="004C6D95">
        <w:rPr>
          <w:rStyle w:val="FootnoteReference"/>
          <w:rFonts w:cs="Calibri"/>
          <w:sz w:val="20"/>
          <w:szCs w:val="20"/>
          <w:lang w:val="es-ES_tradnl"/>
        </w:rPr>
        <w:footnoteReference w:id="13"/>
      </w:r>
      <w:r w:rsidR="000F3D21" w:rsidRPr="004C6D95">
        <w:rPr>
          <w:rFonts w:cs="Calibri"/>
          <w:sz w:val="20"/>
          <w:szCs w:val="20"/>
          <w:lang w:val="es-ES_tradnl"/>
        </w:rPr>
        <w:t>.</w:t>
      </w:r>
      <w:r w:rsidR="000F3D21" w:rsidRPr="004C6D95">
        <w:rPr>
          <w:sz w:val="20"/>
          <w:szCs w:val="20"/>
          <w:lang w:val="es-419" w:eastAsia="es-419"/>
        </w:rPr>
        <w:t xml:space="preserve"> </w:t>
      </w:r>
    </w:p>
    <w:p w14:paraId="3C462B32" w14:textId="77777777" w:rsidR="00846490" w:rsidRPr="004C6D95" w:rsidRDefault="00846490" w:rsidP="00846490">
      <w:pPr>
        <w:pStyle w:val="ListParagraph"/>
        <w:rPr>
          <w:sz w:val="20"/>
          <w:szCs w:val="20"/>
          <w:lang w:val="es-419" w:eastAsia="es-419"/>
        </w:rPr>
      </w:pPr>
    </w:p>
    <w:p w14:paraId="259FDE71" w14:textId="4519B82B" w:rsidR="00846490" w:rsidRPr="004C6D95" w:rsidRDefault="00923529" w:rsidP="00981CB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419" w:eastAsia="es-419"/>
        </w:rPr>
      </w:pPr>
      <w:r w:rsidRPr="004C6D95">
        <w:rPr>
          <w:rFonts w:ascii="Cambria" w:eastAsia="Times New Roman" w:hAnsi="Cambria" w:cs="Calibri"/>
          <w:color w:val="000000"/>
          <w:sz w:val="20"/>
          <w:szCs w:val="20"/>
          <w:u w:color="000000"/>
          <w:bdr w:val="none" w:sz="0" w:space="0" w:color="auto"/>
          <w:lang w:val="es-419" w:eastAsia="es-ES"/>
        </w:rPr>
        <w:t>En atención a lo anterior, l</w:t>
      </w:r>
      <w:r w:rsidR="00846490" w:rsidRPr="004C6D95">
        <w:rPr>
          <w:rFonts w:ascii="Cambria" w:eastAsia="Times New Roman" w:hAnsi="Cambria" w:cs="Calibri"/>
          <w:color w:val="000000"/>
          <w:sz w:val="20"/>
          <w:szCs w:val="20"/>
          <w:u w:color="000000"/>
          <w:bdr w:val="none" w:sz="0" w:space="0" w:color="auto"/>
          <w:lang w:val="es-ES_tradnl" w:eastAsia="es-ES"/>
        </w:rPr>
        <w:t>a Comisión observa que</w:t>
      </w:r>
      <w:r w:rsidR="007D64B7" w:rsidRPr="004C6D95">
        <w:rPr>
          <w:rFonts w:ascii="Cambria" w:hAnsi="Cambria"/>
          <w:sz w:val="20"/>
          <w:szCs w:val="20"/>
          <w:u w:color="000000"/>
          <w:bdr w:val="none" w:sz="0" w:space="0" w:color="auto"/>
          <w:lang w:val="es-VE"/>
        </w:rPr>
        <w:t xml:space="preserve"> </w:t>
      </w:r>
      <w:r w:rsidRPr="004C6D95">
        <w:rPr>
          <w:rFonts w:ascii="Cambria" w:hAnsi="Cambria"/>
          <w:sz w:val="20"/>
          <w:szCs w:val="20"/>
          <w:u w:color="000000"/>
          <w:bdr w:val="none" w:sz="0" w:space="0" w:color="auto"/>
          <w:lang w:val="es-VE"/>
        </w:rPr>
        <w:t xml:space="preserve">la parte peticionaria y el Estado coinciden </w:t>
      </w:r>
      <w:r w:rsidR="00853A49" w:rsidRPr="004C6D95">
        <w:rPr>
          <w:rFonts w:ascii="Cambria" w:hAnsi="Cambria"/>
          <w:sz w:val="20"/>
          <w:szCs w:val="20"/>
          <w:u w:color="000000"/>
          <w:bdr w:val="none" w:sz="0" w:space="0" w:color="auto"/>
          <w:lang w:val="es-VE"/>
        </w:rPr>
        <w:t>en</w:t>
      </w:r>
      <w:r w:rsidR="007D64B7" w:rsidRPr="004C6D95">
        <w:rPr>
          <w:rFonts w:ascii="Cambria" w:hAnsi="Cambria"/>
          <w:sz w:val="20"/>
          <w:szCs w:val="20"/>
          <w:u w:color="000000"/>
          <w:bdr w:val="none" w:sz="0" w:space="0" w:color="auto"/>
          <w:lang w:val="es-VE"/>
        </w:rPr>
        <w:t xml:space="preserve"> cuanto a que, en ambos procesos, </w:t>
      </w:r>
      <w:r w:rsidR="00846490" w:rsidRPr="004C6D95">
        <w:rPr>
          <w:rFonts w:ascii="Cambria" w:eastAsia="Times New Roman" w:hAnsi="Cambria" w:cs="Calibri"/>
          <w:color w:val="000000"/>
          <w:sz w:val="20"/>
          <w:szCs w:val="20"/>
          <w:u w:color="000000"/>
          <w:bdr w:val="none" w:sz="0" w:space="0" w:color="auto"/>
          <w:lang w:val="es-ES_tradnl" w:eastAsia="es-ES"/>
        </w:rPr>
        <w:t xml:space="preserve">figuran como </w:t>
      </w:r>
      <w:r w:rsidR="00846490" w:rsidRPr="004C6D95">
        <w:rPr>
          <w:rFonts w:ascii="Cambria" w:eastAsia="Times New Roman" w:hAnsi="Cambria" w:cs="Calibri"/>
          <w:color w:val="000000"/>
          <w:sz w:val="20"/>
          <w:szCs w:val="20"/>
          <w:u w:color="000000"/>
          <w:bdr w:val="none" w:sz="0" w:space="0" w:color="auto"/>
          <w:lang w:val="es-VE" w:eastAsia="es-ES"/>
        </w:rPr>
        <w:t xml:space="preserve">presuntas víctimas </w:t>
      </w:r>
      <w:r w:rsidR="007D64B7" w:rsidRPr="004C6D95">
        <w:rPr>
          <w:rFonts w:ascii="Cambria" w:hAnsi="Cambria"/>
          <w:sz w:val="20"/>
          <w:szCs w:val="20"/>
          <w:u w:color="000000"/>
          <w:bdr w:val="none" w:sz="0" w:space="0" w:color="auto"/>
          <w:lang w:val="es-VE"/>
        </w:rPr>
        <w:t>los trabajadores del Canal de Panamá</w:t>
      </w:r>
      <w:r w:rsidR="00054B08" w:rsidRPr="004C6D95">
        <w:rPr>
          <w:rFonts w:ascii="Cambria" w:hAnsi="Cambria"/>
          <w:sz w:val="20"/>
          <w:szCs w:val="20"/>
          <w:u w:color="000000"/>
          <w:bdr w:val="none" w:sz="0" w:space="0" w:color="auto"/>
          <w:lang w:val="es-VE"/>
        </w:rPr>
        <w:t xml:space="preserve"> y el Estado panameño como el presunto responsable</w:t>
      </w:r>
      <w:r w:rsidR="00846490" w:rsidRPr="004C6D95">
        <w:rPr>
          <w:rFonts w:ascii="Cambria" w:eastAsia="Times New Roman" w:hAnsi="Cambria" w:cs="Calibri"/>
          <w:sz w:val="20"/>
          <w:szCs w:val="20"/>
          <w:u w:color="000000"/>
          <w:bdr w:val="none" w:sz="0" w:space="0" w:color="auto"/>
          <w:lang w:val="es-ES_tradnl" w:eastAsia="es-ES"/>
        </w:rPr>
        <w:t xml:space="preserve">. </w:t>
      </w:r>
      <w:r w:rsidR="004C6D95" w:rsidRPr="004C6D95">
        <w:rPr>
          <w:rFonts w:ascii="Cambria" w:eastAsia="Times New Roman" w:hAnsi="Cambria" w:cs="Calibri"/>
          <w:sz w:val="20"/>
          <w:szCs w:val="20"/>
          <w:u w:color="000000"/>
          <w:bdr w:val="none" w:sz="0" w:space="0" w:color="auto"/>
          <w:lang w:val="es-ES_tradnl" w:eastAsia="es-ES"/>
        </w:rPr>
        <w:t>Respecto a la duplicidad con los hechos, l</w:t>
      </w:r>
      <w:r w:rsidR="00EB15A3" w:rsidRPr="004C6D95">
        <w:rPr>
          <w:rFonts w:ascii="Cambria" w:eastAsia="Times New Roman" w:hAnsi="Cambria" w:cs="Calibri"/>
          <w:color w:val="000000"/>
          <w:sz w:val="20"/>
          <w:szCs w:val="20"/>
          <w:u w:color="000000"/>
          <w:bdr w:val="none" w:sz="0" w:space="0" w:color="auto"/>
          <w:lang w:val="es-ES_tradnl" w:eastAsia="es-ES"/>
        </w:rPr>
        <w:t>a Comisión observa que el c</w:t>
      </w:r>
      <w:r w:rsidR="00846490" w:rsidRPr="004C6D95">
        <w:rPr>
          <w:rFonts w:ascii="Cambria" w:eastAsia="Times New Roman" w:hAnsi="Cambria" w:cs="Calibri"/>
          <w:color w:val="000000"/>
          <w:sz w:val="20"/>
          <w:szCs w:val="20"/>
          <w:u w:color="000000"/>
          <w:bdr w:val="none" w:sz="0" w:space="0" w:color="auto"/>
          <w:lang w:val="es-ES_tradnl" w:eastAsia="es-ES"/>
        </w:rPr>
        <w:t xml:space="preserve">aso No. </w:t>
      </w:r>
      <w:r w:rsidR="00EB15A3" w:rsidRPr="004C6D95">
        <w:rPr>
          <w:rFonts w:ascii="Cambria" w:eastAsia="Times New Roman" w:hAnsi="Cambria" w:cs="Calibri"/>
          <w:color w:val="000000"/>
          <w:sz w:val="20"/>
          <w:szCs w:val="20"/>
          <w:u w:color="000000"/>
          <w:bdr w:val="none" w:sz="0" w:space="0" w:color="auto"/>
          <w:lang w:val="es-ES_tradnl" w:eastAsia="es-ES"/>
        </w:rPr>
        <w:t xml:space="preserve">13.649 </w:t>
      </w:r>
      <w:r w:rsidR="00846490" w:rsidRPr="004C6D95">
        <w:rPr>
          <w:rFonts w:ascii="Cambria" w:eastAsia="Times New Roman" w:hAnsi="Cambria" w:cs="Calibri"/>
          <w:color w:val="000000"/>
          <w:sz w:val="20"/>
          <w:szCs w:val="20"/>
          <w:u w:color="000000"/>
          <w:bdr w:val="none" w:sz="0" w:space="0" w:color="auto"/>
          <w:lang w:val="es-ES_tradnl" w:eastAsia="es-ES"/>
        </w:rPr>
        <w:t xml:space="preserve">se admitió, entre otras, por </w:t>
      </w:r>
      <w:r w:rsidR="00EB15A3" w:rsidRPr="004C6D95">
        <w:rPr>
          <w:rFonts w:ascii="Cambria" w:hAnsi="Cambria"/>
          <w:sz w:val="20"/>
          <w:szCs w:val="20"/>
          <w:lang w:val="es-419"/>
        </w:rPr>
        <w:t>la presunta prohibición del derecho de huelga</w:t>
      </w:r>
      <w:r w:rsidRPr="004C6D95">
        <w:rPr>
          <w:rFonts w:ascii="Cambria" w:hAnsi="Cambria"/>
          <w:sz w:val="20"/>
          <w:szCs w:val="20"/>
          <w:lang w:val="es-419"/>
        </w:rPr>
        <w:t xml:space="preserve"> y la restricción en la aplicación de cualquier otra disposición legal o constitucional que contemple salarios, bonificaciones, jurisdicciones o procedimientos a favor de las presuntas víctimas, ambas establecidas en la Ley 19 de 11 de junio de 1997, así como </w:t>
      </w:r>
      <w:r w:rsidR="00EB15A3" w:rsidRPr="004C6D95">
        <w:rPr>
          <w:rFonts w:ascii="Cambria" w:hAnsi="Cambria"/>
          <w:sz w:val="20"/>
          <w:szCs w:val="20"/>
          <w:lang w:val="es-419"/>
        </w:rPr>
        <w:t>las alegadas demoras judiciales injustificadas en el proceso de inconstitucionalidad que cuestionó la referida normativa</w:t>
      </w:r>
      <w:r w:rsidR="004C6D95" w:rsidRPr="004C6D95">
        <w:rPr>
          <w:rFonts w:ascii="Cambria" w:hAnsi="Cambria"/>
          <w:sz w:val="20"/>
          <w:szCs w:val="20"/>
          <w:lang w:val="es-419"/>
        </w:rPr>
        <w:t>; alegaciones que coinciden con el objeto principal de la presente petición</w:t>
      </w:r>
      <w:r w:rsidRPr="004C6D95">
        <w:rPr>
          <w:rFonts w:ascii="Cambria" w:hAnsi="Cambria"/>
          <w:sz w:val="20"/>
          <w:szCs w:val="20"/>
          <w:lang w:val="es-419"/>
        </w:rPr>
        <w:t xml:space="preserve">. </w:t>
      </w:r>
      <w:r w:rsidR="00846490" w:rsidRPr="004C6D95">
        <w:rPr>
          <w:rFonts w:ascii="Cambria" w:eastAsia="Times New Roman" w:hAnsi="Cambria" w:cs="Calibri"/>
          <w:color w:val="000000"/>
          <w:sz w:val="20"/>
          <w:szCs w:val="20"/>
          <w:u w:color="000000"/>
          <w:bdr w:val="none" w:sz="0" w:space="0" w:color="auto"/>
          <w:lang w:val="es-ES_tradnl" w:eastAsia="es-ES"/>
        </w:rPr>
        <w:t>A</w:t>
      </w:r>
      <w:r w:rsidR="00846490" w:rsidRPr="004C6D95">
        <w:rPr>
          <w:rFonts w:ascii="Cambria" w:eastAsia="Times New Roman" w:hAnsi="Cambria" w:cs="Calibri"/>
          <w:sz w:val="20"/>
          <w:szCs w:val="20"/>
          <w:u w:color="000000"/>
          <w:bdr w:val="none" w:sz="0" w:space="0" w:color="auto"/>
          <w:lang w:val="es-ES_tradnl" w:eastAsia="es-ES"/>
        </w:rPr>
        <w:t xml:space="preserve">simismo, la Comisión observa que, en ambos procesos, se alegan violaciones vinculadas a </w:t>
      </w:r>
      <w:r w:rsidR="004C6D95" w:rsidRPr="004C6D95">
        <w:rPr>
          <w:rFonts w:ascii="Cambria" w:hAnsi="Cambria"/>
          <w:sz w:val="20"/>
          <w:szCs w:val="20"/>
          <w:lang w:val="es-ES"/>
        </w:rPr>
        <w:t xml:space="preserve">los artículos 8, 24, 25 y 26 de la Convención Americana y el artículo 8 del Protocolo de San Salvador. </w:t>
      </w:r>
    </w:p>
    <w:p w14:paraId="6022B432" w14:textId="77777777" w:rsidR="004C6D95" w:rsidRPr="004C6D95" w:rsidRDefault="004C6D95" w:rsidP="004C6D95">
      <w:pPr>
        <w:pStyle w:val="ListParagraph"/>
        <w:rPr>
          <w:sz w:val="20"/>
          <w:szCs w:val="20"/>
          <w:lang w:val="es-419" w:eastAsia="es-419"/>
        </w:rPr>
      </w:pPr>
    </w:p>
    <w:p w14:paraId="605E5F9E" w14:textId="2703A2EE" w:rsidR="002274FD" w:rsidRPr="00CA5381" w:rsidRDefault="004C6D95" w:rsidP="00CA538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ES"/>
        </w:rPr>
      </w:pPr>
      <w:r w:rsidRPr="004C6D95">
        <w:rPr>
          <w:color w:val="auto"/>
          <w:sz w:val="20"/>
          <w:szCs w:val="20"/>
          <w:lang w:val="es-ES_tradnl"/>
        </w:rPr>
        <w:t>En cuanto a los alegatos sobre violaciones al artículo 8.1.b del Protocolo de San Salvador, la CIDH recuerda que la competencia prevista en los términos del artículo 19.6 de dicho</w:t>
      </w:r>
      <w:r w:rsidRPr="00274539">
        <w:rPr>
          <w:color w:val="auto"/>
          <w:sz w:val="20"/>
          <w:szCs w:val="20"/>
          <w:lang w:val="es-ES_tradnl"/>
        </w:rPr>
        <w:t xml:space="preserve"> tratado para establecer violaciones en el contexto de un caso individual se limita a los artículos 8.1.a y 13. </w:t>
      </w:r>
      <w:r>
        <w:rPr>
          <w:color w:val="auto"/>
          <w:sz w:val="20"/>
          <w:szCs w:val="20"/>
          <w:lang w:val="es-ES_tradnl"/>
        </w:rPr>
        <w:t>Asimismo, r</w:t>
      </w:r>
      <w:r w:rsidRPr="00274539">
        <w:rPr>
          <w:color w:val="auto"/>
          <w:sz w:val="20"/>
          <w:szCs w:val="20"/>
          <w:lang w:val="es-ES_tradnl"/>
        </w:rPr>
        <w:t xml:space="preserve">especto a las alegadas violaciones a otros tratados internacionales, </w:t>
      </w:r>
      <w:r w:rsidRPr="00274539">
        <w:rPr>
          <w:rFonts w:cs="Calibri"/>
          <w:color w:val="auto"/>
          <w:sz w:val="20"/>
          <w:szCs w:val="20"/>
          <w:lang w:val="es-ES_tradnl"/>
        </w:rPr>
        <w:t>la Comisión r</w:t>
      </w:r>
      <w:r>
        <w:rPr>
          <w:rFonts w:cs="Calibri"/>
          <w:color w:val="auto"/>
          <w:sz w:val="20"/>
          <w:szCs w:val="20"/>
          <w:lang w:val="es-ES_tradnl"/>
        </w:rPr>
        <w:t>eitera</w:t>
      </w:r>
      <w:r w:rsidRPr="00274539">
        <w:rPr>
          <w:rFonts w:cs="Calibri"/>
          <w:color w:val="auto"/>
          <w:sz w:val="20"/>
          <w:szCs w:val="20"/>
          <w:lang w:val="es-ES_tradnl"/>
        </w:rPr>
        <w:t xml:space="preserve"> que no posee competencia para declarar violaciones de derechos consagrados en estos instrumentos, </w:t>
      </w:r>
      <w:r>
        <w:rPr>
          <w:rFonts w:cs="Calibri"/>
          <w:color w:val="auto"/>
          <w:sz w:val="20"/>
          <w:szCs w:val="20"/>
          <w:lang w:val="es-ES_tradnl"/>
        </w:rPr>
        <w:t xml:space="preserve">sin perjuicio que pueda </w:t>
      </w:r>
      <w:r w:rsidRPr="00274539">
        <w:rPr>
          <w:rFonts w:cs="Calibri"/>
          <w:color w:val="auto"/>
          <w:sz w:val="20"/>
          <w:szCs w:val="20"/>
          <w:lang w:val="es-ES_tradnl"/>
        </w:rPr>
        <w:t>recurrir a los estándares establecidos en ella para interpretar las normas de la Convención en virtud del artículo 29 de la Convención.</w:t>
      </w:r>
      <w:r>
        <w:rPr>
          <w:rFonts w:cs="Calibri"/>
          <w:color w:val="auto"/>
          <w:sz w:val="20"/>
          <w:szCs w:val="20"/>
          <w:lang w:val="es-ES_tradnl"/>
        </w:rPr>
        <w:t xml:space="preserve"> </w:t>
      </w:r>
      <w:r w:rsidRPr="004C6D95">
        <w:rPr>
          <w:rFonts w:eastAsia="Arial Unicode MS" w:cs="Times New Roman"/>
          <w:color w:val="auto"/>
          <w:sz w:val="20"/>
          <w:szCs w:val="20"/>
          <w:bdr w:val="none" w:sz="0" w:space="0" w:color="auto"/>
          <w:shd w:val="clear" w:color="auto" w:fill="FFFFFF"/>
          <w:lang w:val="es-ES" w:eastAsia="en-US"/>
        </w:rPr>
        <w:t xml:space="preserve">De este modo, </w:t>
      </w:r>
      <w:r w:rsidRPr="004C6D95">
        <w:rPr>
          <w:rFonts w:eastAsia="Arial Unicode MS" w:cs="Calibri"/>
          <w:color w:val="auto"/>
          <w:sz w:val="20"/>
          <w:szCs w:val="20"/>
          <w:bdr w:val="none" w:sz="0" w:space="0" w:color="auto"/>
          <w:lang w:val="es-ES_tradnl" w:eastAsia="en-US"/>
        </w:rPr>
        <w:t>a efectos de garantizar el cumplimiento del artículo 47.d de la Convención y en razón al criterio cronológico de presentación de las peticiones</w:t>
      </w:r>
      <w:r w:rsidRPr="004C6D95">
        <w:rPr>
          <w:rFonts w:eastAsia="Arial Unicode MS" w:cs="Times New Roman"/>
          <w:color w:val="auto"/>
          <w:sz w:val="20"/>
          <w:szCs w:val="20"/>
          <w:bdr w:val="none" w:sz="0" w:space="0" w:color="auto"/>
          <w:shd w:val="clear" w:color="auto" w:fill="FFFFFF"/>
          <w:lang w:val="es-ES" w:eastAsia="en-US"/>
        </w:rPr>
        <w:t>, la Comisión carece de competencia para rever estas cuestiones planteadas nuevamente en la petición bajo análisis</w:t>
      </w:r>
      <w:r w:rsidRPr="004C6D95">
        <w:rPr>
          <w:rFonts w:eastAsia="Arial Unicode MS" w:cs="Calibri"/>
          <w:color w:val="auto"/>
          <w:sz w:val="20"/>
          <w:szCs w:val="20"/>
          <w:bdr w:val="none" w:sz="0" w:space="0" w:color="auto"/>
          <w:lang w:val="es-ES" w:eastAsia="en-US"/>
        </w:rPr>
        <w:t xml:space="preserve">. </w:t>
      </w:r>
      <w:r w:rsidRPr="004C6D95">
        <w:rPr>
          <w:rFonts w:eastAsia="Arial Unicode MS" w:cs="Times New Roman"/>
          <w:color w:val="auto"/>
          <w:sz w:val="20"/>
          <w:szCs w:val="20"/>
          <w:bdr w:val="none" w:sz="0" w:space="0" w:color="auto"/>
          <w:lang w:val="es-ES" w:eastAsia="en-US"/>
        </w:rPr>
        <w:t>Ante lo anterior, la Comisión se abstiene de pronunciarse acerca de</w:t>
      </w:r>
      <w:r w:rsidR="00981CB4">
        <w:rPr>
          <w:rFonts w:eastAsia="Arial Unicode MS" w:cs="Times New Roman"/>
          <w:color w:val="auto"/>
          <w:sz w:val="20"/>
          <w:szCs w:val="20"/>
          <w:bdr w:val="none" w:sz="0" w:space="0" w:color="auto"/>
          <w:lang w:val="es-ES" w:eastAsia="en-US"/>
        </w:rPr>
        <w:t xml:space="preserve"> los demás requisitos de admisibilidad </w:t>
      </w:r>
      <w:r w:rsidRPr="004C6D95">
        <w:rPr>
          <w:rFonts w:eastAsia="Arial Unicode MS" w:cs="Times New Roman"/>
          <w:color w:val="auto"/>
          <w:sz w:val="20"/>
          <w:szCs w:val="20"/>
          <w:bdr w:val="none" w:sz="0" w:space="0" w:color="auto"/>
          <w:lang w:val="es-ES" w:eastAsia="en-US"/>
        </w:rPr>
        <w:t xml:space="preserve">debido a que </w:t>
      </w:r>
      <w:r w:rsidR="00981CB4">
        <w:rPr>
          <w:rFonts w:eastAsia="Arial Unicode MS" w:cs="Times New Roman"/>
          <w:color w:val="auto"/>
          <w:sz w:val="20"/>
          <w:szCs w:val="20"/>
          <w:bdr w:val="none" w:sz="0" w:space="0" w:color="auto"/>
          <w:lang w:val="es-ES" w:eastAsia="en-US"/>
        </w:rPr>
        <w:t xml:space="preserve">existe una duplicidad entre esta y el caso 13.649 en </w:t>
      </w:r>
      <w:r w:rsidR="00CA5381">
        <w:rPr>
          <w:rFonts w:eastAsia="Arial Unicode MS" w:cs="Times New Roman"/>
          <w:color w:val="auto"/>
          <w:sz w:val="20"/>
          <w:szCs w:val="20"/>
          <w:bdr w:val="none" w:sz="0" w:space="0" w:color="auto"/>
          <w:lang w:val="es-ES" w:eastAsia="en-US"/>
        </w:rPr>
        <w:t>trámite</w:t>
      </w:r>
      <w:r w:rsidR="00981CB4">
        <w:rPr>
          <w:rFonts w:eastAsia="Arial Unicode MS" w:cs="Times New Roman"/>
          <w:color w:val="auto"/>
          <w:sz w:val="20"/>
          <w:szCs w:val="20"/>
          <w:bdr w:val="none" w:sz="0" w:space="0" w:color="auto"/>
          <w:lang w:val="es-ES" w:eastAsia="en-US"/>
        </w:rPr>
        <w:t xml:space="preserve"> ante la </w:t>
      </w:r>
      <w:r w:rsidR="00CA5381">
        <w:rPr>
          <w:rFonts w:eastAsia="Arial Unicode MS" w:cs="Times New Roman"/>
          <w:color w:val="auto"/>
          <w:sz w:val="20"/>
          <w:szCs w:val="20"/>
          <w:bdr w:val="none" w:sz="0" w:space="0" w:color="auto"/>
          <w:lang w:val="es-ES" w:eastAsia="en-US"/>
        </w:rPr>
        <w:t>Comisión</w:t>
      </w:r>
      <w:r w:rsidR="00981CB4">
        <w:rPr>
          <w:rFonts w:eastAsia="Arial Unicode MS" w:cs="Times New Roman"/>
          <w:color w:val="auto"/>
          <w:sz w:val="20"/>
          <w:szCs w:val="20"/>
          <w:bdr w:val="none" w:sz="0" w:space="0" w:color="auto"/>
          <w:lang w:val="es-ES" w:eastAsia="en-US"/>
        </w:rPr>
        <w:t xml:space="preserve"> y por lo tanto</w:t>
      </w:r>
      <w:r w:rsidRPr="004C6D95">
        <w:rPr>
          <w:rFonts w:eastAsia="Arial Unicode MS" w:cs="Times New Roman"/>
          <w:color w:val="auto"/>
          <w:sz w:val="20"/>
          <w:szCs w:val="20"/>
          <w:bdr w:val="none" w:sz="0" w:space="0" w:color="auto"/>
          <w:lang w:val="es-ES" w:eastAsia="en-US"/>
        </w:rPr>
        <w:t>no cumple con los requisitos de admisibilidad de acuerdo al artículo 46.1.c de la Convención Americana</w:t>
      </w:r>
      <w:r w:rsidR="00CA5381">
        <w:rPr>
          <w:rFonts w:eastAsia="Arial Unicode MS" w:cs="Times New Roman"/>
          <w:color w:val="auto"/>
          <w:sz w:val="20"/>
          <w:szCs w:val="20"/>
          <w:bdr w:val="none" w:sz="0" w:space="0" w:color="auto"/>
          <w:lang w:val="es-ES" w:eastAsia="en-US"/>
        </w:rPr>
        <w:t>.</w:t>
      </w:r>
    </w:p>
    <w:p w14:paraId="25DEC5AA" w14:textId="7AA0A00B" w:rsidR="0065630D" w:rsidRPr="000B0579"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9BB41F5" w14:textId="2851F5F9" w:rsidR="003239B8" w:rsidRDefault="00EC72AB"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550C66A7" w14:textId="77777777" w:rsidR="0065630D" w:rsidRPr="00C92863" w:rsidRDefault="0065630D" w:rsidP="0065630D">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color w:val="FF0000"/>
          <w:sz w:val="20"/>
          <w:szCs w:val="20"/>
          <w:lang w:val="es-ES"/>
        </w:rPr>
      </w:pPr>
    </w:p>
    <w:p w14:paraId="782B2EDA" w14:textId="10C8A5AC" w:rsidR="00C92863" w:rsidRPr="00EF59EB" w:rsidRDefault="00C92863" w:rsidP="00981CB4">
      <w:pPr>
        <w:pStyle w:val="ListParagraph"/>
        <w:numPr>
          <w:ilvl w:val="0"/>
          <w:numId w:val="56"/>
        </w:numPr>
        <w:jc w:val="both"/>
        <w:rPr>
          <w:rFonts w:eastAsia="Arial Unicode MS" w:cs="Times New Roman"/>
          <w:color w:val="auto"/>
          <w:sz w:val="20"/>
          <w:szCs w:val="20"/>
          <w:lang w:val="es-ES" w:eastAsia="en-US"/>
        </w:rPr>
      </w:pPr>
      <w:r w:rsidRPr="00EF59EB">
        <w:rPr>
          <w:rFonts w:eastAsia="Arial Unicode MS" w:cs="Times New Roman"/>
          <w:color w:val="auto"/>
          <w:sz w:val="20"/>
          <w:szCs w:val="20"/>
          <w:lang w:val="es-ES" w:eastAsia="en-US"/>
        </w:rPr>
        <w:t xml:space="preserve">Declarar </w:t>
      </w:r>
      <w:r w:rsidR="004C6D95">
        <w:rPr>
          <w:rFonts w:eastAsia="Arial Unicode MS" w:cs="Times New Roman"/>
          <w:color w:val="auto"/>
          <w:sz w:val="20"/>
          <w:szCs w:val="20"/>
          <w:lang w:val="es-ES" w:eastAsia="en-US"/>
        </w:rPr>
        <w:t>in</w:t>
      </w:r>
      <w:r w:rsidRPr="00EF59EB">
        <w:rPr>
          <w:rFonts w:eastAsia="Arial Unicode MS" w:cs="Times New Roman"/>
          <w:color w:val="auto"/>
          <w:sz w:val="20"/>
          <w:szCs w:val="20"/>
          <w:lang w:val="es-ES" w:eastAsia="en-US"/>
        </w:rPr>
        <w:t>admisible la presente petición; y</w:t>
      </w:r>
    </w:p>
    <w:p w14:paraId="57CAF267" w14:textId="77777777" w:rsidR="0065630D" w:rsidRPr="00EF59EB" w:rsidRDefault="0065630D" w:rsidP="0065630D">
      <w:pPr>
        <w:pStyle w:val="ListParagraph"/>
        <w:jc w:val="both"/>
        <w:rPr>
          <w:rFonts w:eastAsia="Arial Unicode MS" w:cs="Times New Roman"/>
          <w:color w:val="auto"/>
          <w:sz w:val="20"/>
          <w:szCs w:val="20"/>
          <w:lang w:val="es-ES" w:eastAsia="en-US"/>
        </w:rPr>
      </w:pPr>
    </w:p>
    <w:p w14:paraId="45B88FC3" w14:textId="2E1ADAB0" w:rsidR="0076072C" w:rsidRDefault="004A6A54" w:rsidP="007607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EF59EB">
        <w:rPr>
          <w:rFonts w:asciiTheme="majorHAnsi" w:hAnsiTheme="majorHAnsi"/>
          <w:sz w:val="20"/>
          <w:szCs w:val="20"/>
          <w:lang w:val="es-ES"/>
        </w:rPr>
        <w:t xml:space="preserve">Notificar a </w:t>
      </w:r>
      <w:r w:rsidR="0065630D" w:rsidRPr="00EF59EB">
        <w:rPr>
          <w:rFonts w:asciiTheme="majorHAnsi" w:hAnsiTheme="majorHAnsi"/>
          <w:sz w:val="20"/>
          <w:szCs w:val="20"/>
          <w:lang w:val="es-ES"/>
        </w:rPr>
        <w:t xml:space="preserve">las partes la presente decisión </w:t>
      </w:r>
      <w:r w:rsidRPr="00EF59EB">
        <w:rPr>
          <w:rFonts w:asciiTheme="majorHAnsi" w:hAnsiTheme="majorHAnsi"/>
          <w:sz w:val="20"/>
          <w:szCs w:val="20"/>
          <w:lang w:val="es-ES"/>
        </w:rPr>
        <w:t xml:space="preserve">y publicar esta decisión e incluirla en su Informe Anual a la Asamblea General de la </w:t>
      </w:r>
      <w:r w:rsidRPr="0065630D">
        <w:rPr>
          <w:rFonts w:asciiTheme="majorHAnsi" w:hAnsiTheme="majorHAnsi"/>
          <w:sz w:val="20"/>
          <w:szCs w:val="20"/>
          <w:lang w:val="es-ES"/>
        </w:rPr>
        <w:t>Organización de los Estados Americanos.</w:t>
      </w:r>
    </w:p>
    <w:p w14:paraId="574466FB" w14:textId="762F8B3D" w:rsidR="0076072C" w:rsidRDefault="0076072C" w:rsidP="007607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14:paraId="03D1901E" w14:textId="05FB0F1A" w:rsidR="0076072C" w:rsidRPr="00E17F4C" w:rsidRDefault="0076072C" w:rsidP="00E17F4C">
      <w:pPr>
        <w:ind w:firstLine="720"/>
        <w:jc w:val="both"/>
        <w:rPr>
          <w:rFonts w:asciiTheme="majorHAnsi" w:hAnsiTheme="majorHAnsi" w:cs="Arial"/>
          <w:noProof/>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Julissa Mantilla Falcón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8FD9E1F" w14:textId="77777777" w:rsidR="0076072C" w:rsidRPr="00E17F4C" w:rsidRDefault="0076072C" w:rsidP="007607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CL"/>
        </w:rPr>
      </w:pPr>
    </w:p>
    <w:sectPr w:rsidR="0076072C" w:rsidRPr="00E17F4C"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22956" w14:textId="77777777" w:rsidR="006E2D33" w:rsidRDefault="006E2D33">
      <w:r>
        <w:separator/>
      </w:r>
    </w:p>
  </w:endnote>
  <w:endnote w:type="continuationSeparator" w:id="0">
    <w:p w14:paraId="40594779" w14:textId="77777777" w:rsidR="006E2D33" w:rsidRDefault="006E2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46DCDDA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981CB4">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65D11" w14:textId="77777777" w:rsidR="006E2D33" w:rsidRPr="000F35ED" w:rsidRDefault="006E2D3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BAAF122" w14:textId="77777777" w:rsidR="006E2D33" w:rsidRPr="000F35ED" w:rsidRDefault="006E2D33" w:rsidP="000F35ED">
      <w:pPr>
        <w:rPr>
          <w:rFonts w:asciiTheme="majorHAnsi" w:hAnsiTheme="majorHAnsi"/>
          <w:sz w:val="16"/>
          <w:szCs w:val="16"/>
        </w:rPr>
      </w:pPr>
      <w:r w:rsidRPr="000F35ED">
        <w:rPr>
          <w:rFonts w:asciiTheme="majorHAnsi" w:hAnsiTheme="majorHAnsi"/>
          <w:sz w:val="16"/>
          <w:szCs w:val="16"/>
        </w:rPr>
        <w:separator/>
      </w:r>
    </w:p>
    <w:p w14:paraId="17F19D17" w14:textId="77777777" w:rsidR="006E2D33" w:rsidRPr="000F35ED" w:rsidRDefault="006E2D33"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7AC6177" w14:textId="77777777" w:rsidR="006E2D33" w:rsidRPr="000F35ED" w:rsidRDefault="006E2D33"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DA0AA69" w14:textId="60DD3DB7" w:rsidR="00853A49" w:rsidRPr="0058191A" w:rsidRDefault="00853A49" w:rsidP="00853A49">
      <w:pPr>
        <w:pStyle w:val="FootnoteText"/>
        <w:ind w:firstLine="720"/>
        <w:jc w:val="both"/>
        <w:rPr>
          <w:rFonts w:ascii="Times New Roman" w:hAnsi="Times New Roman" w:cs="Times New Roman"/>
          <w:color w:val="auto"/>
          <w:sz w:val="16"/>
          <w:szCs w:val="16"/>
          <w:rtl/>
          <w:lang w:val="es-ES" w:bidi="he-IL"/>
        </w:rPr>
      </w:pPr>
      <w:r w:rsidRPr="0058191A">
        <w:rPr>
          <w:rStyle w:val="FootnoteReference"/>
          <w:rFonts w:ascii="Cambria" w:hAnsi="Cambria"/>
          <w:color w:val="auto"/>
          <w:sz w:val="16"/>
          <w:szCs w:val="16"/>
        </w:rPr>
        <w:footnoteRef/>
      </w:r>
      <w:r w:rsidRPr="0058191A">
        <w:rPr>
          <w:rFonts w:ascii="Cambria" w:hAnsi="Cambria"/>
          <w:color w:val="auto"/>
          <w:sz w:val="16"/>
          <w:szCs w:val="16"/>
          <w:lang w:val="es-ES"/>
        </w:rPr>
        <w:t xml:space="preserve"> La Comisión toma nota que, de acuerdo a la petición, esta organización sindical conforma, junto con otros dos sindicatos-el Sindicato del Canal de Panamá y del Caribe y la </w:t>
      </w:r>
      <w:proofErr w:type="spellStart"/>
      <w:r w:rsidRPr="0058191A">
        <w:rPr>
          <w:rFonts w:ascii="Cambria" w:hAnsi="Cambria"/>
          <w:color w:val="auto"/>
          <w:sz w:val="16"/>
          <w:szCs w:val="16"/>
          <w:lang w:val="es-ES"/>
        </w:rPr>
        <w:t>National</w:t>
      </w:r>
      <w:proofErr w:type="spellEnd"/>
      <w:r w:rsidRPr="0058191A">
        <w:rPr>
          <w:rFonts w:ascii="Cambria" w:hAnsi="Cambria"/>
          <w:color w:val="auto"/>
          <w:sz w:val="16"/>
          <w:szCs w:val="16"/>
          <w:lang w:val="es-ES"/>
        </w:rPr>
        <w:t xml:space="preserve"> </w:t>
      </w:r>
      <w:proofErr w:type="spellStart"/>
      <w:r w:rsidRPr="0058191A">
        <w:rPr>
          <w:rFonts w:ascii="Cambria" w:hAnsi="Cambria"/>
          <w:color w:val="auto"/>
          <w:sz w:val="16"/>
          <w:szCs w:val="16"/>
          <w:lang w:val="es-ES"/>
        </w:rPr>
        <w:t>Maritime</w:t>
      </w:r>
      <w:proofErr w:type="spellEnd"/>
      <w:r w:rsidRPr="0058191A">
        <w:rPr>
          <w:rFonts w:ascii="Cambria" w:hAnsi="Cambria"/>
          <w:color w:val="auto"/>
          <w:sz w:val="16"/>
          <w:szCs w:val="16"/>
          <w:lang w:val="es-ES"/>
        </w:rPr>
        <w:t xml:space="preserve"> </w:t>
      </w:r>
      <w:proofErr w:type="spellStart"/>
      <w:r w:rsidRPr="0058191A">
        <w:rPr>
          <w:rFonts w:ascii="Cambria" w:hAnsi="Cambria"/>
          <w:color w:val="auto"/>
          <w:sz w:val="16"/>
          <w:szCs w:val="16"/>
          <w:lang w:val="es-ES"/>
        </w:rPr>
        <w:t>Union</w:t>
      </w:r>
      <w:proofErr w:type="spellEnd"/>
      <w:r w:rsidRPr="0058191A">
        <w:rPr>
          <w:rFonts w:ascii="Cambria" w:hAnsi="Cambria"/>
          <w:color w:val="auto"/>
          <w:sz w:val="16"/>
          <w:szCs w:val="16"/>
          <w:lang w:val="es-ES"/>
        </w:rPr>
        <w:t xml:space="preserve">, la representación exclusiva de la unidad negociadora de los trabajadores no profesionales de la Autoridad del Canal de Panamá. </w:t>
      </w:r>
    </w:p>
  </w:footnote>
  <w:footnote w:id="3">
    <w:p w14:paraId="06C1BEFA" w14:textId="128F68BE" w:rsidR="004A6A54" w:rsidRPr="00EB7210" w:rsidRDefault="004A6A54" w:rsidP="00EB7210">
      <w:pPr>
        <w:pStyle w:val="FootnoteText"/>
        <w:ind w:firstLine="720"/>
        <w:jc w:val="both"/>
        <w:rPr>
          <w:rFonts w:ascii="Cambria" w:hAnsi="Cambria"/>
          <w:color w:val="auto"/>
          <w:sz w:val="16"/>
          <w:szCs w:val="16"/>
          <w:lang w:val="es-ES"/>
        </w:rPr>
      </w:pPr>
      <w:r w:rsidRPr="0058191A">
        <w:rPr>
          <w:rStyle w:val="FootnoteReference"/>
          <w:rFonts w:ascii="Cambria" w:hAnsi="Cambria"/>
          <w:color w:val="auto"/>
          <w:sz w:val="16"/>
          <w:szCs w:val="16"/>
        </w:rPr>
        <w:footnoteRef/>
      </w:r>
      <w:r w:rsidRPr="0058191A">
        <w:rPr>
          <w:rFonts w:ascii="Cambria" w:hAnsi="Cambria"/>
          <w:color w:val="auto"/>
          <w:sz w:val="16"/>
          <w:szCs w:val="16"/>
          <w:lang w:val="es-ES"/>
        </w:rPr>
        <w:t xml:space="preserve"> Conforme a lo dispuesto en el artículo 17.2.a del Reglamento de la Comisión, </w:t>
      </w:r>
      <w:r w:rsidR="00FA56EA" w:rsidRPr="0058191A">
        <w:rPr>
          <w:rFonts w:ascii="Cambria" w:hAnsi="Cambria"/>
          <w:color w:val="auto"/>
          <w:sz w:val="16"/>
          <w:szCs w:val="16"/>
          <w:lang w:val="es-ES"/>
        </w:rPr>
        <w:t>la</w:t>
      </w:r>
      <w:r w:rsidR="00EB7210" w:rsidRPr="0058191A">
        <w:rPr>
          <w:rFonts w:ascii="Cambria" w:hAnsi="Cambria"/>
          <w:color w:val="auto"/>
          <w:sz w:val="16"/>
          <w:szCs w:val="16"/>
          <w:lang w:val="es-ES"/>
        </w:rPr>
        <w:t xml:space="preserve"> Comisionad</w:t>
      </w:r>
      <w:r w:rsidR="00FA56EA" w:rsidRPr="0058191A">
        <w:rPr>
          <w:rFonts w:ascii="Cambria" w:hAnsi="Cambria"/>
          <w:color w:val="auto"/>
          <w:sz w:val="16"/>
          <w:szCs w:val="16"/>
          <w:lang w:val="es-ES"/>
        </w:rPr>
        <w:t>a</w:t>
      </w:r>
      <w:r w:rsidR="00BF514A" w:rsidRPr="0058191A">
        <w:rPr>
          <w:rFonts w:ascii="Cambria" w:hAnsi="Cambria"/>
          <w:color w:val="auto"/>
          <w:sz w:val="16"/>
          <w:szCs w:val="16"/>
          <w:lang w:val="es-ES"/>
        </w:rPr>
        <w:t xml:space="preserve"> </w:t>
      </w:r>
      <w:r w:rsidR="00EB7210" w:rsidRPr="0058191A">
        <w:rPr>
          <w:rFonts w:ascii="Cambria" w:hAnsi="Cambria"/>
          <w:color w:val="auto"/>
          <w:sz w:val="16"/>
          <w:szCs w:val="16"/>
          <w:lang w:val="es-ES"/>
        </w:rPr>
        <w:t xml:space="preserve">Esmeralda Arosemena de </w:t>
      </w:r>
      <w:r w:rsidR="00EB7210" w:rsidRPr="00EB7210">
        <w:rPr>
          <w:rFonts w:ascii="Cambria" w:hAnsi="Cambria"/>
          <w:color w:val="auto"/>
          <w:sz w:val="16"/>
          <w:szCs w:val="16"/>
          <w:lang w:val="es-ES"/>
        </w:rPr>
        <w:t>Troitiño</w:t>
      </w:r>
      <w:r w:rsidRPr="00EB7210">
        <w:rPr>
          <w:rFonts w:ascii="Cambria" w:hAnsi="Cambria"/>
          <w:color w:val="auto"/>
          <w:sz w:val="16"/>
          <w:szCs w:val="16"/>
          <w:lang w:val="es-ES"/>
        </w:rPr>
        <w:t xml:space="preserve">, de nacionalidad </w:t>
      </w:r>
      <w:r w:rsidR="00EB7210" w:rsidRPr="00EB7210">
        <w:rPr>
          <w:rFonts w:ascii="Cambria" w:hAnsi="Cambria"/>
          <w:color w:val="auto"/>
          <w:sz w:val="16"/>
          <w:szCs w:val="16"/>
          <w:lang w:val="es-ES"/>
        </w:rPr>
        <w:t>panameña</w:t>
      </w:r>
      <w:r w:rsidRPr="00EB7210">
        <w:rPr>
          <w:rFonts w:ascii="Cambria" w:hAnsi="Cambria"/>
          <w:color w:val="auto"/>
          <w:sz w:val="16"/>
          <w:szCs w:val="16"/>
          <w:lang w:val="es-ES"/>
        </w:rPr>
        <w:t>, no participó en el debate ni en la decisión del presente asunto.</w:t>
      </w:r>
    </w:p>
  </w:footnote>
  <w:footnote w:id="4">
    <w:p w14:paraId="30A2A137" w14:textId="77777777" w:rsidR="001D52F4" w:rsidRPr="00EB7210" w:rsidRDefault="001D52F4" w:rsidP="001D52F4">
      <w:pPr>
        <w:pStyle w:val="FootnoteText"/>
        <w:ind w:firstLine="720"/>
        <w:jc w:val="both"/>
        <w:rPr>
          <w:rFonts w:ascii="Cambria" w:hAnsi="Cambria"/>
          <w:color w:val="auto"/>
          <w:sz w:val="16"/>
          <w:szCs w:val="16"/>
          <w:lang w:val="es-ES"/>
        </w:rPr>
      </w:pPr>
      <w:r w:rsidRPr="00EB7210">
        <w:rPr>
          <w:rStyle w:val="FootnoteReference"/>
          <w:rFonts w:ascii="Cambria" w:hAnsi="Cambria"/>
          <w:color w:val="auto"/>
          <w:sz w:val="16"/>
          <w:szCs w:val="16"/>
        </w:rPr>
        <w:footnoteRef/>
      </w:r>
      <w:r w:rsidRPr="00EB7210">
        <w:rPr>
          <w:rFonts w:ascii="Cambria" w:hAnsi="Cambria"/>
          <w:color w:val="auto"/>
          <w:sz w:val="16"/>
          <w:szCs w:val="16"/>
          <w:lang w:val="es-ES"/>
        </w:rPr>
        <w:t xml:space="preserve"> En adelante “la Convención Americana” o “la Convención”.</w:t>
      </w:r>
    </w:p>
  </w:footnote>
  <w:footnote w:id="5">
    <w:p w14:paraId="4DD38780" w14:textId="4E31CD9E" w:rsidR="00702458" w:rsidRPr="00702458" w:rsidRDefault="00702458" w:rsidP="00702458">
      <w:pPr>
        <w:pStyle w:val="FootnoteText"/>
        <w:ind w:firstLine="720"/>
        <w:rPr>
          <w:rFonts w:ascii="Cambria" w:hAnsi="Cambria"/>
          <w:sz w:val="16"/>
          <w:lang w:val="es-ES"/>
        </w:rPr>
      </w:pPr>
      <w:r w:rsidRPr="00702458">
        <w:rPr>
          <w:rStyle w:val="FootnoteReference"/>
          <w:rFonts w:ascii="Cambria" w:hAnsi="Cambria"/>
          <w:sz w:val="16"/>
        </w:rPr>
        <w:footnoteRef/>
      </w:r>
      <w:r w:rsidRPr="00702458">
        <w:rPr>
          <w:rFonts w:ascii="Cambria" w:hAnsi="Cambria"/>
          <w:sz w:val="16"/>
          <w:lang w:val="es-ES"/>
        </w:rPr>
        <w:t xml:space="preserve"> En adelante “Protocolo de San Salvador”.</w:t>
      </w:r>
    </w:p>
  </w:footnote>
  <w:footnote w:id="6">
    <w:p w14:paraId="4C5FFDDF" w14:textId="4C384D41" w:rsidR="00702458" w:rsidRPr="00702458" w:rsidRDefault="00702458" w:rsidP="00702458">
      <w:pPr>
        <w:pStyle w:val="FootnoteText"/>
        <w:ind w:firstLine="720"/>
        <w:rPr>
          <w:rFonts w:ascii="Cambria" w:hAnsi="Cambria"/>
          <w:sz w:val="16"/>
          <w:lang w:val="es-ES"/>
        </w:rPr>
      </w:pPr>
      <w:r w:rsidRPr="00702458">
        <w:rPr>
          <w:rStyle w:val="FootnoteReference"/>
          <w:rFonts w:ascii="Cambria" w:hAnsi="Cambria"/>
          <w:sz w:val="16"/>
        </w:rPr>
        <w:footnoteRef/>
      </w:r>
      <w:r w:rsidRPr="00702458">
        <w:rPr>
          <w:rFonts w:ascii="Cambria" w:hAnsi="Cambria"/>
          <w:sz w:val="16"/>
          <w:lang w:val="es-ES"/>
        </w:rPr>
        <w:t xml:space="preserve"> En adelante “Declaración” o “Declaración Americana”.</w:t>
      </w:r>
    </w:p>
  </w:footnote>
  <w:footnote w:id="7">
    <w:p w14:paraId="34D15966" w14:textId="2D13D223" w:rsidR="00702458" w:rsidRPr="00702458" w:rsidRDefault="00702458" w:rsidP="00702458">
      <w:pPr>
        <w:pStyle w:val="FootnoteText"/>
        <w:ind w:firstLine="720"/>
        <w:rPr>
          <w:lang w:val="es-ES"/>
        </w:rPr>
      </w:pPr>
      <w:r w:rsidRPr="00702458">
        <w:rPr>
          <w:rStyle w:val="FootnoteReference"/>
          <w:rFonts w:ascii="Cambria" w:hAnsi="Cambria"/>
          <w:sz w:val="16"/>
        </w:rPr>
        <w:footnoteRef/>
      </w:r>
      <w:r w:rsidRPr="00702458">
        <w:rPr>
          <w:rFonts w:ascii="Cambria" w:hAnsi="Cambria"/>
          <w:sz w:val="16"/>
          <w:lang w:val="es-ES"/>
        </w:rPr>
        <w:t xml:space="preserve"> Artículo 45.c de la Carta de la Organización de los Estados Americanos y artículo 27 de la Carta de Garantías Sociales.</w:t>
      </w:r>
      <w:r w:rsidRPr="00702458">
        <w:rPr>
          <w:sz w:val="16"/>
          <w:lang w:val="es-ES"/>
        </w:rPr>
        <w:t xml:space="preserve"> </w:t>
      </w:r>
    </w:p>
  </w:footnote>
  <w:footnote w:id="8">
    <w:p w14:paraId="79F07139" w14:textId="77777777" w:rsidR="008E3BFE" w:rsidRPr="00EB7210" w:rsidRDefault="008E3BFE" w:rsidP="00EB7210">
      <w:pPr>
        <w:pStyle w:val="FootnoteText"/>
        <w:ind w:firstLine="720"/>
        <w:jc w:val="both"/>
        <w:rPr>
          <w:rFonts w:ascii="Cambria" w:hAnsi="Cambria"/>
          <w:color w:val="auto"/>
          <w:sz w:val="16"/>
          <w:szCs w:val="16"/>
          <w:lang w:val="es-ES"/>
        </w:rPr>
      </w:pPr>
      <w:r w:rsidRPr="00EB7210">
        <w:rPr>
          <w:rStyle w:val="FootnoteReference"/>
          <w:rFonts w:ascii="Cambria" w:hAnsi="Cambria"/>
          <w:color w:val="auto"/>
          <w:sz w:val="16"/>
          <w:szCs w:val="16"/>
        </w:rPr>
        <w:footnoteRef/>
      </w:r>
      <w:r w:rsidRPr="00EB7210">
        <w:rPr>
          <w:rFonts w:ascii="Cambria" w:hAnsi="Cambria"/>
          <w:color w:val="auto"/>
          <w:sz w:val="16"/>
          <w:szCs w:val="16"/>
          <w:lang w:val="es-ES"/>
        </w:rPr>
        <w:t xml:space="preserve"> Las observaciones de cada parte fueron debidamente trasladadas a la parte contraria.</w:t>
      </w:r>
    </w:p>
  </w:footnote>
  <w:footnote w:id="9">
    <w:p w14:paraId="3F89363C" w14:textId="614ADC0E" w:rsidR="00D80EA5" w:rsidRPr="00D80EA5" w:rsidRDefault="00D80EA5" w:rsidP="00D80EA5">
      <w:pPr>
        <w:pStyle w:val="FootnoteText"/>
        <w:ind w:firstLine="720"/>
        <w:jc w:val="both"/>
        <w:rPr>
          <w:rFonts w:ascii="Cambria" w:hAnsi="Cambria"/>
          <w:sz w:val="16"/>
          <w:szCs w:val="16"/>
          <w:lang w:val="es-419"/>
        </w:rPr>
      </w:pPr>
      <w:r w:rsidRPr="00D80EA5">
        <w:rPr>
          <w:rStyle w:val="FootnoteReference"/>
          <w:rFonts w:ascii="Cambria" w:hAnsi="Cambria"/>
          <w:sz w:val="16"/>
          <w:szCs w:val="16"/>
        </w:rPr>
        <w:footnoteRef/>
      </w:r>
      <w:r w:rsidRPr="00D80EA5">
        <w:rPr>
          <w:rFonts w:ascii="Cambria" w:hAnsi="Cambria"/>
          <w:sz w:val="16"/>
          <w:szCs w:val="16"/>
          <w:lang w:val="es-419"/>
        </w:rPr>
        <w:t xml:space="preserve"> Sostiene que los denunciantes en la queja 3106 ante la OIT son organizaciones sindicales representadas por la Federación Internacional de los Trabajadores del Transporte, en particular, la Unión de Capitanes y Oficiales de Cubierta, la Unión de Prácticos del Canal de Panamá, la Unión de Ingenieros Marinos y el Sindicato del Canal de Panamá y del Caribe. </w:t>
      </w:r>
    </w:p>
  </w:footnote>
  <w:footnote w:id="10">
    <w:p w14:paraId="5F8ABCA9" w14:textId="0C7448BD" w:rsidR="00DA681E" w:rsidRPr="00981CB4" w:rsidRDefault="00DA681E" w:rsidP="00DA681E">
      <w:pPr>
        <w:pStyle w:val="FootnoteText"/>
        <w:pBdr>
          <w:top w:val="none" w:sz="0" w:space="0" w:color="auto"/>
          <w:left w:val="none" w:sz="0" w:space="0" w:color="auto"/>
          <w:bottom w:val="none" w:sz="0" w:space="0" w:color="auto"/>
          <w:right w:val="none" w:sz="0" w:space="0" w:color="auto"/>
        </w:pBdr>
        <w:ind w:firstLine="720"/>
        <w:jc w:val="both"/>
        <w:rPr>
          <w:lang w:val="es-US"/>
        </w:rPr>
      </w:pPr>
      <w:r>
        <w:rPr>
          <w:rFonts w:ascii="Cambria" w:hAnsi="Cambria"/>
          <w:sz w:val="16"/>
          <w:szCs w:val="16"/>
          <w:vertAlign w:val="superscript"/>
        </w:rPr>
        <w:footnoteRef/>
      </w:r>
      <w:r>
        <w:rPr>
          <w:rFonts w:ascii="Cambria" w:hAnsi="Cambria"/>
          <w:sz w:val="16"/>
          <w:szCs w:val="16"/>
          <w:lang w:val="es-ES"/>
        </w:rPr>
        <w:t xml:space="preserve"> CIDH, Informe No. 67/15, Petición 211-07. Admisibilidad. Jorge Marcial </w:t>
      </w:r>
      <w:proofErr w:type="spellStart"/>
      <w:r>
        <w:rPr>
          <w:rFonts w:ascii="Cambria" w:hAnsi="Cambria"/>
          <w:sz w:val="16"/>
          <w:szCs w:val="16"/>
          <w:lang w:val="es-ES"/>
        </w:rPr>
        <w:t>Tzompaxtle</w:t>
      </w:r>
      <w:proofErr w:type="spellEnd"/>
      <w:r>
        <w:rPr>
          <w:rFonts w:ascii="Cambria" w:hAnsi="Cambria"/>
          <w:sz w:val="16"/>
          <w:szCs w:val="16"/>
          <w:lang w:val="es-ES"/>
        </w:rPr>
        <w:t xml:space="preserve"> </w:t>
      </w:r>
      <w:proofErr w:type="spellStart"/>
      <w:r>
        <w:rPr>
          <w:rFonts w:ascii="Cambria" w:hAnsi="Cambria"/>
          <w:sz w:val="16"/>
          <w:szCs w:val="16"/>
          <w:lang w:val="es-ES"/>
        </w:rPr>
        <w:t>Tecpile</w:t>
      </w:r>
      <w:proofErr w:type="spellEnd"/>
      <w:r>
        <w:rPr>
          <w:rFonts w:ascii="Cambria" w:hAnsi="Cambria"/>
          <w:sz w:val="16"/>
          <w:szCs w:val="16"/>
          <w:lang w:val="es-ES"/>
        </w:rPr>
        <w:t xml:space="preserve"> y otros. México. 27 de octubre de 2015, párr. 34; y </w:t>
      </w:r>
      <w:r>
        <w:rPr>
          <w:rFonts w:ascii="Cambria" w:hAnsi="Cambria"/>
          <w:sz w:val="16"/>
          <w:szCs w:val="16"/>
          <w:lang w:val="es-VE"/>
        </w:rPr>
        <w:t xml:space="preserve">CIDH, Informe No. 45/14, Petición 325-00. </w:t>
      </w:r>
      <w:r w:rsidRPr="0076072C">
        <w:rPr>
          <w:rFonts w:ascii="Cambria" w:hAnsi="Cambria"/>
          <w:sz w:val="16"/>
          <w:szCs w:val="16"/>
          <w:lang w:val="pt-BR"/>
        </w:rPr>
        <w:t>Admisibilidad. Rufino Jorge Almeida. Argentina. 18 de julio de 2014, párr. 51-54;</w:t>
      </w:r>
      <w:r w:rsidR="00EB15A3" w:rsidRPr="0076072C">
        <w:rPr>
          <w:rFonts w:ascii="Cambria" w:hAnsi="Cambria"/>
          <w:sz w:val="16"/>
          <w:szCs w:val="16"/>
          <w:lang w:val="pt-BR"/>
        </w:rPr>
        <w:t xml:space="preserve"> Corte IDH. </w:t>
      </w:r>
      <w:r w:rsidR="00EB15A3" w:rsidRPr="00EB15A3">
        <w:rPr>
          <w:rFonts w:ascii="Cambria" w:hAnsi="Cambria"/>
          <w:sz w:val="16"/>
          <w:szCs w:val="16"/>
          <w:lang w:val="es-419"/>
        </w:rPr>
        <w:t>Caso Mendoza y otros vs. Argentina. Excepciones Preliminares Fondo, Reparaciones y Costas. Sentencia de 14 de m</w:t>
      </w:r>
      <w:r w:rsidR="00EB15A3">
        <w:rPr>
          <w:rFonts w:ascii="Cambria" w:hAnsi="Cambria"/>
          <w:sz w:val="16"/>
          <w:szCs w:val="16"/>
          <w:lang w:val="es-419"/>
        </w:rPr>
        <w:t>ayo de 2013. Serie C no. 260, pá</w:t>
      </w:r>
      <w:r w:rsidR="00EB15A3" w:rsidRPr="00EB15A3">
        <w:rPr>
          <w:rFonts w:ascii="Cambria" w:hAnsi="Cambria"/>
          <w:sz w:val="16"/>
          <w:szCs w:val="16"/>
          <w:lang w:val="es-419"/>
        </w:rPr>
        <w:t>rrs. 37-40;</w:t>
      </w:r>
      <w:r>
        <w:rPr>
          <w:rFonts w:ascii="Cambria" w:hAnsi="Cambria"/>
          <w:sz w:val="16"/>
          <w:szCs w:val="16"/>
          <w:lang w:val="es-VE"/>
        </w:rPr>
        <w:t xml:space="preserve"> Corte IDH, Caso Baena Ricardo y otros Vs. Panamá. Excepciones Preliminares. Sentencia de 18 de noviembre de 1999. Serie C No. 61, párr. 53; y Corte IDH, Caso Durand y Ugarte, Excepciones Preliminares, Sentencia de 28 de mayo de 1999. Serie C No. 50, párr. 43.</w:t>
      </w:r>
    </w:p>
  </w:footnote>
  <w:footnote w:id="11">
    <w:p w14:paraId="3BC1F2CB" w14:textId="77777777" w:rsidR="000F3D21" w:rsidRDefault="000F3D21" w:rsidP="000F3D21">
      <w:pPr>
        <w:pStyle w:val="FootnoteText"/>
        <w:jc w:val="both"/>
        <w:rPr>
          <w:rFonts w:ascii="Cambria" w:hAnsi="Cambria"/>
          <w:sz w:val="16"/>
          <w:szCs w:val="16"/>
          <w:lang w:val="es-ES" w:eastAsia="en-U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49/17, Petición 384-08. Admisibilidad. Trabajadores Despedidos de Ecopetrol. Colombia. 25 de mayo de 2017, párr. 15.</w:t>
      </w:r>
    </w:p>
  </w:footnote>
  <w:footnote w:id="12">
    <w:p w14:paraId="1A8C23AD" w14:textId="77777777" w:rsidR="000F3D21" w:rsidRDefault="000F3D21" w:rsidP="000F3D21">
      <w:pPr>
        <w:pStyle w:val="FootnoteText"/>
        <w:jc w:val="both"/>
        <w:rPr>
          <w:rFonts w:ascii="Cambria" w:hAnsi="Cambria"/>
          <w:sz w:val="16"/>
          <w:szCs w:val="16"/>
          <w:lang w:val="es-E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41/16, Petición 142-04. Admisibilidad. José Tomás Tenorio Morales y otros (Sindicato de Profesionales de la Educación Superior “Ervin Abarca Jiménez” de la Universidad Nacional de Ingeniería). Nicaragua. 11 de septiembre de 2016, párr. 53.</w:t>
      </w:r>
    </w:p>
  </w:footnote>
  <w:footnote w:id="13">
    <w:p w14:paraId="4DB01E8D" w14:textId="77777777" w:rsidR="000F3D21" w:rsidRDefault="000F3D21" w:rsidP="000F3D21">
      <w:pPr>
        <w:pStyle w:val="FootnoteText"/>
        <w:jc w:val="both"/>
        <w:rPr>
          <w:rFonts w:ascii="Cambria" w:hAnsi="Cambria"/>
          <w:sz w:val="16"/>
          <w:szCs w:val="16"/>
          <w:lang w:val="es-ES" w:eastAsia="en-US"/>
        </w:rPr>
      </w:pPr>
      <w:r>
        <w:rPr>
          <w:rFonts w:ascii="Cambria" w:hAnsi="Cambria"/>
          <w:sz w:val="16"/>
          <w:szCs w:val="16"/>
          <w:lang w:val="es-ES"/>
        </w:rPr>
        <w:tab/>
      </w:r>
      <w:r>
        <w:rPr>
          <w:rStyle w:val="FootnoteReference"/>
          <w:rFonts w:ascii="Cambria" w:hAnsi="Cambria"/>
          <w:sz w:val="16"/>
          <w:szCs w:val="16"/>
        </w:rPr>
        <w:footnoteRef/>
      </w:r>
      <w:r>
        <w:rPr>
          <w:rFonts w:ascii="Cambria" w:hAnsi="Cambria"/>
          <w:sz w:val="16"/>
          <w:szCs w:val="16"/>
          <w:lang w:val="es-ES"/>
        </w:rPr>
        <w:t xml:space="preserve"> CIDH, Informe No. 96/98, Petición 11.827. Inadmisibilidad. Peter Blaine. Jamaica. 17 de diciembre de 1998, párr. 42.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6E2D33"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8F18214E"/>
    <w:lvl w:ilvl="0" w:tplc="F78E927A">
      <w:start w:val="1"/>
      <w:numFmt w:val="decimal"/>
      <w:lvlText w:val="%1."/>
      <w:lvlJc w:val="left"/>
      <w:pPr>
        <w:tabs>
          <w:tab w:val="num" w:pos="720"/>
        </w:tabs>
        <w:ind w:left="0" w:firstLine="720"/>
      </w:pPr>
      <w:rPr>
        <w:rFonts w:ascii="Cambria" w:hAnsi="Cambria" w:hint="default"/>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2543A18"/>
    <w:multiLevelType w:val="multilevel"/>
    <w:tmpl w:val="DE1A21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1"/>
  </w:num>
  <w:num w:numId="4">
    <w:abstractNumId w:val="20"/>
  </w:num>
  <w:num w:numId="5">
    <w:abstractNumId w:val="45"/>
  </w:num>
  <w:num w:numId="6">
    <w:abstractNumId w:val="25"/>
  </w:num>
  <w:num w:numId="7">
    <w:abstractNumId w:val="6"/>
  </w:num>
  <w:num w:numId="8">
    <w:abstractNumId w:val="16"/>
  </w:num>
  <w:num w:numId="9">
    <w:abstractNumId w:val="40"/>
  </w:num>
  <w:num w:numId="10">
    <w:abstractNumId w:val="0"/>
  </w:num>
  <w:num w:numId="11">
    <w:abstractNumId w:val="34"/>
  </w:num>
  <w:num w:numId="12">
    <w:abstractNumId w:val="35"/>
  </w:num>
  <w:num w:numId="13">
    <w:abstractNumId w:val="42"/>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7"/>
  </w:num>
  <w:num w:numId="41">
    <w:abstractNumId w:val="44"/>
  </w:num>
  <w:num w:numId="42">
    <w:abstractNumId w:val="46"/>
  </w:num>
  <w:num w:numId="43">
    <w:abstractNumId w:val="47"/>
  </w:num>
  <w:num w:numId="44">
    <w:abstractNumId w:val="49"/>
  </w:num>
  <w:num w:numId="45">
    <w:abstractNumId w:val="50"/>
  </w:num>
  <w:num w:numId="46">
    <w:abstractNumId w:val="52"/>
  </w:num>
  <w:num w:numId="47">
    <w:abstractNumId w:val="53"/>
  </w:num>
  <w:num w:numId="48">
    <w:abstractNumId w:val="54"/>
  </w:num>
  <w:num w:numId="49">
    <w:abstractNumId w:val="55"/>
  </w:num>
  <w:num w:numId="50">
    <w:abstractNumId w:val="56"/>
  </w:num>
  <w:num w:numId="51">
    <w:abstractNumId w:val="19"/>
  </w:num>
  <w:num w:numId="52">
    <w:abstractNumId w:val="38"/>
  </w:num>
  <w:num w:numId="53">
    <w:abstractNumId w:val="48"/>
  </w:num>
  <w:num w:numId="54">
    <w:abstractNumId w:val="43"/>
  </w:num>
  <w:num w:numId="55">
    <w:abstractNumId w:val="4"/>
  </w:num>
  <w:num w:numId="56">
    <w:abstractNumId w:val="41"/>
  </w:num>
  <w:num w:numId="57">
    <w:abstractNumId w:val="39"/>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tBYA4ge8Dy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1D0"/>
    <w:rsid w:val="000419AD"/>
    <w:rsid w:val="00054B08"/>
    <w:rsid w:val="000712B5"/>
    <w:rsid w:val="000716C5"/>
    <w:rsid w:val="00075E23"/>
    <w:rsid w:val="00077815"/>
    <w:rsid w:val="0009006E"/>
    <w:rsid w:val="0009344A"/>
    <w:rsid w:val="000A23C0"/>
    <w:rsid w:val="000A3254"/>
    <w:rsid w:val="000A392E"/>
    <w:rsid w:val="000A575F"/>
    <w:rsid w:val="000B0579"/>
    <w:rsid w:val="000C1C69"/>
    <w:rsid w:val="000C4E63"/>
    <w:rsid w:val="000D02F3"/>
    <w:rsid w:val="000D10DB"/>
    <w:rsid w:val="000D2200"/>
    <w:rsid w:val="000E2789"/>
    <w:rsid w:val="000E5EB5"/>
    <w:rsid w:val="000F35ED"/>
    <w:rsid w:val="000F3D21"/>
    <w:rsid w:val="00107131"/>
    <w:rsid w:val="0010736F"/>
    <w:rsid w:val="00111A8A"/>
    <w:rsid w:val="00113F73"/>
    <w:rsid w:val="00121CC2"/>
    <w:rsid w:val="00131D8B"/>
    <w:rsid w:val="00133EE5"/>
    <w:rsid w:val="00136E3D"/>
    <w:rsid w:val="00143EFE"/>
    <w:rsid w:val="0014618A"/>
    <w:rsid w:val="00147039"/>
    <w:rsid w:val="001479C0"/>
    <w:rsid w:val="0015330B"/>
    <w:rsid w:val="00167A34"/>
    <w:rsid w:val="00177EEF"/>
    <w:rsid w:val="001A7870"/>
    <w:rsid w:val="001B3A00"/>
    <w:rsid w:val="001C1B41"/>
    <w:rsid w:val="001D07FE"/>
    <w:rsid w:val="001D52F4"/>
    <w:rsid w:val="001D65EF"/>
    <w:rsid w:val="001E49E7"/>
    <w:rsid w:val="001F0CF0"/>
    <w:rsid w:val="001F112D"/>
    <w:rsid w:val="001F271B"/>
    <w:rsid w:val="001F57B8"/>
    <w:rsid w:val="001F7201"/>
    <w:rsid w:val="00204931"/>
    <w:rsid w:val="00223A29"/>
    <w:rsid w:val="002250A3"/>
    <w:rsid w:val="002274FD"/>
    <w:rsid w:val="00231294"/>
    <w:rsid w:val="00235217"/>
    <w:rsid w:val="00246D1F"/>
    <w:rsid w:val="00247403"/>
    <w:rsid w:val="00247542"/>
    <w:rsid w:val="00266B61"/>
    <w:rsid w:val="0026712A"/>
    <w:rsid w:val="002704DB"/>
    <w:rsid w:val="00274539"/>
    <w:rsid w:val="00274A53"/>
    <w:rsid w:val="00277BDA"/>
    <w:rsid w:val="0029575A"/>
    <w:rsid w:val="002A0AAE"/>
    <w:rsid w:val="002A5820"/>
    <w:rsid w:val="002B21AD"/>
    <w:rsid w:val="002C3350"/>
    <w:rsid w:val="002C4C72"/>
    <w:rsid w:val="002D2B26"/>
    <w:rsid w:val="002D7EA2"/>
    <w:rsid w:val="002E187C"/>
    <w:rsid w:val="002E2ED0"/>
    <w:rsid w:val="002E7512"/>
    <w:rsid w:val="00301C04"/>
    <w:rsid w:val="00302733"/>
    <w:rsid w:val="003121D5"/>
    <w:rsid w:val="00314078"/>
    <w:rsid w:val="0031535D"/>
    <w:rsid w:val="003239B8"/>
    <w:rsid w:val="0033169F"/>
    <w:rsid w:val="00335AD7"/>
    <w:rsid w:val="0034224A"/>
    <w:rsid w:val="00343438"/>
    <w:rsid w:val="00344977"/>
    <w:rsid w:val="00346C95"/>
    <w:rsid w:val="00347CBB"/>
    <w:rsid w:val="00351155"/>
    <w:rsid w:val="00356185"/>
    <w:rsid w:val="00357CD8"/>
    <w:rsid w:val="00360380"/>
    <w:rsid w:val="00374458"/>
    <w:rsid w:val="0037519E"/>
    <w:rsid w:val="00386C6C"/>
    <w:rsid w:val="00386CF0"/>
    <w:rsid w:val="003A6337"/>
    <w:rsid w:val="003B4FF6"/>
    <w:rsid w:val="003B70FB"/>
    <w:rsid w:val="003B73EF"/>
    <w:rsid w:val="003C1ACF"/>
    <w:rsid w:val="003C676B"/>
    <w:rsid w:val="003D0A55"/>
    <w:rsid w:val="003D3BC2"/>
    <w:rsid w:val="003E6CA1"/>
    <w:rsid w:val="003F656A"/>
    <w:rsid w:val="00402247"/>
    <w:rsid w:val="004051C3"/>
    <w:rsid w:val="004065A8"/>
    <w:rsid w:val="004165C2"/>
    <w:rsid w:val="004304AD"/>
    <w:rsid w:val="0043295F"/>
    <w:rsid w:val="00434B93"/>
    <w:rsid w:val="00441ECB"/>
    <w:rsid w:val="00445193"/>
    <w:rsid w:val="00447CCF"/>
    <w:rsid w:val="00453E99"/>
    <w:rsid w:val="004565BA"/>
    <w:rsid w:val="00462C1B"/>
    <w:rsid w:val="00467B7E"/>
    <w:rsid w:val="00473BB4"/>
    <w:rsid w:val="00476211"/>
    <w:rsid w:val="00477592"/>
    <w:rsid w:val="00481290"/>
    <w:rsid w:val="00482D33"/>
    <w:rsid w:val="00485FC6"/>
    <w:rsid w:val="00486F1C"/>
    <w:rsid w:val="00493915"/>
    <w:rsid w:val="0049419D"/>
    <w:rsid w:val="004A59CC"/>
    <w:rsid w:val="004A6A54"/>
    <w:rsid w:val="004C20D2"/>
    <w:rsid w:val="004C2312"/>
    <w:rsid w:val="004C4B62"/>
    <w:rsid w:val="004C54C9"/>
    <w:rsid w:val="004C616A"/>
    <w:rsid w:val="004C6D95"/>
    <w:rsid w:val="004D4ABA"/>
    <w:rsid w:val="004D6025"/>
    <w:rsid w:val="004E19B1"/>
    <w:rsid w:val="004E2649"/>
    <w:rsid w:val="004F17B4"/>
    <w:rsid w:val="00501399"/>
    <w:rsid w:val="00501652"/>
    <w:rsid w:val="00504AB2"/>
    <w:rsid w:val="0050633D"/>
    <w:rsid w:val="00507BC4"/>
    <w:rsid w:val="005108D8"/>
    <w:rsid w:val="005128E4"/>
    <w:rsid w:val="005133DB"/>
    <w:rsid w:val="00525560"/>
    <w:rsid w:val="005415E6"/>
    <w:rsid w:val="00544216"/>
    <w:rsid w:val="00544C49"/>
    <w:rsid w:val="005516A1"/>
    <w:rsid w:val="00556222"/>
    <w:rsid w:val="00563557"/>
    <w:rsid w:val="0057402A"/>
    <w:rsid w:val="00574CB7"/>
    <w:rsid w:val="005771D0"/>
    <w:rsid w:val="0058191A"/>
    <w:rsid w:val="0059191A"/>
    <w:rsid w:val="005921FF"/>
    <w:rsid w:val="005A24ED"/>
    <w:rsid w:val="005A6D0E"/>
    <w:rsid w:val="005B1468"/>
    <w:rsid w:val="005B37CC"/>
    <w:rsid w:val="005B52B0"/>
    <w:rsid w:val="005B6806"/>
    <w:rsid w:val="005B6D22"/>
    <w:rsid w:val="005C261A"/>
    <w:rsid w:val="005C4225"/>
    <w:rsid w:val="005C7989"/>
    <w:rsid w:val="005D3A43"/>
    <w:rsid w:val="005E05D3"/>
    <w:rsid w:val="005E0B65"/>
    <w:rsid w:val="005E11B2"/>
    <w:rsid w:val="005F0DAD"/>
    <w:rsid w:val="005F0F33"/>
    <w:rsid w:val="005F42C3"/>
    <w:rsid w:val="005F4FB7"/>
    <w:rsid w:val="00600DEB"/>
    <w:rsid w:val="006277DE"/>
    <w:rsid w:val="00627C9F"/>
    <w:rsid w:val="006311E9"/>
    <w:rsid w:val="00632354"/>
    <w:rsid w:val="00642810"/>
    <w:rsid w:val="006448A3"/>
    <w:rsid w:val="00647756"/>
    <w:rsid w:val="00650845"/>
    <w:rsid w:val="006509DA"/>
    <w:rsid w:val="00652333"/>
    <w:rsid w:val="0065630D"/>
    <w:rsid w:val="00665A5F"/>
    <w:rsid w:val="00677B6D"/>
    <w:rsid w:val="0068009E"/>
    <w:rsid w:val="006819E9"/>
    <w:rsid w:val="00686471"/>
    <w:rsid w:val="00691BBE"/>
    <w:rsid w:val="00692219"/>
    <w:rsid w:val="006A17D2"/>
    <w:rsid w:val="006A6686"/>
    <w:rsid w:val="006A73E6"/>
    <w:rsid w:val="006B2D5C"/>
    <w:rsid w:val="006C4EB1"/>
    <w:rsid w:val="006D1592"/>
    <w:rsid w:val="006E0166"/>
    <w:rsid w:val="006E2D33"/>
    <w:rsid w:val="006E7B34"/>
    <w:rsid w:val="00702458"/>
    <w:rsid w:val="0070697F"/>
    <w:rsid w:val="0070754E"/>
    <w:rsid w:val="0072199C"/>
    <w:rsid w:val="00722C9F"/>
    <w:rsid w:val="007253B8"/>
    <w:rsid w:val="0073598C"/>
    <w:rsid w:val="0073741F"/>
    <w:rsid w:val="00753A33"/>
    <w:rsid w:val="00757766"/>
    <w:rsid w:val="0076072C"/>
    <w:rsid w:val="007620CF"/>
    <w:rsid w:val="0076643F"/>
    <w:rsid w:val="00771AB3"/>
    <w:rsid w:val="00777F63"/>
    <w:rsid w:val="007852B5"/>
    <w:rsid w:val="007A5817"/>
    <w:rsid w:val="007B05C4"/>
    <w:rsid w:val="007B60E9"/>
    <w:rsid w:val="007B6CC3"/>
    <w:rsid w:val="007C3334"/>
    <w:rsid w:val="007C402A"/>
    <w:rsid w:val="007C4925"/>
    <w:rsid w:val="007D2B98"/>
    <w:rsid w:val="007D4EF3"/>
    <w:rsid w:val="007D64B7"/>
    <w:rsid w:val="007D7C02"/>
    <w:rsid w:val="007E21BC"/>
    <w:rsid w:val="007E58FE"/>
    <w:rsid w:val="007E7C82"/>
    <w:rsid w:val="007F588D"/>
    <w:rsid w:val="007F65CC"/>
    <w:rsid w:val="00802748"/>
    <w:rsid w:val="008031BA"/>
    <w:rsid w:val="00803F1C"/>
    <w:rsid w:val="0080600E"/>
    <w:rsid w:val="00811569"/>
    <w:rsid w:val="00817612"/>
    <w:rsid w:val="00832BF7"/>
    <w:rsid w:val="008338A4"/>
    <w:rsid w:val="00834D49"/>
    <w:rsid w:val="00837C45"/>
    <w:rsid w:val="008411F0"/>
    <w:rsid w:val="00844730"/>
    <w:rsid w:val="008457C2"/>
    <w:rsid w:val="00846490"/>
    <w:rsid w:val="00853A49"/>
    <w:rsid w:val="00857A82"/>
    <w:rsid w:val="00871526"/>
    <w:rsid w:val="00873836"/>
    <w:rsid w:val="00882299"/>
    <w:rsid w:val="00885737"/>
    <w:rsid w:val="00890650"/>
    <w:rsid w:val="00897E12"/>
    <w:rsid w:val="008A0F81"/>
    <w:rsid w:val="008A1F28"/>
    <w:rsid w:val="008A7A02"/>
    <w:rsid w:val="008A7E0F"/>
    <w:rsid w:val="008B12F5"/>
    <w:rsid w:val="008B3C07"/>
    <w:rsid w:val="008B5932"/>
    <w:rsid w:val="008C5751"/>
    <w:rsid w:val="008C58CB"/>
    <w:rsid w:val="008D768D"/>
    <w:rsid w:val="008E328A"/>
    <w:rsid w:val="008E3759"/>
    <w:rsid w:val="008E3BFE"/>
    <w:rsid w:val="008E7900"/>
    <w:rsid w:val="008F1912"/>
    <w:rsid w:val="0090270B"/>
    <w:rsid w:val="009041DC"/>
    <w:rsid w:val="009068D5"/>
    <w:rsid w:val="00917B5A"/>
    <w:rsid w:val="00920A58"/>
    <w:rsid w:val="00920A8C"/>
    <w:rsid w:val="00923529"/>
    <w:rsid w:val="00934A2C"/>
    <w:rsid w:val="00935F06"/>
    <w:rsid w:val="009371B8"/>
    <w:rsid w:val="00937B3A"/>
    <w:rsid w:val="00937D3B"/>
    <w:rsid w:val="00954B82"/>
    <w:rsid w:val="00962436"/>
    <w:rsid w:val="00963445"/>
    <w:rsid w:val="0096706E"/>
    <w:rsid w:val="00974491"/>
    <w:rsid w:val="00975C4E"/>
    <w:rsid w:val="00981CB4"/>
    <w:rsid w:val="00981FBA"/>
    <w:rsid w:val="00986FA9"/>
    <w:rsid w:val="00997BC5"/>
    <w:rsid w:val="009A4F41"/>
    <w:rsid w:val="009A5176"/>
    <w:rsid w:val="009A613D"/>
    <w:rsid w:val="009B381B"/>
    <w:rsid w:val="009C2FC5"/>
    <w:rsid w:val="009D1753"/>
    <w:rsid w:val="009D6502"/>
    <w:rsid w:val="009D7611"/>
    <w:rsid w:val="009D78A5"/>
    <w:rsid w:val="009D7E5A"/>
    <w:rsid w:val="009E0B61"/>
    <w:rsid w:val="009E2DF4"/>
    <w:rsid w:val="009E53DE"/>
    <w:rsid w:val="009E7C00"/>
    <w:rsid w:val="009F5A3B"/>
    <w:rsid w:val="00A00A1E"/>
    <w:rsid w:val="00A03FE1"/>
    <w:rsid w:val="00A0691C"/>
    <w:rsid w:val="00A11E44"/>
    <w:rsid w:val="00A22397"/>
    <w:rsid w:val="00A328B3"/>
    <w:rsid w:val="00A50FCF"/>
    <w:rsid w:val="00A528D1"/>
    <w:rsid w:val="00A610CD"/>
    <w:rsid w:val="00A625E0"/>
    <w:rsid w:val="00A74947"/>
    <w:rsid w:val="00A758AA"/>
    <w:rsid w:val="00A82457"/>
    <w:rsid w:val="00A863F6"/>
    <w:rsid w:val="00AA09A2"/>
    <w:rsid w:val="00AA7996"/>
    <w:rsid w:val="00AC19CB"/>
    <w:rsid w:val="00AC6EE7"/>
    <w:rsid w:val="00AD1886"/>
    <w:rsid w:val="00AD43C7"/>
    <w:rsid w:val="00AD4E3B"/>
    <w:rsid w:val="00AE5488"/>
    <w:rsid w:val="00AE6F91"/>
    <w:rsid w:val="00AF5571"/>
    <w:rsid w:val="00B06B4E"/>
    <w:rsid w:val="00B07341"/>
    <w:rsid w:val="00B202B5"/>
    <w:rsid w:val="00B2076D"/>
    <w:rsid w:val="00B21DC0"/>
    <w:rsid w:val="00B30539"/>
    <w:rsid w:val="00B314DB"/>
    <w:rsid w:val="00B32F5D"/>
    <w:rsid w:val="00B3434E"/>
    <w:rsid w:val="00B361F2"/>
    <w:rsid w:val="00B3718B"/>
    <w:rsid w:val="00B429F4"/>
    <w:rsid w:val="00B4632A"/>
    <w:rsid w:val="00B5067D"/>
    <w:rsid w:val="00B52147"/>
    <w:rsid w:val="00B530F1"/>
    <w:rsid w:val="00B736AF"/>
    <w:rsid w:val="00B811E0"/>
    <w:rsid w:val="00B97946"/>
    <w:rsid w:val="00BA276C"/>
    <w:rsid w:val="00BA5544"/>
    <w:rsid w:val="00BB306F"/>
    <w:rsid w:val="00BB3FBD"/>
    <w:rsid w:val="00BC258C"/>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3DDF"/>
    <w:rsid w:val="00C24543"/>
    <w:rsid w:val="00C256A2"/>
    <w:rsid w:val="00C35A26"/>
    <w:rsid w:val="00C51515"/>
    <w:rsid w:val="00C53910"/>
    <w:rsid w:val="00C5660B"/>
    <w:rsid w:val="00C56854"/>
    <w:rsid w:val="00C5788A"/>
    <w:rsid w:val="00C66B72"/>
    <w:rsid w:val="00C87AC4"/>
    <w:rsid w:val="00C92863"/>
    <w:rsid w:val="00C93585"/>
    <w:rsid w:val="00C9567A"/>
    <w:rsid w:val="00CA48A3"/>
    <w:rsid w:val="00CA5381"/>
    <w:rsid w:val="00CB212D"/>
    <w:rsid w:val="00CB2660"/>
    <w:rsid w:val="00CB3F9B"/>
    <w:rsid w:val="00CC5E90"/>
    <w:rsid w:val="00CD046C"/>
    <w:rsid w:val="00CD0AB2"/>
    <w:rsid w:val="00CE076C"/>
    <w:rsid w:val="00CE5199"/>
    <w:rsid w:val="00CE66D5"/>
    <w:rsid w:val="00CF637A"/>
    <w:rsid w:val="00D059DE"/>
    <w:rsid w:val="00D05ABD"/>
    <w:rsid w:val="00D13FCE"/>
    <w:rsid w:val="00D306D1"/>
    <w:rsid w:val="00D30800"/>
    <w:rsid w:val="00D323D2"/>
    <w:rsid w:val="00D34786"/>
    <w:rsid w:val="00D37BFC"/>
    <w:rsid w:val="00D42822"/>
    <w:rsid w:val="00D47A8E"/>
    <w:rsid w:val="00D52D14"/>
    <w:rsid w:val="00D55256"/>
    <w:rsid w:val="00D578A8"/>
    <w:rsid w:val="00D712D3"/>
    <w:rsid w:val="00D71422"/>
    <w:rsid w:val="00D72DC6"/>
    <w:rsid w:val="00D73F5E"/>
    <w:rsid w:val="00D7558D"/>
    <w:rsid w:val="00D77503"/>
    <w:rsid w:val="00D80EA5"/>
    <w:rsid w:val="00D81D92"/>
    <w:rsid w:val="00D83C4F"/>
    <w:rsid w:val="00D876F9"/>
    <w:rsid w:val="00D877B6"/>
    <w:rsid w:val="00DA681E"/>
    <w:rsid w:val="00DA7B5F"/>
    <w:rsid w:val="00DC11E7"/>
    <w:rsid w:val="00DC7023"/>
    <w:rsid w:val="00DC769A"/>
    <w:rsid w:val="00DD061E"/>
    <w:rsid w:val="00DD361E"/>
    <w:rsid w:val="00DD3D86"/>
    <w:rsid w:val="00DE12F0"/>
    <w:rsid w:val="00DE230A"/>
    <w:rsid w:val="00DE291E"/>
    <w:rsid w:val="00DF1EC4"/>
    <w:rsid w:val="00E01943"/>
    <w:rsid w:val="00E0340B"/>
    <w:rsid w:val="00E04A90"/>
    <w:rsid w:val="00E0551F"/>
    <w:rsid w:val="00E150C1"/>
    <w:rsid w:val="00E17791"/>
    <w:rsid w:val="00E17F4C"/>
    <w:rsid w:val="00E219C7"/>
    <w:rsid w:val="00E269CA"/>
    <w:rsid w:val="00E26CCA"/>
    <w:rsid w:val="00E4118C"/>
    <w:rsid w:val="00E43157"/>
    <w:rsid w:val="00E461CE"/>
    <w:rsid w:val="00E4645A"/>
    <w:rsid w:val="00E5019B"/>
    <w:rsid w:val="00E538CA"/>
    <w:rsid w:val="00E57874"/>
    <w:rsid w:val="00E720CA"/>
    <w:rsid w:val="00E760FA"/>
    <w:rsid w:val="00E84772"/>
    <w:rsid w:val="00E84EB5"/>
    <w:rsid w:val="00E85662"/>
    <w:rsid w:val="00E8789F"/>
    <w:rsid w:val="00E97B71"/>
    <w:rsid w:val="00EA3D34"/>
    <w:rsid w:val="00EA5D26"/>
    <w:rsid w:val="00EB15A3"/>
    <w:rsid w:val="00EB454D"/>
    <w:rsid w:val="00EB5185"/>
    <w:rsid w:val="00EB7210"/>
    <w:rsid w:val="00EC72AB"/>
    <w:rsid w:val="00ED2F03"/>
    <w:rsid w:val="00ED549D"/>
    <w:rsid w:val="00ED6F4A"/>
    <w:rsid w:val="00ED76BE"/>
    <w:rsid w:val="00ED7F05"/>
    <w:rsid w:val="00EE00E9"/>
    <w:rsid w:val="00EE014D"/>
    <w:rsid w:val="00EE2573"/>
    <w:rsid w:val="00EF35AB"/>
    <w:rsid w:val="00EF4C44"/>
    <w:rsid w:val="00EF59EB"/>
    <w:rsid w:val="00EF619B"/>
    <w:rsid w:val="00F00B55"/>
    <w:rsid w:val="00F02AD1"/>
    <w:rsid w:val="00F04591"/>
    <w:rsid w:val="00F06354"/>
    <w:rsid w:val="00F14CED"/>
    <w:rsid w:val="00F253CC"/>
    <w:rsid w:val="00F332EF"/>
    <w:rsid w:val="00F37106"/>
    <w:rsid w:val="00F519CF"/>
    <w:rsid w:val="00F56BA5"/>
    <w:rsid w:val="00F60E22"/>
    <w:rsid w:val="00F63B39"/>
    <w:rsid w:val="00F81395"/>
    <w:rsid w:val="00F81887"/>
    <w:rsid w:val="00F81BB8"/>
    <w:rsid w:val="00F917D1"/>
    <w:rsid w:val="00F9342C"/>
    <w:rsid w:val="00F9653B"/>
    <w:rsid w:val="00FA56EA"/>
    <w:rsid w:val="00FB4612"/>
    <w:rsid w:val="00FB62CF"/>
    <w:rsid w:val="00FC0F4A"/>
    <w:rsid w:val="00FC12D6"/>
    <w:rsid w:val="00FC3330"/>
    <w:rsid w:val="00FC5B39"/>
    <w:rsid w:val="00FC7EB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customStyle="1" w:styleId="TableGrid1">
    <w:name w:val="Table Grid1"/>
    <w:basedOn w:val="TableNormal"/>
    <w:next w:val="TableGrid"/>
    <w:uiPriority w:val="59"/>
    <w:rsid w:val="002B21AD"/>
    <w:pPr>
      <w:pBdr>
        <w:top w:val="none" w:sz="96" w:space="31" w:color="FFFFFF" w:shadow="1" w:frame="1"/>
        <w:left w:val="none" w:sz="96" w:space="31" w:color="FFFFFF" w:shadow="1" w:frame="1"/>
        <w:bottom w:val="none" w:sz="96" w:space="31" w:color="FFFFFF" w:shadow="1" w:frame="1"/>
        <w:right w:val="none" w:sz="96" w:space="31" w:color="FFFFFF" w:shadow="1" w:frame="1"/>
        <w:between w:val="none" w:sz="0" w:space="0" w:color="auto"/>
        <w:bar w:val="none" w:sz="0" w:color="auto"/>
      </w:pBdr>
    </w:pPr>
    <w:rPr>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086420230">
      <w:bodyDiv w:val="1"/>
      <w:marLeft w:val="0"/>
      <w:marRight w:val="0"/>
      <w:marTop w:val="0"/>
      <w:marBottom w:val="0"/>
      <w:divBdr>
        <w:top w:val="none" w:sz="0" w:space="0" w:color="auto"/>
        <w:left w:val="none" w:sz="0" w:space="0" w:color="auto"/>
        <w:bottom w:val="none" w:sz="0" w:space="0" w:color="auto"/>
        <w:right w:val="none" w:sz="0" w:space="0" w:color="auto"/>
      </w:divBdr>
    </w:div>
    <w:div w:id="133001560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0.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83D45"/>
    <w:rsid w:val="00183B6F"/>
    <w:rsid w:val="001C668E"/>
    <w:rsid w:val="00200821"/>
    <w:rsid w:val="00265EB8"/>
    <w:rsid w:val="002B7BFD"/>
    <w:rsid w:val="00394049"/>
    <w:rsid w:val="004B379B"/>
    <w:rsid w:val="004F2DF8"/>
    <w:rsid w:val="006E2B51"/>
    <w:rsid w:val="006F55CD"/>
    <w:rsid w:val="0070096A"/>
    <w:rsid w:val="0071675E"/>
    <w:rsid w:val="007708F3"/>
    <w:rsid w:val="007C3A75"/>
    <w:rsid w:val="009372A5"/>
    <w:rsid w:val="00942213"/>
    <w:rsid w:val="0097453C"/>
    <w:rsid w:val="009A261B"/>
    <w:rsid w:val="00AA380E"/>
    <w:rsid w:val="00AC15A4"/>
    <w:rsid w:val="00B0336C"/>
    <w:rsid w:val="00B4166D"/>
    <w:rsid w:val="00B65742"/>
    <w:rsid w:val="00B9047C"/>
    <w:rsid w:val="00C11833"/>
    <w:rsid w:val="00C56634"/>
    <w:rsid w:val="00D46351"/>
    <w:rsid w:val="00D74958"/>
    <w:rsid w:val="00D85CFE"/>
    <w:rsid w:val="00DE2D1B"/>
    <w:rsid w:val="00E3180A"/>
    <w:rsid w:val="00E77140"/>
    <w:rsid w:val="00E907ED"/>
    <w:rsid w:val="00EC5ECB"/>
    <w:rsid w:val="00F00D2F"/>
    <w:rsid w:val="00F128DF"/>
    <w:rsid w:val="00F36D6F"/>
    <w:rsid w:val="00FC6C99"/>
    <w:rsid w:val="00FE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048E-A6CE-4E01-8455-37E8397D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3137</Words>
  <Characters>17887</Characters>
  <Application>Microsoft Office Word</Application>
  <DocSecurity>0</DocSecurity>
  <Lines>149</Lines>
  <Paragraphs>41</Paragraphs>
  <ScaleCrop>false</ScaleCrop>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382/20</dc:title>
  <dc:creator/>
  <cp:lastModifiedBy/>
  <cp:revision>1</cp:revision>
  <dcterms:created xsi:type="dcterms:W3CDTF">2022-04-05T16:33:00Z</dcterms:created>
  <dcterms:modified xsi:type="dcterms:W3CDTF">2022-04-05T16:34:00Z</dcterms:modified>
</cp:coreProperties>
</file>