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70E4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61BE76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113B7">
                              <w:rPr>
                                <w:rFonts w:asciiTheme="majorHAnsi" w:hAnsiTheme="majorHAnsi" w:cs="Arial"/>
                                <w:b/>
                                <w:bCs/>
                                <w:color w:val="0D0D0D" w:themeColor="text1" w:themeTint="F2"/>
                                <w:sz w:val="36"/>
                                <w:szCs w:val="22"/>
                                <w:lang w:val="es-ES_tradnl"/>
                              </w:rPr>
                              <w:t>342</w:t>
                            </w:r>
                            <w:r>
                              <w:rPr>
                                <w:rFonts w:asciiTheme="majorHAnsi" w:hAnsiTheme="majorHAnsi" w:cs="Arial"/>
                                <w:b/>
                                <w:bCs/>
                                <w:color w:val="0D0D0D" w:themeColor="text1" w:themeTint="F2"/>
                                <w:sz w:val="36"/>
                                <w:szCs w:val="22"/>
                                <w:lang w:val="es-ES_tradnl"/>
                              </w:rPr>
                              <w:t>/21</w:t>
                            </w:r>
                          </w:p>
                          <w:p w14:paraId="5626D0A4" w14:textId="09C3E9C5"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113-14</w:t>
                            </w:r>
                            <w:r>
                              <w:rPr>
                                <w:rFonts w:ascii="Cambria" w:hAnsi="Cambria" w:cs="Arial"/>
                                <w:b/>
                                <w:color w:val="0D0D0D"/>
                                <w:sz w:val="36"/>
                                <w:szCs w:val="22"/>
                                <w:lang w:val="es-ES_tradnl"/>
                              </w:rPr>
                              <w:tab/>
                            </w:r>
                          </w:p>
                          <w:p w14:paraId="2A1EFAA5" w14:textId="67AD155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138350C9" w:rsidR="00511EBB" w:rsidRPr="00B46622"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DIEGO FERNANDO MUÑ</w:t>
                            </w:r>
                            <w:r w:rsidR="007802E5">
                              <w:rPr>
                                <w:rFonts w:ascii="Cambria" w:hAnsi="Cambria" w:cs="Arial"/>
                                <w:color w:val="0D0D0D"/>
                                <w:szCs w:val="22"/>
                                <w:lang w:val="es-ES_tradnl"/>
                              </w:rPr>
                              <w:t>O</w:t>
                            </w:r>
                            <w:r>
                              <w:rPr>
                                <w:rFonts w:ascii="Cambria" w:hAnsi="Cambria" w:cs="Arial"/>
                                <w:color w:val="0D0D0D"/>
                                <w:szCs w:val="22"/>
                                <w:lang w:val="es-ES_tradnl"/>
                              </w:rPr>
                              <w:t>Z JARA Y FAMILIA</w:t>
                            </w:r>
                          </w:p>
                          <w:bookmarkEnd w:id="0"/>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061BE76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113B7">
                        <w:rPr>
                          <w:rFonts w:asciiTheme="majorHAnsi" w:hAnsiTheme="majorHAnsi" w:cs="Arial"/>
                          <w:b/>
                          <w:bCs/>
                          <w:color w:val="0D0D0D" w:themeColor="text1" w:themeTint="F2"/>
                          <w:sz w:val="36"/>
                          <w:szCs w:val="22"/>
                          <w:lang w:val="es-ES_tradnl"/>
                        </w:rPr>
                        <w:t>342</w:t>
                      </w:r>
                      <w:r>
                        <w:rPr>
                          <w:rFonts w:asciiTheme="majorHAnsi" w:hAnsiTheme="majorHAnsi" w:cs="Arial"/>
                          <w:b/>
                          <w:bCs/>
                          <w:color w:val="0D0D0D" w:themeColor="text1" w:themeTint="F2"/>
                          <w:sz w:val="36"/>
                          <w:szCs w:val="22"/>
                          <w:lang w:val="es-ES_tradnl"/>
                        </w:rPr>
                        <w:t>/21</w:t>
                      </w:r>
                    </w:p>
                    <w:p w14:paraId="5626D0A4" w14:textId="09C3E9C5"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113-14</w:t>
                      </w:r>
                      <w:r>
                        <w:rPr>
                          <w:rFonts w:ascii="Cambria" w:hAnsi="Cambria" w:cs="Arial"/>
                          <w:b/>
                          <w:color w:val="0D0D0D"/>
                          <w:sz w:val="36"/>
                          <w:szCs w:val="22"/>
                          <w:lang w:val="es-ES_tradnl"/>
                        </w:rPr>
                        <w:tab/>
                      </w:r>
                    </w:p>
                    <w:p w14:paraId="2A1EFAA5" w14:textId="67AD155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138350C9" w:rsidR="00511EBB" w:rsidRPr="00B46622"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DIEGO FERNANDO MUÑ</w:t>
                      </w:r>
                      <w:r w:rsidR="007802E5">
                        <w:rPr>
                          <w:rFonts w:ascii="Cambria" w:hAnsi="Cambria" w:cs="Arial"/>
                          <w:color w:val="0D0D0D"/>
                          <w:szCs w:val="22"/>
                          <w:lang w:val="es-ES_tradnl"/>
                        </w:rPr>
                        <w:t>O</w:t>
                      </w:r>
                      <w:r>
                        <w:rPr>
                          <w:rFonts w:ascii="Cambria" w:hAnsi="Cambria" w:cs="Arial"/>
                          <w:color w:val="0D0D0D"/>
                          <w:szCs w:val="22"/>
                          <w:lang w:val="es-ES_tradnl"/>
                        </w:rPr>
                        <w:t>Z JARA Y FAMILIA</w:t>
                      </w:r>
                    </w:p>
                    <w:bookmarkEnd w:id="1"/>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6B1ED9E"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E23686D"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13B7">
                              <w:rPr>
                                <w:rFonts w:asciiTheme="minorHAnsi" w:hAnsiTheme="minorHAnsi"/>
                                <w:color w:val="FFFFFF" w:themeColor="background1"/>
                                <w:sz w:val="22"/>
                                <w:lang w:val="pt-BR"/>
                              </w:rPr>
                              <w:t>352</w:t>
                            </w:r>
                          </w:p>
                          <w:p w14:paraId="0BBD91A2" w14:textId="0CA159B6" w:rsidR="00511EBB" w:rsidRPr="00C25ADB" w:rsidRDefault="00D113B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11EB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66B1ED9E"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E23686D"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13B7">
                        <w:rPr>
                          <w:rFonts w:asciiTheme="minorHAnsi" w:hAnsiTheme="minorHAnsi"/>
                          <w:color w:val="FFFFFF" w:themeColor="background1"/>
                          <w:sz w:val="22"/>
                          <w:lang w:val="pt-BR"/>
                        </w:rPr>
                        <w:t>352</w:t>
                      </w:r>
                    </w:p>
                    <w:p w14:paraId="0BBD91A2" w14:textId="0CA159B6" w:rsidR="00511EBB" w:rsidRPr="00C25ADB" w:rsidRDefault="00D113B7"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511EB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55AAE55"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3B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113B7">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EB20BE">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55AAE55"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3B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113B7">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EB20BE">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62DEE9F0"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3B7" w:rsidRPr="00D113B7">
                              <w:rPr>
                                <w:rFonts w:asciiTheme="majorHAnsi" w:hAnsiTheme="majorHAnsi"/>
                                <w:color w:val="595959" w:themeColor="text1" w:themeTint="A6"/>
                                <w:sz w:val="18"/>
                                <w:szCs w:val="18"/>
                                <w:lang w:val="pt-BR"/>
                              </w:rPr>
                              <w:t>342</w:t>
                            </w:r>
                            <w:r w:rsidRPr="00D113B7">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113-14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Diego Fernando </w:t>
                            </w:r>
                            <w:proofErr w:type="spellStart"/>
                            <w:r>
                              <w:rPr>
                                <w:rFonts w:asciiTheme="majorHAnsi" w:hAnsiTheme="majorHAnsi"/>
                                <w:color w:val="595959" w:themeColor="text1" w:themeTint="A6"/>
                                <w:sz w:val="18"/>
                                <w:szCs w:val="18"/>
                                <w:lang w:val="es-ES_tradnl"/>
                              </w:rPr>
                              <w:t>Muñóz</w:t>
                            </w:r>
                            <w:proofErr w:type="spellEnd"/>
                            <w:r>
                              <w:rPr>
                                <w:rFonts w:asciiTheme="majorHAnsi" w:hAnsiTheme="majorHAnsi"/>
                                <w:color w:val="595959" w:themeColor="text1" w:themeTint="A6"/>
                                <w:sz w:val="18"/>
                                <w:szCs w:val="18"/>
                                <w:lang w:val="es-ES_tradnl"/>
                              </w:rPr>
                              <w:t xml:space="preserve"> Jara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3B7">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62DEE9F0"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3B7" w:rsidRPr="00D113B7">
                        <w:rPr>
                          <w:rFonts w:asciiTheme="majorHAnsi" w:hAnsiTheme="majorHAnsi"/>
                          <w:color w:val="595959" w:themeColor="text1" w:themeTint="A6"/>
                          <w:sz w:val="18"/>
                          <w:szCs w:val="18"/>
                          <w:lang w:val="pt-BR"/>
                        </w:rPr>
                        <w:t>342</w:t>
                      </w:r>
                      <w:r w:rsidRPr="00D113B7">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113-14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Diego Fernando </w:t>
                      </w:r>
                      <w:proofErr w:type="spellStart"/>
                      <w:r>
                        <w:rPr>
                          <w:rFonts w:asciiTheme="majorHAnsi" w:hAnsiTheme="majorHAnsi"/>
                          <w:color w:val="595959" w:themeColor="text1" w:themeTint="A6"/>
                          <w:sz w:val="18"/>
                          <w:szCs w:val="18"/>
                          <w:lang w:val="es-ES_tradnl"/>
                        </w:rPr>
                        <w:t>Muñóz</w:t>
                      </w:r>
                      <w:proofErr w:type="spellEnd"/>
                      <w:r>
                        <w:rPr>
                          <w:rFonts w:asciiTheme="majorHAnsi" w:hAnsiTheme="majorHAnsi"/>
                          <w:color w:val="595959" w:themeColor="text1" w:themeTint="A6"/>
                          <w:sz w:val="18"/>
                          <w:szCs w:val="18"/>
                          <w:lang w:val="es-ES_tradnl"/>
                        </w:rPr>
                        <w:t xml:space="preserve"> Jara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3B7">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2945FF62"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5D2065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D6314C3" w:rsidR="000673D0" w:rsidRDefault="00D113B7"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3984408B">
                <wp:simplePos x="0" y="0"/>
                <wp:positionH relativeFrom="column">
                  <wp:posOffset>1295400</wp:posOffset>
                </wp:positionH>
                <wp:positionV relativeFrom="paragraph">
                  <wp:posOffset>601617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AB42C9A" w:rsidR="00511EBB" w:rsidRPr="00D72DC6" w:rsidRDefault="00D113B7" w:rsidP="000673D0">
                            <w:pPr>
                              <w:rPr>
                                <w:color w:val="FFFFFF" w:themeColor="background1"/>
                                <w14:textFill>
                                  <w14:noFill/>
                                </w14:textFill>
                              </w:rPr>
                            </w:pPr>
                            <w:r>
                              <w:rPr>
                                <w:noProof/>
                                <w:color w:val="FFFFFF" w:themeColor="background1"/>
                              </w:rPr>
                              <w:drawing>
                                <wp:inline distT="0" distB="0" distL="0" distR="0" wp14:anchorId="4D1FFC37" wp14:editId="5F1BB5E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pt;margin-top:47.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" fillcolor="white [3201]" stroked="f" strokeweight=".5pt">
                <v:textbox>
                  <w:txbxContent>
                    <w:p w14:paraId="561CB564" w14:textId="5AB42C9A" w:rsidR="00511EBB" w:rsidRPr="00D72DC6" w:rsidRDefault="00D113B7" w:rsidP="000673D0">
                      <w:pPr>
                        <w:rPr>
                          <w:color w:val="FFFFFF" w:themeColor="background1"/>
                          <w14:textFill>
                            <w14:noFill/>
                          </w14:textFill>
                        </w:rPr>
                      </w:pPr>
                      <w:r>
                        <w:rPr>
                          <w:noProof/>
                          <w:color w:val="FFFFFF" w:themeColor="background1"/>
                        </w:rPr>
                        <w:drawing>
                          <wp:inline distT="0" distB="0" distL="0" distR="0" wp14:anchorId="4D1FFC37" wp14:editId="5F1BB5E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EB20BE"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proofErr w:type="spellStart"/>
            <w:r w:rsidRPr="00DD7C73">
              <w:rPr>
                <w:rFonts w:asciiTheme="majorHAnsi" w:hAnsiTheme="majorHAnsi"/>
                <w:b/>
                <w:bCs/>
                <w:color w:val="FFFFFF" w:themeColor="background1"/>
                <w:sz w:val="20"/>
                <w:szCs w:val="20"/>
              </w:rPr>
              <w:t>Parte</w:t>
            </w:r>
            <w:proofErr w:type="spellEnd"/>
            <w:r w:rsidRPr="00DD7C73">
              <w:rPr>
                <w:rFonts w:asciiTheme="majorHAnsi" w:hAnsiTheme="majorHAnsi"/>
                <w:b/>
                <w:bCs/>
                <w:color w:val="FFFFFF" w:themeColor="background1"/>
                <w:sz w:val="20"/>
                <w:szCs w:val="20"/>
              </w:rPr>
              <w:t xml:space="preserve"> </w:t>
            </w:r>
            <w:proofErr w:type="spellStart"/>
            <w:r w:rsidRPr="00DD7C73">
              <w:rPr>
                <w:rFonts w:asciiTheme="majorHAnsi" w:hAnsiTheme="majorHAnsi"/>
                <w:b/>
                <w:bCs/>
                <w:color w:val="FFFFFF" w:themeColor="background1"/>
                <w:sz w:val="20"/>
                <w:szCs w:val="20"/>
              </w:rPr>
              <w:t>peticionaria</w:t>
            </w:r>
            <w:proofErr w:type="spellEnd"/>
            <w:r w:rsidRPr="00DD7C73">
              <w:rPr>
                <w:rFonts w:asciiTheme="majorHAnsi" w:hAnsiTheme="majorHAnsi"/>
                <w:b/>
                <w:bCs/>
                <w:color w:val="FFFFFF" w:themeColor="background1"/>
                <w:sz w:val="20"/>
                <w:szCs w:val="20"/>
              </w:rPr>
              <w:t>:</w:t>
            </w:r>
          </w:p>
        </w:tc>
        <w:tc>
          <w:tcPr>
            <w:tcW w:w="5557" w:type="dxa"/>
            <w:vAlign w:val="center"/>
          </w:tcPr>
          <w:p w14:paraId="5A4F615E" w14:textId="77101F7D" w:rsidR="000673D0" w:rsidRPr="00DD7C73" w:rsidRDefault="000E35B6" w:rsidP="00B46185">
            <w:pPr>
              <w:jc w:val="both"/>
              <w:rPr>
                <w:rFonts w:asciiTheme="majorHAnsi" w:hAnsiTheme="majorHAnsi"/>
                <w:bCs/>
                <w:sz w:val="20"/>
                <w:szCs w:val="20"/>
                <w:lang w:val="es-PA"/>
              </w:rPr>
            </w:pPr>
            <w:r w:rsidRPr="00DD7C73">
              <w:rPr>
                <w:rFonts w:ascii="Cambria" w:hAnsi="Cambria"/>
                <w:bCs/>
                <w:sz w:val="20"/>
                <w:szCs w:val="20"/>
                <w:lang w:val="es-ES"/>
              </w:rPr>
              <w:t xml:space="preserve">Diego Fernando </w:t>
            </w:r>
            <w:r w:rsidR="00AD1574" w:rsidRPr="00DD7C73">
              <w:rPr>
                <w:rFonts w:ascii="Cambria" w:hAnsi="Cambria"/>
                <w:bCs/>
                <w:sz w:val="20"/>
                <w:szCs w:val="20"/>
                <w:lang w:val="es-ES"/>
              </w:rPr>
              <w:t>Muñoz</w:t>
            </w:r>
            <w:r w:rsidRPr="00DD7C73">
              <w:rPr>
                <w:rFonts w:ascii="Cambria" w:hAnsi="Cambria"/>
                <w:bCs/>
                <w:sz w:val="20"/>
                <w:szCs w:val="20"/>
                <w:lang w:val="es-ES"/>
              </w:rPr>
              <w:t xml:space="preserve"> Jara y Mario Rojas Sepúlveda </w:t>
            </w:r>
          </w:p>
        </w:tc>
      </w:tr>
      <w:tr w:rsidR="000673D0" w:rsidRPr="00EB20BE"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4955C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5B9BED0E" w:rsidR="000673D0" w:rsidRPr="00DD7C73" w:rsidRDefault="000E35B6" w:rsidP="00B46622">
            <w:pPr>
              <w:jc w:val="both"/>
              <w:rPr>
                <w:rFonts w:asciiTheme="majorHAnsi" w:hAnsiTheme="majorHAnsi"/>
                <w:bCs/>
                <w:sz w:val="20"/>
                <w:szCs w:val="20"/>
                <w:lang w:val="es-ES"/>
              </w:rPr>
            </w:pPr>
            <w:r w:rsidRPr="00DD7C73">
              <w:rPr>
                <w:rFonts w:asciiTheme="majorHAnsi" w:hAnsiTheme="majorHAnsi"/>
                <w:bCs/>
                <w:sz w:val="20"/>
                <w:szCs w:val="20"/>
                <w:lang w:val="es-ES"/>
              </w:rPr>
              <w:t xml:space="preserve">Diego Fernando </w:t>
            </w:r>
            <w:r w:rsidR="00AD1574" w:rsidRPr="00DD7C73">
              <w:rPr>
                <w:rFonts w:asciiTheme="majorHAnsi" w:hAnsiTheme="majorHAnsi"/>
                <w:bCs/>
                <w:sz w:val="20"/>
                <w:szCs w:val="20"/>
                <w:lang w:val="es-ES"/>
              </w:rPr>
              <w:t>Muñoz</w:t>
            </w:r>
            <w:r w:rsidRPr="00DD7C73">
              <w:rPr>
                <w:rFonts w:asciiTheme="majorHAnsi" w:hAnsiTheme="majorHAnsi"/>
                <w:bCs/>
                <w:sz w:val="20"/>
                <w:szCs w:val="20"/>
                <w:lang w:val="es-ES"/>
              </w:rPr>
              <w:t xml:space="preserve"> Jara y </w:t>
            </w:r>
            <w:r w:rsidR="007802E5">
              <w:rPr>
                <w:rFonts w:asciiTheme="majorHAnsi" w:hAnsiTheme="majorHAnsi"/>
                <w:bCs/>
                <w:sz w:val="20"/>
                <w:szCs w:val="20"/>
                <w:lang w:val="es-ES"/>
              </w:rPr>
              <w:t>f</w:t>
            </w:r>
            <w:r w:rsidRPr="00DD7C73">
              <w:rPr>
                <w:rFonts w:asciiTheme="majorHAnsi" w:hAnsiTheme="majorHAnsi"/>
                <w:bCs/>
                <w:sz w:val="20"/>
                <w:szCs w:val="20"/>
                <w:lang w:val="es-ES"/>
              </w:rPr>
              <w:t>amilia</w:t>
            </w:r>
            <w:r w:rsidR="00F87AA1" w:rsidRPr="00DD7C73">
              <w:rPr>
                <w:rStyle w:val="FootnoteReference"/>
                <w:rFonts w:asciiTheme="majorHAnsi" w:hAnsiTheme="majorHAnsi"/>
                <w:bCs/>
                <w:sz w:val="20"/>
                <w:szCs w:val="20"/>
                <w:lang w:val="es-ES"/>
              </w:rPr>
              <w:footnoteReference w:id="2"/>
            </w:r>
            <w:r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 xml:space="preserve">Estado </w:t>
            </w:r>
            <w:proofErr w:type="spellStart"/>
            <w:r w:rsidRPr="00DD7C73">
              <w:rPr>
                <w:rFonts w:asciiTheme="majorHAnsi" w:hAnsiTheme="majorHAnsi"/>
                <w:b/>
                <w:bCs/>
                <w:color w:val="FFFFFF" w:themeColor="background1"/>
                <w:sz w:val="20"/>
                <w:szCs w:val="20"/>
              </w:rPr>
              <w:t>denunciado</w:t>
            </w:r>
            <w:proofErr w:type="spellEnd"/>
            <w:r w:rsidRPr="00DD7C73">
              <w:rPr>
                <w:rFonts w:asciiTheme="majorHAnsi" w:hAnsiTheme="majorHAnsi"/>
                <w:b/>
                <w:bCs/>
                <w:color w:val="FFFFFF" w:themeColor="background1"/>
                <w:sz w:val="20"/>
                <w:szCs w:val="20"/>
              </w:rPr>
              <w:t>:</w:t>
            </w:r>
          </w:p>
        </w:tc>
        <w:tc>
          <w:tcPr>
            <w:tcW w:w="5557" w:type="dxa"/>
            <w:vAlign w:val="center"/>
          </w:tcPr>
          <w:p w14:paraId="057DC689" w14:textId="4DDC9645" w:rsidR="000673D0" w:rsidRPr="00DD7C73" w:rsidRDefault="00B46622" w:rsidP="00B46185">
            <w:pPr>
              <w:jc w:val="both"/>
              <w:rPr>
                <w:rFonts w:asciiTheme="majorHAnsi" w:hAnsiTheme="majorHAnsi"/>
                <w:bCs/>
                <w:sz w:val="20"/>
                <w:szCs w:val="20"/>
              </w:rPr>
            </w:pPr>
            <w:r w:rsidRPr="00DD7C73">
              <w:rPr>
                <w:rFonts w:asciiTheme="majorHAnsi" w:hAnsiTheme="majorHAnsi"/>
                <w:bCs/>
                <w:sz w:val="20"/>
                <w:szCs w:val="20"/>
              </w:rPr>
              <w:t>Chile</w:t>
            </w:r>
            <w:r w:rsidR="0053201A" w:rsidRPr="00DD7C73">
              <w:rPr>
                <w:rStyle w:val="FootnoteReference"/>
                <w:rFonts w:ascii="Cambria" w:hAnsi="Cambria"/>
                <w:bCs/>
                <w:sz w:val="20"/>
                <w:szCs w:val="20"/>
              </w:rPr>
              <w:footnoteReference w:id="3"/>
            </w:r>
          </w:p>
        </w:tc>
      </w:tr>
      <w:tr w:rsidR="000673D0" w:rsidRPr="00EB20BE"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 xml:space="preserve">Derechos </w:t>
            </w:r>
            <w:proofErr w:type="spellStart"/>
            <w:r w:rsidRPr="00DD7C73">
              <w:rPr>
                <w:rFonts w:asciiTheme="majorHAnsi" w:hAnsiTheme="majorHAnsi"/>
                <w:b/>
                <w:bCs/>
                <w:color w:val="FFFFFF" w:themeColor="background1"/>
                <w:sz w:val="20"/>
                <w:szCs w:val="20"/>
              </w:rPr>
              <w:t>invocados</w:t>
            </w:r>
            <w:proofErr w:type="spellEnd"/>
            <w:r w:rsidRPr="00DD7C73">
              <w:rPr>
                <w:rFonts w:asciiTheme="majorHAnsi" w:hAnsiTheme="majorHAnsi"/>
                <w:b/>
                <w:bCs/>
                <w:color w:val="FFFFFF" w:themeColor="background1"/>
                <w:sz w:val="20"/>
                <w:szCs w:val="20"/>
              </w:rPr>
              <w:t>:</w:t>
            </w:r>
          </w:p>
        </w:tc>
        <w:tc>
          <w:tcPr>
            <w:tcW w:w="5557" w:type="dxa"/>
            <w:vAlign w:val="center"/>
          </w:tcPr>
          <w:p w14:paraId="4E238173" w14:textId="0F004DE8"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BB4786" w:rsidRPr="00DD7C73">
              <w:rPr>
                <w:rFonts w:asciiTheme="majorHAnsi" w:hAnsiTheme="majorHAnsi"/>
                <w:bCs/>
                <w:sz w:val="20"/>
                <w:szCs w:val="20"/>
                <w:lang w:val="es-PA"/>
              </w:rPr>
              <w:t xml:space="preserve"> 5</w:t>
            </w:r>
            <w:r w:rsidR="0053201A" w:rsidRPr="00DD7C73">
              <w:rPr>
                <w:rFonts w:asciiTheme="majorHAnsi" w:hAnsiTheme="majorHAnsi"/>
                <w:bCs/>
                <w:sz w:val="20"/>
                <w:szCs w:val="20"/>
                <w:lang w:val="es-PA"/>
              </w:rPr>
              <w:t xml:space="preserve"> (</w:t>
            </w:r>
            <w:r w:rsidR="00BB4786" w:rsidRPr="00DD7C73">
              <w:rPr>
                <w:rFonts w:asciiTheme="majorHAnsi" w:hAnsiTheme="majorHAnsi"/>
                <w:bCs/>
                <w:sz w:val="20"/>
                <w:szCs w:val="20"/>
                <w:lang w:val="es-PA"/>
              </w:rPr>
              <w:t>integridad personal</w:t>
            </w:r>
            <w:r w:rsidR="0053201A" w:rsidRPr="00DD7C73">
              <w:rPr>
                <w:rFonts w:asciiTheme="majorHAnsi" w:hAnsiTheme="majorHAnsi"/>
                <w:bCs/>
                <w:sz w:val="20"/>
                <w:szCs w:val="20"/>
                <w:lang w:val="es-PA"/>
              </w:rPr>
              <w:t xml:space="preserve">), </w:t>
            </w:r>
            <w:r w:rsidR="00BB4786" w:rsidRPr="00DD7C73">
              <w:rPr>
                <w:rFonts w:asciiTheme="majorHAnsi" w:hAnsiTheme="majorHAnsi"/>
                <w:bCs/>
                <w:sz w:val="20"/>
                <w:szCs w:val="20"/>
                <w:lang w:val="es-PA"/>
              </w:rPr>
              <w:t>8</w:t>
            </w:r>
            <w:r w:rsidR="006F6D8B" w:rsidRPr="00DD7C73">
              <w:rPr>
                <w:rFonts w:asciiTheme="majorHAnsi" w:hAnsiTheme="majorHAnsi"/>
                <w:bCs/>
                <w:sz w:val="20"/>
                <w:szCs w:val="20"/>
                <w:lang w:val="es-PA"/>
              </w:rPr>
              <w:t xml:space="preserve"> (</w:t>
            </w:r>
            <w:r w:rsidR="00BB4786" w:rsidRPr="00DD7C73">
              <w:rPr>
                <w:rFonts w:asciiTheme="majorHAnsi" w:hAnsiTheme="majorHAnsi"/>
                <w:bCs/>
                <w:sz w:val="20"/>
                <w:szCs w:val="20"/>
                <w:lang w:val="es-PA"/>
              </w:rPr>
              <w:t>garantías judiciales</w:t>
            </w:r>
            <w:r w:rsidR="006F6D8B" w:rsidRPr="00DD7C73">
              <w:rPr>
                <w:rFonts w:asciiTheme="majorHAnsi" w:hAnsiTheme="majorHAnsi"/>
                <w:bCs/>
                <w:sz w:val="20"/>
                <w:szCs w:val="20"/>
                <w:lang w:val="es-PA"/>
              </w:rPr>
              <w:t>) y 25 (protección judicial</w:t>
            </w:r>
            <w:r w:rsidR="0053201A" w:rsidRPr="00DD7C73">
              <w:rPr>
                <w:rFonts w:asciiTheme="majorHAnsi" w:hAnsiTheme="majorHAnsi"/>
                <w:bCs/>
                <w:sz w:val="20"/>
                <w:szCs w:val="20"/>
                <w:lang w:val="es-PA"/>
              </w:rPr>
              <w:t xml:space="preserve">) </w:t>
            </w:r>
            <w:r w:rsidRPr="00DD7C73">
              <w:rPr>
                <w:rFonts w:asciiTheme="majorHAnsi" w:hAnsiTheme="majorHAnsi"/>
                <w:bCs/>
                <w:sz w:val="20"/>
                <w:szCs w:val="20"/>
                <w:lang w:val="es-PA"/>
              </w:rPr>
              <w:t xml:space="preserve">de la 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4"/>
            </w:r>
            <w:r w:rsidR="00DD7C73" w:rsidRPr="00DD7C73">
              <w:rPr>
                <w:rFonts w:asciiTheme="majorHAnsi" w:hAnsiTheme="majorHAnsi"/>
                <w:bCs/>
                <w:sz w:val="20"/>
                <w:szCs w:val="20"/>
                <w:lang w:val="es-PA"/>
              </w:rPr>
              <w:t>,</w:t>
            </w:r>
            <w:r w:rsidR="00CE73C2" w:rsidRPr="00DD7C73">
              <w:rPr>
                <w:rFonts w:asciiTheme="majorHAnsi" w:hAnsiTheme="majorHAnsi"/>
                <w:bCs/>
                <w:sz w:val="20"/>
                <w:szCs w:val="20"/>
                <w:lang w:val="es-PA"/>
              </w:rPr>
              <w:t xml:space="preserve"> en relación con su artículo 1.1</w:t>
            </w:r>
            <w:r w:rsidR="00DD7C73" w:rsidRPr="00DD7C73">
              <w:rPr>
                <w:rFonts w:asciiTheme="majorHAnsi" w:hAnsiTheme="majorHAnsi"/>
                <w:bCs/>
                <w:sz w:val="20"/>
                <w:szCs w:val="20"/>
                <w:lang w:val="es-PA"/>
              </w:rPr>
              <w:t xml:space="preserve"> (obligación de respetar los derechos)</w:t>
            </w:r>
            <w:r w:rsidR="00CE73C2" w:rsidRPr="00DD7C73">
              <w:rPr>
                <w:rFonts w:asciiTheme="majorHAnsi" w:hAnsiTheme="majorHAnsi"/>
                <w:bCs/>
                <w:sz w:val="20"/>
                <w:szCs w:val="20"/>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55A89A92" w:rsidR="000673D0" w:rsidRPr="00DD7C73" w:rsidRDefault="00BB4786" w:rsidP="006C3525">
            <w:pPr>
              <w:jc w:val="both"/>
              <w:rPr>
                <w:rFonts w:asciiTheme="majorHAnsi" w:hAnsiTheme="majorHAnsi"/>
                <w:bCs/>
                <w:sz w:val="20"/>
                <w:szCs w:val="20"/>
                <w:lang w:val="es-ES"/>
              </w:rPr>
            </w:pPr>
            <w:r w:rsidRPr="00DD7C73">
              <w:rPr>
                <w:rFonts w:asciiTheme="majorHAnsi" w:hAnsiTheme="majorHAnsi"/>
                <w:bCs/>
                <w:sz w:val="20"/>
                <w:szCs w:val="20"/>
                <w:lang w:val="es-ES"/>
              </w:rPr>
              <w:t>31 de enero de 2014</w:t>
            </w:r>
          </w:p>
        </w:tc>
      </w:tr>
      <w:tr w:rsidR="00B46622" w:rsidRPr="00EB20BE" w14:paraId="14985B88" w14:textId="77777777" w:rsidTr="00DD7C73">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DD7C73" w:rsidRDefault="00B46622"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5989C005" w14:textId="03385C6B" w:rsidR="00B46622" w:rsidRPr="00DD7C73" w:rsidRDefault="00BB4786" w:rsidP="006C3525">
            <w:pPr>
              <w:jc w:val="both"/>
              <w:rPr>
                <w:rFonts w:asciiTheme="majorHAnsi" w:hAnsiTheme="majorHAnsi"/>
                <w:bCs/>
                <w:sz w:val="20"/>
                <w:szCs w:val="20"/>
                <w:lang w:val="es-ES"/>
              </w:rPr>
            </w:pPr>
            <w:r w:rsidRPr="00DD7C73">
              <w:rPr>
                <w:rFonts w:asciiTheme="majorHAnsi" w:hAnsiTheme="majorHAnsi"/>
                <w:bCs/>
                <w:sz w:val="20"/>
                <w:szCs w:val="20"/>
                <w:lang w:val="es-ES"/>
              </w:rPr>
              <w:t>20 de febrero de 2014, 1 de agosto de 2016 y 12 de junio de 2017</w:t>
            </w:r>
            <w:r w:rsidR="00CE73C2" w:rsidRPr="00DD7C73">
              <w:rPr>
                <w:rStyle w:val="FootnoteReference"/>
                <w:rFonts w:asciiTheme="majorHAnsi" w:hAnsiTheme="majorHAnsi"/>
                <w:bCs/>
                <w:sz w:val="20"/>
                <w:szCs w:val="20"/>
                <w:lang w:val="es-ES"/>
              </w:rPr>
              <w:footnoteReference w:id="6"/>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79EFF47E" w:rsidR="000673D0" w:rsidRPr="00DD7C73" w:rsidRDefault="00CE73C2" w:rsidP="006C3525">
            <w:pPr>
              <w:jc w:val="both"/>
              <w:rPr>
                <w:rFonts w:asciiTheme="majorHAnsi" w:hAnsiTheme="majorHAnsi"/>
                <w:bCs/>
                <w:sz w:val="20"/>
                <w:szCs w:val="20"/>
                <w:lang w:val="es-ES"/>
              </w:rPr>
            </w:pPr>
            <w:r w:rsidRPr="00DD7C73">
              <w:rPr>
                <w:rFonts w:asciiTheme="majorHAnsi" w:hAnsiTheme="majorHAnsi"/>
                <w:bCs/>
                <w:sz w:val="20"/>
                <w:szCs w:val="20"/>
                <w:lang w:val="es-ES"/>
              </w:rPr>
              <w:t>25 de abril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67147542" w:rsidR="000673D0" w:rsidRPr="00DD7C73" w:rsidRDefault="00CE73C2" w:rsidP="006C3525">
            <w:pPr>
              <w:jc w:val="both"/>
              <w:rPr>
                <w:rFonts w:asciiTheme="majorHAnsi" w:hAnsiTheme="majorHAnsi"/>
                <w:bCs/>
                <w:sz w:val="20"/>
                <w:szCs w:val="20"/>
                <w:lang w:val="es-ES"/>
              </w:rPr>
            </w:pPr>
            <w:r w:rsidRPr="00DD7C73">
              <w:rPr>
                <w:rFonts w:asciiTheme="majorHAnsi" w:hAnsiTheme="majorHAnsi"/>
                <w:bCs/>
                <w:sz w:val="20"/>
                <w:szCs w:val="20"/>
                <w:lang w:val="es-ES"/>
              </w:rPr>
              <w:t>23 de abril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proofErr w:type="spellStart"/>
            <w:r w:rsidRPr="00DD7C73">
              <w:rPr>
                <w:rFonts w:asciiTheme="majorHAnsi" w:hAnsiTheme="majorHAnsi"/>
                <w:b/>
                <w:bCs/>
                <w:color w:val="FFFFFF" w:themeColor="background1"/>
                <w:sz w:val="20"/>
                <w:szCs w:val="20"/>
              </w:rPr>
              <w:t>Competencia</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Ratione</w:t>
            </w:r>
            <w:proofErr w:type="spellEnd"/>
            <w:r w:rsidRPr="00DD7C73">
              <w:rPr>
                <w:rFonts w:asciiTheme="majorHAnsi" w:hAnsiTheme="majorHAnsi"/>
                <w:b/>
                <w:bCs/>
                <w:i/>
                <w:color w:val="FFFFFF" w:themeColor="background1"/>
                <w:sz w:val="20"/>
                <w:szCs w:val="20"/>
              </w:rPr>
              <w:t xml:space="preserv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proofErr w:type="spellStart"/>
            <w:r w:rsidRPr="00DD7C73">
              <w:rPr>
                <w:rFonts w:asciiTheme="majorHAnsi" w:hAnsiTheme="majorHAnsi"/>
                <w:b/>
                <w:bCs/>
                <w:color w:val="FFFFFF" w:themeColor="background1"/>
                <w:sz w:val="20"/>
                <w:szCs w:val="20"/>
              </w:rPr>
              <w:t>Competencia</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Ratione</w:t>
            </w:r>
            <w:proofErr w:type="spellEnd"/>
            <w:r w:rsidRPr="00DD7C73">
              <w:rPr>
                <w:rFonts w:asciiTheme="majorHAnsi" w:hAnsiTheme="majorHAnsi"/>
                <w:b/>
                <w:bCs/>
                <w:i/>
                <w:color w:val="FFFFFF" w:themeColor="background1"/>
                <w:sz w:val="20"/>
                <w:szCs w:val="20"/>
              </w:rPr>
              <w:t xml:space="preserv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proofErr w:type="spellStart"/>
            <w:r w:rsidRPr="00DD7C73">
              <w:rPr>
                <w:rFonts w:asciiTheme="majorHAnsi" w:hAnsiTheme="majorHAnsi"/>
                <w:b/>
                <w:bCs/>
                <w:color w:val="FFFFFF" w:themeColor="background1"/>
                <w:sz w:val="20"/>
                <w:szCs w:val="20"/>
              </w:rPr>
              <w:t>Competencia</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Ratione</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temporis</w:t>
            </w:r>
            <w:proofErr w:type="spellEnd"/>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EB20BE"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proofErr w:type="spellStart"/>
            <w:r w:rsidRPr="00DD7C73">
              <w:rPr>
                <w:rFonts w:asciiTheme="majorHAnsi" w:hAnsiTheme="majorHAnsi"/>
                <w:b/>
                <w:bCs/>
                <w:color w:val="FFFFFF" w:themeColor="background1"/>
                <w:sz w:val="20"/>
                <w:szCs w:val="20"/>
              </w:rPr>
              <w:t>Competencia</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Ratione</w:t>
            </w:r>
            <w:proofErr w:type="spellEnd"/>
            <w:r w:rsidRPr="00DD7C73">
              <w:rPr>
                <w:rFonts w:asciiTheme="majorHAnsi" w:hAnsiTheme="majorHAnsi"/>
                <w:b/>
                <w:bCs/>
                <w:i/>
                <w:color w:val="FFFFFF" w:themeColor="background1"/>
                <w:sz w:val="20"/>
                <w:szCs w:val="20"/>
              </w:rPr>
              <w:t xml:space="preserve"> </w:t>
            </w:r>
            <w:proofErr w:type="spellStart"/>
            <w:r w:rsidRPr="00DD7C73">
              <w:rPr>
                <w:rFonts w:asciiTheme="majorHAnsi" w:hAnsiTheme="majorHAnsi"/>
                <w:b/>
                <w:bCs/>
                <w:i/>
                <w:color w:val="FFFFFF" w:themeColor="background1"/>
                <w:sz w:val="20"/>
                <w:szCs w:val="20"/>
              </w:rPr>
              <w:t>materiae</w:t>
            </w:r>
            <w:proofErr w:type="spellEnd"/>
            <w:r w:rsidRPr="00DD7C73">
              <w:rPr>
                <w:rFonts w:asciiTheme="majorHAnsi" w:hAnsiTheme="majorHAnsi"/>
                <w:b/>
                <w:bCs/>
                <w:color w:val="FFFFFF" w:themeColor="background1"/>
                <w:sz w:val="20"/>
                <w:szCs w:val="20"/>
              </w:rPr>
              <w:t>:</w:t>
            </w:r>
          </w:p>
        </w:tc>
        <w:tc>
          <w:tcPr>
            <w:tcW w:w="5596" w:type="dxa"/>
            <w:vAlign w:val="center"/>
          </w:tcPr>
          <w:p w14:paraId="6AB0A733" w14:textId="245B5CDC"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B46622" w:rsidRPr="00DD7C73">
              <w:rPr>
                <w:rFonts w:ascii="Cambria" w:hAnsi="Cambria"/>
                <w:bCs/>
                <w:sz w:val="20"/>
                <w:szCs w:val="20"/>
                <w:lang w:val="es-ES"/>
              </w:rPr>
              <w:t>21 de agosto de 1990</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EB20BE" w14:paraId="5733AA78" w14:textId="77777777" w:rsidTr="00DD7C73">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 xml:space="preserve">Derechos </w:t>
            </w:r>
            <w:proofErr w:type="spellStart"/>
            <w:r w:rsidRPr="00DD7C73">
              <w:rPr>
                <w:rFonts w:asciiTheme="majorHAnsi" w:hAnsiTheme="majorHAnsi"/>
                <w:b/>
                <w:bCs/>
                <w:color w:val="FFFFFF" w:themeColor="background1"/>
                <w:sz w:val="20"/>
                <w:szCs w:val="20"/>
              </w:rPr>
              <w:t>declarados</w:t>
            </w:r>
            <w:proofErr w:type="spellEnd"/>
            <w:r w:rsidRPr="00DD7C73">
              <w:rPr>
                <w:rFonts w:asciiTheme="majorHAnsi" w:hAnsiTheme="majorHAnsi"/>
                <w:b/>
                <w:bCs/>
                <w:color w:val="FFFFFF" w:themeColor="background1"/>
                <w:sz w:val="20"/>
                <w:szCs w:val="20"/>
              </w:rPr>
              <w:t xml:space="preserve"> </w:t>
            </w:r>
            <w:proofErr w:type="spellStart"/>
            <w:r w:rsidRPr="00DD7C73">
              <w:rPr>
                <w:rFonts w:asciiTheme="majorHAnsi" w:hAnsiTheme="majorHAnsi"/>
                <w:b/>
                <w:bCs/>
                <w:color w:val="FFFFFF" w:themeColor="background1"/>
                <w:sz w:val="20"/>
                <w:szCs w:val="20"/>
              </w:rPr>
              <w:t>admisibles</w:t>
            </w:r>
            <w:proofErr w:type="spellEnd"/>
            <w:r w:rsidRPr="00DD7C73">
              <w:rPr>
                <w:rFonts w:asciiTheme="majorHAnsi" w:hAnsiTheme="majorHAnsi"/>
                <w:b/>
                <w:bCs/>
                <w:i/>
                <w:color w:val="FFFFFF" w:themeColor="background1"/>
                <w:sz w:val="20"/>
                <w:szCs w:val="20"/>
              </w:rPr>
              <w:t>:</w:t>
            </w:r>
          </w:p>
        </w:tc>
        <w:tc>
          <w:tcPr>
            <w:tcW w:w="5593" w:type="dxa"/>
            <w:vAlign w:val="center"/>
          </w:tcPr>
          <w:p w14:paraId="5EB169C6" w14:textId="335160EE" w:rsidR="000673D0" w:rsidRPr="00DD7C73" w:rsidRDefault="00FC03B8" w:rsidP="00CE73C2">
            <w:pPr>
              <w:jc w:val="both"/>
              <w:rPr>
                <w:rFonts w:asciiTheme="majorHAnsi" w:hAnsiTheme="majorHAnsi"/>
                <w:bCs/>
                <w:sz w:val="20"/>
                <w:szCs w:val="20"/>
                <w:lang w:val="es-PA" w:eastAsia="es-ES"/>
              </w:rPr>
            </w:pPr>
            <w:r w:rsidRPr="00DD7C73">
              <w:rPr>
                <w:rFonts w:asciiTheme="majorHAnsi" w:hAnsiTheme="majorHAnsi"/>
                <w:bCs/>
                <w:sz w:val="20"/>
                <w:szCs w:val="20"/>
                <w:lang w:val="es-PA"/>
              </w:rPr>
              <w:t xml:space="preserve">Artículos </w:t>
            </w:r>
            <w:r w:rsidR="00CE73C2" w:rsidRPr="00DD7C73">
              <w:rPr>
                <w:rFonts w:asciiTheme="majorHAnsi" w:hAnsiTheme="majorHAnsi"/>
                <w:bCs/>
                <w:sz w:val="20"/>
                <w:szCs w:val="20"/>
                <w:lang w:val="es-PA"/>
              </w:rPr>
              <w:t>5 (integridad personal),</w:t>
            </w:r>
            <w:r w:rsidRPr="00DD7C73">
              <w:rPr>
                <w:rFonts w:asciiTheme="majorHAnsi" w:hAnsiTheme="majorHAnsi"/>
                <w:bCs/>
                <w:sz w:val="20"/>
                <w:szCs w:val="20"/>
                <w:lang w:val="es-PA"/>
              </w:rPr>
              <w:t xml:space="preserve"> 8 (</w:t>
            </w:r>
            <w:r w:rsidRPr="00C63055">
              <w:rPr>
                <w:rFonts w:asciiTheme="majorHAnsi" w:hAnsiTheme="majorHAnsi"/>
                <w:bCs/>
                <w:sz w:val="20"/>
                <w:szCs w:val="20"/>
                <w:lang w:val="es-PA"/>
              </w:rPr>
              <w:t>garantías judiciales)</w:t>
            </w:r>
            <w:r w:rsidR="00072EE4" w:rsidRPr="00C63055">
              <w:rPr>
                <w:rFonts w:asciiTheme="majorHAnsi" w:hAnsiTheme="majorHAnsi"/>
                <w:bCs/>
                <w:sz w:val="20"/>
                <w:szCs w:val="20"/>
                <w:lang w:val="es-PA"/>
              </w:rPr>
              <w:t>, 19 (derechos del niño)</w:t>
            </w:r>
            <w:r w:rsidRPr="00C63055">
              <w:rPr>
                <w:rFonts w:asciiTheme="majorHAnsi" w:hAnsiTheme="majorHAnsi"/>
                <w:bCs/>
                <w:sz w:val="20"/>
                <w:szCs w:val="20"/>
                <w:lang w:val="es-PA"/>
              </w:rPr>
              <w:t xml:space="preserve"> y 25 (protección judicial) de </w:t>
            </w:r>
            <w:r w:rsidRPr="00DD7C73">
              <w:rPr>
                <w:rFonts w:asciiTheme="majorHAnsi" w:hAnsiTheme="majorHAnsi"/>
                <w:bCs/>
                <w:sz w:val="20"/>
                <w:szCs w:val="20"/>
                <w:lang w:val="es-PA"/>
              </w:rPr>
              <w:t xml:space="preserve">la Convención </w:t>
            </w:r>
            <w:r w:rsidR="00CE73C2" w:rsidRPr="00DD7C73">
              <w:rPr>
                <w:rFonts w:asciiTheme="majorHAnsi" w:hAnsiTheme="majorHAnsi"/>
                <w:bCs/>
                <w:sz w:val="20"/>
                <w:szCs w:val="20"/>
                <w:lang w:val="es-PA"/>
              </w:rPr>
              <w:t>Americana</w:t>
            </w:r>
            <w:r w:rsidR="00DD7C73">
              <w:rPr>
                <w:rFonts w:asciiTheme="majorHAnsi" w:hAnsiTheme="majorHAnsi"/>
                <w:bCs/>
                <w:sz w:val="20"/>
                <w:szCs w:val="20"/>
                <w:lang w:val="es-PA"/>
              </w:rPr>
              <w:t>,</w:t>
            </w:r>
            <w:r w:rsidR="00CE73C2" w:rsidRPr="00DD7C73">
              <w:rPr>
                <w:rFonts w:asciiTheme="majorHAnsi" w:hAnsiTheme="majorHAnsi"/>
                <w:bCs/>
                <w:sz w:val="20"/>
                <w:szCs w:val="20"/>
                <w:lang w:val="es-PA"/>
              </w:rPr>
              <w:t xml:space="preserve"> en relación con su</w:t>
            </w:r>
            <w:r w:rsidRPr="00DD7C73">
              <w:rPr>
                <w:rFonts w:asciiTheme="majorHAnsi" w:hAnsiTheme="majorHAnsi"/>
                <w:bCs/>
                <w:sz w:val="20"/>
                <w:szCs w:val="20"/>
                <w:lang w:val="es-PA"/>
              </w:rPr>
              <w:t xml:space="preserve"> artículo 1.1 (obligac</w:t>
            </w:r>
            <w:r w:rsidR="00CE73C2" w:rsidRPr="00DD7C73">
              <w:rPr>
                <w:rFonts w:asciiTheme="majorHAnsi" w:hAnsiTheme="majorHAnsi"/>
                <w:bCs/>
                <w:sz w:val="20"/>
                <w:szCs w:val="20"/>
                <w:lang w:val="es-PA"/>
              </w:rPr>
              <w:t xml:space="preserve">ión de respetar los derechos) </w:t>
            </w:r>
          </w:p>
        </w:tc>
      </w:tr>
      <w:tr w:rsidR="000673D0" w:rsidRPr="00DD7C73"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448BF4AD" w:rsidR="000673D0" w:rsidRPr="00DD7C73" w:rsidRDefault="00FC03B8" w:rsidP="00C53390">
            <w:pPr>
              <w:rPr>
                <w:rFonts w:asciiTheme="majorHAnsi" w:hAnsiTheme="majorHAnsi"/>
                <w:bCs/>
                <w:sz w:val="20"/>
                <w:szCs w:val="20"/>
                <w:lang w:val="es-ES"/>
              </w:rPr>
            </w:pPr>
            <w:r w:rsidRPr="00DD7C73">
              <w:rPr>
                <w:rFonts w:asciiTheme="majorHAnsi" w:hAnsiTheme="majorHAnsi"/>
                <w:bCs/>
                <w:sz w:val="20"/>
                <w:szCs w:val="20"/>
                <w:lang w:val="es-ES"/>
              </w:rPr>
              <w:t>Sí</w:t>
            </w:r>
            <w:r w:rsidR="00D32F71" w:rsidRPr="00DD7C73">
              <w:rPr>
                <w:rFonts w:asciiTheme="majorHAnsi" w:hAnsiTheme="majorHAnsi"/>
                <w:bCs/>
                <w:sz w:val="20"/>
                <w:szCs w:val="20"/>
                <w:lang w:val="es-ES"/>
              </w:rPr>
              <w:t xml:space="preserve">, </w:t>
            </w:r>
            <w:r w:rsidR="00C53390" w:rsidRPr="00DD7C73">
              <w:rPr>
                <w:rFonts w:asciiTheme="majorHAnsi" w:hAnsiTheme="majorHAnsi"/>
                <w:bCs/>
                <w:sz w:val="20"/>
                <w:szCs w:val="20"/>
                <w:lang w:val="es-ES"/>
              </w:rPr>
              <w:t>27 de agosto de 2013</w:t>
            </w:r>
          </w:p>
        </w:tc>
      </w:tr>
      <w:tr w:rsidR="000673D0" w:rsidRPr="00DD7C73" w14:paraId="64377EF5" w14:textId="77777777" w:rsidTr="00DD7C73">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 xml:space="preserve">Presentación dentro de </w:t>
            </w:r>
            <w:proofErr w:type="spellStart"/>
            <w:r w:rsidRPr="00DD7C73">
              <w:rPr>
                <w:rFonts w:asciiTheme="majorHAnsi" w:hAnsiTheme="majorHAnsi"/>
                <w:b/>
                <w:bCs/>
                <w:color w:val="FFFFFF" w:themeColor="background1"/>
                <w:sz w:val="20"/>
                <w:szCs w:val="20"/>
                <w:lang w:val="es-PA"/>
              </w:rPr>
              <w:t>plaz</w:t>
            </w:r>
            <w:proofErr w:type="spellEnd"/>
            <w:r w:rsidRPr="00DD7C73">
              <w:rPr>
                <w:rFonts w:asciiTheme="majorHAnsi" w:hAnsiTheme="majorHAnsi"/>
                <w:b/>
                <w:bCs/>
                <w:color w:val="FFFFFF" w:themeColor="background1"/>
                <w:sz w:val="20"/>
                <w:szCs w:val="20"/>
              </w:rPr>
              <w:t>o:</w:t>
            </w:r>
          </w:p>
        </w:tc>
        <w:tc>
          <w:tcPr>
            <w:tcW w:w="5593" w:type="dxa"/>
            <w:vAlign w:val="center"/>
          </w:tcPr>
          <w:p w14:paraId="6D2FF784" w14:textId="4C373189" w:rsidR="000673D0" w:rsidRPr="00DD7C73" w:rsidRDefault="00D32F71" w:rsidP="00C53390">
            <w:pPr>
              <w:rPr>
                <w:rFonts w:asciiTheme="majorHAnsi" w:hAnsiTheme="majorHAnsi"/>
                <w:bCs/>
                <w:sz w:val="20"/>
                <w:szCs w:val="20"/>
                <w:lang w:val="es-PA"/>
              </w:rPr>
            </w:pPr>
            <w:r w:rsidRPr="00DD7C73">
              <w:rPr>
                <w:rFonts w:asciiTheme="majorHAnsi" w:hAnsiTheme="majorHAnsi"/>
                <w:bCs/>
                <w:sz w:val="20"/>
                <w:szCs w:val="20"/>
                <w:lang w:val="es-PA"/>
              </w:rPr>
              <w:t xml:space="preserve">Sí, </w:t>
            </w:r>
            <w:r w:rsidR="00C53390" w:rsidRPr="00DD7C73">
              <w:rPr>
                <w:rFonts w:asciiTheme="majorHAnsi" w:hAnsiTheme="majorHAnsi"/>
                <w:bCs/>
                <w:sz w:val="20"/>
                <w:szCs w:val="20"/>
                <w:lang w:val="es-PA"/>
              </w:rPr>
              <w:t>31 de enero de 2014</w:t>
            </w:r>
          </w:p>
        </w:tc>
      </w:tr>
    </w:tbl>
    <w:p w14:paraId="18E6423B" w14:textId="77777777" w:rsidR="003239B8" w:rsidRPr="00940285" w:rsidRDefault="00223A29" w:rsidP="003239B8">
      <w:pPr>
        <w:spacing w:before="240" w:after="240"/>
        <w:ind w:firstLine="720"/>
        <w:jc w:val="both"/>
        <w:rPr>
          <w:rFonts w:asciiTheme="majorHAnsi" w:hAnsiTheme="majorHAnsi"/>
          <w:b/>
          <w:sz w:val="20"/>
          <w:szCs w:val="20"/>
          <w:lang w:val="es-ES_tradnl"/>
        </w:rPr>
      </w:pPr>
      <w:r w:rsidRPr="00940285">
        <w:rPr>
          <w:rFonts w:asciiTheme="majorHAnsi" w:hAnsiTheme="majorHAnsi"/>
          <w:b/>
          <w:sz w:val="20"/>
          <w:szCs w:val="20"/>
          <w:lang w:val="es-ES_tradnl"/>
        </w:rPr>
        <w:t xml:space="preserve">V. </w:t>
      </w:r>
      <w:r w:rsidRPr="00940285">
        <w:rPr>
          <w:rFonts w:asciiTheme="majorHAnsi" w:hAnsiTheme="majorHAnsi"/>
          <w:b/>
          <w:sz w:val="20"/>
          <w:szCs w:val="20"/>
          <w:lang w:val="es-ES_tradnl"/>
        </w:rPr>
        <w:tab/>
      </w:r>
      <w:r w:rsidR="003239B8" w:rsidRPr="00940285">
        <w:rPr>
          <w:rFonts w:asciiTheme="majorHAnsi" w:hAnsiTheme="majorHAnsi"/>
          <w:b/>
          <w:sz w:val="20"/>
          <w:szCs w:val="20"/>
          <w:lang w:val="es-ES_tradnl"/>
        </w:rPr>
        <w:t xml:space="preserve">HECHOS ALEGADOS </w:t>
      </w:r>
    </w:p>
    <w:p w14:paraId="6E5BE203" w14:textId="1339EC4D" w:rsidR="00DA2628" w:rsidRPr="00940285" w:rsidRDefault="007F372A" w:rsidP="00C533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bCs/>
          <w:sz w:val="20"/>
          <w:szCs w:val="20"/>
          <w:lang w:val="es-ES_tradnl"/>
        </w:rPr>
        <w:t>La parte peticionaria denuncia</w:t>
      </w:r>
      <w:r w:rsidR="00C53390" w:rsidRPr="00940285">
        <w:rPr>
          <w:rFonts w:ascii="Cambria" w:hAnsi="Cambria"/>
          <w:bCs/>
          <w:sz w:val="20"/>
          <w:szCs w:val="20"/>
          <w:lang w:val="es-ES_tradnl"/>
        </w:rPr>
        <w:t xml:space="preserve"> violaciones </w:t>
      </w:r>
      <w:r w:rsidR="00AD1574">
        <w:rPr>
          <w:rFonts w:ascii="Cambria" w:hAnsi="Cambria"/>
          <w:bCs/>
          <w:sz w:val="20"/>
          <w:szCs w:val="20"/>
          <w:lang w:val="es-ES_tradnl"/>
        </w:rPr>
        <w:t>de</w:t>
      </w:r>
      <w:r w:rsidR="00C53390" w:rsidRPr="00940285">
        <w:rPr>
          <w:rFonts w:ascii="Cambria" w:hAnsi="Cambria"/>
          <w:bCs/>
          <w:sz w:val="20"/>
          <w:szCs w:val="20"/>
          <w:lang w:val="es-ES_tradnl"/>
        </w:rPr>
        <w:t xml:space="preserve"> derechos</w:t>
      </w:r>
      <w:r w:rsidR="00F87AA1" w:rsidRPr="00940285">
        <w:rPr>
          <w:rFonts w:ascii="Cambria" w:hAnsi="Cambria"/>
          <w:bCs/>
          <w:sz w:val="20"/>
          <w:szCs w:val="20"/>
          <w:lang w:val="es-ES_tradnl"/>
        </w:rPr>
        <w:t xml:space="preserve"> humanos de Diego Fernando Muño</w:t>
      </w:r>
      <w:r w:rsidR="00C53390" w:rsidRPr="00940285">
        <w:rPr>
          <w:rFonts w:ascii="Cambria" w:hAnsi="Cambria"/>
          <w:bCs/>
          <w:sz w:val="20"/>
          <w:szCs w:val="20"/>
          <w:lang w:val="es-ES_tradnl"/>
        </w:rPr>
        <w:t>z Jara y su famili</w:t>
      </w:r>
      <w:r w:rsidR="00345599" w:rsidRPr="00940285">
        <w:rPr>
          <w:rFonts w:ascii="Cambria" w:hAnsi="Cambria"/>
          <w:bCs/>
          <w:sz w:val="20"/>
          <w:szCs w:val="20"/>
          <w:lang w:val="es-ES_tradnl"/>
        </w:rPr>
        <w:t>a</w:t>
      </w:r>
      <w:r w:rsidRPr="00940285">
        <w:rPr>
          <w:rFonts w:ascii="Cambria" w:hAnsi="Cambria"/>
          <w:bCs/>
          <w:sz w:val="20"/>
          <w:szCs w:val="20"/>
          <w:lang w:val="es-ES_tradnl"/>
        </w:rPr>
        <w:t>, porque</w:t>
      </w:r>
      <w:r w:rsidR="00345599" w:rsidRPr="00940285">
        <w:rPr>
          <w:rFonts w:ascii="Cambria" w:hAnsi="Cambria"/>
          <w:bCs/>
          <w:sz w:val="20"/>
          <w:szCs w:val="20"/>
          <w:lang w:val="es-ES_tradnl"/>
        </w:rPr>
        <w:t xml:space="preserve"> este perdió parte de sus piernas a consecuencia de la </w:t>
      </w:r>
      <w:r w:rsidRPr="00940285">
        <w:rPr>
          <w:rFonts w:ascii="Cambria" w:hAnsi="Cambria"/>
          <w:bCs/>
          <w:sz w:val="20"/>
          <w:szCs w:val="20"/>
          <w:lang w:val="es-ES_tradnl"/>
        </w:rPr>
        <w:t xml:space="preserve">alegada </w:t>
      </w:r>
      <w:r w:rsidR="00345599" w:rsidRPr="00940285">
        <w:rPr>
          <w:rFonts w:ascii="Cambria" w:hAnsi="Cambria"/>
          <w:bCs/>
          <w:sz w:val="20"/>
          <w:szCs w:val="20"/>
          <w:lang w:val="es-ES_tradnl"/>
        </w:rPr>
        <w:t xml:space="preserve">negligencia de empresas del Estado </w:t>
      </w:r>
      <w:r w:rsidRPr="00940285">
        <w:rPr>
          <w:rFonts w:ascii="Cambria" w:hAnsi="Cambria"/>
          <w:bCs/>
          <w:sz w:val="20"/>
          <w:szCs w:val="20"/>
          <w:lang w:val="es-ES_tradnl"/>
        </w:rPr>
        <w:t>de señalizar adecuadamente un</w:t>
      </w:r>
      <w:r w:rsidR="00345599" w:rsidRPr="00940285">
        <w:rPr>
          <w:rFonts w:ascii="Cambria" w:hAnsi="Cambria"/>
          <w:bCs/>
          <w:sz w:val="20"/>
          <w:szCs w:val="20"/>
          <w:lang w:val="es-ES_tradnl"/>
        </w:rPr>
        <w:t xml:space="preserve"> cruce ferroviario.</w:t>
      </w:r>
      <w:r w:rsidR="00DD56D6" w:rsidRPr="00940285">
        <w:rPr>
          <w:rFonts w:ascii="Cambria" w:hAnsi="Cambria"/>
          <w:bCs/>
          <w:sz w:val="20"/>
          <w:szCs w:val="20"/>
          <w:lang w:val="es-ES_tradnl"/>
        </w:rPr>
        <w:t xml:space="preserve"> Sostiene que las empresas estatales incumplieron claramente la normativa vigente sobre señalizaci</w:t>
      </w:r>
      <w:r w:rsidR="000A504F" w:rsidRPr="00940285">
        <w:rPr>
          <w:rFonts w:ascii="Cambria" w:hAnsi="Cambria"/>
          <w:bCs/>
          <w:sz w:val="20"/>
          <w:szCs w:val="20"/>
          <w:lang w:val="es-ES_tradnl"/>
        </w:rPr>
        <w:t>ón</w:t>
      </w:r>
      <w:r w:rsidRPr="00940285">
        <w:rPr>
          <w:rFonts w:ascii="Cambria" w:hAnsi="Cambria"/>
          <w:bCs/>
          <w:sz w:val="20"/>
          <w:szCs w:val="20"/>
          <w:lang w:val="es-ES_tradnl"/>
        </w:rPr>
        <w:t>,</w:t>
      </w:r>
      <w:r w:rsidR="000A504F" w:rsidRPr="00940285">
        <w:rPr>
          <w:rFonts w:ascii="Cambria" w:hAnsi="Cambria"/>
          <w:bCs/>
          <w:sz w:val="20"/>
          <w:szCs w:val="20"/>
          <w:lang w:val="es-ES_tradnl"/>
        </w:rPr>
        <w:t xml:space="preserve"> y reclama que, pese a ello,</w:t>
      </w:r>
      <w:r w:rsidR="00345599" w:rsidRPr="00940285">
        <w:rPr>
          <w:rFonts w:ascii="Cambria" w:hAnsi="Cambria"/>
          <w:bCs/>
          <w:sz w:val="20"/>
          <w:szCs w:val="20"/>
          <w:lang w:val="es-ES_tradnl"/>
        </w:rPr>
        <w:t xml:space="preserve"> las autoridades judiciales </w:t>
      </w:r>
      <w:r w:rsidR="007802E5">
        <w:rPr>
          <w:rFonts w:ascii="Cambria" w:hAnsi="Cambria"/>
          <w:bCs/>
          <w:sz w:val="20"/>
          <w:szCs w:val="20"/>
          <w:lang w:val="es-ES_tradnl"/>
        </w:rPr>
        <w:lastRenderedPageBreak/>
        <w:t>nacionales</w:t>
      </w:r>
      <w:r w:rsidR="00345599" w:rsidRPr="00940285">
        <w:rPr>
          <w:rFonts w:ascii="Cambria" w:hAnsi="Cambria"/>
          <w:bCs/>
          <w:sz w:val="20"/>
          <w:szCs w:val="20"/>
          <w:lang w:val="es-ES_tradnl"/>
        </w:rPr>
        <w:t xml:space="preserve"> omitieron reconocer la responsabilidad del Estado y ordenar reparaciones a favor de la presunta v</w:t>
      </w:r>
      <w:r w:rsidR="00DD56D6" w:rsidRPr="00940285">
        <w:rPr>
          <w:rFonts w:ascii="Cambria" w:hAnsi="Cambria"/>
          <w:bCs/>
          <w:sz w:val="20"/>
          <w:szCs w:val="20"/>
          <w:lang w:val="es-ES_tradnl"/>
        </w:rPr>
        <w:t>íctima y sus familiares.</w:t>
      </w:r>
    </w:p>
    <w:p w14:paraId="368A3CA5" w14:textId="4496152A" w:rsidR="000A504F" w:rsidRPr="00940285" w:rsidRDefault="000A504F" w:rsidP="00C533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bCs/>
          <w:sz w:val="20"/>
          <w:szCs w:val="20"/>
          <w:lang w:val="es-ES_tradnl"/>
        </w:rPr>
        <w:t xml:space="preserve">La parte peticionaria </w:t>
      </w:r>
      <w:r w:rsidR="000878E6" w:rsidRPr="00940285">
        <w:rPr>
          <w:rFonts w:ascii="Cambria" w:hAnsi="Cambria"/>
          <w:bCs/>
          <w:sz w:val="20"/>
          <w:szCs w:val="20"/>
          <w:lang w:val="es-ES_tradnl"/>
        </w:rPr>
        <w:t>narra</w:t>
      </w:r>
      <w:r w:rsidRPr="00940285">
        <w:rPr>
          <w:rFonts w:ascii="Cambria" w:hAnsi="Cambria"/>
          <w:bCs/>
          <w:sz w:val="20"/>
          <w:szCs w:val="20"/>
          <w:lang w:val="es-ES_tradnl"/>
        </w:rPr>
        <w:t xml:space="preserve"> que el 6 de diciembre de 2005 la presunta víctima, en ese entonces de 15 año</w:t>
      </w:r>
      <w:r w:rsidR="000878E6" w:rsidRPr="00940285">
        <w:rPr>
          <w:rFonts w:ascii="Cambria" w:hAnsi="Cambria"/>
          <w:bCs/>
          <w:sz w:val="20"/>
          <w:szCs w:val="20"/>
          <w:lang w:val="es-ES_tradnl"/>
        </w:rPr>
        <w:t>s</w:t>
      </w:r>
      <w:r w:rsidRPr="00940285">
        <w:rPr>
          <w:rFonts w:ascii="Cambria" w:hAnsi="Cambria"/>
          <w:bCs/>
          <w:sz w:val="20"/>
          <w:szCs w:val="20"/>
          <w:lang w:val="es-ES_tradnl"/>
        </w:rPr>
        <w:t>, salió a las 7:30 de la mañana con dirección a su colegio. Para llegar a su destino este debía atravesar el cruce ferroviario conocido como “Los Claveles” en el cual, según se alega, no había paso peatonal debidamente conformado, ni sistema de señalamiento automático, ni barreras o guardabarreras. Explica que la presunta víctima se dispuso a atravesar este cruce</w:t>
      </w:r>
      <w:r w:rsidR="00CE6152" w:rsidRPr="00940285">
        <w:rPr>
          <w:rFonts w:ascii="Cambria" w:hAnsi="Cambria"/>
          <w:bCs/>
          <w:sz w:val="20"/>
          <w:szCs w:val="20"/>
          <w:lang w:val="es-ES_tradnl"/>
        </w:rPr>
        <w:t>, al mismo tiempo que paralelamente lo hacía un camión</w:t>
      </w:r>
      <w:r w:rsidR="000878E6" w:rsidRPr="00940285">
        <w:rPr>
          <w:rFonts w:ascii="Cambria" w:hAnsi="Cambria"/>
          <w:bCs/>
          <w:sz w:val="20"/>
          <w:szCs w:val="20"/>
          <w:lang w:val="es-ES_tradnl"/>
        </w:rPr>
        <w:t>,</w:t>
      </w:r>
      <w:r w:rsidR="00CE6152" w:rsidRPr="00940285">
        <w:rPr>
          <w:rFonts w:ascii="Cambria" w:hAnsi="Cambria"/>
          <w:bCs/>
          <w:sz w:val="20"/>
          <w:szCs w:val="20"/>
          <w:lang w:val="es-ES_tradnl"/>
        </w:rPr>
        <w:t xml:space="preserve"> y </w:t>
      </w:r>
      <w:r w:rsidRPr="00940285">
        <w:rPr>
          <w:rFonts w:ascii="Cambria" w:hAnsi="Cambria"/>
          <w:bCs/>
          <w:sz w:val="20"/>
          <w:szCs w:val="20"/>
          <w:lang w:val="es-ES_tradnl"/>
        </w:rPr>
        <w:t>sin tener conocimiento que al servicio de trenes habitual</w:t>
      </w:r>
      <w:r w:rsidR="000878E6" w:rsidRPr="00940285">
        <w:rPr>
          <w:rFonts w:ascii="Cambria" w:hAnsi="Cambria"/>
          <w:bCs/>
          <w:sz w:val="20"/>
          <w:szCs w:val="20"/>
          <w:lang w:val="es-ES_tradnl"/>
        </w:rPr>
        <w:t>,</w:t>
      </w:r>
      <w:r w:rsidRPr="00940285">
        <w:rPr>
          <w:rFonts w:ascii="Cambria" w:hAnsi="Cambria"/>
          <w:bCs/>
          <w:sz w:val="20"/>
          <w:szCs w:val="20"/>
          <w:lang w:val="es-ES_tradnl"/>
        </w:rPr>
        <w:t xml:space="preserve"> que era ruidoso</w:t>
      </w:r>
      <w:r w:rsidR="000878E6" w:rsidRPr="00940285">
        <w:rPr>
          <w:rFonts w:ascii="Cambria" w:hAnsi="Cambria"/>
          <w:bCs/>
          <w:sz w:val="20"/>
          <w:szCs w:val="20"/>
          <w:lang w:val="es-ES_tradnl"/>
        </w:rPr>
        <w:t>,</w:t>
      </w:r>
      <w:r w:rsidRPr="00940285">
        <w:rPr>
          <w:rFonts w:ascii="Cambria" w:hAnsi="Cambria"/>
          <w:bCs/>
          <w:sz w:val="20"/>
          <w:szCs w:val="20"/>
          <w:lang w:val="es-ES_tradnl"/>
        </w:rPr>
        <w:t xml:space="preserve"> se le había sumado un nuevo sistema de trenes mucho m</w:t>
      </w:r>
      <w:r w:rsidR="00CE6152" w:rsidRPr="00940285">
        <w:rPr>
          <w:rFonts w:ascii="Cambria" w:hAnsi="Cambria"/>
          <w:bCs/>
          <w:sz w:val="20"/>
          <w:szCs w:val="20"/>
          <w:lang w:val="es-ES_tradnl"/>
        </w:rPr>
        <w:t>ás silencioso c</w:t>
      </w:r>
      <w:r w:rsidRPr="00940285">
        <w:rPr>
          <w:rFonts w:ascii="Cambria" w:hAnsi="Cambria"/>
          <w:bCs/>
          <w:sz w:val="20"/>
          <w:szCs w:val="20"/>
          <w:lang w:val="es-ES_tradnl"/>
        </w:rPr>
        <w:t>onocido como “Biotrén”</w:t>
      </w:r>
      <w:r w:rsidR="00CE6152" w:rsidRPr="00940285">
        <w:rPr>
          <w:rFonts w:ascii="Cambria" w:hAnsi="Cambria"/>
          <w:bCs/>
          <w:sz w:val="20"/>
          <w:szCs w:val="20"/>
          <w:lang w:val="es-ES_tradnl"/>
        </w:rPr>
        <w:t>. Al intentar atravesar el cruce la presunta víctima fue impactado por un Biotrén siendo arrastrado por varios metros y requiriendo ser trasladado a un hospital donde</w:t>
      </w:r>
      <w:r w:rsidR="000878E6" w:rsidRPr="00940285">
        <w:rPr>
          <w:rFonts w:ascii="Cambria" w:hAnsi="Cambria"/>
          <w:bCs/>
          <w:sz w:val="20"/>
          <w:szCs w:val="20"/>
          <w:lang w:val="es-ES_tradnl"/>
        </w:rPr>
        <w:t xml:space="preserve">, </w:t>
      </w:r>
      <w:r w:rsidR="00CE6152" w:rsidRPr="00940285">
        <w:rPr>
          <w:rFonts w:ascii="Cambria" w:hAnsi="Cambria"/>
          <w:bCs/>
          <w:sz w:val="20"/>
          <w:szCs w:val="20"/>
          <w:lang w:val="es-ES_tradnl"/>
        </w:rPr>
        <w:t xml:space="preserve">tuvo que </w:t>
      </w:r>
      <w:r w:rsidR="00456FBB" w:rsidRPr="00940285">
        <w:rPr>
          <w:rFonts w:ascii="Cambria" w:hAnsi="Cambria"/>
          <w:bCs/>
          <w:sz w:val="20"/>
          <w:szCs w:val="20"/>
          <w:lang w:val="es-ES_tradnl"/>
        </w:rPr>
        <w:t xml:space="preserve">ser operado durante </w:t>
      </w:r>
      <w:r w:rsidR="000878E6" w:rsidRPr="00940285">
        <w:rPr>
          <w:rFonts w:ascii="Cambria" w:hAnsi="Cambria"/>
          <w:bCs/>
          <w:sz w:val="20"/>
          <w:szCs w:val="20"/>
          <w:lang w:val="es-ES_tradnl"/>
        </w:rPr>
        <w:t>siete</w:t>
      </w:r>
      <w:r w:rsidR="00456FBB" w:rsidRPr="00940285">
        <w:rPr>
          <w:rFonts w:ascii="Cambria" w:hAnsi="Cambria"/>
          <w:bCs/>
          <w:sz w:val="20"/>
          <w:szCs w:val="20"/>
          <w:lang w:val="es-ES_tradnl"/>
        </w:rPr>
        <w:t xml:space="preserve"> horas y donde tuvo que pasar varios días sin certeza sobre si </w:t>
      </w:r>
      <w:r w:rsidR="00940285" w:rsidRPr="00940285">
        <w:rPr>
          <w:rFonts w:ascii="Cambria" w:hAnsi="Cambria"/>
          <w:bCs/>
          <w:sz w:val="20"/>
          <w:szCs w:val="20"/>
          <w:lang w:val="es-ES_tradnl"/>
        </w:rPr>
        <w:t>sobreviviera</w:t>
      </w:r>
      <w:r w:rsidR="00456FBB" w:rsidRPr="00940285">
        <w:rPr>
          <w:rFonts w:ascii="Cambria" w:hAnsi="Cambria"/>
          <w:bCs/>
          <w:sz w:val="20"/>
          <w:szCs w:val="20"/>
          <w:lang w:val="es-ES_tradnl"/>
        </w:rPr>
        <w:t>. La presunta víctima finalmente habría quedado en estado estable</w:t>
      </w:r>
      <w:r w:rsidR="00754260" w:rsidRPr="00940285">
        <w:rPr>
          <w:rFonts w:ascii="Cambria" w:hAnsi="Cambria"/>
          <w:bCs/>
          <w:sz w:val="20"/>
          <w:szCs w:val="20"/>
          <w:lang w:val="es-ES_tradnl"/>
        </w:rPr>
        <w:t>,</w:t>
      </w:r>
      <w:r w:rsidR="00456FBB" w:rsidRPr="00940285">
        <w:rPr>
          <w:rFonts w:ascii="Cambria" w:hAnsi="Cambria"/>
          <w:bCs/>
          <w:sz w:val="20"/>
          <w:szCs w:val="20"/>
          <w:lang w:val="es-ES_tradnl"/>
        </w:rPr>
        <w:t xml:space="preserve"> pero habiendo perdido su bazo, la mitad de una pierna y el pie de la otra. </w:t>
      </w:r>
    </w:p>
    <w:p w14:paraId="43D4D7DA" w14:textId="2F24ED00" w:rsidR="00E4309F" w:rsidRPr="00940285" w:rsidRDefault="00E4309F" w:rsidP="00E430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bCs/>
          <w:sz w:val="20"/>
          <w:szCs w:val="20"/>
          <w:lang w:val="es-ES_tradnl"/>
        </w:rPr>
        <w:t>Continúa relatando que lo ocurrido a la presunta víctima le ha causado graves afectaciones para su desarrollo quedando impedido de comer comidas fuertes, dependiendo de vacunas para mantener sus defensa</w:t>
      </w:r>
      <w:r w:rsidR="00E94EA0" w:rsidRPr="00940285">
        <w:rPr>
          <w:rFonts w:ascii="Cambria" w:hAnsi="Cambria"/>
          <w:bCs/>
          <w:sz w:val="20"/>
          <w:szCs w:val="20"/>
          <w:lang w:val="es-ES_tradnl"/>
        </w:rPr>
        <w:t>s</w:t>
      </w:r>
      <w:r w:rsidRPr="00940285">
        <w:rPr>
          <w:rFonts w:ascii="Cambria" w:hAnsi="Cambria"/>
          <w:bCs/>
          <w:sz w:val="20"/>
          <w:szCs w:val="20"/>
          <w:lang w:val="es-ES_tradnl"/>
        </w:rPr>
        <w:t xml:space="preserve"> inmunológicas, </w:t>
      </w:r>
      <w:r w:rsidR="00E94EA0" w:rsidRPr="00940285">
        <w:rPr>
          <w:rFonts w:ascii="Cambria" w:hAnsi="Cambria"/>
          <w:bCs/>
          <w:sz w:val="20"/>
          <w:szCs w:val="20"/>
          <w:lang w:val="es-ES_tradnl"/>
        </w:rPr>
        <w:t>teniendo dificultades para asistir al colegio por falta de accesos para personas con discapacidad</w:t>
      </w:r>
      <w:r w:rsidR="00643535">
        <w:rPr>
          <w:rFonts w:ascii="Cambria" w:hAnsi="Cambria"/>
          <w:bCs/>
          <w:sz w:val="20"/>
          <w:szCs w:val="20"/>
          <w:lang w:val="es-ES_tradnl"/>
        </w:rPr>
        <w:t>.</w:t>
      </w:r>
      <w:r w:rsidR="0067536A">
        <w:rPr>
          <w:rFonts w:ascii="Cambria" w:hAnsi="Cambria"/>
          <w:bCs/>
          <w:sz w:val="20"/>
          <w:szCs w:val="20"/>
          <w:lang w:val="es-ES_tradnl"/>
        </w:rPr>
        <w:t xml:space="preserve"> </w:t>
      </w:r>
      <w:r w:rsidR="00E94EA0" w:rsidRPr="00940285">
        <w:rPr>
          <w:rFonts w:ascii="Cambria" w:hAnsi="Cambria"/>
          <w:bCs/>
          <w:sz w:val="20"/>
          <w:szCs w:val="20"/>
          <w:lang w:val="es-ES_tradnl"/>
        </w:rPr>
        <w:t>El resto del grupo familiar también se habría visto gravemente afectado por lo ocurrido: la madre viéndose forzada a abandonar su trabajo para dedicarse al cuid</w:t>
      </w:r>
      <w:r w:rsidR="00643535">
        <w:rPr>
          <w:rFonts w:ascii="Cambria" w:hAnsi="Cambria"/>
          <w:bCs/>
          <w:sz w:val="20"/>
          <w:szCs w:val="20"/>
          <w:lang w:val="es-ES_tradnl"/>
        </w:rPr>
        <w:t>ado</w:t>
      </w:r>
      <w:r w:rsidR="00E94EA0" w:rsidRPr="00940285">
        <w:rPr>
          <w:rFonts w:ascii="Cambria" w:hAnsi="Cambria"/>
          <w:bCs/>
          <w:sz w:val="20"/>
          <w:szCs w:val="20"/>
          <w:lang w:val="es-ES_tradnl"/>
        </w:rPr>
        <w:t xml:space="preserve"> de la presunta víctima y requiriendo atención psiquiátrica para superar el dolor de lo ocurrido, el padre sufriendo por la necesidad de sostener a todo el grupo familiar económicamente, y la hermana menor viéndose afectada por razón de que su padre y su madre deban privilegiar la atención cotidiana de la presunta víctima. </w:t>
      </w:r>
    </w:p>
    <w:p w14:paraId="3A2E47D4" w14:textId="75E3044F" w:rsidR="00C25153" w:rsidRPr="00940285" w:rsidRDefault="00E94EA0" w:rsidP="00C251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t xml:space="preserve">Sostiene que </w:t>
      </w:r>
      <w:r w:rsidR="009D737D" w:rsidRPr="00940285">
        <w:rPr>
          <w:rFonts w:ascii="Cambria" w:hAnsi="Cambria"/>
          <w:sz w:val="20"/>
          <w:szCs w:val="20"/>
          <w:lang w:val="es-ES_tradnl"/>
        </w:rPr>
        <w:t>la falta de señalización, barreras y guardabarreras en el cruce “Los Claveles” estaba en violación con los estándares mínimos de seguridad fijados en la normativa doméstica sobre cruces ferroviarios (artículo 100 de la ley 18.290 en relación con su reglamento contenido en el Decreto Supremo No. 38 de 21 de marzo de 1986).</w:t>
      </w:r>
      <w:r w:rsidR="00C25153" w:rsidRPr="00940285">
        <w:rPr>
          <w:rFonts w:ascii="Cambria" w:hAnsi="Cambria"/>
          <w:sz w:val="20"/>
          <w:szCs w:val="20"/>
          <w:lang w:val="es-ES_tradnl"/>
        </w:rPr>
        <w:t xml:space="preserve"> Con este fundamento, el padre de la presunta víctima presentó el 24 de marzo de 2008 una demanda de indemnización de perjuicios contra Estado y Fisco de Chile y las dos empresas propiedad del Estado que estaban encargadas de la administración de los ferrocarriles en Concepción. La demanda fue rechazada por el Primer Juzgado Civil de Concepción</w:t>
      </w:r>
      <w:r w:rsidR="00113595" w:rsidRPr="00940285">
        <w:rPr>
          <w:rFonts w:ascii="Cambria" w:hAnsi="Cambria"/>
          <w:sz w:val="20"/>
          <w:szCs w:val="20"/>
          <w:lang w:val="es-ES_tradnl"/>
        </w:rPr>
        <w:t>,</w:t>
      </w:r>
      <w:r w:rsidR="00C25153" w:rsidRPr="00940285">
        <w:rPr>
          <w:rFonts w:ascii="Cambria" w:hAnsi="Cambria"/>
          <w:sz w:val="20"/>
          <w:szCs w:val="20"/>
          <w:lang w:val="es-ES_tradnl"/>
        </w:rPr>
        <w:t xml:space="preserve"> que consideró que el Fisco de Chile y una de las empresas no tenían legitimidad pasiva para ser demandadas</w:t>
      </w:r>
      <w:r w:rsidR="00113595" w:rsidRPr="00940285">
        <w:rPr>
          <w:rFonts w:ascii="Cambria" w:hAnsi="Cambria"/>
          <w:sz w:val="20"/>
          <w:szCs w:val="20"/>
          <w:lang w:val="es-ES_tradnl"/>
        </w:rPr>
        <w:t>;</w:t>
      </w:r>
      <w:r w:rsidR="00C25153" w:rsidRPr="00940285">
        <w:rPr>
          <w:rFonts w:ascii="Cambria" w:hAnsi="Cambria"/>
          <w:sz w:val="20"/>
          <w:szCs w:val="20"/>
          <w:lang w:val="es-ES_tradnl"/>
        </w:rPr>
        <w:t xml:space="preserve"> y que la otra empresa no tenía responsabilidad porque no se había probado que el cruce fuera peligroso o que se encontrara errado su cruce de peligrosidad. Contra esta decisión, el padre de la presunta víctima </w:t>
      </w:r>
      <w:r w:rsidR="00113595" w:rsidRPr="00940285">
        <w:rPr>
          <w:rFonts w:ascii="Cambria" w:hAnsi="Cambria"/>
          <w:sz w:val="20"/>
          <w:szCs w:val="20"/>
          <w:lang w:val="es-ES_tradnl"/>
        </w:rPr>
        <w:t>interpuso</w:t>
      </w:r>
      <w:r w:rsidR="00C25153" w:rsidRPr="00940285">
        <w:rPr>
          <w:rFonts w:ascii="Cambria" w:hAnsi="Cambria"/>
          <w:sz w:val="20"/>
          <w:szCs w:val="20"/>
          <w:lang w:val="es-ES_tradnl"/>
        </w:rPr>
        <w:t xml:space="preserve"> recursos de casación en la forma y de apelación, los que no tuvieron éxito</w:t>
      </w:r>
      <w:r w:rsidR="00782D83" w:rsidRPr="00940285">
        <w:rPr>
          <w:rFonts w:ascii="Cambria" w:hAnsi="Cambria"/>
          <w:sz w:val="20"/>
          <w:szCs w:val="20"/>
          <w:lang w:val="es-ES_tradnl"/>
        </w:rPr>
        <w:t>;</w:t>
      </w:r>
      <w:r w:rsidR="00C25153" w:rsidRPr="00940285">
        <w:rPr>
          <w:rFonts w:ascii="Cambria" w:hAnsi="Cambria"/>
          <w:sz w:val="20"/>
          <w:szCs w:val="20"/>
          <w:lang w:val="es-ES_tradnl"/>
        </w:rPr>
        <w:t xml:space="preserve"> resultando en que el 15 de noviembre de 2011 la Corte de Apelaciones de Concepción confirmara la decisión de primera instancia en todas sus partes. </w:t>
      </w:r>
      <w:r w:rsidR="00345ED5" w:rsidRPr="00940285">
        <w:rPr>
          <w:rFonts w:ascii="Cambria" w:hAnsi="Cambria"/>
          <w:sz w:val="20"/>
          <w:szCs w:val="20"/>
          <w:lang w:val="es-ES_tradnl"/>
        </w:rPr>
        <w:t>Luego, la decisión de segunda instancia fue impugnada mediante recursos de casación en la forma y en el fondo, los que fueron rechazados por la Corte Suprema el 12 de agosto de 2013. Finalmente, el expediente fue devuelto al Tribunal de Origen qu</w:t>
      </w:r>
      <w:r w:rsidR="00782D83" w:rsidRPr="00940285">
        <w:rPr>
          <w:rFonts w:ascii="Cambria" w:hAnsi="Cambria"/>
          <w:sz w:val="20"/>
          <w:szCs w:val="20"/>
          <w:lang w:val="es-ES_tradnl"/>
        </w:rPr>
        <w:t>e</w:t>
      </w:r>
      <w:r w:rsidR="00345ED5" w:rsidRPr="00940285">
        <w:rPr>
          <w:rFonts w:ascii="Cambria" w:hAnsi="Cambria"/>
          <w:sz w:val="20"/>
          <w:szCs w:val="20"/>
          <w:lang w:val="es-ES_tradnl"/>
        </w:rPr>
        <w:t xml:space="preserve"> procedió el 27 de agosto de 2013 a dictar la resolución de “Cúmplase”. </w:t>
      </w:r>
      <w:r w:rsidR="00782D83" w:rsidRPr="00940285">
        <w:rPr>
          <w:rFonts w:ascii="Cambria" w:hAnsi="Cambria"/>
          <w:sz w:val="20"/>
          <w:szCs w:val="20"/>
          <w:lang w:val="es-ES_tradnl"/>
        </w:rPr>
        <w:t xml:space="preserve">La parte peticionaria alega que </w:t>
      </w:r>
      <w:r w:rsidR="00345ED5" w:rsidRPr="00940285">
        <w:rPr>
          <w:rFonts w:ascii="Cambria" w:hAnsi="Cambria"/>
          <w:sz w:val="20"/>
          <w:szCs w:val="20"/>
          <w:lang w:val="es-ES_tradnl"/>
        </w:rPr>
        <w:t xml:space="preserve">al dictarse esta resolución quedaron efectivamente agotados los recursos de la jurisdicción interna. </w:t>
      </w:r>
    </w:p>
    <w:p w14:paraId="3A73519C" w14:textId="6F49D814" w:rsidR="00E94EA0" w:rsidRPr="00940285" w:rsidRDefault="00D426B1" w:rsidP="00D426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t xml:space="preserve">La parte peticionaria </w:t>
      </w:r>
      <w:r w:rsidR="006E7DFE" w:rsidRPr="00940285">
        <w:rPr>
          <w:rFonts w:ascii="Cambria" w:hAnsi="Cambria"/>
          <w:sz w:val="20"/>
          <w:szCs w:val="20"/>
          <w:lang w:val="es-ES_tradnl"/>
        </w:rPr>
        <w:t>considera que el Estado violó sus obligaciones de prevenir en relación con el artículo 5 de la Convención Americana</w:t>
      </w:r>
      <w:r w:rsidR="002B6C04" w:rsidRPr="00940285">
        <w:rPr>
          <w:rFonts w:ascii="Cambria" w:hAnsi="Cambria"/>
          <w:sz w:val="20"/>
          <w:szCs w:val="20"/>
          <w:lang w:val="es-ES_tradnl"/>
        </w:rPr>
        <w:t>,</w:t>
      </w:r>
      <w:r w:rsidR="006E7DFE" w:rsidRPr="00940285">
        <w:rPr>
          <w:rFonts w:ascii="Cambria" w:hAnsi="Cambria"/>
          <w:sz w:val="20"/>
          <w:szCs w:val="20"/>
          <w:lang w:val="es-ES_tradnl"/>
        </w:rPr>
        <w:t xml:space="preserve"> y sus obligaciones en materia de </w:t>
      </w:r>
      <w:proofErr w:type="gramStart"/>
      <w:r w:rsidR="006E7DFE" w:rsidRPr="00940285">
        <w:rPr>
          <w:rFonts w:ascii="Cambria" w:hAnsi="Cambria"/>
          <w:sz w:val="20"/>
          <w:szCs w:val="20"/>
          <w:lang w:val="es-ES_tradnl"/>
        </w:rPr>
        <w:t>garantías judiciales y protección judicial</w:t>
      </w:r>
      <w:proofErr w:type="gramEnd"/>
      <w:r w:rsidR="006E7DFE" w:rsidRPr="00940285">
        <w:rPr>
          <w:rFonts w:ascii="Cambria" w:hAnsi="Cambria"/>
          <w:sz w:val="20"/>
          <w:szCs w:val="20"/>
          <w:lang w:val="es-ES_tradnl"/>
        </w:rPr>
        <w:t xml:space="preserve"> al permitir que lo ocurrido a la presunta víctima quede impune. D</w:t>
      </w:r>
      <w:r w:rsidR="009D737D" w:rsidRPr="00940285">
        <w:rPr>
          <w:rFonts w:ascii="Cambria" w:hAnsi="Cambria"/>
          <w:sz w:val="20"/>
          <w:szCs w:val="20"/>
          <w:lang w:val="es-ES_tradnl"/>
        </w:rPr>
        <w:t xml:space="preserve">estaca que </w:t>
      </w:r>
      <w:r w:rsidR="00EC48FB" w:rsidRPr="00940285">
        <w:rPr>
          <w:rFonts w:ascii="Cambria" w:hAnsi="Cambria"/>
          <w:sz w:val="20"/>
          <w:szCs w:val="20"/>
          <w:lang w:val="es-ES_tradnl"/>
        </w:rPr>
        <w:t>el artículo 2 del Decreto Supremo No. 38 de 21 de marzo de 1986</w:t>
      </w:r>
      <w:r w:rsidRPr="00940285">
        <w:rPr>
          <w:rFonts w:ascii="Cambria" w:hAnsi="Cambria"/>
          <w:sz w:val="20"/>
          <w:szCs w:val="20"/>
          <w:lang w:val="es-ES_tradnl"/>
        </w:rPr>
        <w:t xml:space="preserve"> establecía distintas exigencias dependiendo del índice de peligrosidad de los cruces. </w:t>
      </w:r>
      <w:r w:rsidR="009D737D" w:rsidRPr="00940285">
        <w:rPr>
          <w:rFonts w:ascii="Cambria" w:hAnsi="Cambria"/>
          <w:sz w:val="20"/>
          <w:szCs w:val="20"/>
          <w:lang w:val="es-ES_tradnl"/>
        </w:rPr>
        <w:t xml:space="preserve"> </w:t>
      </w:r>
      <w:r w:rsidRPr="00940285">
        <w:rPr>
          <w:rFonts w:ascii="Cambria" w:hAnsi="Cambria"/>
          <w:sz w:val="20"/>
          <w:szCs w:val="20"/>
          <w:lang w:val="es-ES_tradnl"/>
        </w:rPr>
        <w:t>Indica que</w:t>
      </w:r>
      <w:r w:rsidR="00EC48FB" w:rsidRPr="00940285">
        <w:rPr>
          <w:rFonts w:ascii="Cambria" w:hAnsi="Cambria"/>
          <w:sz w:val="20"/>
          <w:szCs w:val="20"/>
          <w:lang w:val="es-ES_tradnl"/>
        </w:rPr>
        <w:t xml:space="preserve"> el cruce donde la presunta víctima fue impactado no cumplía con ninguna de las dos exigencias, por lo que la normativa se habría incumplido con independencia de cuál fuera el índice de peligrosidad del cruce. Reclama que los tribunales domésticos ignoraron esta circunstancia y resalta que uno de los Ministros de la Corte Suprema de Justicia emitió un voto disidiendo del rechazo de los recursos del padre de la presunta víctima en el que manifestó que “la sola existencia como dispositivos de seguridad de un disco ‘Pare’ y la Cruz de San Andrés a ambos costados de la vía importaba incumplimiento de las demandadas de las obligaciones que les corresponden de acuerdo al –entonces- artículo 100 y 103 de la Ley de Tránsito así como el artículo 1° y 2° del Decreto Supremo N° 38 del Ministerio de Transportes y Telecomunicaciones, donde se disponen ciertas medidas de seguridad reglamentaria y, además, aquellas señalas o dispositivos complementarios mínimos de acuerdo al índice de peligrosidad del cruce”.</w:t>
      </w:r>
      <w:r w:rsidR="006E7DFE" w:rsidRPr="00940285">
        <w:rPr>
          <w:rFonts w:ascii="Cambria" w:hAnsi="Cambria"/>
          <w:sz w:val="20"/>
          <w:szCs w:val="20"/>
          <w:lang w:val="es-ES_tradnl"/>
        </w:rPr>
        <w:t xml:space="preserve"> </w:t>
      </w:r>
      <w:r w:rsidR="00EC48FB" w:rsidRPr="00940285">
        <w:rPr>
          <w:rFonts w:ascii="Cambria" w:hAnsi="Cambria"/>
          <w:sz w:val="20"/>
          <w:szCs w:val="20"/>
          <w:lang w:val="es-ES_tradnl"/>
        </w:rPr>
        <w:t xml:space="preserve"> </w:t>
      </w:r>
      <w:r w:rsidR="006E7DFE" w:rsidRPr="00940285">
        <w:rPr>
          <w:rFonts w:ascii="Cambria" w:hAnsi="Cambria"/>
          <w:sz w:val="20"/>
          <w:szCs w:val="20"/>
          <w:lang w:val="es-ES_tradnl"/>
        </w:rPr>
        <w:t xml:space="preserve"> </w:t>
      </w:r>
    </w:p>
    <w:p w14:paraId="2AF2784E" w14:textId="3C76D22E" w:rsidR="00987411" w:rsidRPr="00940285" w:rsidRDefault="00987411" w:rsidP="00D426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lastRenderedPageBreak/>
        <w:t xml:space="preserve">El Estado, por su parte, considera que la petición </w:t>
      </w:r>
      <w:r w:rsidR="000524F9" w:rsidRPr="00940285">
        <w:rPr>
          <w:rFonts w:ascii="Cambria" w:hAnsi="Cambria"/>
          <w:sz w:val="20"/>
          <w:szCs w:val="20"/>
          <w:lang w:val="es-ES_tradnl"/>
        </w:rPr>
        <w:t>es inadmisible</w:t>
      </w:r>
      <w:r w:rsidRPr="00940285">
        <w:rPr>
          <w:rFonts w:ascii="Cambria" w:hAnsi="Cambria"/>
          <w:sz w:val="20"/>
          <w:szCs w:val="20"/>
          <w:lang w:val="es-ES_tradnl"/>
        </w:rPr>
        <w:t xml:space="preserve"> porque</w:t>
      </w:r>
      <w:r w:rsidR="00A13081" w:rsidRPr="00940285">
        <w:rPr>
          <w:rFonts w:ascii="Cambria" w:hAnsi="Cambria"/>
          <w:sz w:val="20"/>
          <w:szCs w:val="20"/>
          <w:lang w:val="es-ES_tradnl"/>
        </w:rPr>
        <w:t xml:space="preserve"> no expone hechos que configuren </w:t>
      </w:r>
      <w:r w:rsidR="00A13081" w:rsidRPr="00940285">
        <w:rPr>
          <w:rFonts w:ascii="Cambria" w:hAnsi="Cambria"/>
          <w:i/>
          <w:sz w:val="20"/>
          <w:szCs w:val="20"/>
          <w:lang w:val="es-ES_tradnl"/>
        </w:rPr>
        <w:t>a priori</w:t>
      </w:r>
      <w:r w:rsidR="00A13081" w:rsidRPr="00940285">
        <w:rPr>
          <w:rFonts w:ascii="Cambria" w:hAnsi="Cambria"/>
          <w:sz w:val="20"/>
          <w:szCs w:val="20"/>
          <w:lang w:val="es-ES_tradnl"/>
        </w:rPr>
        <w:t xml:space="preserve"> una vulneración a derechos protegidos por la Convención Americana, </w:t>
      </w:r>
      <w:r w:rsidR="00B2649E" w:rsidRPr="00940285">
        <w:rPr>
          <w:rFonts w:ascii="Cambria" w:hAnsi="Cambria"/>
          <w:sz w:val="20"/>
          <w:szCs w:val="20"/>
          <w:lang w:val="es-ES_tradnl"/>
        </w:rPr>
        <w:t xml:space="preserve">y </w:t>
      </w:r>
      <w:r w:rsidR="00A13081" w:rsidRPr="00940285">
        <w:rPr>
          <w:rFonts w:ascii="Cambria" w:hAnsi="Cambria"/>
          <w:sz w:val="20"/>
          <w:szCs w:val="20"/>
          <w:lang w:val="es-ES_tradnl"/>
        </w:rPr>
        <w:t xml:space="preserve">porque </w:t>
      </w:r>
      <w:r w:rsidRPr="00940285">
        <w:rPr>
          <w:rFonts w:ascii="Cambria" w:hAnsi="Cambria"/>
          <w:sz w:val="20"/>
          <w:szCs w:val="20"/>
          <w:lang w:val="es-ES_tradnl"/>
        </w:rPr>
        <w:t>la parte peticionaria pretende improcedentemente que la Comisión se constituya en un tribunal de cuarta i</w:t>
      </w:r>
      <w:r w:rsidR="00A13081" w:rsidRPr="00940285">
        <w:rPr>
          <w:rFonts w:ascii="Cambria" w:hAnsi="Cambria"/>
          <w:sz w:val="20"/>
          <w:szCs w:val="20"/>
          <w:lang w:val="es-ES_tradnl"/>
        </w:rPr>
        <w:t xml:space="preserve">nstancia, y porque la presunta víctima no ha cumplido con la exigencia de agotamiento de los recursos internos. </w:t>
      </w:r>
    </w:p>
    <w:p w14:paraId="36C9DF4A" w14:textId="6BBA67ED" w:rsidR="00DF16D8" w:rsidRPr="00940285" w:rsidRDefault="00A13081" w:rsidP="00D426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t>El Estado</w:t>
      </w:r>
      <w:r w:rsidR="00DF16D8" w:rsidRPr="00940285">
        <w:rPr>
          <w:rFonts w:ascii="Cambria" w:hAnsi="Cambria"/>
          <w:sz w:val="20"/>
          <w:szCs w:val="20"/>
          <w:lang w:val="es-ES_tradnl"/>
        </w:rPr>
        <w:t xml:space="preserve"> destaca que el tribunal que conoció la demanda del padre de la presunta víctima en primera instancia realizó una inspección al cruce ferroviario donde ocurrió el accidente y concluyó que las empresas del Estado cumplieron con su responsabilidad legal de indicar la peligrosidad de un cruce no destinado para el tránsito de peatones. De igual manera, el tribunal que conoció el asunto en casación determinó que “</w:t>
      </w:r>
      <w:r w:rsidR="00DF16D8" w:rsidRPr="00940285">
        <w:rPr>
          <w:rFonts w:ascii="Cambria" w:hAnsi="Cambria"/>
          <w:i/>
          <w:iCs/>
          <w:sz w:val="20"/>
          <w:szCs w:val="20"/>
          <w:lang w:val="es-ES_tradnl"/>
        </w:rPr>
        <w:t>la demandante no comprobó la actividad omisiva de la demandada, respecto a un errado índice de peligrosidad que pudiera identificar el lugar como un cruce peligroso, con alto tráfico, nulos factores de visibilidad</w:t>
      </w:r>
      <w:r w:rsidR="00DF16D8" w:rsidRPr="00940285">
        <w:rPr>
          <w:rFonts w:ascii="Cambria" w:hAnsi="Cambria"/>
          <w:sz w:val="20"/>
          <w:szCs w:val="20"/>
          <w:lang w:val="es-ES_tradnl"/>
        </w:rPr>
        <w:t>”. A juicio del Estado,</w:t>
      </w:r>
      <w:r w:rsidRPr="00940285">
        <w:rPr>
          <w:rFonts w:ascii="Cambria" w:hAnsi="Cambria"/>
          <w:sz w:val="20"/>
          <w:szCs w:val="20"/>
          <w:lang w:val="es-ES_tradnl"/>
        </w:rPr>
        <w:t xml:space="preserve"> la petición se fundamenta en una supuesta evaluación equivocada de la evidencia disponible por parte de los tribunales nacionales y en un error en la interpretación del derecho nacional en la que estos supuestamente habrían incurrido</w:t>
      </w:r>
      <w:r w:rsidR="00DF16D8" w:rsidRPr="00940285">
        <w:rPr>
          <w:rFonts w:ascii="Cambria" w:hAnsi="Cambria"/>
          <w:sz w:val="20"/>
          <w:szCs w:val="20"/>
          <w:lang w:val="es-ES_tradnl"/>
        </w:rPr>
        <w:t>.</w:t>
      </w:r>
      <w:r w:rsidR="00511EBB" w:rsidRPr="00940285">
        <w:rPr>
          <w:rFonts w:ascii="Cambria" w:hAnsi="Cambria"/>
          <w:sz w:val="20"/>
          <w:szCs w:val="20"/>
          <w:lang w:val="es-ES_tradnl"/>
        </w:rPr>
        <w:t xml:space="preserve"> </w:t>
      </w:r>
      <w:r w:rsidR="00DF16D8" w:rsidRPr="00940285">
        <w:rPr>
          <w:rFonts w:ascii="Cambria" w:hAnsi="Cambria"/>
          <w:sz w:val="20"/>
          <w:szCs w:val="20"/>
          <w:lang w:val="es-ES_tradnl"/>
        </w:rPr>
        <w:t xml:space="preserve">Por estas razones, </w:t>
      </w:r>
      <w:r w:rsidR="00511EBB" w:rsidRPr="00940285">
        <w:rPr>
          <w:rFonts w:ascii="Cambria" w:hAnsi="Cambria"/>
          <w:sz w:val="20"/>
          <w:szCs w:val="20"/>
          <w:lang w:val="es-ES_tradnl"/>
        </w:rPr>
        <w:t>alega que si l</w:t>
      </w:r>
      <w:r w:rsidR="00DF16D8" w:rsidRPr="00940285">
        <w:rPr>
          <w:rFonts w:ascii="Cambria" w:hAnsi="Cambria"/>
          <w:sz w:val="20"/>
          <w:szCs w:val="20"/>
          <w:lang w:val="es-ES_tradnl"/>
        </w:rPr>
        <w:t>a Comisión admitiera la petición</w:t>
      </w:r>
      <w:r w:rsidR="00511EBB" w:rsidRPr="00940285">
        <w:rPr>
          <w:rFonts w:ascii="Cambria" w:hAnsi="Cambria"/>
          <w:sz w:val="20"/>
          <w:szCs w:val="20"/>
          <w:lang w:val="es-ES_tradnl"/>
        </w:rPr>
        <w:t xml:space="preserve"> se vería forzada a pronunciarse respecto a si una empresa del Estado cumplió o no con la normativa doméstica sobre señalización y si la aplicación de dicha normativa por los tribunal</w:t>
      </w:r>
      <w:r w:rsidR="00DF16D8" w:rsidRPr="00940285">
        <w:rPr>
          <w:rFonts w:ascii="Cambria" w:hAnsi="Cambria"/>
          <w:sz w:val="20"/>
          <w:szCs w:val="20"/>
          <w:lang w:val="es-ES_tradnl"/>
        </w:rPr>
        <w:t>es domésticos fue correcta o no. Considera que esto implicaría que la</w:t>
      </w:r>
      <w:r w:rsidR="00511EBB" w:rsidRPr="00940285">
        <w:rPr>
          <w:rFonts w:ascii="Cambria" w:hAnsi="Cambria"/>
          <w:sz w:val="20"/>
          <w:szCs w:val="20"/>
          <w:lang w:val="es-ES_tradnl"/>
        </w:rPr>
        <w:t xml:space="preserve"> </w:t>
      </w:r>
      <w:r w:rsidR="00DF16D8" w:rsidRPr="00940285">
        <w:rPr>
          <w:rFonts w:ascii="Cambria" w:hAnsi="Cambria"/>
          <w:sz w:val="20"/>
          <w:szCs w:val="20"/>
          <w:lang w:val="es-ES_tradnl"/>
        </w:rPr>
        <w:t xml:space="preserve">Comisión </w:t>
      </w:r>
      <w:r w:rsidR="00511EBB" w:rsidRPr="00940285">
        <w:rPr>
          <w:rFonts w:ascii="Cambria" w:hAnsi="Cambria"/>
          <w:sz w:val="20"/>
          <w:szCs w:val="20"/>
          <w:lang w:val="es-ES_tradnl"/>
        </w:rPr>
        <w:t>reevaluar</w:t>
      </w:r>
      <w:r w:rsidR="00DF16D8" w:rsidRPr="00940285">
        <w:rPr>
          <w:rFonts w:ascii="Cambria" w:hAnsi="Cambria"/>
          <w:sz w:val="20"/>
          <w:szCs w:val="20"/>
          <w:lang w:val="es-ES_tradnl"/>
        </w:rPr>
        <w:t>a</w:t>
      </w:r>
      <w:r w:rsidR="00511EBB" w:rsidRPr="00940285">
        <w:rPr>
          <w:rFonts w:ascii="Cambria" w:hAnsi="Cambria"/>
          <w:sz w:val="20"/>
          <w:szCs w:val="20"/>
          <w:lang w:val="es-ES_tradnl"/>
        </w:rPr>
        <w:t xml:space="preserve"> el juicio de los tribunales domésticos sin tener</w:t>
      </w:r>
      <w:r w:rsidR="00DF16D8" w:rsidRPr="00940285">
        <w:rPr>
          <w:rFonts w:ascii="Cambria" w:hAnsi="Cambria"/>
          <w:sz w:val="20"/>
          <w:szCs w:val="20"/>
          <w:lang w:val="es-ES_tradnl"/>
        </w:rPr>
        <w:t xml:space="preserve"> acceso al lugar de los hechos, alejándose de los fines para los cuales fue creada y asumiendo </w:t>
      </w:r>
      <w:r w:rsidR="00511EBB" w:rsidRPr="00940285">
        <w:rPr>
          <w:rFonts w:ascii="Cambria" w:hAnsi="Cambria"/>
          <w:sz w:val="20"/>
          <w:szCs w:val="20"/>
          <w:lang w:val="es-ES_tradnl"/>
        </w:rPr>
        <w:t>responsabilidad</w:t>
      </w:r>
      <w:r w:rsidR="00DF16D8" w:rsidRPr="00940285">
        <w:rPr>
          <w:rFonts w:ascii="Cambria" w:hAnsi="Cambria"/>
          <w:sz w:val="20"/>
          <w:szCs w:val="20"/>
          <w:lang w:val="es-ES_tradnl"/>
        </w:rPr>
        <w:t>es</w:t>
      </w:r>
      <w:r w:rsidR="00511EBB" w:rsidRPr="00940285">
        <w:rPr>
          <w:rFonts w:ascii="Cambria" w:hAnsi="Cambria"/>
          <w:sz w:val="20"/>
          <w:szCs w:val="20"/>
          <w:lang w:val="es-ES_tradnl"/>
        </w:rPr>
        <w:t xml:space="preserve"> que le corresponden al Estado y a los tribunales nacionales de instancia.</w:t>
      </w:r>
    </w:p>
    <w:p w14:paraId="2185DBFD" w14:textId="36A4D578" w:rsidR="00A13081" w:rsidRPr="00940285" w:rsidRDefault="00DF16D8" w:rsidP="00D426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t xml:space="preserve">Sostiene que los hechos expuestos en la petición </w:t>
      </w:r>
      <w:r w:rsidR="004D12DE" w:rsidRPr="00940285">
        <w:rPr>
          <w:rFonts w:ascii="Cambria" w:hAnsi="Cambria"/>
          <w:sz w:val="20"/>
          <w:szCs w:val="20"/>
          <w:lang w:val="es-ES_tradnl"/>
        </w:rPr>
        <w:t xml:space="preserve">no configuran una infracción </w:t>
      </w:r>
      <w:r w:rsidR="004D12DE" w:rsidRPr="00940285">
        <w:rPr>
          <w:rFonts w:ascii="Cambria" w:hAnsi="Cambria"/>
          <w:i/>
          <w:sz w:val="20"/>
          <w:szCs w:val="20"/>
          <w:lang w:val="es-ES_tradnl"/>
        </w:rPr>
        <w:t>a priori</w:t>
      </w:r>
      <w:r w:rsidR="004D12DE" w:rsidRPr="00940285">
        <w:rPr>
          <w:rFonts w:ascii="Cambria" w:hAnsi="Cambria"/>
          <w:sz w:val="20"/>
          <w:szCs w:val="20"/>
          <w:lang w:val="es-ES_tradnl"/>
        </w:rPr>
        <w:t xml:space="preserve"> del artículo 5 de la Convención Americana</w:t>
      </w:r>
      <w:r w:rsidR="00CE2834" w:rsidRPr="00940285">
        <w:rPr>
          <w:rFonts w:ascii="Cambria" w:hAnsi="Cambria"/>
          <w:sz w:val="20"/>
          <w:szCs w:val="20"/>
          <w:lang w:val="es-ES_tradnl"/>
        </w:rPr>
        <w:t>,</w:t>
      </w:r>
      <w:r w:rsidR="004D12DE" w:rsidRPr="00940285">
        <w:rPr>
          <w:rFonts w:ascii="Cambria" w:hAnsi="Cambria"/>
          <w:sz w:val="20"/>
          <w:szCs w:val="20"/>
          <w:lang w:val="es-ES_tradnl"/>
        </w:rPr>
        <w:t xml:space="preserve"> pues equivocaciones en la interpretación del derecho o en la apreciación de los hechos por parte de los tribunales domésticos no equivaldrían a actos de tortura ni a penas o tratos crueles, inhumanos o degradantes. Destaca</w:t>
      </w:r>
      <w:r w:rsidR="00585264" w:rsidRPr="00940285">
        <w:rPr>
          <w:rFonts w:ascii="Cambria" w:hAnsi="Cambria"/>
          <w:sz w:val="20"/>
          <w:szCs w:val="20"/>
          <w:lang w:val="es-ES_tradnl"/>
        </w:rPr>
        <w:t xml:space="preserve"> también</w:t>
      </w:r>
      <w:r w:rsidR="004D12DE" w:rsidRPr="00940285">
        <w:rPr>
          <w:rFonts w:ascii="Cambria" w:hAnsi="Cambria"/>
          <w:sz w:val="20"/>
          <w:szCs w:val="20"/>
          <w:lang w:val="es-ES_tradnl"/>
        </w:rPr>
        <w:t xml:space="preserve"> que la propia parte peticionaria reconoce que en el cruce donde ocurrió el accidente existía un disco “Pare” y la Cruz de San Andrés (señal universal de un cruce de ferrocarril sin barreras)</w:t>
      </w:r>
      <w:r w:rsidR="00CE2834" w:rsidRPr="00940285">
        <w:rPr>
          <w:rFonts w:ascii="Cambria" w:hAnsi="Cambria"/>
          <w:sz w:val="20"/>
          <w:szCs w:val="20"/>
          <w:lang w:val="es-ES_tradnl"/>
        </w:rPr>
        <w:t>;</w:t>
      </w:r>
      <w:r w:rsidR="00585264" w:rsidRPr="00940285">
        <w:rPr>
          <w:rFonts w:ascii="Cambria" w:hAnsi="Cambria"/>
          <w:sz w:val="20"/>
          <w:szCs w:val="20"/>
          <w:lang w:val="es-ES_tradnl"/>
        </w:rPr>
        <w:t xml:space="preserve"> y que los tribunales nacionales concluyeron unánimemente que el Estado había adoptado las medidas de prevención requeridas por la ley para evitar accidentes. Añade que la petición no específica cuales de las sub-garantías contempladas en el artículo 8 de la Convención Americana habrían sido vulneradas por los tribunales nacionales, por lo que no se puede considerar que esta exponga a </w:t>
      </w:r>
      <w:r w:rsidR="00585264" w:rsidRPr="00940285">
        <w:rPr>
          <w:rFonts w:ascii="Cambria" w:hAnsi="Cambria"/>
          <w:i/>
          <w:sz w:val="20"/>
          <w:szCs w:val="20"/>
          <w:lang w:val="es-ES_tradnl"/>
        </w:rPr>
        <w:t>priori</w:t>
      </w:r>
      <w:r w:rsidR="00585264" w:rsidRPr="00940285">
        <w:rPr>
          <w:rFonts w:ascii="Cambria" w:hAnsi="Cambria"/>
          <w:sz w:val="20"/>
          <w:szCs w:val="20"/>
          <w:lang w:val="es-ES_tradnl"/>
        </w:rPr>
        <w:t xml:space="preserve"> una situación de vulneraci</w:t>
      </w:r>
      <w:r w:rsidR="003A7A00" w:rsidRPr="00940285">
        <w:rPr>
          <w:rFonts w:ascii="Cambria" w:hAnsi="Cambria"/>
          <w:sz w:val="20"/>
          <w:szCs w:val="20"/>
          <w:lang w:val="es-ES_tradnl"/>
        </w:rPr>
        <w:t xml:space="preserve">ón de ese derecho Además, </w:t>
      </w:r>
      <w:r w:rsidR="00585264" w:rsidRPr="00940285">
        <w:rPr>
          <w:rFonts w:ascii="Cambria" w:hAnsi="Cambria"/>
          <w:sz w:val="20"/>
          <w:szCs w:val="20"/>
          <w:lang w:val="es-ES_tradnl"/>
        </w:rPr>
        <w:t>indica que quienes representaban a la presunta víctima tuvieron la oportunidad de concurrir a los tribunales de justicia para demandar al Estado, presentar sus argumentos y evidencias a los tribunales competentes, y hacerlo en igualdad de condiciones con el E</w:t>
      </w:r>
      <w:r w:rsidR="003A7A00" w:rsidRPr="00940285">
        <w:rPr>
          <w:rFonts w:ascii="Cambria" w:hAnsi="Cambria"/>
          <w:sz w:val="20"/>
          <w:szCs w:val="20"/>
          <w:lang w:val="es-ES_tradnl"/>
        </w:rPr>
        <w:t xml:space="preserve">stado y sin antecedentes que reflejen posibles violaciones al debido proceso. Ante estas circunstancias, asevera que la petición no expone hechos que configuren </w:t>
      </w:r>
      <w:r w:rsidR="003A7A00" w:rsidRPr="00940285">
        <w:rPr>
          <w:rFonts w:ascii="Cambria" w:hAnsi="Cambria"/>
          <w:i/>
          <w:sz w:val="20"/>
          <w:szCs w:val="20"/>
          <w:lang w:val="es-ES_tradnl"/>
        </w:rPr>
        <w:t xml:space="preserve">prima facie </w:t>
      </w:r>
      <w:r w:rsidR="003A7A00" w:rsidRPr="00940285">
        <w:rPr>
          <w:rFonts w:ascii="Cambria" w:hAnsi="Cambria"/>
          <w:sz w:val="20"/>
          <w:szCs w:val="20"/>
          <w:lang w:val="es-ES_tradnl"/>
        </w:rPr>
        <w:t xml:space="preserve">violaciones al artículo 25 de la Convención </w:t>
      </w:r>
      <w:r w:rsidR="00643535">
        <w:rPr>
          <w:rFonts w:ascii="Cambria" w:hAnsi="Cambria"/>
          <w:sz w:val="20"/>
          <w:szCs w:val="20"/>
          <w:lang w:val="es-ES_tradnl"/>
        </w:rPr>
        <w:t>A</w:t>
      </w:r>
      <w:r w:rsidR="003A7A00" w:rsidRPr="00940285">
        <w:rPr>
          <w:rFonts w:ascii="Cambria" w:hAnsi="Cambria"/>
          <w:sz w:val="20"/>
          <w:szCs w:val="20"/>
          <w:lang w:val="es-ES_tradnl"/>
        </w:rPr>
        <w:t>mericana, no bastando para ello que los tribunales nacionales hayan rechazado la pretensión planteada en la demanda presentada por el padre de la presunta víctima.</w:t>
      </w:r>
    </w:p>
    <w:p w14:paraId="061A48EA" w14:textId="33D85C46" w:rsidR="003A7A00" w:rsidRPr="00940285" w:rsidRDefault="003A7A00" w:rsidP="00D426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940285">
        <w:rPr>
          <w:rFonts w:ascii="Cambria" w:hAnsi="Cambria"/>
          <w:sz w:val="20"/>
          <w:szCs w:val="20"/>
          <w:lang w:val="es-ES_tradnl"/>
        </w:rPr>
        <w:t xml:space="preserve">El Estado también </w:t>
      </w:r>
      <w:r w:rsidR="00430BE6" w:rsidRPr="00940285">
        <w:rPr>
          <w:rFonts w:ascii="Cambria" w:hAnsi="Cambria"/>
          <w:sz w:val="20"/>
          <w:szCs w:val="20"/>
          <w:lang w:val="es-ES_tradnl"/>
        </w:rPr>
        <w:t>relata que el Ministerio Público doméstico adoptó la decisión de no perseverar en la investigación de presuntas responsabilidades penales que hubiesen podido existir en el contexto de los hechos que rodearon el accidente. Esto, dada la ausencia de evidencia suficiente para probar la acreditación de un delito. Explica que esta decisión le fue comunicada a la presunta víctima quien no ejerció ninguno de los recursos previstos en la ley chilena para impugnarla. Específicamente, indica que la presunta víctima no impugnó la decisión en cuestión ante el juez de garantías competente, quien hubiese podido ordenar al Ministerio Público que continuara con la investigación. Por estas razones, manifiesta que la petición debe ser inadmitida por haber sido presentada</w:t>
      </w:r>
      <w:r w:rsidR="009E4A4D" w:rsidRPr="00940285">
        <w:rPr>
          <w:rFonts w:ascii="Cambria" w:hAnsi="Cambria"/>
          <w:sz w:val="20"/>
          <w:szCs w:val="20"/>
          <w:lang w:val="es-ES_tradnl"/>
        </w:rPr>
        <w:t xml:space="preserve"> sin previo agotamiento de los</w:t>
      </w:r>
      <w:r w:rsidR="00430BE6" w:rsidRPr="00940285">
        <w:rPr>
          <w:rFonts w:ascii="Cambria" w:hAnsi="Cambria"/>
          <w:sz w:val="20"/>
          <w:szCs w:val="20"/>
          <w:lang w:val="es-ES_tradnl"/>
        </w:rPr>
        <w:t xml:space="preserve"> mecanismos procesales domésticos que </w:t>
      </w:r>
      <w:r w:rsidR="009E4A4D" w:rsidRPr="00940285">
        <w:rPr>
          <w:rFonts w:ascii="Cambria" w:hAnsi="Cambria"/>
          <w:sz w:val="20"/>
          <w:szCs w:val="20"/>
          <w:lang w:val="es-ES_tradnl"/>
        </w:rPr>
        <w:t>habrían</w:t>
      </w:r>
      <w:r w:rsidR="00430BE6" w:rsidRPr="00940285">
        <w:rPr>
          <w:rFonts w:ascii="Cambria" w:hAnsi="Cambria"/>
          <w:sz w:val="20"/>
          <w:szCs w:val="20"/>
          <w:lang w:val="es-ES_tradnl"/>
        </w:rPr>
        <w:t xml:space="preserve"> permitido que la situación fuera remedia</w:t>
      </w:r>
      <w:r w:rsidR="009E4A4D" w:rsidRPr="00940285">
        <w:rPr>
          <w:rFonts w:ascii="Cambria" w:hAnsi="Cambria"/>
          <w:sz w:val="20"/>
          <w:szCs w:val="20"/>
          <w:lang w:val="es-ES_tradnl"/>
        </w:rPr>
        <w:t>da.</w:t>
      </w:r>
    </w:p>
    <w:p w14:paraId="6F4D4171" w14:textId="01CD80DA" w:rsidR="003239B8" w:rsidRPr="00940285" w:rsidRDefault="003239B8" w:rsidP="00CE28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940285">
        <w:rPr>
          <w:rFonts w:asciiTheme="majorHAnsi" w:eastAsia="Cambria" w:hAnsiTheme="majorHAnsi" w:cs="Cambria"/>
          <w:b/>
          <w:bCs/>
          <w:color w:val="000000"/>
          <w:sz w:val="20"/>
          <w:szCs w:val="20"/>
          <w:u w:color="000000"/>
          <w:lang w:val="es-ES_tradnl" w:eastAsia="es-ES"/>
        </w:rPr>
        <w:t>VI.</w:t>
      </w:r>
      <w:r w:rsidRPr="00940285">
        <w:rPr>
          <w:rFonts w:asciiTheme="majorHAnsi" w:eastAsia="Cambria" w:hAnsiTheme="majorHAnsi" w:cs="Cambria"/>
          <w:b/>
          <w:bCs/>
          <w:color w:val="000000"/>
          <w:sz w:val="20"/>
          <w:szCs w:val="20"/>
          <w:u w:color="000000"/>
          <w:lang w:val="es-ES_tradnl" w:eastAsia="es-ES"/>
        </w:rPr>
        <w:tab/>
      </w:r>
      <w:r w:rsidR="004A6A54" w:rsidRPr="00940285">
        <w:rPr>
          <w:rFonts w:asciiTheme="majorHAnsi" w:hAnsiTheme="majorHAnsi"/>
          <w:b/>
          <w:bCs/>
          <w:sz w:val="20"/>
          <w:szCs w:val="20"/>
          <w:lang w:val="es-ES_tradnl"/>
        </w:rPr>
        <w:t xml:space="preserve">ANÁLISIS DE </w:t>
      </w:r>
      <w:r w:rsidR="00C21FEF" w:rsidRPr="00940285">
        <w:rPr>
          <w:rFonts w:asciiTheme="majorHAnsi" w:hAnsiTheme="majorHAnsi"/>
          <w:b/>
          <w:sz w:val="20"/>
          <w:szCs w:val="20"/>
          <w:lang w:val="es-ES_tradnl"/>
        </w:rPr>
        <w:t>AGOTAMIENTO DE LOS RECURSOS INTERNOS Y PLAZO DE PRESENTACIÓN</w:t>
      </w:r>
      <w:r w:rsidR="00C21FEF" w:rsidRPr="00940285">
        <w:rPr>
          <w:rFonts w:asciiTheme="majorHAnsi" w:eastAsia="Cambria" w:hAnsiTheme="majorHAnsi" w:cs="Cambria"/>
          <w:b/>
          <w:bCs/>
          <w:color w:val="000000"/>
          <w:sz w:val="20"/>
          <w:szCs w:val="20"/>
          <w:u w:color="000000"/>
          <w:lang w:val="es-ES_tradnl" w:eastAsia="es-ES"/>
        </w:rPr>
        <w:t xml:space="preserve"> </w:t>
      </w:r>
    </w:p>
    <w:p w14:paraId="16E325AD" w14:textId="7F70EC8E" w:rsidR="00003109" w:rsidRPr="00940285" w:rsidRDefault="00912BF9" w:rsidP="00003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40285">
        <w:rPr>
          <w:rFonts w:ascii="Cambria" w:hAnsi="Cambria"/>
          <w:sz w:val="20"/>
          <w:szCs w:val="20"/>
          <w:lang w:val="es-ES_tradnl"/>
        </w:rPr>
        <w:t>La parte peticionaria ha indicado q</w:t>
      </w:r>
      <w:r w:rsidR="009E4A4D" w:rsidRPr="00940285">
        <w:rPr>
          <w:rFonts w:ascii="Cambria" w:hAnsi="Cambria"/>
          <w:sz w:val="20"/>
          <w:szCs w:val="20"/>
          <w:lang w:val="es-ES_tradnl"/>
        </w:rPr>
        <w:t xml:space="preserve">ue los recursos internos quedaron agotados luego de que la Corte Suprema rechazara los recursos de casación interpuestos por el padre de la presunta víctima y el tribunal de origen dictara una resolución “cúmplase”.  A su vez, el Estado ha indicado que los recursos internos no fueron agotados porque no presentaron impugnaciones contra la decisión del Ministerio Público de no perseverar en la investigación de posibles responsabilidades penales en relación con los hechos que rodearon al accidente sufrido por la presunta víctima. </w:t>
      </w:r>
    </w:p>
    <w:p w14:paraId="6FC28F4A" w14:textId="77777777" w:rsidR="008A1DFA" w:rsidRPr="00940285" w:rsidRDefault="00003109" w:rsidP="00003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40285">
        <w:rPr>
          <w:rFonts w:ascii="Cambria" w:hAnsi="Cambria"/>
          <w:sz w:val="20"/>
          <w:szCs w:val="20"/>
          <w:lang w:val="es-ES_tradnl"/>
        </w:rPr>
        <w:lastRenderedPageBreak/>
        <w:t xml:space="preserve">La Comisión estima que la demanda civil por perjuicios constituía una vía idónea para que las presuntas víctimas presentaran a nivel doméstico las reclamaciones planteadas en la Comisión. El Estado no ha indicado que esta no fuera una vía idónea ni denunciado que esta no haya sido plenamente agotada. Tampoco surge del expediente que existan recursos adicionales que no hayan sido agotados por las presuntas víctimas y que pudieran ser idóneo para impugnar las decisiones que </w:t>
      </w:r>
      <w:r w:rsidR="00901323" w:rsidRPr="00940285">
        <w:rPr>
          <w:rFonts w:ascii="Cambria" w:hAnsi="Cambria"/>
          <w:sz w:val="20"/>
          <w:szCs w:val="20"/>
          <w:lang w:val="es-ES_tradnl"/>
        </w:rPr>
        <w:t xml:space="preserve">conllevaron al rechazo definitivo de la demanda. El Estado ha sostenido que las presuntas víctimas debieron también agotar la vía penal e impugnar la decisión del Ministerio Público de no perseverar en la investigación de posibles responsabilidades penales derivadas del accidente sufrido por la presunta víctima. </w:t>
      </w:r>
    </w:p>
    <w:p w14:paraId="426888EA" w14:textId="57DA315C" w:rsidR="00003109" w:rsidRPr="00940285" w:rsidRDefault="008A1DFA" w:rsidP="00003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40285">
        <w:rPr>
          <w:rFonts w:ascii="Cambria" w:hAnsi="Cambria"/>
          <w:sz w:val="20"/>
          <w:szCs w:val="20"/>
          <w:lang w:val="es-ES_tradnl"/>
        </w:rPr>
        <w:t>Además</w:t>
      </w:r>
      <w:r w:rsidR="00901323" w:rsidRPr="00940285">
        <w:rPr>
          <w:rFonts w:ascii="Cambria" w:hAnsi="Cambria"/>
          <w:sz w:val="20"/>
          <w:szCs w:val="20"/>
          <w:lang w:val="es-ES_tradnl"/>
        </w:rPr>
        <w:t xml:space="preserve">, la Comisión </w:t>
      </w:r>
      <w:r w:rsidRPr="00940285">
        <w:rPr>
          <w:rFonts w:ascii="Cambria" w:hAnsi="Cambria" w:cs="Calibri"/>
          <w:sz w:val="20"/>
          <w:szCs w:val="20"/>
          <w:lang w:val="es-ES_tradnl"/>
        </w:rPr>
        <w:t>recuerda</w:t>
      </w:r>
      <w:r w:rsidR="00901323" w:rsidRPr="00940285">
        <w:rPr>
          <w:rFonts w:ascii="Cambria" w:hAnsi="Cambria" w:cs="Calibri"/>
          <w:sz w:val="20"/>
          <w:szCs w:val="20"/>
          <w:lang w:val="es-ES_tradnl"/>
        </w:rPr>
        <w:t xml:space="preserve">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901323" w:rsidRPr="00940285">
        <w:rPr>
          <w:rStyle w:val="FootnoteReference"/>
          <w:rFonts w:ascii="Cambria" w:hAnsi="Cambria" w:cs="Calibri"/>
          <w:sz w:val="20"/>
          <w:szCs w:val="20"/>
          <w:lang w:val="es-ES_tradnl"/>
        </w:rPr>
        <w:footnoteReference w:id="7"/>
      </w:r>
      <w:r w:rsidR="00901323" w:rsidRPr="00940285">
        <w:rPr>
          <w:rFonts w:ascii="Cambria" w:hAnsi="Cambria" w:cs="Calibri"/>
          <w:sz w:val="20"/>
          <w:szCs w:val="20"/>
          <w:lang w:val="es-ES_tradnl"/>
        </w:rPr>
        <w:t>. En consecuencia, la Comisión concluye que, independientemente de que la vía penal fuera o no también idónea para que estas presentaran sus reclamos</w:t>
      </w:r>
      <w:r w:rsidR="00901323" w:rsidRPr="00940285">
        <w:rPr>
          <w:rFonts w:ascii="Cambria" w:hAnsi="Cambria"/>
          <w:sz w:val="20"/>
          <w:szCs w:val="20"/>
          <w:lang w:val="es-ES_tradnl"/>
        </w:rPr>
        <w:t xml:space="preserve">, las presuntas víctimas cumplieron con el requisito de agotamiento de los recursos internos al seguir la vía de la demanda civil hasta una decisión definitiva. </w:t>
      </w:r>
    </w:p>
    <w:p w14:paraId="1B399D87" w14:textId="3DD76E83" w:rsidR="00901323" w:rsidRPr="00940285" w:rsidRDefault="00901323" w:rsidP="00003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40285">
        <w:rPr>
          <w:rFonts w:ascii="Cambria" w:hAnsi="Cambria"/>
          <w:sz w:val="20"/>
          <w:szCs w:val="20"/>
          <w:lang w:val="es-ES_tradnl"/>
        </w:rPr>
        <w:t>Por las razones expuestas</w:t>
      </w:r>
      <w:r w:rsidR="004F4AEC" w:rsidRPr="00940285">
        <w:rPr>
          <w:rFonts w:ascii="Cambria" w:hAnsi="Cambria"/>
          <w:sz w:val="20"/>
          <w:szCs w:val="20"/>
          <w:lang w:val="es-ES_tradnl"/>
        </w:rPr>
        <w:t>,</w:t>
      </w:r>
      <w:r w:rsidRPr="00940285">
        <w:rPr>
          <w:rFonts w:ascii="Cambria" w:hAnsi="Cambria"/>
          <w:sz w:val="20"/>
          <w:szCs w:val="20"/>
          <w:lang w:val="es-ES_tradnl"/>
        </w:rPr>
        <w:t xml:space="preserve"> y dado que la decisión definitiva se emitió el 27 de agosto de 2013 y la petición </w:t>
      </w:r>
      <w:r w:rsidR="004F4AEC" w:rsidRPr="00940285">
        <w:rPr>
          <w:rFonts w:ascii="Cambria" w:hAnsi="Cambria"/>
          <w:sz w:val="20"/>
          <w:szCs w:val="20"/>
          <w:lang w:val="es-ES_tradnl"/>
        </w:rPr>
        <w:t xml:space="preserve">fue </w:t>
      </w:r>
      <w:r w:rsidRPr="00940285">
        <w:rPr>
          <w:rFonts w:ascii="Cambria" w:hAnsi="Cambria"/>
          <w:sz w:val="20"/>
          <w:szCs w:val="20"/>
          <w:lang w:val="es-ES_tradnl"/>
        </w:rPr>
        <w:t>presentada el 31 de enero de 2014</w:t>
      </w:r>
      <w:r w:rsidR="004F4AEC" w:rsidRPr="00940285">
        <w:rPr>
          <w:rFonts w:ascii="Cambria" w:hAnsi="Cambria"/>
          <w:sz w:val="20"/>
          <w:szCs w:val="20"/>
          <w:lang w:val="es-ES_tradnl"/>
        </w:rPr>
        <w:t xml:space="preserve">, la Comisión concluye que la presente petición cumple con los requisitos de los artículos 46.1(a) y (b) de la Convención Americana. </w:t>
      </w:r>
    </w:p>
    <w:p w14:paraId="4FFBE378" w14:textId="066A987C" w:rsidR="003239B8" w:rsidRPr="00940285" w:rsidRDefault="003239B8" w:rsidP="00D113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940285">
        <w:rPr>
          <w:rFonts w:asciiTheme="majorHAnsi" w:hAnsiTheme="majorHAnsi"/>
          <w:b/>
          <w:bCs/>
          <w:sz w:val="20"/>
          <w:szCs w:val="20"/>
          <w:lang w:val="es-ES_tradnl"/>
        </w:rPr>
        <w:t>VII.</w:t>
      </w:r>
      <w:r w:rsidRPr="00940285">
        <w:rPr>
          <w:rFonts w:asciiTheme="majorHAnsi" w:hAnsiTheme="majorHAnsi"/>
          <w:b/>
          <w:bCs/>
          <w:sz w:val="20"/>
          <w:szCs w:val="20"/>
          <w:lang w:val="es-ES_tradnl"/>
        </w:rPr>
        <w:tab/>
      </w:r>
      <w:r w:rsidR="004A6A54" w:rsidRPr="00940285">
        <w:rPr>
          <w:rFonts w:asciiTheme="majorHAnsi" w:hAnsiTheme="majorHAnsi"/>
          <w:b/>
          <w:bCs/>
          <w:sz w:val="20"/>
          <w:szCs w:val="20"/>
          <w:lang w:val="es-ES_tradnl"/>
        </w:rPr>
        <w:t xml:space="preserve">ANÁLISIS DE </w:t>
      </w:r>
      <w:r w:rsidR="00C21FEF" w:rsidRPr="00940285">
        <w:rPr>
          <w:rFonts w:asciiTheme="majorHAnsi" w:hAnsiTheme="majorHAnsi"/>
          <w:b/>
          <w:bCs/>
          <w:sz w:val="20"/>
          <w:szCs w:val="20"/>
          <w:lang w:val="es-ES_tradnl"/>
        </w:rPr>
        <w:t>CARACTERIZACIÓN DE LOS HECHOS ALEGADOS</w:t>
      </w:r>
    </w:p>
    <w:p w14:paraId="61ABB8ED" w14:textId="63EA6169" w:rsidR="00E638D2" w:rsidRPr="00940285" w:rsidRDefault="00975B18"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40285">
        <w:rPr>
          <w:rFonts w:asciiTheme="majorHAnsi" w:hAnsiTheme="majorHAnsi"/>
          <w:sz w:val="20"/>
          <w:szCs w:val="20"/>
          <w:lang w:val="es-ES_tradnl"/>
        </w:rPr>
        <w:t xml:space="preserve">La presente petición incluye alegaciones con respecto a que la presunta víctima </w:t>
      </w:r>
      <w:r w:rsidR="004F4AEC" w:rsidRPr="00940285">
        <w:rPr>
          <w:rFonts w:asciiTheme="majorHAnsi" w:hAnsiTheme="majorHAnsi"/>
          <w:sz w:val="20"/>
          <w:szCs w:val="20"/>
          <w:lang w:val="es-ES_tradnl"/>
        </w:rPr>
        <w:t>fue impactada por un tren, con graves consecuencias para él y su familia y por razón de que autoridades y empresas del Estado no cumplieron con su deber de adoptar medidas apropiadas y razonables para prevenir accidentes en un cruce ferroviario</w:t>
      </w:r>
      <w:r w:rsidR="00536AF8" w:rsidRPr="00940285">
        <w:rPr>
          <w:rFonts w:asciiTheme="majorHAnsi" w:hAnsiTheme="majorHAnsi"/>
          <w:sz w:val="20"/>
          <w:szCs w:val="20"/>
          <w:lang w:val="es-ES_tradnl"/>
        </w:rPr>
        <w:t>. La petición también alega que la presunta víctima y sus familiares no han podido obtener reparación por el daño antijurídico sufrido, pese a haber agotado una vía idónea de reclamación prevista en el ordenamiento interno.</w:t>
      </w:r>
    </w:p>
    <w:p w14:paraId="7AA3C2F5" w14:textId="025513FE" w:rsidR="00FE7E03" w:rsidRPr="00940285" w:rsidRDefault="00FE7E03" w:rsidP="00536AF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40285">
        <w:rPr>
          <w:rFonts w:asciiTheme="majorHAnsi" w:hAnsiTheme="majorHAnsi"/>
          <w:sz w:val="20"/>
          <w:szCs w:val="20"/>
          <w:lang w:val="es-ES_tradnl"/>
        </w:rPr>
        <w:t>A efectos de la admisibilidad, l</w:t>
      </w:r>
      <w:r w:rsidRPr="00940285">
        <w:rPr>
          <w:bCs/>
          <w:sz w:val="20"/>
          <w:szCs w:val="20"/>
          <w:lang w:val="es-ES_tradnl"/>
        </w:rPr>
        <w:t xml:space="preserve">a </w:t>
      </w:r>
      <w:r w:rsidRPr="00940285">
        <w:rPr>
          <w:rFonts w:asciiTheme="majorHAnsi" w:hAnsiTheme="majorHAnsi"/>
          <w:bCs/>
          <w:sz w:val="20"/>
          <w:szCs w:val="20"/>
          <w:lang w:val="es-ES_tradnl"/>
        </w:rPr>
        <w:t xml:space="preserve">CIDH </w:t>
      </w:r>
      <w:r w:rsidRPr="00940285">
        <w:rPr>
          <w:rFonts w:asciiTheme="majorHAnsi" w:hAnsiTheme="majorHAnsi"/>
          <w:sz w:val="20"/>
          <w:szCs w:val="20"/>
          <w:lang w:val="es-ES_tradnl"/>
        </w:rPr>
        <w:t xml:space="preserve">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la Comisión Interamericana es competente en el marco de su mandato para declarar admisible una petición cuando ésta se refiere a procesos internos que podrían ser violatorios de derechos garantizados por la Convención Americana. De acuerdo con las normas convencionales citadas, y en concordancia con el artículo 34 de su Reglamento, el análisis de admisibilidad que realiza la Comisión Interamericana se centra en la verificación de la presencia de elementos que, de ser ciertos, podrían constituir </w:t>
      </w:r>
      <w:r w:rsidRPr="00940285">
        <w:rPr>
          <w:rFonts w:asciiTheme="majorHAnsi" w:hAnsiTheme="majorHAnsi"/>
          <w:i/>
          <w:sz w:val="20"/>
          <w:szCs w:val="20"/>
          <w:lang w:val="es-ES_tradnl"/>
        </w:rPr>
        <w:t>prima facie</w:t>
      </w:r>
      <w:r w:rsidRPr="00940285">
        <w:rPr>
          <w:rFonts w:asciiTheme="majorHAnsi" w:hAnsiTheme="majorHAnsi"/>
          <w:sz w:val="20"/>
          <w:szCs w:val="20"/>
          <w:lang w:val="es-ES_tradnl"/>
        </w:rPr>
        <w:t xml:space="preserve"> violaciones a la Convención Americana</w:t>
      </w:r>
      <w:r w:rsidRPr="00940285">
        <w:rPr>
          <w:rStyle w:val="FootnoteReference"/>
          <w:rFonts w:asciiTheme="majorHAnsi" w:hAnsiTheme="majorHAnsi" w:cs="Calibri"/>
          <w:sz w:val="20"/>
          <w:szCs w:val="20"/>
          <w:lang w:val="es-ES_tradnl"/>
        </w:rPr>
        <w:footnoteReference w:id="8"/>
      </w:r>
      <w:r w:rsidRPr="00940285">
        <w:rPr>
          <w:rFonts w:asciiTheme="majorHAnsi" w:hAnsiTheme="majorHAnsi"/>
          <w:sz w:val="20"/>
          <w:szCs w:val="20"/>
          <w:lang w:val="es-ES_tradnl"/>
        </w:rPr>
        <w:t>.</w:t>
      </w:r>
      <w:r w:rsidR="00536AF8" w:rsidRPr="00940285">
        <w:rPr>
          <w:rFonts w:asciiTheme="majorHAnsi" w:hAnsiTheme="majorHAnsi"/>
          <w:sz w:val="20"/>
          <w:szCs w:val="20"/>
          <w:lang w:val="es-ES_tradnl"/>
        </w:rPr>
        <w:t xml:space="preserve"> </w:t>
      </w:r>
    </w:p>
    <w:p w14:paraId="12258A22" w14:textId="1B336EAD" w:rsidR="00072EE4" w:rsidRPr="00C63055" w:rsidRDefault="008F1974" w:rsidP="00072EE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940285">
        <w:rPr>
          <w:rFonts w:asciiTheme="majorHAnsi" w:hAnsiTheme="majorHAnsi"/>
          <w:sz w:val="20"/>
          <w:szCs w:val="20"/>
          <w:lang w:val="es-ES_tradnl"/>
        </w:rPr>
        <w:t xml:space="preserve">En el presente caso, la Comisión observa </w:t>
      </w:r>
      <w:r w:rsidRPr="00C63055">
        <w:rPr>
          <w:rFonts w:asciiTheme="majorHAnsi" w:hAnsiTheme="majorHAnsi"/>
          <w:color w:val="auto"/>
          <w:sz w:val="20"/>
          <w:szCs w:val="20"/>
          <w:lang w:val="es-ES_tradnl"/>
        </w:rPr>
        <w:t xml:space="preserve">que la presunta víctima adquirió una discapacidad física permanente como resultado de un accidente en un cruce ferroviario, alegadamente como resultado de la supuesta negligencia de empresas estatales encargadas de la operación de esas vías. </w:t>
      </w:r>
      <w:r w:rsidR="00AE6489" w:rsidRPr="00C63055">
        <w:rPr>
          <w:rFonts w:asciiTheme="majorHAnsi" w:hAnsiTheme="majorHAnsi"/>
          <w:color w:val="auto"/>
          <w:sz w:val="20"/>
          <w:szCs w:val="20"/>
          <w:lang w:val="es-ES_tradnl"/>
        </w:rPr>
        <w:t xml:space="preserve">Ante </w:t>
      </w:r>
      <w:r w:rsidR="00D33CE1" w:rsidRPr="00C63055">
        <w:rPr>
          <w:rFonts w:asciiTheme="majorHAnsi" w:hAnsiTheme="majorHAnsi"/>
          <w:color w:val="auto"/>
          <w:sz w:val="20"/>
          <w:szCs w:val="20"/>
          <w:lang w:val="es-ES_tradnl"/>
        </w:rPr>
        <w:t>lo expuesto en la petición</w:t>
      </w:r>
      <w:r w:rsidR="00AE6489" w:rsidRPr="00C63055">
        <w:rPr>
          <w:rFonts w:asciiTheme="majorHAnsi" w:hAnsiTheme="majorHAnsi"/>
          <w:color w:val="auto"/>
          <w:sz w:val="20"/>
          <w:szCs w:val="20"/>
          <w:lang w:val="es-ES_tradnl"/>
        </w:rPr>
        <w:t>, la Comisión valora un precedente en que la Corte Europea de Derechos Humanos concluyó que un</w:t>
      </w:r>
      <w:r w:rsidR="00D33CE1" w:rsidRPr="00C63055">
        <w:rPr>
          <w:rFonts w:asciiTheme="majorHAnsi" w:hAnsiTheme="majorHAnsi"/>
          <w:color w:val="auto"/>
          <w:sz w:val="20"/>
          <w:szCs w:val="20"/>
          <w:lang w:val="es-ES_tradnl"/>
        </w:rPr>
        <w:t xml:space="preserve"> accidente ferroviario puede generar</w:t>
      </w:r>
      <w:r w:rsidR="00AE6489" w:rsidRPr="00C63055">
        <w:rPr>
          <w:rFonts w:asciiTheme="majorHAnsi" w:hAnsiTheme="majorHAnsi"/>
          <w:color w:val="auto"/>
          <w:sz w:val="20"/>
          <w:szCs w:val="20"/>
          <w:lang w:val="es-ES_tradnl"/>
        </w:rPr>
        <w:t xml:space="preserve"> </w:t>
      </w:r>
      <w:r w:rsidR="00D33CE1" w:rsidRPr="00C63055">
        <w:rPr>
          <w:rFonts w:asciiTheme="majorHAnsi" w:hAnsiTheme="majorHAnsi"/>
          <w:color w:val="auto"/>
          <w:sz w:val="20"/>
          <w:szCs w:val="20"/>
          <w:lang w:val="es-ES_tradnl"/>
        </w:rPr>
        <w:t>responsabilidad internacional en materia de derechos humanos para un Estado si este no adoptó las medidas básicas necesarias para prevenirlo</w:t>
      </w:r>
      <w:r w:rsidR="00D33CE1" w:rsidRPr="00C63055">
        <w:rPr>
          <w:rStyle w:val="FootnoteReference"/>
          <w:rFonts w:asciiTheme="majorHAnsi" w:hAnsiTheme="majorHAnsi"/>
          <w:color w:val="auto"/>
          <w:sz w:val="20"/>
          <w:szCs w:val="20"/>
          <w:lang w:val="es-ES_tradnl"/>
        </w:rPr>
        <w:footnoteReference w:id="9"/>
      </w:r>
      <w:r w:rsidR="00D33CE1" w:rsidRPr="00C63055">
        <w:rPr>
          <w:rFonts w:asciiTheme="majorHAnsi" w:hAnsiTheme="majorHAnsi"/>
          <w:color w:val="auto"/>
          <w:sz w:val="20"/>
          <w:szCs w:val="20"/>
          <w:lang w:val="es-ES_tradnl"/>
        </w:rPr>
        <w:t xml:space="preserve">. </w:t>
      </w:r>
      <w:r w:rsidRPr="00C63055">
        <w:rPr>
          <w:rFonts w:asciiTheme="majorHAnsi" w:hAnsiTheme="majorHAnsi"/>
          <w:color w:val="auto"/>
          <w:sz w:val="20"/>
          <w:szCs w:val="20"/>
          <w:lang w:val="es-ES_tradnl"/>
        </w:rPr>
        <w:t xml:space="preserve">En ese sentido, </w:t>
      </w:r>
      <w:r w:rsidR="00EA76DE" w:rsidRPr="00C63055">
        <w:rPr>
          <w:rFonts w:asciiTheme="majorHAnsi" w:hAnsiTheme="majorHAnsi"/>
          <w:color w:val="auto"/>
          <w:sz w:val="20"/>
          <w:szCs w:val="20"/>
          <w:lang w:val="es-ES_tradnl"/>
        </w:rPr>
        <w:t xml:space="preserve">la </w:t>
      </w:r>
      <w:r w:rsidR="00072EE4" w:rsidRPr="00C63055">
        <w:rPr>
          <w:rFonts w:asciiTheme="majorHAnsi" w:hAnsiTheme="majorHAnsi"/>
          <w:color w:val="auto"/>
          <w:sz w:val="20"/>
          <w:szCs w:val="20"/>
          <w:lang w:val="es-ES_tradnl"/>
        </w:rPr>
        <w:t xml:space="preserve">Comisión estima </w:t>
      </w:r>
      <w:r w:rsidR="00072EE4" w:rsidRPr="00C63055">
        <w:rPr>
          <w:rFonts w:asciiTheme="majorHAnsi" w:hAnsiTheme="majorHAnsi"/>
          <w:color w:val="auto"/>
          <w:sz w:val="20"/>
          <w:szCs w:val="20"/>
          <w:lang w:val="es-ES_tradnl"/>
        </w:rPr>
        <w:lastRenderedPageBreak/>
        <w:t xml:space="preserve">que la presente </w:t>
      </w:r>
      <w:r w:rsidR="00EA76DE" w:rsidRPr="00C63055">
        <w:rPr>
          <w:rFonts w:asciiTheme="majorHAnsi" w:hAnsiTheme="majorHAnsi"/>
          <w:color w:val="auto"/>
          <w:sz w:val="20"/>
          <w:szCs w:val="20"/>
          <w:lang w:val="es-ES_tradnl"/>
        </w:rPr>
        <w:t>petición p</w:t>
      </w:r>
      <w:r w:rsidR="00072EE4" w:rsidRPr="00C63055">
        <w:rPr>
          <w:rFonts w:asciiTheme="majorHAnsi" w:hAnsiTheme="majorHAnsi"/>
          <w:color w:val="auto"/>
          <w:sz w:val="20"/>
          <w:szCs w:val="20"/>
          <w:lang w:val="es-ES_tradnl"/>
        </w:rPr>
        <w:t>lantea</w:t>
      </w:r>
      <w:r w:rsidR="00EA76DE" w:rsidRPr="00C63055">
        <w:rPr>
          <w:rFonts w:asciiTheme="majorHAnsi" w:hAnsiTheme="majorHAnsi"/>
          <w:color w:val="auto"/>
          <w:sz w:val="20"/>
          <w:szCs w:val="20"/>
          <w:lang w:val="es-ES_tradnl"/>
        </w:rPr>
        <w:t xml:space="preserve"> un asunto</w:t>
      </w:r>
      <w:r w:rsidRPr="00C63055">
        <w:rPr>
          <w:rFonts w:asciiTheme="majorHAnsi" w:hAnsiTheme="majorHAnsi"/>
          <w:color w:val="auto"/>
          <w:sz w:val="20"/>
          <w:szCs w:val="20"/>
          <w:lang w:val="es-ES_tradnl"/>
        </w:rPr>
        <w:t xml:space="preserve"> complejo que requiere de un análisis de fondo </w:t>
      </w:r>
      <w:r w:rsidR="00EA76DE" w:rsidRPr="00C63055">
        <w:rPr>
          <w:rFonts w:asciiTheme="majorHAnsi" w:hAnsiTheme="majorHAnsi"/>
          <w:color w:val="auto"/>
          <w:sz w:val="20"/>
          <w:szCs w:val="20"/>
          <w:lang w:val="es-ES_tradnl"/>
        </w:rPr>
        <w:t>a fines de establecer</w:t>
      </w:r>
      <w:r w:rsidRPr="00C63055">
        <w:rPr>
          <w:rFonts w:asciiTheme="majorHAnsi" w:hAnsiTheme="majorHAnsi"/>
          <w:color w:val="auto"/>
          <w:sz w:val="20"/>
          <w:szCs w:val="20"/>
          <w:lang w:val="es-ES_tradnl"/>
        </w:rPr>
        <w:t xml:space="preserve"> si de acuerdo con las normas del derecho internacional aplicable,</w:t>
      </w:r>
      <w:r w:rsidR="00EA76DE" w:rsidRPr="00C63055">
        <w:rPr>
          <w:rFonts w:asciiTheme="majorHAnsi" w:hAnsiTheme="majorHAnsi"/>
          <w:color w:val="auto"/>
          <w:sz w:val="20"/>
          <w:szCs w:val="20"/>
          <w:lang w:val="es-ES_tradnl"/>
        </w:rPr>
        <w:t xml:space="preserve"> incluyendo las relacionadas con la protección de la niñez,</w:t>
      </w:r>
      <w:r w:rsidRPr="00C63055">
        <w:rPr>
          <w:rFonts w:asciiTheme="majorHAnsi" w:hAnsiTheme="majorHAnsi"/>
          <w:color w:val="auto"/>
          <w:sz w:val="20"/>
          <w:szCs w:val="20"/>
          <w:lang w:val="es-ES_tradnl"/>
        </w:rPr>
        <w:t xml:space="preserve"> le es atribuible algún grado de responsabilidad al Estado chileno por </w:t>
      </w:r>
      <w:r w:rsidR="00072EE4" w:rsidRPr="00C63055">
        <w:rPr>
          <w:rFonts w:asciiTheme="majorHAnsi" w:hAnsiTheme="majorHAnsi"/>
          <w:color w:val="auto"/>
          <w:sz w:val="20"/>
          <w:szCs w:val="20"/>
          <w:lang w:val="es-ES_tradnl"/>
        </w:rPr>
        <w:t>los hechos denunciados;</w:t>
      </w:r>
      <w:r w:rsidRPr="00C63055">
        <w:rPr>
          <w:rFonts w:asciiTheme="majorHAnsi" w:hAnsiTheme="majorHAnsi"/>
          <w:color w:val="auto"/>
          <w:sz w:val="20"/>
          <w:szCs w:val="20"/>
          <w:lang w:val="es-ES_tradnl"/>
        </w:rPr>
        <w:t xml:space="preserve"> y por la alegada falta de una adecuada reparación al respecto. </w:t>
      </w:r>
    </w:p>
    <w:p w14:paraId="7C5D379A" w14:textId="6CAD8BEF" w:rsidR="001F2470" w:rsidRPr="00C63055" w:rsidRDefault="008F1974" w:rsidP="00072EE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C63055">
        <w:rPr>
          <w:rFonts w:asciiTheme="majorHAnsi" w:hAnsiTheme="majorHAnsi"/>
          <w:color w:val="auto"/>
          <w:sz w:val="20"/>
          <w:szCs w:val="20"/>
          <w:lang w:val="es-ES_tradnl"/>
        </w:rPr>
        <w:t>La</w:t>
      </w:r>
      <w:r w:rsidR="00072EE4" w:rsidRPr="00C63055">
        <w:rPr>
          <w:rFonts w:asciiTheme="majorHAnsi" w:hAnsiTheme="majorHAnsi"/>
          <w:color w:val="auto"/>
          <w:sz w:val="20"/>
          <w:szCs w:val="20"/>
          <w:lang w:val="es-ES_tradnl"/>
        </w:rPr>
        <w:t xml:space="preserve"> Comisión además recuerda que su</w:t>
      </w:r>
      <w:r w:rsidRPr="00C63055">
        <w:rPr>
          <w:rFonts w:asciiTheme="majorHAnsi" w:hAnsiTheme="majorHAnsi"/>
          <w:color w:val="auto"/>
          <w:sz w:val="20"/>
          <w:szCs w:val="20"/>
          <w:lang w:val="es-ES_tradnl"/>
        </w:rPr>
        <w:t xml:space="preserve"> función </w:t>
      </w:r>
      <w:r w:rsidR="00072EE4" w:rsidRPr="00C63055">
        <w:rPr>
          <w:rFonts w:asciiTheme="majorHAnsi" w:hAnsiTheme="majorHAnsi"/>
          <w:color w:val="auto"/>
          <w:sz w:val="20"/>
          <w:szCs w:val="20"/>
          <w:lang w:val="es-ES_tradnl"/>
        </w:rPr>
        <w:t xml:space="preserve">no </w:t>
      </w:r>
      <w:r w:rsidRPr="00C63055">
        <w:rPr>
          <w:rFonts w:asciiTheme="majorHAnsi" w:hAnsiTheme="majorHAnsi"/>
          <w:color w:val="auto"/>
          <w:sz w:val="20"/>
          <w:szCs w:val="20"/>
          <w:lang w:val="es-ES_tradnl"/>
        </w:rPr>
        <w:t xml:space="preserve">es sustituir las valoraciones jurídicas de los tribunales internos por la suya propia, sino analizar si las actuaciones </w:t>
      </w:r>
      <w:r w:rsidR="00EA76DE" w:rsidRPr="00C63055">
        <w:rPr>
          <w:rFonts w:asciiTheme="majorHAnsi" w:hAnsiTheme="majorHAnsi"/>
          <w:color w:val="auto"/>
          <w:sz w:val="20"/>
          <w:szCs w:val="20"/>
          <w:lang w:val="es-ES_tradnl"/>
        </w:rPr>
        <w:t xml:space="preserve">u omisiones del Estado vulneraron derechos contemplados en los instrumentos de su competencia en perjuicio de la presunta víctima y sus familiares. </w:t>
      </w:r>
      <w:r w:rsidRPr="00C63055">
        <w:rPr>
          <w:rFonts w:asciiTheme="majorHAnsi" w:hAnsiTheme="majorHAnsi"/>
          <w:color w:val="auto"/>
          <w:sz w:val="20"/>
          <w:szCs w:val="20"/>
          <w:lang w:val="es-ES_tradnl"/>
        </w:rPr>
        <w:t xml:space="preserve">  </w:t>
      </w:r>
    </w:p>
    <w:p w14:paraId="2440E73F" w14:textId="6A740660" w:rsidR="003A3939" w:rsidRPr="00940285" w:rsidRDefault="003A3939" w:rsidP="003A39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40285">
        <w:rPr>
          <w:rFonts w:asciiTheme="majorHAnsi" w:hAnsiTheme="majorHAnsi"/>
          <w:sz w:val="20"/>
          <w:szCs w:val="20"/>
          <w:lang w:val="es-ES_tradnl"/>
        </w:rPr>
        <w:t>En atención a estas consideraciones, y tras examinar los elementos de hecho y de derecho expuestos por las partes, la Comisión considera que la petición no resulta manifiestamente infundada y requiere un es</w:t>
      </w:r>
      <w:r w:rsidRPr="00C63055">
        <w:rPr>
          <w:rFonts w:asciiTheme="majorHAnsi" w:hAnsiTheme="majorHAnsi"/>
          <w:sz w:val="20"/>
          <w:szCs w:val="20"/>
          <w:lang w:val="es-ES_tradnl"/>
        </w:rPr>
        <w:t>tudio de fondo pues los hechos alegados, de corroborarse como ciertos podrían c</w:t>
      </w:r>
      <w:r w:rsidR="00AD1574" w:rsidRPr="00C63055">
        <w:rPr>
          <w:rFonts w:asciiTheme="majorHAnsi" w:hAnsiTheme="majorHAnsi"/>
          <w:sz w:val="20"/>
          <w:szCs w:val="20"/>
          <w:lang w:val="es-ES_tradnl"/>
        </w:rPr>
        <w:t>onstituir</w:t>
      </w:r>
      <w:r w:rsidRPr="00C63055">
        <w:rPr>
          <w:rFonts w:asciiTheme="majorHAnsi" w:hAnsiTheme="majorHAnsi"/>
          <w:sz w:val="20"/>
          <w:szCs w:val="20"/>
          <w:lang w:val="es-ES_tradnl"/>
        </w:rPr>
        <w:t xml:space="preserve"> violaciones </w:t>
      </w:r>
      <w:r w:rsidR="00AD1574" w:rsidRPr="00C63055">
        <w:rPr>
          <w:rFonts w:asciiTheme="majorHAnsi" w:hAnsiTheme="majorHAnsi"/>
          <w:sz w:val="20"/>
          <w:szCs w:val="20"/>
          <w:lang w:val="es-ES_tradnl"/>
        </w:rPr>
        <w:t>de</w:t>
      </w:r>
      <w:r w:rsidRPr="00C63055">
        <w:rPr>
          <w:rFonts w:asciiTheme="majorHAnsi" w:hAnsiTheme="majorHAnsi"/>
          <w:sz w:val="20"/>
          <w:szCs w:val="20"/>
          <w:lang w:val="es-ES_tradnl"/>
        </w:rPr>
        <w:t xml:space="preserve"> los </w:t>
      </w:r>
      <w:r w:rsidR="00AD1574" w:rsidRPr="00C63055">
        <w:rPr>
          <w:rFonts w:asciiTheme="majorHAnsi" w:hAnsiTheme="majorHAnsi"/>
          <w:sz w:val="20"/>
          <w:szCs w:val="20"/>
          <w:lang w:val="es-ES_tradnl"/>
        </w:rPr>
        <w:t xml:space="preserve">derechos reconocidos en los </w:t>
      </w:r>
      <w:r w:rsidRPr="00C63055">
        <w:rPr>
          <w:rFonts w:asciiTheme="majorHAnsi" w:hAnsiTheme="majorHAnsi"/>
          <w:sz w:val="20"/>
          <w:szCs w:val="20"/>
          <w:lang w:val="es-ES_tradnl"/>
        </w:rPr>
        <w:t xml:space="preserve">artículos </w:t>
      </w:r>
      <w:r w:rsidR="00491AF5" w:rsidRPr="00C63055">
        <w:rPr>
          <w:rFonts w:asciiTheme="majorHAnsi" w:hAnsiTheme="majorHAnsi"/>
          <w:sz w:val="20"/>
          <w:szCs w:val="20"/>
          <w:lang w:val="es-ES_tradnl"/>
        </w:rPr>
        <w:t>5 (integridad personal), 8 (garantías judiciales)</w:t>
      </w:r>
      <w:r w:rsidR="00072EE4" w:rsidRPr="00C63055">
        <w:rPr>
          <w:rFonts w:asciiTheme="majorHAnsi" w:hAnsiTheme="majorHAnsi"/>
          <w:sz w:val="20"/>
          <w:szCs w:val="20"/>
          <w:lang w:val="es-ES_tradnl"/>
        </w:rPr>
        <w:t>, 19 (derechos del niño)</w:t>
      </w:r>
      <w:r w:rsidR="00491AF5" w:rsidRPr="00C63055">
        <w:rPr>
          <w:rFonts w:asciiTheme="majorHAnsi" w:hAnsiTheme="majorHAnsi"/>
          <w:sz w:val="20"/>
          <w:szCs w:val="20"/>
          <w:lang w:val="es-ES_tradnl"/>
        </w:rPr>
        <w:t xml:space="preserve"> </w:t>
      </w:r>
      <w:r w:rsidRPr="00C63055">
        <w:rPr>
          <w:rFonts w:asciiTheme="majorHAnsi" w:hAnsiTheme="majorHAnsi"/>
          <w:sz w:val="20"/>
          <w:szCs w:val="20"/>
          <w:lang w:val="es-ES_tradnl"/>
        </w:rPr>
        <w:t>y 25 (protección judicial) de la Convención Americana</w:t>
      </w:r>
      <w:r w:rsidR="008F1974" w:rsidRPr="00C63055">
        <w:rPr>
          <w:rFonts w:asciiTheme="majorHAnsi" w:hAnsiTheme="majorHAnsi"/>
          <w:sz w:val="20"/>
          <w:szCs w:val="20"/>
          <w:lang w:val="es-ES_tradnl"/>
        </w:rPr>
        <w:t>,</w:t>
      </w:r>
      <w:r w:rsidRPr="00C63055">
        <w:rPr>
          <w:rFonts w:asciiTheme="majorHAnsi" w:hAnsiTheme="majorHAnsi"/>
          <w:sz w:val="20"/>
          <w:szCs w:val="20"/>
          <w:lang w:val="es-ES_tradnl"/>
        </w:rPr>
        <w:t xml:space="preserve"> en </w:t>
      </w:r>
      <w:r w:rsidR="0037484E" w:rsidRPr="00C63055">
        <w:rPr>
          <w:rFonts w:asciiTheme="majorHAnsi" w:hAnsiTheme="majorHAnsi"/>
          <w:sz w:val="20"/>
          <w:szCs w:val="20"/>
          <w:lang w:val="es-ES_tradnl"/>
        </w:rPr>
        <w:t>relación con su artículo</w:t>
      </w:r>
      <w:r w:rsidRPr="00C63055">
        <w:rPr>
          <w:rFonts w:asciiTheme="majorHAnsi" w:hAnsiTheme="majorHAnsi"/>
          <w:sz w:val="20"/>
          <w:szCs w:val="20"/>
          <w:lang w:val="es-ES_tradnl"/>
        </w:rPr>
        <w:t xml:space="preserve"> 1.1 (oblig</w:t>
      </w:r>
      <w:r w:rsidR="004A0FD8" w:rsidRPr="00C63055">
        <w:rPr>
          <w:rFonts w:asciiTheme="majorHAnsi" w:hAnsiTheme="majorHAnsi"/>
          <w:sz w:val="20"/>
          <w:szCs w:val="20"/>
          <w:lang w:val="es-ES_tradnl"/>
        </w:rPr>
        <w:t xml:space="preserve">ación de respetar los </w:t>
      </w:r>
      <w:r w:rsidR="004A0FD8" w:rsidRPr="00940285">
        <w:rPr>
          <w:rFonts w:asciiTheme="majorHAnsi" w:hAnsiTheme="majorHAnsi"/>
          <w:sz w:val="20"/>
          <w:szCs w:val="20"/>
          <w:lang w:val="es-ES_tradnl"/>
        </w:rPr>
        <w:t>derechos)</w:t>
      </w:r>
      <w:r w:rsidR="008F1974" w:rsidRPr="00940285">
        <w:rPr>
          <w:rFonts w:asciiTheme="majorHAnsi" w:hAnsiTheme="majorHAnsi"/>
          <w:sz w:val="20"/>
          <w:szCs w:val="20"/>
          <w:lang w:val="es-ES_tradnl"/>
        </w:rPr>
        <w:t>, en perjuicio de Diego Fernando Muñoz Jara y de sus familiares, en los términos del presente informe</w:t>
      </w:r>
      <w:r w:rsidR="004A0FD8" w:rsidRPr="00940285">
        <w:rPr>
          <w:rFonts w:asciiTheme="majorHAnsi" w:hAnsiTheme="majorHAnsi"/>
          <w:sz w:val="20"/>
          <w:szCs w:val="20"/>
          <w:lang w:val="es-ES_tradnl"/>
        </w:rPr>
        <w:t>.</w:t>
      </w:r>
    </w:p>
    <w:p w14:paraId="29BB41F5" w14:textId="31E747AD" w:rsidR="003239B8" w:rsidRPr="00940285"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940285">
        <w:rPr>
          <w:rFonts w:asciiTheme="majorHAnsi" w:hAnsiTheme="majorHAnsi"/>
          <w:b/>
          <w:bCs/>
          <w:sz w:val="20"/>
          <w:szCs w:val="20"/>
          <w:lang w:val="es-ES_tradnl"/>
        </w:rPr>
        <w:t xml:space="preserve">VIII. </w:t>
      </w:r>
      <w:r w:rsidRPr="00940285">
        <w:rPr>
          <w:rFonts w:asciiTheme="majorHAnsi" w:hAnsiTheme="majorHAnsi"/>
          <w:b/>
          <w:bCs/>
          <w:sz w:val="20"/>
          <w:szCs w:val="20"/>
          <w:lang w:val="es-ES_tradnl"/>
        </w:rPr>
        <w:tab/>
        <w:t>DECISIÓN</w:t>
      </w:r>
    </w:p>
    <w:p w14:paraId="13433B7D" w14:textId="30526988" w:rsidR="00D70731" w:rsidRPr="00940285" w:rsidRDefault="003239B8" w:rsidP="003A393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40285">
        <w:rPr>
          <w:rFonts w:asciiTheme="majorHAnsi" w:hAnsiTheme="majorHAnsi"/>
          <w:sz w:val="20"/>
          <w:szCs w:val="20"/>
          <w:lang w:val="es-ES_tradnl"/>
        </w:rPr>
        <w:t xml:space="preserve">Declarar </w:t>
      </w:r>
      <w:r w:rsidR="003A3939" w:rsidRPr="00940285">
        <w:rPr>
          <w:rFonts w:asciiTheme="majorHAnsi" w:hAnsiTheme="majorHAnsi"/>
          <w:sz w:val="20"/>
          <w:szCs w:val="20"/>
          <w:lang w:val="es-ES_tradnl"/>
        </w:rPr>
        <w:t xml:space="preserve">admisible la presente petición en relación con los artículos </w:t>
      </w:r>
      <w:r w:rsidR="0037484E" w:rsidRPr="00940285">
        <w:rPr>
          <w:rFonts w:asciiTheme="majorHAnsi" w:hAnsiTheme="majorHAnsi"/>
          <w:sz w:val="20"/>
          <w:szCs w:val="20"/>
          <w:lang w:val="es-ES_tradnl"/>
        </w:rPr>
        <w:t xml:space="preserve">5, 8, </w:t>
      </w:r>
      <w:r w:rsidR="003A3939" w:rsidRPr="00940285">
        <w:rPr>
          <w:rFonts w:asciiTheme="majorHAnsi" w:hAnsiTheme="majorHAnsi"/>
          <w:sz w:val="20"/>
          <w:szCs w:val="20"/>
          <w:lang w:val="es-ES_tradnl"/>
        </w:rPr>
        <w:t xml:space="preserve">y 25 de la Convención Americana en </w:t>
      </w:r>
      <w:r w:rsidR="00EB20BE">
        <w:rPr>
          <w:rFonts w:asciiTheme="majorHAnsi" w:hAnsiTheme="majorHAnsi"/>
          <w:sz w:val="20"/>
          <w:szCs w:val="20"/>
          <w:lang w:val="es-ES_tradnl"/>
        </w:rPr>
        <w:t>concordancia</w:t>
      </w:r>
      <w:r w:rsidR="0037484E" w:rsidRPr="00940285">
        <w:rPr>
          <w:rFonts w:asciiTheme="majorHAnsi" w:hAnsiTheme="majorHAnsi"/>
          <w:sz w:val="20"/>
          <w:szCs w:val="20"/>
          <w:lang w:val="es-ES_tradnl"/>
        </w:rPr>
        <w:t xml:space="preserve"> con su artículo 1.1</w:t>
      </w:r>
      <w:r w:rsidR="00276BD2">
        <w:rPr>
          <w:rFonts w:asciiTheme="majorHAnsi" w:hAnsiTheme="majorHAnsi"/>
          <w:sz w:val="20"/>
          <w:szCs w:val="20"/>
          <w:lang w:val="es-ES_tradnl"/>
        </w:rPr>
        <w:t>, y;</w:t>
      </w:r>
    </w:p>
    <w:p w14:paraId="1C99F912" w14:textId="77777777" w:rsidR="003A3939" w:rsidRPr="00940285" w:rsidRDefault="003A3939" w:rsidP="003A393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40285">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3E5A2444" w14:textId="458BE863" w:rsidR="00D113B7" w:rsidRPr="00A37B82" w:rsidRDefault="00D113B7" w:rsidP="00D113B7">
      <w:pPr>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232E2B5B" w14:textId="77777777" w:rsidR="00D113B7" w:rsidRPr="00A37B82" w:rsidRDefault="00D113B7" w:rsidP="00EB20BE">
      <w:pPr>
        <w:suppressAutoHyphens/>
        <w:jc w:val="both"/>
        <w:rPr>
          <w:rFonts w:asciiTheme="majorHAnsi" w:hAnsiTheme="majorHAnsi" w:cs="Arial"/>
          <w:noProof/>
          <w:spacing w:val="-2"/>
          <w:sz w:val="20"/>
          <w:szCs w:val="20"/>
          <w:lang w:val="es-CL"/>
        </w:rPr>
      </w:pPr>
    </w:p>
    <w:sectPr w:rsidR="00D113B7" w:rsidRPr="00A37B82"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CB0C" w14:textId="77777777" w:rsidR="004955CD" w:rsidRDefault="004955CD">
      <w:r>
        <w:separator/>
      </w:r>
    </w:p>
  </w:endnote>
  <w:endnote w:type="continuationSeparator" w:id="0">
    <w:p w14:paraId="1BF6AAB6" w14:textId="77777777" w:rsidR="004955CD" w:rsidRDefault="0049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2214" w14:textId="77777777" w:rsidR="004955CD" w:rsidRPr="000F35ED" w:rsidRDefault="004955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4632C3" w14:textId="77777777" w:rsidR="004955CD" w:rsidRPr="000F35ED" w:rsidRDefault="004955CD" w:rsidP="000F35ED">
      <w:pPr>
        <w:rPr>
          <w:rFonts w:asciiTheme="majorHAnsi" w:hAnsiTheme="majorHAnsi"/>
          <w:sz w:val="16"/>
          <w:szCs w:val="16"/>
        </w:rPr>
      </w:pPr>
      <w:r w:rsidRPr="000F35ED">
        <w:rPr>
          <w:rFonts w:asciiTheme="majorHAnsi" w:hAnsiTheme="majorHAnsi"/>
          <w:sz w:val="16"/>
          <w:szCs w:val="16"/>
        </w:rPr>
        <w:separator/>
      </w:r>
    </w:p>
    <w:p w14:paraId="6A164717" w14:textId="77777777" w:rsidR="004955CD" w:rsidRPr="000F35ED" w:rsidRDefault="004955C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824264C" w14:textId="77777777" w:rsidR="004955CD" w:rsidRPr="000F35ED" w:rsidRDefault="004955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D2F7CE9" w14:textId="3FA48AE4" w:rsidR="00F87AA1" w:rsidRPr="00C63055" w:rsidRDefault="00F87AA1" w:rsidP="0067536A">
      <w:pPr>
        <w:pStyle w:val="FootnoteText"/>
        <w:ind w:firstLine="720"/>
        <w:rPr>
          <w:rFonts w:asciiTheme="majorHAnsi" w:hAnsiTheme="majorHAnsi"/>
          <w:color w:val="auto"/>
          <w:sz w:val="16"/>
          <w:szCs w:val="16"/>
          <w:lang w:val="es-PA"/>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PA"/>
        </w:rPr>
        <w:t xml:space="preserve"> La petición identifica específicamente como víctimas a: Juan Fernando Muñoz Muñoz (padre), Yolanda Jimena Jara Agurto (madre) y Rocío Javiera Muñoz Jara (hermana).</w:t>
      </w:r>
    </w:p>
  </w:footnote>
  <w:footnote w:id="3">
    <w:p w14:paraId="227DA10C" w14:textId="77777777" w:rsidR="00511EBB" w:rsidRPr="00C63055" w:rsidRDefault="00511EBB" w:rsidP="0067536A">
      <w:pPr>
        <w:pStyle w:val="FootnoteText"/>
        <w:ind w:firstLine="720"/>
        <w:jc w:val="both"/>
        <w:rPr>
          <w:rFonts w:asciiTheme="majorHAnsi" w:hAnsiTheme="majorHAnsi"/>
          <w:color w:val="auto"/>
          <w:sz w:val="16"/>
          <w:szCs w:val="16"/>
          <w:lang w:val="es-ES"/>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ES"/>
        </w:rPr>
        <w:t xml:space="preserve"> Conforme a lo dispuesto en el artículo 17.2.a del Reglamento de la Comisión, la Comisionada</w:t>
      </w:r>
      <w:r w:rsidRPr="00C63055">
        <w:rPr>
          <w:rFonts w:asciiTheme="majorHAnsi" w:hAnsiTheme="majorHAnsi"/>
          <w:color w:val="auto"/>
          <w:sz w:val="16"/>
          <w:szCs w:val="16"/>
          <w:lang w:val="es-AR"/>
        </w:rPr>
        <w:t xml:space="preserve"> </w:t>
      </w:r>
      <w:r w:rsidRPr="00C63055">
        <w:rPr>
          <w:rFonts w:asciiTheme="majorHAnsi" w:hAnsiTheme="majorHAnsi"/>
          <w:color w:val="auto"/>
          <w:sz w:val="16"/>
          <w:szCs w:val="16"/>
          <w:lang w:val="es-ES"/>
        </w:rPr>
        <w:t>Antonia Urrejola Noguera, de nacionalidad chilena, no participó en el debate ni en la decisión del presente asunto.</w:t>
      </w:r>
    </w:p>
  </w:footnote>
  <w:footnote w:id="4">
    <w:p w14:paraId="2CF14ED2" w14:textId="1D50D5B4" w:rsidR="00511EBB" w:rsidRPr="00C63055" w:rsidRDefault="00511EBB" w:rsidP="0067536A">
      <w:pPr>
        <w:pStyle w:val="FootnoteText"/>
        <w:ind w:firstLine="720"/>
        <w:jc w:val="both"/>
        <w:rPr>
          <w:rFonts w:asciiTheme="majorHAnsi" w:hAnsiTheme="majorHAnsi"/>
          <w:color w:val="auto"/>
          <w:sz w:val="16"/>
          <w:szCs w:val="16"/>
          <w:lang w:val="es-US"/>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PA"/>
        </w:rPr>
        <w:t xml:space="preserve"> En adelante “la Convención Americana”</w:t>
      </w:r>
      <w:r w:rsidR="00F272D0" w:rsidRPr="00C63055">
        <w:rPr>
          <w:rFonts w:asciiTheme="majorHAnsi" w:hAnsiTheme="majorHAnsi"/>
          <w:color w:val="auto"/>
          <w:sz w:val="16"/>
          <w:szCs w:val="16"/>
          <w:lang w:val="es-PA"/>
        </w:rPr>
        <w:t xml:space="preserve"> o “la Convención”</w:t>
      </w:r>
      <w:r w:rsidRPr="00C63055">
        <w:rPr>
          <w:rFonts w:asciiTheme="majorHAnsi" w:hAnsiTheme="majorHAnsi"/>
          <w:color w:val="auto"/>
          <w:sz w:val="16"/>
          <w:szCs w:val="16"/>
          <w:lang w:val="es-PA"/>
        </w:rPr>
        <w:t>.</w:t>
      </w:r>
    </w:p>
  </w:footnote>
  <w:footnote w:id="5">
    <w:p w14:paraId="08CD6656" w14:textId="77777777" w:rsidR="00511EBB" w:rsidRPr="00C63055" w:rsidRDefault="00511EBB" w:rsidP="0067536A">
      <w:pPr>
        <w:pStyle w:val="FootnoteText"/>
        <w:ind w:firstLine="720"/>
        <w:jc w:val="both"/>
        <w:rPr>
          <w:rFonts w:asciiTheme="majorHAnsi" w:hAnsiTheme="majorHAnsi"/>
          <w:color w:val="auto"/>
          <w:sz w:val="16"/>
          <w:szCs w:val="16"/>
          <w:lang w:val="es-ES"/>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ES"/>
        </w:rPr>
        <w:t xml:space="preserve"> Las observaciones de cada parte fueron debidamente trasladadas a la parte contraria.</w:t>
      </w:r>
    </w:p>
  </w:footnote>
  <w:footnote w:id="6">
    <w:p w14:paraId="243E30AA" w14:textId="1A8815C8" w:rsidR="00511EBB" w:rsidRPr="00C63055" w:rsidRDefault="00511EBB" w:rsidP="0067536A">
      <w:pPr>
        <w:pStyle w:val="FootnoteText"/>
        <w:ind w:firstLine="720"/>
        <w:rPr>
          <w:rFonts w:asciiTheme="majorHAnsi" w:hAnsiTheme="majorHAnsi"/>
          <w:color w:val="auto"/>
          <w:lang w:val="es-PA"/>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PA"/>
        </w:rPr>
        <w:t xml:space="preserve"> </w:t>
      </w:r>
      <w:r w:rsidR="00F272D0" w:rsidRPr="00C63055">
        <w:rPr>
          <w:rFonts w:asciiTheme="majorHAnsi" w:hAnsiTheme="majorHAnsi"/>
          <w:color w:val="auto"/>
          <w:sz w:val="16"/>
          <w:szCs w:val="16"/>
          <w:lang w:val="es-PA"/>
        </w:rPr>
        <w:t>E</w:t>
      </w:r>
      <w:r w:rsidRPr="00C63055">
        <w:rPr>
          <w:rFonts w:asciiTheme="majorHAnsi" w:hAnsiTheme="majorHAnsi"/>
          <w:color w:val="auto"/>
          <w:sz w:val="16"/>
          <w:szCs w:val="16"/>
          <w:lang w:val="es-PA"/>
        </w:rPr>
        <w:t>l 6 de septiembre de 2019</w:t>
      </w:r>
      <w:r w:rsidR="00F272D0" w:rsidRPr="00C63055">
        <w:rPr>
          <w:rFonts w:asciiTheme="majorHAnsi" w:hAnsiTheme="majorHAnsi"/>
          <w:color w:val="auto"/>
          <w:sz w:val="16"/>
          <w:szCs w:val="16"/>
          <w:lang w:val="es-PA"/>
        </w:rPr>
        <w:t xml:space="preserve"> la parte peticionari</w:t>
      </w:r>
      <w:r w:rsidR="007F372A" w:rsidRPr="00C63055">
        <w:rPr>
          <w:rFonts w:asciiTheme="majorHAnsi" w:hAnsiTheme="majorHAnsi"/>
          <w:color w:val="auto"/>
          <w:sz w:val="16"/>
          <w:szCs w:val="16"/>
          <w:lang w:val="es-PA"/>
        </w:rPr>
        <w:t>a</w:t>
      </w:r>
      <w:r w:rsidR="00F272D0" w:rsidRPr="00C63055">
        <w:rPr>
          <w:rFonts w:asciiTheme="majorHAnsi" w:hAnsiTheme="majorHAnsi"/>
          <w:color w:val="auto"/>
          <w:sz w:val="16"/>
          <w:szCs w:val="16"/>
          <w:lang w:val="es-PA"/>
        </w:rPr>
        <w:t xml:space="preserve"> se dirigió a la CIDH para reiterar su interés en el trámite de la petición</w:t>
      </w:r>
      <w:r w:rsidRPr="00C63055">
        <w:rPr>
          <w:rFonts w:asciiTheme="majorHAnsi" w:hAnsiTheme="majorHAnsi"/>
          <w:color w:val="auto"/>
          <w:sz w:val="16"/>
          <w:szCs w:val="16"/>
          <w:lang w:val="es-PA"/>
        </w:rPr>
        <w:t>.</w:t>
      </w:r>
    </w:p>
  </w:footnote>
  <w:footnote w:id="7">
    <w:p w14:paraId="7FD9A75D" w14:textId="77777777" w:rsidR="00901323" w:rsidRPr="00C63055" w:rsidRDefault="00901323" w:rsidP="00AD1574">
      <w:pPr>
        <w:pStyle w:val="FootnoteText"/>
        <w:spacing w:after="120"/>
        <w:jc w:val="both"/>
        <w:rPr>
          <w:rFonts w:ascii="Cambria" w:hAnsi="Cambria"/>
          <w:color w:val="auto"/>
          <w:sz w:val="16"/>
          <w:szCs w:val="16"/>
          <w:lang w:val="es-ES"/>
        </w:rPr>
      </w:pPr>
      <w:r w:rsidRPr="00C63055">
        <w:rPr>
          <w:rFonts w:ascii="Cambria" w:hAnsi="Cambria"/>
          <w:color w:val="auto"/>
          <w:sz w:val="16"/>
          <w:szCs w:val="16"/>
          <w:lang w:val="es-ES"/>
        </w:rPr>
        <w:tab/>
      </w:r>
      <w:r w:rsidRPr="00C63055">
        <w:rPr>
          <w:rStyle w:val="FootnoteReference"/>
          <w:rFonts w:ascii="Cambria" w:hAnsi="Cambria"/>
          <w:color w:val="auto"/>
          <w:sz w:val="16"/>
          <w:szCs w:val="16"/>
        </w:rPr>
        <w:footnoteRef/>
      </w:r>
      <w:r w:rsidRPr="00C63055">
        <w:rPr>
          <w:rFonts w:ascii="Cambria" w:hAnsi="Cambria"/>
          <w:color w:val="auto"/>
          <w:sz w:val="16"/>
          <w:szCs w:val="16"/>
          <w:lang w:val="es-ES"/>
        </w:rPr>
        <w:t xml:space="preserve"> CIDH, Informe No. 16/18, Petición 884-07. Admisibilidad. Victoria Piedad Palacios Tejada de Saavedra. Perú. 24 de febrero de 2018, párr. 12.</w:t>
      </w:r>
    </w:p>
  </w:footnote>
  <w:footnote w:id="8">
    <w:p w14:paraId="2F80EF76" w14:textId="77777777" w:rsidR="00511EBB" w:rsidRPr="00C63055" w:rsidRDefault="00511EBB" w:rsidP="00AD157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color w:val="auto"/>
          <w:sz w:val="16"/>
          <w:szCs w:val="16"/>
          <w:lang w:val="es-ES"/>
        </w:rPr>
      </w:pPr>
      <w:r w:rsidRPr="00C63055">
        <w:rPr>
          <w:rStyle w:val="FootnoteReference"/>
          <w:rFonts w:asciiTheme="majorHAnsi" w:hAnsiTheme="majorHAnsi"/>
          <w:color w:val="auto"/>
          <w:sz w:val="16"/>
          <w:szCs w:val="16"/>
        </w:rPr>
        <w:footnoteRef/>
      </w:r>
      <w:r w:rsidRPr="00C63055">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9">
    <w:p w14:paraId="4449A1D0" w14:textId="77D9A29B" w:rsidR="00D33CE1" w:rsidRPr="00C63055" w:rsidRDefault="00D33CE1" w:rsidP="00D33CE1">
      <w:pPr>
        <w:pStyle w:val="FootnoteText"/>
        <w:ind w:firstLine="720"/>
        <w:jc w:val="both"/>
        <w:rPr>
          <w:rFonts w:asciiTheme="majorHAnsi" w:hAnsiTheme="majorHAnsi"/>
          <w:color w:val="auto"/>
          <w:sz w:val="16"/>
          <w:szCs w:val="16"/>
          <w:lang w:val="es-PA"/>
        </w:rPr>
      </w:pPr>
      <w:r w:rsidRPr="00C63055">
        <w:rPr>
          <w:rStyle w:val="FootnoteReference"/>
          <w:color w:val="auto"/>
        </w:rPr>
        <w:footnoteRef/>
      </w:r>
      <w:r w:rsidRPr="00C63055">
        <w:rPr>
          <w:color w:val="auto"/>
          <w:lang w:val="es-PA"/>
        </w:rPr>
        <w:t xml:space="preserve"> </w:t>
      </w:r>
      <w:r w:rsidRPr="00C63055">
        <w:rPr>
          <w:rFonts w:asciiTheme="majorHAnsi" w:hAnsiTheme="majorHAnsi"/>
          <w:color w:val="auto"/>
          <w:sz w:val="16"/>
          <w:szCs w:val="16"/>
          <w:lang w:val="es-PA"/>
        </w:rPr>
        <w:t>Corte Europea de Derechos Humanos</w:t>
      </w:r>
      <w:r w:rsidR="00072EE4" w:rsidRPr="00C63055">
        <w:rPr>
          <w:rFonts w:asciiTheme="majorHAnsi" w:hAnsiTheme="majorHAnsi"/>
          <w:color w:val="auto"/>
          <w:sz w:val="16"/>
          <w:szCs w:val="16"/>
          <w:lang w:val="es-PA"/>
        </w:rPr>
        <w:t>. Kalender vs. Turquía. Sentencia de Sala sobre Fondo y Reparación Justa. 15 de diciembre de 2009, párr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4955C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4955C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109"/>
    <w:rsid w:val="00006E1F"/>
    <w:rsid w:val="000070D7"/>
    <w:rsid w:val="000112E0"/>
    <w:rsid w:val="00014313"/>
    <w:rsid w:val="000155F2"/>
    <w:rsid w:val="0001788C"/>
    <w:rsid w:val="00020A06"/>
    <w:rsid w:val="00024488"/>
    <w:rsid w:val="00027415"/>
    <w:rsid w:val="000337EF"/>
    <w:rsid w:val="00040C3A"/>
    <w:rsid w:val="000419AD"/>
    <w:rsid w:val="000433C9"/>
    <w:rsid w:val="00045A01"/>
    <w:rsid w:val="000524F9"/>
    <w:rsid w:val="000610B8"/>
    <w:rsid w:val="000673D0"/>
    <w:rsid w:val="000716C5"/>
    <w:rsid w:val="00072EE4"/>
    <w:rsid w:val="00075E23"/>
    <w:rsid w:val="000878E6"/>
    <w:rsid w:val="00091C07"/>
    <w:rsid w:val="0009344A"/>
    <w:rsid w:val="000A392E"/>
    <w:rsid w:val="000A4746"/>
    <w:rsid w:val="000A504F"/>
    <w:rsid w:val="000A52FC"/>
    <w:rsid w:val="000A575F"/>
    <w:rsid w:val="000B4AE9"/>
    <w:rsid w:val="000B6028"/>
    <w:rsid w:val="000D05CB"/>
    <w:rsid w:val="000D10DB"/>
    <w:rsid w:val="000D128C"/>
    <w:rsid w:val="000D1FE6"/>
    <w:rsid w:val="000D3651"/>
    <w:rsid w:val="000D5C38"/>
    <w:rsid w:val="000D715A"/>
    <w:rsid w:val="000E2985"/>
    <w:rsid w:val="000E35B6"/>
    <w:rsid w:val="000E5EB5"/>
    <w:rsid w:val="000F02EC"/>
    <w:rsid w:val="000F2B0F"/>
    <w:rsid w:val="000F35ED"/>
    <w:rsid w:val="00107131"/>
    <w:rsid w:val="0010736F"/>
    <w:rsid w:val="00113595"/>
    <w:rsid w:val="00113F73"/>
    <w:rsid w:val="00121CC2"/>
    <w:rsid w:val="00126642"/>
    <w:rsid w:val="00131425"/>
    <w:rsid w:val="0013183A"/>
    <w:rsid w:val="00133EE5"/>
    <w:rsid w:val="00136EC3"/>
    <w:rsid w:val="00163890"/>
    <w:rsid w:val="00167A34"/>
    <w:rsid w:val="00174378"/>
    <w:rsid w:val="00174681"/>
    <w:rsid w:val="00175057"/>
    <w:rsid w:val="001A22A2"/>
    <w:rsid w:val="001A7870"/>
    <w:rsid w:val="001B3A00"/>
    <w:rsid w:val="001C1B41"/>
    <w:rsid w:val="001C5A65"/>
    <w:rsid w:val="001D259A"/>
    <w:rsid w:val="001D3954"/>
    <w:rsid w:val="001D65EF"/>
    <w:rsid w:val="001E2632"/>
    <w:rsid w:val="001E2FDE"/>
    <w:rsid w:val="001E49E7"/>
    <w:rsid w:val="001F2470"/>
    <w:rsid w:val="001F25BA"/>
    <w:rsid w:val="001F7201"/>
    <w:rsid w:val="00200592"/>
    <w:rsid w:val="0021279D"/>
    <w:rsid w:val="00215A57"/>
    <w:rsid w:val="00216A1D"/>
    <w:rsid w:val="0022072D"/>
    <w:rsid w:val="00223A29"/>
    <w:rsid w:val="002250A3"/>
    <w:rsid w:val="00233517"/>
    <w:rsid w:val="00235217"/>
    <w:rsid w:val="0024546E"/>
    <w:rsid w:val="00246D1F"/>
    <w:rsid w:val="00247403"/>
    <w:rsid w:val="00247542"/>
    <w:rsid w:val="00251109"/>
    <w:rsid w:val="0025568F"/>
    <w:rsid w:val="00263F6F"/>
    <w:rsid w:val="00266530"/>
    <w:rsid w:val="00266B61"/>
    <w:rsid w:val="0026712A"/>
    <w:rsid w:val="002704DB"/>
    <w:rsid w:val="002712A4"/>
    <w:rsid w:val="00271629"/>
    <w:rsid w:val="00276BD2"/>
    <w:rsid w:val="002836F3"/>
    <w:rsid w:val="00284308"/>
    <w:rsid w:val="002A0AAE"/>
    <w:rsid w:val="002A5820"/>
    <w:rsid w:val="002A6627"/>
    <w:rsid w:val="002B0B90"/>
    <w:rsid w:val="002B6C04"/>
    <w:rsid w:val="002C3B2B"/>
    <w:rsid w:val="002C4F0D"/>
    <w:rsid w:val="002C6A45"/>
    <w:rsid w:val="002D1AB4"/>
    <w:rsid w:val="002D2B26"/>
    <w:rsid w:val="002D7EA2"/>
    <w:rsid w:val="002E187C"/>
    <w:rsid w:val="002E4781"/>
    <w:rsid w:val="002F0DE0"/>
    <w:rsid w:val="002F3179"/>
    <w:rsid w:val="00302733"/>
    <w:rsid w:val="0030535D"/>
    <w:rsid w:val="00314078"/>
    <w:rsid w:val="003142DE"/>
    <w:rsid w:val="0031535D"/>
    <w:rsid w:val="003239B8"/>
    <w:rsid w:val="0033169F"/>
    <w:rsid w:val="00344977"/>
    <w:rsid w:val="00345599"/>
    <w:rsid w:val="00345ED5"/>
    <w:rsid w:val="00346C95"/>
    <w:rsid w:val="00356185"/>
    <w:rsid w:val="00360380"/>
    <w:rsid w:val="00366053"/>
    <w:rsid w:val="0037484E"/>
    <w:rsid w:val="0037519E"/>
    <w:rsid w:val="00375317"/>
    <w:rsid w:val="00377E2B"/>
    <w:rsid w:val="0038223E"/>
    <w:rsid w:val="0038524B"/>
    <w:rsid w:val="00386CF0"/>
    <w:rsid w:val="00390590"/>
    <w:rsid w:val="003A3939"/>
    <w:rsid w:val="003A3E87"/>
    <w:rsid w:val="003A7A00"/>
    <w:rsid w:val="003B58A3"/>
    <w:rsid w:val="003B70FB"/>
    <w:rsid w:val="003C27DE"/>
    <w:rsid w:val="003C676B"/>
    <w:rsid w:val="003D3BC2"/>
    <w:rsid w:val="003E04BE"/>
    <w:rsid w:val="003E6CA1"/>
    <w:rsid w:val="00402393"/>
    <w:rsid w:val="004065A8"/>
    <w:rsid w:val="00406675"/>
    <w:rsid w:val="00411591"/>
    <w:rsid w:val="004165C2"/>
    <w:rsid w:val="00424192"/>
    <w:rsid w:val="0042475A"/>
    <w:rsid w:val="004273CC"/>
    <w:rsid w:val="00427495"/>
    <w:rsid w:val="00430BE6"/>
    <w:rsid w:val="004347D7"/>
    <w:rsid w:val="00440191"/>
    <w:rsid w:val="00441ECB"/>
    <w:rsid w:val="00445193"/>
    <w:rsid w:val="00452DAC"/>
    <w:rsid w:val="00454F0A"/>
    <w:rsid w:val="00456FBB"/>
    <w:rsid w:val="00462C1B"/>
    <w:rsid w:val="00467B7E"/>
    <w:rsid w:val="00473BB4"/>
    <w:rsid w:val="00477592"/>
    <w:rsid w:val="0048136A"/>
    <w:rsid w:val="0048440B"/>
    <w:rsid w:val="004844A7"/>
    <w:rsid w:val="00484848"/>
    <w:rsid w:val="00486F1C"/>
    <w:rsid w:val="00491AF5"/>
    <w:rsid w:val="0049356F"/>
    <w:rsid w:val="0049419D"/>
    <w:rsid w:val="00494CCE"/>
    <w:rsid w:val="004955CD"/>
    <w:rsid w:val="004A0FD8"/>
    <w:rsid w:val="004A4B9C"/>
    <w:rsid w:val="004A6A54"/>
    <w:rsid w:val="004C0E8D"/>
    <w:rsid w:val="004C1EDB"/>
    <w:rsid w:val="004C20D2"/>
    <w:rsid w:val="004C2312"/>
    <w:rsid w:val="004C4B62"/>
    <w:rsid w:val="004C54C9"/>
    <w:rsid w:val="004D12DE"/>
    <w:rsid w:val="004D4ABA"/>
    <w:rsid w:val="004D6025"/>
    <w:rsid w:val="004D70F9"/>
    <w:rsid w:val="004E2649"/>
    <w:rsid w:val="004F4AEC"/>
    <w:rsid w:val="004F626F"/>
    <w:rsid w:val="00501399"/>
    <w:rsid w:val="0050633D"/>
    <w:rsid w:val="00507BC4"/>
    <w:rsid w:val="00511602"/>
    <w:rsid w:val="00511EBB"/>
    <w:rsid w:val="00512398"/>
    <w:rsid w:val="005128E4"/>
    <w:rsid w:val="005133DB"/>
    <w:rsid w:val="00514504"/>
    <w:rsid w:val="00520E16"/>
    <w:rsid w:val="005224F5"/>
    <w:rsid w:val="005246D3"/>
    <w:rsid w:val="005253C4"/>
    <w:rsid w:val="00525560"/>
    <w:rsid w:val="00530A97"/>
    <w:rsid w:val="0053201A"/>
    <w:rsid w:val="00533A62"/>
    <w:rsid w:val="0053487B"/>
    <w:rsid w:val="00536AF8"/>
    <w:rsid w:val="00542D39"/>
    <w:rsid w:val="00544C49"/>
    <w:rsid w:val="00546D4B"/>
    <w:rsid w:val="005516A1"/>
    <w:rsid w:val="0055189F"/>
    <w:rsid w:val="005559EF"/>
    <w:rsid w:val="005609ED"/>
    <w:rsid w:val="00563557"/>
    <w:rsid w:val="0057402A"/>
    <w:rsid w:val="005749F1"/>
    <w:rsid w:val="005771D0"/>
    <w:rsid w:val="00585264"/>
    <w:rsid w:val="00585A16"/>
    <w:rsid w:val="0059191A"/>
    <w:rsid w:val="005921FF"/>
    <w:rsid w:val="005A24ED"/>
    <w:rsid w:val="005A6D0E"/>
    <w:rsid w:val="005B52B0"/>
    <w:rsid w:val="005B6806"/>
    <w:rsid w:val="005C4225"/>
    <w:rsid w:val="005D13C5"/>
    <w:rsid w:val="005D6FF2"/>
    <w:rsid w:val="005E3E07"/>
    <w:rsid w:val="005E5F78"/>
    <w:rsid w:val="005F0DAD"/>
    <w:rsid w:val="005F0F33"/>
    <w:rsid w:val="00600DEB"/>
    <w:rsid w:val="00601040"/>
    <w:rsid w:val="00605860"/>
    <w:rsid w:val="00611856"/>
    <w:rsid w:val="00623843"/>
    <w:rsid w:val="00625420"/>
    <w:rsid w:val="00627C9F"/>
    <w:rsid w:val="006311E9"/>
    <w:rsid w:val="00632354"/>
    <w:rsid w:val="00635421"/>
    <w:rsid w:val="00642810"/>
    <w:rsid w:val="006433B8"/>
    <w:rsid w:val="00643535"/>
    <w:rsid w:val="00652333"/>
    <w:rsid w:val="00666C5B"/>
    <w:rsid w:val="0067536A"/>
    <w:rsid w:val="00675B2C"/>
    <w:rsid w:val="0068009E"/>
    <w:rsid w:val="00682C7F"/>
    <w:rsid w:val="006856C8"/>
    <w:rsid w:val="00691772"/>
    <w:rsid w:val="00691776"/>
    <w:rsid w:val="00692219"/>
    <w:rsid w:val="00692FA0"/>
    <w:rsid w:val="0069536F"/>
    <w:rsid w:val="006A17D2"/>
    <w:rsid w:val="006A53B4"/>
    <w:rsid w:val="006A73E6"/>
    <w:rsid w:val="006B2D5C"/>
    <w:rsid w:val="006B79EA"/>
    <w:rsid w:val="006C3525"/>
    <w:rsid w:val="006C4EB1"/>
    <w:rsid w:val="006D14F3"/>
    <w:rsid w:val="006D46DB"/>
    <w:rsid w:val="006E0166"/>
    <w:rsid w:val="006E2FFB"/>
    <w:rsid w:val="006E3931"/>
    <w:rsid w:val="006E7B34"/>
    <w:rsid w:val="006E7DFE"/>
    <w:rsid w:val="006F3A59"/>
    <w:rsid w:val="006F6D8B"/>
    <w:rsid w:val="006F72FA"/>
    <w:rsid w:val="0070697F"/>
    <w:rsid w:val="0072199C"/>
    <w:rsid w:val="00722C9F"/>
    <w:rsid w:val="007253B8"/>
    <w:rsid w:val="0073741F"/>
    <w:rsid w:val="00741DEE"/>
    <w:rsid w:val="00743AFE"/>
    <w:rsid w:val="00754260"/>
    <w:rsid w:val="0076643F"/>
    <w:rsid w:val="007701BF"/>
    <w:rsid w:val="00777F63"/>
    <w:rsid w:val="007802E5"/>
    <w:rsid w:val="00782D8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1D45"/>
    <w:rsid w:val="007E21BC"/>
    <w:rsid w:val="007E75F4"/>
    <w:rsid w:val="007E7C82"/>
    <w:rsid w:val="007F2AA1"/>
    <w:rsid w:val="007F372A"/>
    <w:rsid w:val="007F3777"/>
    <w:rsid w:val="007F588D"/>
    <w:rsid w:val="007F58A4"/>
    <w:rsid w:val="00803423"/>
    <w:rsid w:val="00803A03"/>
    <w:rsid w:val="00803AE2"/>
    <w:rsid w:val="00803C12"/>
    <w:rsid w:val="00803DC6"/>
    <w:rsid w:val="00803F1C"/>
    <w:rsid w:val="0080600E"/>
    <w:rsid w:val="00811520"/>
    <w:rsid w:val="00814024"/>
    <w:rsid w:val="00814688"/>
    <w:rsid w:val="0081486B"/>
    <w:rsid w:val="00817612"/>
    <w:rsid w:val="00831D07"/>
    <w:rsid w:val="008338A4"/>
    <w:rsid w:val="00834D49"/>
    <w:rsid w:val="00837C45"/>
    <w:rsid w:val="00840B5C"/>
    <w:rsid w:val="00844730"/>
    <w:rsid w:val="008457C2"/>
    <w:rsid w:val="00857A82"/>
    <w:rsid w:val="00866A35"/>
    <w:rsid w:val="00870856"/>
    <w:rsid w:val="00873836"/>
    <w:rsid w:val="00874540"/>
    <w:rsid w:val="00874720"/>
    <w:rsid w:val="00883F95"/>
    <w:rsid w:val="00885737"/>
    <w:rsid w:val="00885993"/>
    <w:rsid w:val="00890650"/>
    <w:rsid w:val="00896D7E"/>
    <w:rsid w:val="008970FF"/>
    <w:rsid w:val="008979A6"/>
    <w:rsid w:val="00897E12"/>
    <w:rsid w:val="008A0AB8"/>
    <w:rsid w:val="008A0CEB"/>
    <w:rsid w:val="008A1DFA"/>
    <w:rsid w:val="008A7E0F"/>
    <w:rsid w:val="008B12F5"/>
    <w:rsid w:val="008C423D"/>
    <w:rsid w:val="008C5E2D"/>
    <w:rsid w:val="008D114A"/>
    <w:rsid w:val="008D61BA"/>
    <w:rsid w:val="008D768D"/>
    <w:rsid w:val="008E1315"/>
    <w:rsid w:val="008E3759"/>
    <w:rsid w:val="008E3BFE"/>
    <w:rsid w:val="008E4F1C"/>
    <w:rsid w:val="008E580E"/>
    <w:rsid w:val="008E6564"/>
    <w:rsid w:val="008F1912"/>
    <w:rsid w:val="008F1971"/>
    <w:rsid w:val="008F1974"/>
    <w:rsid w:val="008F6D29"/>
    <w:rsid w:val="00901323"/>
    <w:rsid w:val="0090270B"/>
    <w:rsid w:val="00904013"/>
    <w:rsid w:val="009041DC"/>
    <w:rsid w:val="00904827"/>
    <w:rsid w:val="00904C8E"/>
    <w:rsid w:val="00912BF9"/>
    <w:rsid w:val="0091491E"/>
    <w:rsid w:val="00917B5A"/>
    <w:rsid w:val="00920A58"/>
    <w:rsid w:val="00920A8C"/>
    <w:rsid w:val="00922E6C"/>
    <w:rsid w:val="00934A2C"/>
    <w:rsid w:val="00935362"/>
    <w:rsid w:val="00940285"/>
    <w:rsid w:val="0094529B"/>
    <w:rsid w:val="009462C8"/>
    <w:rsid w:val="00960B12"/>
    <w:rsid w:val="009666E2"/>
    <w:rsid w:val="0096697B"/>
    <w:rsid w:val="0096706E"/>
    <w:rsid w:val="009725F4"/>
    <w:rsid w:val="00973FAC"/>
    <w:rsid w:val="00974491"/>
    <w:rsid w:val="00975B18"/>
    <w:rsid w:val="00975C4E"/>
    <w:rsid w:val="00976FB8"/>
    <w:rsid w:val="00981386"/>
    <w:rsid w:val="00981FBA"/>
    <w:rsid w:val="00982AA3"/>
    <w:rsid w:val="00986BB4"/>
    <w:rsid w:val="00987411"/>
    <w:rsid w:val="00990498"/>
    <w:rsid w:val="009905B2"/>
    <w:rsid w:val="00997149"/>
    <w:rsid w:val="00997BC5"/>
    <w:rsid w:val="009A4F41"/>
    <w:rsid w:val="009A5FF0"/>
    <w:rsid w:val="009B381B"/>
    <w:rsid w:val="009C527B"/>
    <w:rsid w:val="009C6CB7"/>
    <w:rsid w:val="009D1750"/>
    <w:rsid w:val="009D1753"/>
    <w:rsid w:val="009D737D"/>
    <w:rsid w:val="009D7611"/>
    <w:rsid w:val="009E0B61"/>
    <w:rsid w:val="009E41D6"/>
    <w:rsid w:val="009E4A4D"/>
    <w:rsid w:val="009E4EC3"/>
    <w:rsid w:val="009E53DE"/>
    <w:rsid w:val="009F314C"/>
    <w:rsid w:val="009F7778"/>
    <w:rsid w:val="00A11212"/>
    <w:rsid w:val="00A11E44"/>
    <w:rsid w:val="00A13081"/>
    <w:rsid w:val="00A20002"/>
    <w:rsid w:val="00A30100"/>
    <w:rsid w:val="00A322E4"/>
    <w:rsid w:val="00A328B3"/>
    <w:rsid w:val="00A3454F"/>
    <w:rsid w:val="00A50FCF"/>
    <w:rsid w:val="00A528D1"/>
    <w:rsid w:val="00A60826"/>
    <w:rsid w:val="00A610CD"/>
    <w:rsid w:val="00A65011"/>
    <w:rsid w:val="00A758AA"/>
    <w:rsid w:val="00A77712"/>
    <w:rsid w:val="00A800A2"/>
    <w:rsid w:val="00A850E6"/>
    <w:rsid w:val="00A861CD"/>
    <w:rsid w:val="00A865AF"/>
    <w:rsid w:val="00A93C5B"/>
    <w:rsid w:val="00AA09A2"/>
    <w:rsid w:val="00AA47F9"/>
    <w:rsid w:val="00AA7996"/>
    <w:rsid w:val="00AB2DCE"/>
    <w:rsid w:val="00AC19CB"/>
    <w:rsid w:val="00AC244D"/>
    <w:rsid w:val="00AC75CA"/>
    <w:rsid w:val="00AD1574"/>
    <w:rsid w:val="00AD489F"/>
    <w:rsid w:val="00AE0953"/>
    <w:rsid w:val="00AE5488"/>
    <w:rsid w:val="00AE6489"/>
    <w:rsid w:val="00AE6F91"/>
    <w:rsid w:val="00AF5571"/>
    <w:rsid w:val="00AF5D74"/>
    <w:rsid w:val="00B00B8E"/>
    <w:rsid w:val="00B07341"/>
    <w:rsid w:val="00B261A9"/>
    <w:rsid w:val="00B2649E"/>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6C46"/>
    <w:rsid w:val="00B60E1F"/>
    <w:rsid w:val="00B634F5"/>
    <w:rsid w:val="00B6353D"/>
    <w:rsid w:val="00B650D3"/>
    <w:rsid w:val="00B72A9A"/>
    <w:rsid w:val="00B767C7"/>
    <w:rsid w:val="00B81E29"/>
    <w:rsid w:val="00B83336"/>
    <w:rsid w:val="00B86627"/>
    <w:rsid w:val="00B97E7C"/>
    <w:rsid w:val="00BA0CBA"/>
    <w:rsid w:val="00BA276C"/>
    <w:rsid w:val="00BA5484"/>
    <w:rsid w:val="00BB265C"/>
    <w:rsid w:val="00BB306F"/>
    <w:rsid w:val="00BB4786"/>
    <w:rsid w:val="00BB79D4"/>
    <w:rsid w:val="00BC0802"/>
    <w:rsid w:val="00BD4B89"/>
    <w:rsid w:val="00BD5922"/>
    <w:rsid w:val="00BD5FD2"/>
    <w:rsid w:val="00BE646F"/>
    <w:rsid w:val="00BE7972"/>
    <w:rsid w:val="00BF02CB"/>
    <w:rsid w:val="00BF1898"/>
    <w:rsid w:val="00BF6FD8"/>
    <w:rsid w:val="00C03680"/>
    <w:rsid w:val="00C054DF"/>
    <w:rsid w:val="00C14BD4"/>
    <w:rsid w:val="00C21762"/>
    <w:rsid w:val="00C21FEF"/>
    <w:rsid w:val="00C23BA4"/>
    <w:rsid w:val="00C24543"/>
    <w:rsid w:val="00C25153"/>
    <w:rsid w:val="00C256A2"/>
    <w:rsid w:val="00C25ADB"/>
    <w:rsid w:val="00C2623F"/>
    <w:rsid w:val="00C36917"/>
    <w:rsid w:val="00C46D46"/>
    <w:rsid w:val="00C51515"/>
    <w:rsid w:val="00C53390"/>
    <w:rsid w:val="00C549EF"/>
    <w:rsid w:val="00C5660B"/>
    <w:rsid w:val="00C60A30"/>
    <w:rsid w:val="00C6279E"/>
    <w:rsid w:val="00C63055"/>
    <w:rsid w:val="00C66B72"/>
    <w:rsid w:val="00C70198"/>
    <w:rsid w:val="00C72A01"/>
    <w:rsid w:val="00C7464E"/>
    <w:rsid w:val="00C74737"/>
    <w:rsid w:val="00C8540B"/>
    <w:rsid w:val="00C87AC4"/>
    <w:rsid w:val="00C9491D"/>
    <w:rsid w:val="00C9567A"/>
    <w:rsid w:val="00CA499E"/>
    <w:rsid w:val="00CB212D"/>
    <w:rsid w:val="00CB2660"/>
    <w:rsid w:val="00CC5E90"/>
    <w:rsid w:val="00CD046C"/>
    <w:rsid w:val="00CD3CC9"/>
    <w:rsid w:val="00CE076C"/>
    <w:rsid w:val="00CE2834"/>
    <w:rsid w:val="00CE5199"/>
    <w:rsid w:val="00CE5D0E"/>
    <w:rsid w:val="00CE6152"/>
    <w:rsid w:val="00CE66D5"/>
    <w:rsid w:val="00CE73C2"/>
    <w:rsid w:val="00CF41C4"/>
    <w:rsid w:val="00CF61DC"/>
    <w:rsid w:val="00CF637A"/>
    <w:rsid w:val="00D059DE"/>
    <w:rsid w:val="00D05ABD"/>
    <w:rsid w:val="00D06F66"/>
    <w:rsid w:val="00D074A4"/>
    <w:rsid w:val="00D113B7"/>
    <w:rsid w:val="00D120F6"/>
    <w:rsid w:val="00D126F3"/>
    <w:rsid w:val="00D13FCE"/>
    <w:rsid w:val="00D1541A"/>
    <w:rsid w:val="00D2102D"/>
    <w:rsid w:val="00D25849"/>
    <w:rsid w:val="00D306D1"/>
    <w:rsid w:val="00D30800"/>
    <w:rsid w:val="00D32F71"/>
    <w:rsid w:val="00D33CE1"/>
    <w:rsid w:val="00D34786"/>
    <w:rsid w:val="00D37BFC"/>
    <w:rsid w:val="00D40161"/>
    <w:rsid w:val="00D426B1"/>
    <w:rsid w:val="00D47A8E"/>
    <w:rsid w:val="00D52D14"/>
    <w:rsid w:val="00D535A0"/>
    <w:rsid w:val="00D70731"/>
    <w:rsid w:val="00D712D3"/>
    <w:rsid w:val="00D71422"/>
    <w:rsid w:val="00D72DC6"/>
    <w:rsid w:val="00D7558D"/>
    <w:rsid w:val="00D81D92"/>
    <w:rsid w:val="00D848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D56D6"/>
    <w:rsid w:val="00DD7C73"/>
    <w:rsid w:val="00DE0342"/>
    <w:rsid w:val="00DF16D8"/>
    <w:rsid w:val="00DF1EC4"/>
    <w:rsid w:val="00DF3C24"/>
    <w:rsid w:val="00E0340B"/>
    <w:rsid w:val="00E04A90"/>
    <w:rsid w:val="00E0551F"/>
    <w:rsid w:val="00E219C7"/>
    <w:rsid w:val="00E4118C"/>
    <w:rsid w:val="00E4309F"/>
    <w:rsid w:val="00E43157"/>
    <w:rsid w:val="00E449A2"/>
    <w:rsid w:val="00E461CE"/>
    <w:rsid w:val="00E56F4F"/>
    <w:rsid w:val="00E573E4"/>
    <w:rsid w:val="00E614FE"/>
    <w:rsid w:val="00E638D2"/>
    <w:rsid w:val="00E644B2"/>
    <w:rsid w:val="00E67981"/>
    <w:rsid w:val="00E71C69"/>
    <w:rsid w:val="00E720CA"/>
    <w:rsid w:val="00E84EB5"/>
    <w:rsid w:val="00E85662"/>
    <w:rsid w:val="00E8789F"/>
    <w:rsid w:val="00E94EA0"/>
    <w:rsid w:val="00E97B71"/>
    <w:rsid w:val="00EA3D34"/>
    <w:rsid w:val="00EA4756"/>
    <w:rsid w:val="00EA76DE"/>
    <w:rsid w:val="00EB20BE"/>
    <w:rsid w:val="00EB2FE4"/>
    <w:rsid w:val="00EB39D6"/>
    <w:rsid w:val="00EB454D"/>
    <w:rsid w:val="00EC48FB"/>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272D0"/>
    <w:rsid w:val="00F308F1"/>
    <w:rsid w:val="00F3260F"/>
    <w:rsid w:val="00F37106"/>
    <w:rsid w:val="00F43D1D"/>
    <w:rsid w:val="00F44E02"/>
    <w:rsid w:val="00F44E25"/>
    <w:rsid w:val="00F519CF"/>
    <w:rsid w:val="00F56BA5"/>
    <w:rsid w:val="00F57827"/>
    <w:rsid w:val="00F60E22"/>
    <w:rsid w:val="00F65FC7"/>
    <w:rsid w:val="00F76E84"/>
    <w:rsid w:val="00F81395"/>
    <w:rsid w:val="00F81BB8"/>
    <w:rsid w:val="00F87019"/>
    <w:rsid w:val="00F87AA1"/>
    <w:rsid w:val="00F90C64"/>
    <w:rsid w:val="00F917D1"/>
    <w:rsid w:val="00F94965"/>
    <w:rsid w:val="00F9653B"/>
    <w:rsid w:val="00FA0C29"/>
    <w:rsid w:val="00FB62CF"/>
    <w:rsid w:val="00FC0324"/>
    <w:rsid w:val="00FC03B8"/>
    <w:rsid w:val="00FC2DC4"/>
    <w:rsid w:val="00FD3C3B"/>
    <w:rsid w:val="00FD3F01"/>
    <w:rsid w:val="00FD4A52"/>
    <w:rsid w:val="00FD5A9B"/>
    <w:rsid w:val="00FE07DD"/>
    <w:rsid w:val="00FE1F28"/>
    <w:rsid w:val="00FE6B45"/>
    <w:rsid w:val="00FE7E03"/>
    <w:rsid w:val="00FF0E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151E1F"/>
    <w:rsid w:val="001F7FF3"/>
    <w:rsid w:val="00200821"/>
    <w:rsid w:val="0025245B"/>
    <w:rsid w:val="002C52A7"/>
    <w:rsid w:val="00374D45"/>
    <w:rsid w:val="00394049"/>
    <w:rsid w:val="003B0699"/>
    <w:rsid w:val="003B217A"/>
    <w:rsid w:val="004679A0"/>
    <w:rsid w:val="004B5BBB"/>
    <w:rsid w:val="004F2DF8"/>
    <w:rsid w:val="00532D8C"/>
    <w:rsid w:val="00555DD5"/>
    <w:rsid w:val="005909CC"/>
    <w:rsid w:val="00666399"/>
    <w:rsid w:val="0069641B"/>
    <w:rsid w:val="006F24A1"/>
    <w:rsid w:val="007B051A"/>
    <w:rsid w:val="00833FB5"/>
    <w:rsid w:val="00857B5B"/>
    <w:rsid w:val="0087361D"/>
    <w:rsid w:val="009A261B"/>
    <w:rsid w:val="00AA2E17"/>
    <w:rsid w:val="00AC15A4"/>
    <w:rsid w:val="00B0336C"/>
    <w:rsid w:val="00B17E31"/>
    <w:rsid w:val="00BB0B14"/>
    <w:rsid w:val="00BE185B"/>
    <w:rsid w:val="00C35B5F"/>
    <w:rsid w:val="00D241E9"/>
    <w:rsid w:val="00D7750D"/>
    <w:rsid w:val="00DB6954"/>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E57E-6472-41EE-80B4-BC60F87C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342/21</dc:title>
  <dc:creator/>
  <cp:lastModifiedBy/>
  <cp:revision>1</cp:revision>
  <dcterms:created xsi:type="dcterms:W3CDTF">2022-02-15T16:11:00Z</dcterms:created>
  <dcterms:modified xsi:type="dcterms:W3CDTF">2022-02-15T16:12:00Z</dcterms:modified>
</cp:coreProperties>
</file>