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7F53E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94282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7F53E7">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7F53E7">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7F53E7">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7F53E7">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7F53E7">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191B66BF"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332A8">
                              <w:rPr>
                                <w:rFonts w:asciiTheme="majorHAnsi" w:hAnsiTheme="majorHAnsi" w:cs="Arial"/>
                                <w:b/>
                                <w:bCs/>
                                <w:color w:val="0D0D0D" w:themeColor="text1" w:themeTint="F2"/>
                                <w:sz w:val="36"/>
                                <w:szCs w:val="22"/>
                                <w:lang w:val="es-ES_tradnl"/>
                              </w:rPr>
                              <w:t>124</w:t>
                            </w:r>
                            <w:r>
                              <w:rPr>
                                <w:rFonts w:asciiTheme="majorHAnsi" w:hAnsiTheme="majorHAnsi" w:cs="Arial"/>
                                <w:b/>
                                <w:bCs/>
                                <w:color w:val="0D0D0D" w:themeColor="text1" w:themeTint="F2"/>
                                <w:sz w:val="36"/>
                                <w:szCs w:val="22"/>
                                <w:lang w:val="es-ES_tradnl"/>
                              </w:rPr>
                              <w:t>/2</w:t>
                            </w:r>
                            <w:r w:rsidR="00FD2B53">
                              <w:rPr>
                                <w:rFonts w:asciiTheme="majorHAnsi" w:hAnsiTheme="majorHAnsi" w:cs="Arial"/>
                                <w:b/>
                                <w:bCs/>
                                <w:color w:val="0D0D0D" w:themeColor="text1" w:themeTint="F2"/>
                                <w:sz w:val="36"/>
                                <w:szCs w:val="22"/>
                                <w:lang w:val="es-ES_tradnl"/>
                              </w:rPr>
                              <w:t>1</w:t>
                            </w:r>
                          </w:p>
                          <w:p w14:paraId="5626D0A4" w14:textId="7CDBCBB5"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341-09</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5E187A5C" w:rsidR="006B65B6" w:rsidRPr="00EF4A26"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MARÍA FERNANDA PEÑAFIEL SALGADO</w:t>
                            </w:r>
                            <w:r>
                              <w:rPr>
                                <w:rFonts w:ascii="Cambria" w:hAnsi="Cambria" w:cs="Arial"/>
                                <w:color w:val="0D0D0D"/>
                                <w:szCs w:val="22"/>
                                <w:lang w:val="es-PA"/>
                              </w:rPr>
                              <w:t xml:space="preserve"> Y OTROS</w:t>
                            </w:r>
                          </w:p>
                          <w:bookmarkEnd w:id="0"/>
                          <w:p w14:paraId="47ED2F30" w14:textId="55CA3FCE"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191B66BF"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332A8">
                        <w:rPr>
                          <w:rFonts w:asciiTheme="majorHAnsi" w:hAnsiTheme="majorHAnsi" w:cs="Arial"/>
                          <w:b/>
                          <w:bCs/>
                          <w:color w:val="0D0D0D" w:themeColor="text1" w:themeTint="F2"/>
                          <w:sz w:val="36"/>
                          <w:szCs w:val="22"/>
                          <w:lang w:val="es-ES_tradnl"/>
                        </w:rPr>
                        <w:t>124</w:t>
                      </w:r>
                      <w:r>
                        <w:rPr>
                          <w:rFonts w:asciiTheme="majorHAnsi" w:hAnsiTheme="majorHAnsi" w:cs="Arial"/>
                          <w:b/>
                          <w:bCs/>
                          <w:color w:val="0D0D0D" w:themeColor="text1" w:themeTint="F2"/>
                          <w:sz w:val="36"/>
                          <w:szCs w:val="22"/>
                          <w:lang w:val="es-ES_tradnl"/>
                        </w:rPr>
                        <w:t>/2</w:t>
                      </w:r>
                      <w:r w:rsidR="00FD2B53">
                        <w:rPr>
                          <w:rFonts w:asciiTheme="majorHAnsi" w:hAnsiTheme="majorHAnsi" w:cs="Arial"/>
                          <w:b/>
                          <w:bCs/>
                          <w:color w:val="0D0D0D" w:themeColor="text1" w:themeTint="F2"/>
                          <w:sz w:val="36"/>
                          <w:szCs w:val="22"/>
                          <w:lang w:val="es-ES_tradnl"/>
                        </w:rPr>
                        <w:t>1</w:t>
                      </w:r>
                    </w:p>
                    <w:p w14:paraId="5626D0A4" w14:textId="7CDBCBB5"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341-09</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5E187A5C" w:rsidR="006B65B6" w:rsidRPr="00EF4A26"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MARÍA FERNANDA PEÑAFIEL SALGADO</w:t>
                      </w:r>
                      <w:r>
                        <w:rPr>
                          <w:rFonts w:ascii="Cambria" w:hAnsi="Cambria" w:cs="Arial"/>
                          <w:color w:val="0D0D0D"/>
                          <w:szCs w:val="22"/>
                          <w:lang w:val="es-PA"/>
                        </w:rPr>
                        <w:t xml:space="preserve"> Y OTROS</w:t>
                      </w:r>
                    </w:p>
                    <w:bookmarkEnd w:id="1"/>
                    <w:p w14:paraId="47ED2F30" w14:textId="55CA3FCE" w:rsidR="006B65B6" w:rsidRPr="00D85CEC" w:rsidRDefault="006B65B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8A63382" w:rsidR="006B65B6" w:rsidRPr="00D23DC7" w:rsidRDefault="006B65B6" w:rsidP="000673D0">
                            <w:pPr>
                              <w:spacing w:line="276" w:lineRule="auto"/>
                              <w:jc w:val="right"/>
                              <w:rPr>
                                <w:rFonts w:asciiTheme="minorHAnsi" w:hAnsiTheme="minorHAnsi"/>
                                <w:color w:val="FFFFFF" w:themeColor="background1"/>
                                <w:sz w:val="22"/>
                                <w:lang w:val="es-ES"/>
                              </w:rPr>
                            </w:pPr>
                            <w:r w:rsidRPr="00D23DC7">
                              <w:rPr>
                                <w:rFonts w:asciiTheme="minorHAnsi" w:hAnsiTheme="minorHAnsi"/>
                                <w:color w:val="FFFFFF" w:themeColor="background1"/>
                                <w:sz w:val="22"/>
                                <w:lang w:val="es-ES"/>
                              </w:rPr>
                              <w:t>OEA/Ser.L/V/II</w:t>
                            </w:r>
                          </w:p>
                          <w:p w14:paraId="3449BBFC" w14:textId="501DF315" w:rsidR="006B65B6" w:rsidRPr="00D23DC7" w:rsidRDefault="006B65B6" w:rsidP="000673D0">
                            <w:pPr>
                              <w:spacing w:line="276" w:lineRule="auto"/>
                              <w:jc w:val="right"/>
                              <w:rPr>
                                <w:rFonts w:asciiTheme="minorHAnsi" w:hAnsiTheme="minorHAnsi"/>
                                <w:color w:val="FFFFFF" w:themeColor="background1"/>
                                <w:sz w:val="22"/>
                                <w:lang w:val="es-ES"/>
                              </w:rPr>
                            </w:pPr>
                            <w:r w:rsidRPr="00D23DC7">
                              <w:rPr>
                                <w:rFonts w:asciiTheme="minorHAnsi" w:hAnsiTheme="minorHAnsi"/>
                                <w:color w:val="FFFFFF" w:themeColor="background1"/>
                                <w:sz w:val="22"/>
                                <w:lang w:val="es-ES"/>
                              </w:rPr>
                              <w:t>Doc.</w:t>
                            </w:r>
                            <w:r w:rsidR="003332A8" w:rsidRPr="00D23DC7">
                              <w:rPr>
                                <w:rFonts w:asciiTheme="minorHAnsi" w:hAnsiTheme="minorHAnsi"/>
                                <w:color w:val="FFFFFF" w:themeColor="background1"/>
                                <w:sz w:val="22"/>
                                <w:lang w:val="es-ES"/>
                              </w:rPr>
                              <w:t xml:space="preserve"> 132</w:t>
                            </w:r>
                            <w:r w:rsidRPr="00D23DC7">
                              <w:rPr>
                                <w:rFonts w:asciiTheme="minorHAnsi" w:hAnsiTheme="minorHAnsi"/>
                                <w:color w:val="FFFFFF" w:themeColor="background1"/>
                                <w:sz w:val="22"/>
                                <w:lang w:val="es-ES"/>
                              </w:rPr>
                              <w:t xml:space="preserve"> </w:t>
                            </w:r>
                          </w:p>
                          <w:p w14:paraId="0BBD91A2" w14:textId="5D12641A" w:rsidR="006B65B6" w:rsidRPr="00C25ADB" w:rsidRDefault="003332A8"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6B65B6"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28A63382" w:rsidR="006B65B6" w:rsidRPr="00D23DC7" w:rsidRDefault="006B65B6" w:rsidP="000673D0">
                      <w:pPr>
                        <w:spacing w:line="276" w:lineRule="auto"/>
                        <w:jc w:val="right"/>
                        <w:rPr>
                          <w:rFonts w:asciiTheme="minorHAnsi" w:hAnsiTheme="minorHAnsi"/>
                          <w:color w:val="FFFFFF" w:themeColor="background1"/>
                          <w:sz w:val="22"/>
                          <w:lang w:val="es-ES"/>
                        </w:rPr>
                      </w:pPr>
                      <w:r w:rsidRPr="00D23DC7">
                        <w:rPr>
                          <w:rFonts w:asciiTheme="minorHAnsi" w:hAnsiTheme="minorHAnsi"/>
                          <w:color w:val="FFFFFF" w:themeColor="background1"/>
                          <w:sz w:val="22"/>
                          <w:lang w:val="es-ES"/>
                        </w:rPr>
                        <w:t>OEA/Ser.L/V/II</w:t>
                      </w:r>
                    </w:p>
                    <w:p w14:paraId="3449BBFC" w14:textId="501DF315" w:rsidR="006B65B6" w:rsidRPr="00D23DC7" w:rsidRDefault="006B65B6" w:rsidP="000673D0">
                      <w:pPr>
                        <w:spacing w:line="276" w:lineRule="auto"/>
                        <w:jc w:val="right"/>
                        <w:rPr>
                          <w:rFonts w:asciiTheme="minorHAnsi" w:hAnsiTheme="minorHAnsi"/>
                          <w:color w:val="FFFFFF" w:themeColor="background1"/>
                          <w:sz w:val="22"/>
                          <w:lang w:val="es-ES"/>
                        </w:rPr>
                      </w:pPr>
                      <w:r w:rsidRPr="00D23DC7">
                        <w:rPr>
                          <w:rFonts w:asciiTheme="minorHAnsi" w:hAnsiTheme="minorHAnsi"/>
                          <w:color w:val="FFFFFF" w:themeColor="background1"/>
                          <w:sz w:val="22"/>
                          <w:lang w:val="es-ES"/>
                        </w:rPr>
                        <w:t>Doc.</w:t>
                      </w:r>
                      <w:r w:rsidR="003332A8" w:rsidRPr="00D23DC7">
                        <w:rPr>
                          <w:rFonts w:asciiTheme="minorHAnsi" w:hAnsiTheme="minorHAnsi"/>
                          <w:color w:val="FFFFFF" w:themeColor="background1"/>
                          <w:sz w:val="22"/>
                          <w:lang w:val="es-ES"/>
                        </w:rPr>
                        <w:t xml:space="preserve"> 132</w:t>
                      </w:r>
                      <w:r w:rsidRPr="00D23DC7">
                        <w:rPr>
                          <w:rFonts w:asciiTheme="minorHAnsi" w:hAnsiTheme="minorHAnsi"/>
                          <w:color w:val="FFFFFF" w:themeColor="background1"/>
                          <w:sz w:val="22"/>
                          <w:lang w:val="es-ES"/>
                        </w:rPr>
                        <w:t xml:space="preserve"> </w:t>
                      </w:r>
                    </w:p>
                    <w:p w14:paraId="0BBD91A2" w14:textId="5D12641A" w:rsidR="006B65B6" w:rsidRPr="00C25ADB" w:rsidRDefault="003332A8"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6B65B6"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7F53E7">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7F53E7">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2572C5F" w:rsidR="006B65B6" w:rsidRPr="00890650" w:rsidRDefault="006B65B6"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332A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3332A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D2B53">
                              <w:rPr>
                                <w:rFonts w:asciiTheme="majorHAnsi" w:hAnsiTheme="majorHAnsi"/>
                                <w:color w:val="0D0D0D" w:themeColor="text1" w:themeTint="F2"/>
                                <w:sz w:val="18"/>
                                <w:szCs w:val="22"/>
                                <w:lang w:val="es-ES"/>
                              </w:rPr>
                              <w:t>1</w:t>
                            </w:r>
                            <w:r w:rsidR="003332A8">
                              <w:rPr>
                                <w:rFonts w:asciiTheme="majorHAnsi" w:hAnsiTheme="majorHAnsi"/>
                                <w:color w:val="0D0D0D" w:themeColor="text1" w:themeTint="F2"/>
                                <w:sz w:val="18"/>
                                <w:szCs w:val="22"/>
                                <w:lang w:val="es-ES"/>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2572C5F" w:rsidR="006B65B6" w:rsidRPr="00890650" w:rsidRDefault="006B65B6"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332A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3332A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D2B53">
                        <w:rPr>
                          <w:rFonts w:asciiTheme="majorHAnsi" w:hAnsiTheme="majorHAnsi"/>
                          <w:color w:val="0D0D0D" w:themeColor="text1" w:themeTint="F2"/>
                          <w:sz w:val="18"/>
                          <w:szCs w:val="22"/>
                          <w:lang w:val="es-ES"/>
                        </w:rPr>
                        <w:t>1</w:t>
                      </w:r>
                      <w:r w:rsidR="003332A8">
                        <w:rPr>
                          <w:rFonts w:asciiTheme="majorHAnsi" w:hAnsiTheme="majorHAnsi"/>
                          <w:color w:val="0D0D0D" w:themeColor="text1" w:themeTint="F2"/>
                          <w:sz w:val="18"/>
                          <w:szCs w:val="22"/>
                          <w:lang w:val="es-ES"/>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54D9BCFE" w:rsidR="006B65B6" w:rsidRPr="007B05C4" w:rsidRDefault="006B65B6"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32A8" w:rsidRPr="003332A8">
                              <w:rPr>
                                <w:rFonts w:asciiTheme="majorHAnsi" w:hAnsiTheme="majorHAnsi"/>
                                <w:color w:val="595959" w:themeColor="text1" w:themeTint="A6"/>
                                <w:sz w:val="18"/>
                                <w:szCs w:val="18"/>
                                <w:lang w:val="pt-BR"/>
                              </w:rPr>
                              <w:t>124</w:t>
                            </w:r>
                            <w:r w:rsidRPr="003332A8">
                              <w:rPr>
                                <w:rFonts w:asciiTheme="majorHAnsi" w:hAnsiTheme="majorHAnsi"/>
                                <w:color w:val="595959" w:themeColor="text1" w:themeTint="A6"/>
                                <w:sz w:val="18"/>
                                <w:szCs w:val="18"/>
                                <w:lang w:val="pt-BR"/>
                              </w:rPr>
                              <w:t>/2</w:t>
                            </w:r>
                            <w:r w:rsidR="003332A8" w:rsidRPr="003332A8">
                              <w:rPr>
                                <w:rFonts w:asciiTheme="majorHAnsi" w:hAnsiTheme="majorHAnsi"/>
                                <w:color w:val="595959" w:themeColor="text1" w:themeTint="A6"/>
                                <w:sz w:val="18"/>
                                <w:szCs w:val="18"/>
                                <w:lang w:val="pt-BR"/>
                              </w:rPr>
                              <w:t>1</w:t>
                            </w:r>
                            <w:r w:rsidRPr="003332A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3332A8">
                              <w:rPr>
                                <w:rFonts w:asciiTheme="majorHAnsi" w:hAnsiTheme="majorHAnsi"/>
                                <w:color w:val="595959" w:themeColor="text1" w:themeTint="A6"/>
                                <w:sz w:val="18"/>
                                <w:szCs w:val="18"/>
                                <w:lang w:val="es-ES"/>
                              </w:rPr>
                              <w:t>341</w:t>
                            </w:r>
                            <w:r>
                              <w:rPr>
                                <w:rFonts w:asciiTheme="majorHAnsi" w:hAnsiTheme="majorHAnsi"/>
                                <w:color w:val="595959" w:themeColor="text1" w:themeTint="A6"/>
                                <w:sz w:val="18"/>
                                <w:szCs w:val="18"/>
                                <w:lang w:val="es-ES"/>
                              </w:rPr>
                              <w:t xml:space="preserve">-09.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_tradnl"/>
                              </w:rPr>
                              <w:t>María Fernanda Peñafiel Salgado y otros.</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
                              </w:rPr>
                              <w:t>15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54D9BCFE" w:rsidR="006B65B6" w:rsidRPr="007B05C4" w:rsidRDefault="006B65B6"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32A8" w:rsidRPr="003332A8">
                        <w:rPr>
                          <w:rFonts w:asciiTheme="majorHAnsi" w:hAnsiTheme="majorHAnsi"/>
                          <w:color w:val="595959" w:themeColor="text1" w:themeTint="A6"/>
                          <w:sz w:val="18"/>
                          <w:szCs w:val="18"/>
                          <w:lang w:val="pt-BR"/>
                        </w:rPr>
                        <w:t>124</w:t>
                      </w:r>
                      <w:r w:rsidRPr="003332A8">
                        <w:rPr>
                          <w:rFonts w:asciiTheme="majorHAnsi" w:hAnsiTheme="majorHAnsi"/>
                          <w:color w:val="595959" w:themeColor="text1" w:themeTint="A6"/>
                          <w:sz w:val="18"/>
                          <w:szCs w:val="18"/>
                          <w:lang w:val="pt-BR"/>
                        </w:rPr>
                        <w:t>/2</w:t>
                      </w:r>
                      <w:r w:rsidR="003332A8" w:rsidRPr="003332A8">
                        <w:rPr>
                          <w:rFonts w:asciiTheme="majorHAnsi" w:hAnsiTheme="majorHAnsi"/>
                          <w:color w:val="595959" w:themeColor="text1" w:themeTint="A6"/>
                          <w:sz w:val="18"/>
                          <w:szCs w:val="18"/>
                          <w:lang w:val="pt-BR"/>
                        </w:rPr>
                        <w:t>1</w:t>
                      </w:r>
                      <w:r w:rsidRPr="003332A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3332A8">
                        <w:rPr>
                          <w:rFonts w:asciiTheme="majorHAnsi" w:hAnsiTheme="majorHAnsi"/>
                          <w:color w:val="595959" w:themeColor="text1" w:themeTint="A6"/>
                          <w:sz w:val="18"/>
                          <w:szCs w:val="18"/>
                          <w:lang w:val="es-ES"/>
                        </w:rPr>
                        <w:t>341</w:t>
                      </w:r>
                      <w:r>
                        <w:rPr>
                          <w:rFonts w:asciiTheme="majorHAnsi" w:hAnsiTheme="majorHAnsi"/>
                          <w:color w:val="595959" w:themeColor="text1" w:themeTint="A6"/>
                          <w:sz w:val="18"/>
                          <w:szCs w:val="18"/>
                          <w:lang w:val="es-ES"/>
                        </w:rPr>
                        <w:t xml:space="preserve">-09.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_tradnl"/>
                        </w:rPr>
                        <w:t>María Fernanda Peñafiel Salgado y otros.</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3332A8">
                        <w:rPr>
                          <w:rFonts w:asciiTheme="majorHAnsi" w:hAnsiTheme="majorHAnsi"/>
                          <w:color w:val="595959" w:themeColor="text1" w:themeTint="A6"/>
                          <w:sz w:val="18"/>
                          <w:szCs w:val="18"/>
                          <w:lang w:val="es-ES"/>
                        </w:rPr>
                        <w:t>15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7F53E7">
      <w:pPr>
        <w:tabs>
          <w:tab w:val="center" w:pos="5400"/>
        </w:tabs>
        <w:suppressAutoHyphens/>
        <w:jc w:val="center"/>
        <w:rPr>
          <w:rFonts w:asciiTheme="majorHAnsi" w:hAnsiTheme="majorHAnsi"/>
          <w:sz w:val="18"/>
          <w:szCs w:val="22"/>
          <w:lang w:val="es-ES_tradnl"/>
        </w:rPr>
      </w:pPr>
    </w:p>
    <w:p w14:paraId="09F6F1A8" w14:textId="1BB51506" w:rsidR="000673D0" w:rsidRDefault="000673D0" w:rsidP="007F53E7">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13E87E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CF43FC1" w:rsidR="000673D0" w:rsidRDefault="003332A8" w:rsidP="007F53E7">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C49B566">
                <wp:simplePos x="0" y="0"/>
                <wp:positionH relativeFrom="column">
                  <wp:posOffset>1318260</wp:posOffset>
                </wp:positionH>
                <wp:positionV relativeFrom="paragraph">
                  <wp:posOffset>514713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21538F27" w:rsidR="006B65B6" w:rsidRPr="00D72DC6" w:rsidRDefault="003332A8" w:rsidP="000673D0">
                            <w:pPr>
                              <w:rPr>
                                <w:color w:val="FFFFFF" w:themeColor="background1"/>
                                <w14:textFill>
                                  <w14:noFill/>
                                </w14:textFill>
                              </w:rPr>
                            </w:pPr>
                            <w:r>
                              <w:rPr>
                                <w:noProof/>
                                <w:color w:val="FFFFFF" w:themeColor="background1"/>
                              </w:rPr>
                              <w:drawing>
                                <wp:inline distT="0" distB="0" distL="0" distR="0" wp14:anchorId="1DA78CA8" wp14:editId="3FCBD96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8pt;margin-top:40.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hy8F/uEA&#10;AAAKAQAADwAAAAAAAAAAAAAAAADUBAAAZHJzL2Rvd25yZXYueG1sUEsFBgAAAAAEAAQA8wAAAOIF&#10;AAAAAA==&#10;" fillcolor="white [3201]" stroked="f" strokeweight=".5pt">
                <v:textbox>
                  <w:txbxContent>
                    <w:p w14:paraId="561CB564" w14:textId="21538F27" w:rsidR="006B65B6" w:rsidRPr="00D72DC6" w:rsidRDefault="003332A8" w:rsidP="000673D0">
                      <w:pPr>
                        <w:rPr>
                          <w:color w:val="FFFFFF" w:themeColor="background1"/>
                          <w14:textFill>
                            <w14:noFill/>
                          </w14:textFill>
                        </w:rPr>
                      </w:pPr>
                      <w:r>
                        <w:rPr>
                          <w:noProof/>
                          <w:color w:val="FFFFFF" w:themeColor="background1"/>
                        </w:rPr>
                        <w:drawing>
                          <wp:inline distT="0" distB="0" distL="0" distR="0" wp14:anchorId="1DA78CA8" wp14:editId="3FCBD96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7F53E7">
      <w:pPr>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A553BD"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06FEA55F" w:rsidR="000673D0" w:rsidRPr="009C6CB7" w:rsidRDefault="0009105C" w:rsidP="007F53E7">
            <w:pPr>
              <w:jc w:val="both"/>
              <w:rPr>
                <w:rFonts w:asciiTheme="majorHAnsi" w:hAnsiTheme="majorHAnsi"/>
                <w:bCs/>
                <w:sz w:val="19"/>
                <w:szCs w:val="19"/>
                <w:lang w:val="es-PA"/>
              </w:rPr>
            </w:pPr>
            <w:r>
              <w:rPr>
                <w:rFonts w:ascii="Cambria" w:hAnsi="Cambria"/>
                <w:bCs/>
                <w:sz w:val="19"/>
                <w:szCs w:val="19"/>
                <w:lang w:val="es-ES"/>
              </w:rPr>
              <w:t>Efrén</w:t>
            </w:r>
            <w:r w:rsidR="006124CA">
              <w:rPr>
                <w:rFonts w:ascii="Cambria" w:hAnsi="Cambria"/>
                <w:bCs/>
                <w:sz w:val="19"/>
                <w:szCs w:val="19"/>
                <w:lang w:val="es-ES"/>
              </w:rPr>
              <w:t xml:space="preserve"> Guerrero Salgado</w:t>
            </w:r>
            <w:r w:rsidR="00534B75">
              <w:rPr>
                <w:rFonts w:ascii="Cambria" w:hAnsi="Cambria"/>
                <w:bCs/>
                <w:sz w:val="19"/>
                <w:szCs w:val="19"/>
                <w:lang w:val="es-ES"/>
              </w:rPr>
              <w:t>, David Cordero Heredia</w:t>
            </w:r>
            <w:r w:rsidR="006124CA">
              <w:rPr>
                <w:rFonts w:ascii="Cambria" w:hAnsi="Cambria"/>
                <w:bCs/>
                <w:sz w:val="19"/>
                <w:szCs w:val="19"/>
                <w:lang w:val="es-ES"/>
              </w:rPr>
              <w:t xml:space="preserve"> y Niki Sánchez Verrezueta</w:t>
            </w:r>
            <w:r w:rsidR="006124CA">
              <w:rPr>
                <w:rStyle w:val="FootnoteReference"/>
                <w:rFonts w:ascii="Cambria" w:hAnsi="Cambria"/>
                <w:bCs/>
                <w:sz w:val="19"/>
                <w:szCs w:val="19"/>
                <w:lang w:val="es-ES"/>
              </w:rPr>
              <w:footnoteReference w:id="2"/>
            </w:r>
          </w:p>
        </w:tc>
      </w:tr>
      <w:tr w:rsidR="000673D0" w:rsidRPr="001C677C"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CE13EC" w:rsidP="007F53E7">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0F503D1D" w:rsidR="000673D0" w:rsidRPr="009C6CB7" w:rsidRDefault="003A7C6D" w:rsidP="007F53E7">
            <w:pPr>
              <w:jc w:val="both"/>
              <w:rPr>
                <w:rFonts w:asciiTheme="majorHAnsi" w:hAnsiTheme="majorHAnsi"/>
                <w:bCs/>
                <w:sz w:val="19"/>
                <w:szCs w:val="19"/>
                <w:lang w:val="es-ES"/>
              </w:rPr>
            </w:pPr>
            <w:r>
              <w:rPr>
                <w:rFonts w:asciiTheme="majorHAnsi" w:hAnsiTheme="majorHAnsi"/>
                <w:bCs/>
                <w:sz w:val="19"/>
                <w:szCs w:val="19"/>
                <w:lang w:val="es-ES"/>
              </w:rPr>
              <w:t>María Fernanda Peñafiel Salgado y Otros</w:t>
            </w:r>
            <w:r>
              <w:rPr>
                <w:rStyle w:val="FootnoteReference"/>
                <w:rFonts w:asciiTheme="majorHAnsi" w:hAnsiTheme="majorHAnsi"/>
                <w:bCs/>
                <w:sz w:val="19"/>
                <w:szCs w:val="19"/>
                <w:lang w:val="es-ES"/>
              </w:rPr>
              <w:footnoteReference w:id="3"/>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60" w:type="dxa"/>
            <w:vAlign w:val="center"/>
          </w:tcPr>
          <w:p w14:paraId="057DC689" w14:textId="551C62E6" w:rsidR="000673D0" w:rsidRPr="009C6CB7" w:rsidRDefault="008757DD" w:rsidP="007F53E7">
            <w:pPr>
              <w:jc w:val="both"/>
              <w:rPr>
                <w:rFonts w:asciiTheme="majorHAnsi" w:hAnsiTheme="majorHAnsi"/>
                <w:bCs/>
                <w:sz w:val="19"/>
                <w:szCs w:val="19"/>
              </w:rPr>
            </w:pPr>
            <w:r>
              <w:rPr>
                <w:rFonts w:asciiTheme="majorHAnsi" w:hAnsiTheme="majorHAnsi"/>
                <w:bCs/>
                <w:sz w:val="19"/>
                <w:szCs w:val="19"/>
              </w:rPr>
              <w:t>Ecuador</w:t>
            </w:r>
          </w:p>
        </w:tc>
      </w:tr>
      <w:tr w:rsidR="000673D0" w:rsidRPr="001C677C"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1602A732" w:rsidR="000673D0" w:rsidRPr="009C6CB7" w:rsidRDefault="00F308F1" w:rsidP="007F53E7">
            <w:pPr>
              <w:jc w:val="both"/>
              <w:rPr>
                <w:rFonts w:asciiTheme="majorHAnsi" w:hAnsiTheme="majorHAnsi"/>
                <w:bCs/>
                <w:sz w:val="19"/>
                <w:szCs w:val="19"/>
                <w:lang w:val="es-PA"/>
              </w:rPr>
            </w:pPr>
            <w:r>
              <w:rPr>
                <w:rFonts w:asciiTheme="majorHAnsi" w:hAnsiTheme="majorHAnsi"/>
                <w:bCs/>
                <w:sz w:val="19"/>
                <w:szCs w:val="19"/>
                <w:lang w:val="es-PA"/>
              </w:rPr>
              <w:t xml:space="preserve">Artículos </w:t>
            </w:r>
            <w:r w:rsidR="008757DD">
              <w:rPr>
                <w:rFonts w:asciiTheme="majorHAnsi" w:hAnsiTheme="majorHAnsi"/>
                <w:bCs/>
                <w:sz w:val="19"/>
                <w:szCs w:val="19"/>
                <w:lang w:val="es-PA"/>
              </w:rPr>
              <w:t>5 (integridad personal), 7 (libertad personal), 8 (garantías judiciales), 9 (principio de legalidad y retroactividad), 11 (honra y dignidad), 14 (rectificación o respuesta), 21 (propiedad privada), 24 (igualdad ante la ley)</w:t>
            </w:r>
            <w:r w:rsidR="00CF36DF">
              <w:rPr>
                <w:rFonts w:asciiTheme="majorHAnsi" w:hAnsiTheme="majorHAnsi"/>
                <w:bCs/>
                <w:sz w:val="19"/>
                <w:szCs w:val="19"/>
                <w:lang w:val="es-PA"/>
              </w:rPr>
              <w:t xml:space="preserve"> y</w:t>
            </w:r>
            <w:r w:rsidR="008757DD">
              <w:rPr>
                <w:rFonts w:asciiTheme="majorHAnsi" w:hAnsiTheme="majorHAnsi"/>
                <w:bCs/>
                <w:sz w:val="19"/>
                <w:szCs w:val="19"/>
                <w:lang w:val="es-PA"/>
              </w:rPr>
              <w:t xml:space="preserve"> 25 (protección judicial) </w:t>
            </w:r>
            <w:r w:rsidR="00CF36DF">
              <w:rPr>
                <w:rFonts w:asciiTheme="majorHAnsi" w:hAnsiTheme="majorHAnsi"/>
                <w:bCs/>
                <w:sz w:val="19"/>
                <w:szCs w:val="19"/>
                <w:lang w:val="es-PA"/>
              </w:rPr>
              <w:t>de la Convención Americana sobre Derechos Humanos</w:t>
            </w:r>
            <w:r w:rsidR="00CF36DF">
              <w:rPr>
                <w:rStyle w:val="FootnoteReference"/>
                <w:rFonts w:asciiTheme="majorHAnsi" w:hAnsiTheme="majorHAnsi"/>
                <w:bCs/>
                <w:sz w:val="19"/>
                <w:szCs w:val="19"/>
                <w:lang w:val="es-PA"/>
              </w:rPr>
              <w:footnoteReference w:id="4"/>
            </w:r>
          </w:p>
        </w:tc>
      </w:tr>
    </w:tbl>
    <w:p w14:paraId="3D195461" w14:textId="77777777" w:rsidR="000673D0" w:rsidRPr="009C6CB7" w:rsidRDefault="000673D0" w:rsidP="007F53E7">
      <w:pPr>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7F53E7">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2079B843" w:rsidR="000673D0" w:rsidRPr="009C6CB7" w:rsidRDefault="00CF36DF" w:rsidP="007F53E7">
            <w:pPr>
              <w:jc w:val="both"/>
              <w:rPr>
                <w:rFonts w:asciiTheme="majorHAnsi" w:hAnsiTheme="majorHAnsi"/>
                <w:bCs/>
                <w:sz w:val="19"/>
                <w:szCs w:val="19"/>
                <w:lang w:val="es-ES"/>
              </w:rPr>
            </w:pPr>
            <w:r>
              <w:rPr>
                <w:rFonts w:asciiTheme="majorHAnsi" w:hAnsiTheme="majorHAnsi"/>
                <w:bCs/>
                <w:sz w:val="19"/>
                <w:szCs w:val="19"/>
                <w:lang w:val="es-ES"/>
              </w:rPr>
              <w:t>24</w:t>
            </w:r>
            <w:r w:rsidR="00F308F1">
              <w:rPr>
                <w:rFonts w:asciiTheme="majorHAnsi" w:hAnsiTheme="majorHAnsi"/>
                <w:bCs/>
                <w:sz w:val="19"/>
                <w:szCs w:val="19"/>
                <w:lang w:val="es-ES"/>
              </w:rPr>
              <w:t xml:space="preserve"> de </w:t>
            </w:r>
            <w:r>
              <w:rPr>
                <w:rFonts w:asciiTheme="majorHAnsi" w:hAnsiTheme="majorHAnsi"/>
                <w:bCs/>
                <w:sz w:val="19"/>
                <w:szCs w:val="19"/>
                <w:lang w:val="es-ES"/>
              </w:rPr>
              <w:t>marzo</w:t>
            </w:r>
            <w:r w:rsidR="00F308F1">
              <w:rPr>
                <w:rFonts w:asciiTheme="majorHAnsi" w:hAnsiTheme="majorHAnsi"/>
                <w:bCs/>
                <w:sz w:val="19"/>
                <w:szCs w:val="19"/>
                <w:lang w:val="es-ES"/>
              </w:rPr>
              <w:t xml:space="preserve"> de 2009</w:t>
            </w:r>
          </w:p>
        </w:tc>
      </w:tr>
      <w:tr w:rsidR="00CF36DF" w:rsidRPr="001C677C" w14:paraId="6DB0379E" w14:textId="77777777" w:rsidTr="00B46185">
        <w:tc>
          <w:tcPr>
            <w:tcW w:w="3600" w:type="dxa"/>
            <w:tcBorders>
              <w:top w:val="single" w:sz="6" w:space="0" w:color="auto"/>
              <w:bottom w:val="single" w:sz="6" w:space="0" w:color="auto"/>
            </w:tcBorders>
            <w:shd w:val="clear" w:color="auto" w:fill="386294"/>
            <w:vAlign w:val="center"/>
          </w:tcPr>
          <w:p w14:paraId="682FE2C0" w14:textId="57DC4AEE" w:rsidR="00CF36DF" w:rsidRPr="009C6CB7" w:rsidRDefault="00CF36DF" w:rsidP="007F53E7">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Información adicional recibida en la etapa de estudio:</w:t>
            </w:r>
          </w:p>
        </w:tc>
        <w:tc>
          <w:tcPr>
            <w:tcW w:w="5760" w:type="dxa"/>
            <w:vAlign w:val="center"/>
          </w:tcPr>
          <w:p w14:paraId="101AC2CF" w14:textId="0AC187EF" w:rsidR="00CF36DF" w:rsidRDefault="00CF36DF" w:rsidP="007F53E7">
            <w:pPr>
              <w:jc w:val="both"/>
              <w:rPr>
                <w:rFonts w:asciiTheme="majorHAnsi" w:hAnsiTheme="majorHAnsi"/>
                <w:bCs/>
                <w:sz w:val="19"/>
                <w:szCs w:val="19"/>
                <w:lang w:val="es-ES"/>
              </w:rPr>
            </w:pPr>
            <w:r>
              <w:rPr>
                <w:rFonts w:asciiTheme="majorHAnsi" w:hAnsiTheme="majorHAnsi"/>
                <w:bCs/>
                <w:sz w:val="19"/>
                <w:szCs w:val="19"/>
                <w:lang w:val="es-ES"/>
              </w:rPr>
              <w:t xml:space="preserve">18 </w:t>
            </w:r>
            <w:r w:rsidR="00C25457">
              <w:rPr>
                <w:rFonts w:asciiTheme="majorHAnsi" w:hAnsiTheme="majorHAnsi"/>
                <w:bCs/>
                <w:sz w:val="19"/>
                <w:szCs w:val="19"/>
                <w:lang w:val="es-ES"/>
              </w:rPr>
              <w:t xml:space="preserve">y 23 </w:t>
            </w:r>
            <w:r>
              <w:rPr>
                <w:rFonts w:asciiTheme="majorHAnsi" w:hAnsiTheme="majorHAnsi"/>
                <w:bCs/>
                <w:sz w:val="19"/>
                <w:szCs w:val="19"/>
                <w:lang w:val="es-ES"/>
              </w:rPr>
              <w:t>de marzo de 2011</w:t>
            </w:r>
            <w:r w:rsidR="00C25457">
              <w:rPr>
                <w:rFonts w:asciiTheme="majorHAnsi" w:hAnsiTheme="majorHAnsi"/>
                <w:bCs/>
                <w:sz w:val="19"/>
                <w:szCs w:val="19"/>
                <w:lang w:val="es-ES"/>
              </w:rPr>
              <w:t xml:space="preserve"> y 1</w:t>
            </w:r>
            <w:r w:rsidR="0009105C">
              <w:rPr>
                <w:rFonts w:asciiTheme="majorHAnsi" w:hAnsiTheme="majorHAnsi"/>
                <w:bCs/>
                <w:sz w:val="19"/>
                <w:szCs w:val="19"/>
                <w:lang w:val="es-ES"/>
              </w:rPr>
              <w:t xml:space="preserve">º </w:t>
            </w:r>
            <w:r w:rsidR="00C25457">
              <w:rPr>
                <w:rFonts w:asciiTheme="majorHAnsi" w:hAnsiTheme="majorHAnsi"/>
                <w:bCs/>
                <w:sz w:val="19"/>
                <w:szCs w:val="19"/>
                <w:lang w:val="es-ES"/>
              </w:rPr>
              <w:t>de febrero de 2017</w:t>
            </w:r>
            <w:r w:rsidR="00C25457">
              <w:rPr>
                <w:rStyle w:val="FootnoteReference"/>
                <w:rFonts w:asciiTheme="majorHAnsi" w:hAnsiTheme="majorHAnsi"/>
                <w:bCs/>
                <w:sz w:val="19"/>
                <w:szCs w:val="19"/>
                <w:lang w:val="es-ES"/>
              </w:rPr>
              <w:footnoteReference w:id="6"/>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7F53E7">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7399B17C" w:rsidR="000673D0" w:rsidRPr="009C6CB7" w:rsidRDefault="00C25457" w:rsidP="007F53E7">
            <w:pPr>
              <w:jc w:val="both"/>
              <w:rPr>
                <w:rFonts w:asciiTheme="majorHAnsi" w:hAnsiTheme="majorHAnsi"/>
                <w:bCs/>
                <w:sz w:val="19"/>
                <w:szCs w:val="19"/>
                <w:lang w:val="es-ES"/>
              </w:rPr>
            </w:pPr>
            <w:r>
              <w:rPr>
                <w:rFonts w:asciiTheme="majorHAnsi" w:hAnsiTheme="majorHAnsi"/>
                <w:bCs/>
                <w:sz w:val="19"/>
                <w:szCs w:val="19"/>
                <w:lang w:val="es-ES"/>
              </w:rPr>
              <w:t>27 de agosto de 2018</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7F53E7">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790681EF" w:rsidR="000673D0" w:rsidRPr="009C6CB7" w:rsidRDefault="006124CA" w:rsidP="007F53E7">
            <w:pPr>
              <w:jc w:val="both"/>
              <w:rPr>
                <w:rFonts w:asciiTheme="majorHAnsi" w:hAnsiTheme="majorHAnsi"/>
                <w:bCs/>
                <w:sz w:val="19"/>
                <w:szCs w:val="19"/>
                <w:lang w:val="es-ES"/>
              </w:rPr>
            </w:pPr>
            <w:r>
              <w:rPr>
                <w:rFonts w:asciiTheme="majorHAnsi" w:hAnsiTheme="majorHAnsi"/>
                <w:bCs/>
                <w:sz w:val="19"/>
                <w:szCs w:val="19"/>
                <w:lang w:val="es-ES"/>
              </w:rPr>
              <w:t>9 de enero de 2019</w:t>
            </w:r>
          </w:p>
        </w:tc>
      </w:tr>
      <w:tr w:rsidR="0096697B" w:rsidRPr="001C677C"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7F53E7">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657BCCF1" w:rsidR="0096697B" w:rsidRPr="009C6CB7" w:rsidRDefault="00C25457" w:rsidP="007F53E7">
            <w:pPr>
              <w:jc w:val="both"/>
              <w:rPr>
                <w:rFonts w:asciiTheme="majorHAnsi" w:hAnsiTheme="majorHAnsi"/>
                <w:bCs/>
                <w:sz w:val="19"/>
                <w:szCs w:val="19"/>
                <w:lang w:val="es-ES"/>
              </w:rPr>
            </w:pPr>
            <w:r>
              <w:rPr>
                <w:rFonts w:asciiTheme="majorHAnsi" w:hAnsiTheme="majorHAnsi"/>
                <w:bCs/>
                <w:sz w:val="19"/>
                <w:szCs w:val="19"/>
                <w:lang w:val="es-ES"/>
              </w:rPr>
              <w:t>11 de diciembre de 2018</w:t>
            </w:r>
            <w:r w:rsidR="00733904">
              <w:rPr>
                <w:rFonts w:asciiTheme="majorHAnsi" w:hAnsiTheme="majorHAnsi"/>
                <w:bCs/>
                <w:sz w:val="19"/>
                <w:szCs w:val="19"/>
                <w:lang w:val="es-ES"/>
              </w:rPr>
              <w:t xml:space="preserve">, </w:t>
            </w:r>
            <w:r w:rsidR="00534B75">
              <w:rPr>
                <w:rFonts w:asciiTheme="majorHAnsi" w:hAnsiTheme="majorHAnsi"/>
                <w:bCs/>
                <w:sz w:val="19"/>
                <w:szCs w:val="19"/>
                <w:lang w:val="es-ES"/>
              </w:rPr>
              <w:t>12 de mayo de 2020</w:t>
            </w:r>
            <w:r w:rsidR="00733904">
              <w:rPr>
                <w:rFonts w:asciiTheme="majorHAnsi" w:hAnsiTheme="majorHAnsi"/>
                <w:bCs/>
                <w:sz w:val="19"/>
                <w:szCs w:val="19"/>
                <w:lang w:val="es-ES"/>
              </w:rPr>
              <w:t xml:space="preserve">, y </w:t>
            </w:r>
            <w:r w:rsidR="00FD2B53">
              <w:rPr>
                <w:rFonts w:asciiTheme="majorHAnsi" w:hAnsiTheme="majorHAnsi"/>
                <w:bCs/>
                <w:sz w:val="19"/>
                <w:szCs w:val="19"/>
                <w:lang w:val="es-ES"/>
              </w:rPr>
              <w:t>22 y 29 de marzo de 2021</w:t>
            </w:r>
          </w:p>
        </w:tc>
      </w:tr>
      <w:tr w:rsidR="00733904" w:rsidRPr="00A553BD" w14:paraId="0FA2C8C0" w14:textId="77777777" w:rsidTr="00B46185">
        <w:tc>
          <w:tcPr>
            <w:tcW w:w="3600" w:type="dxa"/>
            <w:tcBorders>
              <w:top w:val="single" w:sz="6" w:space="0" w:color="auto"/>
              <w:bottom w:val="single" w:sz="6" w:space="0" w:color="auto"/>
            </w:tcBorders>
            <w:shd w:val="clear" w:color="auto" w:fill="386294"/>
            <w:vAlign w:val="center"/>
          </w:tcPr>
          <w:p w14:paraId="7626C25D" w14:textId="68768875" w:rsidR="00733904" w:rsidRPr="00733904" w:rsidRDefault="00733904" w:rsidP="007F53E7">
            <w:pPr>
              <w:jc w:val="center"/>
              <w:rPr>
                <w:rFonts w:asciiTheme="majorHAnsi" w:hAnsiTheme="majorHAnsi"/>
                <w:b/>
                <w:bCs/>
                <w:color w:val="FFFFFF" w:themeColor="background1"/>
                <w:sz w:val="19"/>
                <w:szCs w:val="19"/>
                <w:lang w:val="es-PA"/>
              </w:rPr>
            </w:pPr>
            <w:r>
              <w:rPr>
                <w:rFonts w:asciiTheme="majorHAnsi" w:hAnsiTheme="majorHAnsi"/>
                <w:b/>
                <w:bCs/>
                <w:color w:val="FFFFFF" w:themeColor="background1"/>
                <w:sz w:val="19"/>
                <w:szCs w:val="19"/>
                <w:lang w:val="es-PA"/>
              </w:rPr>
              <w:t xml:space="preserve">Observaciones adicionales del Estado: </w:t>
            </w:r>
          </w:p>
        </w:tc>
        <w:tc>
          <w:tcPr>
            <w:tcW w:w="5760" w:type="dxa"/>
            <w:vAlign w:val="center"/>
          </w:tcPr>
          <w:p w14:paraId="47FB52C2" w14:textId="653AF485" w:rsidR="00733904" w:rsidRDefault="00733904" w:rsidP="007F53E7">
            <w:pPr>
              <w:jc w:val="both"/>
              <w:rPr>
                <w:rFonts w:asciiTheme="majorHAnsi" w:hAnsiTheme="majorHAnsi"/>
                <w:bCs/>
                <w:sz w:val="19"/>
                <w:szCs w:val="19"/>
                <w:lang w:val="es-ES"/>
              </w:rPr>
            </w:pPr>
            <w:r>
              <w:rPr>
                <w:rFonts w:asciiTheme="majorHAnsi" w:hAnsiTheme="majorHAnsi"/>
                <w:bCs/>
                <w:sz w:val="19"/>
                <w:szCs w:val="19"/>
                <w:lang w:val="es-ES"/>
              </w:rPr>
              <w:t>17 de febrero de 2021</w:t>
            </w:r>
          </w:p>
        </w:tc>
      </w:tr>
    </w:tbl>
    <w:p w14:paraId="738616C2" w14:textId="77777777" w:rsidR="000673D0" w:rsidRPr="009C6CB7" w:rsidRDefault="000673D0" w:rsidP="007F53E7">
      <w:pPr>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7F53E7">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60" w:type="dxa"/>
            <w:vAlign w:val="center"/>
          </w:tcPr>
          <w:p w14:paraId="55AEE8CD" w14:textId="77777777" w:rsidR="000673D0" w:rsidRPr="009C6CB7" w:rsidRDefault="000673D0" w:rsidP="007F53E7">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7F53E7">
            <w:pPr>
              <w:rPr>
                <w:rFonts w:asciiTheme="majorHAnsi" w:hAnsiTheme="majorHAnsi"/>
                <w:bCs/>
                <w:sz w:val="19"/>
                <w:szCs w:val="19"/>
              </w:rPr>
            </w:pPr>
            <w:r w:rsidRPr="009C6CB7">
              <w:rPr>
                <w:rFonts w:asciiTheme="majorHAnsi" w:hAnsiTheme="majorHAnsi"/>
                <w:bCs/>
                <w:sz w:val="19"/>
                <w:szCs w:val="19"/>
              </w:rPr>
              <w:t>Sí</w:t>
            </w:r>
          </w:p>
        </w:tc>
      </w:tr>
      <w:tr w:rsidR="000673D0" w:rsidRPr="003A7C6D"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60" w:type="dxa"/>
            <w:vAlign w:val="center"/>
          </w:tcPr>
          <w:p w14:paraId="76910945" w14:textId="35F8F179" w:rsidR="000673D0" w:rsidRPr="009C6CB7" w:rsidRDefault="000673D0" w:rsidP="007F53E7">
            <w:pPr>
              <w:rPr>
                <w:rFonts w:asciiTheme="majorHAnsi" w:hAnsiTheme="majorHAnsi"/>
                <w:bCs/>
                <w:sz w:val="19"/>
                <w:szCs w:val="19"/>
                <w:lang w:val="es-PA"/>
              </w:rPr>
            </w:pPr>
            <w:r w:rsidRPr="009C6CB7">
              <w:rPr>
                <w:rFonts w:asciiTheme="majorHAnsi" w:hAnsiTheme="majorHAnsi"/>
                <w:bCs/>
                <w:sz w:val="19"/>
                <w:szCs w:val="19"/>
                <w:lang w:val="es-PA"/>
              </w:rPr>
              <w:t>Sí</w:t>
            </w:r>
          </w:p>
        </w:tc>
      </w:tr>
      <w:tr w:rsidR="000673D0" w:rsidRPr="001C677C"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materiae</w:t>
            </w:r>
            <w:r w:rsidRPr="009C6CB7">
              <w:rPr>
                <w:rFonts w:asciiTheme="majorHAnsi" w:hAnsiTheme="majorHAnsi"/>
                <w:b/>
                <w:bCs/>
                <w:color w:val="FFFFFF" w:themeColor="background1"/>
                <w:sz w:val="19"/>
                <w:szCs w:val="19"/>
              </w:rPr>
              <w:t>:</w:t>
            </w:r>
          </w:p>
        </w:tc>
        <w:tc>
          <w:tcPr>
            <w:tcW w:w="5760" w:type="dxa"/>
            <w:vAlign w:val="center"/>
          </w:tcPr>
          <w:p w14:paraId="78F36C0F" w14:textId="79F514D6" w:rsidR="00534B75" w:rsidRPr="009C6CB7" w:rsidRDefault="000673D0" w:rsidP="007F53E7">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19"/>
                <w:szCs w:val="19"/>
                <w:lang w:val="es-ES"/>
              </w:rPr>
            </w:pPr>
            <w:r w:rsidRPr="009C6CB7">
              <w:rPr>
                <w:rFonts w:asciiTheme="majorHAnsi" w:hAnsiTheme="majorHAnsi"/>
                <w:bCs/>
                <w:sz w:val="19"/>
                <w:szCs w:val="19"/>
                <w:lang w:val="es-ES"/>
              </w:rPr>
              <w:t xml:space="preserve">Sí, Convención </w:t>
            </w:r>
            <w:r w:rsidR="007C01D6">
              <w:rPr>
                <w:rFonts w:asciiTheme="majorHAnsi" w:hAnsiTheme="majorHAnsi"/>
                <w:bCs/>
                <w:sz w:val="19"/>
                <w:szCs w:val="19"/>
                <w:lang w:val="es-ES"/>
              </w:rPr>
              <w:t xml:space="preserve">Americana </w:t>
            </w:r>
            <w:r w:rsidR="007C01D6">
              <w:rPr>
                <w:rFonts w:asciiTheme="majorHAnsi" w:hAnsiTheme="majorHAnsi"/>
                <w:sz w:val="19"/>
                <w:szCs w:val="19"/>
                <w:lang w:val="es-PA"/>
              </w:rPr>
              <w:t>(depósito del instrumento de ratificación realizado el 28 de diciembre de 1977)</w:t>
            </w:r>
          </w:p>
          <w:p w14:paraId="6AB0A733" w14:textId="57BC55C7" w:rsidR="000673D0" w:rsidRPr="009C6CB7" w:rsidRDefault="000673D0" w:rsidP="007F53E7">
            <w:pPr>
              <w:jc w:val="both"/>
              <w:rPr>
                <w:rFonts w:asciiTheme="majorHAnsi" w:hAnsiTheme="majorHAnsi"/>
                <w:bCs/>
                <w:sz w:val="19"/>
                <w:szCs w:val="19"/>
                <w:lang w:val="es-ES"/>
              </w:rPr>
            </w:pPr>
          </w:p>
        </w:tc>
      </w:tr>
    </w:tbl>
    <w:p w14:paraId="46F3B92A" w14:textId="369696BD" w:rsidR="000673D0" w:rsidRPr="009C6CB7" w:rsidRDefault="000673D0" w:rsidP="007F53E7">
      <w:pPr>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7F53E7">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7F53E7">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1C677C"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7F53E7">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60" w:type="dxa"/>
            <w:vAlign w:val="center"/>
          </w:tcPr>
          <w:p w14:paraId="5EB169C6" w14:textId="28AD9F7E" w:rsidR="000673D0" w:rsidRPr="009C6CB7" w:rsidRDefault="00CF41C4" w:rsidP="007F53E7">
            <w:pPr>
              <w:jc w:val="both"/>
              <w:rPr>
                <w:rFonts w:asciiTheme="majorHAnsi" w:hAnsiTheme="majorHAnsi"/>
                <w:bCs/>
                <w:sz w:val="19"/>
                <w:szCs w:val="19"/>
                <w:lang w:val="es-PA" w:eastAsia="es-ES"/>
              </w:rPr>
            </w:pPr>
            <w:r>
              <w:rPr>
                <w:rFonts w:asciiTheme="majorHAnsi" w:hAnsiTheme="majorHAnsi"/>
                <w:bCs/>
                <w:sz w:val="19"/>
                <w:szCs w:val="19"/>
                <w:lang w:val="es-ES" w:eastAsia="es-ES"/>
              </w:rPr>
              <w:t xml:space="preserve"> </w:t>
            </w:r>
            <w:r w:rsidR="007C01D6">
              <w:rPr>
                <w:rFonts w:asciiTheme="majorHAnsi" w:hAnsiTheme="majorHAnsi"/>
                <w:bCs/>
                <w:sz w:val="19"/>
                <w:szCs w:val="19"/>
                <w:lang w:val="es-PA"/>
              </w:rPr>
              <w:t>Artículos 5 (integridad personal), 8 (garantías judiciales), 9 (principio de legalidad y retroactividad), 11 (honra y dignidad), 21 (propiedad privada), 24 (igualdad ante la ley) y 25 (protección judicial) de la Convención Americana en relación con sus artículos 1.1. (obligación de respetar los derechos) y 2 (deber de adoptar disposiciones de derecho interno)</w:t>
            </w:r>
          </w:p>
        </w:tc>
      </w:tr>
      <w:tr w:rsidR="000673D0" w:rsidRPr="001C677C"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7F53E7">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1320A75F" w:rsidR="000673D0" w:rsidRPr="009C6CB7" w:rsidRDefault="00CF41C4" w:rsidP="007F53E7">
            <w:pPr>
              <w:rPr>
                <w:rFonts w:asciiTheme="majorHAnsi" w:hAnsiTheme="majorHAnsi"/>
                <w:bCs/>
                <w:sz w:val="19"/>
                <w:szCs w:val="19"/>
                <w:lang w:val="es-ES"/>
              </w:rPr>
            </w:pPr>
            <w:r>
              <w:rPr>
                <w:rFonts w:asciiTheme="majorHAnsi" w:hAnsiTheme="majorHAnsi"/>
                <w:bCs/>
                <w:sz w:val="19"/>
                <w:szCs w:val="19"/>
                <w:lang w:val="es-ES"/>
              </w:rPr>
              <w:t>Sí, en los términos de la Sección VI</w:t>
            </w:r>
          </w:p>
        </w:tc>
      </w:tr>
      <w:tr w:rsidR="000673D0" w:rsidRPr="001C677C"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7F53E7">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Presentación dentro de plaz</w:t>
            </w:r>
            <w:r w:rsidRPr="009C6CB7">
              <w:rPr>
                <w:rFonts w:asciiTheme="majorHAnsi" w:hAnsiTheme="majorHAnsi"/>
                <w:b/>
                <w:bCs/>
                <w:color w:val="FFFFFF" w:themeColor="background1"/>
                <w:sz w:val="19"/>
                <w:szCs w:val="19"/>
              </w:rPr>
              <w:t>o:</w:t>
            </w:r>
          </w:p>
        </w:tc>
        <w:tc>
          <w:tcPr>
            <w:tcW w:w="5760" w:type="dxa"/>
            <w:vAlign w:val="center"/>
          </w:tcPr>
          <w:p w14:paraId="6D2FF784" w14:textId="55230A02" w:rsidR="000673D0" w:rsidRPr="00CF41C4" w:rsidRDefault="00D06F66" w:rsidP="007F53E7">
            <w:pPr>
              <w:rPr>
                <w:rFonts w:asciiTheme="majorHAnsi" w:hAnsiTheme="majorHAnsi"/>
                <w:bCs/>
                <w:sz w:val="19"/>
                <w:szCs w:val="19"/>
                <w:lang w:val="es-PA"/>
              </w:rPr>
            </w:pPr>
            <w:r w:rsidRPr="00CF41C4">
              <w:rPr>
                <w:rFonts w:asciiTheme="majorHAnsi" w:hAnsiTheme="majorHAnsi"/>
                <w:bCs/>
                <w:sz w:val="19"/>
                <w:szCs w:val="19"/>
                <w:lang w:val="es-PA"/>
              </w:rPr>
              <w:t xml:space="preserve">Sí, </w:t>
            </w:r>
            <w:r w:rsidR="00CF41C4">
              <w:rPr>
                <w:rFonts w:asciiTheme="majorHAnsi" w:hAnsiTheme="majorHAnsi"/>
                <w:bCs/>
                <w:sz w:val="19"/>
                <w:szCs w:val="19"/>
                <w:lang w:val="es-PA"/>
              </w:rPr>
              <w:t>en los términos de la Sección VI</w:t>
            </w:r>
          </w:p>
        </w:tc>
      </w:tr>
    </w:tbl>
    <w:p w14:paraId="0207FC73" w14:textId="77777777" w:rsidR="003332A8" w:rsidRDefault="003332A8" w:rsidP="007F53E7">
      <w:pPr>
        <w:ind w:firstLine="720"/>
        <w:jc w:val="both"/>
        <w:rPr>
          <w:rFonts w:asciiTheme="majorHAnsi" w:hAnsiTheme="majorHAnsi"/>
          <w:b/>
          <w:sz w:val="20"/>
          <w:szCs w:val="20"/>
          <w:lang w:val="es-UY"/>
        </w:rPr>
      </w:pPr>
    </w:p>
    <w:p w14:paraId="18E6423B" w14:textId="6CF4AFC5" w:rsidR="003239B8" w:rsidRPr="000673D0" w:rsidRDefault="00223A29" w:rsidP="007F53E7">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572F0B2F" w14:textId="77777777" w:rsidR="007F53E7" w:rsidRPr="007F53E7" w:rsidRDefault="007F53E7"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CBA6EB4" w14:textId="42CCF9A5" w:rsidR="00DA13A2" w:rsidRPr="007F53E7" w:rsidRDefault="0009105C"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Efrén</w:t>
      </w:r>
      <w:r w:rsidR="007C01D6">
        <w:rPr>
          <w:rFonts w:ascii="Cambria" w:hAnsi="Cambria"/>
          <w:bCs/>
          <w:sz w:val="20"/>
          <w:szCs w:val="20"/>
          <w:lang w:val="es-PA"/>
        </w:rPr>
        <w:t xml:space="preserve"> Guerrero Salgado, David Cordero Heredia y </w:t>
      </w:r>
      <w:r w:rsidR="00D51B07">
        <w:rPr>
          <w:rFonts w:ascii="Cambria" w:hAnsi="Cambria"/>
          <w:bCs/>
          <w:sz w:val="20"/>
          <w:szCs w:val="20"/>
          <w:lang w:val="es-PA"/>
        </w:rPr>
        <w:t>Niki Sánchez Verrezueta</w:t>
      </w:r>
      <w:r w:rsidR="0040728E">
        <w:rPr>
          <w:rFonts w:ascii="Cambria" w:hAnsi="Cambria"/>
          <w:bCs/>
          <w:sz w:val="20"/>
          <w:szCs w:val="20"/>
          <w:lang w:val="es-PA"/>
        </w:rPr>
        <w:t xml:space="preserve"> (en adelante “la parte peticionaria”)</w:t>
      </w:r>
      <w:r w:rsidR="00D51B07">
        <w:rPr>
          <w:rFonts w:ascii="Cambria" w:hAnsi="Cambria"/>
          <w:bCs/>
          <w:sz w:val="20"/>
          <w:szCs w:val="20"/>
          <w:lang w:val="es-PA"/>
        </w:rPr>
        <w:t xml:space="preserve"> denuncian </w:t>
      </w:r>
      <w:r>
        <w:rPr>
          <w:rFonts w:ascii="Cambria" w:hAnsi="Cambria"/>
          <w:bCs/>
          <w:sz w:val="20"/>
          <w:szCs w:val="20"/>
          <w:lang w:val="es-PA"/>
        </w:rPr>
        <w:t>que el Estado confiscó arbitrariamente los bienes de</w:t>
      </w:r>
      <w:r w:rsidRPr="0009105C">
        <w:rPr>
          <w:rFonts w:ascii="Cambria" w:hAnsi="Cambria"/>
          <w:bCs/>
          <w:sz w:val="20"/>
          <w:szCs w:val="20"/>
          <w:lang w:val="es-PA"/>
        </w:rPr>
        <w:t xml:space="preserve"> </w:t>
      </w:r>
      <w:r>
        <w:rPr>
          <w:rFonts w:ascii="Cambria" w:hAnsi="Cambria"/>
          <w:bCs/>
          <w:sz w:val="20"/>
          <w:szCs w:val="20"/>
          <w:lang w:val="es-PA"/>
        </w:rPr>
        <w:t>María Fernanda Peñafiel Salgado y otras 25 personas (en adelante “las presuntas víctimas”) por el mero hecho de ser familiares de una persona que fue accionista de un banco que se encontraba en liquidación</w:t>
      </w:r>
      <w:r w:rsidR="00472AC8">
        <w:rPr>
          <w:rFonts w:ascii="Cambria" w:hAnsi="Cambria"/>
          <w:bCs/>
          <w:sz w:val="20"/>
          <w:szCs w:val="20"/>
          <w:lang w:val="es-PA"/>
        </w:rPr>
        <w:t xml:space="preserve">. También denuncia que el Estado </w:t>
      </w:r>
      <w:r w:rsidR="00472AC8">
        <w:rPr>
          <w:rFonts w:ascii="Cambria" w:hAnsi="Cambria"/>
          <w:bCs/>
          <w:sz w:val="20"/>
          <w:szCs w:val="20"/>
          <w:lang w:val="es-PA"/>
        </w:rPr>
        <w:lastRenderedPageBreak/>
        <w:t xml:space="preserve">privó a las presuntas víctimas de un acceso efectivo a la justicia mediante mandatos de la Asamblea Constituyente que excluyeron </w:t>
      </w:r>
      <w:r w:rsidR="00D56869">
        <w:rPr>
          <w:rFonts w:ascii="Cambria" w:hAnsi="Cambria"/>
          <w:bCs/>
          <w:sz w:val="20"/>
          <w:szCs w:val="20"/>
          <w:lang w:val="es-PA"/>
        </w:rPr>
        <w:t xml:space="preserve">del control constitucional </w:t>
      </w:r>
      <w:r w:rsidR="00600DAD">
        <w:rPr>
          <w:rFonts w:ascii="Cambria" w:hAnsi="Cambria"/>
          <w:bCs/>
          <w:sz w:val="20"/>
          <w:szCs w:val="20"/>
          <w:lang w:val="es-PA"/>
        </w:rPr>
        <w:t xml:space="preserve">a </w:t>
      </w:r>
      <w:r w:rsidR="00472AC8">
        <w:rPr>
          <w:rFonts w:ascii="Cambria" w:hAnsi="Cambria"/>
          <w:bCs/>
          <w:sz w:val="20"/>
          <w:szCs w:val="20"/>
          <w:lang w:val="es-PA"/>
        </w:rPr>
        <w:t xml:space="preserve">las medidas dictadas contra </w:t>
      </w:r>
      <w:r w:rsidR="00D56869">
        <w:rPr>
          <w:rFonts w:ascii="Cambria" w:hAnsi="Cambria"/>
          <w:bCs/>
          <w:sz w:val="20"/>
          <w:szCs w:val="20"/>
          <w:lang w:val="es-PA"/>
        </w:rPr>
        <w:t>el</w:t>
      </w:r>
      <w:r w:rsidR="00472AC8">
        <w:rPr>
          <w:rFonts w:ascii="Cambria" w:hAnsi="Cambria"/>
          <w:bCs/>
          <w:sz w:val="20"/>
          <w:szCs w:val="20"/>
          <w:lang w:val="es-PA"/>
        </w:rPr>
        <w:t>las</w:t>
      </w:r>
      <w:r w:rsidR="00D56869">
        <w:rPr>
          <w:rFonts w:ascii="Cambria" w:hAnsi="Cambria"/>
          <w:bCs/>
          <w:sz w:val="20"/>
          <w:szCs w:val="20"/>
          <w:lang w:val="es-PA"/>
        </w:rPr>
        <w:t>;</w:t>
      </w:r>
      <w:r w:rsidR="00472AC8">
        <w:rPr>
          <w:rFonts w:ascii="Cambria" w:hAnsi="Cambria"/>
          <w:bCs/>
          <w:sz w:val="20"/>
          <w:szCs w:val="20"/>
          <w:lang w:val="es-PA"/>
        </w:rPr>
        <w:t xml:space="preserve"> y </w:t>
      </w:r>
      <w:r w:rsidR="001D15D1">
        <w:rPr>
          <w:rFonts w:ascii="Cambria" w:hAnsi="Cambria"/>
          <w:bCs/>
          <w:sz w:val="20"/>
          <w:szCs w:val="20"/>
          <w:lang w:val="es-PA"/>
        </w:rPr>
        <w:t xml:space="preserve">que dio </w:t>
      </w:r>
      <w:r w:rsidR="00472AC8">
        <w:rPr>
          <w:rFonts w:ascii="Cambria" w:hAnsi="Cambria"/>
          <w:bCs/>
          <w:sz w:val="20"/>
          <w:szCs w:val="20"/>
          <w:lang w:val="es-PA"/>
        </w:rPr>
        <w:t xml:space="preserve">directivas a los tribunales </w:t>
      </w:r>
      <w:r w:rsidR="00600DAD">
        <w:rPr>
          <w:rFonts w:ascii="Cambria" w:hAnsi="Cambria"/>
          <w:bCs/>
          <w:sz w:val="20"/>
          <w:szCs w:val="20"/>
          <w:lang w:val="es-PA"/>
        </w:rPr>
        <w:t xml:space="preserve">para que fallaran contra los intereses de </w:t>
      </w:r>
      <w:r w:rsidR="00D56869">
        <w:rPr>
          <w:rFonts w:ascii="Cambria" w:hAnsi="Cambria"/>
          <w:bCs/>
          <w:sz w:val="20"/>
          <w:szCs w:val="20"/>
          <w:lang w:val="es-PA"/>
        </w:rPr>
        <w:t>estas</w:t>
      </w:r>
      <w:r w:rsidR="00600DAD">
        <w:rPr>
          <w:rFonts w:ascii="Cambria" w:hAnsi="Cambria"/>
          <w:bCs/>
          <w:sz w:val="20"/>
          <w:szCs w:val="20"/>
          <w:lang w:val="es-PA"/>
        </w:rPr>
        <w:t xml:space="preserve">. </w:t>
      </w:r>
      <w:r w:rsidR="001D15D1">
        <w:rPr>
          <w:rFonts w:ascii="Cambria" w:hAnsi="Cambria"/>
          <w:bCs/>
          <w:sz w:val="20"/>
          <w:szCs w:val="20"/>
          <w:lang w:val="es-PA"/>
        </w:rPr>
        <w:t xml:space="preserve">Sostiene igualmente </w:t>
      </w:r>
      <w:r w:rsidR="00600DAD">
        <w:rPr>
          <w:rFonts w:ascii="Cambria" w:hAnsi="Cambria"/>
          <w:bCs/>
          <w:sz w:val="20"/>
          <w:szCs w:val="20"/>
          <w:lang w:val="es-PA"/>
        </w:rPr>
        <w:t xml:space="preserve">que las autoridades estatales incurrieron en violencia y abuso de la fuerza durante la ejecución de las medidas para tomar control sobre los bienes de las presuntas víctimas. </w:t>
      </w:r>
      <w:r w:rsidR="00472AC8">
        <w:rPr>
          <w:rFonts w:ascii="Cambria" w:hAnsi="Cambria"/>
          <w:bCs/>
          <w:sz w:val="20"/>
          <w:szCs w:val="20"/>
          <w:lang w:val="es-PA"/>
        </w:rPr>
        <w:t xml:space="preserve">  </w:t>
      </w:r>
    </w:p>
    <w:p w14:paraId="4C91F42D" w14:textId="77777777" w:rsidR="007F53E7" w:rsidRPr="0040728E" w:rsidRDefault="007F53E7"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56524458" w14:textId="68A5A647" w:rsidR="0040728E" w:rsidRDefault="001D15D1"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w:t>
      </w:r>
      <w:r w:rsidR="00177599">
        <w:rPr>
          <w:rFonts w:ascii="Cambria" w:hAnsi="Cambria"/>
          <w:sz w:val="20"/>
          <w:szCs w:val="20"/>
          <w:lang w:val="es-UY"/>
        </w:rPr>
        <w:t>9 de julio de 2008 la Asamblea Constituyente emitió su Mandato Constituyente No. 13</w:t>
      </w:r>
      <w:r w:rsidR="00E54E3C">
        <w:rPr>
          <w:rFonts w:ascii="Cambria" w:hAnsi="Cambria"/>
          <w:sz w:val="20"/>
          <w:szCs w:val="20"/>
          <w:lang w:val="es-UY"/>
        </w:rPr>
        <w:t xml:space="preserve"> (en adelante “el Mandato 13”)</w:t>
      </w:r>
      <w:r w:rsidR="00177599">
        <w:rPr>
          <w:rFonts w:ascii="Cambria" w:hAnsi="Cambria"/>
          <w:sz w:val="20"/>
          <w:szCs w:val="20"/>
          <w:lang w:val="es-UY"/>
        </w:rPr>
        <w:t xml:space="preserve"> mediante el cual legitimó retroactivamente una resolución </w:t>
      </w:r>
      <w:r>
        <w:rPr>
          <w:rFonts w:ascii="Cambria" w:hAnsi="Cambria"/>
          <w:sz w:val="20"/>
          <w:szCs w:val="20"/>
          <w:lang w:val="es-UY"/>
        </w:rPr>
        <w:t>de</w:t>
      </w:r>
      <w:r w:rsidR="00177599">
        <w:rPr>
          <w:rFonts w:ascii="Cambria" w:hAnsi="Cambria"/>
          <w:sz w:val="20"/>
          <w:szCs w:val="20"/>
          <w:lang w:val="es-UY"/>
        </w:rPr>
        <w:t xml:space="preserve"> 8 de julio de 2008 </w:t>
      </w:r>
      <w:r>
        <w:rPr>
          <w:rFonts w:ascii="Cambria" w:hAnsi="Cambria"/>
          <w:sz w:val="20"/>
          <w:szCs w:val="20"/>
          <w:lang w:val="es-UY"/>
        </w:rPr>
        <w:t>de</w:t>
      </w:r>
      <w:r w:rsidR="008C105C">
        <w:rPr>
          <w:rFonts w:ascii="Cambria" w:hAnsi="Cambria"/>
          <w:sz w:val="20"/>
          <w:szCs w:val="20"/>
          <w:lang w:val="es-UY"/>
        </w:rPr>
        <w:t xml:space="preserve"> la Agencia de Garantía de Depósitos</w:t>
      </w:r>
      <w:r w:rsidR="00EB60C6">
        <w:rPr>
          <w:rFonts w:ascii="Cambria" w:hAnsi="Cambria"/>
          <w:sz w:val="20"/>
          <w:szCs w:val="20"/>
          <w:lang w:val="es-UY"/>
        </w:rPr>
        <w:t xml:space="preserve"> (en adelante “AGD”)</w:t>
      </w:r>
      <w:r w:rsidR="008C105C">
        <w:rPr>
          <w:rFonts w:ascii="Cambria" w:hAnsi="Cambria"/>
          <w:sz w:val="20"/>
          <w:szCs w:val="20"/>
          <w:lang w:val="es-UY"/>
        </w:rPr>
        <w:t xml:space="preserve"> en la </w:t>
      </w:r>
      <w:r w:rsidR="00B623DB">
        <w:rPr>
          <w:rFonts w:ascii="Cambria" w:hAnsi="Cambria"/>
          <w:sz w:val="20"/>
          <w:szCs w:val="20"/>
          <w:lang w:val="es-UY"/>
        </w:rPr>
        <w:t>que se ordenaba la incautación de los bienes de</w:t>
      </w:r>
      <w:r w:rsidR="00155030">
        <w:rPr>
          <w:rFonts w:ascii="Cambria" w:hAnsi="Cambria"/>
          <w:sz w:val="20"/>
          <w:szCs w:val="20"/>
          <w:lang w:val="es-UY"/>
        </w:rPr>
        <w:t xml:space="preserve"> los ex</w:t>
      </w:r>
      <w:r w:rsidR="00B623DB">
        <w:rPr>
          <w:rFonts w:ascii="Cambria" w:hAnsi="Cambria"/>
          <w:sz w:val="20"/>
          <w:szCs w:val="20"/>
          <w:lang w:val="es-UY"/>
        </w:rPr>
        <w:t>administradores</w:t>
      </w:r>
      <w:r w:rsidR="00155030">
        <w:rPr>
          <w:rFonts w:ascii="Cambria" w:hAnsi="Cambria"/>
          <w:sz w:val="20"/>
          <w:szCs w:val="20"/>
          <w:lang w:val="es-UY"/>
        </w:rPr>
        <w:t xml:space="preserve"> y ex accionistas de</w:t>
      </w:r>
      <w:r w:rsidR="00B623DB">
        <w:rPr>
          <w:rFonts w:ascii="Cambria" w:hAnsi="Cambria"/>
          <w:sz w:val="20"/>
          <w:szCs w:val="20"/>
          <w:lang w:val="es-UY"/>
        </w:rPr>
        <w:t xml:space="preserve"> </w:t>
      </w:r>
      <w:r w:rsidR="00155030">
        <w:rPr>
          <w:rFonts w:ascii="Cambria" w:hAnsi="Cambria"/>
          <w:sz w:val="20"/>
          <w:szCs w:val="20"/>
          <w:lang w:val="es-UY"/>
        </w:rPr>
        <w:t>Filanbanco</w:t>
      </w:r>
      <w:r w:rsidR="00E54E3C">
        <w:rPr>
          <w:rFonts w:ascii="Cambria" w:hAnsi="Cambria"/>
          <w:sz w:val="20"/>
          <w:szCs w:val="20"/>
          <w:lang w:val="es-UY"/>
        </w:rPr>
        <w:t xml:space="preserve"> S.A</w:t>
      </w:r>
      <w:r w:rsidR="001B7DDA">
        <w:rPr>
          <w:rFonts w:ascii="Cambria" w:hAnsi="Cambria"/>
          <w:sz w:val="20"/>
          <w:szCs w:val="20"/>
          <w:lang w:val="es-PA"/>
        </w:rPr>
        <w:t>.</w:t>
      </w:r>
      <w:r w:rsidR="004D172D">
        <w:rPr>
          <w:rFonts w:ascii="Cambria" w:hAnsi="Cambria"/>
          <w:sz w:val="20"/>
          <w:szCs w:val="20"/>
          <w:lang w:val="es-PA"/>
        </w:rPr>
        <w:tab/>
      </w:r>
      <w:r>
        <w:rPr>
          <w:rFonts w:ascii="Cambria" w:hAnsi="Cambria"/>
          <w:sz w:val="20"/>
          <w:szCs w:val="20"/>
          <w:lang w:val="es-UY"/>
        </w:rPr>
        <w:t xml:space="preserve"> e impedía la presentación de amparo en su contra</w:t>
      </w:r>
      <w:r>
        <w:rPr>
          <w:rStyle w:val="FootnoteReference"/>
          <w:rFonts w:ascii="Cambria" w:hAnsi="Cambria"/>
          <w:sz w:val="20"/>
          <w:szCs w:val="20"/>
          <w:lang w:val="es-UY"/>
        </w:rPr>
        <w:footnoteReference w:id="7"/>
      </w:r>
      <w:r w:rsidR="00E54E3C">
        <w:rPr>
          <w:rFonts w:ascii="Cambria" w:hAnsi="Cambria"/>
          <w:sz w:val="20"/>
          <w:szCs w:val="20"/>
          <w:lang w:val="es-UY"/>
        </w:rPr>
        <w:t xml:space="preserve">. El Mandato No. 13 también ordenó a la AGD </w:t>
      </w:r>
      <w:r>
        <w:rPr>
          <w:rFonts w:ascii="Cambria" w:hAnsi="Cambria"/>
          <w:sz w:val="20"/>
          <w:szCs w:val="20"/>
          <w:lang w:val="es-UY"/>
        </w:rPr>
        <w:t xml:space="preserve">que </w:t>
      </w:r>
      <w:r w:rsidR="00E54E3C">
        <w:rPr>
          <w:rFonts w:ascii="Cambria" w:hAnsi="Cambria"/>
          <w:sz w:val="20"/>
          <w:szCs w:val="20"/>
          <w:lang w:val="es-UY"/>
        </w:rPr>
        <w:t>aplicar</w:t>
      </w:r>
      <w:r>
        <w:rPr>
          <w:rFonts w:ascii="Cambria" w:hAnsi="Cambria"/>
          <w:sz w:val="20"/>
          <w:szCs w:val="20"/>
          <w:lang w:val="es-UY"/>
        </w:rPr>
        <w:t>a</w:t>
      </w:r>
      <w:r w:rsidR="00E54E3C">
        <w:rPr>
          <w:rFonts w:ascii="Cambria" w:hAnsi="Cambria"/>
          <w:sz w:val="20"/>
          <w:szCs w:val="20"/>
          <w:lang w:val="es-UY"/>
        </w:rPr>
        <w:t xml:space="preserve"> el artículo 29 de la Ley de Reordenamiento en Materia Económica a todos los administradores y </w:t>
      </w:r>
      <w:r w:rsidR="00CE1193">
        <w:rPr>
          <w:rFonts w:ascii="Cambria" w:hAnsi="Cambria"/>
          <w:sz w:val="20"/>
          <w:szCs w:val="20"/>
          <w:lang w:val="es-UY"/>
        </w:rPr>
        <w:t>accionistas</w:t>
      </w:r>
      <w:r w:rsidR="00E54E3C">
        <w:rPr>
          <w:rFonts w:ascii="Cambria" w:hAnsi="Cambria"/>
          <w:sz w:val="20"/>
          <w:szCs w:val="20"/>
          <w:lang w:val="es-UY"/>
        </w:rPr>
        <w:t xml:space="preserve"> de bancos que hubiesen pasado al control de la AGD por cierre de operaciones</w:t>
      </w:r>
      <w:r w:rsidR="00CE1193">
        <w:rPr>
          <w:rFonts w:ascii="Cambria" w:hAnsi="Cambria"/>
          <w:sz w:val="20"/>
          <w:szCs w:val="20"/>
          <w:lang w:val="es-UY"/>
        </w:rPr>
        <w:t xml:space="preserve"> a los que les fuera aplicable dicho artículo</w:t>
      </w:r>
      <w:r>
        <w:rPr>
          <w:rStyle w:val="FootnoteReference"/>
          <w:rFonts w:ascii="Cambria" w:hAnsi="Cambria"/>
          <w:sz w:val="20"/>
          <w:szCs w:val="20"/>
          <w:lang w:val="es-UY"/>
        </w:rPr>
        <w:footnoteReference w:id="8"/>
      </w:r>
      <w:r w:rsidR="00CE1193">
        <w:rPr>
          <w:rFonts w:ascii="Cambria" w:hAnsi="Cambria"/>
          <w:sz w:val="20"/>
          <w:szCs w:val="20"/>
          <w:lang w:val="es-UY"/>
        </w:rPr>
        <w:t xml:space="preserve">. </w:t>
      </w:r>
      <w:r w:rsidR="007F53E7">
        <w:rPr>
          <w:rFonts w:ascii="Cambria" w:hAnsi="Cambria"/>
          <w:sz w:val="20"/>
          <w:szCs w:val="20"/>
          <w:lang w:val="es-UY"/>
        </w:rPr>
        <w:t>El</w:t>
      </w:r>
      <w:r w:rsidR="00852B5D">
        <w:rPr>
          <w:rFonts w:ascii="Cambria" w:hAnsi="Cambria"/>
          <w:sz w:val="20"/>
          <w:szCs w:val="20"/>
          <w:lang w:val="es-UY"/>
        </w:rPr>
        <w:t xml:space="preserve"> 24 de julio de 2008 la Asamblea Constituyente emitió el Mandato Constituyente No. 20 (en adelante </w:t>
      </w:r>
      <w:r>
        <w:rPr>
          <w:rFonts w:ascii="Cambria" w:hAnsi="Cambria"/>
          <w:sz w:val="20"/>
          <w:szCs w:val="20"/>
          <w:lang w:val="es-UY"/>
        </w:rPr>
        <w:t>“</w:t>
      </w:r>
      <w:r w:rsidR="00852B5D">
        <w:rPr>
          <w:rFonts w:ascii="Cambria" w:hAnsi="Cambria"/>
          <w:sz w:val="20"/>
          <w:szCs w:val="20"/>
          <w:lang w:val="es-UY"/>
        </w:rPr>
        <w:t xml:space="preserve">el Mandato </w:t>
      </w:r>
      <w:r w:rsidR="00040FAA">
        <w:rPr>
          <w:rFonts w:ascii="Cambria" w:hAnsi="Cambria"/>
          <w:sz w:val="20"/>
          <w:szCs w:val="20"/>
          <w:lang w:val="es-UY"/>
        </w:rPr>
        <w:t>20</w:t>
      </w:r>
      <w:r>
        <w:rPr>
          <w:rFonts w:ascii="Cambria" w:hAnsi="Cambria"/>
          <w:sz w:val="20"/>
          <w:szCs w:val="20"/>
          <w:lang w:val="es-UY"/>
        </w:rPr>
        <w:t>”</w:t>
      </w:r>
      <w:r w:rsidR="00040FAA">
        <w:rPr>
          <w:rFonts w:ascii="Cambria" w:hAnsi="Cambria"/>
          <w:sz w:val="20"/>
          <w:szCs w:val="20"/>
          <w:lang w:val="es-UY"/>
        </w:rPr>
        <w:t>)</w:t>
      </w:r>
      <w:r w:rsidR="007F53E7">
        <w:rPr>
          <w:rFonts w:ascii="Cambria" w:hAnsi="Cambria"/>
          <w:sz w:val="20"/>
          <w:szCs w:val="20"/>
          <w:lang w:val="es-UY"/>
        </w:rPr>
        <w:t xml:space="preserve"> </w:t>
      </w:r>
      <w:r w:rsidR="00040FAA">
        <w:rPr>
          <w:rFonts w:ascii="Cambria" w:hAnsi="Cambria"/>
          <w:sz w:val="20"/>
          <w:szCs w:val="20"/>
          <w:lang w:val="es-UY"/>
        </w:rPr>
        <w:t>que prohibía</w:t>
      </w:r>
      <w:r w:rsidR="007F53E7">
        <w:rPr>
          <w:rFonts w:ascii="Cambria" w:hAnsi="Cambria"/>
          <w:sz w:val="20"/>
          <w:szCs w:val="20"/>
          <w:lang w:val="es-UY"/>
        </w:rPr>
        <w:t xml:space="preserve"> los pagos a personas naturales o jurídicas acreedoras de los bancos liquidados o que estuvieran vinculadas a estos;</w:t>
      </w:r>
      <w:r w:rsidR="00C454F6">
        <w:rPr>
          <w:rFonts w:ascii="Cambria" w:hAnsi="Cambria"/>
          <w:sz w:val="20"/>
          <w:szCs w:val="20"/>
          <w:lang w:val="es-UY"/>
        </w:rPr>
        <w:t xml:space="preserve"> </w:t>
      </w:r>
      <w:r w:rsidR="007F53E7">
        <w:rPr>
          <w:rFonts w:ascii="Cambria" w:hAnsi="Cambria"/>
          <w:sz w:val="20"/>
          <w:szCs w:val="20"/>
          <w:lang w:val="es-UY"/>
        </w:rPr>
        <w:t xml:space="preserve">y </w:t>
      </w:r>
      <w:r w:rsidR="00C454F6">
        <w:rPr>
          <w:rFonts w:ascii="Cambria" w:hAnsi="Cambria"/>
          <w:sz w:val="20"/>
          <w:szCs w:val="20"/>
          <w:lang w:val="es-UY"/>
        </w:rPr>
        <w:t xml:space="preserve">que </w:t>
      </w:r>
      <w:r w:rsidR="007F53E7">
        <w:rPr>
          <w:rFonts w:ascii="Cambria" w:hAnsi="Cambria"/>
          <w:sz w:val="20"/>
          <w:szCs w:val="20"/>
          <w:lang w:val="es-UY"/>
        </w:rPr>
        <w:t>tales</w:t>
      </w:r>
      <w:r w:rsidR="00C454F6">
        <w:rPr>
          <w:rFonts w:ascii="Cambria" w:hAnsi="Cambria"/>
          <w:sz w:val="20"/>
          <w:szCs w:val="20"/>
          <w:lang w:val="es-UY"/>
        </w:rPr>
        <w:t xml:space="preserve"> pagos no deberían realizarse “ni aún con orden judicial o de otra autoridad”. </w:t>
      </w:r>
    </w:p>
    <w:p w14:paraId="448D59F9" w14:textId="77777777" w:rsidR="007F53E7" w:rsidRDefault="007F53E7"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20F7F479" w14:textId="0F146DB6" w:rsidR="00EE0C64" w:rsidRDefault="007F53E7"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La parte peticionaria i</w:t>
      </w:r>
      <w:r w:rsidR="00FE462E">
        <w:rPr>
          <w:rFonts w:ascii="Cambria" w:hAnsi="Cambria"/>
          <w:sz w:val="20"/>
          <w:szCs w:val="20"/>
          <w:lang w:val="es-UY"/>
        </w:rPr>
        <w:t>ndica</w:t>
      </w:r>
      <w:r w:rsidR="008076BB">
        <w:rPr>
          <w:rFonts w:ascii="Cambria" w:hAnsi="Cambria"/>
          <w:sz w:val="20"/>
          <w:szCs w:val="20"/>
          <w:lang w:val="es-UY"/>
        </w:rPr>
        <w:t xml:space="preserve"> que las disposiciones de los Mandatos 13 y 20 no resultaban aplicables a las presuntas v</w:t>
      </w:r>
      <w:r w:rsidR="00331341">
        <w:rPr>
          <w:rFonts w:ascii="Cambria" w:hAnsi="Cambria"/>
          <w:sz w:val="20"/>
          <w:szCs w:val="20"/>
          <w:lang w:val="es-UY"/>
        </w:rPr>
        <w:t>íctimas</w:t>
      </w:r>
      <w:r>
        <w:rPr>
          <w:rFonts w:ascii="Cambria" w:hAnsi="Cambria"/>
          <w:sz w:val="20"/>
          <w:szCs w:val="20"/>
          <w:lang w:val="es-UY"/>
        </w:rPr>
        <w:t>,</w:t>
      </w:r>
      <w:r w:rsidR="00331341">
        <w:rPr>
          <w:rFonts w:ascii="Cambria" w:hAnsi="Cambria"/>
          <w:sz w:val="20"/>
          <w:szCs w:val="20"/>
          <w:lang w:val="es-UY"/>
        </w:rPr>
        <w:t xml:space="preserve"> puesto que no guardaban relación </w:t>
      </w:r>
      <w:r>
        <w:rPr>
          <w:rFonts w:ascii="Cambria" w:hAnsi="Cambria"/>
          <w:sz w:val="20"/>
          <w:szCs w:val="20"/>
          <w:lang w:val="es-UY"/>
        </w:rPr>
        <w:t xml:space="preserve">alguna </w:t>
      </w:r>
      <w:r w:rsidR="00331341">
        <w:rPr>
          <w:rFonts w:ascii="Cambria" w:hAnsi="Cambria"/>
          <w:sz w:val="20"/>
          <w:szCs w:val="20"/>
          <w:lang w:val="es-UY"/>
        </w:rPr>
        <w:t xml:space="preserve">con </w:t>
      </w:r>
      <w:r w:rsidR="000D312B">
        <w:rPr>
          <w:rFonts w:ascii="Cambria" w:hAnsi="Cambria"/>
          <w:sz w:val="20"/>
          <w:szCs w:val="20"/>
          <w:lang w:val="es-UY"/>
        </w:rPr>
        <w:t xml:space="preserve">las </w:t>
      </w:r>
      <w:r w:rsidR="00331341">
        <w:rPr>
          <w:rFonts w:ascii="Cambria" w:hAnsi="Cambria"/>
          <w:sz w:val="20"/>
          <w:szCs w:val="20"/>
          <w:lang w:val="es-UY"/>
        </w:rPr>
        <w:t>entidad</w:t>
      </w:r>
      <w:r>
        <w:rPr>
          <w:rFonts w:ascii="Cambria" w:hAnsi="Cambria"/>
          <w:sz w:val="20"/>
          <w:szCs w:val="20"/>
          <w:lang w:val="es-UY"/>
        </w:rPr>
        <w:t>es</w:t>
      </w:r>
      <w:r w:rsidR="00331341">
        <w:rPr>
          <w:rFonts w:ascii="Cambria" w:hAnsi="Cambria"/>
          <w:sz w:val="20"/>
          <w:szCs w:val="20"/>
          <w:lang w:val="es-UY"/>
        </w:rPr>
        <w:t xml:space="preserve"> financiera</w:t>
      </w:r>
      <w:r>
        <w:rPr>
          <w:rFonts w:ascii="Cambria" w:hAnsi="Cambria"/>
          <w:sz w:val="20"/>
          <w:szCs w:val="20"/>
          <w:lang w:val="es-UY"/>
        </w:rPr>
        <w:t>s</w:t>
      </w:r>
      <w:r w:rsidR="000D312B">
        <w:rPr>
          <w:rFonts w:ascii="Cambria" w:hAnsi="Cambria"/>
          <w:sz w:val="20"/>
          <w:szCs w:val="20"/>
          <w:lang w:val="es-UY"/>
        </w:rPr>
        <w:t xml:space="preserve"> en liquidación</w:t>
      </w:r>
      <w:r>
        <w:rPr>
          <w:rFonts w:ascii="Cambria" w:hAnsi="Cambria"/>
          <w:sz w:val="20"/>
          <w:szCs w:val="20"/>
          <w:lang w:val="es-UY"/>
        </w:rPr>
        <w:t>;</w:t>
      </w:r>
      <w:r w:rsidR="00331341">
        <w:rPr>
          <w:rFonts w:ascii="Cambria" w:hAnsi="Cambria"/>
          <w:sz w:val="20"/>
          <w:szCs w:val="20"/>
          <w:lang w:val="es-UY"/>
        </w:rPr>
        <w:t xml:space="preserve"> y que, pese a ello, la AGD </w:t>
      </w:r>
      <w:r w:rsidR="000D312B">
        <w:rPr>
          <w:rFonts w:ascii="Cambria" w:hAnsi="Cambria"/>
          <w:sz w:val="20"/>
          <w:szCs w:val="20"/>
          <w:lang w:val="es-UY"/>
        </w:rPr>
        <w:t>dictó</w:t>
      </w:r>
      <w:r w:rsidR="00FE462E">
        <w:rPr>
          <w:rFonts w:ascii="Cambria" w:hAnsi="Cambria"/>
          <w:sz w:val="20"/>
          <w:szCs w:val="20"/>
          <w:lang w:val="es-UY"/>
        </w:rPr>
        <w:t xml:space="preserve"> entre el 27 de agosto y 21 de octubre de 2008 múltiples resoluciones </w:t>
      </w:r>
      <w:r w:rsidR="000D312B">
        <w:rPr>
          <w:rFonts w:ascii="Cambria" w:hAnsi="Cambria"/>
          <w:sz w:val="20"/>
          <w:szCs w:val="20"/>
          <w:lang w:val="es-UY"/>
        </w:rPr>
        <w:t xml:space="preserve">para la </w:t>
      </w:r>
      <w:r w:rsidR="00FE462E">
        <w:rPr>
          <w:rFonts w:ascii="Cambria" w:hAnsi="Cambria"/>
          <w:sz w:val="20"/>
          <w:szCs w:val="20"/>
          <w:lang w:val="es-UY"/>
        </w:rPr>
        <w:t>incautación de sus</w:t>
      </w:r>
      <w:r w:rsidR="00331341">
        <w:rPr>
          <w:rFonts w:ascii="Cambria" w:hAnsi="Cambria"/>
          <w:sz w:val="20"/>
          <w:szCs w:val="20"/>
          <w:lang w:val="es-UY"/>
        </w:rPr>
        <w:t xml:space="preserve"> bien</w:t>
      </w:r>
      <w:r w:rsidR="00FE462E">
        <w:rPr>
          <w:rFonts w:ascii="Cambria" w:hAnsi="Cambria"/>
          <w:sz w:val="20"/>
          <w:szCs w:val="20"/>
          <w:lang w:val="es-UY"/>
        </w:rPr>
        <w:t xml:space="preserve">es. Sostiene que </w:t>
      </w:r>
      <w:r w:rsidR="00331341">
        <w:rPr>
          <w:rFonts w:ascii="Cambria" w:hAnsi="Cambria"/>
          <w:sz w:val="20"/>
          <w:szCs w:val="20"/>
          <w:lang w:val="es-UY"/>
        </w:rPr>
        <w:t>la única razón</w:t>
      </w:r>
      <w:r w:rsidR="00FE462E">
        <w:rPr>
          <w:rFonts w:ascii="Cambria" w:hAnsi="Cambria"/>
          <w:sz w:val="20"/>
          <w:szCs w:val="20"/>
          <w:lang w:val="es-UY"/>
        </w:rPr>
        <w:t xml:space="preserve"> por la </w:t>
      </w:r>
      <w:r w:rsidR="000D312B">
        <w:rPr>
          <w:rFonts w:ascii="Cambria" w:hAnsi="Cambria"/>
          <w:sz w:val="20"/>
          <w:szCs w:val="20"/>
          <w:lang w:val="es-UY"/>
        </w:rPr>
        <w:t>que</w:t>
      </w:r>
      <w:r w:rsidR="00FE462E">
        <w:rPr>
          <w:rFonts w:ascii="Cambria" w:hAnsi="Cambria"/>
          <w:sz w:val="20"/>
          <w:szCs w:val="20"/>
          <w:lang w:val="es-UY"/>
        </w:rPr>
        <w:t xml:space="preserve"> se incautaron los bienes de las presuntas víctimas fue que </w:t>
      </w:r>
      <w:r w:rsidR="000D312B">
        <w:rPr>
          <w:rFonts w:ascii="Cambria" w:hAnsi="Cambria"/>
          <w:sz w:val="20"/>
          <w:szCs w:val="20"/>
          <w:lang w:val="es-UY"/>
        </w:rPr>
        <w:t>eran</w:t>
      </w:r>
      <w:r w:rsidR="00FE462E">
        <w:rPr>
          <w:rFonts w:ascii="Cambria" w:hAnsi="Cambria"/>
          <w:sz w:val="20"/>
          <w:szCs w:val="20"/>
          <w:lang w:val="es-UY"/>
        </w:rPr>
        <w:t xml:space="preserve"> familiares</w:t>
      </w:r>
      <w:r w:rsidR="00331341">
        <w:rPr>
          <w:rFonts w:ascii="Cambria" w:hAnsi="Cambria"/>
          <w:sz w:val="20"/>
          <w:szCs w:val="20"/>
          <w:lang w:val="es-UY"/>
        </w:rPr>
        <w:t xml:space="preserve"> de Alejandro Peñafiel, ex propietario de</w:t>
      </w:r>
      <w:r w:rsidR="000D312B">
        <w:rPr>
          <w:rFonts w:ascii="Cambria" w:hAnsi="Cambria"/>
          <w:sz w:val="20"/>
          <w:szCs w:val="20"/>
          <w:lang w:val="es-UY"/>
        </w:rPr>
        <w:t>l</w:t>
      </w:r>
      <w:r w:rsidR="00331341">
        <w:rPr>
          <w:rFonts w:ascii="Cambria" w:hAnsi="Cambria"/>
          <w:sz w:val="20"/>
          <w:szCs w:val="20"/>
          <w:lang w:val="es-UY"/>
        </w:rPr>
        <w:t xml:space="preserve"> </w:t>
      </w:r>
      <w:r w:rsidR="000D312B">
        <w:rPr>
          <w:rFonts w:ascii="Cambria" w:hAnsi="Cambria"/>
          <w:sz w:val="20"/>
          <w:szCs w:val="20"/>
          <w:lang w:val="es-UY"/>
        </w:rPr>
        <w:t>Banco de Préstamos S.A.,</w:t>
      </w:r>
      <w:r w:rsidR="00331341">
        <w:rPr>
          <w:rFonts w:ascii="Cambria" w:hAnsi="Cambria"/>
          <w:sz w:val="20"/>
          <w:szCs w:val="20"/>
          <w:lang w:val="es-UY"/>
        </w:rPr>
        <w:t xml:space="preserve"> </w:t>
      </w:r>
      <w:r w:rsidR="00E327E6">
        <w:rPr>
          <w:rFonts w:ascii="Cambria" w:hAnsi="Cambria"/>
          <w:sz w:val="20"/>
          <w:szCs w:val="20"/>
          <w:lang w:val="es-UY"/>
        </w:rPr>
        <w:t>que se encontraba en liquidación</w:t>
      </w:r>
      <w:r w:rsidR="00331341">
        <w:rPr>
          <w:rFonts w:ascii="Cambria" w:hAnsi="Cambria"/>
          <w:sz w:val="20"/>
          <w:szCs w:val="20"/>
          <w:lang w:val="es-UY"/>
        </w:rPr>
        <w:t xml:space="preserve">. </w:t>
      </w:r>
      <w:r w:rsidR="00E327E6">
        <w:rPr>
          <w:rFonts w:ascii="Cambria" w:hAnsi="Cambria"/>
          <w:sz w:val="20"/>
          <w:szCs w:val="20"/>
          <w:lang w:val="es-UY"/>
        </w:rPr>
        <w:t xml:space="preserve">Alega que las presuntas víctimas nunca han mantenido vínculo jurídico ni comercial </w:t>
      </w:r>
      <w:r w:rsidR="000D312B">
        <w:rPr>
          <w:rFonts w:ascii="Cambria" w:hAnsi="Cambria"/>
          <w:sz w:val="20"/>
          <w:szCs w:val="20"/>
          <w:lang w:val="es-UY"/>
        </w:rPr>
        <w:t xml:space="preserve">alguno </w:t>
      </w:r>
      <w:r w:rsidR="00E327E6">
        <w:rPr>
          <w:rFonts w:ascii="Cambria" w:hAnsi="Cambria"/>
          <w:sz w:val="20"/>
          <w:szCs w:val="20"/>
          <w:lang w:val="es-UY"/>
        </w:rPr>
        <w:t xml:space="preserve">con </w:t>
      </w:r>
      <w:r w:rsidR="000D312B">
        <w:rPr>
          <w:rFonts w:ascii="Cambria" w:hAnsi="Cambria"/>
          <w:sz w:val="20"/>
          <w:szCs w:val="20"/>
          <w:lang w:val="es-UY"/>
        </w:rPr>
        <w:t>dicha persona ni con el mencionado banco</w:t>
      </w:r>
      <w:r w:rsidR="00E327E6">
        <w:rPr>
          <w:rFonts w:ascii="Cambria" w:hAnsi="Cambria"/>
          <w:sz w:val="20"/>
          <w:szCs w:val="20"/>
          <w:lang w:val="es-UY"/>
        </w:rPr>
        <w:t>, con la excepción de Ana María Peñafiel</w:t>
      </w:r>
      <w:r w:rsidR="000D312B">
        <w:rPr>
          <w:rFonts w:ascii="Cambria" w:hAnsi="Cambria"/>
          <w:sz w:val="20"/>
          <w:szCs w:val="20"/>
          <w:lang w:val="es-UY"/>
        </w:rPr>
        <w:t>, que</w:t>
      </w:r>
      <w:r w:rsidR="00E327E6">
        <w:rPr>
          <w:rFonts w:ascii="Cambria" w:hAnsi="Cambria"/>
          <w:sz w:val="20"/>
          <w:szCs w:val="20"/>
          <w:lang w:val="es-UY"/>
        </w:rPr>
        <w:t xml:space="preserve"> había </w:t>
      </w:r>
      <w:r w:rsidR="000D312B">
        <w:rPr>
          <w:rFonts w:ascii="Cambria" w:hAnsi="Cambria"/>
          <w:sz w:val="20"/>
          <w:szCs w:val="20"/>
          <w:lang w:val="es-UY"/>
        </w:rPr>
        <w:t>sido</w:t>
      </w:r>
      <w:r w:rsidR="00E327E6">
        <w:rPr>
          <w:rFonts w:ascii="Cambria" w:hAnsi="Cambria"/>
          <w:sz w:val="20"/>
          <w:szCs w:val="20"/>
          <w:lang w:val="es-UY"/>
        </w:rPr>
        <w:t xml:space="preserve"> directora del </w:t>
      </w:r>
      <w:r w:rsidR="000D312B">
        <w:rPr>
          <w:rFonts w:ascii="Cambria" w:hAnsi="Cambria"/>
          <w:sz w:val="20"/>
          <w:szCs w:val="20"/>
          <w:lang w:val="es-UY"/>
        </w:rPr>
        <w:t xml:space="preserve">mismo </w:t>
      </w:r>
      <w:r w:rsidR="00E327E6">
        <w:rPr>
          <w:rFonts w:ascii="Cambria" w:hAnsi="Cambria"/>
          <w:sz w:val="20"/>
          <w:szCs w:val="20"/>
          <w:lang w:val="es-UY"/>
        </w:rPr>
        <w:t>pero años antes de que ocurri</w:t>
      </w:r>
      <w:r w:rsidR="0004448B">
        <w:rPr>
          <w:rFonts w:ascii="Cambria" w:hAnsi="Cambria"/>
          <w:sz w:val="20"/>
          <w:szCs w:val="20"/>
          <w:lang w:val="es-UY"/>
        </w:rPr>
        <w:t>eran los problemas que llevaron</w:t>
      </w:r>
      <w:r w:rsidR="00841ACA">
        <w:rPr>
          <w:rFonts w:ascii="Cambria" w:hAnsi="Cambria"/>
          <w:sz w:val="20"/>
          <w:szCs w:val="20"/>
          <w:lang w:val="es-UY"/>
        </w:rPr>
        <w:t xml:space="preserve"> a </w:t>
      </w:r>
      <w:r w:rsidR="000D312B">
        <w:rPr>
          <w:rFonts w:ascii="Cambria" w:hAnsi="Cambria"/>
          <w:sz w:val="20"/>
          <w:szCs w:val="20"/>
          <w:lang w:val="es-UY"/>
        </w:rPr>
        <w:t>su</w:t>
      </w:r>
      <w:r w:rsidR="00841ACA">
        <w:rPr>
          <w:rFonts w:ascii="Cambria" w:hAnsi="Cambria"/>
          <w:sz w:val="20"/>
          <w:szCs w:val="20"/>
          <w:lang w:val="es-UY"/>
        </w:rPr>
        <w:t xml:space="preserve"> liquidación</w:t>
      </w:r>
      <w:r w:rsidR="000D312B">
        <w:rPr>
          <w:rFonts w:ascii="Cambria" w:hAnsi="Cambria"/>
          <w:sz w:val="20"/>
          <w:szCs w:val="20"/>
          <w:lang w:val="es-UY"/>
        </w:rPr>
        <w:t>;</w:t>
      </w:r>
      <w:r w:rsidR="0004448B">
        <w:rPr>
          <w:rFonts w:ascii="Cambria" w:hAnsi="Cambria"/>
          <w:sz w:val="20"/>
          <w:szCs w:val="20"/>
          <w:lang w:val="es-UY"/>
        </w:rPr>
        <w:t xml:space="preserve"> de Paulina del Consuelo Peñafiel Salgado y Ana María Fernanda Peñafiel Salgado</w:t>
      </w:r>
      <w:r w:rsidR="000D312B">
        <w:rPr>
          <w:rFonts w:ascii="Cambria" w:hAnsi="Cambria"/>
          <w:sz w:val="20"/>
          <w:szCs w:val="20"/>
          <w:lang w:val="es-UY"/>
        </w:rPr>
        <w:t>,</w:t>
      </w:r>
      <w:r w:rsidR="0004448B">
        <w:rPr>
          <w:rFonts w:ascii="Cambria" w:hAnsi="Cambria"/>
          <w:sz w:val="20"/>
          <w:szCs w:val="20"/>
          <w:lang w:val="es-UY"/>
        </w:rPr>
        <w:t xml:space="preserve"> </w:t>
      </w:r>
      <w:r w:rsidR="000D312B">
        <w:rPr>
          <w:rFonts w:ascii="Cambria" w:hAnsi="Cambria"/>
          <w:sz w:val="20"/>
          <w:szCs w:val="20"/>
          <w:lang w:val="es-UY"/>
        </w:rPr>
        <w:t>que</w:t>
      </w:r>
      <w:r w:rsidR="0004448B">
        <w:rPr>
          <w:rFonts w:ascii="Cambria" w:hAnsi="Cambria"/>
          <w:sz w:val="20"/>
          <w:szCs w:val="20"/>
          <w:lang w:val="es-UY"/>
        </w:rPr>
        <w:t xml:space="preserve"> recibieron un crédito </w:t>
      </w:r>
      <w:r w:rsidR="000D312B">
        <w:rPr>
          <w:rFonts w:ascii="Cambria" w:hAnsi="Cambria"/>
          <w:sz w:val="20"/>
          <w:szCs w:val="20"/>
          <w:lang w:val="es-UY"/>
        </w:rPr>
        <w:t xml:space="preserve">de dicha entidad financiera pero que </w:t>
      </w:r>
      <w:r w:rsidR="0004448B">
        <w:rPr>
          <w:rFonts w:ascii="Cambria" w:hAnsi="Cambria"/>
          <w:sz w:val="20"/>
          <w:szCs w:val="20"/>
          <w:lang w:val="es-UY"/>
        </w:rPr>
        <w:t>fue cancelado 6 años antes de las incautaciones</w:t>
      </w:r>
      <w:r w:rsidR="000D312B">
        <w:rPr>
          <w:rFonts w:ascii="Cambria" w:hAnsi="Cambria"/>
          <w:sz w:val="20"/>
          <w:szCs w:val="20"/>
          <w:lang w:val="es-UY"/>
        </w:rPr>
        <w:t>;</w:t>
      </w:r>
      <w:r w:rsidR="00796283">
        <w:rPr>
          <w:rFonts w:ascii="Cambria" w:hAnsi="Cambria"/>
          <w:sz w:val="20"/>
          <w:szCs w:val="20"/>
          <w:lang w:val="es-UY"/>
        </w:rPr>
        <w:t xml:space="preserve"> y </w:t>
      </w:r>
      <w:r w:rsidR="000D312B">
        <w:rPr>
          <w:rFonts w:ascii="Cambria" w:hAnsi="Cambria"/>
          <w:sz w:val="20"/>
          <w:szCs w:val="20"/>
          <w:lang w:val="es-UY"/>
        </w:rPr>
        <w:t xml:space="preserve">de </w:t>
      </w:r>
      <w:r w:rsidR="00796283">
        <w:rPr>
          <w:rFonts w:ascii="Cambria" w:hAnsi="Cambria"/>
          <w:sz w:val="20"/>
          <w:szCs w:val="20"/>
          <w:lang w:val="es-UY"/>
        </w:rPr>
        <w:t>David Estevan Peñafiel Salgado</w:t>
      </w:r>
      <w:r w:rsidR="000D312B">
        <w:rPr>
          <w:rFonts w:ascii="Cambria" w:hAnsi="Cambria"/>
          <w:sz w:val="20"/>
          <w:szCs w:val="20"/>
          <w:lang w:val="es-UY"/>
        </w:rPr>
        <w:t>, que</w:t>
      </w:r>
      <w:r w:rsidR="00EE0C64">
        <w:rPr>
          <w:rFonts w:ascii="Cambria" w:hAnsi="Cambria"/>
          <w:sz w:val="20"/>
          <w:szCs w:val="20"/>
          <w:lang w:val="es-UY"/>
        </w:rPr>
        <w:t xml:space="preserve"> era accionista en proporción menor al 1% y por tanto no cumplía los requisitos establecidos en la ley doméstica para ser considerado </w:t>
      </w:r>
      <w:r w:rsidR="000D312B">
        <w:rPr>
          <w:rFonts w:ascii="Cambria" w:hAnsi="Cambria"/>
          <w:sz w:val="20"/>
          <w:szCs w:val="20"/>
          <w:lang w:val="es-UY"/>
        </w:rPr>
        <w:t xml:space="preserve">como </w:t>
      </w:r>
      <w:r w:rsidR="00EE0C64">
        <w:rPr>
          <w:rFonts w:ascii="Cambria" w:hAnsi="Cambria"/>
          <w:sz w:val="20"/>
          <w:szCs w:val="20"/>
          <w:lang w:val="es-UY"/>
        </w:rPr>
        <w:t>persona vinculada</w:t>
      </w:r>
      <w:r w:rsidR="0004448B">
        <w:rPr>
          <w:rFonts w:ascii="Cambria" w:hAnsi="Cambria"/>
          <w:sz w:val="20"/>
          <w:szCs w:val="20"/>
          <w:lang w:val="es-UY"/>
        </w:rPr>
        <w:t>.</w:t>
      </w:r>
      <w:r w:rsidR="00C60A04">
        <w:rPr>
          <w:rFonts w:ascii="Cambria" w:hAnsi="Cambria"/>
          <w:sz w:val="20"/>
          <w:szCs w:val="20"/>
          <w:lang w:val="es-UY"/>
        </w:rPr>
        <w:t xml:space="preserve"> </w:t>
      </w:r>
      <w:r w:rsidR="00C60A04" w:rsidRPr="00EE0C64">
        <w:rPr>
          <w:rFonts w:ascii="Cambria" w:hAnsi="Cambria"/>
          <w:sz w:val="20"/>
          <w:szCs w:val="20"/>
          <w:lang w:val="es-UY"/>
        </w:rPr>
        <w:t>Destaca</w:t>
      </w:r>
      <w:r w:rsidR="00EE0C64">
        <w:rPr>
          <w:rFonts w:ascii="Cambria" w:hAnsi="Cambria"/>
          <w:sz w:val="20"/>
          <w:szCs w:val="20"/>
          <w:lang w:val="es-UY"/>
        </w:rPr>
        <w:t xml:space="preserve"> además</w:t>
      </w:r>
      <w:r w:rsidR="00C60A04" w:rsidRPr="00EE0C64">
        <w:rPr>
          <w:rFonts w:ascii="Cambria" w:hAnsi="Cambria"/>
          <w:sz w:val="20"/>
          <w:szCs w:val="20"/>
          <w:lang w:val="es-UY"/>
        </w:rPr>
        <w:t xml:space="preserve"> que alguna</w:t>
      </w:r>
      <w:r w:rsidR="00FD6C7B">
        <w:rPr>
          <w:rFonts w:ascii="Cambria" w:hAnsi="Cambria"/>
          <w:sz w:val="20"/>
          <w:szCs w:val="20"/>
          <w:lang w:val="es-UY"/>
        </w:rPr>
        <w:t>s</w:t>
      </w:r>
      <w:r w:rsidR="00C60A04" w:rsidRPr="00EE0C64">
        <w:rPr>
          <w:rFonts w:ascii="Cambria" w:hAnsi="Cambria"/>
          <w:sz w:val="20"/>
          <w:szCs w:val="20"/>
          <w:lang w:val="es-UY"/>
        </w:rPr>
        <w:t xml:space="preserve"> de las presuntas víctimas cuyos bienes fueron incautados no habían alcanzado la mayoría de edad al momento en que se produjo el cierre del Banco de Préstamos.</w:t>
      </w:r>
      <w:r w:rsidR="0004448B" w:rsidRPr="00EE0C64">
        <w:rPr>
          <w:rFonts w:ascii="Cambria" w:hAnsi="Cambria"/>
          <w:sz w:val="20"/>
          <w:szCs w:val="20"/>
          <w:lang w:val="es-UY"/>
        </w:rPr>
        <w:t xml:space="preserve"> </w:t>
      </w:r>
    </w:p>
    <w:p w14:paraId="73A2B7C3" w14:textId="77777777" w:rsidR="000D312B" w:rsidRDefault="000D312B" w:rsidP="000D31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750A7F7C" w14:textId="076C8034" w:rsidR="00C454F6" w:rsidRDefault="006050ED"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EE0C64">
        <w:rPr>
          <w:rFonts w:ascii="Cambria" w:hAnsi="Cambria"/>
          <w:sz w:val="20"/>
          <w:szCs w:val="20"/>
          <w:lang w:val="es-UY"/>
        </w:rPr>
        <w:t xml:space="preserve">Manifiesta </w:t>
      </w:r>
      <w:r w:rsidR="000D312B">
        <w:rPr>
          <w:rFonts w:ascii="Cambria" w:hAnsi="Cambria"/>
          <w:sz w:val="20"/>
          <w:szCs w:val="20"/>
          <w:lang w:val="es-UY"/>
        </w:rPr>
        <w:t xml:space="preserve">la parte peticionaria </w:t>
      </w:r>
      <w:r w:rsidR="00841ACA" w:rsidRPr="00EE0C64">
        <w:rPr>
          <w:rFonts w:ascii="Cambria" w:hAnsi="Cambria"/>
          <w:sz w:val="20"/>
          <w:szCs w:val="20"/>
          <w:lang w:val="es-UY"/>
        </w:rPr>
        <w:t xml:space="preserve">que </w:t>
      </w:r>
      <w:r w:rsidRPr="00EE0C64">
        <w:rPr>
          <w:rFonts w:ascii="Cambria" w:hAnsi="Cambria"/>
          <w:sz w:val="20"/>
          <w:szCs w:val="20"/>
          <w:lang w:val="es-UY"/>
        </w:rPr>
        <w:t xml:space="preserve">la mayoría de los bienes </w:t>
      </w:r>
      <w:r w:rsidR="000D312B">
        <w:rPr>
          <w:rFonts w:ascii="Cambria" w:hAnsi="Cambria"/>
          <w:sz w:val="20"/>
          <w:szCs w:val="20"/>
          <w:lang w:val="es-UY"/>
        </w:rPr>
        <w:t xml:space="preserve">que </w:t>
      </w:r>
      <w:r w:rsidRPr="00EE0C64">
        <w:rPr>
          <w:rFonts w:ascii="Cambria" w:hAnsi="Cambria"/>
          <w:sz w:val="20"/>
          <w:szCs w:val="20"/>
          <w:lang w:val="es-UY"/>
        </w:rPr>
        <w:t>les incaut</w:t>
      </w:r>
      <w:r w:rsidR="000D312B">
        <w:rPr>
          <w:rFonts w:ascii="Cambria" w:hAnsi="Cambria"/>
          <w:sz w:val="20"/>
          <w:szCs w:val="20"/>
          <w:lang w:val="es-UY"/>
        </w:rPr>
        <w:t>ó</w:t>
      </w:r>
      <w:r w:rsidRPr="00EE0C64">
        <w:rPr>
          <w:rFonts w:ascii="Cambria" w:hAnsi="Cambria"/>
          <w:sz w:val="20"/>
          <w:szCs w:val="20"/>
          <w:lang w:val="es-UY"/>
        </w:rPr>
        <w:t xml:space="preserve"> la AGD habían sido adquiridos por las presuntas víctimas por sucesión testamentaria</w:t>
      </w:r>
      <w:r w:rsidR="000D312B">
        <w:rPr>
          <w:rFonts w:ascii="Cambria" w:hAnsi="Cambria"/>
          <w:sz w:val="20"/>
          <w:szCs w:val="20"/>
          <w:lang w:val="es-UY"/>
        </w:rPr>
        <w:t xml:space="preserve"> de</w:t>
      </w:r>
      <w:r w:rsidRPr="00EE0C64">
        <w:rPr>
          <w:rFonts w:ascii="Cambria" w:hAnsi="Cambria"/>
          <w:sz w:val="20"/>
          <w:szCs w:val="20"/>
          <w:lang w:val="es-UY"/>
        </w:rPr>
        <w:t xml:space="preserve"> Orfa Salgado Guevara</w:t>
      </w:r>
      <w:r w:rsidR="00EE0C64">
        <w:rPr>
          <w:rFonts w:ascii="Cambria" w:hAnsi="Cambria"/>
          <w:sz w:val="20"/>
          <w:szCs w:val="20"/>
          <w:lang w:val="es-UY"/>
        </w:rPr>
        <w:t>,</w:t>
      </w:r>
      <w:r w:rsidRPr="00EE0C64">
        <w:rPr>
          <w:rFonts w:ascii="Cambria" w:hAnsi="Cambria"/>
          <w:sz w:val="20"/>
          <w:szCs w:val="20"/>
          <w:lang w:val="es-UY"/>
        </w:rPr>
        <w:t xml:space="preserve"> qu</w:t>
      </w:r>
      <w:r w:rsidR="000D312B">
        <w:rPr>
          <w:rFonts w:ascii="Cambria" w:hAnsi="Cambria"/>
          <w:sz w:val="20"/>
          <w:szCs w:val="20"/>
          <w:lang w:val="es-UY"/>
        </w:rPr>
        <w:t>e</w:t>
      </w:r>
      <w:r w:rsidRPr="00EE0C64">
        <w:rPr>
          <w:rFonts w:ascii="Cambria" w:hAnsi="Cambria"/>
          <w:sz w:val="20"/>
          <w:szCs w:val="20"/>
          <w:lang w:val="es-UY"/>
        </w:rPr>
        <w:t xml:space="preserve"> </w:t>
      </w:r>
      <w:r w:rsidR="00FD6C7B">
        <w:rPr>
          <w:rFonts w:ascii="Cambria" w:hAnsi="Cambria"/>
          <w:sz w:val="20"/>
          <w:szCs w:val="20"/>
          <w:lang w:val="es-UY"/>
        </w:rPr>
        <w:t>falleció varios años antes del cierre del Banco de Préstamos</w:t>
      </w:r>
      <w:r w:rsidR="000D312B">
        <w:rPr>
          <w:rFonts w:ascii="Cambria" w:hAnsi="Cambria"/>
          <w:sz w:val="20"/>
          <w:szCs w:val="20"/>
          <w:lang w:val="es-UY"/>
        </w:rPr>
        <w:t>,</w:t>
      </w:r>
      <w:r w:rsidR="00FD6C7B">
        <w:rPr>
          <w:rFonts w:ascii="Cambria" w:hAnsi="Cambria"/>
          <w:sz w:val="20"/>
          <w:szCs w:val="20"/>
          <w:lang w:val="es-UY"/>
        </w:rPr>
        <w:t xml:space="preserve"> y</w:t>
      </w:r>
      <w:r w:rsidRPr="00EE0C64">
        <w:rPr>
          <w:rFonts w:ascii="Cambria" w:hAnsi="Cambria"/>
          <w:sz w:val="20"/>
          <w:szCs w:val="20"/>
          <w:lang w:val="es-UY"/>
        </w:rPr>
        <w:t xml:space="preserve"> </w:t>
      </w:r>
      <w:r w:rsidR="000D312B">
        <w:rPr>
          <w:rFonts w:ascii="Cambria" w:hAnsi="Cambria"/>
          <w:sz w:val="20"/>
          <w:szCs w:val="20"/>
          <w:lang w:val="es-UY"/>
        </w:rPr>
        <w:t xml:space="preserve">que los </w:t>
      </w:r>
      <w:r w:rsidRPr="00EE0C64">
        <w:rPr>
          <w:rFonts w:ascii="Cambria" w:hAnsi="Cambria"/>
          <w:sz w:val="20"/>
          <w:szCs w:val="20"/>
          <w:lang w:val="es-UY"/>
        </w:rPr>
        <w:t xml:space="preserve">había adquirido mediante su trabajo mucho antes que </w:t>
      </w:r>
      <w:r w:rsidR="000D312B">
        <w:rPr>
          <w:rFonts w:ascii="Cambria" w:hAnsi="Cambria"/>
          <w:sz w:val="20"/>
          <w:szCs w:val="20"/>
          <w:lang w:val="es-UY"/>
        </w:rPr>
        <w:t xml:space="preserve">el señor </w:t>
      </w:r>
      <w:r w:rsidRPr="00EE0C64">
        <w:rPr>
          <w:rFonts w:ascii="Cambria" w:hAnsi="Cambria"/>
          <w:sz w:val="20"/>
          <w:szCs w:val="20"/>
          <w:lang w:val="es-UY"/>
        </w:rPr>
        <w:t xml:space="preserve">Alejandro Peñafiel Salgado se convirtiera en accionista </w:t>
      </w:r>
      <w:r w:rsidR="00FD6C7B">
        <w:rPr>
          <w:rFonts w:ascii="Cambria" w:hAnsi="Cambria"/>
          <w:sz w:val="20"/>
          <w:szCs w:val="20"/>
          <w:lang w:val="es-UY"/>
        </w:rPr>
        <w:t xml:space="preserve">de </w:t>
      </w:r>
      <w:r w:rsidR="000D312B">
        <w:rPr>
          <w:rFonts w:ascii="Cambria" w:hAnsi="Cambria"/>
          <w:sz w:val="20"/>
          <w:szCs w:val="20"/>
          <w:lang w:val="es-UY"/>
        </w:rPr>
        <w:t>dicha entidad financiera</w:t>
      </w:r>
      <w:r w:rsidR="00FD6C7B">
        <w:rPr>
          <w:rFonts w:ascii="Cambria" w:hAnsi="Cambria"/>
          <w:sz w:val="20"/>
          <w:szCs w:val="20"/>
          <w:lang w:val="es-UY"/>
        </w:rPr>
        <w:t xml:space="preserve">. </w:t>
      </w:r>
      <w:r w:rsidR="00643B20" w:rsidRPr="00EE0C64">
        <w:rPr>
          <w:rFonts w:ascii="Cambria" w:hAnsi="Cambria"/>
          <w:sz w:val="20"/>
          <w:szCs w:val="20"/>
          <w:lang w:val="es-UY"/>
        </w:rPr>
        <w:t>También resalt</w:t>
      </w:r>
      <w:r w:rsidR="00C60A04" w:rsidRPr="00EE0C64">
        <w:rPr>
          <w:rFonts w:ascii="Cambria" w:hAnsi="Cambria"/>
          <w:sz w:val="20"/>
          <w:szCs w:val="20"/>
          <w:lang w:val="es-UY"/>
        </w:rPr>
        <w:t>a que los bienes incautados a la</w:t>
      </w:r>
      <w:r w:rsidR="00643B20" w:rsidRPr="00EE0C64">
        <w:rPr>
          <w:rFonts w:ascii="Cambria" w:hAnsi="Cambria"/>
          <w:sz w:val="20"/>
          <w:szCs w:val="20"/>
          <w:lang w:val="es-UY"/>
        </w:rPr>
        <w:t>s presuntas víctimas incluyeron empresas creadas con po</w:t>
      </w:r>
      <w:r w:rsidR="00C60A04" w:rsidRPr="00EE0C64">
        <w:rPr>
          <w:rFonts w:ascii="Cambria" w:hAnsi="Cambria"/>
          <w:sz w:val="20"/>
          <w:szCs w:val="20"/>
          <w:lang w:val="es-UY"/>
        </w:rPr>
        <w:t xml:space="preserve">sterioridad al cierre del banco, </w:t>
      </w:r>
      <w:r w:rsidR="000D312B">
        <w:rPr>
          <w:rFonts w:ascii="Cambria" w:hAnsi="Cambria"/>
          <w:sz w:val="20"/>
          <w:szCs w:val="20"/>
          <w:lang w:val="es-UY"/>
        </w:rPr>
        <w:t xml:space="preserve">así como </w:t>
      </w:r>
      <w:r w:rsidR="00C60A04" w:rsidRPr="00EE0C64">
        <w:rPr>
          <w:rFonts w:ascii="Cambria" w:hAnsi="Cambria"/>
          <w:sz w:val="20"/>
          <w:szCs w:val="20"/>
          <w:lang w:val="es-UY"/>
        </w:rPr>
        <w:t xml:space="preserve">bienes de naturaleza personal e inmuebles en los que algunas de </w:t>
      </w:r>
      <w:r w:rsidR="000D312B">
        <w:rPr>
          <w:rFonts w:ascii="Cambria" w:hAnsi="Cambria"/>
          <w:sz w:val="20"/>
          <w:szCs w:val="20"/>
          <w:lang w:val="es-UY"/>
        </w:rPr>
        <w:t>el</w:t>
      </w:r>
      <w:r w:rsidR="00C60A04" w:rsidRPr="00EE0C64">
        <w:rPr>
          <w:rFonts w:ascii="Cambria" w:hAnsi="Cambria"/>
          <w:sz w:val="20"/>
          <w:szCs w:val="20"/>
          <w:lang w:val="es-UY"/>
        </w:rPr>
        <w:t xml:space="preserve">las mantenían sus residencias. </w:t>
      </w:r>
      <w:r w:rsidR="007D47AF" w:rsidRPr="00EE0C64">
        <w:rPr>
          <w:rFonts w:ascii="Cambria" w:hAnsi="Cambria"/>
          <w:sz w:val="20"/>
          <w:szCs w:val="20"/>
          <w:lang w:val="es-UY"/>
        </w:rPr>
        <w:t xml:space="preserve">Añade que cuando </w:t>
      </w:r>
      <w:r w:rsidR="000D312B" w:rsidRPr="00EE0C64">
        <w:rPr>
          <w:rFonts w:ascii="Cambria" w:hAnsi="Cambria"/>
          <w:sz w:val="20"/>
          <w:szCs w:val="20"/>
          <w:lang w:val="es-UY"/>
        </w:rPr>
        <w:t xml:space="preserve">Alejandro </w:t>
      </w:r>
      <w:r w:rsidR="000D312B">
        <w:rPr>
          <w:rFonts w:ascii="Cambria" w:hAnsi="Cambria"/>
          <w:sz w:val="20"/>
          <w:szCs w:val="20"/>
          <w:lang w:val="es-UY"/>
        </w:rPr>
        <w:t xml:space="preserve">Peñafiel </w:t>
      </w:r>
      <w:r w:rsidR="007D47AF" w:rsidRPr="00EE0C64">
        <w:rPr>
          <w:rFonts w:ascii="Cambria" w:hAnsi="Cambria"/>
          <w:sz w:val="20"/>
          <w:szCs w:val="20"/>
          <w:lang w:val="es-UY"/>
        </w:rPr>
        <w:t>Salgado adquirió acciones del Banco de Préstamos no lo hizo a nombre d</w:t>
      </w:r>
      <w:r w:rsidR="005B6A23">
        <w:rPr>
          <w:rFonts w:ascii="Cambria" w:hAnsi="Cambria"/>
          <w:sz w:val="20"/>
          <w:szCs w:val="20"/>
          <w:lang w:val="es-UY"/>
        </w:rPr>
        <w:t>e una familia o grupo económico</w:t>
      </w:r>
      <w:r w:rsidR="000D312B">
        <w:rPr>
          <w:rFonts w:ascii="Cambria" w:hAnsi="Cambria"/>
          <w:sz w:val="20"/>
          <w:szCs w:val="20"/>
          <w:lang w:val="es-UY"/>
        </w:rPr>
        <w:t>,</w:t>
      </w:r>
      <w:r w:rsidR="007D47AF" w:rsidRPr="00EE0C64">
        <w:rPr>
          <w:rFonts w:ascii="Cambria" w:hAnsi="Cambria"/>
          <w:sz w:val="20"/>
          <w:szCs w:val="20"/>
          <w:lang w:val="es-UY"/>
        </w:rPr>
        <w:t xml:space="preserve"> sino a título personal con recursos g</w:t>
      </w:r>
      <w:r w:rsidR="00D3278A" w:rsidRPr="00EE0C64">
        <w:rPr>
          <w:rFonts w:ascii="Cambria" w:hAnsi="Cambria"/>
          <w:sz w:val="20"/>
          <w:szCs w:val="20"/>
          <w:lang w:val="es-UY"/>
        </w:rPr>
        <w:t>enerados de sus otros negocios</w:t>
      </w:r>
      <w:r w:rsidR="007D47AF" w:rsidRPr="00EE0C64">
        <w:rPr>
          <w:rFonts w:ascii="Cambria" w:hAnsi="Cambria"/>
          <w:sz w:val="20"/>
          <w:szCs w:val="20"/>
          <w:lang w:val="es-UY"/>
        </w:rPr>
        <w:t>.</w:t>
      </w:r>
      <w:r w:rsidR="00EE0C64">
        <w:rPr>
          <w:rFonts w:ascii="Cambria" w:hAnsi="Cambria"/>
          <w:sz w:val="20"/>
          <w:szCs w:val="20"/>
          <w:lang w:val="es-UY"/>
        </w:rPr>
        <w:t xml:space="preserve"> R</w:t>
      </w:r>
      <w:r w:rsidR="00C94173">
        <w:rPr>
          <w:rFonts w:ascii="Cambria" w:hAnsi="Cambria"/>
          <w:sz w:val="20"/>
          <w:szCs w:val="20"/>
          <w:lang w:val="es-UY"/>
        </w:rPr>
        <w:t>esalta que la Superintendencia de Bancos y Seguros reconoció mediante certificados que ninguna de las presuntas víctimas tenía vinculación con el Banco de Préstamos</w:t>
      </w:r>
      <w:r w:rsidR="00A6396B">
        <w:rPr>
          <w:rFonts w:ascii="Cambria" w:hAnsi="Cambria"/>
          <w:sz w:val="20"/>
          <w:szCs w:val="20"/>
          <w:lang w:val="es-UY"/>
        </w:rPr>
        <w:t>;</w:t>
      </w:r>
      <w:r w:rsidR="00C94173">
        <w:rPr>
          <w:rFonts w:ascii="Cambria" w:hAnsi="Cambria"/>
          <w:sz w:val="20"/>
          <w:szCs w:val="20"/>
          <w:lang w:val="es-UY"/>
        </w:rPr>
        <w:t xml:space="preserve"> </w:t>
      </w:r>
      <w:r w:rsidR="00A6396B">
        <w:rPr>
          <w:rFonts w:ascii="Cambria" w:hAnsi="Cambria"/>
          <w:sz w:val="20"/>
          <w:szCs w:val="20"/>
          <w:lang w:val="es-UY"/>
        </w:rPr>
        <w:t xml:space="preserve">y que </w:t>
      </w:r>
      <w:r w:rsidR="00C94173">
        <w:rPr>
          <w:rFonts w:ascii="Cambria" w:hAnsi="Cambria"/>
          <w:sz w:val="20"/>
          <w:szCs w:val="20"/>
          <w:lang w:val="es-UY"/>
        </w:rPr>
        <w:t>la decisión de incautar los bienes de las presuntas víctimas fue tomada de forma totalmente arbitraria</w:t>
      </w:r>
      <w:r w:rsidR="00A6396B">
        <w:rPr>
          <w:rFonts w:ascii="Cambria" w:hAnsi="Cambria"/>
          <w:sz w:val="20"/>
          <w:szCs w:val="20"/>
          <w:lang w:val="es-UY"/>
        </w:rPr>
        <w:t xml:space="preserve">, ya que </w:t>
      </w:r>
      <w:r w:rsidR="005B6A23">
        <w:rPr>
          <w:rFonts w:ascii="Cambria" w:hAnsi="Cambria"/>
          <w:sz w:val="20"/>
          <w:szCs w:val="20"/>
          <w:lang w:val="es-UY"/>
        </w:rPr>
        <w:t xml:space="preserve">la AGD </w:t>
      </w:r>
      <w:r w:rsidR="00A6396B">
        <w:rPr>
          <w:rFonts w:ascii="Cambria" w:hAnsi="Cambria"/>
          <w:sz w:val="20"/>
          <w:szCs w:val="20"/>
          <w:lang w:val="es-UY"/>
        </w:rPr>
        <w:t xml:space="preserve">presumió sin sustento jurídico alguno </w:t>
      </w:r>
      <w:r w:rsidR="005B6A23">
        <w:rPr>
          <w:rFonts w:ascii="Cambria" w:hAnsi="Cambria"/>
          <w:sz w:val="20"/>
          <w:szCs w:val="20"/>
          <w:lang w:val="es-UY"/>
        </w:rPr>
        <w:t>que toda la familia P</w:t>
      </w:r>
      <w:r w:rsidR="00C94173">
        <w:rPr>
          <w:rFonts w:ascii="Cambria" w:hAnsi="Cambria"/>
          <w:sz w:val="20"/>
          <w:szCs w:val="20"/>
          <w:lang w:val="es-UY"/>
        </w:rPr>
        <w:t xml:space="preserve">eñafiel estaba vinculada con el Banco de Préstamos. </w:t>
      </w:r>
    </w:p>
    <w:p w14:paraId="687EF5C0" w14:textId="77777777" w:rsidR="003332A8" w:rsidRDefault="003332A8" w:rsidP="003332A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2F5282F" w14:textId="2B68B871" w:rsidR="00A6396B" w:rsidRDefault="00450DFF"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La parte peticionaria c</w:t>
      </w:r>
      <w:r w:rsidR="00DF6B2D">
        <w:rPr>
          <w:rFonts w:ascii="Cambria" w:hAnsi="Cambria"/>
          <w:sz w:val="20"/>
          <w:szCs w:val="20"/>
          <w:lang w:val="es-UY"/>
        </w:rPr>
        <w:t xml:space="preserve">onsidera que la </w:t>
      </w:r>
      <w:r>
        <w:rPr>
          <w:rFonts w:ascii="Cambria" w:hAnsi="Cambria"/>
          <w:sz w:val="20"/>
          <w:szCs w:val="20"/>
          <w:lang w:val="es-UY"/>
        </w:rPr>
        <w:t>decisión</w:t>
      </w:r>
      <w:r w:rsidR="00DF6B2D">
        <w:rPr>
          <w:rFonts w:ascii="Cambria" w:hAnsi="Cambria"/>
          <w:sz w:val="20"/>
          <w:szCs w:val="20"/>
          <w:lang w:val="es-UY"/>
        </w:rPr>
        <w:t xml:space="preserve"> de </w:t>
      </w:r>
      <w:r w:rsidR="004636F7">
        <w:rPr>
          <w:rFonts w:ascii="Cambria" w:hAnsi="Cambria"/>
          <w:sz w:val="20"/>
          <w:szCs w:val="20"/>
          <w:lang w:val="es-UY"/>
        </w:rPr>
        <w:t>incautación de</w:t>
      </w:r>
      <w:r w:rsidR="00DF6B2D">
        <w:rPr>
          <w:rFonts w:ascii="Cambria" w:hAnsi="Cambria"/>
          <w:sz w:val="20"/>
          <w:szCs w:val="20"/>
          <w:lang w:val="es-UY"/>
        </w:rPr>
        <w:t xml:space="preserve"> bienes constituye </w:t>
      </w:r>
      <w:r>
        <w:rPr>
          <w:rFonts w:ascii="Cambria" w:hAnsi="Cambria"/>
          <w:sz w:val="20"/>
          <w:szCs w:val="20"/>
          <w:lang w:val="es-UY"/>
        </w:rPr>
        <w:t>una sanción</w:t>
      </w:r>
      <w:r w:rsidR="00DF6B2D">
        <w:rPr>
          <w:rFonts w:ascii="Cambria" w:hAnsi="Cambria"/>
          <w:sz w:val="20"/>
          <w:szCs w:val="20"/>
          <w:lang w:val="es-UY"/>
        </w:rPr>
        <w:t xml:space="preserve"> impuesta por la AGD en violación </w:t>
      </w:r>
      <w:r>
        <w:rPr>
          <w:rFonts w:ascii="Cambria" w:hAnsi="Cambria"/>
          <w:sz w:val="20"/>
          <w:szCs w:val="20"/>
          <w:lang w:val="es-UY"/>
        </w:rPr>
        <w:t>de</w:t>
      </w:r>
      <w:r w:rsidR="004636F7">
        <w:rPr>
          <w:rFonts w:ascii="Cambria" w:hAnsi="Cambria"/>
          <w:sz w:val="20"/>
          <w:szCs w:val="20"/>
          <w:lang w:val="es-UY"/>
        </w:rPr>
        <w:t>l</w:t>
      </w:r>
      <w:r w:rsidR="00DF6B2D">
        <w:rPr>
          <w:rFonts w:ascii="Cambria" w:hAnsi="Cambria"/>
          <w:sz w:val="20"/>
          <w:szCs w:val="20"/>
          <w:lang w:val="es-UY"/>
        </w:rPr>
        <w:t xml:space="preserve"> derecho a la presunción de inocencia </w:t>
      </w:r>
      <w:r w:rsidR="004636F7">
        <w:rPr>
          <w:rFonts w:ascii="Cambria" w:hAnsi="Cambria"/>
          <w:sz w:val="20"/>
          <w:szCs w:val="20"/>
          <w:lang w:val="es-UY"/>
        </w:rPr>
        <w:t xml:space="preserve">de las presuntas víctimas, </w:t>
      </w:r>
      <w:r w:rsidR="00DF6B2D">
        <w:rPr>
          <w:rFonts w:ascii="Cambria" w:hAnsi="Cambria"/>
          <w:sz w:val="20"/>
          <w:szCs w:val="20"/>
          <w:lang w:val="es-UY"/>
        </w:rPr>
        <w:t>sin un proceso previo en el que pudieran presentar pruebas de descargo</w:t>
      </w:r>
      <w:r w:rsidR="004636F7">
        <w:rPr>
          <w:rFonts w:ascii="Cambria" w:hAnsi="Cambria"/>
          <w:sz w:val="20"/>
          <w:szCs w:val="20"/>
          <w:lang w:val="es-UY"/>
        </w:rPr>
        <w:t>;</w:t>
      </w:r>
      <w:r w:rsidR="00DF6B2D">
        <w:rPr>
          <w:rFonts w:ascii="Cambria" w:hAnsi="Cambria"/>
          <w:sz w:val="20"/>
          <w:szCs w:val="20"/>
          <w:lang w:val="es-UY"/>
        </w:rPr>
        <w:t xml:space="preserve"> </w:t>
      </w:r>
      <w:r w:rsidR="004636F7">
        <w:rPr>
          <w:rFonts w:ascii="Cambria" w:hAnsi="Cambria"/>
          <w:sz w:val="20"/>
          <w:szCs w:val="20"/>
          <w:lang w:val="es-UY"/>
        </w:rPr>
        <w:t>y que se</w:t>
      </w:r>
      <w:r w:rsidR="00DF6B2D">
        <w:rPr>
          <w:rFonts w:ascii="Cambria" w:hAnsi="Cambria"/>
          <w:sz w:val="20"/>
          <w:szCs w:val="20"/>
          <w:lang w:val="es-UY"/>
        </w:rPr>
        <w:t xml:space="preserve"> presumió la responsabilidad </w:t>
      </w:r>
      <w:r w:rsidR="00DF6B2D">
        <w:rPr>
          <w:rFonts w:ascii="Cambria" w:hAnsi="Cambria"/>
          <w:sz w:val="20"/>
          <w:szCs w:val="20"/>
          <w:lang w:val="es-UY"/>
        </w:rPr>
        <w:lastRenderedPageBreak/>
        <w:t xml:space="preserve">de </w:t>
      </w:r>
      <w:r w:rsidR="004636F7">
        <w:rPr>
          <w:rFonts w:ascii="Cambria" w:hAnsi="Cambria"/>
          <w:sz w:val="20"/>
          <w:szCs w:val="20"/>
          <w:lang w:val="es-UY"/>
        </w:rPr>
        <w:t>estas</w:t>
      </w:r>
      <w:r w:rsidR="00CD1F68">
        <w:rPr>
          <w:rFonts w:ascii="Cambria" w:hAnsi="Cambria"/>
          <w:sz w:val="20"/>
          <w:szCs w:val="20"/>
          <w:lang w:val="es-UY"/>
        </w:rPr>
        <w:t xml:space="preserve"> </w:t>
      </w:r>
      <w:r w:rsidR="00DF6B2D">
        <w:rPr>
          <w:rFonts w:ascii="Cambria" w:hAnsi="Cambria"/>
          <w:sz w:val="20"/>
          <w:szCs w:val="20"/>
          <w:lang w:val="es-UY"/>
        </w:rPr>
        <w:t xml:space="preserve">por la única razón de su </w:t>
      </w:r>
      <w:r w:rsidR="00CD1F68">
        <w:rPr>
          <w:rFonts w:ascii="Cambria" w:hAnsi="Cambria"/>
          <w:sz w:val="20"/>
          <w:szCs w:val="20"/>
          <w:lang w:val="es-UY"/>
        </w:rPr>
        <w:t>parentes</w:t>
      </w:r>
      <w:r w:rsidR="00DF6B2D">
        <w:rPr>
          <w:rFonts w:ascii="Cambria" w:hAnsi="Cambria"/>
          <w:sz w:val="20"/>
          <w:szCs w:val="20"/>
          <w:lang w:val="es-UY"/>
        </w:rPr>
        <w:t xml:space="preserve">co con una persona. </w:t>
      </w:r>
      <w:r w:rsidR="004636F7">
        <w:rPr>
          <w:rFonts w:ascii="Cambria" w:hAnsi="Cambria"/>
          <w:sz w:val="20"/>
          <w:szCs w:val="20"/>
          <w:lang w:val="es-UY"/>
        </w:rPr>
        <w:t>Asimismo, r</w:t>
      </w:r>
      <w:r w:rsidR="00CD1F68">
        <w:rPr>
          <w:rFonts w:ascii="Cambria" w:hAnsi="Cambria"/>
          <w:sz w:val="20"/>
          <w:szCs w:val="20"/>
          <w:lang w:val="es-UY"/>
        </w:rPr>
        <w:t xml:space="preserve">esalta que </w:t>
      </w:r>
      <w:r w:rsidR="004636F7">
        <w:rPr>
          <w:rFonts w:ascii="Cambria" w:hAnsi="Cambria"/>
          <w:sz w:val="20"/>
          <w:szCs w:val="20"/>
          <w:lang w:val="es-UY"/>
        </w:rPr>
        <w:t>se incurrió en una inversión arbitraria de la carga de la prueba incompatible con el derecho al debido proceso</w:t>
      </w:r>
      <w:r w:rsidR="004636F7">
        <w:rPr>
          <w:rStyle w:val="FootnoteReference"/>
          <w:rFonts w:ascii="Cambria" w:hAnsi="Cambria"/>
          <w:sz w:val="20"/>
          <w:szCs w:val="20"/>
          <w:lang w:val="es-UY"/>
        </w:rPr>
        <w:footnoteReference w:id="9"/>
      </w:r>
      <w:r w:rsidR="00551925">
        <w:rPr>
          <w:rFonts w:ascii="Cambria" w:hAnsi="Cambria"/>
          <w:sz w:val="20"/>
          <w:szCs w:val="20"/>
          <w:lang w:val="es-UY"/>
        </w:rPr>
        <w:t>;</w:t>
      </w:r>
      <w:r w:rsidR="00CD1F68">
        <w:rPr>
          <w:rFonts w:ascii="Cambria" w:hAnsi="Cambria"/>
          <w:sz w:val="20"/>
          <w:szCs w:val="20"/>
          <w:lang w:val="es-UY"/>
        </w:rPr>
        <w:t xml:space="preserve"> </w:t>
      </w:r>
      <w:r w:rsidR="00551925">
        <w:rPr>
          <w:rFonts w:ascii="Cambria" w:hAnsi="Cambria"/>
          <w:sz w:val="20"/>
          <w:szCs w:val="20"/>
          <w:lang w:val="es-UY"/>
        </w:rPr>
        <w:t xml:space="preserve">y </w:t>
      </w:r>
      <w:r w:rsidR="00BD7153">
        <w:rPr>
          <w:rFonts w:ascii="Cambria" w:hAnsi="Cambria"/>
          <w:sz w:val="20"/>
          <w:szCs w:val="20"/>
          <w:lang w:val="es-UY"/>
        </w:rPr>
        <w:t xml:space="preserve">que </w:t>
      </w:r>
      <w:r w:rsidR="007621B6">
        <w:rPr>
          <w:rFonts w:ascii="Cambria" w:hAnsi="Cambria"/>
          <w:sz w:val="20"/>
          <w:szCs w:val="20"/>
          <w:lang w:val="es-UY"/>
        </w:rPr>
        <w:t xml:space="preserve">las medidas de incautación </w:t>
      </w:r>
      <w:r w:rsidR="00551925">
        <w:rPr>
          <w:rFonts w:ascii="Cambria" w:hAnsi="Cambria"/>
          <w:sz w:val="20"/>
          <w:szCs w:val="20"/>
          <w:lang w:val="es-UY"/>
        </w:rPr>
        <w:t xml:space="preserve">no </w:t>
      </w:r>
      <w:r w:rsidR="007621B6">
        <w:rPr>
          <w:rFonts w:ascii="Cambria" w:hAnsi="Cambria"/>
          <w:sz w:val="20"/>
          <w:szCs w:val="20"/>
          <w:lang w:val="es-UY"/>
        </w:rPr>
        <w:t>cumplieron el requisito de motivación</w:t>
      </w:r>
      <w:r w:rsidR="00551925">
        <w:rPr>
          <w:rFonts w:ascii="Cambria" w:hAnsi="Cambria"/>
          <w:sz w:val="20"/>
          <w:szCs w:val="20"/>
          <w:lang w:val="es-UY"/>
        </w:rPr>
        <w:t>,</w:t>
      </w:r>
      <w:r w:rsidR="007621B6">
        <w:rPr>
          <w:rFonts w:ascii="Cambria" w:hAnsi="Cambria"/>
          <w:sz w:val="20"/>
          <w:szCs w:val="20"/>
          <w:lang w:val="es-UY"/>
        </w:rPr>
        <w:t xml:space="preserve"> y</w:t>
      </w:r>
      <w:r w:rsidR="00551925">
        <w:rPr>
          <w:rFonts w:ascii="Cambria" w:hAnsi="Cambria"/>
          <w:sz w:val="20"/>
          <w:szCs w:val="20"/>
          <w:lang w:val="es-UY"/>
        </w:rPr>
        <w:t>a</w:t>
      </w:r>
      <w:r w:rsidR="007621B6">
        <w:rPr>
          <w:rFonts w:ascii="Cambria" w:hAnsi="Cambria"/>
          <w:sz w:val="20"/>
          <w:szCs w:val="20"/>
          <w:lang w:val="es-UY"/>
        </w:rPr>
        <w:t xml:space="preserve"> que nunca se expresaron </w:t>
      </w:r>
      <w:r w:rsidR="004636F7">
        <w:rPr>
          <w:rFonts w:ascii="Cambria" w:hAnsi="Cambria"/>
          <w:sz w:val="20"/>
          <w:szCs w:val="20"/>
          <w:lang w:val="es-UY"/>
        </w:rPr>
        <w:t xml:space="preserve">los </w:t>
      </w:r>
      <w:r w:rsidR="00551925">
        <w:rPr>
          <w:rFonts w:ascii="Cambria" w:hAnsi="Cambria"/>
          <w:sz w:val="20"/>
          <w:szCs w:val="20"/>
          <w:lang w:val="es-UY"/>
        </w:rPr>
        <w:t xml:space="preserve">correspondientes </w:t>
      </w:r>
      <w:r w:rsidR="004636F7">
        <w:rPr>
          <w:rFonts w:ascii="Cambria" w:hAnsi="Cambria"/>
          <w:sz w:val="20"/>
          <w:szCs w:val="20"/>
          <w:lang w:val="es-UY"/>
        </w:rPr>
        <w:t xml:space="preserve">fundamentos </w:t>
      </w:r>
      <w:r w:rsidR="007621B6">
        <w:rPr>
          <w:rFonts w:ascii="Cambria" w:hAnsi="Cambria"/>
          <w:sz w:val="20"/>
          <w:szCs w:val="20"/>
          <w:lang w:val="es-UY"/>
        </w:rPr>
        <w:t xml:space="preserve">de hecho y de derecho. También aduce que el Gerente General de la </w:t>
      </w:r>
      <w:r w:rsidR="004A3072">
        <w:rPr>
          <w:rFonts w:ascii="Cambria" w:hAnsi="Cambria"/>
          <w:sz w:val="20"/>
          <w:szCs w:val="20"/>
          <w:lang w:val="es-UY"/>
        </w:rPr>
        <w:t>A</w:t>
      </w:r>
      <w:r w:rsidR="007621B6">
        <w:rPr>
          <w:rFonts w:ascii="Cambria" w:hAnsi="Cambria"/>
          <w:sz w:val="20"/>
          <w:szCs w:val="20"/>
          <w:lang w:val="es-UY"/>
        </w:rPr>
        <w:t>G</w:t>
      </w:r>
      <w:r w:rsidR="004A3072">
        <w:rPr>
          <w:rFonts w:ascii="Cambria" w:hAnsi="Cambria"/>
          <w:sz w:val="20"/>
          <w:szCs w:val="20"/>
          <w:lang w:val="es-UY"/>
        </w:rPr>
        <w:t>D</w:t>
      </w:r>
      <w:r w:rsidR="00551925">
        <w:rPr>
          <w:rFonts w:ascii="Cambria" w:hAnsi="Cambria"/>
          <w:sz w:val="20"/>
          <w:szCs w:val="20"/>
          <w:lang w:val="es-UY"/>
        </w:rPr>
        <w:t xml:space="preserve"> </w:t>
      </w:r>
      <w:r w:rsidR="00806440">
        <w:rPr>
          <w:rFonts w:ascii="Cambria" w:hAnsi="Cambria"/>
          <w:sz w:val="20"/>
          <w:szCs w:val="20"/>
          <w:lang w:val="es-UY"/>
        </w:rPr>
        <w:t>difamó a las presuntas víctimas ante los medios de comunicación</w:t>
      </w:r>
      <w:r w:rsidR="007621B6">
        <w:rPr>
          <w:rFonts w:ascii="Cambria" w:hAnsi="Cambria"/>
          <w:sz w:val="20"/>
          <w:szCs w:val="20"/>
          <w:lang w:val="es-UY"/>
        </w:rPr>
        <w:t xml:space="preserve"> </w:t>
      </w:r>
      <w:r w:rsidR="00551925">
        <w:rPr>
          <w:rFonts w:ascii="Cambria" w:hAnsi="Cambria"/>
          <w:sz w:val="20"/>
          <w:szCs w:val="20"/>
          <w:lang w:val="es-UY"/>
        </w:rPr>
        <w:t xml:space="preserve">al aludir </w:t>
      </w:r>
      <w:r w:rsidR="007621B6">
        <w:rPr>
          <w:rFonts w:ascii="Cambria" w:hAnsi="Cambria"/>
          <w:sz w:val="20"/>
          <w:szCs w:val="20"/>
          <w:lang w:val="es-UY"/>
        </w:rPr>
        <w:t xml:space="preserve">a </w:t>
      </w:r>
      <w:r w:rsidR="00806440">
        <w:rPr>
          <w:rFonts w:ascii="Cambria" w:hAnsi="Cambria"/>
          <w:sz w:val="20"/>
          <w:szCs w:val="20"/>
          <w:lang w:val="es-UY"/>
        </w:rPr>
        <w:t xml:space="preserve">estas como </w:t>
      </w:r>
      <w:r w:rsidR="007621B6">
        <w:rPr>
          <w:rFonts w:ascii="Cambria" w:hAnsi="Cambria"/>
          <w:sz w:val="20"/>
          <w:szCs w:val="20"/>
          <w:lang w:val="es-UY"/>
        </w:rPr>
        <w:t>“testaferros” y “banqueros corruptos”</w:t>
      </w:r>
      <w:r w:rsidR="00806440">
        <w:rPr>
          <w:rFonts w:ascii="Cambria" w:hAnsi="Cambria"/>
          <w:sz w:val="20"/>
          <w:szCs w:val="20"/>
          <w:lang w:val="es-UY"/>
        </w:rPr>
        <w:t xml:space="preserve">; </w:t>
      </w:r>
      <w:r w:rsidR="00551925">
        <w:rPr>
          <w:rFonts w:ascii="Cambria" w:hAnsi="Cambria"/>
          <w:sz w:val="20"/>
          <w:szCs w:val="20"/>
          <w:lang w:val="es-UY"/>
        </w:rPr>
        <w:t>y</w:t>
      </w:r>
      <w:r w:rsidR="00806440">
        <w:rPr>
          <w:rFonts w:ascii="Cambria" w:hAnsi="Cambria"/>
          <w:sz w:val="20"/>
          <w:szCs w:val="20"/>
          <w:lang w:val="es-UY"/>
        </w:rPr>
        <w:t xml:space="preserve"> que declaró en entrevistas públicas que los bienes de las presuntas víctimas habían pasado a ser propiedad del Estado</w:t>
      </w:r>
      <w:r w:rsidR="00551925">
        <w:rPr>
          <w:rFonts w:ascii="Cambria" w:hAnsi="Cambria"/>
          <w:sz w:val="20"/>
          <w:szCs w:val="20"/>
          <w:lang w:val="es-UY"/>
        </w:rPr>
        <w:t>,</w:t>
      </w:r>
      <w:r w:rsidR="00806440">
        <w:rPr>
          <w:rFonts w:ascii="Cambria" w:hAnsi="Cambria"/>
          <w:sz w:val="20"/>
          <w:szCs w:val="20"/>
          <w:lang w:val="es-UY"/>
        </w:rPr>
        <w:t xml:space="preserve"> cuando todavía estaban pendiente de resolución las solicitudes de desincautación. </w:t>
      </w:r>
      <w:r w:rsidR="00551925">
        <w:rPr>
          <w:rFonts w:ascii="Cambria" w:hAnsi="Cambria"/>
          <w:sz w:val="20"/>
          <w:szCs w:val="20"/>
          <w:lang w:val="es-UY"/>
        </w:rPr>
        <w:t>La parte peticionaria d</w:t>
      </w:r>
      <w:r w:rsidR="00D045CE">
        <w:rPr>
          <w:rFonts w:ascii="Cambria" w:hAnsi="Cambria"/>
          <w:sz w:val="20"/>
          <w:szCs w:val="20"/>
          <w:lang w:val="es-UY"/>
        </w:rPr>
        <w:t xml:space="preserve">estaca que las presuntas víctimas fueron procesadas penalmente </w:t>
      </w:r>
      <w:r w:rsidR="00551925">
        <w:rPr>
          <w:rFonts w:ascii="Cambria" w:hAnsi="Cambria"/>
          <w:sz w:val="20"/>
          <w:szCs w:val="20"/>
          <w:lang w:val="es-UY"/>
        </w:rPr>
        <w:t>como</w:t>
      </w:r>
      <w:r w:rsidR="00D045CE">
        <w:rPr>
          <w:rFonts w:ascii="Cambria" w:hAnsi="Cambria"/>
          <w:sz w:val="20"/>
          <w:szCs w:val="20"/>
          <w:lang w:val="es-UY"/>
        </w:rPr>
        <w:t xml:space="preserve"> supuesto</w:t>
      </w:r>
      <w:r w:rsidR="00551925">
        <w:rPr>
          <w:rFonts w:ascii="Cambria" w:hAnsi="Cambria"/>
          <w:sz w:val="20"/>
          <w:szCs w:val="20"/>
          <w:lang w:val="es-UY"/>
        </w:rPr>
        <w:t>s</w:t>
      </w:r>
      <w:r w:rsidR="00D045CE">
        <w:rPr>
          <w:rFonts w:ascii="Cambria" w:hAnsi="Cambria"/>
          <w:sz w:val="20"/>
          <w:szCs w:val="20"/>
          <w:lang w:val="es-UY"/>
        </w:rPr>
        <w:t xml:space="preserve"> testaferr</w:t>
      </w:r>
      <w:r w:rsidR="00551925">
        <w:rPr>
          <w:rFonts w:ascii="Cambria" w:hAnsi="Cambria"/>
          <w:sz w:val="20"/>
          <w:szCs w:val="20"/>
          <w:lang w:val="es-UY"/>
        </w:rPr>
        <w:t>os</w:t>
      </w:r>
      <w:r w:rsidR="00513D7A">
        <w:rPr>
          <w:rFonts w:ascii="Cambria" w:hAnsi="Cambria"/>
          <w:sz w:val="20"/>
          <w:szCs w:val="20"/>
          <w:lang w:val="es-UY"/>
        </w:rPr>
        <w:t>,</w:t>
      </w:r>
      <w:r w:rsidR="00D045CE">
        <w:rPr>
          <w:rFonts w:ascii="Cambria" w:hAnsi="Cambria"/>
          <w:sz w:val="20"/>
          <w:szCs w:val="20"/>
          <w:lang w:val="es-UY"/>
        </w:rPr>
        <w:t xml:space="preserve"> </w:t>
      </w:r>
      <w:r w:rsidR="00551925">
        <w:rPr>
          <w:rFonts w:ascii="Cambria" w:hAnsi="Cambria"/>
          <w:sz w:val="20"/>
          <w:szCs w:val="20"/>
          <w:lang w:val="es-UY"/>
        </w:rPr>
        <w:t xml:space="preserve">pero que </w:t>
      </w:r>
      <w:r w:rsidR="00D045CE">
        <w:rPr>
          <w:rFonts w:ascii="Cambria" w:hAnsi="Cambria"/>
          <w:sz w:val="20"/>
          <w:szCs w:val="20"/>
          <w:lang w:val="es-UY"/>
        </w:rPr>
        <w:t xml:space="preserve">la causa </w:t>
      </w:r>
      <w:r w:rsidR="00551925">
        <w:rPr>
          <w:rFonts w:ascii="Cambria" w:hAnsi="Cambria"/>
          <w:sz w:val="20"/>
          <w:szCs w:val="20"/>
          <w:lang w:val="es-UY"/>
        </w:rPr>
        <w:t xml:space="preserve">fue </w:t>
      </w:r>
      <w:r w:rsidR="00D045CE">
        <w:rPr>
          <w:rFonts w:ascii="Cambria" w:hAnsi="Cambria"/>
          <w:sz w:val="20"/>
          <w:szCs w:val="20"/>
          <w:lang w:val="es-UY"/>
        </w:rPr>
        <w:t xml:space="preserve">archivada </w:t>
      </w:r>
      <w:r w:rsidR="00551925">
        <w:rPr>
          <w:rFonts w:ascii="Cambria" w:hAnsi="Cambria"/>
          <w:sz w:val="20"/>
          <w:szCs w:val="20"/>
          <w:lang w:val="es-UY"/>
        </w:rPr>
        <w:t xml:space="preserve">debido a </w:t>
      </w:r>
      <w:r w:rsidR="00D045CE">
        <w:rPr>
          <w:rFonts w:ascii="Cambria" w:hAnsi="Cambria"/>
          <w:sz w:val="20"/>
          <w:szCs w:val="20"/>
          <w:lang w:val="es-UY"/>
        </w:rPr>
        <w:t xml:space="preserve">que la AGD no </w:t>
      </w:r>
      <w:r w:rsidR="00551925">
        <w:rPr>
          <w:rFonts w:ascii="Cambria" w:hAnsi="Cambria"/>
          <w:sz w:val="20"/>
          <w:szCs w:val="20"/>
          <w:lang w:val="es-UY"/>
        </w:rPr>
        <w:t>aportó</w:t>
      </w:r>
      <w:r w:rsidR="00551925">
        <w:rPr>
          <w:rFonts w:ascii="Cambria" w:hAnsi="Cambria"/>
          <w:sz w:val="20"/>
          <w:szCs w:val="20"/>
          <w:lang w:val="es-ES"/>
        </w:rPr>
        <w:t xml:space="preserve"> </w:t>
      </w:r>
      <w:r w:rsidR="00D045CE">
        <w:rPr>
          <w:rFonts w:ascii="Cambria" w:hAnsi="Cambria"/>
          <w:sz w:val="20"/>
          <w:szCs w:val="20"/>
          <w:lang w:val="es-UY"/>
        </w:rPr>
        <w:t xml:space="preserve">pruebas </w:t>
      </w:r>
      <w:r w:rsidR="00551925">
        <w:rPr>
          <w:rFonts w:ascii="Cambria" w:hAnsi="Cambria"/>
          <w:sz w:val="20"/>
          <w:szCs w:val="20"/>
          <w:lang w:val="es-UY"/>
        </w:rPr>
        <w:t xml:space="preserve">para </w:t>
      </w:r>
      <w:r w:rsidR="00D045CE">
        <w:rPr>
          <w:rFonts w:ascii="Cambria" w:hAnsi="Cambria"/>
          <w:sz w:val="20"/>
          <w:szCs w:val="20"/>
          <w:lang w:val="es-UY"/>
        </w:rPr>
        <w:t xml:space="preserve">sustentar el inicio de </w:t>
      </w:r>
      <w:r w:rsidR="00551925">
        <w:rPr>
          <w:rFonts w:ascii="Cambria" w:hAnsi="Cambria"/>
          <w:sz w:val="20"/>
          <w:szCs w:val="20"/>
          <w:lang w:val="es-UY"/>
        </w:rPr>
        <w:t>la</w:t>
      </w:r>
      <w:r w:rsidR="00D045CE">
        <w:rPr>
          <w:rFonts w:ascii="Cambria" w:hAnsi="Cambria"/>
          <w:sz w:val="20"/>
          <w:szCs w:val="20"/>
          <w:lang w:val="es-UY"/>
        </w:rPr>
        <w:t xml:space="preserve"> instrucción fiscal. </w:t>
      </w:r>
      <w:r w:rsidR="00551925">
        <w:rPr>
          <w:rFonts w:ascii="Cambria" w:hAnsi="Cambria"/>
          <w:sz w:val="20"/>
          <w:szCs w:val="20"/>
          <w:lang w:val="es-UY"/>
        </w:rPr>
        <w:t>P</w:t>
      </w:r>
      <w:r w:rsidR="00D045CE">
        <w:rPr>
          <w:rFonts w:ascii="Cambria" w:hAnsi="Cambria"/>
          <w:sz w:val="20"/>
          <w:szCs w:val="20"/>
          <w:lang w:val="es-UY"/>
        </w:rPr>
        <w:t>ese a esta absolución, la AGD no ha devuelto</w:t>
      </w:r>
      <w:r w:rsidR="00551925">
        <w:rPr>
          <w:rFonts w:ascii="Cambria" w:hAnsi="Cambria"/>
          <w:sz w:val="20"/>
          <w:szCs w:val="20"/>
          <w:lang w:val="es-UY"/>
        </w:rPr>
        <w:t xml:space="preserve"> sus bienes</w:t>
      </w:r>
      <w:r w:rsidR="00D045CE">
        <w:rPr>
          <w:rFonts w:ascii="Cambria" w:hAnsi="Cambria"/>
          <w:sz w:val="20"/>
          <w:szCs w:val="20"/>
          <w:lang w:val="es-UY"/>
        </w:rPr>
        <w:t xml:space="preserve"> </w:t>
      </w:r>
      <w:r w:rsidR="00551925">
        <w:rPr>
          <w:rFonts w:ascii="Cambria" w:hAnsi="Cambria"/>
          <w:sz w:val="20"/>
          <w:szCs w:val="20"/>
          <w:lang w:val="es-UY"/>
        </w:rPr>
        <w:t>a las presuntas víctimas,</w:t>
      </w:r>
      <w:r w:rsidR="00D045CE">
        <w:rPr>
          <w:rFonts w:ascii="Cambria" w:hAnsi="Cambria"/>
          <w:sz w:val="20"/>
          <w:szCs w:val="20"/>
          <w:lang w:val="es-UY"/>
        </w:rPr>
        <w:t xml:space="preserve"> ni ha reparado los daños </w:t>
      </w:r>
      <w:r w:rsidR="00551925">
        <w:rPr>
          <w:rFonts w:ascii="Cambria" w:hAnsi="Cambria"/>
          <w:sz w:val="20"/>
          <w:szCs w:val="20"/>
          <w:lang w:val="es-UY"/>
        </w:rPr>
        <w:t>ocasionados</w:t>
      </w:r>
      <w:r w:rsidR="00D045CE">
        <w:rPr>
          <w:rFonts w:ascii="Cambria" w:hAnsi="Cambria"/>
          <w:sz w:val="20"/>
          <w:szCs w:val="20"/>
          <w:lang w:val="es-UY"/>
        </w:rPr>
        <w:t>.</w:t>
      </w:r>
    </w:p>
    <w:p w14:paraId="6CE5AEC7" w14:textId="44184AAA" w:rsidR="004A3072" w:rsidRDefault="00D045CE"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Pr>
          <w:rFonts w:ascii="Cambria" w:hAnsi="Cambria"/>
          <w:sz w:val="20"/>
          <w:szCs w:val="20"/>
          <w:lang w:val="es-UY"/>
        </w:rPr>
        <w:t xml:space="preserve"> </w:t>
      </w:r>
    </w:p>
    <w:p w14:paraId="53E8BB4C" w14:textId="38D7BEF9" w:rsidR="004A3072" w:rsidRDefault="004A3072"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Denuncia además </w:t>
      </w:r>
      <w:r w:rsidR="00806440">
        <w:rPr>
          <w:rFonts w:ascii="Cambria" w:hAnsi="Cambria"/>
          <w:sz w:val="20"/>
          <w:szCs w:val="20"/>
          <w:lang w:val="es-UY"/>
        </w:rPr>
        <w:t>que las incautaciones fuer</w:t>
      </w:r>
      <w:r w:rsidR="00AC6A11">
        <w:rPr>
          <w:rFonts w:ascii="Cambria" w:hAnsi="Cambria"/>
          <w:sz w:val="20"/>
          <w:szCs w:val="20"/>
          <w:lang w:val="es-UY"/>
        </w:rPr>
        <w:t xml:space="preserve">on ejecutadas de forma violenta, con agentes estatales </w:t>
      </w:r>
      <w:r w:rsidR="00551925">
        <w:rPr>
          <w:rFonts w:ascii="Cambria" w:hAnsi="Cambria"/>
          <w:sz w:val="20"/>
          <w:szCs w:val="20"/>
          <w:lang w:val="es-UY"/>
        </w:rPr>
        <w:t xml:space="preserve">que </w:t>
      </w:r>
      <w:r w:rsidR="00AC6A11">
        <w:rPr>
          <w:rFonts w:ascii="Cambria" w:hAnsi="Cambria"/>
          <w:sz w:val="20"/>
          <w:szCs w:val="20"/>
          <w:lang w:val="es-UY"/>
        </w:rPr>
        <w:t>irrumpie</w:t>
      </w:r>
      <w:r w:rsidR="00551925">
        <w:rPr>
          <w:rFonts w:ascii="Cambria" w:hAnsi="Cambria"/>
          <w:sz w:val="20"/>
          <w:szCs w:val="20"/>
          <w:lang w:val="es-UY"/>
        </w:rPr>
        <w:t>ron</w:t>
      </w:r>
      <w:r w:rsidR="00AC6A11">
        <w:rPr>
          <w:rFonts w:ascii="Cambria" w:hAnsi="Cambria"/>
          <w:sz w:val="20"/>
          <w:szCs w:val="20"/>
          <w:lang w:val="es-UY"/>
        </w:rPr>
        <w:t xml:space="preserve"> por la fuerza en las propiedades de las presuntas víctimas</w:t>
      </w:r>
      <w:r w:rsidR="00551925">
        <w:rPr>
          <w:rFonts w:ascii="Cambria" w:hAnsi="Cambria"/>
          <w:sz w:val="20"/>
          <w:szCs w:val="20"/>
          <w:lang w:val="es-UY"/>
        </w:rPr>
        <w:t>,</w:t>
      </w:r>
      <w:r w:rsidR="00AC6A11">
        <w:rPr>
          <w:rFonts w:ascii="Cambria" w:hAnsi="Cambria"/>
          <w:sz w:val="20"/>
          <w:szCs w:val="20"/>
          <w:lang w:val="es-UY"/>
        </w:rPr>
        <w:t xml:space="preserve"> en ocasiones en horas de la noche</w:t>
      </w:r>
      <w:r w:rsidR="00551925">
        <w:rPr>
          <w:rFonts w:ascii="Cambria" w:hAnsi="Cambria"/>
          <w:sz w:val="20"/>
          <w:szCs w:val="20"/>
          <w:lang w:val="es-UY"/>
        </w:rPr>
        <w:t>;</w:t>
      </w:r>
      <w:r w:rsidR="00AC6A11">
        <w:rPr>
          <w:rFonts w:ascii="Cambria" w:hAnsi="Cambria"/>
          <w:sz w:val="20"/>
          <w:szCs w:val="20"/>
          <w:lang w:val="es-UY"/>
        </w:rPr>
        <w:t xml:space="preserve"> </w:t>
      </w:r>
      <w:r w:rsidR="00551925">
        <w:rPr>
          <w:rFonts w:ascii="Cambria" w:hAnsi="Cambria"/>
          <w:sz w:val="20"/>
          <w:szCs w:val="20"/>
          <w:lang w:val="es-UY"/>
        </w:rPr>
        <w:t xml:space="preserve">que </w:t>
      </w:r>
      <w:r w:rsidR="00AC6A11">
        <w:rPr>
          <w:rFonts w:ascii="Cambria" w:hAnsi="Cambria"/>
          <w:sz w:val="20"/>
          <w:szCs w:val="20"/>
          <w:lang w:val="es-UY"/>
        </w:rPr>
        <w:t>sobrevola</w:t>
      </w:r>
      <w:r w:rsidR="00551925">
        <w:rPr>
          <w:rFonts w:ascii="Cambria" w:hAnsi="Cambria"/>
          <w:sz w:val="20"/>
          <w:szCs w:val="20"/>
          <w:lang w:val="es-UY"/>
        </w:rPr>
        <w:t>ron</w:t>
      </w:r>
      <w:r w:rsidR="00AC6A11">
        <w:rPr>
          <w:rFonts w:ascii="Cambria" w:hAnsi="Cambria"/>
          <w:sz w:val="20"/>
          <w:szCs w:val="20"/>
          <w:lang w:val="es-UY"/>
        </w:rPr>
        <w:t xml:space="preserve"> las zonas de las propiedades con helicópteros</w:t>
      </w:r>
      <w:r w:rsidR="00551925">
        <w:rPr>
          <w:rFonts w:ascii="Cambria" w:hAnsi="Cambria"/>
          <w:sz w:val="20"/>
          <w:szCs w:val="20"/>
          <w:lang w:val="es-UY"/>
        </w:rPr>
        <w:t>;</w:t>
      </w:r>
      <w:r w:rsidR="00AC6A11">
        <w:rPr>
          <w:rFonts w:ascii="Cambria" w:hAnsi="Cambria"/>
          <w:sz w:val="20"/>
          <w:szCs w:val="20"/>
          <w:lang w:val="es-UY"/>
        </w:rPr>
        <w:t xml:space="preserve"> </w:t>
      </w:r>
      <w:r w:rsidR="00551925">
        <w:rPr>
          <w:rFonts w:ascii="Cambria" w:hAnsi="Cambria"/>
          <w:sz w:val="20"/>
          <w:szCs w:val="20"/>
          <w:lang w:val="es-UY"/>
        </w:rPr>
        <w:t xml:space="preserve">que </w:t>
      </w:r>
      <w:r w:rsidR="00AC6A11">
        <w:rPr>
          <w:rFonts w:ascii="Cambria" w:hAnsi="Cambria"/>
          <w:sz w:val="20"/>
          <w:szCs w:val="20"/>
          <w:lang w:val="es-UY"/>
        </w:rPr>
        <w:t>apunta</w:t>
      </w:r>
      <w:r w:rsidR="00551925">
        <w:rPr>
          <w:rFonts w:ascii="Cambria" w:hAnsi="Cambria"/>
          <w:sz w:val="20"/>
          <w:szCs w:val="20"/>
          <w:lang w:val="es-UY"/>
        </w:rPr>
        <w:t>ron</w:t>
      </w:r>
      <w:r w:rsidR="00AC6A11">
        <w:rPr>
          <w:rFonts w:ascii="Cambria" w:hAnsi="Cambria"/>
          <w:sz w:val="20"/>
          <w:szCs w:val="20"/>
          <w:lang w:val="es-UY"/>
        </w:rPr>
        <w:t xml:space="preserve"> </w:t>
      </w:r>
      <w:r w:rsidR="00551925">
        <w:rPr>
          <w:rFonts w:ascii="Cambria" w:hAnsi="Cambria"/>
          <w:sz w:val="20"/>
          <w:szCs w:val="20"/>
          <w:lang w:val="es-UY"/>
        </w:rPr>
        <w:t xml:space="preserve">con armas de fuego </w:t>
      </w:r>
      <w:r w:rsidR="00AC6A11">
        <w:rPr>
          <w:rFonts w:ascii="Cambria" w:hAnsi="Cambria"/>
          <w:sz w:val="20"/>
          <w:szCs w:val="20"/>
          <w:lang w:val="es-UY"/>
        </w:rPr>
        <w:t>a personas menores de 18 años</w:t>
      </w:r>
      <w:r w:rsidR="00551925">
        <w:rPr>
          <w:rFonts w:ascii="Cambria" w:hAnsi="Cambria"/>
          <w:sz w:val="20"/>
          <w:szCs w:val="20"/>
          <w:lang w:val="es-UY"/>
        </w:rPr>
        <w:t>;</w:t>
      </w:r>
      <w:r w:rsidR="00AC6A11">
        <w:rPr>
          <w:rFonts w:ascii="Cambria" w:hAnsi="Cambria"/>
          <w:sz w:val="20"/>
          <w:szCs w:val="20"/>
          <w:lang w:val="es-UY"/>
        </w:rPr>
        <w:t xml:space="preserve"> </w:t>
      </w:r>
      <w:r w:rsidR="00551925">
        <w:rPr>
          <w:rFonts w:ascii="Cambria" w:hAnsi="Cambria"/>
          <w:sz w:val="20"/>
          <w:szCs w:val="20"/>
          <w:lang w:val="es-UY"/>
        </w:rPr>
        <w:t xml:space="preserve">que </w:t>
      </w:r>
      <w:r w:rsidR="00AC6A11">
        <w:rPr>
          <w:rFonts w:ascii="Cambria" w:hAnsi="Cambria"/>
          <w:sz w:val="20"/>
          <w:szCs w:val="20"/>
          <w:lang w:val="es-UY"/>
        </w:rPr>
        <w:t>golpea</w:t>
      </w:r>
      <w:r w:rsidR="00551925">
        <w:rPr>
          <w:rFonts w:ascii="Cambria" w:hAnsi="Cambria"/>
          <w:sz w:val="20"/>
          <w:szCs w:val="20"/>
          <w:lang w:val="es-UY"/>
        </w:rPr>
        <w:t>ron</w:t>
      </w:r>
      <w:r w:rsidR="00AC6A11">
        <w:rPr>
          <w:rFonts w:ascii="Cambria" w:hAnsi="Cambria"/>
          <w:sz w:val="20"/>
          <w:szCs w:val="20"/>
          <w:lang w:val="es-UY"/>
        </w:rPr>
        <w:t xml:space="preserve"> a las presuntas víctimas y otras personas que trabajaban en las propiedades</w:t>
      </w:r>
      <w:r w:rsidR="00551925">
        <w:rPr>
          <w:rFonts w:ascii="Cambria" w:hAnsi="Cambria"/>
          <w:sz w:val="20"/>
          <w:szCs w:val="20"/>
          <w:lang w:val="es-UY"/>
        </w:rPr>
        <w:t>;</w:t>
      </w:r>
      <w:r w:rsidR="00AC6A11">
        <w:rPr>
          <w:rFonts w:ascii="Cambria" w:hAnsi="Cambria"/>
          <w:sz w:val="20"/>
          <w:szCs w:val="20"/>
          <w:lang w:val="es-UY"/>
        </w:rPr>
        <w:t xml:space="preserve"> </w:t>
      </w:r>
      <w:r w:rsidR="00551925">
        <w:rPr>
          <w:rFonts w:ascii="Cambria" w:hAnsi="Cambria"/>
          <w:sz w:val="20"/>
          <w:szCs w:val="20"/>
          <w:lang w:val="es-UY"/>
        </w:rPr>
        <w:t xml:space="preserve">y que </w:t>
      </w:r>
      <w:r>
        <w:rPr>
          <w:rFonts w:ascii="Cambria" w:hAnsi="Cambria"/>
          <w:sz w:val="20"/>
          <w:szCs w:val="20"/>
          <w:lang w:val="es-UY"/>
        </w:rPr>
        <w:t>incurrie</w:t>
      </w:r>
      <w:r w:rsidR="00551925">
        <w:rPr>
          <w:rFonts w:ascii="Cambria" w:hAnsi="Cambria"/>
          <w:sz w:val="20"/>
          <w:szCs w:val="20"/>
          <w:lang w:val="es-UY"/>
        </w:rPr>
        <w:t>ron</w:t>
      </w:r>
      <w:r>
        <w:rPr>
          <w:rFonts w:ascii="Cambria" w:hAnsi="Cambria"/>
          <w:sz w:val="20"/>
          <w:szCs w:val="20"/>
          <w:lang w:val="es-UY"/>
        </w:rPr>
        <w:t xml:space="preserve"> en exceso de la fuerza e intimidación mientras interrogaban a </w:t>
      </w:r>
      <w:r w:rsidR="00551925">
        <w:rPr>
          <w:rFonts w:ascii="Cambria" w:hAnsi="Cambria"/>
          <w:sz w:val="20"/>
          <w:szCs w:val="20"/>
          <w:lang w:val="es-UY"/>
        </w:rPr>
        <w:t>estas últimas</w:t>
      </w:r>
      <w:r>
        <w:rPr>
          <w:rFonts w:ascii="Cambria" w:hAnsi="Cambria"/>
          <w:sz w:val="20"/>
          <w:szCs w:val="20"/>
          <w:lang w:val="es-UY"/>
        </w:rPr>
        <w:t xml:space="preserve">. Destaca que el Relator Especial </w:t>
      </w:r>
      <w:r w:rsidR="00551925">
        <w:rPr>
          <w:rFonts w:ascii="Cambria" w:hAnsi="Cambria"/>
          <w:sz w:val="20"/>
          <w:szCs w:val="20"/>
          <w:lang w:val="es-UY"/>
        </w:rPr>
        <w:t xml:space="preserve">de Naciones Unidas </w:t>
      </w:r>
      <w:r>
        <w:rPr>
          <w:rFonts w:ascii="Cambria" w:hAnsi="Cambria"/>
          <w:sz w:val="20"/>
          <w:szCs w:val="20"/>
          <w:lang w:val="es-UY"/>
        </w:rPr>
        <w:t xml:space="preserve">sobre </w:t>
      </w:r>
      <w:r w:rsidR="00551925">
        <w:rPr>
          <w:rFonts w:ascii="Cambria" w:hAnsi="Cambria"/>
          <w:sz w:val="20"/>
          <w:szCs w:val="20"/>
          <w:lang w:val="es-UY"/>
        </w:rPr>
        <w:t>la t</w:t>
      </w:r>
      <w:r>
        <w:rPr>
          <w:rFonts w:ascii="Cambria" w:hAnsi="Cambria"/>
          <w:sz w:val="20"/>
          <w:szCs w:val="20"/>
          <w:lang w:val="es-UY"/>
        </w:rPr>
        <w:t xml:space="preserve">ortura y otros </w:t>
      </w:r>
      <w:r w:rsidR="00551925">
        <w:rPr>
          <w:rFonts w:ascii="Cambria" w:hAnsi="Cambria"/>
          <w:sz w:val="20"/>
          <w:szCs w:val="20"/>
          <w:lang w:val="es-UY"/>
        </w:rPr>
        <w:t>t</w:t>
      </w:r>
      <w:r>
        <w:rPr>
          <w:rFonts w:ascii="Cambria" w:hAnsi="Cambria"/>
          <w:sz w:val="20"/>
          <w:szCs w:val="20"/>
          <w:lang w:val="es-UY"/>
        </w:rPr>
        <w:t xml:space="preserve">ratos y </w:t>
      </w:r>
      <w:r w:rsidR="00551925">
        <w:rPr>
          <w:rFonts w:ascii="Cambria" w:hAnsi="Cambria"/>
          <w:sz w:val="20"/>
          <w:szCs w:val="20"/>
          <w:lang w:val="es-UY"/>
        </w:rPr>
        <w:t>p</w:t>
      </w:r>
      <w:r>
        <w:rPr>
          <w:rFonts w:ascii="Cambria" w:hAnsi="Cambria"/>
          <w:sz w:val="20"/>
          <w:szCs w:val="20"/>
          <w:lang w:val="es-UY"/>
        </w:rPr>
        <w:t xml:space="preserve">enas </w:t>
      </w:r>
      <w:r w:rsidR="00551925">
        <w:rPr>
          <w:rFonts w:ascii="Cambria" w:hAnsi="Cambria"/>
          <w:sz w:val="20"/>
          <w:szCs w:val="20"/>
          <w:lang w:val="es-UY"/>
        </w:rPr>
        <w:t>c</w:t>
      </w:r>
      <w:r w:rsidR="00513D7A">
        <w:rPr>
          <w:rFonts w:ascii="Cambria" w:hAnsi="Cambria"/>
          <w:sz w:val="20"/>
          <w:szCs w:val="20"/>
          <w:lang w:val="es-UY"/>
        </w:rPr>
        <w:t>rueles</w:t>
      </w:r>
      <w:r w:rsidR="00551925">
        <w:rPr>
          <w:rFonts w:ascii="Cambria" w:hAnsi="Cambria"/>
          <w:sz w:val="20"/>
          <w:szCs w:val="20"/>
          <w:lang w:val="es-UY"/>
        </w:rPr>
        <w:t>,</w:t>
      </w:r>
      <w:r w:rsidR="00513D7A">
        <w:rPr>
          <w:rFonts w:ascii="Cambria" w:hAnsi="Cambria"/>
          <w:sz w:val="20"/>
          <w:szCs w:val="20"/>
          <w:lang w:val="es-UY"/>
        </w:rPr>
        <w:t xml:space="preserve"> </w:t>
      </w:r>
      <w:r w:rsidR="00551925">
        <w:rPr>
          <w:rFonts w:ascii="Cambria" w:hAnsi="Cambria"/>
          <w:sz w:val="20"/>
          <w:szCs w:val="20"/>
          <w:lang w:val="es-UY"/>
        </w:rPr>
        <w:t>i</w:t>
      </w:r>
      <w:r w:rsidR="00513D7A">
        <w:rPr>
          <w:rFonts w:ascii="Cambria" w:hAnsi="Cambria"/>
          <w:sz w:val="20"/>
          <w:szCs w:val="20"/>
          <w:lang w:val="es-UY"/>
        </w:rPr>
        <w:t xml:space="preserve">nhumanas y </w:t>
      </w:r>
      <w:r w:rsidR="00551925">
        <w:rPr>
          <w:rFonts w:ascii="Cambria" w:hAnsi="Cambria"/>
          <w:sz w:val="20"/>
          <w:szCs w:val="20"/>
          <w:lang w:val="es-UY"/>
        </w:rPr>
        <w:t>d</w:t>
      </w:r>
      <w:r w:rsidR="00513D7A">
        <w:rPr>
          <w:rFonts w:ascii="Cambria" w:hAnsi="Cambria"/>
          <w:sz w:val="20"/>
          <w:szCs w:val="20"/>
          <w:lang w:val="es-UY"/>
        </w:rPr>
        <w:t>egradantes</w:t>
      </w:r>
      <w:r w:rsidR="00706CC6">
        <w:rPr>
          <w:rFonts w:ascii="Cambria" w:hAnsi="Cambria"/>
          <w:sz w:val="20"/>
          <w:szCs w:val="20"/>
          <w:lang w:val="es-UY"/>
        </w:rPr>
        <w:t xml:space="preserve"> hizo</w:t>
      </w:r>
      <w:r>
        <w:rPr>
          <w:rFonts w:ascii="Cambria" w:hAnsi="Cambria"/>
          <w:sz w:val="20"/>
          <w:szCs w:val="20"/>
          <w:lang w:val="es-UY"/>
        </w:rPr>
        <w:t xml:space="preserve"> un pedido de acción urgente </w:t>
      </w:r>
      <w:r w:rsidR="00706CC6">
        <w:rPr>
          <w:rFonts w:ascii="Cambria" w:hAnsi="Cambria"/>
          <w:sz w:val="20"/>
          <w:szCs w:val="20"/>
          <w:lang w:val="es-UY"/>
        </w:rPr>
        <w:t>a</w:t>
      </w:r>
      <w:r>
        <w:rPr>
          <w:rFonts w:ascii="Cambria" w:hAnsi="Cambria"/>
          <w:sz w:val="20"/>
          <w:szCs w:val="20"/>
          <w:lang w:val="es-UY"/>
        </w:rPr>
        <w:t xml:space="preserve"> Ecuador por temor fundado sobre posibles actos por parte de la AGD contra quienes ocupaban las propiedades incautadas.</w:t>
      </w:r>
      <w:r w:rsidR="00E07854">
        <w:rPr>
          <w:rFonts w:ascii="Cambria" w:hAnsi="Cambria"/>
          <w:sz w:val="20"/>
          <w:szCs w:val="20"/>
          <w:lang w:val="es-UY"/>
        </w:rPr>
        <w:t xml:space="preserve"> </w:t>
      </w:r>
      <w:r w:rsidR="00706CC6">
        <w:rPr>
          <w:rFonts w:ascii="Cambria" w:hAnsi="Cambria"/>
          <w:sz w:val="20"/>
          <w:szCs w:val="20"/>
          <w:lang w:val="es-UY"/>
        </w:rPr>
        <w:t>La parte peticionaria s</w:t>
      </w:r>
      <w:r w:rsidR="00E07854">
        <w:rPr>
          <w:rFonts w:ascii="Cambria" w:hAnsi="Cambria"/>
          <w:sz w:val="20"/>
          <w:szCs w:val="20"/>
          <w:lang w:val="es-UY"/>
        </w:rPr>
        <w:t xml:space="preserve">eñala </w:t>
      </w:r>
      <w:r w:rsidR="00706CC6">
        <w:rPr>
          <w:rFonts w:ascii="Cambria" w:hAnsi="Cambria"/>
          <w:sz w:val="20"/>
          <w:szCs w:val="20"/>
          <w:lang w:val="es-UY"/>
        </w:rPr>
        <w:t xml:space="preserve">asimismo </w:t>
      </w:r>
      <w:r w:rsidR="00E07854">
        <w:rPr>
          <w:rFonts w:ascii="Cambria" w:hAnsi="Cambria"/>
          <w:sz w:val="20"/>
          <w:szCs w:val="20"/>
          <w:lang w:val="es-UY"/>
        </w:rPr>
        <w:t>que algunas de las personas que trabajaban en las propiedades denunciaro</w:t>
      </w:r>
      <w:r w:rsidR="00513D7A">
        <w:rPr>
          <w:rFonts w:ascii="Cambria" w:hAnsi="Cambria"/>
          <w:sz w:val="20"/>
          <w:szCs w:val="20"/>
          <w:lang w:val="es-UY"/>
        </w:rPr>
        <w:t>n ante la fiscalía los actos de violencia que sufrieron</w:t>
      </w:r>
      <w:r w:rsidR="00E07854">
        <w:rPr>
          <w:rFonts w:ascii="Cambria" w:hAnsi="Cambria"/>
          <w:sz w:val="20"/>
          <w:szCs w:val="20"/>
          <w:lang w:val="es-UY"/>
        </w:rPr>
        <w:t xml:space="preserve">, sin obtener resultados. </w:t>
      </w:r>
      <w:r>
        <w:rPr>
          <w:rFonts w:ascii="Cambria" w:hAnsi="Cambria"/>
          <w:sz w:val="20"/>
          <w:szCs w:val="20"/>
          <w:lang w:val="es-UY"/>
        </w:rPr>
        <w:t xml:space="preserve">Reclama también que las autoridades no han realizado una buena administración de los bienes incautados, </w:t>
      </w:r>
      <w:r w:rsidR="00706CC6">
        <w:rPr>
          <w:rFonts w:ascii="Cambria" w:hAnsi="Cambria"/>
          <w:sz w:val="20"/>
          <w:szCs w:val="20"/>
          <w:lang w:val="es-UY"/>
        </w:rPr>
        <w:t xml:space="preserve">y que </w:t>
      </w:r>
      <w:r>
        <w:rPr>
          <w:rFonts w:ascii="Cambria" w:hAnsi="Cambria"/>
          <w:sz w:val="20"/>
          <w:szCs w:val="20"/>
          <w:lang w:val="es-UY"/>
        </w:rPr>
        <w:t>permitie</w:t>
      </w:r>
      <w:r w:rsidR="00706CC6">
        <w:rPr>
          <w:rFonts w:ascii="Cambria" w:hAnsi="Cambria"/>
          <w:sz w:val="20"/>
          <w:szCs w:val="20"/>
          <w:lang w:val="es-UY"/>
        </w:rPr>
        <w:t>ron</w:t>
      </w:r>
      <w:r>
        <w:rPr>
          <w:rFonts w:ascii="Cambria" w:hAnsi="Cambria"/>
          <w:sz w:val="20"/>
          <w:szCs w:val="20"/>
          <w:lang w:val="es-UY"/>
        </w:rPr>
        <w:t xml:space="preserve"> que </w:t>
      </w:r>
      <w:r w:rsidR="00706CC6">
        <w:rPr>
          <w:rFonts w:ascii="Cambria" w:hAnsi="Cambria"/>
          <w:sz w:val="20"/>
          <w:szCs w:val="20"/>
          <w:lang w:val="es-UY"/>
        </w:rPr>
        <w:t>fueran</w:t>
      </w:r>
      <w:r>
        <w:rPr>
          <w:rFonts w:ascii="Cambria" w:hAnsi="Cambria"/>
          <w:sz w:val="20"/>
          <w:szCs w:val="20"/>
          <w:lang w:val="es-UY"/>
        </w:rPr>
        <w:t xml:space="preserve"> utilizadas por agentes del Estado para reuniones y festejos privados. </w:t>
      </w:r>
      <w:r w:rsidR="006C1F74">
        <w:rPr>
          <w:rFonts w:ascii="Cambria" w:hAnsi="Cambria"/>
          <w:sz w:val="20"/>
          <w:szCs w:val="20"/>
          <w:lang w:val="es-UY"/>
        </w:rPr>
        <w:t>La parte peticionaria s</w:t>
      </w:r>
      <w:r w:rsidR="00706CC6">
        <w:rPr>
          <w:rFonts w:ascii="Cambria" w:hAnsi="Cambria"/>
          <w:sz w:val="20"/>
          <w:szCs w:val="20"/>
          <w:lang w:val="es-UY"/>
        </w:rPr>
        <w:t>eñala a</w:t>
      </w:r>
      <w:r w:rsidR="00E07854">
        <w:rPr>
          <w:rFonts w:ascii="Cambria" w:hAnsi="Cambria"/>
          <w:sz w:val="20"/>
          <w:szCs w:val="20"/>
          <w:lang w:val="es-UY"/>
        </w:rPr>
        <w:t xml:space="preserve">demás que las presuntas víctimas </w:t>
      </w:r>
      <w:r w:rsidR="006C1F74">
        <w:rPr>
          <w:rFonts w:ascii="Cambria" w:hAnsi="Cambria"/>
          <w:sz w:val="20"/>
          <w:szCs w:val="20"/>
          <w:lang w:val="es-UY"/>
        </w:rPr>
        <w:t>fueron</w:t>
      </w:r>
      <w:r w:rsidR="00E07854">
        <w:rPr>
          <w:rFonts w:ascii="Cambria" w:hAnsi="Cambria"/>
          <w:sz w:val="20"/>
          <w:szCs w:val="20"/>
          <w:lang w:val="es-UY"/>
        </w:rPr>
        <w:t xml:space="preserve"> amenazadas y hostigadas a través de mensajes de texto enviados a sus teléfonos</w:t>
      </w:r>
      <w:r w:rsidR="00706CC6">
        <w:rPr>
          <w:rFonts w:ascii="Cambria" w:hAnsi="Cambria"/>
          <w:sz w:val="20"/>
          <w:szCs w:val="20"/>
          <w:lang w:val="es-UY"/>
        </w:rPr>
        <w:t>;</w:t>
      </w:r>
      <w:r w:rsidR="00E07854">
        <w:rPr>
          <w:rFonts w:ascii="Cambria" w:hAnsi="Cambria"/>
          <w:sz w:val="20"/>
          <w:szCs w:val="20"/>
          <w:lang w:val="es-UY"/>
        </w:rPr>
        <w:t xml:space="preserve"> </w:t>
      </w:r>
      <w:r w:rsidR="006C1F74">
        <w:rPr>
          <w:rFonts w:ascii="Cambria" w:hAnsi="Cambria"/>
          <w:sz w:val="20"/>
          <w:szCs w:val="20"/>
          <w:lang w:val="es-UY"/>
        </w:rPr>
        <w:t>y que tales</w:t>
      </w:r>
      <w:r w:rsidR="00706CC6">
        <w:rPr>
          <w:rFonts w:ascii="Cambria" w:hAnsi="Cambria"/>
          <w:sz w:val="20"/>
          <w:szCs w:val="20"/>
          <w:lang w:val="es-UY"/>
        </w:rPr>
        <w:t xml:space="preserve"> hechos </w:t>
      </w:r>
      <w:r w:rsidR="006C1F74">
        <w:rPr>
          <w:rFonts w:ascii="Cambria" w:hAnsi="Cambria"/>
          <w:sz w:val="20"/>
          <w:szCs w:val="20"/>
          <w:lang w:val="es-UY"/>
        </w:rPr>
        <w:t>fueron</w:t>
      </w:r>
      <w:r w:rsidR="00706CC6">
        <w:rPr>
          <w:rFonts w:ascii="Cambria" w:hAnsi="Cambria"/>
          <w:sz w:val="20"/>
          <w:szCs w:val="20"/>
          <w:lang w:val="es-UY"/>
        </w:rPr>
        <w:t xml:space="preserve"> </w:t>
      </w:r>
      <w:r w:rsidR="00E07854">
        <w:rPr>
          <w:rFonts w:ascii="Cambria" w:hAnsi="Cambria"/>
          <w:sz w:val="20"/>
          <w:szCs w:val="20"/>
          <w:lang w:val="es-UY"/>
        </w:rPr>
        <w:t>denuncia</w:t>
      </w:r>
      <w:r w:rsidR="00706CC6">
        <w:rPr>
          <w:rFonts w:ascii="Cambria" w:hAnsi="Cambria"/>
          <w:sz w:val="20"/>
          <w:szCs w:val="20"/>
          <w:lang w:val="es-UY"/>
        </w:rPr>
        <w:t>dos</w:t>
      </w:r>
      <w:r w:rsidR="00E07854">
        <w:rPr>
          <w:rFonts w:ascii="Cambria" w:hAnsi="Cambria"/>
          <w:sz w:val="20"/>
          <w:szCs w:val="20"/>
          <w:lang w:val="es-UY"/>
        </w:rPr>
        <w:t xml:space="preserve"> ante </w:t>
      </w:r>
      <w:r w:rsidR="00706CC6">
        <w:rPr>
          <w:rFonts w:ascii="Cambria" w:hAnsi="Cambria"/>
          <w:sz w:val="20"/>
          <w:szCs w:val="20"/>
          <w:lang w:val="es-UY"/>
        </w:rPr>
        <w:t>la</w:t>
      </w:r>
      <w:r w:rsidR="00E07854">
        <w:rPr>
          <w:rFonts w:ascii="Cambria" w:hAnsi="Cambria"/>
          <w:sz w:val="20"/>
          <w:szCs w:val="20"/>
          <w:lang w:val="es-UY"/>
        </w:rPr>
        <w:t xml:space="preserve"> fiscalía, </w:t>
      </w:r>
      <w:r w:rsidR="00706CC6">
        <w:rPr>
          <w:rFonts w:ascii="Cambria" w:hAnsi="Cambria"/>
          <w:sz w:val="20"/>
          <w:szCs w:val="20"/>
          <w:lang w:val="es-UY"/>
        </w:rPr>
        <w:t xml:space="preserve">pero se </w:t>
      </w:r>
      <w:r w:rsidR="00E07854">
        <w:rPr>
          <w:rFonts w:ascii="Cambria" w:hAnsi="Cambria"/>
          <w:sz w:val="20"/>
          <w:szCs w:val="20"/>
          <w:lang w:val="es-UY"/>
        </w:rPr>
        <w:t>desestimó la investigación luego de un par de meses por falta de elementos.</w:t>
      </w:r>
    </w:p>
    <w:p w14:paraId="7FD88CA5" w14:textId="77777777" w:rsidR="00A6396B" w:rsidRDefault="00A6396B" w:rsidP="00706CC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3CAEC6E2" w14:textId="551072D7" w:rsidR="00D24A82" w:rsidRDefault="006C1F74"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La parte peticionaria s</w:t>
      </w:r>
      <w:r w:rsidR="00394073">
        <w:rPr>
          <w:rFonts w:ascii="Cambria" w:hAnsi="Cambria"/>
          <w:sz w:val="20"/>
          <w:szCs w:val="20"/>
          <w:lang w:val="es-UY"/>
        </w:rPr>
        <w:t xml:space="preserve">ostiene que la vigencia de los Mandatos 13 y 20 </w:t>
      </w:r>
      <w:r w:rsidR="0018565E">
        <w:rPr>
          <w:rFonts w:ascii="Cambria" w:hAnsi="Cambria"/>
          <w:sz w:val="20"/>
          <w:szCs w:val="20"/>
          <w:lang w:val="es-UY"/>
        </w:rPr>
        <w:t xml:space="preserve">impidió </w:t>
      </w:r>
      <w:r w:rsidR="00394073">
        <w:rPr>
          <w:rFonts w:ascii="Cambria" w:hAnsi="Cambria"/>
          <w:sz w:val="20"/>
          <w:szCs w:val="20"/>
          <w:lang w:val="es-UY"/>
        </w:rPr>
        <w:t>a las presuntas víctimas el acceso efectivo a la justicia</w:t>
      </w:r>
      <w:r>
        <w:rPr>
          <w:rFonts w:ascii="Cambria" w:hAnsi="Cambria"/>
          <w:sz w:val="20"/>
          <w:szCs w:val="20"/>
          <w:lang w:val="es-UY"/>
        </w:rPr>
        <w:t>, pues las sometió</w:t>
      </w:r>
      <w:r w:rsidR="00ED5291">
        <w:rPr>
          <w:rFonts w:ascii="Cambria" w:hAnsi="Cambria"/>
          <w:sz w:val="20"/>
          <w:szCs w:val="20"/>
          <w:lang w:val="es-UY"/>
        </w:rPr>
        <w:t xml:space="preserve"> a un régimen de excepción </w:t>
      </w:r>
      <w:r>
        <w:rPr>
          <w:rFonts w:ascii="Cambria" w:hAnsi="Cambria"/>
          <w:sz w:val="20"/>
          <w:szCs w:val="20"/>
          <w:lang w:val="es-UY"/>
        </w:rPr>
        <w:t xml:space="preserve">que las </w:t>
      </w:r>
      <w:r w:rsidR="00A72B91">
        <w:rPr>
          <w:rFonts w:ascii="Cambria" w:hAnsi="Cambria"/>
          <w:sz w:val="20"/>
          <w:szCs w:val="20"/>
          <w:lang w:val="es-UY"/>
        </w:rPr>
        <w:t>exclu</w:t>
      </w:r>
      <w:r>
        <w:rPr>
          <w:rFonts w:ascii="Cambria" w:hAnsi="Cambria"/>
          <w:sz w:val="20"/>
          <w:szCs w:val="20"/>
          <w:lang w:val="es-UY"/>
        </w:rPr>
        <w:t>yó</w:t>
      </w:r>
      <w:r w:rsidR="00A72B91">
        <w:rPr>
          <w:rFonts w:ascii="Cambria" w:hAnsi="Cambria"/>
          <w:sz w:val="20"/>
          <w:szCs w:val="20"/>
          <w:lang w:val="es-UY"/>
        </w:rPr>
        <w:t xml:space="preserve"> d</w:t>
      </w:r>
      <w:r w:rsidR="00394073">
        <w:rPr>
          <w:rFonts w:ascii="Cambria" w:hAnsi="Cambria"/>
          <w:sz w:val="20"/>
          <w:szCs w:val="20"/>
          <w:lang w:val="es-UY"/>
        </w:rPr>
        <w:t>el acceso a la justicia constitucional.</w:t>
      </w:r>
      <w:r w:rsidR="00D24A82">
        <w:rPr>
          <w:rFonts w:ascii="Cambria" w:hAnsi="Cambria"/>
          <w:sz w:val="20"/>
          <w:szCs w:val="20"/>
          <w:lang w:val="es-UY"/>
        </w:rPr>
        <w:t xml:space="preserve"> También aduce que </w:t>
      </w:r>
      <w:r>
        <w:rPr>
          <w:rFonts w:ascii="Cambria" w:hAnsi="Cambria"/>
          <w:sz w:val="20"/>
          <w:szCs w:val="20"/>
          <w:lang w:val="es-UY"/>
        </w:rPr>
        <w:t xml:space="preserve">el Poder Ejecutivo remitió </w:t>
      </w:r>
      <w:r w:rsidR="00D24A82">
        <w:rPr>
          <w:rFonts w:ascii="Cambria" w:hAnsi="Cambria"/>
          <w:sz w:val="20"/>
          <w:szCs w:val="20"/>
          <w:lang w:val="es-UY"/>
        </w:rPr>
        <w:t>instrucciones a</w:t>
      </w:r>
      <w:r>
        <w:rPr>
          <w:rFonts w:ascii="Cambria" w:hAnsi="Cambria"/>
          <w:sz w:val="20"/>
          <w:szCs w:val="20"/>
          <w:lang w:val="es-UY"/>
        </w:rPr>
        <w:t>l Poder Judicial mediante</w:t>
      </w:r>
      <w:r w:rsidR="00D24A82">
        <w:rPr>
          <w:rFonts w:ascii="Cambria" w:hAnsi="Cambria"/>
          <w:sz w:val="20"/>
          <w:szCs w:val="20"/>
          <w:lang w:val="es-UY"/>
        </w:rPr>
        <w:t xml:space="preserve"> un comunicado </w:t>
      </w:r>
      <w:r>
        <w:rPr>
          <w:rFonts w:ascii="Cambria" w:hAnsi="Cambria"/>
          <w:sz w:val="20"/>
          <w:szCs w:val="20"/>
          <w:lang w:val="es-UY"/>
        </w:rPr>
        <w:t>d</w:t>
      </w:r>
      <w:r w:rsidR="00D24A82">
        <w:rPr>
          <w:rFonts w:ascii="Cambria" w:hAnsi="Cambria"/>
          <w:sz w:val="20"/>
          <w:szCs w:val="20"/>
          <w:lang w:val="es-UY"/>
        </w:rPr>
        <w:t xml:space="preserve">el </w:t>
      </w:r>
      <w:r>
        <w:rPr>
          <w:rFonts w:ascii="Cambria" w:hAnsi="Cambria"/>
          <w:sz w:val="20"/>
          <w:szCs w:val="20"/>
          <w:lang w:val="es-UY"/>
        </w:rPr>
        <w:t>S</w:t>
      </w:r>
      <w:r w:rsidR="00D24A82">
        <w:rPr>
          <w:rFonts w:ascii="Cambria" w:hAnsi="Cambria"/>
          <w:sz w:val="20"/>
          <w:szCs w:val="20"/>
          <w:lang w:val="es-UY"/>
        </w:rPr>
        <w:t xml:space="preserve">ecretario </w:t>
      </w:r>
      <w:r>
        <w:rPr>
          <w:rFonts w:ascii="Cambria" w:hAnsi="Cambria"/>
          <w:sz w:val="20"/>
          <w:szCs w:val="20"/>
          <w:lang w:val="es-UY"/>
        </w:rPr>
        <w:t>J</w:t>
      </w:r>
      <w:r w:rsidR="00D24A82">
        <w:rPr>
          <w:rFonts w:ascii="Cambria" w:hAnsi="Cambria"/>
          <w:sz w:val="20"/>
          <w:szCs w:val="20"/>
          <w:lang w:val="es-UY"/>
        </w:rPr>
        <w:t>urídico de la Presidencia de la República en que se indicó a los jueces que “so pena de aplicarles la destitución no se d</w:t>
      </w:r>
      <w:r>
        <w:rPr>
          <w:rFonts w:ascii="Cambria" w:hAnsi="Cambria"/>
          <w:sz w:val="20"/>
          <w:szCs w:val="20"/>
          <w:lang w:val="es-UY"/>
        </w:rPr>
        <w:t>é</w:t>
      </w:r>
      <w:r w:rsidR="00D24A82">
        <w:rPr>
          <w:rFonts w:ascii="Cambria" w:hAnsi="Cambria"/>
          <w:sz w:val="20"/>
          <w:szCs w:val="20"/>
          <w:lang w:val="es-UY"/>
        </w:rPr>
        <w:t xml:space="preserve"> paso a ninguna acción de protección contra el Estado o Instituciones Similares”</w:t>
      </w:r>
      <w:r w:rsidR="00E07854">
        <w:rPr>
          <w:rFonts w:ascii="Cambria" w:hAnsi="Cambria"/>
          <w:sz w:val="20"/>
          <w:szCs w:val="20"/>
          <w:lang w:val="es-UY"/>
        </w:rPr>
        <w:t>.</w:t>
      </w:r>
      <w:r w:rsidR="00394073">
        <w:rPr>
          <w:rFonts w:ascii="Cambria" w:hAnsi="Cambria"/>
          <w:sz w:val="20"/>
          <w:szCs w:val="20"/>
          <w:lang w:val="es-UY"/>
        </w:rPr>
        <w:t xml:space="preserve"> </w:t>
      </w:r>
      <w:r>
        <w:rPr>
          <w:rFonts w:ascii="Cambria" w:hAnsi="Cambria"/>
          <w:sz w:val="20"/>
          <w:szCs w:val="20"/>
          <w:lang w:val="es-UY"/>
        </w:rPr>
        <w:t xml:space="preserve">Alega que los reclamos de las presuntas víctimas se refieren a </w:t>
      </w:r>
      <w:r w:rsidR="00394073">
        <w:rPr>
          <w:rFonts w:ascii="Cambria" w:hAnsi="Cambria"/>
          <w:sz w:val="20"/>
          <w:szCs w:val="20"/>
          <w:lang w:val="es-UY"/>
        </w:rPr>
        <w:t xml:space="preserve">violaciones </w:t>
      </w:r>
      <w:r>
        <w:rPr>
          <w:rFonts w:ascii="Cambria" w:hAnsi="Cambria"/>
          <w:sz w:val="20"/>
          <w:szCs w:val="20"/>
          <w:lang w:val="es-UY"/>
        </w:rPr>
        <w:t>de</w:t>
      </w:r>
      <w:r w:rsidR="00394073">
        <w:rPr>
          <w:rFonts w:ascii="Cambria" w:hAnsi="Cambria"/>
          <w:sz w:val="20"/>
          <w:szCs w:val="20"/>
          <w:lang w:val="es-UY"/>
        </w:rPr>
        <w:t xml:space="preserve"> derechos humanos, </w:t>
      </w:r>
      <w:r>
        <w:rPr>
          <w:rFonts w:ascii="Cambria" w:hAnsi="Cambria"/>
          <w:sz w:val="20"/>
          <w:szCs w:val="20"/>
          <w:lang w:val="es-UY"/>
        </w:rPr>
        <w:t xml:space="preserve">por lo que </w:t>
      </w:r>
      <w:r w:rsidR="00394073">
        <w:rPr>
          <w:rFonts w:ascii="Cambria" w:hAnsi="Cambria"/>
          <w:sz w:val="20"/>
          <w:szCs w:val="20"/>
          <w:lang w:val="es-UY"/>
        </w:rPr>
        <w:t>la vía constitucional era la idónea para pl</w:t>
      </w:r>
      <w:r w:rsidR="00ED5291">
        <w:rPr>
          <w:rFonts w:ascii="Cambria" w:hAnsi="Cambria"/>
          <w:sz w:val="20"/>
          <w:szCs w:val="20"/>
          <w:lang w:val="es-UY"/>
        </w:rPr>
        <w:t xml:space="preserve">antearlas </w:t>
      </w:r>
      <w:r>
        <w:rPr>
          <w:rFonts w:ascii="Cambria" w:hAnsi="Cambria"/>
          <w:sz w:val="20"/>
          <w:szCs w:val="20"/>
          <w:lang w:val="es-UY"/>
        </w:rPr>
        <w:t>en el ámbito interno</w:t>
      </w:r>
      <w:r w:rsidR="0018565E">
        <w:rPr>
          <w:rFonts w:ascii="Cambria" w:hAnsi="Cambria"/>
          <w:sz w:val="20"/>
          <w:szCs w:val="20"/>
          <w:lang w:val="es-UY"/>
        </w:rPr>
        <w:t>;</w:t>
      </w:r>
      <w:r w:rsidR="00ED5291">
        <w:rPr>
          <w:rFonts w:ascii="Cambria" w:hAnsi="Cambria"/>
          <w:sz w:val="20"/>
          <w:szCs w:val="20"/>
          <w:lang w:val="es-UY"/>
        </w:rPr>
        <w:t xml:space="preserve"> </w:t>
      </w:r>
      <w:r w:rsidR="0018565E">
        <w:rPr>
          <w:rFonts w:ascii="Cambria" w:hAnsi="Cambria"/>
          <w:sz w:val="20"/>
          <w:szCs w:val="20"/>
          <w:lang w:val="es-UY"/>
        </w:rPr>
        <w:t>y</w:t>
      </w:r>
      <w:r w:rsidR="00ED5291">
        <w:rPr>
          <w:rFonts w:ascii="Cambria" w:hAnsi="Cambria"/>
          <w:sz w:val="20"/>
          <w:szCs w:val="20"/>
          <w:lang w:val="es-UY"/>
        </w:rPr>
        <w:t xml:space="preserve"> que el recurso subjetivo o de plena jurisdicción ante la jurisdicción </w:t>
      </w:r>
      <w:r w:rsidR="0018565E">
        <w:rPr>
          <w:rFonts w:ascii="Cambria" w:hAnsi="Cambria"/>
          <w:sz w:val="20"/>
          <w:szCs w:val="20"/>
          <w:lang w:val="es-UY"/>
        </w:rPr>
        <w:t>contencioso-administrativa</w:t>
      </w:r>
      <w:r w:rsidR="00ED5291">
        <w:rPr>
          <w:rFonts w:ascii="Cambria" w:hAnsi="Cambria"/>
          <w:sz w:val="20"/>
          <w:szCs w:val="20"/>
          <w:lang w:val="es-UY"/>
        </w:rPr>
        <w:t xml:space="preserve"> no era adecuado ni eficaz para garantizar la reparación integral</w:t>
      </w:r>
      <w:r w:rsidR="00D045CE">
        <w:rPr>
          <w:rFonts w:ascii="Cambria" w:hAnsi="Cambria"/>
          <w:sz w:val="20"/>
          <w:szCs w:val="20"/>
          <w:lang w:val="es-UY"/>
        </w:rPr>
        <w:t>, pues solo permit</w:t>
      </w:r>
      <w:r w:rsidR="00DC518D">
        <w:rPr>
          <w:rFonts w:ascii="Cambria" w:hAnsi="Cambria"/>
          <w:sz w:val="20"/>
          <w:szCs w:val="20"/>
          <w:lang w:val="es-UY"/>
        </w:rPr>
        <w:t xml:space="preserve">ía determinar la legalidad o ilegalidad de un acto del </w:t>
      </w:r>
      <w:r w:rsidR="0018565E">
        <w:rPr>
          <w:rFonts w:ascii="Cambria" w:hAnsi="Cambria"/>
          <w:sz w:val="20"/>
          <w:szCs w:val="20"/>
          <w:lang w:val="es-UY"/>
        </w:rPr>
        <w:t>Estado,</w:t>
      </w:r>
      <w:r w:rsidR="00DC518D">
        <w:rPr>
          <w:rFonts w:ascii="Cambria" w:hAnsi="Cambria"/>
          <w:sz w:val="20"/>
          <w:szCs w:val="20"/>
          <w:lang w:val="es-UY"/>
        </w:rPr>
        <w:t xml:space="preserve"> pero no si fue violatorio </w:t>
      </w:r>
      <w:r w:rsidR="0018565E">
        <w:rPr>
          <w:rFonts w:ascii="Cambria" w:hAnsi="Cambria"/>
          <w:sz w:val="20"/>
          <w:szCs w:val="20"/>
          <w:lang w:val="es-UY"/>
        </w:rPr>
        <w:t>de</w:t>
      </w:r>
      <w:r w:rsidR="00DC518D">
        <w:rPr>
          <w:rFonts w:ascii="Cambria" w:hAnsi="Cambria"/>
          <w:sz w:val="20"/>
          <w:szCs w:val="20"/>
          <w:lang w:val="es-UY"/>
        </w:rPr>
        <w:t xml:space="preserve"> derechos constitucionales o humanos</w:t>
      </w:r>
      <w:r w:rsidR="00ED5291">
        <w:rPr>
          <w:rFonts w:ascii="Cambria" w:hAnsi="Cambria"/>
          <w:sz w:val="20"/>
          <w:szCs w:val="20"/>
          <w:lang w:val="es-UY"/>
        </w:rPr>
        <w:t xml:space="preserve">. </w:t>
      </w:r>
      <w:r w:rsidR="00D24A82">
        <w:rPr>
          <w:rFonts w:ascii="Cambria" w:hAnsi="Cambria"/>
          <w:sz w:val="20"/>
          <w:szCs w:val="20"/>
          <w:lang w:val="es-UY"/>
        </w:rPr>
        <w:t>A</w:t>
      </w:r>
      <w:r w:rsidR="004E4887">
        <w:rPr>
          <w:rFonts w:ascii="Cambria" w:hAnsi="Cambria"/>
          <w:sz w:val="20"/>
          <w:szCs w:val="20"/>
          <w:lang w:val="es-UY"/>
        </w:rPr>
        <w:t xml:space="preserve">grega que la efectividad de </w:t>
      </w:r>
      <w:r w:rsidR="0018565E">
        <w:rPr>
          <w:rFonts w:ascii="Cambria" w:hAnsi="Cambria"/>
          <w:sz w:val="20"/>
          <w:szCs w:val="20"/>
          <w:lang w:val="es-UY"/>
        </w:rPr>
        <w:t xml:space="preserve">las </w:t>
      </w:r>
      <w:r w:rsidR="004E4887">
        <w:rPr>
          <w:rFonts w:ascii="Cambria" w:hAnsi="Cambria"/>
          <w:sz w:val="20"/>
          <w:szCs w:val="20"/>
          <w:lang w:val="es-UY"/>
        </w:rPr>
        <w:t xml:space="preserve">demandas contra el Estado se vio menoscabada luego que el Consejo de la Judicatura, máxima autoridad judicial del país, emitiera un oficio en 2012 en el que ordenó a sus direcciones provinciales que recordaran a todos los jueces que debían actuar “en resguardo de los intereses nacionales e institucionales”. </w:t>
      </w:r>
    </w:p>
    <w:p w14:paraId="46857299" w14:textId="77777777" w:rsidR="00A6396B" w:rsidRDefault="00A6396B" w:rsidP="0018565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57CF2F8F" w14:textId="50F1C90E" w:rsidR="00EB48E4" w:rsidRDefault="0018565E"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A pesar de las</w:t>
      </w:r>
      <w:r w:rsidR="001A234E">
        <w:rPr>
          <w:rFonts w:ascii="Cambria" w:hAnsi="Cambria"/>
          <w:sz w:val="20"/>
          <w:szCs w:val="20"/>
          <w:lang w:val="es-UY"/>
        </w:rPr>
        <w:t xml:space="preserve"> deficiencias </w:t>
      </w:r>
      <w:r>
        <w:rPr>
          <w:rFonts w:ascii="Cambria" w:hAnsi="Cambria"/>
          <w:sz w:val="20"/>
          <w:szCs w:val="20"/>
          <w:lang w:val="es-UY"/>
        </w:rPr>
        <w:t>señaladas</w:t>
      </w:r>
      <w:r w:rsidR="001A234E">
        <w:rPr>
          <w:rFonts w:ascii="Cambria" w:hAnsi="Cambria"/>
          <w:sz w:val="20"/>
          <w:szCs w:val="20"/>
          <w:lang w:val="es-UY"/>
        </w:rPr>
        <w:t xml:space="preserve">, las presuntas víctimas decidieron interponer recursos </w:t>
      </w:r>
      <w:r>
        <w:rPr>
          <w:rFonts w:ascii="Cambria" w:hAnsi="Cambria"/>
          <w:sz w:val="20"/>
          <w:szCs w:val="20"/>
          <w:lang w:val="es-UY"/>
        </w:rPr>
        <w:t xml:space="preserve">contencioso-administrativos, pero </w:t>
      </w:r>
      <w:r w:rsidR="00EB48E4">
        <w:rPr>
          <w:rFonts w:ascii="Cambria" w:hAnsi="Cambria"/>
          <w:sz w:val="20"/>
          <w:szCs w:val="20"/>
          <w:lang w:val="es-UY"/>
        </w:rPr>
        <w:t xml:space="preserve">la parte peticionaria destaca que </w:t>
      </w:r>
      <w:r>
        <w:rPr>
          <w:rFonts w:ascii="Cambria" w:hAnsi="Cambria"/>
          <w:sz w:val="20"/>
          <w:szCs w:val="20"/>
          <w:lang w:val="es-UY"/>
        </w:rPr>
        <w:t xml:space="preserve">los respectivos </w:t>
      </w:r>
      <w:r w:rsidR="001A234E">
        <w:rPr>
          <w:rFonts w:ascii="Cambria" w:hAnsi="Cambria"/>
          <w:sz w:val="20"/>
          <w:szCs w:val="20"/>
          <w:lang w:val="es-UY"/>
        </w:rPr>
        <w:t xml:space="preserve">procesos no </w:t>
      </w:r>
      <w:r>
        <w:rPr>
          <w:rFonts w:ascii="Cambria" w:hAnsi="Cambria"/>
          <w:sz w:val="20"/>
          <w:szCs w:val="20"/>
          <w:lang w:val="es-UY"/>
        </w:rPr>
        <w:t>fueron</w:t>
      </w:r>
      <w:r w:rsidR="001A234E">
        <w:rPr>
          <w:rFonts w:ascii="Cambria" w:hAnsi="Cambria"/>
          <w:sz w:val="20"/>
          <w:szCs w:val="20"/>
          <w:lang w:val="es-UY"/>
        </w:rPr>
        <w:t xml:space="preserve"> resueltos dentro de </w:t>
      </w:r>
      <w:r>
        <w:rPr>
          <w:rFonts w:ascii="Cambria" w:hAnsi="Cambria"/>
          <w:sz w:val="20"/>
          <w:szCs w:val="20"/>
          <w:lang w:val="es-UY"/>
        </w:rPr>
        <w:t xml:space="preserve">un </w:t>
      </w:r>
      <w:r w:rsidR="001A234E">
        <w:rPr>
          <w:rFonts w:ascii="Cambria" w:hAnsi="Cambria"/>
          <w:sz w:val="20"/>
          <w:szCs w:val="20"/>
          <w:lang w:val="es-UY"/>
        </w:rPr>
        <w:t>plazo razonable</w:t>
      </w:r>
      <w:r w:rsidR="00EB48E4">
        <w:rPr>
          <w:rFonts w:ascii="Cambria" w:hAnsi="Cambria"/>
          <w:sz w:val="20"/>
          <w:szCs w:val="20"/>
          <w:lang w:val="es-UY"/>
        </w:rPr>
        <w:t xml:space="preserve">; </w:t>
      </w:r>
      <w:r w:rsidR="001A234E">
        <w:rPr>
          <w:rFonts w:ascii="Cambria" w:hAnsi="Cambria"/>
          <w:sz w:val="20"/>
          <w:szCs w:val="20"/>
          <w:lang w:val="es-UY"/>
        </w:rPr>
        <w:t xml:space="preserve">en muchos de </w:t>
      </w:r>
      <w:r w:rsidR="00EB48E4">
        <w:rPr>
          <w:rFonts w:ascii="Cambria" w:hAnsi="Cambria"/>
          <w:sz w:val="20"/>
          <w:szCs w:val="20"/>
          <w:lang w:val="es-UY"/>
        </w:rPr>
        <w:t xml:space="preserve">ellos </w:t>
      </w:r>
      <w:r w:rsidR="001A234E">
        <w:rPr>
          <w:rFonts w:ascii="Cambria" w:hAnsi="Cambria"/>
          <w:sz w:val="20"/>
          <w:szCs w:val="20"/>
          <w:lang w:val="es-UY"/>
        </w:rPr>
        <w:t xml:space="preserve">ni siquiera </w:t>
      </w:r>
      <w:r w:rsidR="00EB48E4">
        <w:rPr>
          <w:rFonts w:ascii="Cambria" w:hAnsi="Cambria"/>
          <w:sz w:val="20"/>
          <w:szCs w:val="20"/>
          <w:lang w:val="es-UY"/>
        </w:rPr>
        <w:t xml:space="preserve">se ha emitido </w:t>
      </w:r>
      <w:r w:rsidR="001A234E">
        <w:rPr>
          <w:rFonts w:ascii="Cambria" w:hAnsi="Cambria"/>
          <w:sz w:val="20"/>
          <w:szCs w:val="20"/>
          <w:lang w:val="es-UY"/>
        </w:rPr>
        <w:t xml:space="preserve">una decisión de primera instancia. Reconoce que 7 de los procesos fueron declarados en “abandono” por las autoridades </w:t>
      </w:r>
      <w:r w:rsidR="00EB48E4">
        <w:rPr>
          <w:rFonts w:ascii="Cambria" w:hAnsi="Cambria"/>
          <w:sz w:val="20"/>
          <w:szCs w:val="20"/>
          <w:lang w:val="es-UY"/>
        </w:rPr>
        <w:t>judiciales,</w:t>
      </w:r>
      <w:r w:rsidR="001A234E">
        <w:rPr>
          <w:rFonts w:ascii="Cambria" w:hAnsi="Cambria"/>
          <w:sz w:val="20"/>
          <w:szCs w:val="20"/>
          <w:lang w:val="es-UY"/>
        </w:rPr>
        <w:t xml:space="preserve"> pero aleg</w:t>
      </w:r>
      <w:r w:rsidR="00385BCC">
        <w:rPr>
          <w:rFonts w:ascii="Cambria" w:hAnsi="Cambria"/>
          <w:sz w:val="20"/>
          <w:szCs w:val="20"/>
          <w:lang w:val="es-UY"/>
        </w:rPr>
        <w:t>a que esto no ocurrió por de</w:t>
      </w:r>
      <w:r w:rsidR="001A234E">
        <w:rPr>
          <w:rFonts w:ascii="Cambria" w:hAnsi="Cambria"/>
          <w:sz w:val="20"/>
          <w:szCs w:val="20"/>
          <w:lang w:val="es-UY"/>
        </w:rPr>
        <w:t>sidia de las partes</w:t>
      </w:r>
      <w:r w:rsidR="00513D7A">
        <w:rPr>
          <w:rFonts w:ascii="Cambria" w:hAnsi="Cambria"/>
          <w:sz w:val="20"/>
          <w:szCs w:val="20"/>
          <w:lang w:val="es-UY"/>
        </w:rPr>
        <w:t>,</w:t>
      </w:r>
      <w:r w:rsidR="001A234E">
        <w:rPr>
          <w:rFonts w:ascii="Cambria" w:hAnsi="Cambria"/>
          <w:sz w:val="20"/>
          <w:szCs w:val="20"/>
          <w:lang w:val="es-UY"/>
        </w:rPr>
        <w:t xml:space="preserve"> sino </w:t>
      </w:r>
      <w:r w:rsidR="00EB48E4">
        <w:rPr>
          <w:rFonts w:ascii="Cambria" w:hAnsi="Cambria"/>
          <w:sz w:val="20"/>
          <w:szCs w:val="20"/>
          <w:lang w:val="es-UY"/>
        </w:rPr>
        <w:t>por</w:t>
      </w:r>
      <w:r w:rsidR="001A234E">
        <w:rPr>
          <w:rFonts w:ascii="Cambria" w:hAnsi="Cambria"/>
          <w:sz w:val="20"/>
          <w:szCs w:val="20"/>
          <w:lang w:val="es-UY"/>
        </w:rPr>
        <w:t>que los jueces se aprovecharon de lapsos de tiempo</w:t>
      </w:r>
      <w:r w:rsidR="00ED5291">
        <w:rPr>
          <w:rFonts w:ascii="Cambria" w:hAnsi="Cambria"/>
          <w:sz w:val="20"/>
          <w:szCs w:val="20"/>
          <w:lang w:val="es-UY"/>
        </w:rPr>
        <w:t xml:space="preserve"> </w:t>
      </w:r>
      <w:r w:rsidR="001A234E">
        <w:rPr>
          <w:rFonts w:ascii="Cambria" w:hAnsi="Cambria"/>
          <w:sz w:val="20"/>
          <w:szCs w:val="20"/>
          <w:lang w:val="es-UY"/>
        </w:rPr>
        <w:t xml:space="preserve">en que </w:t>
      </w:r>
      <w:r w:rsidR="00EB48E4">
        <w:rPr>
          <w:rFonts w:ascii="Cambria" w:hAnsi="Cambria"/>
          <w:sz w:val="20"/>
          <w:szCs w:val="20"/>
          <w:lang w:val="es-UY"/>
        </w:rPr>
        <w:t xml:space="preserve">las presuntas víctimas </w:t>
      </w:r>
      <w:r w:rsidR="001A234E">
        <w:rPr>
          <w:rFonts w:ascii="Cambria" w:hAnsi="Cambria"/>
          <w:sz w:val="20"/>
          <w:szCs w:val="20"/>
          <w:lang w:val="es-UY"/>
        </w:rPr>
        <w:t>no tenían actua</w:t>
      </w:r>
      <w:r w:rsidR="00EB48E4">
        <w:rPr>
          <w:rFonts w:ascii="Cambria" w:hAnsi="Cambria"/>
          <w:sz w:val="20"/>
          <w:szCs w:val="20"/>
          <w:lang w:val="es-UY"/>
        </w:rPr>
        <w:t xml:space="preserve">ciones </w:t>
      </w:r>
      <w:r w:rsidR="001C677C">
        <w:rPr>
          <w:rFonts w:ascii="Cambria" w:hAnsi="Cambria"/>
          <w:sz w:val="20"/>
          <w:szCs w:val="20"/>
          <w:lang w:val="es-UY"/>
        </w:rPr>
        <w:t>pendientes,</w:t>
      </w:r>
      <w:r w:rsidR="00EB48E4">
        <w:rPr>
          <w:rFonts w:ascii="Cambria" w:hAnsi="Cambria"/>
          <w:sz w:val="20"/>
          <w:szCs w:val="20"/>
          <w:lang w:val="es-UY"/>
        </w:rPr>
        <w:t xml:space="preserve"> sino que</w:t>
      </w:r>
      <w:r w:rsidR="001A234E">
        <w:rPr>
          <w:rFonts w:ascii="Cambria" w:hAnsi="Cambria"/>
          <w:sz w:val="20"/>
          <w:szCs w:val="20"/>
          <w:lang w:val="es-UY"/>
        </w:rPr>
        <w:t>, por el contrario, se encontraban esperando una decisión</w:t>
      </w:r>
      <w:r w:rsidR="00EB48E4">
        <w:rPr>
          <w:rFonts w:ascii="Cambria" w:hAnsi="Cambria"/>
          <w:sz w:val="20"/>
          <w:szCs w:val="20"/>
          <w:lang w:val="es-UY"/>
        </w:rPr>
        <w:t xml:space="preserve"> judicial</w:t>
      </w:r>
      <w:r w:rsidR="001A234E">
        <w:rPr>
          <w:rFonts w:ascii="Cambria" w:hAnsi="Cambria"/>
          <w:sz w:val="20"/>
          <w:szCs w:val="20"/>
          <w:lang w:val="es-UY"/>
        </w:rPr>
        <w:t>. Añade que en los procesos en que se declaró abandono habían transcurrido en pro</w:t>
      </w:r>
      <w:r w:rsidR="00D045CE">
        <w:rPr>
          <w:rFonts w:ascii="Cambria" w:hAnsi="Cambria"/>
          <w:sz w:val="20"/>
          <w:szCs w:val="20"/>
          <w:lang w:val="es-UY"/>
        </w:rPr>
        <w:t xml:space="preserve">medio 7 años sin decisión de primera instancia y sin que las causas hubieran sido abiertas a prueba, </w:t>
      </w:r>
      <w:r w:rsidR="00EB48E4">
        <w:rPr>
          <w:rFonts w:ascii="Cambria" w:hAnsi="Cambria"/>
          <w:sz w:val="20"/>
          <w:szCs w:val="20"/>
          <w:lang w:val="es-UY"/>
        </w:rPr>
        <w:t xml:space="preserve">lo que en su opinión se buscaba el </w:t>
      </w:r>
      <w:r w:rsidR="00D045CE">
        <w:rPr>
          <w:rFonts w:ascii="Cambria" w:hAnsi="Cambria"/>
          <w:sz w:val="20"/>
          <w:szCs w:val="20"/>
          <w:lang w:val="es-UY"/>
        </w:rPr>
        <w:t>agotamiento económico y moral de las presuntas víctimas.</w:t>
      </w:r>
      <w:r w:rsidR="00385BCC">
        <w:rPr>
          <w:rFonts w:ascii="Cambria" w:hAnsi="Cambria"/>
          <w:sz w:val="20"/>
          <w:szCs w:val="20"/>
          <w:lang w:val="es-UY"/>
        </w:rPr>
        <w:t xml:space="preserve"> </w:t>
      </w:r>
    </w:p>
    <w:p w14:paraId="42606966" w14:textId="77777777" w:rsidR="00EB48E4" w:rsidRDefault="00EB48E4" w:rsidP="00EB48E4">
      <w:pPr>
        <w:pStyle w:val="ListParagraph"/>
        <w:rPr>
          <w:sz w:val="20"/>
          <w:szCs w:val="20"/>
          <w:lang w:val="es-UY"/>
        </w:rPr>
      </w:pPr>
    </w:p>
    <w:p w14:paraId="29F90B63" w14:textId="4E39C5D4" w:rsidR="0002375F" w:rsidRDefault="00EB48E4"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lastRenderedPageBreak/>
        <w:t>Las</w:t>
      </w:r>
      <w:r w:rsidR="00385BCC">
        <w:rPr>
          <w:rFonts w:ascii="Cambria" w:hAnsi="Cambria"/>
          <w:sz w:val="20"/>
          <w:szCs w:val="20"/>
          <w:lang w:val="es-UY"/>
        </w:rPr>
        <w:t xml:space="preserve"> presuntas víctimas interpusieron </w:t>
      </w:r>
      <w:r>
        <w:rPr>
          <w:rFonts w:ascii="Cambria" w:hAnsi="Cambria"/>
          <w:sz w:val="20"/>
          <w:szCs w:val="20"/>
          <w:lang w:val="es-UY"/>
        </w:rPr>
        <w:t xml:space="preserve">igualmente </w:t>
      </w:r>
      <w:r w:rsidR="00385BCC">
        <w:rPr>
          <w:rFonts w:ascii="Cambria" w:hAnsi="Cambria"/>
          <w:sz w:val="20"/>
          <w:szCs w:val="20"/>
          <w:lang w:val="es-UY"/>
        </w:rPr>
        <w:t xml:space="preserve">dos acciones posesorias civiles, pero </w:t>
      </w:r>
      <w:r>
        <w:rPr>
          <w:rFonts w:ascii="Cambria" w:hAnsi="Cambria"/>
          <w:sz w:val="20"/>
          <w:szCs w:val="20"/>
          <w:lang w:val="es-UY"/>
        </w:rPr>
        <w:t xml:space="preserve">que </w:t>
      </w:r>
      <w:r w:rsidR="00385BCC">
        <w:rPr>
          <w:rFonts w:ascii="Cambria" w:hAnsi="Cambria"/>
          <w:sz w:val="20"/>
          <w:szCs w:val="20"/>
          <w:lang w:val="es-UY"/>
        </w:rPr>
        <w:t>solo buscaban impedir el desalojo de sus bienes de residencia</w:t>
      </w:r>
      <w:r>
        <w:rPr>
          <w:rFonts w:ascii="Cambria" w:hAnsi="Cambria"/>
          <w:sz w:val="20"/>
          <w:szCs w:val="20"/>
          <w:lang w:val="es-UY"/>
        </w:rPr>
        <w:t>,</w:t>
      </w:r>
      <w:r w:rsidR="00385BCC">
        <w:rPr>
          <w:rFonts w:ascii="Cambria" w:hAnsi="Cambria"/>
          <w:sz w:val="20"/>
          <w:szCs w:val="20"/>
          <w:lang w:val="es-UY"/>
        </w:rPr>
        <w:t xml:space="preserve"> no el remedio en sí de la situación denunciada en la petición.</w:t>
      </w:r>
      <w:r w:rsidR="00E634E0">
        <w:rPr>
          <w:rFonts w:ascii="Cambria" w:hAnsi="Cambria"/>
          <w:sz w:val="20"/>
          <w:szCs w:val="20"/>
          <w:lang w:val="es-UY"/>
        </w:rPr>
        <w:t xml:space="preserve"> </w:t>
      </w:r>
      <w:r>
        <w:rPr>
          <w:rFonts w:ascii="Cambria" w:hAnsi="Cambria"/>
          <w:sz w:val="20"/>
          <w:szCs w:val="20"/>
          <w:lang w:val="es-UY"/>
        </w:rPr>
        <w:t>La parte peticionaria s</w:t>
      </w:r>
      <w:r w:rsidR="00E634E0">
        <w:rPr>
          <w:rFonts w:ascii="Cambria" w:hAnsi="Cambria"/>
          <w:sz w:val="20"/>
          <w:szCs w:val="20"/>
          <w:lang w:val="es-UY"/>
        </w:rPr>
        <w:t xml:space="preserve">eñala </w:t>
      </w:r>
      <w:r w:rsidR="00385BCC">
        <w:rPr>
          <w:rFonts w:ascii="Cambria" w:hAnsi="Cambria"/>
          <w:sz w:val="20"/>
          <w:szCs w:val="20"/>
          <w:lang w:val="es-UY"/>
        </w:rPr>
        <w:t xml:space="preserve">además </w:t>
      </w:r>
      <w:r w:rsidR="00E634E0">
        <w:rPr>
          <w:rFonts w:ascii="Cambria" w:hAnsi="Cambria"/>
          <w:sz w:val="20"/>
          <w:szCs w:val="20"/>
          <w:lang w:val="es-UY"/>
        </w:rPr>
        <w:t xml:space="preserve">que en 2013 las presuntas víctimas interpusieron una acción constitucional de protección la que fue rechazada en dos instancias, entre otras razones, porque los tribunales consideraron que </w:t>
      </w:r>
      <w:r>
        <w:rPr>
          <w:rFonts w:ascii="Cambria" w:hAnsi="Cambria"/>
          <w:sz w:val="20"/>
          <w:szCs w:val="20"/>
          <w:lang w:val="es-UY"/>
        </w:rPr>
        <w:t xml:space="preserve">había </w:t>
      </w:r>
      <w:r w:rsidR="00E634E0">
        <w:rPr>
          <w:rFonts w:ascii="Cambria" w:hAnsi="Cambria"/>
          <w:sz w:val="20"/>
          <w:szCs w:val="20"/>
          <w:lang w:val="es-UY"/>
        </w:rPr>
        <w:t>vías idóneas para que los actos impugnados fueran recurrido</w:t>
      </w:r>
      <w:r w:rsidR="00513D7A">
        <w:rPr>
          <w:rFonts w:ascii="Cambria" w:hAnsi="Cambria"/>
          <w:sz w:val="20"/>
          <w:szCs w:val="20"/>
          <w:lang w:val="es-UY"/>
        </w:rPr>
        <w:t>s</w:t>
      </w:r>
      <w:r w:rsidR="00E634E0">
        <w:rPr>
          <w:rFonts w:ascii="Cambria" w:hAnsi="Cambria"/>
          <w:sz w:val="20"/>
          <w:szCs w:val="20"/>
          <w:lang w:val="es-UY"/>
        </w:rPr>
        <w:t xml:space="preserve"> ante la justicia administrativa. </w:t>
      </w:r>
      <w:r>
        <w:rPr>
          <w:rFonts w:ascii="Cambria" w:hAnsi="Cambria"/>
          <w:sz w:val="20"/>
          <w:szCs w:val="20"/>
          <w:lang w:val="es-UY"/>
        </w:rPr>
        <w:t>La parte peticionaria d</w:t>
      </w:r>
      <w:r w:rsidR="00EA3FD2">
        <w:rPr>
          <w:rFonts w:ascii="Cambria" w:hAnsi="Cambria"/>
          <w:sz w:val="20"/>
          <w:szCs w:val="20"/>
          <w:lang w:val="es-UY"/>
        </w:rPr>
        <w:t>estaca que el Estado</w:t>
      </w:r>
      <w:r w:rsidRPr="00EB48E4">
        <w:rPr>
          <w:rFonts w:ascii="Cambria" w:hAnsi="Cambria"/>
          <w:sz w:val="20"/>
          <w:szCs w:val="20"/>
          <w:lang w:val="es-UY"/>
        </w:rPr>
        <w:t xml:space="preserve"> </w:t>
      </w:r>
      <w:r>
        <w:rPr>
          <w:rFonts w:ascii="Cambria" w:hAnsi="Cambria"/>
          <w:sz w:val="20"/>
          <w:szCs w:val="20"/>
          <w:lang w:val="es-UY"/>
        </w:rPr>
        <w:t>manifestó</w:t>
      </w:r>
      <w:r w:rsidR="00EA3FD2">
        <w:rPr>
          <w:rFonts w:ascii="Cambria" w:hAnsi="Cambria"/>
          <w:sz w:val="20"/>
          <w:szCs w:val="20"/>
          <w:lang w:val="es-UY"/>
        </w:rPr>
        <w:t xml:space="preserve"> en un </w:t>
      </w:r>
      <w:r w:rsidR="006B21CC">
        <w:rPr>
          <w:rFonts w:ascii="Cambria" w:hAnsi="Cambria"/>
          <w:sz w:val="20"/>
          <w:szCs w:val="20"/>
          <w:lang w:val="es-UY"/>
        </w:rPr>
        <w:t>proceso ante la</w:t>
      </w:r>
      <w:r>
        <w:rPr>
          <w:rFonts w:ascii="Cambria" w:hAnsi="Cambria"/>
          <w:sz w:val="20"/>
          <w:szCs w:val="20"/>
          <w:lang w:val="es-UY"/>
        </w:rPr>
        <w:t>s Naciones Unidas</w:t>
      </w:r>
      <w:r w:rsidR="006B21CC">
        <w:rPr>
          <w:rFonts w:ascii="Cambria" w:hAnsi="Cambria"/>
          <w:sz w:val="20"/>
          <w:szCs w:val="20"/>
          <w:lang w:val="es-UY"/>
        </w:rPr>
        <w:t xml:space="preserve"> que </w:t>
      </w:r>
      <w:r>
        <w:rPr>
          <w:rFonts w:ascii="Cambria" w:hAnsi="Cambria"/>
          <w:sz w:val="20"/>
          <w:szCs w:val="20"/>
          <w:lang w:val="es-UY"/>
        </w:rPr>
        <w:t>los Mandatos 13 y 20</w:t>
      </w:r>
      <w:r w:rsidR="006B21CC">
        <w:rPr>
          <w:rFonts w:ascii="Cambria" w:hAnsi="Cambria"/>
          <w:sz w:val="20"/>
          <w:szCs w:val="20"/>
          <w:lang w:val="es-UY"/>
        </w:rPr>
        <w:t xml:space="preserve"> eran “normas supraestatales”</w:t>
      </w:r>
      <w:r>
        <w:rPr>
          <w:rFonts w:ascii="Cambria" w:hAnsi="Cambria"/>
          <w:sz w:val="20"/>
          <w:szCs w:val="20"/>
          <w:lang w:val="es-UY"/>
        </w:rPr>
        <w:t>;</w:t>
      </w:r>
      <w:r w:rsidR="006B21CC">
        <w:rPr>
          <w:rFonts w:ascii="Cambria" w:hAnsi="Cambria"/>
          <w:sz w:val="20"/>
          <w:szCs w:val="20"/>
          <w:lang w:val="es-UY"/>
        </w:rPr>
        <w:t xml:space="preserve"> por lo </w:t>
      </w:r>
      <w:r>
        <w:rPr>
          <w:rFonts w:ascii="Cambria" w:hAnsi="Cambria"/>
          <w:sz w:val="20"/>
          <w:szCs w:val="20"/>
          <w:lang w:val="es-UY"/>
        </w:rPr>
        <w:t xml:space="preserve">tanto, en virtud de la </w:t>
      </w:r>
      <w:r w:rsidR="006B21CC">
        <w:rPr>
          <w:rFonts w:ascii="Cambria" w:hAnsi="Cambria"/>
          <w:sz w:val="20"/>
          <w:szCs w:val="20"/>
          <w:lang w:val="es-UY"/>
        </w:rPr>
        <w:t>doctrina de los actos propios</w:t>
      </w:r>
      <w:r>
        <w:rPr>
          <w:rFonts w:ascii="Cambria" w:hAnsi="Cambria"/>
          <w:sz w:val="20"/>
          <w:szCs w:val="20"/>
          <w:lang w:val="es-UY"/>
        </w:rPr>
        <w:t>, no puede sostener</w:t>
      </w:r>
      <w:r w:rsidR="006B21CC">
        <w:rPr>
          <w:rFonts w:ascii="Cambria" w:hAnsi="Cambria"/>
          <w:sz w:val="20"/>
          <w:szCs w:val="20"/>
          <w:lang w:val="es-UY"/>
        </w:rPr>
        <w:t xml:space="preserve"> ante la C</w:t>
      </w:r>
      <w:r>
        <w:rPr>
          <w:rFonts w:ascii="Cambria" w:hAnsi="Cambria"/>
          <w:sz w:val="20"/>
          <w:szCs w:val="20"/>
          <w:lang w:val="es-UY"/>
        </w:rPr>
        <w:t>IDH</w:t>
      </w:r>
      <w:r w:rsidR="006B21CC">
        <w:rPr>
          <w:rFonts w:ascii="Cambria" w:hAnsi="Cambria"/>
          <w:sz w:val="20"/>
          <w:szCs w:val="20"/>
          <w:lang w:val="es-UY"/>
        </w:rPr>
        <w:t xml:space="preserve"> que eran impugnables mediante una acción de inconstitucionalidad. Agrega que, en todo caso, el Estado no ha explicado </w:t>
      </w:r>
      <w:r>
        <w:rPr>
          <w:rFonts w:ascii="Cambria" w:hAnsi="Cambria"/>
          <w:sz w:val="20"/>
          <w:szCs w:val="20"/>
          <w:lang w:val="es-UY"/>
        </w:rPr>
        <w:t>cómo</w:t>
      </w:r>
      <w:r w:rsidR="006B21CC">
        <w:rPr>
          <w:rFonts w:ascii="Cambria" w:hAnsi="Cambria"/>
          <w:sz w:val="20"/>
          <w:szCs w:val="20"/>
          <w:lang w:val="es-UY"/>
        </w:rPr>
        <w:t xml:space="preserve"> una demanda de inconstitucionalidad contra los mandatos sería un recurso efectivo para que las presuntas víctima</w:t>
      </w:r>
      <w:r w:rsidR="00EA3FD2">
        <w:rPr>
          <w:rFonts w:ascii="Cambria" w:hAnsi="Cambria"/>
          <w:sz w:val="20"/>
          <w:szCs w:val="20"/>
          <w:lang w:val="es-UY"/>
        </w:rPr>
        <w:t>s</w:t>
      </w:r>
      <w:r w:rsidR="006B21CC">
        <w:rPr>
          <w:rFonts w:ascii="Cambria" w:hAnsi="Cambria"/>
          <w:sz w:val="20"/>
          <w:szCs w:val="20"/>
          <w:lang w:val="es-UY"/>
        </w:rPr>
        <w:t xml:space="preserve"> obtengan reparación integral por las violaciones </w:t>
      </w:r>
      <w:r>
        <w:rPr>
          <w:rFonts w:ascii="Cambria" w:hAnsi="Cambria"/>
          <w:sz w:val="20"/>
          <w:szCs w:val="20"/>
          <w:lang w:val="es-UY"/>
        </w:rPr>
        <w:t>de</w:t>
      </w:r>
      <w:r w:rsidR="006B21CC">
        <w:rPr>
          <w:rFonts w:ascii="Cambria" w:hAnsi="Cambria"/>
          <w:sz w:val="20"/>
          <w:szCs w:val="20"/>
          <w:lang w:val="es-UY"/>
        </w:rPr>
        <w:t xml:space="preserve"> sus derechos. </w:t>
      </w:r>
      <w:r w:rsidR="00C6116C">
        <w:rPr>
          <w:rFonts w:ascii="Cambria" w:hAnsi="Cambria"/>
          <w:sz w:val="20"/>
          <w:szCs w:val="20"/>
          <w:lang w:val="es-UY"/>
        </w:rPr>
        <w:t>En suma, la parte peticionaria</w:t>
      </w:r>
      <w:r w:rsidR="00DC518D" w:rsidRPr="006B21CC">
        <w:rPr>
          <w:rFonts w:ascii="Cambria" w:hAnsi="Cambria"/>
          <w:sz w:val="20"/>
          <w:szCs w:val="20"/>
          <w:lang w:val="es-UY"/>
        </w:rPr>
        <w:t xml:space="preserve"> manifiesta que el Estado no ha proporcionado a la</w:t>
      </w:r>
      <w:r w:rsidR="00A72B91" w:rsidRPr="006B21CC">
        <w:rPr>
          <w:rFonts w:ascii="Cambria" w:hAnsi="Cambria"/>
          <w:sz w:val="20"/>
          <w:szCs w:val="20"/>
          <w:lang w:val="es-UY"/>
        </w:rPr>
        <w:t>s</w:t>
      </w:r>
      <w:r w:rsidR="00DC518D" w:rsidRPr="006B21CC">
        <w:rPr>
          <w:rFonts w:ascii="Cambria" w:hAnsi="Cambria"/>
          <w:sz w:val="20"/>
          <w:szCs w:val="20"/>
          <w:lang w:val="es-UY"/>
        </w:rPr>
        <w:t xml:space="preserve"> presuntas víctimas un recurso rápido, sencillo y eficaz para la protección de sus derechos</w:t>
      </w:r>
      <w:r w:rsidR="00C6116C">
        <w:rPr>
          <w:rFonts w:ascii="Cambria" w:hAnsi="Cambria"/>
          <w:sz w:val="20"/>
          <w:szCs w:val="20"/>
          <w:lang w:val="es-UY"/>
        </w:rPr>
        <w:t>;</w:t>
      </w:r>
      <w:r w:rsidR="00DC518D" w:rsidRPr="006B21CC">
        <w:rPr>
          <w:rFonts w:ascii="Cambria" w:hAnsi="Cambria"/>
          <w:sz w:val="20"/>
          <w:szCs w:val="20"/>
          <w:lang w:val="es-UY"/>
        </w:rPr>
        <w:t xml:space="preserve"> y que </w:t>
      </w:r>
      <w:r w:rsidR="00C6116C" w:rsidRPr="006B21CC">
        <w:rPr>
          <w:rFonts w:ascii="Cambria" w:hAnsi="Cambria"/>
          <w:sz w:val="20"/>
          <w:szCs w:val="20"/>
          <w:lang w:val="es-UY"/>
        </w:rPr>
        <w:t xml:space="preserve">resultan aplicables </w:t>
      </w:r>
      <w:r w:rsidR="00DC518D" w:rsidRPr="006B21CC">
        <w:rPr>
          <w:rFonts w:ascii="Cambria" w:hAnsi="Cambria"/>
          <w:sz w:val="20"/>
          <w:szCs w:val="20"/>
          <w:lang w:val="es-UY"/>
        </w:rPr>
        <w:t xml:space="preserve">las excepciones al requisito de agotamiento de los recursos internos previstas en el artículo 46.2 de la Convención Americana. </w:t>
      </w:r>
    </w:p>
    <w:p w14:paraId="3979E3B1"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909BF62" w14:textId="041A5736" w:rsidR="00E634E0" w:rsidRDefault="00E634E0"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El Estado, por su parte, sostiene que la petición debe ser inadmitida</w:t>
      </w:r>
      <w:r w:rsidR="00C6116C">
        <w:rPr>
          <w:rFonts w:ascii="Cambria" w:hAnsi="Cambria"/>
          <w:sz w:val="20"/>
          <w:szCs w:val="20"/>
          <w:lang w:val="es-UY"/>
        </w:rPr>
        <w:t xml:space="preserve"> pues</w:t>
      </w:r>
      <w:r w:rsidR="008E5363">
        <w:rPr>
          <w:rFonts w:ascii="Cambria" w:hAnsi="Cambria"/>
          <w:sz w:val="20"/>
          <w:szCs w:val="20"/>
          <w:lang w:val="es-UY"/>
        </w:rPr>
        <w:t xml:space="preserve"> </w:t>
      </w:r>
      <w:r>
        <w:rPr>
          <w:rFonts w:ascii="Cambria" w:hAnsi="Cambria"/>
          <w:sz w:val="20"/>
          <w:szCs w:val="20"/>
          <w:lang w:val="es-UY"/>
        </w:rPr>
        <w:t xml:space="preserve">los hechos expuestos en ella no caracterizan </w:t>
      </w:r>
      <w:r w:rsidR="00C6116C">
        <w:rPr>
          <w:rFonts w:ascii="Cambria" w:hAnsi="Cambria"/>
          <w:sz w:val="20"/>
          <w:szCs w:val="20"/>
          <w:lang w:val="es-UY"/>
        </w:rPr>
        <w:t xml:space="preserve">posibles </w:t>
      </w:r>
      <w:r>
        <w:rPr>
          <w:rFonts w:ascii="Cambria" w:hAnsi="Cambria"/>
          <w:sz w:val="20"/>
          <w:szCs w:val="20"/>
          <w:lang w:val="es-UY"/>
        </w:rPr>
        <w:t xml:space="preserve">violaciones </w:t>
      </w:r>
      <w:r w:rsidR="00C6116C">
        <w:rPr>
          <w:rFonts w:ascii="Cambria" w:hAnsi="Cambria"/>
          <w:sz w:val="20"/>
          <w:szCs w:val="20"/>
          <w:lang w:val="es-UY"/>
        </w:rPr>
        <w:t>de</w:t>
      </w:r>
      <w:r>
        <w:rPr>
          <w:rFonts w:ascii="Cambria" w:hAnsi="Cambria"/>
          <w:sz w:val="20"/>
          <w:szCs w:val="20"/>
          <w:lang w:val="es-UY"/>
        </w:rPr>
        <w:t xml:space="preserve"> derechos humanos</w:t>
      </w:r>
      <w:r w:rsidR="00C6116C">
        <w:rPr>
          <w:rFonts w:ascii="Cambria" w:hAnsi="Cambria"/>
          <w:sz w:val="20"/>
          <w:szCs w:val="20"/>
          <w:lang w:val="es-UY"/>
        </w:rPr>
        <w:t xml:space="preserve">; </w:t>
      </w:r>
      <w:r w:rsidR="008E5363">
        <w:rPr>
          <w:rFonts w:ascii="Cambria" w:hAnsi="Cambria"/>
          <w:sz w:val="20"/>
          <w:szCs w:val="20"/>
          <w:lang w:val="es-UY"/>
        </w:rPr>
        <w:t xml:space="preserve">que </w:t>
      </w:r>
      <w:r>
        <w:rPr>
          <w:rFonts w:ascii="Cambria" w:hAnsi="Cambria"/>
          <w:sz w:val="20"/>
          <w:szCs w:val="20"/>
          <w:lang w:val="es-UY"/>
        </w:rPr>
        <w:t>las presuntas víctimas no han cumplido con agotar los recursos de la jurisdicción interna</w:t>
      </w:r>
      <w:r w:rsidR="00C6116C">
        <w:rPr>
          <w:rFonts w:ascii="Cambria" w:hAnsi="Cambria"/>
          <w:sz w:val="20"/>
          <w:szCs w:val="20"/>
          <w:lang w:val="es-UY"/>
        </w:rPr>
        <w:t>;</w:t>
      </w:r>
      <w:r w:rsidR="008E5363">
        <w:rPr>
          <w:rFonts w:ascii="Cambria" w:hAnsi="Cambria"/>
          <w:sz w:val="20"/>
          <w:szCs w:val="20"/>
          <w:lang w:val="es-UY"/>
        </w:rPr>
        <w:t xml:space="preserve"> y que la Comisión ha vulnerado el debido proceso en perjuicio del Estado durante la tramitación de la petición. </w:t>
      </w:r>
    </w:p>
    <w:p w14:paraId="480D52BA"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8D9DBAB" w14:textId="45256B55" w:rsidR="00EA1A2E" w:rsidRDefault="004D4B96"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Sostiene que la incautación de los bienes de las presuntas víctimas se llevó a cabo en base al orden legal y constitucional aplicable, </w:t>
      </w:r>
      <w:r w:rsidR="00C6116C">
        <w:rPr>
          <w:rFonts w:ascii="Cambria" w:hAnsi="Cambria"/>
          <w:sz w:val="20"/>
          <w:szCs w:val="20"/>
          <w:lang w:val="es-UY"/>
        </w:rPr>
        <w:t>conforme a</w:t>
      </w:r>
      <w:r>
        <w:rPr>
          <w:rFonts w:ascii="Cambria" w:hAnsi="Cambria"/>
          <w:sz w:val="20"/>
          <w:szCs w:val="20"/>
          <w:lang w:val="es-UY"/>
        </w:rPr>
        <w:t xml:space="preserve"> </w:t>
      </w:r>
      <w:r w:rsidR="00C6116C">
        <w:rPr>
          <w:rFonts w:ascii="Cambria" w:hAnsi="Cambria"/>
          <w:sz w:val="20"/>
          <w:szCs w:val="20"/>
          <w:lang w:val="es-UY"/>
        </w:rPr>
        <w:t xml:space="preserve">un </w:t>
      </w:r>
      <w:r>
        <w:rPr>
          <w:rFonts w:ascii="Cambria" w:hAnsi="Cambria"/>
          <w:sz w:val="20"/>
          <w:szCs w:val="20"/>
          <w:lang w:val="es-UY"/>
        </w:rPr>
        <w:t>proceso administrativo reglamentado</w:t>
      </w:r>
      <w:r w:rsidR="00C6116C">
        <w:rPr>
          <w:rFonts w:ascii="Cambria" w:hAnsi="Cambria"/>
          <w:sz w:val="20"/>
          <w:szCs w:val="20"/>
          <w:lang w:val="es-UY"/>
        </w:rPr>
        <w:t>,</w:t>
      </w:r>
      <w:r>
        <w:rPr>
          <w:rFonts w:ascii="Cambria" w:hAnsi="Cambria"/>
          <w:sz w:val="20"/>
          <w:szCs w:val="20"/>
          <w:lang w:val="es-UY"/>
        </w:rPr>
        <w:t xml:space="preserve"> en que las personas que se consideraban afectadas por las resoluciones tenían la posibilidad de impugnarlas administrativamente. Explica que las presuntas víctimas utilizaron estos mecanismos administrativos de </w:t>
      </w:r>
      <w:r w:rsidR="00C6116C">
        <w:rPr>
          <w:rFonts w:ascii="Cambria" w:hAnsi="Cambria"/>
          <w:sz w:val="20"/>
          <w:szCs w:val="20"/>
          <w:lang w:val="es-UY"/>
        </w:rPr>
        <w:t>impugnación,</w:t>
      </w:r>
      <w:r>
        <w:rPr>
          <w:rFonts w:ascii="Cambria" w:hAnsi="Cambria"/>
          <w:sz w:val="20"/>
          <w:szCs w:val="20"/>
          <w:lang w:val="es-UY"/>
        </w:rPr>
        <w:t xml:space="preserve"> pero </w:t>
      </w:r>
      <w:r w:rsidR="00C6116C">
        <w:rPr>
          <w:rFonts w:ascii="Cambria" w:hAnsi="Cambria"/>
          <w:sz w:val="20"/>
          <w:szCs w:val="20"/>
          <w:lang w:val="es-UY"/>
        </w:rPr>
        <w:t xml:space="preserve">que </w:t>
      </w:r>
      <w:r>
        <w:rPr>
          <w:rFonts w:ascii="Cambria" w:hAnsi="Cambria"/>
          <w:sz w:val="20"/>
          <w:szCs w:val="20"/>
          <w:lang w:val="es-UY"/>
        </w:rPr>
        <w:t xml:space="preserve">no pudieron demostrar su real propiedad </w:t>
      </w:r>
      <w:r w:rsidR="00C6116C">
        <w:rPr>
          <w:rFonts w:ascii="Cambria" w:hAnsi="Cambria"/>
          <w:sz w:val="20"/>
          <w:szCs w:val="20"/>
          <w:lang w:val="es-UY"/>
        </w:rPr>
        <w:t>ni</w:t>
      </w:r>
      <w:r>
        <w:rPr>
          <w:rFonts w:ascii="Cambria" w:hAnsi="Cambria"/>
          <w:sz w:val="20"/>
          <w:szCs w:val="20"/>
          <w:lang w:val="es-UY"/>
        </w:rPr>
        <w:t xml:space="preserve"> el origen lícito de sus bienes, por lo que las resoluciones se confirmaron. Agrega que, si bien la Superintendencia de Bancos emitió certificados </w:t>
      </w:r>
      <w:r w:rsidR="00C6116C">
        <w:rPr>
          <w:rFonts w:ascii="Cambria" w:hAnsi="Cambria"/>
          <w:sz w:val="20"/>
          <w:szCs w:val="20"/>
          <w:lang w:val="es-UY"/>
        </w:rPr>
        <w:t xml:space="preserve">en los que </w:t>
      </w:r>
      <w:r>
        <w:rPr>
          <w:rFonts w:ascii="Cambria" w:hAnsi="Cambria"/>
          <w:sz w:val="20"/>
          <w:szCs w:val="20"/>
          <w:lang w:val="es-UY"/>
        </w:rPr>
        <w:t>indic</w:t>
      </w:r>
      <w:r w:rsidR="00C6116C">
        <w:rPr>
          <w:rFonts w:ascii="Cambria" w:hAnsi="Cambria"/>
          <w:sz w:val="20"/>
          <w:szCs w:val="20"/>
          <w:lang w:val="es-UY"/>
        </w:rPr>
        <w:t>ó</w:t>
      </w:r>
      <w:r>
        <w:rPr>
          <w:rFonts w:ascii="Cambria" w:hAnsi="Cambria"/>
          <w:sz w:val="20"/>
          <w:szCs w:val="20"/>
          <w:lang w:val="es-UY"/>
        </w:rPr>
        <w:t xml:space="preserve"> que las presuntas víctima</w:t>
      </w:r>
      <w:r w:rsidR="00C85632">
        <w:rPr>
          <w:rFonts w:ascii="Cambria" w:hAnsi="Cambria"/>
          <w:sz w:val="20"/>
          <w:szCs w:val="20"/>
          <w:lang w:val="es-UY"/>
        </w:rPr>
        <w:t>s</w:t>
      </w:r>
      <w:r>
        <w:rPr>
          <w:rFonts w:ascii="Cambria" w:hAnsi="Cambria"/>
          <w:sz w:val="20"/>
          <w:szCs w:val="20"/>
          <w:lang w:val="es-UY"/>
        </w:rPr>
        <w:t xml:space="preserve"> no se encontraban vinculadas</w:t>
      </w:r>
      <w:r w:rsidR="00C85632">
        <w:rPr>
          <w:rFonts w:ascii="Cambria" w:hAnsi="Cambria"/>
          <w:sz w:val="20"/>
          <w:szCs w:val="20"/>
          <w:lang w:val="es-UY"/>
        </w:rPr>
        <w:t xml:space="preserve"> </w:t>
      </w:r>
      <w:r w:rsidR="00C6116C">
        <w:rPr>
          <w:rFonts w:ascii="Cambria" w:hAnsi="Cambria"/>
          <w:sz w:val="20"/>
          <w:szCs w:val="20"/>
          <w:lang w:val="es-UY"/>
        </w:rPr>
        <w:t>a</w:t>
      </w:r>
      <w:r w:rsidR="00C85632">
        <w:rPr>
          <w:rFonts w:ascii="Cambria" w:hAnsi="Cambria"/>
          <w:sz w:val="20"/>
          <w:szCs w:val="20"/>
          <w:lang w:val="es-UY"/>
        </w:rPr>
        <w:t>l Banco de Préstamos, esto se debió</w:t>
      </w:r>
      <w:r>
        <w:rPr>
          <w:rFonts w:ascii="Cambria" w:hAnsi="Cambria"/>
          <w:sz w:val="20"/>
          <w:szCs w:val="20"/>
          <w:lang w:val="es-UY"/>
        </w:rPr>
        <w:t xml:space="preserve"> </w:t>
      </w:r>
      <w:r w:rsidR="00C85632">
        <w:rPr>
          <w:rFonts w:ascii="Cambria" w:hAnsi="Cambria"/>
          <w:sz w:val="20"/>
          <w:szCs w:val="20"/>
          <w:lang w:val="es-UY"/>
        </w:rPr>
        <w:t>a que</w:t>
      </w:r>
      <w:r>
        <w:rPr>
          <w:rFonts w:ascii="Cambria" w:hAnsi="Cambria"/>
          <w:sz w:val="20"/>
          <w:szCs w:val="20"/>
          <w:lang w:val="es-UY"/>
        </w:rPr>
        <w:t xml:space="preserve"> dicha entidad solo se limitaba a ver</w:t>
      </w:r>
      <w:r w:rsidR="00C85632">
        <w:rPr>
          <w:rFonts w:ascii="Cambria" w:hAnsi="Cambria"/>
          <w:sz w:val="20"/>
          <w:szCs w:val="20"/>
          <w:lang w:val="es-UY"/>
        </w:rPr>
        <w:t>ificar las relaciones crediticia</w:t>
      </w:r>
      <w:r>
        <w:rPr>
          <w:rFonts w:ascii="Cambria" w:hAnsi="Cambria"/>
          <w:sz w:val="20"/>
          <w:szCs w:val="20"/>
          <w:lang w:val="es-UY"/>
        </w:rPr>
        <w:t>s</w:t>
      </w:r>
      <w:r w:rsidR="00C85632">
        <w:rPr>
          <w:rFonts w:ascii="Cambria" w:hAnsi="Cambria"/>
          <w:sz w:val="20"/>
          <w:szCs w:val="20"/>
          <w:lang w:val="es-UY"/>
        </w:rPr>
        <w:t>,</w:t>
      </w:r>
      <w:r>
        <w:rPr>
          <w:rFonts w:ascii="Cambria" w:hAnsi="Cambria"/>
          <w:sz w:val="20"/>
          <w:szCs w:val="20"/>
          <w:lang w:val="es-UY"/>
        </w:rPr>
        <w:t xml:space="preserve"> </w:t>
      </w:r>
      <w:r w:rsidR="00C85632">
        <w:rPr>
          <w:rFonts w:ascii="Cambria" w:hAnsi="Cambria"/>
          <w:sz w:val="20"/>
          <w:szCs w:val="20"/>
          <w:lang w:val="es-UY"/>
        </w:rPr>
        <w:t xml:space="preserve">mientras que la determinación del vínculo para efecto de </w:t>
      </w:r>
      <w:r w:rsidR="00C6116C">
        <w:rPr>
          <w:rFonts w:ascii="Cambria" w:hAnsi="Cambria"/>
          <w:sz w:val="20"/>
          <w:szCs w:val="20"/>
          <w:lang w:val="es-UY"/>
        </w:rPr>
        <w:t xml:space="preserve">las </w:t>
      </w:r>
      <w:r w:rsidR="00C85632">
        <w:rPr>
          <w:rFonts w:ascii="Cambria" w:hAnsi="Cambria"/>
          <w:sz w:val="20"/>
          <w:szCs w:val="20"/>
          <w:lang w:val="es-UY"/>
        </w:rPr>
        <w:t>incautaciones correspondía exclusivamente a la AGD</w:t>
      </w:r>
      <w:r>
        <w:rPr>
          <w:rFonts w:ascii="Cambria" w:hAnsi="Cambria"/>
          <w:sz w:val="20"/>
          <w:szCs w:val="20"/>
          <w:lang w:val="es-UY"/>
        </w:rPr>
        <w:t>. También r</w:t>
      </w:r>
      <w:r w:rsidR="0066024D">
        <w:rPr>
          <w:rFonts w:ascii="Cambria" w:hAnsi="Cambria"/>
          <w:sz w:val="20"/>
          <w:szCs w:val="20"/>
          <w:lang w:val="es-UY"/>
        </w:rPr>
        <w:t xml:space="preserve">echaza que las órdenes de incautación </w:t>
      </w:r>
      <w:r w:rsidR="00C6116C">
        <w:rPr>
          <w:rFonts w:ascii="Cambria" w:hAnsi="Cambria"/>
          <w:sz w:val="20"/>
          <w:szCs w:val="20"/>
          <w:lang w:val="es-UY"/>
        </w:rPr>
        <w:t xml:space="preserve">se hubieran </w:t>
      </w:r>
      <w:r w:rsidR="0066024D">
        <w:rPr>
          <w:rFonts w:ascii="Cambria" w:hAnsi="Cambria"/>
          <w:sz w:val="20"/>
          <w:szCs w:val="20"/>
          <w:lang w:val="es-UY"/>
        </w:rPr>
        <w:t>ejecutado con exceso de fuerza o violencia</w:t>
      </w:r>
      <w:r w:rsidR="00C6116C">
        <w:rPr>
          <w:rFonts w:ascii="Cambria" w:hAnsi="Cambria"/>
          <w:sz w:val="20"/>
          <w:szCs w:val="20"/>
          <w:lang w:val="es-UY"/>
        </w:rPr>
        <w:t>,</w:t>
      </w:r>
      <w:r w:rsidR="0066024D">
        <w:rPr>
          <w:rFonts w:ascii="Cambria" w:hAnsi="Cambria"/>
          <w:sz w:val="20"/>
          <w:szCs w:val="20"/>
          <w:lang w:val="es-UY"/>
        </w:rPr>
        <w:t xml:space="preserve"> </w:t>
      </w:r>
      <w:r w:rsidR="00C6116C">
        <w:rPr>
          <w:rFonts w:ascii="Cambria" w:hAnsi="Cambria"/>
          <w:sz w:val="20"/>
          <w:szCs w:val="20"/>
          <w:lang w:val="es-UY"/>
        </w:rPr>
        <w:t>y e</w:t>
      </w:r>
      <w:r w:rsidR="0066024D">
        <w:rPr>
          <w:rFonts w:ascii="Cambria" w:hAnsi="Cambria"/>
          <w:sz w:val="20"/>
          <w:szCs w:val="20"/>
          <w:lang w:val="es-UY"/>
        </w:rPr>
        <w:t xml:space="preserve">xplica que los informes policiales de estas diligencias indican que las mismas se llevaron </w:t>
      </w:r>
      <w:r w:rsidR="00C6116C">
        <w:rPr>
          <w:rFonts w:ascii="Cambria" w:hAnsi="Cambria"/>
          <w:sz w:val="20"/>
          <w:szCs w:val="20"/>
          <w:lang w:val="es-UY"/>
        </w:rPr>
        <w:t xml:space="preserve">adelante </w:t>
      </w:r>
      <w:r w:rsidR="0066024D">
        <w:rPr>
          <w:rFonts w:ascii="Cambria" w:hAnsi="Cambria"/>
          <w:sz w:val="20"/>
          <w:szCs w:val="20"/>
          <w:lang w:val="es-UY"/>
        </w:rPr>
        <w:t xml:space="preserve">“sin novedades”. Señala que el </w:t>
      </w:r>
      <w:r w:rsidR="00C6116C">
        <w:rPr>
          <w:rFonts w:ascii="Cambria" w:hAnsi="Cambria"/>
          <w:sz w:val="20"/>
          <w:szCs w:val="20"/>
          <w:lang w:val="es-UY"/>
        </w:rPr>
        <w:t>D</w:t>
      </w:r>
      <w:r w:rsidR="0066024D">
        <w:rPr>
          <w:rFonts w:ascii="Cambria" w:hAnsi="Cambria"/>
          <w:sz w:val="20"/>
          <w:szCs w:val="20"/>
          <w:lang w:val="es-UY"/>
        </w:rPr>
        <w:t xml:space="preserve">epartamento de </w:t>
      </w:r>
      <w:r w:rsidR="00C6116C">
        <w:rPr>
          <w:rFonts w:ascii="Cambria" w:hAnsi="Cambria"/>
          <w:sz w:val="20"/>
          <w:szCs w:val="20"/>
          <w:lang w:val="es-UY"/>
        </w:rPr>
        <w:t>A</w:t>
      </w:r>
      <w:r w:rsidR="0066024D">
        <w:rPr>
          <w:rFonts w:ascii="Cambria" w:hAnsi="Cambria"/>
          <w:sz w:val="20"/>
          <w:szCs w:val="20"/>
          <w:lang w:val="es-UY"/>
        </w:rPr>
        <w:t xml:space="preserve">suntos </w:t>
      </w:r>
      <w:r w:rsidR="00C6116C">
        <w:rPr>
          <w:rFonts w:ascii="Cambria" w:hAnsi="Cambria"/>
          <w:sz w:val="20"/>
          <w:szCs w:val="20"/>
          <w:lang w:val="es-UY"/>
        </w:rPr>
        <w:t>I</w:t>
      </w:r>
      <w:r w:rsidR="0066024D">
        <w:rPr>
          <w:rFonts w:ascii="Cambria" w:hAnsi="Cambria"/>
          <w:sz w:val="20"/>
          <w:szCs w:val="20"/>
          <w:lang w:val="es-UY"/>
        </w:rPr>
        <w:t>nternos de la Policía Nacional realizó una investigación respecto a los presuntos hechos de violencia</w:t>
      </w:r>
      <w:r w:rsidR="00C6116C">
        <w:rPr>
          <w:rFonts w:ascii="Cambria" w:hAnsi="Cambria"/>
          <w:sz w:val="20"/>
          <w:szCs w:val="20"/>
          <w:lang w:val="es-UY"/>
        </w:rPr>
        <w:t>,</w:t>
      </w:r>
      <w:r w:rsidR="0066024D">
        <w:rPr>
          <w:rFonts w:ascii="Cambria" w:hAnsi="Cambria"/>
          <w:sz w:val="20"/>
          <w:szCs w:val="20"/>
          <w:lang w:val="es-UY"/>
        </w:rPr>
        <w:t xml:space="preserve"> durante la cual se entrevistó a las personas que laboraban en las propiedades incautadas</w:t>
      </w:r>
      <w:r w:rsidR="00C6116C">
        <w:rPr>
          <w:rFonts w:ascii="Cambria" w:hAnsi="Cambria"/>
          <w:sz w:val="20"/>
          <w:szCs w:val="20"/>
          <w:lang w:val="es-UY"/>
        </w:rPr>
        <w:t>;</w:t>
      </w:r>
      <w:r w:rsidR="0066024D">
        <w:rPr>
          <w:rFonts w:ascii="Cambria" w:hAnsi="Cambria"/>
          <w:sz w:val="20"/>
          <w:szCs w:val="20"/>
          <w:lang w:val="es-UY"/>
        </w:rPr>
        <w:t xml:space="preserve"> </w:t>
      </w:r>
      <w:r w:rsidR="00C6116C">
        <w:rPr>
          <w:rFonts w:ascii="Cambria" w:hAnsi="Cambria"/>
          <w:sz w:val="20"/>
          <w:szCs w:val="20"/>
          <w:lang w:val="es-UY"/>
        </w:rPr>
        <w:t xml:space="preserve">y que estas </w:t>
      </w:r>
      <w:r w:rsidR="0066024D">
        <w:rPr>
          <w:rFonts w:ascii="Cambria" w:hAnsi="Cambria"/>
          <w:sz w:val="20"/>
          <w:szCs w:val="20"/>
          <w:lang w:val="es-UY"/>
        </w:rPr>
        <w:t>negaron que se hubiesen utilizados helicópteros o aeronaves durante los operativos</w:t>
      </w:r>
      <w:r w:rsidR="00EA1A2E">
        <w:rPr>
          <w:rFonts w:ascii="Cambria" w:hAnsi="Cambria"/>
          <w:sz w:val="20"/>
          <w:szCs w:val="20"/>
          <w:lang w:val="es-UY"/>
        </w:rPr>
        <w:t xml:space="preserve"> La investigación también concluyó que de la documentación disponible y las versiones de las personas declarantes no se verificaba que persona </w:t>
      </w:r>
      <w:r w:rsidR="00C6116C">
        <w:rPr>
          <w:rFonts w:ascii="Cambria" w:hAnsi="Cambria"/>
          <w:sz w:val="20"/>
          <w:szCs w:val="20"/>
          <w:lang w:val="es-UY"/>
        </w:rPr>
        <w:t xml:space="preserve">alguna </w:t>
      </w:r>
      <w:r w:rsidR="00EA1A2E">
        <w:rPr>
          <w:rFonts w:ascii="Cambria" w:hAnsi="Cambria"/>
          <w:sz w:val="20"/>
          <w:szCs w:val="20"/>
          <w:lang w:val="es-UY"/>
        </w:rPr>
        <w:t>hubiese sido golpeada o manoteada por agentes de las fuerzas especiales.</w:t>
      </w:r>
      <w:r w:rsidR="0066024D">
        <w:rPr>
          <w:rFonts w:ascii="Cambria" w:hAnsi="Cambria"/>
          <w:sz w:val="20"/>
          <w:szCs w:val="20"/>
          <w:lang w:val="es-UY"/>
        </w:rPr>
        <w:t xml:space="preserve">  </w:t>
      </w:r>
    </w:p>
    <w:p w14:paraId="1C8DAB9A"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CED2F8C" w14:textId="7FFBBC9E" w:rsidR="009036B7" w:rsidRPr="009036B7" w:rsidRDefault="009036B7"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Señala que todos los procesos </w:t>
      </w:r>
      <w:r w:rsidR="00EA1A2E">
        <w:rPr>
          <w:rFonts w:ascii="Cambria" w:hAnsi="Cambria"/>
          <w:sz w:val="20"/>
          <w:szCs w:val="20"/>
          <w:lang w:val="es-UY"/>
        </w:rPr>
        <w:t xml:space="preserve">judiciales </w:t>
      </w:r>
      <w:r w:rsidR="00C6116C">
        <w:rPr>
          <w:rFonts w:ascii="Cambria" w:hAnsi="Cambria"/>
          <w:sz w:val="20"/>
          <w:szCs w:val="20"/>
          <w:lang w:val="es-UY"/>
        </w:rPr>
        <w:t xml:space="preserve">en </w:t>
      </w:r>
      <w:r>
        <w:rPr>
          <w:rFonts w:ascii="Cambria" w:hAnsi="Cambria"/>
          <w:sz w:val="20"/>
          <w:szCs w:val="20"/>
          <w:lang w:val="es-UY"/>
        </w:rPr>
        <w:t xml:space="preserve">que </w:t>
      </w:r>
      <w:r w:rsidR="00C6116C">
        <w:rPr>
          <w:rFonts w:ascii="Cambria" w:hAnsi="Cambria"/>
          <w:sz w:val="20"/>
          <w:szCs w:val="20"/>
          <w:lang w:val="es-UY"/>
        </w:rPr>
        <w:t xml:space="preserve">participaron </w:t>
      </w:r>
      <w:r>
        <w:rPr>
          <w:rFonts w:ascii="Cambria" w:hAnsi="Cambria"/>
          <w:sz w:val="20"/>
          <w:szCs w:val="20"/>
          <w:lang w:val="es-UY"/>
        </w:rPr>
        <w:t xml:space="preserve">las presuntas víctimas se desarrollaron en pleno respeto del debido proceso, </w:t>
      </w:r>
      <w:r w:rsidR="00C6116C">
        <w:rPr>
          <w:rFonts w:ascii="Cambria" w:hAnsi="Cambria"/>
          <w:sz w:val="20"/>
          <w:szCs w:val="20"/>
          <w:lang w:val="es-UY"/>
        </w:rPr>
        <w:t xml:space="preserve">y que </w:t>
      </w:r>
      <w:r>
        <w:rPr>
          <w:rFonts w:ascii="Cambria" w:hAnsi="Cambria"/>
          <w:sz w:val="20"/>
          <w:szCs w:val="20"/>
          <w:lang w:val="es-UY"/>
        </w:rPr>
        <w:t xml:space="preserve">las personas demandantes </w:t>
      </w:r>
      <w:r w:rsidR="00C6116C">
        <w:rPr>
          <w:rFonts w:ascii="Cambria" w:hAnsi="Cambria"/>
          <w:sz w:val="20"/>
          <w:szCs w:val="20"/>
          <w:lang w:val="es-UY"/>
        </w:rPr>
        <w:t xml:space="preserve">tuvieron </w:t>
      </w:r>
      <w:r>
        <w:rPr>
          <w:rFonts w:ascii="Cambria" w:hAnsi="Cambria"/>
          <w:sz w:val="20"/>
          <w:szCs w:val="20"/>
          <w:lang w:val="es-UY"/>
        </w:rPr>
        <w:t xml:space="preserve">la </w:t>
      </w:r>
      <w:r w:rsidR="00ED2FE9">
        <w:rPr>
          <w:rFonts w:ascii="Cambria" w:hAnsi="Cambria"/>
          <w:sz w:val="20"/>
          <w:szCs w:val="20"/>
          <w:lang w:val="es-UY"/>
        </w:rPr>
        <w:t>plena oportunidad de ser oídas</w:t>
      </w:r>
      <w:r>
        <w:rPr>
          <w:rFonts w:ascii="Cambria" w:hAnsi="Cambria"/>
          <w:sz w:val="20"/>
          <w:szCs w:val="20"/>
          <w:lang w:val="es-UY"/>
        </w:rPr>
        <w:t>, presentar pruebas e impugnar las decisiones adversas. También sostiene</w:t>
      </w:r>
      <w:r w:rsidR="00ED2FE9">
        <w:rPr>
          <w:rFonts w:ascii="Cambria" w:hAnsi="Cambria"/>
          <w:sz w:val="20"/>
          <w:szCs w:val="20"/>
          <w:lang w:val="es-UY"/>
        </w:rPr>
        <w:t xml:space="preserve"> que todas las decisiones </w:t>
      </w:r>
      <w:r w:rsidR="00C6116C">
        <w:rPr>
          <w:rFonts w:ascii="Cambria" w:hAnsi="Cambria"/>
          <w:sz w:val="20"/>
          <w:szCs w:val="20"/>
          <w:lang w:val="es-UY"/>
        </w:rPr>
        <w:t xml:space="preserve">correspondientes </w:t>
      </w:r>
      <w:r>
        <w:rPr>
          <w:rFonts w:ascii="Cambria" w:hAnsi="Cambria"/>
          <w:sz w:val="20"/>
          <w:szCs w:val="20"/>
          <w:lang w:val="es-UY"/>
        </w:rPr>
        <w:t>estuvieron debidamente motivadas</w:t>
      </w:r>
      <w:r w:rsidR="00C6116C">
        <w:rPr>
          <w:rFonts w:ascii="Cambria" w:hAnsi="Cambria"/>
          <w:sz w:val="20"/>
          <w:szCs w:val="20"/>
          <w:lang w:val="es-UY"/>
        </w:rPr>
        <w:t>,</w:t>
      </w:r>
      <w:r>
        <w:rPr>
          <w:rFonts w:ascii="Cambria" w:hAnsi="Cambria"/>
          <w:sz w:val="20"/>
          <w:szCs w:val="20"/>
          <w:lang w:val="es-UY"/>
        </w:rPr>
        <w:t xml:space="preserve"> y que la inconformidad de las presuntas víctimas se fundamenta únicamente en </w:t>
      </w:r>
      <w:r w:rsidR="00C6116C">
        <w:rPr>
          <w:rFonts w:ascii="Cambria" w:hAnsi="Cambria"/>
          <w:sz w:val="20"/>
          <w:szCs w:val="20"/>
          <w:lang w:val="es-UY"/>
        </w:rPr>
        <w:t xml:space="preserve">que </w:t>
      </w:r>
      <w:r>
        <w:rPr>
          <w:rFonts w:ascii="Cambria" w:hAnsi="Cambria"/>
          <w:sz w:val="20"/>
          <w:szCs w:val="20"/>
          <w:lang w:val="es-UY"/>
        </w:rPr>
        <w:t xml:space="preserve">no </w:t>
      </w:r>
      <w:r w:rsidR="00C6116C">
        <w:rPr>
          <w:rFonts w:ascii="Cambria" w:hAnsi="Cambria"/>
          <w:sz w:val="20"/>
          <w:szCs w:val="20"/>
          <w:lang w:val="es-UY"/>
        </w:rPr>
        <w:t>lograron</w:t>
      </w:r>
      <w:r>
        <w:rPr>
          <w:rFonts w:ascii="Cambria" w:hAnsi="Cambria"/>
          <w:sz w:val="20"/>
          <w:szCs w:val="20"/>
          <w:lang w:val="es-UY"/>
        </w:rPr>
        <w:t xml:space="preserve"> un resultad</w:t>
      </w:r>
      <w:r w:rsidR="00513D7A">
        <w:rPr>
          <w:rFonts w:ascii="Cambria" w:hAnsi="Cambria"/>
          <w:sz w:val="20"/>
          <w:szCs w:val="20"/>
          <w:lang w:val="es-UY"/>
        </w:rPr>
        <w:t>o favorable a sus pretensiones. Por esta razón, considera que</w:t>
      </w:r>
      <w:r>
        <w:rPr>
          <w:rFonts w:ascii="Cambria" w:hAnsi="Cambria"/>
          <w:sz w:val="20"/>
          <w:szCs w:val="20"/>
          <w:lang w:val="es-UY"/>
        </w:rPr>
        <w:t xml:space="preserve"> </w:t>
      </w:r>
      <w:r w:rsidR="00513D7A">
        <w:rPr>
          <w:rFonts w:ascii="Cambria" w:hAnsi="Cambria"/>
          <w:sz w:val="20"/>
          <w:szCs w:val="20"/>
          <w:lang w:val="es-UY"/>
        </w:rPr>
        <w:t>las presuntas víctimas</w:t>
      </w:r>
      <w:r>
        <w:rPr>
          <w:rFonts w:ascii="Cambria" w:hAnsi="Cambria"/>
          <w:sz w:val="20"/>
          <w:szCs w:val="20"/>
          <w:lang w:val="es-UY"/>
        </w:rPr>
        <w:t xml:space="preserve"> </w:t>
      </w:r>
      <w:r w:rsidR="00C6116C">
        <w:rPr>
          <w:rFonts w:ascii="Cambria" w:hAnsi="Cambria"/>
          <w:sz w:val="20"/>
          <w:szCs w:val="20"/>
          <w:lang w:val="es-UY"/>
        </w:rPr>
        <w:t xml:space="preserve">intentan </w:t>
      </w:r>
      <w:r>
        <w:rPr>
          <w:rFonts w:ascii="Cambria" w:hAnsi="Cambria"/>
          <w:sz w:val="20"/>
          <w:szCs w:val="20"/>
          <w:lang w:val="es-UY"/>
        </w:rPr>
        <w:t xml:space="preserve">que la Comisión </w:t>
      </w:r>
      <w:r w:rsidR="00C6116C">
        <w:rPr>
          <w:rFonts w:ascii="Cambria" w:hAnsi="Cambria"/>
          <w:sz w:val="20"/>
          <w:szCs w:val="20"/>
          <w:lang w:val="es-UY"/>
        </w:rPr>
        <w:t xml:space="preserve">Interamericana </w:t>
      </w:r>
      <w:r>
        <w:rPr>
          <w:rFonts w:ascii="Cambria" w:hAnsi="Cambria"/>
          <w:sz w:val="20"/>
          <w:szCs w:val="20"/>
          <w:lang w:val="es-UY"/>
        </w:rPr>
        <w:t xml:space="preserve">se pronuncie como una cuarta instancia respecto a lo ya decidido por las autoridades </w:t>
      </w:r>
      <w:r w:rsidR="00C6116C">
        <w:rPr>
          <w:rFonts w:ascii="Cambria" w:hAnsi="Cambria"/>
          <w:sz w:val="20"/>
          <w:szCs w:val="20"/>
          <w:lang w:val="es-UY"/>
        </w:rPr>
        <w:t>nacionales</w:t>
      </w:r>
      <w:r>
        <w:rPr>
          <w:rFonts w:ascii="Cambria" w:hAnsi="Cambria"/>
          <w:sz w:val="20"/>
          <w:szCs w:val="20"/>
          <w:lang w:val="es-UY"/>
        </w:rPr>
        <w:t xml:space="preserve">. </w:t>
      </w:r>
    </w:p>
    <w:p w14:paraId="5E5CEC30"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3E91BF0" w14:textId="6C38C357" w:rsidR="008E5363" w:rsidRPr="006B21CC" w:rsidRDefault="00750840" w:rsidP="007F5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Estado </w:t>
      </w:r>
      <w:r w:rsidR="00C6116C">
        <w:rPr>
          <w:rFonts w:ascii="Cambria" w:hAnsi="Cambria"/>
          <w:sz w:val="20"/>
          <w:szCs w:val="20"/>
          <w:lang w:val="es-UY"/>
        </w:rPr>
        <w:t xml:space="preserve">alega que 7 de los 16 procesos </w:t>
      </w:r>
      <w:r w:rsidR="009036B7">
        <w:rPr>
          <w:rFonts w:ascii="Cambria" w:hAnsi="Cambria"/>
          <w:sz w:val="20"/>
          <w:szCs w:val="20"/>
          <w:lang w:val="es-UY"/>
        </w:rPr>
        <w:t>contencioso</w:t>
      </w:r>
      <w:r w:rsidR="00C6116C">
        <w:rPr>
          <w:rFonts w:ascii="Cambria" w:hAnsi="Cambria"/>
          <w:sz w:val="20"/>
          <w:szCs w:val="20"/>
          <w:lang w:val="es-UY"/>
        </w:rPr>
        <w:t>-</w:t>
      </w:r>
      <w:r w:rsidR="009036B7">
        <w:rPr>
          <w:rFonts w:ascii="Cambria" w:hAnsi="Cambria"/>
          <w:sz w:val="20"/>
          <w:szCs w:val="20"/>
          <w:lang w:val="es-UY"/>
        </w:rPr>
        <w:t>administrativos interpuestos por las presuntas víctimas</w:t>
      </w:r>
      <w:r w:rsidR="00ED2FE9">
        <w:rPr>
          <w:rFonts w:ascii="Cambria" w:hAnsi="Cambria"/>
          <w:sz w:val="20"/>
          <w:szCs w:val="20"/>
          <w:lang w:val="es-UY"/>
        </w:rPr>
        <w:t xml:space="preserve"> fueron declarados en abandono luego de que no se produjeran actuaciones procesales por un tiempo superior al establecido en la normativa aplicable. Destaca que en Ecuador los procesos contencioso</w:t>
      </w:r>
      <w:r w:rsidR="00C6116C">
        <w:rPr>
          <w:rFonts w:ascii="Cambria" w:hAnsi="Cambria"/>
          <w:sz w:val="20"/>
          <w:szCs w:val="20"/>
          <w:lang w:val="es-UY"/>
        </w:rPr>
        <w:t>-</w:t>
      </w:r>
      <w:r w:rsidR="00ED2FE9">
        <w:rPr>
          <w:rFonts w:ascii="Cambria" w:hAnsi="Cambria"/>
          <w:sz w:val="20"/>
          <w:szCs w:val="20"/>
          <w:lang w:val="es-UY"/>
        </w:rPr>
        <w:t>administrativos son de carácter dispositivo</w:t>
      </w:r>
      <w:r w:rsidR="00C6116C">
        <w:rPr>
          <w:rFonts w:ascii="Cambria" w:hAnsi="Cambria"/>
          <w:sz w:val="20"/>
          <w:szCs w:val="20"/>
          <w:lang w:val="es-UY"/>
        </w:rPr>
        <w:t>,</w:t>
      </w:r>
      <w:r w:rsidR="00ED2FE9">
        <w:rPr>
          <w:rFonts w:ascii="Cambria" w:hAnsi="Cambria"/>
          <w:sz w:val="20"/>
          <w:szCs w:val="20"/>
          <w:lang w:val="es-UY"/>
        </w:rPr>
        <w:t xml:space="preserve"> </w:t>
      </w:r>
      <w:r w:rsidR="00C6116C">
        <w:rPr>
          <w:rFonts w:ascii="Cambria" w:hAnsi="Cambria"/>
          <w:sz w:val="20"/>
          <w:szCs w:val="20"/>
          <w:lang w:val="es-UY"/>
        </w:rPr>
        <w:t xml:space="preserve">y que el impulso </w:t>
      </w:r>
      <w:r w:rsidR="00ED2FE9">
        <w:rPr>
          <w:rFonts w:ascii="Cambria" w:hAnsi="Cambria"/>
          <w:sz w:val="20"/>
          <w:szCs w:val="20"/>
          <w:lang w:val="es-UY"/>
        </w:rPr>
        <w:t>correspond</w:t>
      </w:r>
      <w:r w:rsidR="00C6116C">
        <w:rPr>
          <w:rFonts w:ascii="Cambria" w:hAnsi="Cambria"/>
          <w:sz w:val="20"/>
          <w:szCs w:val="20"/>
          <w:lang w:val="es-UY"/>
        </w:rPr>
        <w:t>e</w:t>
      </w:r>
      <w:r w:rsidR="00ED2FE9">
        <w:rPr>
          <w:rFonts w:ascii="Cambria" w:hAnsi="Cambria"/>
          <w:sz w:val="20"/>
          <w:szCs w:val="20"/>
          <w:lang w:val="es-UY"/>
        </w:rPr>
        <w:t xml:space="preserve"> a las partes</w:t>
      </w:r>
      <w:r w:rsidR="00C6116C">
        <w:rPr>
          <w:rFonts w:ascii="Cambria" w:hAnsi="Cambria"/>
          <w:sz w:val="20"/>
          <w:szCs w:val="20"/>
          <w:lang w:val="es-UY"/>
        </w:rPr>
        <w:t>;</w:t>
      </w:r>
      <w:r w:rsidR="00ED2FE9">
        <w:rPr>
          <w:rFonts w:ascii="Cambria" w:hAnsi="Cambria"/>
          <w:sz w:val="20"/>
          <w:szCs w:val="20"/>
          <w:lang w:val="es-UY"/>
        </w:rPr>
        <w:t xml:space="preserve"> por lo </w:t>
      </w:r>
      <w:r w:rsidR="00C6116C">
        <w:rPr>
          <w:rFonts w:ascii="Cambria" w:hAnsi="Cambria"/>
          <w:sz w:val="20"/>
          <w:szCs w:val="20"/>
          <w:lang w:val="es-UY"/>
        </w:rPr>
        <w:t xml:space="preserve">tanto, </w:t>
      </w:r>
      <w:r w:rsidR="00ED2FE9">
        <w:rPr>
          <w:rFonts w:ascii="Cambria" w:hAnsi="Cambria"/>
          <w:sz w:val="20"/>
          <w:szCs w:val="20"/>
          <w:lang w:val="es-UY"/>
        </w:rPr>
        <w:t>no es imputable al Estado que los procesos no prosperaran por la inacción de las presuntas víctimas.</w:t>
      </w:r>
      <w:r w:rsidR="00C87853">
        <w:rPr>
          <w:rFonts w:ascii="Cambria" w:hAnsi="Cambria"/>
          <w:sz w:val="20"/>
          <w:szCs w:val="20"/>
          <w:lang w:val="es-UY"/>
        </w:rPr>
        <w:t xml:space="preserve"> También resalta que en algunos de los casos las presuntas víctimas intentaron impugnar los autos que declararon el abandono, pero mediante recursos </w:t>
      </w:r>
      <w:r w:rsidR="00C6116C">
        <w:rPr>
          <w:rFonts w:ascii="Cambria" w:hAnsi="Cambria"/>
          <w:sz w:val="20"/>
          <w:szCs w:val="20"/>
          <w:lang w:val="es-UY"/>
        </w:rPr>
        <w:t xml:space="preserve">rechazados por presentación </w:t>
      </w:r>
      <w:r w:rsidR="00C87853">
        <w:rPr>
          <w:rFonts w:ascii="Cambria" w:hAnsi="Cambria"/>
          <w:sz w:val="20"/>
          <w:szCs w:val="20"/>
          <w:lang w:val="es-UY"/>
        </w:rPr>
        <w:t>extemporánea. Sostiene que los recursos contencioso</w:t>
      </w:r>
      <w:r w:rsidR="00C6116C">
        <w:rPr>
          <w:rFonts w:ascii="Cambria" w:hAnsi="Cambria"/>
          <w:sz w:val="20"/>
          <w:szCs w:val="20"/>
          <w:lang w:val="es-UY"/>
        </w:rPr>
        <w:t>-</w:t>
      </w:r>
      <w:r w:rsidR="00C87853">
        <w:rPr>
          <w:rFonts w:ascii="Cambria" w:hAnsi="Cambria"/>
          <w:sz w:val="20"/>
          <w:szCs w:val="20"/>
          <w:lang w:val="es-UY"/>
        </w:rPr>
        <w:t xml:space="preserve">administrativos eran vías adecuadas y efectivas para que las pretensiones de las presuntas víctimas fueran discutidas </w:t>
      </w:r>
      <w:r>
        <w:rPr>
          <w:rFonts w:ascii="Cambria" w:hAnsi="Cambria"/>
          <w:sz w:val="20"/>
          <w:szCs w:val="20"/>
          <w:lang w:val="es-UY"/>
        </w:rPr>
        <w:t>en el ámbito interno</w:t>
      </w:r>
      <w:r w:rsidR="00C87853">
        <w:rPr>
          <w:rFonts w:ascii="Cambria" w:hAnsi="Cambria"/>
          <w:sz w:val="20"/>
          <w:szCs w:val="20"/>
          <w:lang w:val="es-UY"/>
        </w:rPr>
        <w:t xml:space="preserve">, pese a lo </w:t>
      </w:r>
      <w:r>
        <w:rPr>
          <w:rFonts w:ascii="Cambria" w:hAnsi="Cambria"/>
          <w:sz w:val="20"/>
          <w:szCs w:val="20"/>
          <w:lang w:val="es-UY"/>
        </w:rPr>
        <w:t xml:space="preserve">cual estas </w:t>
      </w:r>
      <w:r w:rsidR="00C87853">
        <w:rPr>
          <w:rFonts w:ascii="Cambria" w:hAnsi="Cambria"/>
          <w:sz w:val="20"/>
          <w:szCs w:val="20"/>
          <w:lang w:val="es-UY"/>
        </w:rPr>
        <w:t>tardaron en algunos casos más de 7 años para interponer</w:t>
      </w:r>
      <w:r>
        <w:rPr>
          <w:rFonts w:ascii="Cambria" w:hAnsi="Cambria"/>
          <w:sz w:val="20"/>
          <w:szCs w:val="20"/>
          <w:lang w:val="es-UY"/>
        </w:rPr>
        <w:t>los</w:t>
      </w:r>
      <w:r w:rsidR="00C87853">
        <w:rPr>
          <w:rFonts w:ascii="Cambria" w:hAnsi="Cambria"/>
          <w:sz w:val="20"/>
          <w:szCs w:val="20"/>
          <w:lang w:val="es-UY"/>
        </w:rPr>
        <w:t xml:space="preserve">. </w:t>
      </w:r>
      <w:r w:rsidR="00ED2FE9">
        <w:rPr>
          <w:rFonts w:ascii="Cambria" w:hAnsi="Cambria"/>
          <w:sz w:val="20"/>
          <w:szCs w:val="20"/>
          <w:lang w:val="es-UY"/>
        </w:rPr>
        <w:t xml:space="preserve">Considera </w:t>
      </w:r>
      <w:r>
        <w:rPr>
          <w:rFonts w:ascii="Cambria" w:hAnsi="Cambria"/>
          <w:sz w:val="20"/>
          <w:szCs w:val="20"/>
          <w:lang w:val="es-UY"/>
        </w:rPr>
        <w:t xml:space="preserve">el Estado </w:t>
      </w:r>
      <w:r w:rsidR="00ED2FE9">
        <w:rPr>
          <w:rFonts w:ascii="Cambria" w:hAnsi="Cambria"/>
          <w:sz w:val="20"/>
          <w:szCs w:val="20"/>
          <w:lang w:val="es-UY"/>
        </w:rPr>
        <w:t xml:space="preserve">que el manifiesto desinterés de las presuntas víctimas en estos procesos permite presumir </w:t>
      </w:r>
      <w:r w:rsidR="00ED2FE9">
        <w:rPr>
          <w:rFonts w:ascii="Cambria" w:hAnsi="Cambria"/>
          <w:sz w:val="20"/>
          <w:szCs w:val="20"/>
          <w:lang w:val="es-UY"/>
        </w:rPr>
        <w:lastRenderedPageBreak/>
        <w:t>que no buscaban realmente una solución en el ámbito nacional</w:t>
      </w:r>
      <w:r>
        <w:rPr>
          <w:rFonts w:ascii="Cambria" w:hAnsi="Cambria"/>
          <w:sz w:val="20"/>
          <w:szCs w:val="20"/>
          <w:lang w:val="es-UY"/>
        </w:rPr>
        <w:t>,</w:t>
      </w:r>
      <w:r w:rsidR="00ED2FE9">
        <w:rPr>
          <w:rFonts w:ascii="Cambria" w:hAnsi="Cambria"/>
          <w:sz w:val="20"/>
          <w:szCs w:val="20"/>
          <w:lang w:val="es-UY"/>
        </w:rPr>
        <w:t xml:space="preserve"> sino que quería</w:t>
      </w:r>
      <w:r w:rsidR="00C87853">
        <w:rPr>
          <w:rFonts w:ascii="Cambria" w:hAnsi="Cambria"/>
          <w:sz w:val="20"/>
          <w:szCs w:val="20"/>
          <w:lang w:val="es-UY"/>
        </w:rPr>
        <w:t>n</w:t>
      </w:r>
      <w:r w:rsidR="00ED2FE9">
        <w:rPr>
          <w:rFonts w:ascii="Cambria" w:hAnsi="Cambria"/>
          <w:sz w:val="20"/>
          <w:szCs w:val="20"/>
          <w:lang w:val="es-UY"/>
        </w:rPr>
        <w:t xml:space="preserve"> aparentar un agotamiento de recursos internos a fin de acudir al </w:t>
      </w:r>
      <w:r>
        <w:rPr>
          <w:rFonts w:ascii="Cambria" w:hAnsi="Cambria"/>
          <w:sz w:val="20"/>
          <w:szCs w:val="20"/>
          <w:lang w:val="es-UY"/>
        </w:rPr>
        <w:t>s</w:t>
      </w:r>
      <w:r w:rsidR="00ED2FE9">
        <w:rPr>
          <w:rFonts w:ascii="Cambria" w:hAnsi="Cambria"/>
          <w:sz w:val="20"/>
          <w:szCs w:val="20"/>
          <w:lang w:val="es-UY"/>
        </w:rPr>
        <w:t xml:space="preserve">istema </w:t>
      </w:r>
      <w:r>
        <w:rPr>
          <w:rFonts w:ascii="Cambria" w:hAnsi="Cambria"/>
          <w:sz w:val="20"/>
          <w:szCs w:val="20"/>
          <w:lang w:val="es-UY"/>
        </w:rPr>
        <w:t>i</w:t>
      </w:r>
      <w:r w:rsidR="00ED2FE9">
        <w:rPr>
          <w:rFonts w:ascii="Cambria" w:hAnsi="Cambria"/>
          <w:sz w:val="20"/>
          <w:szCs w:val="20"/>
          <w:lang w:val="es-UY"/>
        </w:rPr>
        <w:t xml:space="preserve">nteramericano. </w:t>
      </w:r>
    </w:p>
    <w:p w14:paraId="3468C6F9"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A3E8449" w14:textId="58342DCD" w:rsidR="00DC518D" w:rsidRPr="00746311" w:rsidRDefault="00746311" w:rsidP="007463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UY"/>
        </w:rPr>
      </w:pPr>
      <w:r w:rsidRPr="00746311">
        <w:rPr>
          <w:rFonts w:ascii="Cambria" w:hAnsi="Cambria"/>
          <w:sz w:val="20"/>
          <w:szCs w:val="20"/>
          <w:lang w:val="es-UY"/>
        </w:rPr>
        <w:t>14</w:t>
      </w:r>
      <w:r w:rsidR="004C57D4">
        <w:rPr>
          <w:rFonts w:ascii="Cambria" w:hAnsi="Cambria"/>
          <w:sz w:val="20"/>
          <w:szCs w:val="20"/>
          <w:lang w:val="es-UY"/>
        </w:rPr>
        <w:t>.</w:t>
      </w:r>
      <w:r>
        <w:rPr>
          <w:sz w:val="20"/>
          <w:szCs w:val="20"/>
          <w:lang w:val="es-UY"/>
        </w:rPr>
        <w:tab/>
      </w:r>
      <w:r w:rsidR="00750840" w:rsidRPr="00746311">
        <w:rPr>
          <w:rFonts w:asciiTheme="majorHAnsi" w:hAnsiTheme="majorHAnsi"/>
          <w:sz w:val="20"/>
          <w:szCs w:val="20"/>
          <w:lang w:val="es-UY"/>
        </w:rPr>
        <w:t xml:space="preserve">Estado indica que las presuntas víctimas interpusieron varios recursos </w:t>
      </w:r>
      <w:r w:rsidR="003C367A" w:rsidRPr="00746311">
        <w:rPr>
          <w:rFonts w:asciiTheme="majorHAnsi" w:hAnsiTheme="majorHAnsi"/>
          <w:sz w:val="20"/>
          <w:szCs w:val="20"/>
          <w:lang w:val="es-UY"/>
        </w:rPr>
        <w:t>constitucionales</w:t>
      </w:r>
      <w:r w:rsidR="00750840" w:rsidRPr="00746311">
        <w:rPr>
          <w:rFonts w:asciiTheme="majorHAnsi" w:hAnsiTheme="majorHAnsi"/>
          <w:sz w:val="20"/>
          <w:szCs w:val="20"/>
          <w:lang w:val="es-UY"/>
        </w:rPr>
        <w:t>,</w:t>
      </w:r>
      <w:r w:rsidR="003C367A" w:rsidRPr="00746311">
        <w:rPr>
          <w:rFonts w:asciiTheme="majorHAnsi" w:hAnsiTheme="majorHAnsi"/>
          <w:sz w:val="20"/>
          <w:szCs w:val="20"/>
          <w:lang w:val="es-UY"/>
        </w:rPr>
        <w:t xml:space="preserve"> </w:t>
      </w:r>
      <w:r w:rsidR="00750840" w:rsidRPr="00746311">
        <w:rPr>
          <w:rFonts w:asciiTheme="majorHAnsi" w:hAnsiTheme="majorHAnsi"/>
          <w:sz w:val="20"/>
          <w:szCs w:val="20"/>
          <w:lang w:val="es-UY"/>
        </w:rPr>
        <w:t>incluso un</w:t>
      </w:r>
      <w:r w:rsidR="003C367A" w:rsidRPr="00746311">
        <w:rPr>
          <w:rFonts w:asciiTheme="majorHAnsi" w:hAnsiTheme="majorHAnsi"/>
          <w:sz w:val="20"/>
          <w:szCs w:val="20"/>
          <w:lang w:val="es-UY"/>
        </w:rPr>
        <w:t xml:space="preserve"> </w:t>
      </w:r>
      <w:r w:rsidR="003C367A" w:rsidRPr="00746311">
        <w:rPr>
          <w:rFonts w:asciiTheme="majorHAnsi" w:hAnsiTheme="majorHAnsi"/>
          <w:i/>
          <w:iCs/>
          <w:sz w:val="20"/>
          <w:szCs w:val="20"/>
          <w:lang w:val="es-UY"/>
        </w:rPr>
        <w:t>hábeas data</w:t>
      </w:r>
      <w:r w:rsidR="003C367A" w:rsidRPr="00746311">
        <w:rPr>
          <w:rFonts w:asciiTheme="majorHAnsi" w:hAnsiTheme="majorHAnsi"/>
          <w:sz w:val="20"/>
          <w:szCs w:val="20"/>
          <w:lang w:val="es-UY"/>
        </w:rPr>
        <w:t xml:space="preserve"> y una acción de protección</w:t>
      </w:r>
      <w:r w:rsidR="00750840" w:rsidRPr="00746311">
        <w:rPr>
          <w:rFonts w:asciiTheme="majorHAnsi" w:hAnsiTheme="majorHAnsi"/>
          <w:sz w:val="20"/>
          <w:szCs w:val="20"/>
          <w:lang w:val="es-UY"/>
        </w:rPr>
        <w:t xml:space="preserve">, y que </w:t>
      </w:r>
      <w:r w:rsidR="003C367A" w:rsidRPr="00746311">
        <w:rPr>
          <w:rFonts w:asciiTheme="majorHAnsi" w:hAnsiTheme="majorHAnsi"/>
          <w:sz w:val="20"/>
          <w:szCs w:val="20"/>
          <w:lang w:val="es-UY"/>
        </w:rPr>
        <w:t xml:space="preserve">todos </w:t>
      </w:r>
      <w:r w:rsidR="00750840" w:rsidRPr="00746311">
        <w:rPr>
          <w:rFonts w:asciiTheme="majorHAnsi" w:hAnsiTheme="majorHAnsi"/>
          <w:sz w:val="20"/>
          <w:szCs w:val="20"/>
          <w:lang w:val="es-UY"/>
        </w:rPr>
        <w:t>el</w:t>
      </w:r>
      <w:r w:rsidR="003C367A" w:rsidRPr="00746311">
        <w:rPr>
          <w:rFonts w:asciiTheme="majorHAnsi" w:hAnsiTheme="majorHAnsi"/>
          <w:sz w:val="20"/>
          <w:szCs w:val="20"/>
          <w:lang w:val="es-UY"/>
        </w:rPr>
        <w:t xml:space="preserve">los se desarrollaron </w:t>
      </w:r>
      <w:r w:rsidR="00750840" w:rsidRPr="00746311">
        <w:rPr>
          <w:rFonts w:asciiTheme="majorHAnsi" w:hAnsiTheme="majorHAnsi"/>
          <w:sz w:val="20"/>
          <w:szCs w:val="20"/>
          <w:lang w:val="es-UY"/>
        </w:rPr>
        <w:t>con</w:t>
      </w:r>
      <w:r w:rsidR="003C367A" w:rsidRPr="00746311">
        <w:rPr>
          <w:rFonts w:asciiTheme="majorHAnsi" w:hAnsiTheme="majorHAnsi"/>
          <w:sz w:val="20"/>
          <w:szCs w:val="20"/>
          <w:lang w:val="es-UY"/>
        </w:rPr>
        <w:t xml:space="preserve"> respeto del debido proceso</w:t>
      </w:r>
      <w:r w:rsidR="00750840" w:rsidRPr="00746311">
        <w:rPr>
          <w:rFonts w:asciiTheme="majorHAnsi" w:hAnsiTheme="majorHAnsi"/>
          <w:sz w:val="20"/>
          <w:szCs w:val="20"/>
          <w:lang w:val="es-UY"/>
        </w:rPr>
        <w:t>;</w:t>
      </w:r>
      <w:r w:rsidR="003C367A" w:rsidRPr="00746311">
        <w:rPr>
          <w:rFonts w:asciiTheme="majorHAnsi" w:hAnsiTheme="majorHAnsi"/>
          <w:sz w:val="20"/>
          <w:szCs w:val="20"/>
          <w:lang w:val="es-UY"/>
        </w:rPr>
        <w:t xml:space="preserve"> y que las presuntas víctimas tuvieron acceso al recurso de apelación para impugnar las decisiones de primera instancia. </w:t>
      </w:r>
      <w:r w:rsidR="00750840" w:rsidRPr="00746311">
        <w:rPr>
          <w:rFonts w:asciiTheme="majorHAnsi" w:hAnsiTheme="majorHAnsi"/>
          <w:sz w:val="20"/>
          <w:szCs w:val="20"/>
          <w:lang w:val="es-UY"/>
        </w:rPr>
        <w:t>C</w:t>
      </w:r>
      <w:r w:rsidR="003C367A" w:rsidRPr="00746311">
        <w:rPr>
          <w:rFonts w:asciiTheme="majorHAnsi" w:hAnsiTheme="majorHAnsi"/>
          <w:sz w:val="20"/>
          <w:szCs w:val="20"/>
          <w:lang w:val="es-UY"/>
        </w:rPr>
        <w:t>on respecto a la acción de protección, explica que el tribunal de segunda instancia determinó que era improcedente porque no se verificaba vulneración de derechos constitucionales</w:t>
      </w:r>
      <w:r w:rsidR="00750840" w:rsidRPr="00746311">
        <w:rPr>
          <w:rFonts w:asciiTheme="majorHAnsi" w:hAnsiTheme="majorHAnsi"/>
          <w:sz w:val="20"/>
          <w:szCs w:val="20"/>
          <w:lang w:val="es-UY"/>
        </w:rPr>
        <w:t>,</w:t>
      </w:r>
      <w:r w:rsidR="003C367A" w:rsidRPr="00746311">
        <w:rPr>
          <w:rFonts w:asciiTheme="majorHAnsi" w:hAnsiTheme="majorHAnsi"/>
          <w:sz w:val="20"/>
          <w:szCs w:val="20"/>
          <w:lang w:val="es-UY"/>
        </w:rPr>
        <w:t xml:space="preserve"> y</w:t>
      </w:r>
      <w:r w:rsidR="00750840" w:rsidRPr="00746311">
        <w:rPr>
          <w:rFonts w:asciiTheme="majorHAnsi" w:hAnsiTheme="majorHAnsi"/>
          <w:sz w:val="20"/>
          <w:szCs w:val="20"/>
          <w:lang w:val="es-UY"/>
        </w:rPr>
        <w:t>a</w:t>
      </w:r>
      <w:r w:rsidR="003C367A" w:rsidRPr="00746311">
        <w:rPr>
          <w:rFonts w:asciiTheme="majorHAnsi" w:hAnsiTheme="majorHAnsi"/>
          <w:sz w:val="20"/>
          <w:szCs w:val="20"/>
          <w:lang w:val="es-UY"/>
        </w:rPr>
        <w:t xml:space="preserve"> que la pretensión de las presuntas víctimas versaba sobre asuntos de mera legalidad </w:t>
      </w:r>
      <w:r w:rsidR="00750840" w:rsidRPr="00746311">
        <w:rPr>
          <w:rFonts w:asciiTheme="majorHAnsi" w:hAnsiTheme="majorHAnsi"/>
          <w:sz w:val="20"/>
          <w:szCs w:val="20"/>
          <w:lang w:val="es-UY"/>
        </w:rPr>
        <w:t>tales como la impugnación</w:t>
      </w:r>
      <w:r w:rsidR="003C367A" w:rsidRPr="00746311">
        <w:rPr>
          <w:rFonts w:asciiTheme="majorHAnsi" w:hAnsiTheme="majorHAnsi"/>
          <w:sz w:val="20"/>
          <w:szCs w:val="20"/>
          <w:lang w:val="es-UY"/>
        </w:rPr>
        <w:t xml:space="preserve"> de resoluciones de la AGD, para lo que </w:t>
      </w:r>
      <w:r w:rsidR="00750840" w:rsidRPr="00746311">
        <w:rPr>
          <w:rFonts w:asciiTheme="majorHAnsi" w:hAnsiTheme="majorHAnsi"/>
          <w:sz w:val="20"/>
          <w:szCs w:val="20"/>
          <w:lang w:val="es-UY"/>
        </w:rPr>
        <w:t xml:space="preserve">había </w:t>
      </w:r>
      <w:r w:rsidR="003C367A" w:rsidRPr="00746311">
        <w:rPr>
          <w:rFonts w:asciiTheme="majorHAnsi" w:hAnsiTheme="majorHAnsi"/>
          <w:sz w:val="20"/>
          <w:szCs w:val="20"/>
          <w:lang w:val="es-UY"/>
        </w:rPr>
        <w:t>otras v</w:t>
      </w:r>
      <w:r w:rsidR="003F7757" w:rsidRPr="00746311">
        <w:rPr>
          <w:rFonts w:asciiTheme="majorHAnsi" w:hAnsiTheme="majorHAnsi"/>
          <w:sz w:val="20"/>
          <w:szCs w:val="20"/>
          <w:lang w:val="es-UY"/>
        </w:rPr>
        <w:t xml:space="preserve">ías </w:t>
      </w:r>
      <w:r w:rsidR="00750840" w:rsidRPr="00746311">
        <w:rPr>
          <w:rFonts w:asciiTheme="majorHAnsi" w:hAnsiTheme="majorHAnsi"/>
          <w:sz w:val="20"/>
          <w:szCs w:val="20"/>
          <w:lang w:val="es-UY"/>
        </w:rPr>
        <w:t>idóneas</w:t>
      </w:r>
      <w:r w:rsidR="003F7757" w:rsidRPr="00746311">
        <w:rPr>
          <w:rFonts w:asciiTheme="majorHAnsi" w:hAnsiTheme="majorHAnsi"/>
          <w:sz w:val="20"/>
          <w:szCs w:val="20"/>
          <w:lang w:val="es-UY"/>
        </w:rPr>
        <w:t xml:space="preserve">. En cuanto a la denuncia penal </w:t>
      </w:r>
      <w:r w:rsidR="00750840" w:rsidRPr="00746311">
        <w:rPr>
          <w:rFonts w:asciiTheme="majorHAnsi" w:hAnsiTheme="majorHAnsi"/>
          <w:sz w:val="20"/>
          <w:szCs w:val="20"/>
          <w:lang w:val="es-UY"/>
        </w:rPr>
        <w:t xml:space="preserve">por los </w:t>
      </w:r>
      <w:r w:rsidR="003F7757" w:rsidRPr="00746311">
        <w:rPr>
          <w:rFonts w:asciiTheme="majorHAnsi" w:hAnsiTheme="majorHAnsi"/>
          <w:sz w:val="20"/>
          <w:szCs w:val="20"/>
          <w:lang w:val="es-UY"/>
        </w:rPr>
        <w:t xml:space="preserve">supuestos mensajes de texto </w:t>
      </w:r>
      <w:r w:rsidR="00750840" w:rsidRPr="00746311">
        <w:rPr>
          <w:rFonts w:asciiTheme="majorHAnsi" w:hAnsiTheme="majorHAnsi"/>
          <w:sz w:val="20"/>
          <w:szCs w:val="20"/>
          <w:lang w:val="es-UY"/>
        </w:rPr>
        <w:t>con amenazas contra</w:t>
      </w:r>
      <w:r w:rsidR="003F7757" w:rsidRPr="00746311">
        <w:rPr>
          <w:rFonts w:asciiTheme="majorHAnsi" w:hAnsiTheme="majorHAnsi"/>
          <w:sz w:val="20"/>
          <w:szCs w:val="20"/>
          <w:lang w:val="es-UY"/>
        </w:rPr>
        <w:t xml:space="preserve"> las presuntas víctimas, explica </w:t>
      </w:r>
      <w:r w:rsidR="00750840" w:rsidRPr="00746311">
        <w:rPr>
          <w:rFonts w:asciiTheme="majorHAnsi" w:hAnsiTheme="majorHAnsi"/>
          <w:sz w:val="20"/>
          <w:szCs w:val="20"/>
          <w:lang w:val="es-UY"/>
        </w:rPr>
        <w:t xml:space="preserve">que </w:t>
      </w:r>
      <w:r w:rsidR="003F7757" w:rsidRPr="00746311">
        <w:rPr>
          <w:rFonts w:asciiTheme="majorHAnsi" w:hAnsiTheme="majorHAnsi"/>
          <w:sz w:val="20"/>
          <w:szCs w:val="20"/>
          <w:lang w:val="es-UY"/>
        </w:rPr>
        <w:t>no se pudo establecer los responsables del delito</w:t>
      </w:r>
      <w:r w:rsidR="00750840" w:rsidRPr="00746311">
        <w:rPr>
          <w:rFonts w:asciiTheme="majorHAnsi" w:hAnsiTheme="majorHAnsi"/>
          <w:sz w:val="20"/>
          <w:szCs w:val="20"/>
          <w:lang w:val="es-UY"/>
        </w:rPr>
        <w:t>,</w:t>
      </w:r>
      <w:r w:rsidR="003F7757" w:rsidRPr="00746311">
        <w:rPr>
          <w:rFonts w:asciiTheme="majorHAnsi" w:hAnsiTheme="majorHAnsi"/>
          <w:sz w:val="20"/>
          <w:szCs w:val="20"/>
          <w:lang w:val="es-UY"/>
        </w:rPr>
        <w:t xml:space="preserve"> por lo que el juez archivó la causa sin perjuicio de reiniciar la investigación si var</w:t>
      </w:r>
      <w:r w:rsidR="00750840" w:rsidRPr="00746311">
        <w:rPr>
          <w:rFonts w:asciiTheme="majorHAnsi" w:hAnsiTheme="majorHAnsi"/>
          <w:sz w:val="20"/>
          <w:szCs w:val="20"/>
          <w:lang w:val="es-UY"/>
        </w:rPr>
        <w:t>iaran</w:t>
      </w:r>
      <w:r w:rsidR="003F7757" w:rsidRPr="00746311">
        <w:rPr>
          <w:rFonts w:asciiTheme="majorHAnsi" w:hAnsiTheme="majorHAnsi"/>
          <w:sz w:val="20"/>
          <w:szCs w:val="20"/>
          <w:lang w:val="es-UY"/>
        </w:rPr>
        <w:t xml:space="preserve"> las circunstancias. </w:t>
      </w:r>
      <w:r w:rsidR="00750840" w:rsidRPr="00746311">
        <w:rPr>
          <w:rFonts w:asciiTheme="majorHAnsi" w:hAnsiTheme="majorHAnsi"/>
          <w:sz w:val="20"/>
          <w:szCs w:val="20"/>
          <w:lang w:val="es-UY"/>
        </w:rPr>
        <w:t>El Estado c</w:t>
      </w:r>
      <w:r w:rsidR="003F7757" w:rsidRPr="00746311">
        <w:rPr>
          <w:rFonts w:asciiTheme="majorHAnsi" w:hAnsiTheme="majorHAnsi"/>
          <w:sz w:val="20"/>
          <w:szCs w:val="20"/>
          <w:lang w:val="es-UY"/>
        </w:rPr>
        <w:t>onsidera que el archivo de una investigación, cuan</w:t>
      </w:r>
      <w:r w:rsidR="00750840" w:rsidRPr="00746311">
        <w:rPr>
          <w:rFonts w:asciiTheme="majorHAnsi" w:hAnsiTheme="majorHAnsi"/>
          <w:sz w:val="20"/>
          <w:szCs w:val="20"/>
          <w:lang w:val="es-UY"/>
        </w:rPr>
        <w:t>d</w:t>
      </w:r>
      <w:r w:rsidR="003F7757" w:rsidRPr="00746311">
        <w:rPr>
          <w:rFonts w:asciiTheme="majorHAnsi" w:hAnsiTheme="majorHAnsi"/>
          <w:sz w:val="20"/>
          <w:szCs w:val="20"/>
          <w:lang w:val="es-UY"/>
        </w:rPr>
        <w:t>o</w:t>
      </w:r>
      <w:r w:rsidR="005E0A7F" w:rsidRPr="00746311">
        <w:rPr>
          <w:rFonts w:asciiTheme="majorHAnsi" w:hAnsiTheme="majorHAnsi"/>
          <w:sz w:val="20"/>
          <w:szCs w:val="20"/>
          <w:lang w:val="es-UY"/>
        </w:rPr>
        <w:t xml:space="preserve"> </w:t>
      </w:r>
      <w:r w:rsidR="003F7757" w:rsidRPr="00746311">
        <w:rPr>
          <w:rFonts w:asciiTheme="majorHAnsi" w:hAnsiTheme="majorHAnsi"/>
          <w:sz w:val="20"/>
          <w:szCs w:val="20"/>
          <w:lang w:val="es-UY"/>
        </w:rPr>
        <w:t xml:space="preserve">está debidamente fundamentado, no constituye </w:t>
      </w:r>
      <w:r w:rsidR="003F7757" w:rsidRPr="00746311">
        <w:rPr>
          <w:rFonts w:asciiTheme="majorHAnsi" w:hAnsiTheme="majorHAnsi"/>
          <w:i/>
          <w:sz w:val="20"/>
          <w:szCs w:val="20"/>
          <w:lang w:val="es-UY"/>
        </w:rPr>
        <w:t>per se</w:t>
      </w:r>
      <w:r w:rsidR="003F7757" w:rsidRPr="00746311">
        <w:rPr>
          <w:rFonts w:asciiTheme="majorHAnsi" w:hAnsiTheme="majorHAnsi"/>
          <w:sz w:val="20"/>
          <w:szCs w:val="20"/>
          <w:lang w:val="es-UY"/>
        </w:rPr>
        <w:t xml:space="preserve"> una violación </w:t>
      </w:r>
      <w:r w:rsidR="00750840" w:rsidRPr="00746311">
        <w:rPr>
          <w:rFonts w:asciiTheme="majorHAnsi" w:hAnsiTheme="majorHAnsi"/>
          <w:sz w:val="20"/>
          <w:szCs w:val="20"/>
          <w:lang w:val="es-UY"/>
        </w:rPr>
        <w:t>de</w:t>
      </w:r>
      <w:r w:rsidR="003F7757" w:rsidRPr="00746311">
        <w:rPr>
          <w:rFonts w:asciiTheme="majorHAnsi" w:hAnsiTheme="majorHAnsi"/>
          <w:sz w:val="20"/>
          <w:szCs w:val="20"/>
          <w:lang w:val="es-UY"/>
        </w:rPr>
        <w:t xml:space="preserve"> derechos humanos.</w:t>
      </w:r>
      <w:r w:rsidR="00385BCC" w:rsidRPr="00746311">
        <w:rPr>
          <w:rFonts w:asciiTheme="majorHAnsi" w:hAnsiTheme="majorHAnsi"/>
          <w:sz w:val="20"/>
          <w:szCs w:val="20"/>
          <w:lang w:val="es-UY"/>
        </w:rPr>
        <w:t xml:space="preserve"> </w:t>
      </w:r>
      <w:r w:rsidR="00750840" w:rsidRPr="00746311">
        <w:rPr>
          <w:rFonts w:asciiTheme="majorHAnsi" w:hAnsiTheme="majorHAnsi"/>
          <w:sz w:val="20"/>
          <w:szCs w:val="20"/>
          <w:lang w:val="es-UY"/>
        </w:rPr>
        <w:t>E</w:t>
      </w:r>
      <w:r w:rsidR="00385BCC" w:rsidRPr="00746311">
        <w:rPr>
          <w:rFonts w:asciiTheme="majorHAnsi" w:hAnsiTheme="majorHAnsi"/>
          <w:sz w:val="20"/>
          <w:szCs w:val="20"/>
          <w:lang w:val="es-UY"/>
        </w:rPr>
        <w:t xml:space="preserve">n su comunicación de 9 de enero de 2019 </w:t>
      </w:r>
      <w:r w:rsidR="00750840" w:rsidRPr="00746311">
        <w:rPr>
          <w:rFonts w:asciiTheme="majorHAnsi" w:hAnsiTheme="majorHAnsi"/>
          <w:sz w:val="20"/>
          <w:szCs w:val="20"/>
          <w:lang w:val="es-UY"/>
        </w:rPr>
        <w:t xml:space="preserve">señala </w:t>
      </w:r>
      <w:r w:rsidR="00385BCC" w:rsidRPr="00746311">
        <w:rPr>
          <w:rFonts w:asciiTheme="majorHAnsi" w:hAnsiTheme="majorHAnsi"/>
          <w:sz w:val="20"/>
          <w:szCs w:val="20"/>
          <w:lang w:val="es-UY"/>
        </w:rPr>
        <w:t xml:space="preserve">que uno de </w:t>
      </w:r>
      <w:r w:rsidR="00750840" w:rsidRPr="00746311">
        <w:rPr>
          <w:rFonts w:asciiTheme="majorHAnsi" w:hAnsiTheme="majorHAnsi"/>
          <w:sz w:val="20"/>
          <w:szCs w:val="20"/>
          <w:lang w:val="es-UY"/>
        </w:rPr>
        <w:t xml:space="preserve">los procesos civiles posesorios interpuestos por las presuntas víctimas </w:t>
      </w:r>
      <w:r w:rsidR="00385BCC" w:rsidRPr="00746311">
        <w:rPr>
          <w:rFonts w:asciiTheme="majorHAnsi" w:hAnsiTheme="majorHAnsi"/>
          <w:sz w:val="20"/>
          <w:szCs w:val="20"/>
          <w:lang w:val="es-UY"/>
        </w:rPr>
        <w:t>permanecía en curso</w:t>
      </w:r>
      <w:r w:rsidR="00750840" w:rsidRPr="00746311">
        <w:rPr>
          <w:rFonts w:asciiTheme="majorHAnsi" w:hAnsiTheme="majorHAnsi"/>
          <w:sz w:val="20"/>
          <w:szCs w:val="20"/>
          <w:lang w:val="es-UY"/>
        </w:rPr>
        <w:t>;</w:t>
      </w:r>
      <w:r w:rsidR="00385BCC" w:rsidRPr="00746311">
        <w:rPr>
          <w:rFonts w:asciiTheme="majorHAnsi" w:hAnsiTheme="majorHAnsi"/>
          <w:sz w:val="20"/>
          <w:szCs w:val="20"/>
          <w:lang w:val="es-UY"/>
        </w:rPr>
        <w:t xml:space="preserve"> </w:t>
      </w:r>
      <w:r w:rsidR="00750840" w:rsidRPr="00746311">
        <w:rPr>
          <w:rFonts w:asciiTheme="majorHAnsi" w:hAnsiTheme="majorHAnsi"/>
          <w:sz w:val="20"/>
          <w:szCs w:val="20"/>
          <w:lang w:val="es-UY"/>
        </w:rPr>
        <w:t xml:space="preserve">y </w:t>
      </w:r>
      <w:r w:rsidR="00385BCC" w:rsidRPr="00746311">
        <w:rPr>
          <w:rFonts w:asciiTheme="majorHAnsi" w:hAnsiTheme="majorHAnsi"/>
          <w:sz w:val="20"/>
          <w:szCs w:val="20"/>
          <w:lang w:val="es-UY"/>
        </w:rPr>
        <w:t>que el otro había sido resuelto definitivamente en segunda instancia contra de las pretensiones de la parte demandante, puesto que no había podido demostrar lo alegado</w:t>
      </w:r>
      <w:r w:rsidR="008F66B1">
        <w:rPr>
          <w:rStyle w:val="FootnoteReference"/>
          <w:rFonts w:asciiTheme="majorHAnsi" w:hAnsiTheme="majorHAnsi"/>
          <w:sz w:val="20"/>
          <w:szCs w:val="20"/>
          <w:lang w:val="es-UY"/>
        </w:rPr>
        <w:footnoteReference w:customMarkFollows="1" w:id="10"/>
        <w:t>*</w:t>
      </w:r>
      <w:r w:rsidR="00385BCC" w:rsidRPr="00746311">
        <w:rPr>
          <w:rFonts w:asciiTheme="majorHAnsi" w:hAnsiTheme="majorHAnsi"/>
          <w:sz w:val="20"/>
          <w:szCs w:val="20"/>
          <w:lang w:val="es-UY"/>
        </w:rPr>
        <w:t xml:space="preserve">. </w:t>
      </w:r>
    </w:p>
    <w:p w14:paraId="25F11076"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19120259" w14:textId="2C27090B" w:rsidR="003C367A" w:rsidRDefault="004503BE" w:rsidP="00DA23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Manifiesta</w:t>
      </w:r>
      <w:r w:rsidR="00750840">
        <w:rPr>
          <w:rFonts w:ascii="Cambria" w:hAnsi="Cambria"/>
          <w:sz w:val="20"/>
          <w:szCs w:val="20"/>
          <w:lang w:val="es-UY"/>
        </w:rPr>
        <w:t xml:space="preserve"> el Estado</w:t>
      </w:r>
      <w:r>
        <w:rPr>
          <w:rFonts w:ascii="Cambria" w:hAnsi="Cambria"/>
          <w:sz w:val="20"/>
          <w:szCs w:val="20"/>
          <w:lang w:val="es-UY"/>
        </w:rPr>
        <w:t xml:space="preserve"> que la falta de agotamiento oportuno y adecuado de los recursos contenciosos administrativos</w:t>
      </w:r>
      <w:r w:rsidR="005E0A7F">
        <w:rPr>
          <w:rFonts w:ascii="Cambria" w:hAnsi="Cambria"/>
          <w:sz w:val="20"/>
          <w:szCs w:val="20"/>
          <w:lang w:val="es-UY"/>
        </w:rPr>
        <w:t xml:space="preserve">, </w:t>
      </w:r>
      <w:r w:rsidR="00750840">
        <w:rPr>
          <w:rFonts w:ascii="Cambria" w:hAnsi="Cambria"/>
          <w:sz w:val="20"/>
          <w:szCs w:val="20"/>
          <w:lang w:val="es-UY"/>
        </w:rPr>
        <w:t xml:space="preserve">que </w:t>
      </w:r>
      <w:r>
        <w:rPr>
          <w:rFonts w:ascii="Cambria" w:hAnsi="Cambria"/>
          <w:sz w:val="20"/>
          <w:szCs w:val="20"/>
          <w:lang w:val="es-UY"/>
        </w:rPr>
        <w:t xml:space="preserve">eran apropiados y </w:t>
      </w:r>
      <w:r w:rsidR="005E0A7F">
        <w:rPr>
          <w:rFonts w:ascii="Cambria" w:hAnsi="Cambria"/>
          <w:sz w:val="20"/>
          <w:szCs w:val="20"/>
          <w:lang w:val="es-UY"/>
        </w:rPr>
        <w:t>eficaces,</w:t>
      </w:r>
      <w:r>
        <w:rPr>
          <w:rFonts w:ascii="Cambria" w:hAnsi="Cambria"/>
          <w:sz w:val="20"/>
          <w:szCs w:val="20"/>
          <w:lang w:val="es-UY"/>
        </w:rPr>
        <w:t xml:space="preserve"> implica que las presuntas víctimas no han cumplido con el </w:t>
      </w:r>
      <w:r w:rsidR="00750840">
        <w:rPr>
          <w:rFonts w:ascii="Cambria" w:hAnsi="Cambria"/>
          <w:sz w:val="20"/>
          <w:szCs w:val="20"/>
          <w:lang w:val="es-UY"/>
        </w:rPr>
        <w:t xml:space="preserve">correspondiente </w:t>
      </w:r>
      <w:r>
        <w:rPr>
          <w:rFonts w:ascii="Cambria" w:hAnsi="Cambria"/>
          <w:sz w:val="20"/>
          <w:szCs w:val="20"/>
          <w:lang w:val="es-UY"/>
        </w:rPr>
        <w:t>requisito. También señala que a partir de 2009 los mandatos constituyentes poseen en Ecuador el rango de Ley Orgánica</w:t>
      </w:r>
      <w:r w:rsidR="00612B84">
        <w:rPr>
          <w:rFonts w:ascii="Cambria" w:hAnsi="Cambria"/>
          <w:sz w:val="20"/>
          <w:szCs w:val="20"/>
          <w:lang w:val="es-UY"/>
        </w:rPr>
        <w:t>,</w:t>
      </w:r>
      <w:r>
        <w:rPr>
          <w:rFonts w:ascii="Cambria" w:hAnsi="Cambria"/>
          <w:sz w:val="20"/>
          <w:szCs w:val="20"/>
          <w:lang w:val="es-UY"/>
        </w:rPr>
        <w:t xml:space="preserve"> por lo que pueden ser impugnados mediante los mecanismos constitucionales previstos en la Ley Orgánica de Garantías Jurisdiccionales y Control Constitucional, que no han sido empleados por las presuntas víctimas. </w:t>
      </w:r>
    </w:p>
    <w:p w14:paraId="2BF5DDEF"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75AA74B8" w14:textId="7E2F6EFA" w:rsidR="004503BE" w:rsidRDefault="004503BE" w:rsidP="00DA23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También alega que la Comisión</w:t>
      </w:r>
      <w:r w:rsidR="00612B84">
        <w:rPr>
          <w:rFonts w:ascii="Cambria" w:hAnsi="Cambria"/>
          <w:sz w:val="20"/>
          <w:szCs w:val="20"/>
          <w:lang w:val="es-UY"/>
        </w:rPr>
        <w:t xml:space="preserve"> Interamericana</w:t>
      </w:r>
      <w:r>
        <w:rPr>
          <w:rFonts w:ascii="Cambria" w:hAnsi="Cambria"/>
          <w:sz w:val="20"/>
          <w:szCs w:val="20"/>
          <w:lang w:val="es-UY"/>
        </w:rPr>
        <w:t xml:space="preserve"> </w:t>
      </w:r>
      <w:r w:rsidR="00612B84">
        <w:rPr>
          <w:rFonts w:ascii="Cambria" w:hAnsi="Cambria"/>
          <w:sz w:val="20"/>
          <w:szCs w:val="20"/>
          <w:lang w:val="es-UY"/>
        </w:rPr>
        <w:t xml:space="preserve">ha solicitado información a los peticionarios entre la presentación de la petición en 2009 y su traslado al Estado en 2018, lo que habría </w:t>
      </w:r>
      <w:r>
        <w:rPr>
          <w:rFonts w:ascii="Cambria" w:hAnsi="Cambria"/>
          <w:sz w:val="20"/>
          <w:szCs w:val="20"/>
          <w:lang w:val="es-UY"/>
        </w:rPr>
        <w:t xml:space="preserve">vulnerado el debido proceso en perjuicio del Estado. </w:t>
      </w:r>
      <w:r w:rsidR="00BB368B">
        <w:rPr>
          <w:rFonts w:ascii="Cambria" w:hAnsi="Cambria"/>
          <w:sz w:val="20"/>
          <w:szCs w:val="20"/>
          <w:lang w:val="es-UY"/>
        </w:rPr>
        <w:t xml:space="preserve">Indica </w:t>
      </w:r>
      <w:r>
        <w:rPr>
          <w:rFonts w:ascii="Cambria" w:hAnsi="Cambria"/>
          <w:sz w:val="20"/>
          <w:szCs w:val="20"/>
          <w:lang w:val="es-UY"/>
        </w:rPr>
        <w:t xml:space="preserve">a que </w:t>
      </w:r>
      <w:r w:rsidR="00BB368B">
        <w:rPr>
          <w:rFonts w:ascii="Cambria" w:hAnsi="Cambria"/>
          <w:sz w:val="20"/>
          <w:szCs w:val="20"/>
          <w:lang w:val="es-UY"/>
        </w:rPr>
        <w:t>la petición,</w:t>
      </w:r>
      <w:r>
        <w:rPr>
          <w:rFonts w:ascii="Cambria" w:hAnsi="Cambria"/>
          <w:sz w:val="20"/>
          <w:szCs w:val="20"/>
          <w:lang w:val="es-UY"/>
        </w:rPr>
        <w:t xml:space="preserve"> tal como fue presentada inicialmente, cumplía con los requisitos formales establecidos en el artículo 28 del Reglamento de la C</w:t>
      </w:r>
      <w:r w:rsidR="00612B84">
        <w:rPr>
          <w:rFonts w:ascii="Cambria" w:hAnsi="Cambria"/>
          <w:sz w:val="20"/>
          <w:szCs w:val="20"/>
          <w:lang w:val="es-UY"/>
        </w:rPr>
        <w:t>IDH</w:t>
      </w:r>
      <w:r>
        <w:rPr>
          <w:rFonts w:ascii="Cambria" w:hAnsi="Cambria"/>
          <w:sz w:val="20"/>
          <w:szCs w:val="20"/>
          <w:lang w:val="es-UY"/>
        </w:rPr>
        <w:t xml:space="preserve">, </w:t>
      </w:r>
      <w:r w:rsidR="00612B84">
        <w:rPr>
          <w:rFonts w:ascii="Cambria" w:hAnsi="Cambria"/>
          <w:sz w:val="20"/>
          <w:szCs w:val="20"/>
          <w:lang w:val="es-UY"/>
        </w:rPr>
        <w:t>por lo que</w:t>
      </w:r>
      <w:r w:rsidR="00BB368B">
        <w:rPr>
          <w:rFonts w:ascii="Cambria" w:hAnsi="Cambria"/>
          <w:sz w:val="20"/>
          <w:szCs w:val="20"/>
          <w:lang w:val="es-UY"/>
        </w:rPr>
        <w:t xml:space="preserve"> no procedía que </w:t>
      </w:r>
      <w:r w:rsidR="00612B84">
        <w:rPr>
          <w:rFonts w:ascii="Cambria" w:hAnsi="Cambria"/>
          <w:sz w:val="20"/>
          <w:szCs w:val="20"/>
          <w:lang w:val="es-UY"/>
        </w:rPr>
        <w:t>esta</w:t>
      </w:r>
      <w:r w:rsidR="00BB368B">
        <w:rPr>
          <w:rFonts w:ascii="Cambria" w:hAnsi="Cambria"/>
          <w:sz w:val="20"/>
          <w:szCs w:val="20"/>
          <w:lang w:val="es-UY"/>
        </w:rPr>
        <w:t xml:space="preserve"> requiriera información adicional</w:t>
      </w:r>
      <w:r w:rsidR="00612B84">
        <w:rPr>
          <w:rFonts w:ascii="Cambria" w:hAnsi="Cambria"/>
          <w:sz w:val="20"/>
          <w:szCs w:val="20"/>
          <w:lang w:val="es-UY"/>
        </w:rPr>
        <w:t>;</w:t>
      </w:r>
      <w:r w:rsidR="00BB368B">
        <w:rPr>
          <w:rFonts w:ascii="Cambria" w:hAnsi="Cambria"/>
          <w:sz w:val="20"/>
          <w:szCs w:val="20"/>
          <w:lang w:val="es-UY"/>
        </w:rPr>
        <w:t xml:space="preserve"> y que, al hacerlo, </w:t>
      </w:r>
      <w:r w:rsidR="00612B84">
        <w:rPr>
          <w:rFonts w:ascii="Cambria" w:hAnsi="Cambria"/>
          <w:sz w:val="20"/>
          <w:szCs w:val="20"/>
          <w:lang w:val="es-UY"/>
        </w:rPr>
        <w:t xml:space="preserve">dicho órgano </w:t>
      </w:r>
      <w:r w:rsidR="00BB368B">
        <w:rPr>
          <w:rFonts w:ascii="Cambria" w:hAnsi="Cambria"/>
          <w:sz w:val="20"/>
          <w:szCs w:val="20"/>
          <w:lang w:val="es-UY"/>
        </w:rPr>
        <w:t xml:space="preserve">ha coadyuvado en la “construcción” de un </w:t>
      </w:r>
      <w:r w:rsidR="00612B84">
        <w:rPr>
          <w:rFonts w:ascii="Cambria" w:hAnsi="Cambria"/>
          <w:sz w:val="20"/>
          <w:szCs w:val="20"/>
          <w:lang w:val="es-UY"/>
        </w:rPr>
        <w:t xml:space="preserve">asunto </w:t>
      </w:r>
      <w:r w:rsidR="00BB368B">
        <w:rPr>
          <w:rFonts w:ascii="Cambria" w:hAnsi="Cambria"/>
          <w:sz w:val="20"/>
          <w:szCs w:val="20"/>
          <w:lang w:val="es-UY"/>
        </w:rPr>
        <w:t xml:space="preserve">bajo su conocimiento </w:t>
      </w:r>
      <w:r w:rsidR="00612B84">
        <w:rPr>
          <w:rFonts w:ascii="Cambria" w:hAnsi="Cambria"/>
          <w:sz w:val="20"/>
          <w:szCs w:val="20"/>
          <w:lang w:val="es-UY"/>
        </w:rPr>
        <w:t xml:space="preserve">en violación del </w:t>
      </w:r>
      <w:r w:rsidR="00BB368B">
        <w:rPr>
          <w:rFonts w:ascii="Cambria" w:hAnsi="Cambria"/>
          <w:sz w:val="20"/>
          <w:szCs w:val="20"/>
          <w:lang w:val="es-UY"/>
        </w:rPr>
        <w:t xml:space="preserve">principio de subsidiariedad que debe regir </w:t>
      </w:r>
      <w:r w:rsidR="00612B84">
        <w:rPr>
          <w:rFonts w:ascii="Cambria" w:hAnsi="Cambria"/>
          <w:sz w:val="20"/>
          <w:szCs w:val="20"/>
          <w:lang w:val="es-UY"/>
        </w:rPr>
        <w:t>en el</w:t>
      </w:r>
      <w:r w:rsidR="00BB368B">
        <w:rPr>
          <w:rFonts w:ascii="Cambria" w:hAnsi="Cambria"/>
          <w:sz w:val="20"/>
          <w:szCs w:val="20"/>
          <w:lang w:val="es-UY"/>
        </w:rPr>
        <w:t xml:space="preserve"> </w:t>
      </w:r>
      <w:r w:rsidR="00612B84">
        <w:rPr>
          <w:rFonts w:ascii="Cambria" w:hAnsi="Cambria"/>
          <w:sz w:val="20"/>
          <w:szCs w:val="20"/>
          <w:lang w:val="es-UY"/>
        </w:rPr>
        <w:t>s</w:t>
      </w:r>
      <w:r w:rsidR="00BB368B">
        <w:rPr>
          <w:rFonts w:ascii="Cambria" w:hAnsi="Cambria"/>
          <w:sz w:val="20"/>
          <w:szCs w:val="20"/>
          <w:lang w:val="es-UY"/>
        </w:rPr>
        <w:t xml:space="preserve">istema </w:t>
      </w:r>
      <w:r w:rsidR="00612B84">
        <w:rPr>
          <w:rFonts w:ascii="Cambria" w:hAnsi="Cambria"/>
          <w:sz w:val="20"/>
          <w:szCs w:val="20"/>
          <w:lang w:val="es-UY"/>
        </w:rPr>
        <w:t>i</w:t>
      </w:r>
      <w:r w:rsidR="00BB368B">
        <w:rPr>
          <w:rFonts w:ascii="Cambria" w:hAnsi="Cambria"/>
          <w:sz w:val="20"/>
          <w:szCs w:val="20"/>
          <w:lang w:val="es-UY"/>
        </w:rPr>
        <w:t xml:space="preserve">nteramericano. También considera </w:t>
      </w:r>
      <w:r w:rsidR="00612B84">
        <w:rPr>
          <w:rFonts w:ascii="Cambria" w:hAnsi="Cambria"/>
          <w:sz w:val="20"/>
          <w:szCs w:val="20"/>
          <w:lang w:val="es-UY"/>
        </w:rPr>
        <w:t>el traslado de</w:t>
      </w:r>
      <w:r w:rsidR="00BB368B">
        <w:rPr>
          <w:rFonts w:ascii="Cambria" w:hAnsi="Cambria"/>
          <w:sz w:val="20"/>
          <w:szCs w:val="20"/>
          <w:lang w:val="es-UY"/>
        </w:rPr>
        <w:t xml:space="preserve"> la petición casi una década luego de su presentación vulneró el derecho del Estado a ejercer su defensa</w:t>
      </w:r>
      <w:r w:rsidR="00612B84">
        <w:rPr>
          <w:rFonts w:ascii="Cambria" w:hAnsi="Cambria"/>
          <w:sz w:val="20"/>
          <w:szCs w:val="20"/>
          <w:lang w:val="es-UY"/>
        </w:rPr>
        <w:t>, pues limitó</w:t>
      </w:r>
      <w:r w:rsidR="00BB368B">
        <w:rPr>
          <w:rFonts w:ascii="Cambria" w:hAnsi="Cambria"/>
          <w:sz w:val="20"/>
          <w:szCs w:val="20"/>
          <w:lang w:val="es-UY"/>
        </w:rPr>
        <w:t xml:space="preserve"> </w:t>
      </w:r>
      <w:r w:rsidR="00612B84">
        <w:rPr>
          <w:rFonts w:ascii="Cambria" w:hAnsi="Cambria"/>
          <w:sz w:val="20"/>
          <w:szCs w:val="20"/>
          <w:lang w:val="es-UY"/>
        </w:rPr>
        <w:t xml:space="preserve">su </w:t>
      </w:r>
      <w:r w:rsidR="00BB368B">
        <w:rPr>
          <w:rFonts w:ascii="Cambria" w:hAnsi="Cambria"/>
          <w:sz w:val="20"/>
          <w:szCs w:val="20"/>
          <w:lang w:val="es-UY"/>
        </w:rPr>
        <w:t xml:space="preserve">posibilidad de obtener información o elementos probatorios </w:t>
      </w:r>
      <w:r w:rsidR="00612B84">
        <w:rPr>
          <w:rFonts w:ascii="Cambria" w:hAnsi="Cambria"/>
          <w:sz w:val="20"/>
          <w:szCs w:val="20"/>
          <w:lang w:val="es-UY"/>
        </w:rPr>
        <w:t xml:space="preserve">para </w:t>
      </w:r>
      <w:r w:rsidR="00BB368B">
        <w:rPr>
          <w:rFonts w:ascii="Cambria" w:hAnsi="Cambria"/>
          <w:sz w:val="20"/>
          <w:szCs w:val="20"/>
          <w:lang w:val="es-UY"/>
        </w:rPr>
        <w:t>sustent</w:t>
      </w:r>
      <w:r w:rsidR="00612B84">
        <w:rPr>
          <w:rFonts w:ascii="Cambria" w:hAnsi="Cambria"/>
          <w:sz w:val="20"/>
          <w:szCs w:val="20"/>
          <w:lang w:val="es-UY"/>
        </w:rPr>
        <w:t>ar</w:t>
      </w:r>
      <w:r w:rsidR="00BB368B">
        <w:rPr>
          <w:rFonts w:ascii="Cambria" w:hAnsi="Cambria"/>
          <w:sz w:val="20"/>
          <w:szCs w:val="20"/>
          <w:lang w:val="es-UY"/>
        </w:rPr>
        <w:t xml:space="preserve"> su posición jurídica.  </w:t>
      </w:r>
    </w:p>
    <w:p w14:paraId="1DF92CD1" w14:textId="77777777" w:rsidR="00A6396B" w:rsidRDefault="00A6396B"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 w:eastAsia="es-ES"/>
        </w:rPr>
      </w:pPr>
    </w:p>
    <w:p w14:paraId="6F4D4171" w14:textId="124FE462" w:rsidR="003239B8" w:rsidRPr="00601040" w:rsidRDefault="003239B8"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601040">
        <w:rPr>
          <w:rFonts w:asciiTheme="majorHAnsi" w:eastAsia="Cambria" w:hAnsiTheme="majorHAnsi" w:cs="Cambria"/>
          <w:b/>
          <w:bCs/>
          <w:color w:val="000000"/>
          <w:sz w:val="20"/>
          <w:szCs w:val="20"/>
          <w:u w:color="000000"/>
          <w:lang w:val="es-ES" w:eastAsia="es-ES"/>
        </w:rPr>
        <w:t>VI.</w:t>
      </w:r>
      <w:r w:rsidRPr="00601040">
        <w:rPr>
          <w:rFonts w:asciiTheme="majorHAnsi" w:eastAsia="Cambria" w:hAnsiTheme="majorHAnsi" w:cs="Cambria"/>
          <w:b/>
          <w:bCs/>
          <w:color w:val="000000"/>
          <w:sz w:val="20"/>
          <w:szCs w:val="20"/>
          <w:u w:color="000000"/>
          <w:lang w:val="es-ES" w:eastAsia="es-ES"/>
        </w:rPr>
        <w:tab/>
      </w:r>
      <w:r w:rsidR="004A6A54" w:rsidRPr="00601040">
        <w:rPr>
          <w:rFonts w:asciiTheme="majorHAnsi" w:hAnsiTheme="majorHAnsi"/>
          <w:b/>
          <w:bCs/>
          <w:sz w:val="20"/>
          <w:szCs w:val="20"/>
          <w:lang w:val="es-ES_tradnl"/>
        </w:rPr>
        <w:t xml:space="preserve">ANÁLISIS DE </w:t>
      </w:r>
      <w:r w:rsidR="00C21FEF" w:rsidRPr="00601040">
        <w:rPr>
          <w:rFonts w:asciiTheme="majorHAnsi" w:hAnsiTheme="majorHAnsi"/>
          <w:b/>
          <w:sz w:val="20"/>
          <w:szCs w:val="20"/>
          <w:lang w:val="es-ES"/>
        </w:rPr>
        <w:t>AGOTAMIENTO DE LOS RECURSOS INTERNOS Y PLAZO DE PRESENTACIÓN</w:t>
      </w:r>
      <w:r w:rsidR="00C21FEF" w:rsidRPr="00601040">
        <w:rPr>
          <w:rFonts w:asciiTheme="majorHAnsi" w:eastAsia="Cambria" w:hAnsiTheme="majorHAnsi" w:cs="Cambria"/>
          <w:b/>
          <w:bCs/>
          <w:color w:val="000000"/>
          <w:sz w:val="20"/>
          <w:szCs w:val="20"/>
          <w:u w:color="000000"/>
          <w:lang w:val="es-ES" w:eastAsia="es-ES"/>
        </w:rPr>
        <w:t xml:space="preserve"> </w:t>
      </w:r>
    </w:p>
    <w:p w14:paraId="5467E48E"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878DBDD" w14:textId="5C7BAC55" w:rsidR="00F43D1D" w:rsidRPr="00DD264E" w:rsidRDefault="007E75F4" w:rsidP="00DA23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La </w:t>
      </w:r>
      <w:r w:rsidR="00BB368B">
        <w:rPr>
          <w:rFonts w:ascii="Cambria" w:hAnsi="Cambria"/>
          <w:sz w:val="20"/>
          <w:szCs w:val="20"/>
          <w:lang w:val="es-ES"/>
        </w:rPr>
        <w:t>par</w:t>
      </w:r>
      <w:r w:rsidR="00343724">
        <w:rPr>
          <w:rFonts w:ascii="Cambria" w:hAnsi="Cambria"/>
          <w:sz w:val="20"/>
          <w:szCs w:val="20"/>
          <w:lang w:val="es-ES"/>
        </w:rPr>
        <w:t>t</w:t>
      </w:r>
      <w:r w:rsidR="00BB368B">
        <w:rPr>
          <w:rFonts w:ascii="Cambria" w:hAnsi="Cambria"/>
          <w:sz w:val="20"/>
          <w:szCs w:val="20"/>
          <w:lang w:val="es-ES"/>
        </w:rPr>
        <w:t xml:space="preserve">e peticionaria </w:t>
      </w:r>
      <w:r w:rsidR="00343724">
        <w:rPr>
          <w:rFonts w:ascii="Cambria" w:hAnsi="Cambria"/>
          <w:sz w:val="20"/>
          <w:szCs w:val="20"/>
          <w:lang w:val="es-ES"/>
        </w:rPr>
        <w:t>invoca</w:t>
      </w:r>
      <w:r w:rsidR="00BB368B">
        <w:rPr>
          <w:rFonts w:ascii="Cambria" w:hAnsi="Cambria"/>
          <w:sz w:val="20"/>
          <w:szCs w:val="20"/>
          <w:lang w:val="es-ES"/>
        </w:rPr>
        <w:t xml:space="preserve"> la</w:t>
      </w:r>
      <w:r w:rsidR="00343724">
        <w:rPr>
          <w:rFonts w:ascii="Cambria" w:hAnsi="Cambria"/>
          <w:sz w:val="20"/>
          <w:szCs w:val="20"/>
          <w:lang w:val="es-ES"/>
        </w:rPr>
        <w:t>s</w:t>
      </w:r>
      <w:r w:rsidR="00BB368B">
        <w:rPr>
          <w:rFonts w:ascii="Cambria" w:hAnsi="Cambria"/>
          <w:sz w:val="20"/>
          <w:szCs w:val="20"/>
          <w:lang w:val="es-ES"/>
        </w:rPr>
        <w:t xml:space="preserve"> excepciones al agotamiento de los recursos internos previstas en el artículo 46.2 de la Convención Americana</w:t>
      </w:r>
      <w:r w:rsidR="00343724">
        <w:rPr>
          <w:rFonts w:ascii="Cambria" w:hAnsi="Cambria"/>
          <w:sz w:val="20"/>
          <w:szCs w:val="20"/>
          <w:lang w:val="es-ES"/>
        </w:rPr>
        <w:t xml:space="preserve"> debido a</w:t>
      </w:r>
      <w:r w:rsidR="00BB368B">
        <w:rPr>
          <w:rFonts w:ascii="Cambria" w:hAnsi="Cambria"/>
          <w:sz w:val="20"/>
          <w:szCs w:val="20"/>
          <w:lang w:val="es-ES"/>
        </w:rPr>
        <w:t xml:space="preserve"> que l</w:t>
      </w:r>
      <w:r w:rsidR="008C0512">
        <w:rPr>
          <w:rFonts w:ascii="Cambria" w:hAnsi="Cambria"/>
          <w:sz w:val="20"/>
          <w:szCs w:val="20"/>
          <w:lang w:val="es-ES"/>
        </w:rPr>
        <w:t>os Mandatos 13 y 20 excluyeron a las presuntas víctimas del acceso a la justicia constitucional</w:t>
      </w:r>
      <w:r w:rsidR="00343724">
        <w:rPr>
          <w:rFonts w:ascii="Cambria" w:hAnsi="Cambria"/>
          <w:sz w:val="20"/>
          <w:szCs w:val="20"/>
          <w:lang w:val="es-ES"/>
        </w:rPr>
        <w:t>;</w:t>
      </w:r>
      <w:r w:rsidR="008C0512">
        <w:rPr>
          <w:rFonts w:ascii="Cambria" w:hAnsi="Cambria"/>
          <w:sz w:val="20"/>
          <w:szCs w:val="20"/>
          <w:lang w:val="es-ES"/>
        </w:rPr>
        <w:t xml:space="preserve"> porque los jueces recibieron instrucciones del </w:t>
      </w:r>
      <w:r w:rsidR="00343724">
        <w:rPr>
          <w:rFonts w:ascii="Cambria" w:hAnsi="Cambria"/>
          <w:sz w:val="20"/>
          <w:szCs w:val="20"/>
          <w:lang w:val="es-ES"/>
        </w:rPr>
        <w:t xml:space="preserve">Poder </w:t>
      </w:r>
      <w:r w:rsidR="008C0512">
        <w:rPr>
          <w:rFonts w:ascii="Cambria" w:hAnsi="Cambria"/>
          <w:sz w:val="20"/>
          <w:szCs w:val="20"/>
          <w:lang w:val="es-ES"/>
        </w:rPr>
        <w:t>Ejecutivo y del Consejo de la Judicatura para que fallaran a favor del Estado</w:t>
      </w:r>
      <w:r w:rsidR="00343724">
        <w:rPr>
          <w:rFonts w:ascii="Cambria" w:hAnsi="Cambria"/>
          <w:sz w:val="20"/>
          <w:szCs w:val="20"/>
          <w:lang w:val="es-ES"/>
        </w:rPr>
        <w:t>;</w:t>
      </w:r>
      <w:r w:rsidR="008C0512">
        <w:rPr>
          <w:rFonts w:ascii="Cambria" w:hAnsi="Cambria"/>
          <w:sz w:val="20"/>
          <w:szCs w:val="20"/>
          <w:lang w:val="es-ES"/>
        </w:rPr>
        <w:t xml:space="preserve"> y porque los recursos contencioso</w:t>
      </w:r>
      <w:r w:rsidR="00343724">
        <w:rPr>
          <w:rFonts w:ascii="Cambria" w:hAnsi="Cambria"/>
          <w:sz w:val="20"/>
          <w:szCs w:val="20"/>
          <w:lang w:val="es-ES"/>
        </w:rPr>
        <w:t>-</w:t>
      </w:r>
      <w:r w:rsidR="008C0512">
        <w:rPr>
          <w:rFonts w:ascii="Cambria" w:hAnsi="Cambria"/>
          <w:sz w:val="20"/>
          <w:szCs w:val="20"/>
          <w:lang w:val="es-ES"/>
        </w:rPr>
        <w:t xml:space="preserve">administrativos interpuestos por las presuntas víctimas no fueron resueltos dentro de plazo razonable. El Estado, por su parte, ha indicado que las presuntas víctimas no agotaron de forma oportuna </w:t>
      </w:r>
      <w:r w:rsidR="00482FD4">
        <w:rPr>
          <w:rFonts w:ascii="Cambria" w:hAnsi="Cambria"/>
          <w:sz w:val="20"/>
          <w:szCs w:val="20"/>
          <w:lang w:val="es-ES"/>
        </w:rPr>
        <w:t>ni</w:t>
      </w:r>
      <w:r w:rsidR="008C0512">
        <w:rPr>
          <w:rFonts w:ascii="Cambria" w:hAnsi="Cambria"/>
          <w:sz w:val="20"/>
          <w:szCs w:val="20"/>
          <w:lang w:val="es-ES"/>
        </w:rPr>
        <w:t xml:space="preserve"> adecuada los recursos contencioso</w:t>
      </w:r>
      <w:r w:rsidR="00343724">
        <w:rPr>
          <w:rFonts w:ascii="Cambria" w:hAnsi="Cambria"/>
          <w:sz w:val="20"/>
          <w:szCs w:val="20"/>
          <w:lang w:val="es-ES"/>
        </w:rPr>
        <w:t>-</w:t>
      </w:r>
      <w:r w:rsidR="008C0512">
        <w:rPr>
          <w:rFonts w:ascii="Cambria" w:hAnsi="Cambria"/>
          <w:sz w:val="20"/>
          <w:szCs w:val="20"/>
          <w:lang w:val="es-ES"/>
        </w:rPr>
        <w:t xml:space="preserve">administrativos que constituían la vía adecuada y eficaz para que sus pretensiones fueran dirimidas </w:t>
      </w:r>
      <w:r w:rsidR="00482FD4">
        <w:rPr>
          <w:rFonts w:ascii="Cambria" w:hAnsi="Cambria"/>
          <w:sz w:val="20"/>
          <w:szCs w:val="20"/>
          <w:lang w:val="es-ES"/>
        </w:rPr>
        <w:t xml:space="preserve">en el ámbito interno; </w:t>
      </w:r>
      <w:r w:rsidR="00343724">
        <w:rPr>
          <w:rFonts w:ascii="Cambria" w:hAnsi="Cambria"/>
          <w:sz w:val="20"/>
          <w:szCs w:val="20"/>
          <w:lang w:val="es-ES"/>
        </w:rPr>
        <w:t xml:space="preserve">y </w:t>
      </w:r>
      <w:r w:rsidR="008C0512">
        <w:rPr>
          <w:rFonts w:ascii="Cambria" w:hAnsi="Cambria"/>
          <w:sz w:val="20"/>
          <w:szCs w:val="20"/>
          <w:lang w:val="es-ES"/>
        </w:rPr>
        <w:t xml:space="preserve">que </w:t>
      </w:r>
      <w:r w:rsidR="00482FD4">
        <w:rPr>
          <w:rFonts w:ascii="Cambria" w:hAnsi="Cambria"/>
          <w:sz w:val="20"/>
          <w:szCs w:val="20"/>
          <w:lang w:val="es-ES"/>
        </w:rPr>
        <w:t xml:space="preserve">no utilizaron los </w:t>
      </w:r>
      <w:r w:rsidR="008C0512">
        <w:rPr>
          <w:rFonts w:ascii="Cambria" w:hAnsi="Cambria"/>
          <w:sz w:val="20"/>
          <w:szCs w:val="20"/>
          <w:lang w:val="es-ES"/>
        </w:rPr>
        <w:t xml:space="preserve">mecanismos </w:t>
      </w:r>
      <w:r w:rsidR="00482FD4">
        <w:rPr>
          <w:rFonts w:ascii="Cambria" w:hAnsi="Cambria"/>
          <w:sz w:val="20"/>
          <w:szCs w:val="20"/>
          <w:lang w:val="es-ES"/>
        </w:rPr>
        <w:t xml:space="preserve">que tenían a su disposición </w:t>
      </w:r>
      <w:r w:rsidR="008C0512">
        <w:rPr>
          <w:rFonts w:ascii="Cambria" w:hAnsi="Cambria"/>
          <w:sz w:val="20"/>
          <w:szCs w:val="20"/>
          <w:lang w:val="es-ES"/>
        </w:rPr>
        <w:t xml:space="preserve">para impugnar la constitucionalidad de los Mandatos 13 y 20, </w:t>
      </w:r>
      <w:r w:rsidR="00343724">
        <w:rPr>
          <w:rFonts w:ascii="Cambria" w:hAnsi="Cambria"/>
          <w:sz w:val="20"/>
          <w:szCs w:val="20"/>
          <w:lang w:val="es-ES"/>
        </w:rPr>
        <w:t xml:space="preserve">pero </w:t>
      </w:r>
      <w:r w:rsidR="008C0512">
        <w:rPr>
          <w:rFonts w:ascii="Cambria" w:hAnsi="Cambria"/>
          <w:sz w:val="20"/>
          <w:szCs w:val="20"/>
          <w:lang w:val="es-ES"/>
        </w:rPr>
        <w:t xml:space="preserve">que no </w:t>
      </w:r>
      <w:r w:rsidR="00343724">
        <w:rPr>
          <w:rFonts w:ascii="Cambria" w:hAnsi="Cambria"/>
          <w:sz w:val="20"/>
          <w:szCs w:val="20"/>
          <w:lang w:val="es-ES"/>
        </w:rPr>
        <w:t xml:space="preserve">los </w:t>
      </w:r>
      <w:r w:rsidR="008C0512">
        <w:rPr>
          <w:rFonts w:ascii="Cambria" w:hAnsi="Cambria"/>
          <w:sz w:val="20"/>
          <w:szCs w:val="20"/>
          <w:lang w:val="es-ES"/>
        </w:rPr>
        <w:t xml:space="preserve">utilizaron. </w:t>
      </w:r>
    </w:p>
    <w:p w14:paraId="4006F392" w14:textId="69A6B3AF" w:rsidR="00DD264E" w:rsidRDefault="00DD264E" w:rsidP="00482FD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5760C787" w14:textId="6D1F562A" w:rsidR="00DD264E" w:rsidRPr="00DD264E" w:rsidRDefault="00200484" w:rsidP="0020048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lang w:val="es-MX"/>
        </w:rPr>
      </w:pPr>
      <w:r>
        <w:rPr>
          <w:rFonts w:asciiTheme="majorHAnsi" w:hAnsiTheme="majorHAnsi"/>
          <w:sz w:val="20"/>
          <w:szCs w:val="20"/>
          <w:lang w:val="es-MX"/>
        </w:rPr>
        <w:t>18</w:t>
      </w:r>
      <w:r w:rsidR="00F9489F">
        <w:rPr>
          <w:rStyle w:val="FootnoteReference"/>
          <w:rFonts w:asciiTheme="majorHAnsi" w:hAnsiTheme="majorHAnsi"/>
          <w:sz w:val="20"/>
          <w:szCs w:val="20"/>
          <w:lang w:val="es-MX"/>
        </w:rPr>
        <w:footnoteReference w:customMarkFollows="1" w:id="11"/>
        <w:t>**</w:t>
      </w:r>
      <w:r w:rsidR="00AA3DE6">
        <w:rPr>
          <w:rFonts w:asciiTheme="majorHAnsi" w:hAnsiTheme="majorHAnsi"/>
          <w:sz w:val="20"/>
          <w:szCs w:val="20"/>
          <w:lang w:val="es-MX"/>
        </w:rPr>
        <w:t>.</w:t>
      </w:r>
      <w:r w:rsidR="00AA3DE6">
        <w:rPr>
          <w:rFonts w:asciiTheme="majorHAnsi" w:hAnsiTheme="majorHAnsi"/>
          <w:sz w:val="20"/>
          <w:szCs w:val="20"/>
          <w:lang w:val="es-MX"/>
        </w:rPr>
        <w:tab/>
      </w:r>
      <w:r w:rsidR="00DD264E" w:rsidRPr="00DD264E">
        <w:rPr>
          <w:rFonts w:asciiTheme="majorHAnsi" w:hAnsiTheme="majorHAnsi"/>
          <w:sz w:val="20"/>
          <w:szCs w:val="20"/>
          <w:lang w:val="es-MX"/>
        </w:rPr>
        <w:t xml:space="preserve">Las disposiciones de la Convención Americana que establecen excepciones al requisito de agotamientos </w:t>
      </w:r>
      <w:r w:rsidR="00DD264E">
        <w:rPr>
          <w:rFonts w:asciiTheme="majorHAnsi" w:hAnsiTheme="majorHAnsi"/>
          <w:sz w:val="20"/>
          <w:szCs w:val="20"/>
          <w:lang w:val="es-MX"/>
        </w:rPr>
        <w:t xml:space="preserve">de recursos </w:t>
      </w:r>
      <w:r w:rsidR="00DD264E" w:rsidRPr="00DD264E">
        <w:rPr>
          <w:rFonts w:asciiTheme="majorHAnsi" w:hAnsiTheme="majorHAnsi"/>
          <w:sz w:val="20"/>
          <w:szCs w:val="20"/>
          <w:lang w:val="es-MX"/>
        </w:rPr>
        <w:t>internos</w:t>
      </w:r>
      <w:r w:rsidR="00DD264E" w:rsidRPr="00DD264E">
        <w:rPr>
          <w:rFonts w:ascii="Cambria" w:hAnsi="Cambria" w:cs="Calibri"/>
          <w:sz w:val="20"/>
          <w:szCs w:val="20"/>
          <w:lang w:val="es-ES_tradnl"/>
        </w:rPr>
        <w:t xml:space="preserve"> son </w:t>
      </w:r>
      <w:r w:rsidR="00DD264E">
        <w:rPr>
          <w:rFonts w:ascii="Cambria" w:hAnsi="Cambria" w:cs="Calibri"/>
          <w:sz w:val="20"/>
          <w:szCs w:val="20"/>
          <w:lang w:val="es-ES_tradnl"/>
        </w:rPr>
        <w:t>de</w:t>
      </w:r>
      <w:r w:rsidR="00DD264E" w:rsidRPr="00DD264E">
        <w:rPr>
          <w:rFonts w:ascii="Cambria" w:hAnsi="Cambria" w:cs="Calibri"/>
          <w:sz w:val="20"/>
          <w:szCs w:val="20"/>
          <w:lang w:val="es-ES_tradnl"/>
        </w:rPr>
        <w:t xml:space="preserve"> contenido autónomo </w:t>
      </w:r>
      <w:r w:rsidR="00DD264E" w:rsidRPr="00DD264E">
        <w:rPr>
          <w:rFonts w:ascii="Cambria" w:hAnsi="Cambria" w:cs="Calibri"/>
          <w:i/>
          <w:sz w:val="20"/>
          <w:szCs w:val="20"/>
          <w:lang w:val="es-ES_tradnl"/>
        </w:rPr>
        <w:t>vis à vis</w:t>
      </w:r>
      <w:r w:rsidR="00DD264E" w:rsidRPr="00DD264E">
        <w:rPr>
          <w:rFonts w:ascii="Cambria" w:hAnsi="Cambria" w:cs="Calibri"/>
          <w:sz w:val="20"/>
          <w:szCs w:val="20"/>
          <w:lang w:val="es-ES_tradnl"/>
        </w:rPr>
        <w:t xml:space="preserve"> las normas sustantivas de </w:t>
      </w:r>
      <w:r w:rsidR="00DD264E">
        <w:rPr>
          <w:rFonts w:ascii="Cambria" w:hAnsi="Cambria" w:cs="Calibri"/>
          <w:sz w:val="20"/>
          <w:szCs w:val="20"/>
          <w:lang w:val="es-ES_tradnl"/>
        </w:rPr>
        <w:t>dicho tratado. En consecuencia,</w:t>
      </w:r>
      <w:r w:rsidR="00DD264E" w:rsidRPr="00DD264E">
        <w:rPr>
          <w:rFonts w:ascii="Cambria" w:hAnsi="Cambria" w:cs="Calibri"/>
          <w:sz w:val="20"/>
          <w:szCs w:val="20"/>
          <w:lang w:val="es-ES_tradnl"/>
        </w:rPr>
        <w:t xml:space="preserve"> la determinación de </w:t>
      </w:r>
      <w:r w:rsidR="00DD264E">
        <w:rPr>
          <w:rFonts w:ascii="Cambria" w:hAnsi="Cambria" w:cs="Calibri"/>
          <w:sz w:val="20"/>
          <w:szCs w:val="20"/>
          <w:lang w:val="es-ES_tradnl"/>
        </w:rPr>
        <w:t>la aplicabilidad de</w:t>
      </w:r>
      <w:r w:rsidR="00DD264E" w:rsidRPr="00DD264E">
        <w:rPr>
          <w:rFonts w:ascii="Cambria" w:hAnsi="Cambria" w:cs="Calibri"/>
          <w:sz w:val="20"/>
          <w:szCs w:val="20"/>
          <w:lang w:val="es-ES_tradnl"/>
        </w:rPr>
        <w:t xml:space="preserve"> </w:t>
      </w:r>
      <w:r w:rsidR="00DD264E">
        <w:rPr>
          <w:rFonts w:ascii="Cambria" w:hAnsi="Cambria" w:cs="Calibri"/>
          <w:sz w:val="20"/>
          <w:szCs w:val="20"/>
          <w:lang w:val="es-ES_tradnl"/>
        </w:rPr>
        <w:t>tales</w:t>
      </w:r>
      <w:r w:rsidR="00DD264E" w:rsidRPr="00DD264E">
        <w:rPr>
          <w:rFonts w:ascii="Cambria" w:hAnsi="Cambria" w:cs="Calibri"/>
          <w:sz w:val="20"/>
          <w:szCs w:val="20"/>
          <w:lang w:val="es-ES_tradnl"/>
        </w:rPr>
        <w:t xml:space="preserve"> excepciones al </w:t>
      </w:r>
      <w:r w:rsidR="00DD264E">
        <w:rPr>
          <w:rFonts w:ascii="Cambria" w:hAnsi="Cambria" w:cs="Calibri"/>
          <w:sz w:val="20"/>
          <w:szCs w:val="20"/>
          <w:lang w:val="es-ES_tradnl"/>
        </w:rPr>
        <w:t>presente asunto</w:t>
      </w:r>
      <w:r w:rsidR="00DD264E" w:rsidRPr="00DD264E">
        <w:rPr>
          <w:rFonts w:ascii="Cambria" w:hAnsi="Cambria" w:cs="Calibri"/>
          <w:sz w:val="20"/>
          <w:szCs w:val="20"/>
          <w:lang w:val="es-ES_tradnl"/>
        </w:rPr>
        <w:t xml:space="preserve"> debe llevarse a </w:t>
      </w:r>
      <w:r w:rsidR="00DD264E" w:rsidRPr="00DD264E">
        <w:rPr>
          <w:rFonts w:ascii="Cambria" w:hAnsi="Cambria" w:cs="Calibri"/>
          <w:sz w:val="20"/>
          <w:szCs w:val="20"/>
          <w:lang w:val="es-ES_tradnl"/>
        </w:rPr>
        <w:lastRenderedPageBreak/>
        <w:t>cabo de manera previa y separada del análisis del fondo, ya que depende de un estándar de apreciación distinto de</w:t>
      </w:r>
      <w:r w:rsidR="00DD264E">
        <w:rPr>
          <w:rFonts w:ascii="Cambria" w:hAnsi="Cambria" w:cs="Calibri"/>
          <w:sz w:val="20"/>
          <w:szCs w:val="20"/>
          <w:lang w:val="es-ES_tradnl"/>
        </w:rPr>
        <w:t>l</w:t>
      </w:r>
      <w:r w:rsidR="00DD264E" w:rsidRPr="00DD264E">
        <w:rPr>
          <w:rFonts w:ascii="Cambria" w:hAnsi="Cambria" w:cs="Calibri"/>
          <w:sz w:val="20"/>
          <w:szCs w:val="20"/>
          <w:lang w:val="es-ES_tradnl"/>
        </w:rPr>
        <w:t xml:space="preserve"> utilizado para determinar la </w:t>
      </w:r>
      <w:r w:rsidR="00DD264E">
        <w:rPr>
          <w:rFonts w:ascii="Cambria" w:hAnsi="Cambria" w:cs="Calibri"/>
          <w:sz w:val="20"/>
          <w:szCs w:val="20"/>
          <w:lang w:val="es-ES_tradnl"/>
        </w:rPr>
        <w:t xml:space="preserve">posible </w:t>
      </w:r>
      <w:r w:rsidR="00DD264E" w:rsidRPr="00DD264E">
        <w:rPr>
          <w:rFonts w:ascii="Cambria" w:hAnsi="Cambria" w:cs="Calibri"/>
          <w:sz w:val="20"/>
          <w:szCs w:val="20"/>
          <w:lang w:val="es-ES_tradnl"/>
        </w:rPr>
        <w:t>violación de los artículos 8 y 25 de la Convención</w:t>
      </w:r>
      <w:r w:rsidR="00DD264E">
        <w:rPr>
          <w:rFonts w:ascii="Cambria" w:hAnsi="Cambria" w:cs="Calibri"/>
          <w:sz w:val="20"/>
          <w:szCs w:val="20"/>
          <w:lang w:val="es-ES_tradnl"/>
        </w:rPr>
        <w:t xml:space="preserve"> Americana</w:t>
      </w:r>
      <w:r w:rsidR="00DD264E" w:rsidRPr="00DD264E">
        <w:rPr>
          <w:rFonts w:ascii="Cambria" w:hAnsi="Cambria" w:cs="Calibri"/>
          <w:sz w:val="20"/>
          <w:szCs w:val="20"/>
          <w:lang w:val="es-ES_tradnl"/>
        </w:rPr>
        <w:t xml:space="preserve">. </w:t>
      </w:r>
      <w:r w:rsidR="00DD264E">
        <w:rPr>
          <w:rFonts w:ascii="Cambria" w:hAnsi="Cambria" w:cs="Calibri"/>
          <w:sz w:val="20"/>
          <w:szCs w:val="20"/>
          <w:lang w:val="es-ES_tradnl"/>
        </w:rPr>
        <w:t>A</w:t>
      </w:r>
      <w:r w:rsidR="00DD264E" w:rsidRPr="00DD264E">
        <w:rPr>
          <w:rFonts w:ascii="Cambria" w:hAnsi="Cambria" w:cs="Calibri"/>
          <w:sz w:val="20"/>
          <w:szCs w:val="20"/>
          <w:lang w:val="es-ES_tradnl"/>
        </w:rPr>
        <w:t xml:space="preserve"> efectos de </w:t>
      </w:r>
      <w:r w:rsidR="00DD264E">
        <w:rPr>
          <w:rFonts w:ascii="Cambria" w:hAnsi="Cambria" w:cs="Calibri"/>
          <w:sz w:val="20"/>
          <w:szCs w:val="20"/>
          <w:lang w:val="es-ES_tradnl"/>
        </w:rPr>
        <w:t xml:space="preserve">la </w:t>
      </w:r>
      <w:r w:rsidR="00DD264E" w:rsidRPr="00DD264E">
        <w:rPr>
          <w:rFonts w:ascii="Cambria" w:hAnsi="Cambria" w:cs="Calibri"/>
          <w:sz w:val="20"/>
          <w:szCs w:val="20"/>
          <w:lang w:val="es-ES_tradnl"/>
        </w:rPr>
        <w:t>admisibilidad, la C</w:t>
      </w:r>
      <w:r w:rsidR="00DD264E">
        <w:rPr>
          <w:rFonts w:ascii="Cambria" w:hAnsi="Cambria" w:cs="Calibri"/>
          <w:sz w:val="20"/>
          <w:szCs w:val="20"/>
          <w:lang w:val="es-ES_tradnl"/>
        </w:rPr>
        <w:t xml:space="preserve">IDH </w:t>
      </w:r>
      <w:r w:rsidR="00DD264E" w:rsidRPr="00DD264E">
        <w:rPr>
          <w:rFonts w:ascii="Cambria" w:hAnsi="Cambria" w:cs="Calibri"/>
          <w:sz w:val="20"/>
          <w:szCs w:val="20"/>
          <w:lang w:val="es-ES_tradnl"/>
        </w:rPr>
        <w:t>estima que la</w:t>
      </w:r>
      <w:r w:rsidR="00482FD4">
        <w:rPr>
          <w:rFonts w:ascii="Cambria" w:hAnsi="Cambria" w:cs="Calibri"/>
          <w:sz w:val="20"/>
          <w:szCs w:val="20"/>
          <w:lang w:val="es-ES_tradnl"/>
        </w:rPr>
        <w:t>s</w:t>
      </w:r>
      <w:r w:rsidR="00DD264E" w:rsidRPr="00DD264E">
        <w:rPr>
          <w:rFonts w:ascii="Cambria" w:hAnsi="Cambria" w:cs="Calibri"/>
          <w:sz w:val="20"/>
          <w:szCs w:val="20"/>
          <w:lang w:val="es-ES_tradnl"/>
        </w:rPr>
        <w:t xml:space="preserve"> </w:t>
      </w:r>
      <w:r w:rsidR="00DD264E">
        <w:rPr>
          <w:rFonts w:ascii="Cambria" w:hAnsi="Cambria" w:cs="Calibri"/>
          <w:sz w:val="20"/>
          <w:szCs w:val="20"/>
          <w:lang w:val="es-ES_tradnl"/>
        </w:rPr>
        <w:t>presunta</w:t>
      </w:r>
      <w:r w:rsidR="00482FD4">
        <w:rPr>
          <w:rFonts w:ascii="Cambria" w:hAnsi="Cambria" w:cs="Calibri"/>
          <w:sz w:val="20"/>
          <w:szCs w:val="20"/>
          <w:lang w:val="es-ES_tradnl"/>
        </w:rPr>
        <w:t xml:space="preserve">s víctimas </w:t>
      </w:r>
      <w:r w:rsidR="00B21E2B">
        <w:rPr>
          <w:rFonts w:ascii="Cambria" w:hAnsi="Cambria" w:cs="Calibri"/>
          <w:sz w:val="20"/>
          <w:szCs w:val="20"/>
          <w:lang w:val="es-ES_tradnl"/>
        </w:rPr>
        <w:t>acreditaron debidamente</w:t>
      </w:r>
      <w:r w:rsidR="00482FD4">
        <w:rPr>
          <w:rFonts w:ascii="Cambria" w:hAnsi="Cambria" w:cs="Calibri"/>
          <w:sz w:val="20"/>
          <w:szCs w:val="20"/>
          <w:lang w:val="es-ES_tradnl"/>
        </w:rPr>
        <w:t xml:space="preserve"> que fueron efectivamente </w:t>
      </w:r>
      <w:r w:rsidR="00733904">
        <w:rPr>
          <w:rFonts w:ascii="Cambria" w:hAnsi="Cambria" w:cs="Calibri"/>
          <w:sz w:val="20"/>
          <w:szCs w:val="20"/>
          <w:lang w:val="es-ES_tradnl"/>
        </w:rPr>
        <w:t xml:space="preserve">excluidas </w:t>
      </w:r>
      <w:r w:rsidR="00482FD4">
        <w:rPr>
          <w:rFonts w:ascii="Cambria" w:hAnsi="Cambria" w:cs="Calibri"/>
          <w:sz w:val="20"/>
          <w:szCs w:val="20"/>
          <w:lang w:val="es-ES_tradnl"/>
        </w:rPr>
        <w:t xml:space="preserve">del </w:t>
      </w:r>
      <w:r w:rsidR="00DD264E" w:rsidRPr="00DD264E">
        <w:rPr>
          <w:rFonts w:ascii="Cambria" w:hAnsi="Cambria" w:cs="Calibri"/>
          <w:sz w:val="20"/>
          <w:szCs w:val="20"/>
          <w:lang w:val="es-ES_tradnl"/>
        </w:rPr>
        <w:t xml:space="preserve">acceso </w:t>
      </w:r>
      <w:r w:rsidR="00482FD4">
        <w:rPr>
          <w:rFonts w:ascii="Cambria" w:hAnsi="Cambria" w:cs="Calibri"/>
          <w:sz w:val="20"/>
          <w:szCs w:val="20"/>
          <w:lang w:val="es-ES_tradnl"/>
        </w:rPr>
        <w:t xml:space="preserve">pleno y efectivo </w:t>
      </w:r>
      <w:r w:rsidR="00DD264E" w:rsidRPr="00DD264E">
        <w:rPr>
          <w:rFonts w:ascii="Cambria" w:hAnsi="Cambria" w:cs="Calibri"/>
          <w:sz w:val="20"/>
          <w:szCs w:val="20"/>
          <w:lang w:val="es-ES_tradnl"/>
        </w:rPr>
        <w:t xml:space="preserve">a </w:t>
      </w:r>
      <w:r w:rsidR="00482FD4">
        <w:rPr>
          <w:rFonts w:ascii="Cambria" w:hAnsi="Cambria" w:cs="Calibri"/>
          <w:sz w:val="20"/>
          <w:szCs w:val="20"/>
          <w:lang w:val="es-ES_tradnl"/>
        </w:rPr>
        <w:t xml:space="preserve">los recursos constitucionales, por una parte; y por la otra, que los recursos administrativos no fueron decididos dentro de un plazo razonable. En consecuencia, corresponde </w:t>
      </w:r>
      <w:r w:rsidR="00DD264E" w:rsidRPr="00DD264E">
        <w:rPr>
          <w:rFonts w:ascii="Cambria" w:hAnsi="Cambria" w:cs="Calibri"/>
          <w:sz w:val="20"/>
          <w:szCs w:val="20"/>
          <w:lang w:val="es-ES_tradnl"/>
        </w:rPr>
        <w:t>aplicar a la presente petición la</w:t>
      </w:r>
      <w:r w:rsidR="00DD264E">
        <w:rPr>
          <w:rFonts w:ascii="Cambria" w:hAnsi="Cambria" w:cs="Calibri"/>
          <w:sz w:val="20"/>
          <w:szCs w:val="20"/>
          <w:lang w:val="es-ES_tradnl"/>
        </w:rPr>
        <w:t>s</w:t>
      </w:r>
      <w:r w:rsidR="00DD264E" w:rsidRPr="00DD264E">
        <w:rPr>
          <w:rFonts w:ascii="Cambria" w:hAnsi="Cambria" w:cs="Calibri"/>
          <w:sz w:val="20"/>
          <w:szCs w:val="20"/>
          <w:lang w:val="es-ES_tradnl"/>
        </w:rPr>
        <w:t xml:space="preserve"> excepci</w:t>
      </w:r>
      <w:r w:rsidR="00DD264E">
        <w:rPr>
          <w:rFonts w:ascii="Cambria" w:hAnsi="Cambria" w:cs="Calibri"/>
          <w:sz w:val="20"/>
          <w:szCs w:val="20"/>
          <w:lang w:val="es-ES_tradnl"/>
        </w:rPr>
        <w:t xml:space="preserve">ones previstas en </w:t>
      </w:r>
      <w:r w:rsidR="00DD264E" w:rsidRPr="00DD264E">
        <w:rPr>
          <w:rFonts w:ascii="Cambria" w:hAnsi="Cambria" w:cs="Calibri"/>
          <w:sz w:val="20"/>
          <w:szCs w:val="20"/>
          <w:lang w:val="es-ES_tradnl"/>
        </w:rPr>
        <w:t>el artículo 46.2</w:t>
      </w:r>
      <w:r w:rsidR="00DD264E">
        <w:rPr>
          <w:rFonts w:ascii="Cambria" w:hAnsi="Cambria" w:cs="Calibri"/>
          <w:sz w:val="20"/>
          <w:szCs w:val="20"/>
          <w:lang w:val="es-ES_tradnl"/>
        </w:rPr>
        <w:t>(</w:t>
      </w:r>
      <w:r w:rsidR="001A34A1">
        <w:rPr>
          <w:rFonts w:ascii="Cambria" w:hAnsi="Cambria" w:cs="Calibri"/>
          <w:sz w:val="20"/>
          <w:szCs w:val="20"/>
          <w:lang w:val="es-ES_tradnl"/>
        </w:rPr>
        <w:t>a</w:t>
      </w:r>
      <w:r w:rsidR="00DD264E">
        <w:rPr>
          <w:rFonts w:ascii="Cambria" w:hAnsi="Cambria" w:cs="Calibri"/>
          <w:sz w:val="20"/>
          <w:szCs w:val="20"/>
          <w:lang w:val="es-ES_tradnl"/>
        </w:rPr>
        <w:t>)</w:t>
      </w:r>
      <w:r w:rsidR="00733904">
        <w:rPr>
          <w:rFonts w:ascii="Cambria" w:hAnsi="Cambria" w:cs="Calibri"/>
          <w:sz w:val="20"/>
          <w:szCs w:val="20"/>
          <w:lang w:val="es-ES_tradnl"/>
        </w:rPr>
        <w:t xml:space="preserve"> </w:t>
      </w:r>
      <w:r w:rsidR="00DD7A80">
        <w:rPr>
          <w:rFonts w:ascii="Cambria" w:hAnsi="Cambria" w:cs="Calibri"/>
          <w:sz w:val="20"/>
          <w:szCs w:val="20"/>
          <w:lang w:val="es-ES_tradnl"/>
        </w:rPr>
        <w:t>y</w:t>
      </w:r>
      <w:r w:rsidR="00DD264E">
        <w:rPr>
          <w:rFonts w:ascii="Cambria" w:hAnsi="Cambria" w:cs="Calibri"/>
          <w:sz w:val="20"/>
          <w:szCs w:val="20"/>
          <w:lang w:val="es-ES_tradnl"/>
        </w:rPr>
        <w:t xml:space="preserve"> </w:t>
      </w:r>
      <w:r w:rsidR="00DD264E" w:rsidRPr="00DD264E">
        <w:rPr>
          <w:rFonts w:ascii="Cambria" w:hAnsi="Cambria" w:cs="Calibri"/>
          <w:sz w:val="20"/>
          <w:szCs w:val="20"/>
          <w:lang w:val="es-ES_tradnl"/>
        </w:rPr>
        <w:t>(</w:t>
      </w:r>
      <w:r w:rsidR="001A34A1">
        <w:rPr>
          <w:rFonts w:ascii="Cambria" w:hAnsi="Cambria" w:cs="Calibri"/>
          <w:sz w:val="20"/>
          <w:szCs w:val="20"/>
          <w:lang w:val="es-ES_tradnl"/>
        </w:rPr>
        <w:t>c</w:t>
      </w:r>
      <w:r w:rsidR="00DD264E" w:rsidRPr="00DD264E">
        <w:rPr>
          <w:rFonts w:ascii="Cambria" w:hAnsi="Cambria" w:cs="Calibri"/>
          <w:sz w:val="20"/>
          <w:szCs w:val="20"/>
          <w:lang w:val="es-ES_tradnl"/>
        </w:rPr>
        <w:t>)</w:t>
      </w:r>
      <w:r w:rsidR="00DD264E">
        <w:rPr>
          <w:rFonts w:ascii="Cambria" w:hAnsi="Cambria" w:cs="Calibri"/>
          <w:sz w:val="20"/>
          <w:szCs w:val="20"/>
          <w:lang w:val="es-ES_tradnl"/>
        </w:rPr>
        <w:t>, respectivamente,</w:t>
      </w:r>
      <w:r w:rsidR="00DD264E" w:rsidRPr="00DD264E">
        <w:rPr>
          <w:rFonts w:ascii="Cambria" w:hAnsi="Cambria" w:cs="Calibri"/>
          <w:sz w:val="20"/>
          <w:szCs w:val="20"/>
          <w:lang w:val="es-ES_tradnl"/>
        </w:rPr>
        <w:t xml:space="preserve"> de la Convención Americana. Dado que la petición fue presentada </w:t>
      </w:r>
      <w:r w:rsidR="00DD264E">
        <w:rPr>
          <w:rFonts w:ascii="Cambria" w:hAnsi="Cambria" w:cs="Calibri"/>
          <w:sz w:val="20"/>
          <w:szCs w:val="20"/>
          <w:lang w:val="es-ES_tradnl"/>
        </w:rPr>
        <w:t xml:space="preserve">mientras </w:t>
      </w:r>
      <w:r w:rsidR="00DD264E" w:rsidRPr="00DD264E">
        <w:rPr>
          <w:rFonts w:ascii="Cambria" w:hAnsi="Cambria" w:cs="Calibri"/>
          <w:sz w:val="20"/>
          <w:szCs w:val="20"/>
          <w:lang w:val="es-ES_tradnl"/>
        </w:rPr>
        <w:t>la situación denunciada</w:t>
      </w:r>
      <w:r w:rsidR="00DD264E">
        <w:rPr>
          <w:rFonts w:ascii="Cambria" w:hAnsi="Cambria" w:cs="Calibri"/>
          <w:sz w:val="20"/>
          <w:szCs w:val="20"/>
          <w:lang w:val="es-ES_tradnl"/>
        </w:rPr>
        <w:t xml:space="preserve"> seguía vigente</w:t>
      </w:r>
      <w:r w:rsidR="00DD264E" w:rsidRPr="00DD264E">
        <w:rPr>
          <w:rFonts w:ascii="Cambria" w:hAnsi="Cambria" w:cs="Calibri"/>
          <w:sz w:val="20"/>
          <w:szCs w:val="20"/>
          <w:lang w:val="es-ES_tradnl"/>
        </w:rPr>
        <w:t>, la Comisión</w:t>
      </w:r>
      <w:r w:rsidR="00482FD4">
        <w:rPr>
          <w:rFonts w:ascii="Cambria" w:hAnsi="Cambria" w:cs="Calibri"/>
          <w:sz w:val="20"/>
          <w:szCs w:val="20"/>
          <w:lang w:val="es-ES_tradnl"/>
        </w:rPr>
        <w:t xml:space="preserve"> Interamericana</w:t>
      </w:r>
      <w:r w:rsidR="00DD264E" w:rsidRPr="00DD264E">
        <w:rPr>
          <w:rFonts w:ascii="Cambria" w:hAnsi="Cambria" w:cs="Calibri"/>
          <w:sz w:val="20"/>
          <w:szCs w:val="20"/>
          <w:lang w:val="es-ES_tradnl"/>
        </w:rPr>
        <w:t xml:space="preserve"> concluye </w:t>
      </w:r>
      <w:r w:rsidR="00482FD4">
        <w:rPr>
          <w:rFonts w:ascii="Cambria" w:hAnsi="Cambria" w:cs="Calibri"/>
          <w:sz w:val="20"/>
          <w:szCs w:val="20"/>
          <w:lang w:val="es-ES_tradnl"/>
        </w:rPr>
        <w:t xml:space="preserve">asimismo </w:t>
      </w:r>
      <w:r w:rsidR="00DD264E" w:rsidRPr="00DD264E">
        <w:rPr>
          <w:rFonts w:ascii="Cambria" w:hAnsi="Cambria" w:cs="Calibri"/>
          <w:sz w:val="20"/>
          <w:szCs w:val="20"/>
          <w:lang w:val="es-ES_tradnl"/>
        </w:rPr>
        <w:t xml:space="preserve">que </w:t>
      </w:r>
      <w:r w:rsidR="00482FD4">
        <w:rPr>
          <w:rFonts w:ascii="Cambria" w:hAnsi="Cambria" w:cs="Calibri"/>
          <w:sz w:val="20"/>
          <w:szCs w:val="20"/>
          <w:lang w:val="es-ES_tradnl"/>
        </w:rPr>
        <w:t xml:space="preserve">se cumple el concepto de </w:t>
      </w:r>
      <w:r w:rsidR="00DD264E" w:rsidRPr="00DD264E">
        <w:rPr>
          <w:rFonts w:ascii="Cambria" w:hAnsi="Cambria" w:cs="Calibri"/>
          <w:sz w:val="20"/>
          <w:szCs w:val="20"/>
          <w:lang w:val="es-ES_tradnl"/>
        </w:rPr>
        <w:t xml:space="preserve">plazo razonable en los términos del artículo 32.2 de su </w:t>
      </w:r>
      <w:r w:rsidR="00482FD4">
        <w:rPr>
          <w:rFonts w:ascii="Cambria" w:hAnsi="Cambria" w:cs="Calibri"/>
          <w:sz w:val="20"/>
          <w:szCs w:val="20"/>
          <w:lang w:val="es-ES_tradnl"/>
        </w:rPr>
        <w:t>R</w:t>
      </w:r>
      <w:r w:rsidR="00DD264E" w:rsidRPr="00DD264E">
        <w:rPr>
          <w:rFonts w:ascii="Cambria" w:hAnsi="Cambria" w:cs="Calibri"/>
          <w:sz w:val="20"/>
          <w:szCs w:val="20"/>
          <w:lang w:val="es-ES_tradnl"/>
        </w:rPr>
        <w:t xml:space="preserve">eglamento. Estas decisiones no prejuzgan sobre el fondo de la petición </w:t>
      </w:r>
      <w:r w:rsidR="00482FD4">
        <w:rPr>
          <w:rFonts w:ascii="Cambria" w:hAnsi="Cambria" w:cs="Calibri"/>
          <w:sz w:val="20"/>
          <w:szCs w:val="20"/>
          <w:lang w:val="es-ES_tradnl"/>
        </w:rPr>
        <w:t>ni</w:t>
      </w:r>
      <w:r w:rsidR="00DD264E" w:rsidRPr="00DD264E">
        <w:rPr>
          <w:rFonts w:ascii="Cambria" w:hAnsi="Cambria" w:cs="Calibri"/>
          <w:sz w:val="20"/>
          <w:szCs w:val="20"/>
          <w:lang w:val="es-ES_tradnl"/>
        </w:rPr>
        <w:t xml:space="preserve"> la veracidad de </w:t>
      </w:r>
      <w:r w:rsidR="00482FD4">
        <w:rPr>
          <w:rFonts w:ascii="Cambria" w:hAnsi="Cambria" w:cs="Calibri"/>
          <w:sz w:val="20"/>
          <w:szCs w:val="20"/>
          <w:lang w:val="es-ES_tradnl"/>
        </w:rPr>
        <w:t>lo alegado</w:t>
      </w:r>
      <w:r w:rsidR="00DD264E" w:rsidRPr="00DD264E">
        <w:rPr>
          <w:rFonts w:ascii="Cambria" w:hAnsi="Cambria" w:cs="Calibri"/>
          <w:sz w:val="20"/>
          <w:szCs w:val="20"/>
          <w:lang w:val="es-ES_tradnl"/>
        </w:rPr>
        <w:t xml:space="preserve">. </w:t>
      </w:r>
    </w:p>
    <w:p w14:paraId="3884DB47" w14:textId="77777777" w:rsidR="00DD264E" w:rsidRPr="00DD264E" w:rsidRDefault="00DD264E" w:rsidP="00482FD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MX"/>
        </w:rPr>
      </w:pPr>
    </w:p>
    <w:p w14:paraId="23359534" w14:textId="31C005A2" w:rsidR="00D0231E" w:rsidRPr="00D0231E" w:rsidRDefault="00B21E2B" w:rsidP="00A3768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cs="Calibri"/>
          <w:sz w:val="20"/>
          <w:szCs w:val="20"/>
          <w:lang w:val="es-ES"/>
        </w:rPr>
        <w:t xml:space="preserve">En cuanto al </w:t>
      </w:r>
      <w:r w:rsidR="00D0231E">
        <w:rPr>
          <w:rFonts w:asciiTheme="majorHAnsi" w:hAnsiTheme="majorHAnsi" w:cs="Calibri"/>
          <w:sz w:val="20"/>
          <w:szCs w:val="20"/>
          <w:lang w:val="es-ES"/>
        </w:rPr>
        <w:t>tiempo transcurrido entre la presentación de la petición y su traslado al Estado</w:t>
      </w:r>
      <w:r>
        <w:rPr>
          <w:rFonts w:asciiTheme="majorHAnsi" w:hAnsiTheme="majorHAnsi" w:cs="Calibri"/>
          <w:sz w:val="20"/>
          <w:szCs w:val="20"/>
          <w:lang w:val="es-ES"/>
        </w:rPr>
        <w:t>, que este considera</w:t>
      </w:r>
      <w:r w:rsidR="00D0231E">
        <w:rPr>
          <w:rFonts w:asciiTheme="majorHAnsi" w:hAnsiTheme="majorHAnsi" w:cs="Calibri"/>
          <w:sz w:val="20"/>
          <w:szCs w:val="20"/>
          <w:lang w:val="es-ES"/>
        </w:rPr>
        <w:t xml:space="preserve"> excesivo</w:t>
      </w:r>
      <w:r>
        <w:rPr>
          <w:rFonts w:asciiTheme="majorHAnsi" w:hAnsiTheme="majorHAnsi" w:cs="Calibri"/>
          <w:sz w:val="20"/>
          <w:szCs w:val="20"/>
          <w:lang w:val="es-ES"/>
        </w:rPr>
        <w:t>,</w:t>
      </w:r>
      <w:r w:rsidR="00D0231E">
        <w:rPr>
          <w:rFonts w:asciiTheme="majorHAnsi" w:hAnsiTheme="majorHAnsi" w:cs="Calibri"/>
          <w:sz w:val="20"/>
          <w:szCs w:val="20"/>
          <w:lang w:val="es-ES"/>
        </w:rPr>
        <w:t xml:space="preserve"> </w:t>
      </w:r>
      <w:r w:rsidR="005E0A7F">
        <w:rPr>
          <w:rFonts w:asciiTheme="majorHAnsi" w:hAnsiTheme="majorHAnsi" w:cs="Calibri"/>
          <w:sz w:val="20"/>
          <w:szCs w:val="20"/>
          <w:lang w:val="es-ES"/>
        </w:rPr>
        <w:t xml:space="preserve">la Comisión </w:t>
      </w:r>
      <w:r>
        <w:rPr>
          <w:rFonts w:asciiTheme="majorHAnsi" w:hAnsiTheme="majorHAnsi" w:cs="Calibri"/>
          <w:sz w:val="20"/>
          <w:szCs w:val="20"/>
          <w:lang w:val="es-ES"/>
        </w:rPr>
        <w:t xml:space="preserve">Interamericana </w:t>
      </w:r>
      <w:r w:rsidR="005E0A7F">
        <w:rPr>
          <w:rFonts w:asciiTheme="majorHAnsi" w:hAnsiTheme="majorHAnsi" w:cs="Calibri"/>
          <w:sz w:val="20"/>
          <w:szCs w:val="20"/>
          <w:lang w:val="es-ES"/>
        </w:rPr>
        <w:t>recuerda</w:t>
      </w:r>
      <w:r w:rsidR="00D0231E" w:rsidRPr="00D84B0A">
        <w:rPr>
          <w:rFonts w:asciiTheme="majorHAnsi" w:hAnsiTheme="majorHAnsi" w:cs="Calibri"/>
          <w:sz w:val="20"/>
          <w:szCs w:val="20"/>
          <w:lang w:val="es-ES"/>
        </w:rPr>
        <w:t xml:space="preserve"> que ni la Convención Americana ni </w:t>
      </w:r>
      <w:r>
        <w:rPr>
          <w:rFonts w:asciiTheme="majorHAnsi" w:hAnsiTheme="majorHAnsi" w:cs="Calibri"/>
          <w:sz w:val="20"/>
          <w:szCs w:val="20"/>
          <w:lang w:val="es-ES"/>
        </w:rPr>
        <w:t>su</w:t>
      </w:r>
      <w:r w:rsidR="00D0231E" w:rsidRPr="00D84B0A">
        <w:rPr>
          <w:rFonts w:asciiTheme="majorHAnsi" w:hAnsiTheme="majorHAnsi" w:cs="Calibri"/>
          <w:sz w:val="20"/>
          <w:szCs w:val="20"/>
          <w:lang w:val="es-ES"/>
        </w:rPr>
        <w:t xml:space="preserve"> Reglamento establecen un plazo </w:t>
      </w:r>
      <w:r>
        <w:rPr>
          <w:rFonts w:asciiTheme="majorHAnsi" w:hAnsiTheme="majorHAnsi" w:cs="Calibri"/>
          <w:sz w:val="20"/>
          <w:szCs w:val="20"/>
          <w:lang w:val="es-ES"/>
        </w:rPr>
        <w:t xml:space="preserve">a tal efecto; </w:t>
      </w:r>
      <w:r w:rsidR="00D0231E" w:rsidRPr="00D84B0A">
        <w:rPr>
          <w:rFonts w:asciiTheme="majorHAnsi" w:hAnsiTheme="majorHAnsi" w:cs="Calibri"/>
          <w:sz w:val="20"/>
          <w:szCs w:val="20"/>
          <w:lang w:val="es-ES"/>
        </w:rPr>
        <w:t xml:space="preserve">y que los plazos establecidos en </w:t>
      </w:r>
      <w:r>
        <w:rPr>
          <w:rFonts w:asciiTheme="majorHAnsi" w:hAnsiTheme="majorHAnsi" w:cs="Calibri"/>
          <w:sz w:val="20"/>
          <w:szCs w:val="20"/>
          <w:lang w:val="es-ES"/>
        </w:rPr>
        <w:t xml:space="preserve">dichos instrumentos </w:t>
      </w:r>
      <w:r w:rsidR="00D0231E" w:rsidRPr="00D84B0A">
        <w:rPr>
          <w:rFonts w:asciiTheme="majorHAnsi" w:hAnsiTheme="majorHAnsi" w:cs="Calibri"/>
          <w:sz w:val="20"/>
          <w:szCs w:val="20"/>
          <w:lang w:val="es-ES"/>
        </w:rPr>
        <w:t>para otras etapas del trámite no son aplicables por analogía.</w:t>
      </w:r>
    </w:p>
    <w:p w14:paraId="167C4DB4" w14:textId="77777777" w:rsidR="00A6396B" w:rsidRDefault="00A6396B"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FFBE378" w14:textId="49FD5395" w:rsidR="003239B8" w:rsidRPr="0038223E" w:rsidRDefault="003239B8"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r w:rsidRPr="0038223E">
        <w:rPr>
          <w:rFonts w:asciiTheme="majorHAnsi" w:hAnsiTheme="majorHAnsi"/>
          <w:b/>
          <w:bCs/>
          <w:sz w:val="20"/>
          <w:szCs w:val="20"/>
          <w:lang w:val="es-ES"/>
        </w:rPr>
        <w:t>VII.</w:t>
      </w:r>
      <w:r w:rsidRPr="0038223E">
        <w:rPr>
          <w:rFonts w:asciiTheme="majorHAnsi" w:hAnsiTheme="majorHAnsi"/>
          <w:b/>
          <w:bCs/>
          <w:sz w:val="20"/>
          <w:szCs w:val="20"/>
          <w:lang w:val="es-ES"/>
        </w:rPr>
        <w:tab/>
      </w:r>
      <w:r w:rsidR="004A6A54" w:rsidRPr="0038223E">
        <w:rPr>
          <w:rFonts w:asciiTheme="majorHAnsi" w:hAnsiTheme="majorHAnsi"/>
          <w:b/>
          <w:bCs/>
          <w:sz w:val="20"/>
          <w:szCs w:val="20"/>
          <w:lang w:val="es-ES_tradnl"/>
        </w:rPr>
        <w:t xml:space="preserve">ANÁLISIS DE </w:t>
      </w:r>
      <w:r w:rsidR="00C21FEF" w:rsidRPr="0038223E">
        <w:rPr>
          <w:rFonts w:asciiTheme="majorHAnsi" w:hAnsiTheme="majorHAnsi"/>
          <w:b/>
          <w:bCs/>
          <w:sz w:val="20"/>
          <w:szCs w:val="20"/>
          <w:lang w:val="es-ES"/>
        </w:rPr>
        <w:t xml:space="preserve">CARACTERIZACIÓN </w:t>
      </w:r>
      <w:r w:rsidR="00C21FEF" w:rsidRPr="0038223E">
        <w:rPr>
          <w:rFonts w:asciiTheme="majorHAnsi" w:hAnsiTheme="majorHAnsi"/>
          <w:b/>
          <w:bCs/>
          <w:sz w:val="20"/>
          <w:szCs w:val="20"/>
          <w:lang w:val="es-UY"/>
        </w:rPr>
        <w:t>DE LOS HECHOS ALEGADOS</w:t>
      </w:r>
    </w:p>
    <w:p w14:paraId="3C883C33"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B684F15" w14:textId="4809DE89" w:rsidR="00390590" w:rsidRPr="00B81E01" w:rsidRDefault="008C5E2D" w:rsidP="00A3768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94529B">
        <w:rPr>
          <w:rFonts w:asciiTheme="majorHAnsi" w:hAnsiTheme="majorHAnsi"/>
          <w:sz w:val="20"/>
          <w:szCs w:val="20"/>
          <w:lang w:val="es-ES"/>
        </w:rPr>
        <w:t xml:space="preserve">La </w:t>
      </w:r>
      <w:r w:rsidR="00B21E2B">
        <w:rPr>
          <w:rFonts w:asciiTheme="majorHAnsi" w:hAnsiTheme="majorHAnsi"/>
          <w:sz w:val="20"/>
          <w:szCs w:val="20"/>
          <w:lang w:val="es-ES"/>
        </w:rPr>
        <w:t xml:space="preserve">parte peticionaria </w:t>
      </w:r>
      <w:r w:rsidR="006716B0">
        <w:rPr>
          <w:rFonts w:asciiTheme="majorHAnsi" w:hAnsiTheme="majorHAnsi"/>
          <w:sz w:val="20"/>
          <w:szCs w:val="20"/>
          <w:lang w:val="es-ES"/>
        </w:rPr>
        <w:t xml:space="preserve">alega que se restringió </w:t>
      </w:r>
      <w:r w:rsidR="00B21E2B">
        <w:rPr>
          <w:rFonts w:asciiTheme="majorHAnsi" w:hAnsiTheme="majorHAnsi"/>
          <w:sz w:val="20"/>
          <w:szCs w:val="20"/>
          <w:lang w:val="es-ES"/>
        </w:rPr>
        <w:t xml:space="preserve">en forma </w:t>
      </w:r>
      <w:r w:rsidR="006716B0">
        <w:rPr>
          <w:rFonts w:asciiTheme="majorHAnsi" w:hAnsiTheme="majorHAnsi"/>
          <w:sz w:val="20"/>
          <w:szCs w:val="20"/>
          <w:lang w:val="es-ES"/>
        </w:rPr>
        <w:t xml:space="preserve">discriminatoria el acceso a la justicia </w:t>
      </w:r>
      <w:r w:rsidR="0044285A">
        <w:rPr>
          <w:rFonts w:asciiTheme="majorHAnsi" w:hAnsiTheme="majorHAnsi"/>
          <w:sz w:val="20"/>
          <w:szCs w:val="20"/>
          <w:lang w:val="es-ES"/>
        </w:rPr>
        <w:t xml:space="preserve">de las presuntas víctimas </w:t>
      </w:r>
      <w:r w:rsidR="006716B0">
        <w:rPr>
          <w:rFonts w:asciiTheme="majorHAnsi" w:hAnsiTheme="majorHAnsi"/>
          <w:sz w:val="20"/>
          <w:szCs w:val="20"/>
          <w:lang w:val="es-ES"/>
        </w:rPr>
        <w:t>mediante mandatos constituyentes</w:t>
      </w:r>
      <w:r w:rsidR="00B21E2B">
        <w:rPr>
          <w:rFonts w:asciiTheme="majorHAnsi" w:hAnsiTheme="majorHAnsi"/>
          <w:sz w:val="20"/>
          <w:szCs w:val="20"/>
          <w:lang w:val="es-ES"/>
        </w:rPr>
        <w:t>;</w:t>
      </w:r>
      <w:r w:rsidR="006716B0">
        <w:rPr>
          <w:rFonts w:asciiTheme="majorHAnsi" w:hAnsiTheme="majorHAnsi"/>
          <w:sz w:val="20"/>
          <w:szCs w:val="20"/>
          <w:lang w:val="es-ES"/>
        </w:rPr>
        <w:t xml:space="preserve"> que la inde</w:t>
      </w:r>
      <w:r w:rsidR="00B81E01">
        <w:rPr>
          <w:rFonts w:asciiTheme="majorHAnsi" w:hAnsiTheme="majorHAnsi"/>
          <w:sz w:val="20"/>
          <w:szCs w:val="20"/>
          <w:lang w:val="es-ES"/>
        </w:rPr>
        <w:t xml:space="preserve">pendencia de las autoridades judiciales que debían conocer los casos de las presuntas víctimas se vio menoscabada por comunicados del </w:t>
      </w:r>
      <w:r w:rsidR="00B21E2B">
        <w:rPr>
          <w:rFonts w:asciiTheme="majorHAnsi" w:hAnsiTheme="majorHAnsi"/>
          <w:sz w:val="20"/>
          <w:szCs w:val="20"/>
          <w:lang w:val="es-ES"/>
        </w:rPr>
        <w:t>P</w:t>
      </w:r>
      <w:r w:rsidR="00B81E01">
        <w:rPr>
          <w:rFonts w:asciiTheme="majorHAnsi" w:hAnsiTheme="majorHAnsi"/>
          <w:sz w:val="20"/>
          <w:szCs w:val="20"/>
          <w:lang w:val="es-ES"/>
        </w:rPr>
        <w:t xml:space="preserve">oder </w:t>
      </w:r>
      <w:r w:rsidR="00B21E2B">
        <w:rPr>
          <w:rFonts w:asciiTheme="majorHAnsi" w:hAnsiTheme="majorHAnsi"/>
          <w:sz w:val="20"/>
          <w:szCs w:val="20"/>
          <w:lang w:val="es-ES"/>
        </w:rPr>
        <w:t>E</w:t>
      </w:r>
      <w:r w:rsidR="00B81E01">
        <w:rPr>
          <w:rFonts w:asciiTheme="majorHAnsi" w:hAnsiTheme="majorHAnsi"/>
          <w:sz w:val="20"/>
          <w:szCs w:val="20"/>
          <w:lang w:val="es-ES"/>
        </w:rPr>
        <w:t xml:space="preserve">jecutivo e instrucciones de sus superiores dentro del </w:t>
      </w:r>
      <w:r w:rsidR="00B21E2B">
        <w:rPr>
          <w:rFonts w:asciiTheme="majorHAnsi" w:hAnsiTheme="majorHAnsi"/>
          <w:sz w:val="20"/>
          <w:szCs w:val="20"/>
          <w:lang w:val="es-ES"/>
        </w:rPr>
        <w:t>P</w:t>
      </w:r>
      <w:r w:rsidR="00B81E01">
        <w:rPr>
          <w:rFonts w:asciiTheme="majorHAnsi" w:hAnsiTheme="majorHAnsi"/>
          <w:sz w:val="20"/>
          <w:szCs w:val="20"/>
          <w:lang w:val="es-ES"/>
        </w:rPr>
        <w:t xml:space="preserve">oder </w:t>
      </w:r>
      <w:r w:rsidR="00B21E2B">
        <w:rPr>
          <w:rFonts w:asciiTheme="majorHAnsi" w:hAnsiTheme="majorHAnsi"/>
          <w:sz w:val="20"/>
          <w:szCs w:val="20"/>
          <w:lang w:val="es-ES"/>
        </w:rPr>
        <w:t>J</w:t>
      </w:r>
      <w:r w:rsidR="00B81E01">
        <w:rPr>
          <w:rFonts w:asciiTheme="majorHAnsi" w:hAnsiTheme="majorHAnsi"/>
          <w:sz w:val="20"/>
          <w:szCs w:val="20"/>
          <w:lang w:val="es-ES"/>
        </w:rPr>
        <w:t>udicial</w:t>
      </w:r>
      <w:r w:rsidR="00B21E2B">
        <w:rPr>
          <w:rFonts w:asciiTheme="majorHAnsi" w:hAnsiTheme="majorHAnsi"/>
          <w:sz w:val="20"/>
          <w:szCs w:val="20"/>
          <w:lang w:val="es-ES"/>
        </w:rPr>
        <w:t>;</w:t>
      </w:r>
      <w:r w:rsidR="00AC3E23">
        <w:rPr>
          <w:rFonts w:asciiTheme="majorHAnsi" w:hAnsiTheme="majorHAnsi"/>
          <w:sz w:val="20"/>
          <w:szCs w:val="20"/>
          <w:lang w:val="es-ES"/>
        </w:rPr>
        <w:t xml:space="preserve"> </w:t>
      </w:r>
      <w:r w:rsidR="006B65B6">
        <w:rPr>
          <w:rFonts w:asciiTheme="majorHAnsi" w:hAnsiTheme="majorHAnsi"/>
          <w:sz w:val="20"/>
          <w:szCs w:val="20"/>
          <w:lang w:val="es-ES"/>
        </w:rPr>
        <w:t>que las autoridades a cargo de resolver recursos administrativos interpuestos por las presuntas víctima</w:t>
      </w:r>
      <w:r w:rsidR="00C6127B">
        <w:rPr>
          <w:rFonts w:asciiTheme="majorHAnsi" w:hAnsiTheme="majorHAnsi"/>
          <w:sz w:val="20"/>
          <w:szCs w:val="20"/>
          <w:lang w:val="es-ES"/>
        </w:rPr>
        <w:t>s</w:t>
      </w:r>
      <w:r w:rsidR="006B65B6">
        <w:rPr>
          <w:rFonts w:asciiTheme="majorHAnsi" w:hAnsiTheme="majorHAnsi"/>
          <w:sz w:val="20"/>
          <w:szCs w:val="20"/>
          <w:lang w:val="es-ES"/>
        </w:rPr>
        <w:t xml:space="preserve"> realizaron</w:t>
      </w:r>
      <w:r w:rsidR="00AC3E23">
        <w:rPr>
          <w:rFonts w:asciiTheme="majorHAnsi" w:hAnsiTheme="majorHAnsi"/>
          <w:sz w:val="20"/>
          <w:szCs w:val="20"/>
          <w:lang w:val="es-ES"/>
        </w:rPr>
        <w:t xml:space="preserve"> declaraciones públicas </w:t>
      </w:r>
      <w:r w:rsidR="00C6127B">
        <w:rPr>
          <w:rFonts w:asciiTheme="majorHAnsi" w:hAnsiTheme="majorHAnsi"/>
          <w:sz w:val="20"/>
          <w:szCs w:val="20"/>
          <w:lang w:val="es-ES"/>
        </w:rPr>
        <w:t xml:space="preserve">en las que se </w:t>
      </w:r>
      <w:r w:rsidR="006B65B6">
        <w:rPr>
          <w:rFonts w:asciiTheme="majorHAnsi" w:hAnsiTheme="majorHAnsi"/>
          <w:sz w:val="20"/>
          <w:szCs w:val="20"/>
          <w:lang w:val="es-ES"/>
        </w:rPr>
        <w:t>prejuzg</w:t>
      </w:r>
      <w:r w:rsidR="00C6127B">
        <w:rPr>
          <w:rFonts w:asciiTheme="majorHAnsi" w:hAnsiTheme="majorHAnsi"/>
          <w:sz w:val="20"/>
          <w:szCs w:val="20"/>
          <w:lang w:val="es-ES"/>
        </w:rPr>
        <w:t>ó</w:t>
      </w:r>
      <w:r w:rsidR="00AC3E23">
        <w:rPr>
          <w:rFonts w:asciiTheme="majorHAnsi" w:hAnsiTheme="majorHAnsi"/>
          <w:sz w:val="20"/>
          <w:szCs w:val="20"/>
          <w:lang w:val="es-ES"/>
        </w:rPr>
        <w:t xml:space="preserve"> </w:t>
      </w:r>
      <w:r w:rsidR="00C6127B">
        <w:rPr>
          <w:rFonts w:asciiTheme="majorHAnsi" w:hAnsiTheme="majorHAnsi"/>
          <w:sz w:val="20"/>
          <w:szCs w:val="20"/>
          <w:lang w:val="es-ES"/>
        </w:rPr>
        <w:t xml:space="preserve">su </w:t>
      </w:r>
      <w:r w:rsidR="00AC3E23">
        <w:rPr>
          <w:rFonts w:asciiTheme="majorHAnsi" w:hAnsiTheme="majorHAnsi"/>
          <w:sz w:val="20"/>
          <w:szCs w:val="20"/>
          <w:lang w:val="es-ES"/>
        </w:rPr>
        <w:t>responsab</w:t>
      </w:r>
      <w:r w:rsidR="00C6127B">
        <w:rPr>
          <w:rFonts w:asciiTheme="majorHAnsi" w:hAnsiTheme="majorHAnsi"/>
          <w:sz w:val="20"/>
          <w:szCs w:val="20"/>
          <w:lang w:val="es-ES"/>
        </w:rPr>
        <w:t>ilidad por</w:t>
      </w:r>
      <w:r w:rsidR="00AC3E23">
        <w:rPr>
          <w:rFonts w:asciiTheme="majorHAnsi" w:hAnsiTheme="majorHAnsi"/>
          <w:sz w:val="20"/>
          <w:szCs w:val="20"/>
          <w:lang w:val="es-ES"/>
        </w:rPr>
        <w:t xml:space="preserve"> conductas</w:t>
      </w:r>
      <w:r w:rsidR="006B65B6">
        <w:rPr>
          <w:rFonts w:asciiTheme="majorHAnsi" w:hAnsiTheme="majorHAnsi"/>
          <w:sz w:val="20"/>
          <w:szCs w:val="20"/>
          <w:lang w:val="es-ES"/>
        </w:rPr>
        <w:t xml:space="preserve"> irregulares antes de resolver sus recursos</w:t>
      </w:r>
      <w:r w:rsidR="00C6127B">
        <w:rPr>
          <w:rFonts w:asciiTheme="majorHAnsi" w:hAnsiTheme="majorHAnsi"/>
          <w:sz w:val="20"/>
          <w:szCs w:val="20"/>
          <w:lang w:val="es-ES"/>
        </w:rPr>
        <w:t>;</w:t>
      </w:r>
      <w:r w:rsidR="00AC3E23">
        <w:rPr>
          <w:rFonts w:asciiTheme="majorHAnsi" w:hAnsiTheme="majorHAnsi"/>
          <w:sz w:val="20"/>
          <w:szCs w:val="20"/>
          <w:lang w:val="es-ES"/>
        </w:rPr>
        <w:t xml:space="preserve"> </w:t>
      </w:r>
      <w:r w:rsidR="00B81E01">
        <w:rPr>
          <w:rFonts w:asciiTheme="majorHAnsi" w:hAnsiTheme="majorHAnsi"/>
          <w:sz w:val="20"/>
          <w:szCs w:val="20"/>
          <w:lang w:val="es-ES"/>
        </w:rPr>
        <w:t xml:space="preserve"> y que se incautaron </w:t>
      </w:r>
      <w:r w:rsidR="00C6127B">
        <w:rPr>
          <w:rFonts w:asciiTheme="majorHAnsi" w:hAnsiTheme="majorHAnsi"/>
          <w:sz w:val="20"/>
          <w:szCs w:val="20"/>
          <w:lang w:val="es-ES"/>
        </w:rPr>
        <w:t xml:space="preserve">sus </w:t>
      </w:r>
      <w:r w:rsidR="00B81E01">
        <w:rPr>
          <w:rFonts w:asciiTheme="majorHAnsi" w:hAnsiTheme="majorHAnsi"/>
          <w:sz w:val="20"/>
          <w:szCs w:val="20"/>
          <w:lang w:val="es-ES"/>
        </w:rPr>
        <w:t xml:space="preserve">bienes </w:t>
      </w:r>
      <w:r w:rsidR="00C6127B">
        <w:rPr>
          <w:rFonts w:asciiTheme="majorHAnsi" w:hAnsiTheme="majorHAnsi"/>
          <w:sz w:val="20"/>
          <w:szCs w:val="20"/>
          <w:lang w:val="es-ES"/>
        </w:rPr>
        <w:t>con base en la presunción de que actuaron como “testaferros” de personas responsables de las quiebras bancarias debido a su</w:t>
      </w:r>
      <w:r w:rsidR="00B81E01">
        <w:rPr>
          <w:rFonts w:asciiTheme="majorHAnsi" w:hAnsiTheme="majorHAnsi"/>
          <w:sz w:val="20"/>
          <w:szCs w:val="20"/>
          <w:lang w:val="es-ES"/>
        </w:rPr>
        <w:t xml:space="preserve"> </w:t>
      </w:r>
      <w:r w:rsidR="00C6127B">
        <w:rPr>
          <w:rFonts w:asciiTheme="majorHAnsi" w:hAnsiTheme="majorHAnsi"/>
          <w:sz w:val="20"/>
          <w:szCs w:val="20"/>
          <w:lang w:val="es-ES"/>
        </w:rPr>
        <w:t>parentesco con ellas</w:t>
      </w:r>
      <w:r w:rsidR="00B81E01">
        <w:rPr>
          <w:rFonts w:asciiTheme="majorHAnsi" w:hAnsiTheme="majorHAnsi"/>
          <w:sz w:val="20"/>
          <w:szCs w:val="20"/>
          <w:lang w:val="es-ES"/>
        </w:rPr>
        <w:t>.</w:t>
      </w:r>
    </w:p>
    <w:p w14:paraId="04FC057C" w14:textId="77777777" w:rsidR="00A6396B" w:rsidRPr="00A6396B" w:rsidRDefault="00A6396B" w:rsidP="004428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24AB6D3" w14:textId="1216E24B" w:rsidR="00B81E01" w:rsidRPr="00A6396B" w:rsidRDefault="0044285A" w:rsidP="00A3768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La</w:t>
      </w:r>
      <w:r w:rsidR="00B81E01" w:rsidRPr="006B65B6">
        <w:rPr>
          <w:rFonts w:asciiTheme="majorHAnsi" w:hAnsiTheme="majorHAnsi"/>
          <w:sz w:val="20"/>
          <w:szCs w:val="20"/>
          <w:lang w:val="es-ES"/>
        </w:rPr>
        <w:t xml:space="preserve"> C</w:t>
      </w:r>
      <w:r>
        <w:rPr>
          <w:rFonts w:asciiTheme="majorHAnsi" w:hAnsiTheme="majorHAnsi"/>
          <w:sz w:val="20"/>
          <w:szCs w:val="20"/>
          <w:lang w:val="es-ES"/>
        </w:rPr>
        <w:t>IDH señala</w:t>
      </w:r>
      <w:r w:rsidR="00B81E01" w:rsidRPr="006B65B6">
        <w:rPr>
          <w:rFonts w:asciiTheme="majorHAnsi" w:hAnsiTheme="majorHAnsi"/>
          <w:sz w:val="20"/>
          <w:szCs w:val="20"/>
          <w:lang w:val="es-ES"/>
        </w:rPr>
        <w:t xml:space="preserve"> que </w:t>
      </w:r>
      <w:r w:rsidR="00CC765D" w:rsidRPr="006B65B6">
        <w:rPr>
          <w:rFonts w:asciiTheme="majorHAnsi" w:hAnsiTheme="majorHAnsi"/>
          <w:sz w:val="20"/>
          <w:szCs w:val="20"/>
          <w:lang w:val="es-ES"/>
        </w:rPr>
        <w:t>ya ha admitido para examen de fondo una petición referente a la posible incompatibilidad del Mandato 13 con derechos contemplados en la Convención A</w:t>
      </w:r>
      <w:r w:rsidR="00936700" w:rsidRPr="006B65B6">
        <w:rPr>
          <w:rFonts w:asciiTheme="majorHAnsi" w:hAnsiTheme="majorHAnsi"/>
          <w:sz w:val="20"/>
          <w:szCs w:val="20"/>
          <w:lang w:val="es-ES"/>
        </w:rPr>
        <w:t>mericana</w:t>
      </w:r>
      <w:r w:rsidR="00936700" w:rsidRPr="006B65B6">
        <w:rPr>
          <w:rStyle w:val="FootnoteReference"/>
          <w:rFonts w:asciiTheme="majorHAnsi" w:hAnsiTheme="majorHAnsi"/>
          <w:sz w:val="20"/>
          <w:szCs w:val="20"/>
          <w:lang w:val="es-ES"/>
        </w:rPr>
        <w:footnoteReference w:id="12"/>
      </w:r>
      <w:r w:rsidR="00F6662B" w:rsidRPr="006B65B6">
        <w:rPr>
          <w:rFonts w:asciiTheme="majorHAnsi" w:hAnsiTheme="majorHAnsi"/>
          <w:sz w:val="20"/>
          <w:szCs w:val="20"/>
          <w:lang w:val="es-ES"/>
        </w:rPr>
        <w:t xml:space="preserve">. </w:t>
      </w:r>
      <w:r>
        <w:rPr>
          <w:rFonts w:asciiTheme="majorHAnsi" w:hAnsiTheme="majorHAnsi"/>
          <w:sz w:val="20"/>
          <w:szCs w:val="20"/>
          <w:lang w:val="es-ES"/>
        </w:rPr>
        <w:t xml:space="preserve">Asimismo, la </w:t>
      </w:r>
      <w:r w:rsidR="00F6662B" w:rsidRPr="006B65B6">
        <w:rPr>
          <w:rFonts w:asciiTheme="majorHAnsi" w:hAnsiTheme="majorHAnsi"/>
          <w:sz w:val="20"/>
          <w:szCs w:val="20"/>
          <w:lang w:val="es-ES"/>
        </w:rPr>
        <w:t xml:space="preserve">Comisión </w:t>
      </w:r>
      <w:r>
        <w:rPr>
          <w:rFonts w:asciiTheme="majorHAnsi" w:hAnsiTheme="majorHAnsi"/>
          <w:sz w:val="20"/>
          <w:szCs w:val="20"/>
          <w:lang w:val="es-ES"/>
        </w:rPr>
        <w:t xml:space="preserve">Interamericana </w:t>
      </w:r>
      <w:r w:rsidR="00F6662B" w:rsidRPr="006B65B6">
        <w:rPr>
          <w:rFonts w:asciiTheme="majorHAnsi" w:hAnsiTheme="majorHAnsi"/>
          <w:sz w:val="20"/>
          <w:szCs w:val="20"/>
          <w:lang w:val="es-ES"/>
        </w:rPr>
        <w:t xml:space="preserve">ha advertido </w:t>
      </w:r>
      <w:r>
        <w:rPr>
          <w:rFonts w:asciiTheme="majorHAnsi" w:hAnsiTheme="majorHAnsi"/>
          <w:sz w:val="20"/>
          <w:szCs w:val="20"/>
          <w:lang w:val="es-ES"/>
        </w:rPr>
        <w:t xml:space="preserve">anteriormente </w:t>
      </w:r>
      <w:r w:rsidR="00F6662B" w:rsidRPr="006B65B6">
        <w:rPr>
          <w:rFonts w:asciiTheme="majorHAnsi" w:hAnsiTheme="majorHAnsi"/>
          <w:sz w:val="20"/>
          <w:szCs w:val="20"/>
          <w:lang w:val="es-ES"/>
        </w:rPr>
        <w:t>que la independencia judicial debe estar reconocida en el marco normativo</w:t>
      </w:r>
      <w:r>
        <w:rPr>
          <w:rFonts w:asciiTheme="majorHAnsi" w:hAnsiTheme="majorHAnsi"/>
          <w:sz w:val="20"/>
          <w:szCs w:val="20"/>
          <w:lang w:val="es-ES"/>
        </w:rPr>
        <w:t xml:space="preserve"> y además </w:t>
      </w:r>
      <w:r w:rsidR="00F6662B" w:rsidRPr="006B65B6">
        <w:rPr>
          <w:rFonts w:asciiTheme="majorHAnsi" w:hAnsiTheme="majorHAnsi"/>
          <w:sz w:val="20"/>
          <w:szCs w:val="20"/>
          <w:lang w:val="es-ES"/>
        </w:rPr>
        <w:t>manifestarse en la prác</w:t>
      </w:r>
      <w:r w:rsidR="005E0A7F">
        <w:rPr>
          <w:rFonts w:asciiTheme="majorHAnsi" w:hAnsiTheme="majorHAnsi"/>
          <w:sz w:val="20"/>
          <w:szCs w:val="20"/>
          <w:lang w:val="es-ES"/>
        </w:rPr>
        <w:t>tica, entre otras f</w:t>
      </w:r>
      <w:r w:rsidR="00F6662B" w:rsidRPr="006B65B6">
        <w:rPr>
          <w:rFonts w:asciiTheme="majorHAnsi" w:hAnsiTheme="majorHAnsi"/>
          <w:sz w:val="20"/>
          <w:szCs w:val="20"/>
          <w:lang w:val="es-ES"/>
        </w:rPr>
        <w:t>ormas</w:t>
      </w:r>
      <w:r w:rsidR="005E0A7F">
        <w:rPr>
          <w:rFonts w:asciiTheme="majorHAnsi" w:hAnsiTheme="majorHAnsi"/>
          <w:sz w:val="20"/>
          <w:szCs w:val="20"/>
          <w:lang w:val="es-ES"/>
        </w:rPr>
        <w:t>,</w:t>
      </w:r>
      <w:r>
        <w:rPr>
          <w:rFonts w:asciiTheme="majorHAnsi" w:hAnsiTheme="majorHAnsi"/>
          <w:sz w:val="20"/>
          <w:szCs w:val="20"/>
          <w:lang w:val="es-ES"/>
        </w:rPr>
        <w:t xml:space="preserve"> </w:t>
      </w:r>
      <w:r w:rsidR="00F6662B" w:rsidRPr="006B65B6">
        <w:rPr>
          <w:rFonts w:asciiTheme="majorHAnsi" w:hAnsiTheme="majorHAnsi"/>
          <w:sz w:val="20"/>
          <w:szCs w:val="20"/>
          <w:lang w:val="es-ES"/>
        </w:rPr>
        <w:t>“</w:t>
      </w:r>
      <w:r w:rsidR="00F6662B" w:rsidRPr="006B65B6">
        <w:rPr>
          <w:rFonts w:asciiTheme="majorHAnsi" w:hAnsiTheme="majorHAnsi"/>
          <w:sz w:val="20"/>
          <w:szCs w:val="20"/>
          <w:lang w:val="es-PA"/>
        </w:rPr>
        <w:t>en el respeto de la independencia de magistrados y magistradas en sus procesos de deliberación, decisión y funcionamiento en general del Poder judicial”</w:t>
      </w:r>
      <w:r w:rsidR="00D04E19" w:rsidRPr="006B65B6">
        <w:rPr>
          <w:rStyle w:val="FootnoteReference"/>
          <w:rFonts w:asciiTheme="majorHAnsi" w:hAnsiTheme="majorHAnsi"/>
          <w:sz w:val="20"/>
          <w:szCs w:val="20"/>
          <w:lang w:val="es-PA"/>
        </w:rPr>
        <w:footnoteReference w:id="13"/>
      </w:r>
      <w:r w:rsidR="006B65B6" w:rsidRPr="006B65B6">
        <w:rPr>
          <w:rFonts w:asciiTheme="majorHAnsi" w:hAnsiTheme="majorHAnsi"/>
          <w:sz w:val="20"/>
          <w:szCs w:val="20"/>
          <w:lang w:val="es-PA"/>
        </w:rPr>
        <w:t xml:space="preserve">. </w:t>
      </w:r>
      <w:r>
        <w:rPr>
          <w:rFonts w:asciiTheme="majorHAnsi" w:hAnsiTheme="majorHAnsi"/>
          <w:sz w:val="20"/>
          <w:szCs w:val="20"/>
          <w:lang w:val="es-PA"/>
        </w:rPr>
        <w:t xml:space="preserve">En el mismo sentido, </w:t>
      </w:r>
      <w:r w:rsidR="006B65B6" w:rsidRPr="006B65B6">
        <w:rPr>
          <w:rFonts w:asciiTheme="majorHAnsi" w:hAnsiTheme="majorHAnsi"/>
          <w:sz w:val="20"/>
          <w:szCs w:val="20"/>
          <w:lang w:val="es-PA"/>
        </w:rPr>
        <w:t xml:space="preserve">la Corte Interamericana ha expresado que </w:t>
      </w:r>
      <w:r>
        <w:rPr>
          <w:rFonts w:asciiTheme="majorHAnsi" w:hAnsiTheme="majorHAnsi"/>
          <w:sz w:val="20"/>
          <w:szCs w:val="20"/>
          <w:lang w:val="es-PA"/>
        </w:rPr>
        <w:t>quienes</w:t>
      </w:r>
      <w:r w:rsidR="006B65B6" w:rsidRPr="006B65B6">
        <w:rPr>
          <w:rFonts w:asciiTheme="majorHAnsi" w:hAnsiTheme="majorHAnsi"/>
          <w:sz w:val="20"/>
          <w:szCs w:val="20"/>
          <w:lang w:val="es-PA"/>
        </w:rPr>
        <w:t xml:space="preserve"> ejercen funciones públicas “tienen una posición de garante de los derechos fundamentales de las personas y, por tanto, sus declaraciones no pueden llegar a desconocer dichos derechos”</w:t>
      </w:r>
      <w:r w:rsidR="006B65B6" w:rsidRPr="006B65B6">
        <w:rPr>
          <w:rStyle w:val="FootnoteReference"/>
          <w:rFonts w:asciiTheme="majorHAnsi" w:hAnsiTheme="majorHAnsi"/>
          <w:sz w:val="20"/>
          <w:szCs w:val="20"/>
          <w:lang w:val="es-PA"/>
        </w:rPr>
        <w:footnoteReference w:id="14"/>
      </w:r>
      <w:r w:rsidR="006B65B6" w:rsidRPr="006B65B6">
        <w:rPr>
          <w:rFonts w:asciiTheme="majorHAnsi" w:hAnsiTheme="majorHAnsi"/>
          <w:sz w:val="20"/>
          <w:szCs w:val="20"/>
          <w:lang w:val="es-PA"/>
        </w:rPr>
        <w:t xml:space="preserve">. </w:t>
      </w:r>
      <w:r w:rsidR="00E73C6C">
        <w:rPr>
          <w:rFonts w:asciiTheme="majorHAnsi" w:hAnsiTheme="majorHAnsi"/>
          <w:sz w:val="20"/>
          <w:szCs w:val="20"/>
          <w:lang w:val="es-PA"/>
        </w:rPr>
        <w:t xml:space="preserve">Asimismo, debe tenerse en cuenta que el artículo 5.3 </w:t>
      </w:r>
      <w:r w:rsidR="00D04E19" w:rsidRPr="006B65B6">
        <w:rPr>
          <w:rFonts w:asciiTheme="majorHAnsi" w:hAnsiTheme="majorHAnsi"/>
          <w:sz w:val="20"/>
          <w:szCs w:val="20"/>
          <w:lang w:val="es-PA"/>
        </w:rPr>
        <w:t>de la Convención Americana establece que “la pena no puede trascender la persona del delincuente”.</w:t>
      </w:r>
    </w:p>
    <w:p w14:paraId="05F12247" w14:textId="77777777" w:rsidR="00A6396B" w:rsidRPr="006B65B6"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78E0FD4" w14:textId="5C0B3CB1" w:rsidR="00D04E19" w:rsidRPr="00A6396B" w:rsidRDefault="00D04E19" w:rsidP="00A3768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F44E80">
        <w:rPr>
          <w:rFonts w:ascii="Cambria" w:hAnsi="Cambria"/>
          <w:sz w:val="20"/>
          <w:szCs w:val="20"/>
          <w:lang w:val="es-ES"/>
        </w:rPr>
        <w:t>En atención a estas consideraciones</w:t>
      </w:r>
      <w:r w:rsidR="00E73C6C">
        <w:rPr>
          <w:rFonts w:ascii="Cambria" w:hAnsi="Cambria"/>
          <w:sz w:val="20"/>
          <w:szCs w:val="20"/>
          <w:lang w:val="es-ES"/>
        </w:rPr>
        <w:t>,</w:t>
      </w:r>
      <w:r w:rsidRPr="00F44E80">
        <w:rPr>
          <w:rFonts w:ascii="Cambria" w:hAnsi="Cambria"/>
          <w:sz w:val="20"/>
          <w:szCs w:val="20"/>
          <w:lang w:val="es-ES"/>
        </w:rPr>
        <w:t xml:space="preserve"> y tras examinar los elementos de hecho y de derecho expuestos por las partes</w:t>
      </w:r>
      <w:r w:rsidR="00791F57">
        <w:rPr>
          <w:rFonts w:ascii="Cambria" w:hAnsi="Cambria"/>
          <w:sz w:val="20"/>
          <w:szCs w:val="20"/>
          <w:lang w:val="es-ES"/>
        </w:rPr>
        <w:t>,</w:t>
      </w:r>
      <w:r w:rsidRPr="00F44E80">
        <w:rPr>
          <w:rFonts w:ascii="Cambria" w:hAnsi="Cambria"/>
          <w:sz w:val="20"/>
          <w:szCs w:val="20"/>
          <w:lang w:val="es-ES"/>
        </w:rPr>
        <w:t xml:space="preserve"> la </w:t>
      </w:r>
      <w:r w:rsidRPr="00A6396B">
        <w:rPr>
          <w:rFonts w:ascii="Cambria" w:hAnsi="Cambria"/>
          <w:sz w:val="20"/>
          <w:szCs w:val="20"/>
          <w:lang w:val="es-ES"/>
        </w:rPr>
        <w:t xml:space="preserve">Comisión </w:t>
      </w:r>
      <w:r w:rsidR="00E73C6C">
        <w:rPr>
          <w:rFonts w:ascii="Cambria" w:hAnsi="Cambria"/>
          <w:sz w:val="20"/>
          <w:szCs w:val="20"/>
          <w:lang w:val="es-ES"/>
        </w:rPr>
        <w:t xml:space="preserve">Interamericana </w:t>
      </w:r>
      <w:r w:rsidRPr="00A6396B">
        <w:rPr>
          <w:rFonts w:ascii="Cambria" w:hAnsi="Cambria"/>
          <w:sz w:val="20"/>
          <w:szCs w:val="20"/>
          <w:lang w:val="es-ES"/>
        </w:rPr>
        <w:t xml:space="preserve">estima que </w:t>
      </w:r>
      <w:r w:rsidR="00E73C6C">
        <w:rPr>
          <w:rFonts w:ascii="Cambria" w:hAnsi="Cambria"/>
          <w:sz w:val="20"/>
          <w:szCs w:val="20"/>
          <w:lang w:val="es-ES"/>
        </w:rPr>
        <w:t xml:space="preserve">los alegatos </w:t>
      </w:r>
      <w:r w:rsidRPr="00A6396B">
        <w:rPr>
          <w:rFonts w:ascii="Cambria" w:hAnsi="Cambria"/>
          <w:sz w:val="20"/>
          <w:szCs w:val="20"/>
          <w:lang w:val="es-ES"/>
        </w:rPr>
        <w:t>de la parte peticionaria no resultan manifiestamente infundad</w:t>
      </w:r>
      <w:r w:rsidR="00E73C6C">
        <w:rPr>
          <w:rFonts w:ascii="Cambria" w:hAnsi="Cambria"/>
          <w:sz w:val="20"/>
          <w:szCs w:val="20"/>
          <w:lang w:val="es-ES"/>
        </w:rPr>
        <w:t>o</w:t>
      </w:r>
      <w:r w:rsidRPr="00A6396B">
        <w:rPr>
          <w:rFonts w:ascii="Cambria" w:hAnsi="Cambria"/>
          <w:sz w:val="20"/>
          <w:szCs w:val="20"/>
          <w:lang w:val="es-ES"/>
        </w:rPr>
        <w:t>s y requieren un estudio de fondo pues los hechos alegados, de corroborarse como ciertos</w:t>
      </w:r>
      <w:r w:rsidR="00791F57" w:rsidRPr="00A6396B">
        <w:rPr>
          <w:rFonts w:ascii="Cambria" w:hAnsi="Cambria"/>
          <w:sz w:val="20"/>
          <w:szCs w:val="20"/>
          <w:lang w:val="es-ES"/>
        </w:rPr>
        <w:t>,</w:t>
      </w:r>
      <w:r w:rsidRPr="00A6396B">
        <w:rPr>
          <w:rFonts w:ascii="Cambria" w:hAnsi="Cambria"/>
          <w:sz w:val="20"/>
          <w:szCs w:val="20"/>
          <w:lang w:val="es-ES"/>
        </w:rPr>
        <w:t xml:space="preserve"> podrían </w:t>
      </w:r>
      <w:r w:rsidR="00E73C6C">
        <w:rPr>
          <w:rFonts w:ascii="Cambria" w:hAnsi="Cambria"/>
          <w:sz w:val="20"/>
          <w:szCs w:val="20"/>
          <w:lang w:val="es-ES"/>
        </w:rPr>
        <w:t xml:space="preserve">constituir </w:t>
      </w:r>
      <w:r w:rsidRPr="00A6396B">
        <w:rPr>
          <w:rFonts w:ascii="Cambria" w:hAnsi="Cambria"/>
          <w:sz w:val="20"/>
          <w:szCs w:val="20"/>
          <w:lang w:val="es-ES"/>
        </w:rPr>
        <w:t xml:space="preserve">violaciones </w:t>
      </w:r>
      <w:r w:rsidR="00E73C6C">
        <w:rPr>
          <w:rFonts w:ascii="Cambria" w:hAnsi="Cambria"/>
          <w:sz w:val="20"/>
          <w:szCs w:val="20"/>
          <w:lang w:val="es-ES"/>
        </w:rPr>
        <w:t>de</w:t>
      </w:r>
      <w:r w:rsidRPr="00A6396B">
        <w:rPr>
          <w:rFonts w:ascii="Cambria" w:hAnsi="Cambria"/>
          <w:sz w:val="20"/>
          <w:szCs w:val="20"/>
          <w:lang w:val="es-ES"/>
        </w:rPr>
        <w:t xml:space="preserve"> los artículos</w:t>
      </w:r>
      <w:r w:rsidRPr="00A6396B">
        <w:rPr>
          <w:rFonts w:asciiTheme="majorHAnsi" w:hAnsiTheme="majorHAnsi"/>
          <w:bCs/>
          <w:sz w:val="20"/>
          <w:szCs w:val="20"/>
          <w:lang w:val="es-PA"/>
        </w:rPr>
        <w:t xml:space="preserve"> 5 (integridad personal), 8 (garantías judiciales), 9 (principio de legalidad y retroactividad), 11 (honra y dignidad), 21 (propiedad privada), 24 (igualdad ante la ley) y 25 (protección judicial) de la Convención Americana </w:t>
      </w:r>
      <w:r w:rsidR="006B65B6" w:rsidRPr="00A6396B">
        <w:rPr>
          <w:rFonts w:asciiTheme="majorHAnsi" w:hAnsiTheme="majorHAnsi"/>
          <w:bCs/>
          <w:sz w:val="20"/>
          <w:szCs w:val="20"/>
          <w:lang w:val="es-PA"/>
        </w:rPr>
        <w:t xml:space="preserve">en </w:t>
      </w:r>
      <w:r w:rsidRPr="00A6396B">
        <w:rPr>
          <w:rFonts w:asciiTheme="majorHAnsi" w:hAnsiTheme="majorHAnsi"/>
          <w:bCs/>
          <w:sz w:val="20"/>
          <w:szCs w:val="20"/>
          <w:lang w:val="es-PA"/>
        </w:rPr>
        <w:t>relación con sus artículos 1.1. (obligación de respetar los derechos) y 2 (deber de adoptar disposiciones de derecho interno)</w:t>
      </w:r>
    </w:p>
    <w:p w14:paraId="07261810"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A81E603" w14:textId="3F8622D7" w:rsidR="006B65B6" w:rsidRPr="00A6396B" w:rsidRDefault="006B65B6" w:rsidP="00A3768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A6396B">
        <w:rPr>
          <w:rFonts w:asciiTheme="majorHAnsi" w:hAnsiTheme="majorHAnsi"/>
          <w:bCs/>
          <w:sz w:val="20"/>
          <w:szCs w:val="20"/>
          <w:lang w:val="es-PA"/>
        </w:rPr>
        <w:t>En cuan</w:t>
      </w:r>
      <w:r w:rsidR="00654A18" w:rsidRPr="00A6396B">
        <w:rPr>
          <w:rFonts w:asciiTheme="majorHAnsi" w:hAnsiTheme="majorHAnsi"/>
          <w:bCs/>
          <w:sz w:val="20"/>
          <w:szCs w:val="20"/>
          <w:lang w:val="es-PA"/>
        </w:rPr>
        <w:t xml:space="preserve">to a </w:t>
      </w:r>
      <w:r w:rsidR="00E73C6C">
        <w:rPr>
          <w:rFonts w:asciiTheme="majorHAnsi" w:hAnsiTheme="majorHAnsi"/>
          <w:bCs/>
          <w:sz w:val="20"/>
          <w:szCs w:val="20"/>
          <w:lang w:val="es-PA"/>
        </w:rPr>
        <w:t>los alegatos de violación d</w:t>
      </w:r>
      <w:r w:rsidR="00654A18" w:rsidRPr="00A6396B">
        <w:rPr>
          <w:rFonts w:asciiTheme="majorHAnsi" w:hAnsiTheme="majorHAnsi"/>
          <w:bCs/>
          <w:sz w:val="20"/>
          <w:szCs w:val="20"/>
          <w:lang w:val="es-PA"/>
        </w:rPr>
        <w:t>e los artículos</w:t>
      </w:r>
      <w:r w:rsidRPr="00A6396B">
        <w:rPr>
          <w:rFonts w:asciiTheme="majorHAnsi" w:hAnsiTheme="majorHAnsi"/>
          <w:bCs/>
          <w:sz w:val="20"/>
          <w:szCs w:val="20"/>
          <w:lang w:val="es-PA"/>
        </w:rPr>
        <w:t xml:space="preserve"> </w:t>
      </w:r>
      <w:r w:rsidR="00654A18" w:rsidRPr="00A6396B">
        <w:rPr>
          <w:rFonts w:asciiTheme="majorHAnsi" w:hAnsiTheme="majorHAnsi"/>
          <w:bCs/>
          <w:sz w:val="20"/>
          <w:szCs w:val="20"/>
          <w:lang w:val="es-PA"/>
        </w:rPr>
        <w:t>7 (libertad personal) y</w:t>
      </w:r>
      <w:r w:rsidRPr="00A6396B">
        <w:rPr>
          <w:rFonts w:asciiTheme="majorHAnsi" w:hAnsiTheme="majorHAnsi"/>
          <w:bCs/>
          <w:sz w:val="20"/>
          <w:szCs w:val="20"/>
          <w:lang w:val="es-PA"/>
        </w:rPr>
        <w:t xml:space="preserve"> 14 (rectificación y respuesta) de la Convención Americana, la C</w:t>
      </w:r>
      <w:r w:rsidR="00E73C6C">
        <w:rPr>
          <w:rFonts w:asciiTheme="majorHAnsi" w:hAnsiTheme="majorHAnsi"/>
          <w:bCs/>
          <w:sz w:val="20"/>
          <w:szCs w:val="20"/>
          <w:lang w:val="es-PA"/>
        </w:rPr>
        <w:t>IDH</w:t>
      </w:r>
      <w:r w:rsidRPr="00A6396B">
        <w:rPr>
          <w:rFonts w:asciiTheme="majorHAnsi" w:hAnsiTheme="majorHAnsi"/>
          <w:bCs/>
          <w:sz w:val="20"/>
          <w:szCs w:val="20"/>
          <w:lang w:val="es-PA"/>
        </w:rPr>
        <w:t xml:space="preserve"> estima que la parte peticionaria no ha aportado </w:t>
      </w:r>
      <w:r w:rsidR="00E73C6C" w:rsidRPr="00A6396B">
        <w:rPr>
          <w:rFonts w:asciiTheme="majorHAnsi" w:hAnsiTheme="majorHAnsi"/>
          <w:bCs/>
          <w:sz w:val="20"/>
          <w:szCs w:val="20"/>
          <w:lang w:val="es-PA"/>
        </w:rPr>
        <w:t xml:space="preserve">elementos o sustento suficiente para considerar </w:t>
      </w:r>
      <w:r w:rsidR="00E73C6C" w:rsidRPr="00A6396B">
        <w:rPr>
          <w:rFonts w:asciiTheme="majorHAnsi" w:hAnsiTheme="majorHAnsi"/>
          <w:bCs/>
          <w:i/>
          <w:sz w:val="20"/>
          <w:szCs w:val="20"/>
          <w:lang w:val="es-PA"/>
        </w:rPr>
        <w:t>prima facie</w:t>
      </w:r>
      <w:r w:rsidR="00E73C6C" w:rsidRPr="00A6396B">
        <w:rPr>
          <w:rFonts w:asciiTheme="majorHAnsi" w:hAnsiTheme="majorHAnsi"/>
          <w:bCs/>
          <w:sz w:val="20"/>
          <w:szCs w:val="20"/>
          <w:lang w:val="es-PA"/>
        </w:rPr>
        <w:t xml:space="preserve"> su posible violación</w:t>
      </w:r>
      <w:r w:rsidR="00E73C6C">
        <w:rPr>
          <w:rFonts w:asciiTheme="majorHAnsi" w:hAnsiTheme="majorHAnsi"/>
          <w:bCs/>
          <w:sz w:val="20"/>
          <w:szCs w:val="20"/>
          <w:lang w:val="es-PA"/>
        </w:rPr>
        <w:t>;</w:t>
      </w:r>
      <w:r w:rsidR="00E73C6C" w:rsidRPr="00A6396B">
        <w:rPr>
          <w:rFonts w:asciiTheme="majorHAnsi" w:hAnsiTheme="majorHAnsi"/>
          <w:bCs/>
          <w:sz w:val="20"/>
          <w:szCs w:val="20"/>
          <w:lang w:val="es-PA"/>
        </w:rPr>
        <w:t xml:space="preserve"> </w:t>
      </w:r>
      <w:r w:rsidR="00E73C6C">
        <w:rPr>
          <w:rFonts w:asciiTheme="majorHAnsi" w:hAnsiTheme="majorHAnsi"/>
          <w:bCs/>
          <w:sz w:val="20"/>
          <w:szCs w:val="20"/>
          <w:lang w:val="es-PA"/>
        </w:rPr>
        <w:t xml:space="preserve">y que tampoco </w:t>
      </w:r>
      <w:r w:rsidRPr="00A6396B">
        <w:rPr>
          <w:rFonts w:asciiTheme="majorHAnsi" w:hAnsiTheme="majorHAnsi"/>
          <w:bCs/>
          <w:sz w:val="20"/>
          <w:szCs w:val="20"/>
          <w:lang w:val="es-PA"/>
        </w:rPr>
        <w:t>surgen del expediente.</w:t>
      </w:r>
    </w:p>
    <w:p w14:paraId="4F7831BF" w14:textId="17F35971"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1ABB8ED" w14:textId="4E5C4346" w:rsidR="00E638D2" w:rsidRPr="00A6396B" w:rsidRDefault="00E638D2" w:rsidP="00A3768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A6396B">
        <w:rPr>
          <w:rFonts w:cs="Calibri"/>
          <w:sz w:val="20"/>
          <w:szCs w:val="20"/>
          <w:lang w:val="es-ES_tradnl"/>
        </w:rPr>
        <w:t xml:space="preserve">Con respecto a los alegatos del Estado referidos a la llamada </w:t>
      </w:r>
      <w:r w:rsidR="006464BC">
        <w:rPr>
          <w:rFonts w:cs="Calibri"/>
          <w:sz w:val="20"/>
          <w:szCs w:val="20"/>
          <w:lang w:val="es-ES_tradnl"/>
        </w:rPr>
        <w:t>“</w:t>
      </w:r>
      <w:r w:rsidRPr="00A6396B">
        <w:rPr>
          <w:rFonts w:cs="Calibri"/>
          <w:sz w:val="20"/>
          <w:szCs w:val="20"/>
          <w:lang w:val="es-ES_tradnl"/>
        </w:rPr>
        <w:t xml:space="preserve">fórmula de </w:t>
      </w:r>
      <w:r w:rsidR="006464BC">
        <w:rPr>
          <w:rFonts w:cs="Calibri"/>
          <w:sz w:val="20"/>
          <w:szCs w:val="20"/>
          <w:lang w:val="es-ES_tradnl"/>
        </w:rPr>
        <w:t xml:space="preserve">la </w:t>
      </w:r>
      <w:r w:rsidRPr="00A6396B">
        <w:rPr>
          <w:rFonts w:cs="Calibri"/>
          <w:sz w:val="20"/>
          <w:szCs w:val="20"/>
          <w:lang w:val="es-ES_tradnl"/>
        </w:rPr>
        <w:t>cuarta instancia”</w:t>
      </w:r>
      <w:r w:rsidRPr="00A6396B">
        <w:rPr>
          <w:sz w:val="20"/>
          <w:szCs w:val="20"/>
          <w:lang w:val="es-ES_tradnl"/>
        </w:rPr>
        <w:t xml:space="preserve">, </w:t>
      </w:r>
      <w:r w:rsidR="006464BC">
        <w:rPr>
          <w:sz w:val="20"/>
          <w:szCs w:val="20"/>
          <w:lang w:val="es-ES_tradnl"/>
        </w:rPr>
        <w:t xml:space="preserve">la Comisión Interamericana </w:t>
      </w:r>
      <w:r w:rsidRPr="00A6396B">
        <w:rPr>
          <w:sz w:val="20"/>
          <w:szCs w:val="20"/>
          <w:lang w:val="es-ES_tradnl"/>
        </w:rPr>
        <w:t xml:space="preserve">debe decidir </w:t>
      </w:r>
      <w:r w:rsidR="006464BC" w:rsidRPr="00A6396B">
        <w:rPr>
          <w:sz w:val="20"/>
          <w:szCs w:val="20"/>
          <w:lang w:val="es-ES_tradnl"/>
        </w:rPr>
        <w:t xml:space="preserve">a </w:t>
      </w:r>
      <w:r w:rsidR="006464BC">
        <w:rPr>
          <w:sz w:val="20"/>
          <w:szCs w:val="20"/>
          <w:lang w:val="es-ES_tradnl"/>
        </w:rPr>
        <w:t xml:space="preserve">efectos </w:t>
      </w:r>
      <w:r w:rsidR="006464BC" w:rsidRPr="00A6396B">
        <w:rPr>
          <w:sz w:val="20"/>
          <w:szCs w:val="20"/>
          <w:lang w:val="es-ES_tradnl"/>
        </w:rPr>
        <w:t xml:space="preserve">de la admisibilidad </w:t>
      </w:r>
      <w:r w:rsidRPr="00A6396B">
        <w:rPr>
          <w:sz w:val="20"/>
          <w:szCs w:val="20"/>
          <w:lang w:val="es-ES_tradnl"/>
        </w:rPr>
        <w:t>si los hechos alegados caracteriza</w:t>
      </w:r>
      <w:r w:rsidR="006464BC">
        <w:rPr>
          <w:sz w:val="20"/>
          <w:szCs w:val="20"/>
          <w:lang w:val="es-ES_tradnl"/>
        </w:rPr>
        <w:t>n</w:t>
      </w:r>
      <w:r w:rsidRPr="00A6396B">
        <w:rPr>
          <w:sz w:val="20"/>
          <w:szCs w:val="20"/>
          <w:lang w:val="es-ES_tradnl"/>
        </w:rPr>
        <w:t xml:space="preserve"> </w:t>
      </w:r>
      <w:r w:rsidR="006464BC">
        <w:rPr>
          <w:sz w:val="20"/>
          <w:szCs w:val="20"/>
          <w:lang w:val="es-ES_tradnl"/>
        </w:rPr>
        <w:lastRenderedPageBreak/>
        <w:t>alg</w:t>
      </w:r>
      <w:r w:rsidRPr="00A6396B">
        <w:rPr>
          <w:sz w:val="20"/>
          <w:szCs w:val="20"/>
          <w:lang w:val="es-ES_tradnl"/>
        </w:rPr>
        <w:t xml:space="preserve">una </w:t>
      </w:r>
      <w:r w:rsidR="006464BC">
        <w:rPr>
          <w:sz w:val="20"/>
          <w:szCs w:val="20"/>
          <w:lang w:val="es-ES_tradnl"/>
        </w:rPr>
        <w:t xml:space="preserve">posible </w:t>
      </w:r>
      <w:r w:rsidRPr="00A6396B">
        <w:rPr>
          <w:sz w:val="20"/>
          <w:szCs w:val="20"/>
          <w:lang w:val="es-ES_tradnl"/>
        </w:rPr>
        <w:t>violación de derechos</w:t>
      </w:r>
      <w:r w:rsidR="006464BC">
        <w:rPr>
          <w:sz w:val="20"/>
          <w:szCs w:val="20"/>
          <w:lang w:val="es-ES_tradnl"/>
        </w:rPr>
        <w:t xml:space="preserve"> humanos</w:t>
      </w:r>
      <w:r w:rsidRPr="00A6396B">
        <w:rPr>
          <w:sz w:val="20"/>
          <w:szCs w:val="20"/>
          <w:lang w:val="es-ES_tradnl"/>
        </w:rPr>
        <w:t>, según lo estipulado en el artículo 47(b) de la Convención Americana</w:t>
      </w:r>
      <w:r w:rsidR="006464BC">
        <w:rPr>
          <w:sz w:val="20"/>
          <w:szCs w:val="20"/>
          <w:lang w:val="es-ES_tradnl"/>
        </w:rPr>
        <w:t>;</w:t>
      </w:r>
      <w:r w:rsidRPr="00A6396B">
        <w:rPr>
          <w:sz w:val="20"/>
          <w:szCs w:val="20"/>
          <w:lang w:val="es-ES_tradnl"/>
        </w:rPr>
        <w:t xml:space="preserve"> o si la petición es manifiestamente infundada o es </w:t>
      </w:r>
      <w:r w:rsidR="006464BC">
        <w:rPr>
          <w:sz w:val="20"/>
          <w:szCs w:val="20"/>
          <w:lang w:val="es-ES_tradnl"/>
        </w:rPr>
        <w:t>e</w:t>
      </w:r>
      <w:r w:rsidRPr="00A6396B">
        <w:rPr>
          <w:sz w:val="20"/>
          <w:szCs w:val="20"/>
          <w:lang w:val="es-ES_tradnl"/>
        </w:rPr>
        <w:t>vidente su total improcedencia</w:t>
      </w:r>
      <w:r w:rsidR="006464BC">
        <w:rPr>
          <w:sz w:val="20"/>
          <w:szCs w:val="20"/>
          <w:lang w:val="es-ES_tradnl"/>
        </w:rPr>
        <w:t>,</w:t>
      </w:r>
      <w:r w:rsidRPr="00A6396B">
        <w:rPr>
          <w:sz w:val="20"/>
          <w:szCs w:val="20"/>
          <w:lang w:val="es-ES_tradnl"/>
        </w:rPr>
        <w:t xml:space="preserve"> conforme al inciso (c) de dicho artículo. El criterio de evaluación de </w:t>
      </w:r>
      <w:r w:rsidR="006464BC">
        <w:rPr>
          <w:sz w:val="20"/>
          <w:szCs w:val="20"/>
          <w:lang w:val="es-ES_tradnl"/>
        </w:rPr>
        <w:t>tales</w:t>
      </w:r>
      <w:r w:rsidRPr="00A6396B">
        <w:rPr>
          <w:sz w:val="20"/>
          <w:szCs w:val="20"/>
          <w:lang w:val="es-ES_tradnl"/>
        </w:rPr>
        <w:t xml:space="preserve"> requisitos</w:t>
      </w:r>
      <w:r w:rsidRPr="00BF4E8C">
        <w:rPr>
          <w:sz w:val="20"/>
          <w:szCs w:val="20"/>
          <w:lang w:val="es-ES_tradnl"/>
        </w:rPr>
        <w:t xml:space="preserve"> difiere del que se utiliza para pronunciarse sobre el fondo de un</w:t>
      </w:r>
      <w:r w:rsidR="006464BC">
        <w:rPr>
          <w:sz w:val="20"/>
          <w:szCs w:val="20"/>
          <w:lang w:val="es-ES_tradnl"/>
        </w:rPr>
        <w:t xml:space="preserve"> caso</w:t>
      </w:r>
      <w:r w:rsidRPr="00BF4E8C">
        <w:rPr>
          <w:sz w:val="20"/>
          <w:szCs w:val="20"/>
          <w:lang w:val="es-ES_tradnl"/>
        </w:rPr>
        <w:t xml:space="preserve">. </w:t>
      </w:r>
      <w:r w:rsidR="006464BC">
        <w:rPr>
          <w:sz w:val="20"/>
          <w:szCs w:val="20"/>
          <w:lang w:val="es-ES_tradnl"/>
        </w:rPr>
        <w:t>La CIDH</w:t>
      </w:r>
      <w:r w:rsidRPr="00BF4E8C">
        <w:rPr>
          <w:sz w:val="20"/>
          <w:szCs w:val="20"/>
          <w:lang w:val="es-ES_tradnl"/>
        </w:rPr>
        <w:t xml:space="preserve"> es competente </w:t>
      </w:r>
      <w:r w:rsidR="006464BC">
        <w:rPr>
          <w:sz w:val="20"/>
          <w:szCs w:val="20"/>
          <w:lang w:val="es-ES_tradnl"/>
        </w:rPr>
        <w:t xml:space="preserve">dentro de su mandato </w:t>
      </w:r>
      <w:r w:rsidRPr="00BF4E8C">
        <w:rPr>
          <w:sz w:val="20"/>
          <w:szCs w:val="20"/>
          <w:lang w:val="es-ES_tradnl"/>
        </w:rPr>
        <w:t xml:space="preserve">para declarar admisible una petición cuando ésta se refiere a procesos internos que podrían ser violatorios de derechos garantizados por la Convención Americana. </w:t>
      </w:r>
      <w:r w:rsidR="006464BC">
        <w:rPr>
          <w:sz w:val="20"/>
          <w:szCs w:val="20"/>
          <w:lang w:val="es-ES_tradnl"/>
        </w:rPr>
        <w:t>De</w:t>
      </w:r>
      <w:r w:rsidRPr="00BF4E8C">
        <w:rPr>
          <w:sz w:val="20"/>
          <w:szCs w:val="20"/>
          <w:lang w:val="es-ES_tradnl"/>
        </w:rPr>
        <w:t xml:space="preserve"> acuerdo con las normas convencionales citadas, </w:t>
      </w:r>
      <w:r w:rsidR="006464BC">
        <w:rPr>
          <w:sz w:val="20"/>
          <w:szCs w:val="20"/>
          <w:lang w:val="es-ES_tradnl"/>
        </w:rPr>
        <w:t xml:space="preserve">y </w:t>
      </w:r>
      <w:r w:rsidRPr="00BF4E8C">
        <w:rPr>
          <w:sz w:val="20"/>
          <w:szCs w:val="20"/>
          <w:lang w:val="es-ES_tradnl"/>
        </w:rPr>
        <w:t>en concordancia con el artículo 34 de</w:t>
      </w:r>
      <w:r w:rsidR="006464BC">
        <w:rPr>
          <w:sz w:val="20"/>
          <w:szCs w:val="20"/>
          <w:lang w:val="es-ES_tradnl"/>
        </w:rPr>
        <w:t>l</w:t>
      </w:r>
      <w:r w:rsidRPr="00BF4E8C">
        <w:rPr>
          <w:sz w:val="20"/>
          <w:szCs w:val="20"/>
          <w:lang w:val="es-ES_tradnl"/>
        </w:rPr>
        <w:t xml:space="preserve"> Reglamento</w:t>
      </w:r>
      <w:r w:rsidR="006464BC" w:rsidRPr="006464BC">
        <w:rPr>
          <w:sz w:val="20"/>
          <w:szCs w:val="20"/>
          <w:lang w:val="es-ES_tradnl"/>
        </w:rPr>
        <w:t xml:space="preserve"> </w:t>
      </w:r>
      <w:r w:rsidR="006464BC">
        <w:rPr>
          <w:sz w:val="20"/>
          <w:szCs w:val="20"/>
          <w:lang w:val="es-ES_tradnl"/>
        </w:rPr>
        <w:t>de la Comisión Interamericana</w:t>
      </w:r>
      <w:r w:rsidRPr="00BF4E8C">
        <w:rPr>
          <w:sz w:val="20"/>
          <w:szCs w:val="20"/>
          <w:lang w:val="es-ES_tradnl"/>
        </w:rPr>
        <w:t xml:space="preserve">, el análisis de admisibilidad se centra en la verificación de tales requisitos, </w:t>
      </w:r>
      <w:r w:rsidR="006464BC">
        <w:rPr>
          <w:sz w:val="20"/>
          <w:szCs w:val="20"/>
          <w:lang w:val="es-ES_tradnl"/>
        </w:rPr>
        <w:t>que</w:t>
      </w:r>
      <w:r w:rsidRPr="00BF4E8C">
        <w:rPr>
          <w:sz w:val="20"/>
          <w:szCs w:val="20"/>
          <w:lang w:val="es-ES_tradnl"/>
        </w:rPr>
        <w:t xml:space="preserve"> se refieren a elementos que, de ser ciertos, podrían constituir </w:t>
      </w:r>
      <w:r w:rsidRPr="006464BC">
        <w:rPr>
          <w:i/>
          <w:iCs/>
          <w:sz w:val="20"/>
          <w:szCs w:val="20"/>
          <w:lang w:val="es-ES_tradnl"/>
        </w:rPr>
        <w:t>prima facie</w:t>
      </w:r>
      <w:r w:rsidRPr="00BF4E8C">
        <w:rPr>
          <w:sz w:val="20"/>
          <w:szCs w:val="20"/>
          <w:lang w:val="es-ES_tradnl"/>
        </w:rPr>
        <w:t xml:space="preserve"> violaciones </w:t>
      </w:r>
      <w:r w:rsidR="006464BC">
        <w:rPr>
          <w:sz w:val="20"/>
          <w:szCs w:val="20"/>
          <w:lang w:val="es-ES_tradnl"/>
        </w:rPr>
        <w:t>de</w:t>
      </w:r>
      <w:r w:rsidRPr="00BF4E8C">
        <w:rPr>
          <w:sz w:val="20"/>
          <w:szCs w:val="20"/>
          <w:lang w:val="es-ES_tradnl"/>
        </w:rPr>
        <w:t xml:space="preserve"> la Convención Americana</w:t>
      </w:r>
      <w:r w:rsidRPr="00BF4E8C">
        <w:rPr>
          <w:rStyle w:val="FootnoteReference"/>
          <w:rFonts w:cs="Calibri"/>
          <w:sz w:val="20"/>
          <w:szCs w:val="20"/>
          <w:lang w:val="es-ES_tradnl"/>
        </w:rPr>
        <w:footnoteReference w:id="15"/>
      </w:r>
      <w:r w:rsidR="006464BC">
        <w:rPr>
          <w:sz w:val="20"/>
          <w:szCs w:val="20"/>
          <w:lang w:val="es-ES_tradnl"/>
        </w:rPr>
        <w:t>.</w:t>
      </w:r>
    </w:p>
    <w:p w14:paraId="53FDD5D7"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3A4D3482" w14:textId="30FA8117" w:rsidR="00654A18" w:rsidRPr="00E9469A" w:rsidRDefault="006464BC" w:rsidP="00A3768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Pr>
          <w:sz w:val="20"/>
          <w:szCs w:val="20"/>
          <w:lang w:val="es-ES_tradnl"/>
        </w:rPr>
        <w:t>Por ot</w:t>
      </w:r>
      <w:r w:rsidR="00204563">
        <w:rPr>
          <w:sz w:val="20"/>
          <w:szCs w:val="20"/>
          <w:lang w:val="es-ES_tradnl"/>
        </w:rPr>
        <w:t>ro lado</w:t>
      </w:r>
      <w:r>
        <w:rPr>
          <w:sz w:val="20"/>
          <w:szCs w:val="20"/>
          <w:lang w:val="es-ES_tradnl"/>
        </w:rPr>
        <w:t xml:space="preserve">, </w:t>
      </w:r>
      <w:r w:rsidR="00654A18">
        <w:rPr>
          <w:sz w:val="20"/>
          <w:szCs w:val="20"/>
          <w:lang w:val="es-ES_tradnl"/>
        </w:rPr>
        <w:t xml:space="preserve">el Estado </w:t>
      </w:r>
      <w:r w:rsidR="00204563">
        <w:rPr>
          <w:sz w:val="20"/>
          <w:szCs w:val="20"/>
          <w:lang w:val="es-ES_tradnl"/>
        </w:rPr>
        <w:t>considera que la solicitud de información adicional a la parte peticionaria durante la etapa de estudio inicial afectó su derecho de defensa</w:t>
      </w:r>
      <w:r w:rsidR="00654A18">
        <w:rPr>
          <w:sz w:val="20"/>
          <w:szCs w:val="20"/>
          <w:lang w:val="es-ES_tradnl"/>
        </w:rPr>
        <w:t xml:space="preserve">. </w:t>
      </w:r>
      <w:r w:rsidR="00E9469A">
        <w:rPr>
          <w:sz w:val="20"/>
          <w:szCs w:val="20"/>
          <w:lang w:val="es-ES_tradnl"/>
        </w:rPr>
        <w:t xml:space="preserve">Cabe señalar al respecto que la solicitud a la que se refiere el Estado tuvo por objeto completar la información necesaria para el análisis sobre admisibilidad, conforme a lo dispuesto por </w:t>
      </w:r>
      <w:r w:rsidR="00562BC8">
        <w:rPr>
          <w:sz w:val="20"/>
          <w:szCs w:val="20"/>
          <w:lang w:val="es-ES_tradnl"/>
        </w:rPr>
        <w:t>los</w:t>
      </w:r>
      <w:r w:rsidR="00E9469A">
        <w:rPr>
          <w:sz w:val="20"/>
          <w:szCs w:val="20"/>
          <w:lang w:val="es-ES_tradnl"/>
        </w:rPr>
        <w:t xml:space="preserve"> artículo</w:t>
      </w:r>
      <w:r w:rsidR="00562BC8">
        <w:rPr>
          <w:sz w:val="20"/>
          <w:szCs w:val="20"/>
          <w:lang w:val="es-ES_tradnl"/>
        </w:rPr>
        <w:t>s</w:t>
      </w:r>
      <w:r w:rsidR="00E9469A">
        <w:rPr>
          <w:sz w:val="20"/>
          <w:szCs w:val="20"/>
          <w:lang w:val="es-ES_tradnl"/>
        </w:rPr>
        <w:t xml:space="preserve"> 26.2 </w:t>
      </w:r>
      <w:r w:rsidR="00562BC8">
        <w:rPr>
          <w:sz w:val="20"/>
          <w:szCs w:val="20"/>
          <w:lang w:val="es-ES_tradnl"/>
        </w:rPr>
        <w:t xml:space="preserve">y 29.3 </w:t>
      </w:r>
      <w:r w:rsidR="00E9469A">
        <w:rPr>
          <w:sz w:val="20"/>
          <w:szCs w:val="20"/>
          <w:lang w:val="es-ES_tradnl"/>
        </w:rPr>
        <w:t>del Reglamento</w:t>
      </w:r>
      <w:r w:rsidR="00562BC8">
        <w:rPr>
          <w:sz w:val="20"/>
          <w:szCs w:val="20"/>
          <w:lang w:val="es-ES_tradnl"/>
        </w:rPr>
        <w:t xml:space="preserve">; y que la determinación sobre el cumplimiento de los requisitos previstos en el artículo 28 del </w:t>
      </w:r>
      <w:r w:rsidR="00204563">
        <w:rPr>
          <w:sz w:val="20"/>
          <w:szCs w:val="20"/>
          <w:lang w:val="es-ES_tradnl"/>
        </w:rPr>
        <w:t>mismo</w:t>
      </w:r>
      <w:r w:rsidR="00562BC8">
        <w:rPr>
          <w:sz w:val="20"/>
          <w:szCs w:val="20"/>
          <w:lang w:val="es-ES_tradnl"/>
        </w:rPr>
        <w:t xml:space="preserve"> corresponde a la Comisión Interamericana. Sin perjuicio de ello, </w:t>
      </w:r>
      <w:r w:rsidR="00204563">
        <w:rPr>
          <w:sz w:val="20"/>
          <w:szCs w:val="20"/>
          <w:lang w:val="es-ES_tradnl"/>
        </w:rPr>
        <w:t xml:space="preserve">la CIDH destaca que toda la documentación aportada por la parte peticionaria y utilizada para el presente análisis fue oportunamente trasladada </w:t>
      </w:r>
      <w:r w:rsidR="00562BC8">
        <w:rPr>
          <w:sz w:val="20"/>
          <w:szCs w:val="20"/>
          <w:lang w:val="es-ES_tradnl"/>
        </w:rPr>
        <w:t>el Estado</w:t>
      </w:r>
      <w:r w:rsidR="00204563">
        <w:rPr>
          <w:sz w:val="20"/>
          <w:szCs w:val="20"/>
          <w:lang w:val="es-ES_tradnl"/>
        </w:rPr>
        <w:t xml:space="preserve">; y que este </w:t>
      </w:r>
      <w:r w:rsidR="00562BC8">
        <w:rPr>
          <w:sz w:val="20"/>
          <w:szCs w:val="20"/>
          <w:lang w:val="es-ES_tradnl"/>
        </w:rPr>
        <w:t xml:space="preserve">no ha aportado elemento alguno de convicción </w:t>
      </w:r>
      <w:r w:rsidR="00204563">
        <w:rPr>
          <w:sz w:val="20"/>
          <w:szCs w:val="20"/>
          <w:lang w:val="es-ES_tradnl"/>
        </w:rPr>
        <w:t xml:space="preserve">para </w:t>
      </w:r>
      <w:r w:rsidR="00562BC8">
        <w:rPr>
          <w:sz w:val="20"/>
          <w:szCs w:val="20"/>
          <w:lang w:val="es-ES_tradnl"/>
        </w:rPr>
        <w:t xml:space="preserve">demostrar que la </w:t>
      </w:r>
      <w:r w:rsidR="00204563">
        <w:rPr>
          <w:sz w:val="20"/>
          <w:szCs w:val="20"/>
          <w:lang w:val="es-ES_tradnl"/>
        </w:rPr>
        <w:t xml:space="preserve">referida </w:t>
      </w:r>
      <w:r w:rsidR="00562BC8">
        <w:rPr>
          <w:sz w:val="20"/>
          <w:szCs w:val="20"/>
          <w:lang w:val="es-ES_tradnl"/>
        </w:rPr>
        <w:t xml:space="preserve">solicitud de información </w:t>
      </w:r>
      <w:r w:rsidR="00204563">
        <w:rPr>
          <w:sz w:val="20"/>
          <w:szCs w:val="20"/>
          <w:lang w:val="es-ES_tradnl"/>
        </w:rPr>
        <w:t xml:space="preserve">adicional </w:t>
      </w:r>
      <w:r w:rsidR="00562BC8">
        <w:rPr>
          <w:sz w:val="20"/>
          <w:szCs w:val="20"/>
          <w:lang w:val="es-ES_tradnl"/>
        </w:rPr>
        <w:t xml:space="preserve">hubiera </w:t>
      </w:r>
      <w:r w:rsidR="00654A18">
        <w:rPr>
          <w:sz w:val="20"/>
          <w:szCs w:val="20"/>
          <w:lang w:val="es-ES_tradnl"/>
        </w:rPr>
        <w:t>menoscaba</w:t>
      </w:r>
      <w:r>
        <w:rPr>
          <w:sz w:val="20"/>
          <w:szCs w:val="20"/>
          <w:lang w:val="es-ES_tradnl"/>
        </w:rPr>
        <w:t>do</w:t>
      </w:r>
      <w:r w:rsidR="00654A18">
        <w:rPr>
          <w:sz w:val="20"/>
          <w:szCs w:val="20"/>
          <w:lang w:val="es-ES_tradnl"/>
        </w:rPr>
        <w:t xml:space="preserve"> </w:t>
      </w:r>
      <w:r w:rsidR="00562BC8">
        <w:rPr>
          <w:sz w:val="20"/>
          <w:szCs w:val="20"/>
          <w:lang w:val="es-ES_tradnl"/>
        </w:rPr>
        <w:t xml:space="preserve">su </w:t>
      </w:r>
      <w:r w:rsidR="00654A18">
        <w:rPr>
          <w:sz w:val="20"/>
          <w:szCs w:val="20"/>
          <w:lang w:val="es-ES_tradnl"/>
        </w:rPr>
        <w:t xml:space="preserve">derecho </w:t>
      </w:r>
      <w:r w:rsidR="00562BC8">
        <w:rPr>
          <w:sz w:val="20"/>
          <w:szCs w:val="20"/>
          <w:lang w:val="es-ES_tradnl"/>
        </w:rPr>
        <w:t xml:space="preserve">de defensa </w:t>
      </w:r>
      <w:r w:rsidR="00B839C9">
        <w:rPr>
          <w:sz w:val="20"/>
          <w:szCs w:val="20"/>
          <w:lang w:val="es-ES_tradnl"/>
        </w:rPr>
        <w:t>o afectado la equidad del proceso.</w:t>
      </w:r>
    </w:p>
    <w:p w14:paraId="113E84DF" w14:textId="77777777" w:rsidR="00A6396B" w:rsidRPr="00204563" w:rsidRDefault="00A6396B" w:rsidP="002045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45816CFA" w:rsidR="003239B8" w:rsidRPr="002A6627" w:rsidRDefault="003239B8" w:rsidP="007F53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2A6627">
        <w:rPr>
          <w:rFonts w:asciiTheme="majorHAnsi" w:hAnsiTheme="majorHAnsi"/>
          <w:b/>
          <w:bCs/>
          <w:sz w:val="20"/>
          <w:szCs w:val="20"/>
          <w:lang w:val="es-ES"/>
        </w:rPr>
        <w:t xml:space="preserve">VIII. </w:t>
      </w:r>
      <w:r w:rsidRPr="002A6627">
        <w:rPr>
          <w:rFonts w:asciiTheme="majorHAnsi" w:hAnsiTheme="majorHAnsi"/>
          <w:b/>
          <w:bCs/>
          <w:sz w:val="20"/>
          <w:szCs w:val="20"/>
          <w:lang w:val="es-ES"/>
        </w:rPr>
        <w:tab/>
        <w:t>DECISIÓN</w:t>
      </w:r>
    </w:p>
    <w:p w14:paraId="0045BDF1"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1AA5BF6" w14:textId="53994885" w:rsidR="000419AD" w:rsidRPr="00B839C9" w:rsidRDefault="003239B8" w:rsidP="007F53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w:t>
      </w:r>
      <w:r w:rsidR="00B839C9">
        <w:rPr>
          <w:rFonts w:asciiTheme="majorHAnsi" w:hAnsiTheme="majorHAnsi"/>
          <w:sz w:val="20"/>
          <w:szCs w:val="20"/>
          <w:lang w:val="es-ES"/>
        </w:rPr>
        <w:t>5, 8, 9, 11, 21, 24 y 25 de la Convención Americana en relación con sus artículos 1.1 y 2</w:t>
      </w:r>
      <w:r w:rsidR="003332A8">
        <w:rPr>
          <w:rFonts w:asciiTheme="majorHAnsi" w:hAnsiTheme="majorHAnsi"/>
          <w:sz w:val="20"/>
          <w:szCs w:val="20"/>
          <w:lang w:val="es-ES"/>
        </w:rPr>
        <w:t>;</w:t>
      </w:r>
    </w:p>
    <w:p w14:paraId="6F45A54B" w14:textId="77777777" w:rsidR="00A6396B" w:rsidRP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D438BFA" w14:textId="4A2B9457" w:rsidR="00B839C9" w:rsidRPr="00B839C9" w:rsidRDefault="00B839C9" w:rsidP="007F53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Theme="majorHAnsi" w:hAnsiTheme="majorHAnsi"/>
          <w:sz w:val="20"/>
          <w:szCs w:val="20"/>
          <w:lang w:val="es-ES"/>
        </w:rPr>
        <w:t>Declarar inadmisible la presente petición en relación con los artículos 7 y 14 de la Convención Americana</w:t>
      </w:r>
      <w:r w:rsidR="003332A8">
        <w:rPr>
          <w:rFonts w:asciiTheme="majorHAnsi" w:hAnsiTheme="majorHAnsi"/>
          <w:sz w:val="20"/>
          <w:szCs w:val="20"/>
          <w:lang w:val="es-ES"/>
        </w:rPr>
        <w:t>, y;</w:t>
      </w:r>
    </w:p>
    <w:p w14:paraId="6EBE33FB" w14:textId="77777777" w:rsidR="00A6396B" w:rsidRDefault="00A6396B" w:rsidP="00A639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CD4DFBD" w14:textId="04E6A3C7" w:rsidR="006464BC" w:rsidRDefault="004A6A54" w:rsidP="00652D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464BC">
        <w:rPr>
          <w:rFonts w:asciiTheme="majorHAnsi" w:hAnsiTheme="majorHAnsi"/>
          <w:sz w:val="20"/>
          <w:szCs w:val="20"/>
          <w:lang w:val="es-ES"/>
        </w:rPr>
        <w:t xml:space="preserve">Notificar a las partes la presente decisión; </w:t>
      </w:r>
      <w:r w:rsidR="00874720" w:rsidRPr="006464BC">
        <w:rPr>
          <w:rFonts w:asciiTheme="majorHAnsi" w:hAnsiTheme="majorHAnsi"/>
          <w:sz w:val="20"/>
          <w:szCs w:val="20"/>
          <w:lang w:val="es-ES"/>
        </w:rPr>
        <w:t>proceder</w:t>
      </w:r>
      <w:r w:rsidRPr="006464BC">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0520EABE" w14:textId="77777777" w:rsidR="003332A8" w:rsidRDefault="003332A8" w:rsidP="003332A8">
      <w:pPr>
        <w:pStyle w:val="ListParagraph"/>
        <w:rPr>
          <w:rFonts w:asciiTheme="majorHAnsi" w:hAnsiTheme="majorHAnsi"/>
          <w:sz w:val="20"/>
          <w:szCs w:val="20"/>
          <w:lang w:val="es-ES"/>
        </w:rPr>
      </w:pPr>
    </w:p>
    <w:p w14:paraId="1F25B86D" w14:textId="39599C35" w:rsidR="003332A8" w:rsidRPr="00B14064" w:rsidRDefault="003332A8" w:rsidP="00333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B14064">
        <w:rPr>
          <w:rFonts w:asciiTheme="majorHAnsi" w:hAnsiTheme="majorHAnsi"/>
          <w:sz w:val="20"/>
          <w:szCs w:val="20"/>
          <w:lang w:val="es-ES"/>
        </w:rPr>
        <w:t xml:space="preserve">Aprobado por la Comisión Interamericana de Derechos Humanos a los 15 días del mes de junio de 2021. (Firmado): Antonia Urrejola, Presidenta; Esmeralda E. Arosemena Bernal de Troitiño, Joel Hernandez y Stuardo Ralón Orellana, </w:t>
      </w:r>
      <w:r w:rsidR="001C677C">
        <w:rPr>
          <w:rFonts w:asciiTheme="majorHAnsi" w:hAnsiTheme="majorHAnsi"/>
          <w:sz w:val="20"/>
          <w:szCs w:val="20"/>
          <w:lang w:val="es-ES"/>
        </w:rPr>
        <w:t>m</w:t>
      </w:r>
      <w:r w:rsidRPr="00B14064">
        <w:rPr>
          <w:rFonts w:asciiTheme="majorHAnsi" w:hAnsiTheme="majorHAnsi"/>
          <w:sz w:val="20"/>
          <w:szCs w:val="20"/>
          <w:lang w:val="es-ES"/>
        </w:rPr>
        <w:t>iembros de la Comisión.</w:t>
      </w:r>
    </w:p>
    <w:p w14:paraId="5F694339" w14:textId="6444C5CF" w:rsidR="009524FB" w:rsidRDefault="009524FB" w:rsidP="003332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AF7C037" w14:textId="69728A4B" w:rsidR="009524FB" w:rsidRDefault="009524FB" w:rsidP="009524F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p w14:paraId="7E101CF0" w14:textId="618F535D" w:rsidR="006464BC" w:rsidRDefault="006464BC">
      <w:pPr>
        <w:rPr>
          <w:rFonts w:asciiTheme="majorHAnsi" w:hAnsiTheme="majorHAnsi"/>
          <w:sz w:val="20"/>
          <w:szCs w:val="20"/>
          <w:lang w:val="es-ES"/>
        </w:rPr>
      </w:pPr>
      <w:r>
        <w:rPr>
          <w:rFonts w:asciiTheme="majorHAnsi" w:hAnsiTheme="majorHAnsi"/>
          <w:sz w:val="20"/>
          <w:szCs w:val="20"/>
          <w:lang w:val="es-ES"/>
        </w:rPr>
        <w:br w:type="page"/>
      </w:r>
    </w:p>
    <w:p w14:paraId="20DB87CC" w14:textId="77777777" w:rsidR="003239B8" w:rsidRPr="006464BC" w:rsidRDefault="003239B8" w:rsidP="006464B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58694DC" w14:textId="22AB63C5" w:rsidR="00427495" w:rsidRDefault="00427495" w:rsidP="00A6396B">
      <w:pPr>
        <w:suppressAutoHyphens/>
        <w:jc w:val="center"/>
        <w:rPr>
          <w:rFonts w:asciiTheme="majorHAnsi" w:hAnsiTheme="majorHAnsi"/>
          <w:b/>
          <w:sz w:val="20"/>
          <w:szCs w:val="20"/>
          <w:lang w:val="es-ES"/>
        </w:rPr>
      </w:pPr>
      <w:r>
        <w:rPr>
          <w:rFonts w:asciiTheme="majorHAnsi" w:hAnsiTheme="majorHAnsi"/>
          <w:b/>
          <w:sz w:val="20"/>
          <w:szCs w:val="20"/>
          <w:lang w:val="es-ES"/>
        </w:rPr>
        <w:t>Anexo</w:t>
      </w:r>
    </w:p>
    <w:p w14:paraId="241F4E9D" w14:textId="39C703CD" w:rsidR="00427495" w:rsidRDefault="00427495" w:rsidP="00A6396B">
      <w:pPr>
        <w:suppressAutoHyphens/>
        <w:jc w:val="center"/>
        <w:rPr>
          <w:rFonts w:asciiTheme="majorHAnsi" w:hAnsiTheme="majorHAnsi"/>
          <w:b/>
          <w:sz w:val="20"/>
          <w:szCs w:val="20"/>
          <w:lang w:val="es-ES"/>
        </w:rPr>
      </w:pPr>
      <w:r w:rsidRPr="00427495">
        <w:rPr>
          <w:rFonts w:asciiTheme="majorHAnsi" w:hAnsiTheme="majorHAnsi"/>
          <w:b/>
          <w:sz w:val="20"/>
          <w:szCs w:val="20"/>
          <w:lang w:val="es-ES"/>
        </w:rPr>
        <w:t xml:space="preserve">Lista de </w:t>
      </w:r>
      <w:r w:rsidR="00B70592">
        <w:rPr>
          <w:rFonts w:asciiTheme="majorHAnsi" w:hAnsiTheme="majorHAnsi"/>
          <w:b/>
          <w:sz w:val="20"/>
          <w:szCs w:val="20"/>
          <w:lang w:val="es-ES"/>
        </w:rPr>
        <w:t>p</w:t>
      </w:r>
      <w:r w:rsidRPr="00427495">
        <w:rPr>
          <w:rFonts w:asciiTheme="majorHAnsi" w:hAnsiTheme="majorHAnsi"/>
          <w:b/>
          <w:sz w:val="20"/>
          <w:szCs w:val="20"/>
          <w:lang w:val="es-ES"/>
        </w:rPr>
        <w:t xml:space="preserve">resuntas </w:t>
      </w:r>
      <w:r w:rsidR="00B70592">
        <w:rPr>
          <w:rFonts w:asciiTheme="majorHAnsi" w:hAnsiTheme="majorHAnsi"/>
          <w:b/>
          <w:sz w:val="20"/>
          <w:szCs w:val="20"/>
          <w:lang w:val="es-ES"/>
        </w:rPr>
        <w:t>v</w:t>
      </w:r>
      <w:r w:rsidRPr="00427495">
        <w:rPr>
          <w:rFonts w:asciiTheme="majorHAnsi" w:hAnsiTheme="majorHAnsi"/>
          <w:b/>
          <w:sz w:val="20"/>
          <w:szCs w:val="20"/>
          <w:lang w:val="es-ES"/>
        </w:rPr>
        <w:t>íctimas</w:t>
      </w:r>
    </w:p>
    <w:p w14:paraId="6AC80CA6" w14:textId="41388881" w:rsidR="00722C9F" w:rsidRDefault="00722C9F" w:rsidP="007F53E7">
      <w:pPr>
        <w:rPr>
          <w:rFonts w:asciiTheme="majorHAnsi" w:hAnsiTheme="majorHAnsi"/>
          <w:sz w:val="20"/>
          <w:szCs w:val="20"/>
          <w:u w:val="single"/>
          <w:lang w:val="es-ES"/>
        </w:rPr>
      </w:pPr>
    </w:p>
    <w:p w14:paraId="1AE15EF0" w14:textId="6265BFE0" w:rsidR="003A7C6D" w:rsidRDefault="003A7C6D" w:rsidP="007F53E7">
      <w:pPr>
        <w:pStyle w:val="ListParagraph"/>
        <w:numPr>
          <w:ilvl w:val="0"/>
          <w:numId w:val="57"/>
        </w:numPr>
        <w:rPr>
          <w:rFonts w:cs="Calibri"/>
          <w:sz w:val="20"/>
          <w:szCs w:val="20"/>
          <w:lang w:val="es-ES"/>
        </w:rPr>
      </w:pPr>
      <w:r>
        <w:rPr>
          <w:rFonts w:cs="Calibri"/>
          <w:sz w:val="20"/>
          <w:szCs w:val="20"/>
          <w:lang w:val="es-ES"/>
        </w:rPr>
        <w:t>María Fernanda Peñafiel Salgado</w:t>
      </w:r>
    </w:p>
    <w:p w14:paraId="747EEF7B" w14:textId="77777777" w:rsidR="003A7C6D" w:rsidRDefault="003A7C6D" w:rsidP="007F53E7">
      <w:pPr>
        <w:pStyle w:val="ListParagraph"/>
        <w:rPr>
          <w:rFonts w:cs="Calibri"/>
          <w:sz w:val="20"/>
          <w:szCs w:val="20"/>
          <w:lang w:val="es-ES"/>
        </w:rPr>
      </w:pPr>
    </w:p>
    <w:p w14:paraId="0EEBB6EA" w14:textId="35519B88" w:rsidR="003A7C6D" w:rsidRDefault="003A7C6D" w:rsidP="007F53E7">
      <w:pPr>
        <w:pStyle w:val="ListParagraph"/>
        <w:numPr>
          <w:ilvl w:val="0"/>
          <w:numId w:val="57"/>
        </w:numPr>
        <w:rPr>
          <w:rFonts w:cs="Calibri"/>
          <w:sz w:val="20"/>
          <w:szCs w:val="20"/>
          <w:lang w:val="es-ES"/>
        </w:rPr>
      </w:pPr>
      <w:r>
        <w:rPr>
          <w:rFonts w:cs="Calibri"/>
          <w:sz w:val="20"/>
          <w:szCs w:val="20"/>
          <w:lang w:val="es-ES"/>
        </w:rPr>
        <w:t xml:space="preserve">Paulina del Consuelo Peñafiel Salgado </w:t>
      </w:r>
    </w:p>
    <w:p w14:paraId="61DF370D" w14:textId="77777777" w:rsidR="003A7C6D" w:rsidRPr="003A7C6D" w:rsidRDefault="003A7C6D" w:rsidP="007F53E7">
      <w:pPr>
        <w:pStyle w:val="ListParagraph"/>
        <w:rPr>
          <w:rFonts w:cs="Calibri"/>
          <w:sz w:val="20"/>
          <w:szCs w:val="20"/>
          <w:lang w:val="es-ES"/>
        </w:rPr>
      </w:pPr>
    </w:p>
    <w:p w14:paraId="16C8903E" w14:textId="4D5E308D" w:rsidR="003A7C6D" w:rsidRDefault="003A7C6D" w:rsidP="007F53E7">
      <w:pPr>
        <w:pStyle w:val="ListParagraph"/>
        <w:numPr>
          <w:ilvl w:val="0"/>
          <w:numId w:val="57"/>
        </w:numPr>
        <w:rPr>
          <w:rFonts w:cs="Calibri"/>
          <w:sz w:val="20"/>
          <w:szCs w:val="20"/>
          <w:lang w:val="es-ES"/>
        </w:rPr>
      </w:pPr>
      <w:r>
        <w:rPr>
          <w:rFonts w:cs="Calibri"/>
          <w:sz w:val="20"/>
          <w:szCs w:val="20"/>
          <w:lang w:val="es-ES"/>
        </w:rPr>
        <w:t xml:space="preserve">Orfa Cristina Peñafiel Salgado </w:t>
      </w:r>
    </w:p>
    <w:p w14:paraId="7B405075" w14:textId="77777777" w:rsidR="003A7C6D" w:rsidRPr="003A7C6D" w:rsidRDefault="003A7C6D" w:rsidP="007F53E7">
      <w:pPr>
        <w:pStyle w:val="ListParagraph"/>
        <w:rPr>
          <w:rFonts w:cs="Calibri"/>
          <w:sz w:val="20"/>
          <w:szCs w:val="20"/>
          <w:lang w:val="es-ES"/>
        </w:rPr>
      </w:pPr>
    </w:p>
    <w:p w14:paraId="3179643F" w14:textId="72C54589" w:rsidR="003A7C6D" w:rsidRDefault="003A7C6D" w:rsidP="007F53E7">
      <w:pPr>
        <w:pStyle w:val="ListParagraph"/>
        <w:numPr>
          <w:ilvl w:val="0"/>
          <w:numId w:val="57"/>
        </w:numPr>
        <w:rPr>
          <w:rFonts w:cs="Calibri"/>
          <w:sz w:val="20"/>
          <w:szCs w:val="20"/>
          <w:lang w:val="es-ES"/>
        </w:rPr>
      </w:pPr>
      <w:r>
        <w:rPr>
          <w:rFonts w:cs="Calibri"/>
          <w:sz w:val="20"/>
          <w:szCs w:val="20"/>
          <w:lang w:val="es-ES"/>
        </w:rPr>
        <w:t>David Este</w:t>
      </w:r>
      <w:r w:rsidR="00A6396B">
        <w:rPr>
          <w:rFonts w:cs="Calibri"/>
          <w:sz w:val="20"/>
          <w:szCs w:val="20"/>
          <w:lang w:val="es-ES"/>
        </w:rPr>
        <w:t>v</w:t>
      </w:r>
      <w:r>
        <w:rPr>
          <w:rFonts w:cs="Calibri"/>
          <w:sz w:val="20"/>
          <w:szCs w:val="20"/>
          <w:lang w:val="es-ES"/>
        </w:rPr>
        <w:t>an Peñafiel Salgado</w:t>
      </w:r>
    </w:p>
    <w:p w14:paraId="2A7A8E22" w14:textId="77777777" w:rsidR="003A7C6D" w:rsidRPr="003A7C6D" w:rsidRDefault="003A7C6D" w:rsidP="007F53E7">
      <w:pPr>
        <w:pStyle w:val="ListParagraph"/>
        <w:rPr>
          <w:rFonts w:cs="Calibri"/>
          <w:sz w:val="20"/>
          <w:szCs w:val="20"/>
          <w:lang w:val="es-ES"/>
        </w:rPr>
      </w:pPr>
    </w:p>
    <w:p w14:paraId="5FE39B90" w14:textId="2AABEC50" w:rsidR="003A7C6D" w:rsidRDefault="003A7C6D" w:rsidP="007F53E7">
      <w:pPr>
        <w:pStyle w:val="ListParagraph"/>
        <w:numPr>
          <w:ilvl w:val="0"/>
          <w:numId w:val="57"/>
        </w:numPr>
        <w:rPr>
          <w:rFonts w:cs="Calibri"/>
          <w:sz w:val="20"/>
          <w:szCs w:val="20"/>
          <w:lang w:val="es-ES"/>
        </w:rPr>
      </w:pPr>
      <w:r>
        <w:rPr>
          <w:rFonts w:cs="Calibri"/>
          <w:sz w:val="20"/>
          <w:szCs w:val="20"/>
          <w:lang w:val="es-ES"/>
        </w:rPr>
        <w:t xml:space="preserve">Carlos </w:t>
      </w:r>
      <w:r w:rsidR="00A6396B">
        <w:rPr>
          <w:rFonts w:cs="Calibri"/>
          <w:sz w:val="20"/>
          <w:szCs w:val="20"/>
          <w:lang w:val="es-ES"/>
        </w:rPr>
        <w:t>Alonso</w:t>
      </w:r>
      <w:r>
        <w:rPr>
          <w:rFonts w:cs="Calibri"/>
          <w:sz w:val="20"/>
          <w:szCs w:val="20"/>
          <w:lang w:val="es-ES"/>
        </w:rPr>
        <w:t xml:space="preserve"> Peñafiel Salgado </w:t>
      </w:r>
    </w:p>
    <w:p w14:paraId="46545CF2" w14:textId="77777777" w:rsidR="003A7C6D" w:rsidRPr="003A7C6D" w:rsidRDefault="003A7C6D" w:rsidP="007F53E7">
      <w:pPr>
        <w:pStyle w:val="ListParagraph"/>
        <w:rPr>
          <w:rFonts w:cs="Calibri"/>
          <w:sz w:val="20"/>
          <w:szCs w:val="20"/>
          <w:lang w:val="es-ES"/>
        </w:rPr>
      </w:pPr>
    </w:p>
    <w:p w14:paraId="246C3374" w14:textId="3800B128" w:rsidR="003A7C6D" w:rsidRDefault="003A7C6D" w:rsidP="007F53E7">
      <w:pPr>
        <w:pStyle w:val="ListParagraph"/>
        <w:numPr>
          <w:ilvl w:val="0"/>
          <w:numId w:val="57"/>
        </w:numPr>
        <w:rPr>
          <w:rFonts w:cs="Calibri"/>
          <w:sz w:val="20"/>
          <w:szCs w:val="20"/>
          <w:lang w:val="es-ES"/>
        </w:rPr>
      </w:pPr>
      <w:r>
        <w:rPr>
          <w:rFonts w:cs="Calibri"/>
          <w:sz w:val="20"/>
          <w:szCs w:val="20"/>
          <w:lang w:val="es-ES"/>
        </w:rPr>
        <w:t>Peter Graetzer Peñafiel</w:t>
      </w:r>
    </w:p>
    <w:p w14:paraId="33198ABC" w14:textId="77777777" w:rsidR="003A7C6D" w:rsidRPr="003A7C6D" w:rsidRDefault="003A7C6D" w:rsidP="007F53E7">
      <w:pPr>
        <w:pStyle w:val="ListParagraph"/>
        <w:rPr>
          <w:rFonts w:cs="Calibri"/>
          <w:sz w:val="20"/>
          <w:szCs w:val="20"/>
          <w:lang w:val="es-ES"/>
        </w:rPr>
      </w:pPr>
    </w:p>
    <w:p w14:paraId="0D990C59" w14:textId="54B9BCD1" w:rsidR="003A7C6D" w:rsidRDefault="003A7C6D" w:rsidP="007F53E7">
      <w:pPr>
        <w:pStyle w:val="ListParagraph"/>
        <w:numPr>
          <w:ilvl w:val="0"/>
          <w:numId w:val="57"/>
        </w:numPr>
        <w:rPr>
          <w:rFonts w:cs="Calibri"/>
          <w:sz w:val="20"/>
          <w:szCs w:val="20"/>
          <w:lang w:val="es-ES"/>
        </w:rPr>
      </w:pPr>
      <w:r>
        <w:rPr>
          <w:rFonts w:cs="Calibri"/>
          <w:sz w:val="20"/>
          <w:szCs w:val="20"/>
          <w:lang w:val="es-ES"/>
        </w:rPr>
        <w:t xml:space="preserve">Klaus Graetzer Peñafiel </w:t>
      </w:r>
    </w:p>
    <w:p w14:paraId="05914A51" w14:textId="77777777" w:rsidR="003A7C6D" w:rsidRPr="003A7C6D" w:rsidRDefault="003A7C6D" w:rsidP="007F53E7">
      <w:pPr>
        <w:pStyle w:val="ListParagraph"/>
        <w:rPr>
          <w:rFonts w:cs="Calibri"/>
          <w:sz w:val="20"/>
          <w:szCs w:val="20"/>
          <w:lang w:val="es-ES"/>
        </w:rPr>
      </w:pPr>
    </w:p>
    <w:p w14:paraId="0A9D7E36" w14:textId="766FDB00" w:rsidR="003A7C6D" w:rsidRDefault="003A7C6D" w:rsidP="007F53E7">
      <w:pPr>
        <w:pStyle w:val="ListParagraph"/>
        <w:numPr>
          <w:ilvl w:val="0"/>
          <w:numId w:val="57"/>
        </w:numPr>
        <w:rPr>
          <w:rFonts w:cs="Calibri"/>
          <w:sz w:val="20"/>
          <w:szCs w:val="20"/>
          <w:lang w:val="es-ES"/>
        </w:rPr>
      </w:pPr>
      <w:r>
        <w:rPr>
          <w:rFonts w:cs="Calibri"/>
          <w:sz w:val="20"/>
          <w:szCs w:val="20"/>
          <w:lang w:val="es-ES"/>
        </w:rPr>
        <w:t>Paula Graetzer Peñafiel</w:t>
      </w:r>
    </w:p>
    <w:p w14:paraId="2655096F" w14:textId="77777777" w:rsidR="003A7C6D" w:rsidRPr="003A7C6D" w:rsidRDefault="003A7C6D" w:rsidP="007F53E7">
      <w:pPr>
        <w:pStyle w:val="ListParagraph"/>
        <w:rPr>
          <w:rFonts w:cs="Calibri"/>
          <w:sz w:val="20"/>
          <w:szCs w:val="20"/>
          <w:lang w:val="es-ES"/>
        </w:rPr>
      </w:pPr>
    </w:p>
    <w:p w14:paraId="3C31980B" w14:textId="6105EC8A" w:rsidR="003A7C6D" w:rsidRDefault="003A7C6D" w:rsidP="007F53E7">
      <w:pPr>
        <w:pStyle w:val="ListParagraph"/>
        <w:numPr>
          <w:ilvl w:val="0"/>
          <w:numId w:val="57"/>
        </w:numPr>
        <w:rPr>
          <w:rFonts w:cs="Calibri"/>
          <w:sz w:val="20"/>
          <w:szCs w:val="20"/>
          <w:lang w:val="es-ES"/>
        </w:rPr>
      </w:pPr>
      <w:r>
        <w:rPr>
          <w:rFonts w:cs="Calibri"/>
          <w:sz w:val="20"/>
          <w:szCs w:val="20"/>
          <w:lang w:val="es-ES"/>
        </w:rPr>
        <w:t>Nicole López Peñafiel</w:t>
      </w:r>
    </w:p>
    <w:p w14:paraId="01609794" w14:textId="77777777" w:rsidR="003A7C6D" w:rsidRPr="003A7C6D" w:rsidRDefault="003A7C6D" w:rsidP="007F53E7">
      <w:pPr>
        <w:pStyle w:val="ListParagraph"/>
        <w:rPr>
          <w:rFonts w:cs="Calibri"/>
          <w:sz w:val="20"/>
          <w:szCs w:val="20"/>
          <w:lang w:val="es-ES"/>
        </w:rPr>
      </w:pPr>
    </w:p>
    <w:p w14:paraId="3B50677D" w14:textId="1F421A36" w:rsidR="003A7C6D" w:rsidRDefault="003A7C6D" w:rsidP="007F53E7">
      <w:pPr>
        <w:pStyle w:val="ListParagraph"/>
        <w:numPr>
          <w:ilvl w:val="0"/>
          <w:numId w:val="57"/>
        </w:numPr>
        <w:rPr>
          <w:rFonts w:cs="Calibri"/>
          <w:sz w:val="20"/>
          <w:szCs w:val="20"/>
          <w:lang w:val="es-ES"/>
        </w:rPr>
      </w:pPr>
      <w:r>
        <w:rPr>
          <w:rFonts w:cs="Calibri"/>
          <w:sz w:val="20"/>
          <w:szCs w:val="20"/>
          <w:lang w:val="es-ES"/>
        </w:rPr>
        <w:t>Laura López Peñafiel</w:t>
      </w:r>
    </w:p>
    <w:p w14:paraId="7A5D6C4B" w14:textId="77777777" w:rsidR="003A7C6D" w:rsidRPr="003A7C6D" w:rsidRDefault="003A7C6D" w:rsidP="007F53E7">
      <w:pPr>
        <w:pStyle w:val="ListParagraph"/>
        <w:rPr>
          <w:rFonts w:cs="Calibri"/>
          <w:sz w:val="20"/>
          <w:szCs w:val="20"/>
          <w:lang w:val="es-ES"/>
        </w:rPr>
      </w:pPr>
    </w:p>
    <w:p w14:paraId="45F448A2" w14:textId="2DC51548" w:rsidR="003A7C6D" w:rsidRDefault="003A7C6D" w:rsidP="007F53E7">
      <w:pPr>
        <w:pStyle w:val="ListParagraph"/>
        <w:numPr>
          <w:ilvl w:val="0"/>
          <w:numId w:val="57"/>
        </w:numPr>
        <w:rPr>
          <w:rFonts w:cs="Calibri"/>
          <w:sz w:val="20"/>
          <w:szCs w:val="20"/>
          <w:lang w:val="es-ES"/>
        </w:rPr>
      </w:pPr>
      <w:r>
        <w:rPr>
          <w:rFonts w:cs="Calibri"/>
          <w:sz w:val="20"/>
          <w:szCs w:val="20"/>
          <w:lang w:val="es-ES"/>
        </w:rPr>
        <w:t>Santiago Yépez Peñafiel</w:t>
      </w:r>
    </w:p>
    <w:p w14:paraId="2190A3FE" w14:textId="77777777" w:rsidR="003A7C6D" w:rsidRPr="003A7C6D" w:rsidRDefault="003A7C6D" w:rsidP="007F53E7">
      <w:pPr>
        <w:pStyle w:val="ListParagraph"/>
        <w:rPr>
          <w:rFonts w:cs="Calibri"/>
          <w:sz w:val="20"/>
          <w:szCs w:val="20"/>
          <w:lang w:val="es-ES"/>
        </w:rPr>
      </w:pPr>
    </w:p>
    <w:p w14:paraId="7CCE2A2B" w14:textId="04A7C2EB" w:rsidR="003A7C6D" w:rsidRDefault="003A7C6D" w:rsidP="007F53E7">
      <w:pPr>
        <w:pStyle w:val="ListParagraph"/>
        <w:numPr>
          <w:ilvl w:val="0"/>
          <w:numId w:val="57"/>
        </w:numPr>
        <w:rPr>
          <w:rFonts w:cs="Calibri"/>
          <w:sz w:val="20"/>
          <w:szCs w:val="20"/>
          <w:lang w:val="es-ES"/>
        </w:rPr>
      </w:pPr>
      <w:r>
        <w:rPr>
          <w:rFonts w:cs="Calibri"/>
          <w:sz w:val="20"/>
          <w:szCs w:val="20"/>
          <w:lang w:val="es-ES"/>
        </w:rPr>
        <w:t>José Antonio Yépez Peñafiel</w:t>
      </w:r>
    </w:p>
    <w:p w14:paraId="631B6112" w14:textId="77777777" w:rsidR="003A7C6D" w:rsidRPr="003A7C6D" w:rsidRDefault="003A7C6D" w:rsidP="007F53E7">
      <w:pPr>
        <w:pStyle w:val="ListParagraph"/>
        <w:rPr>
          <w:rFonts w:cs="Calibri"/>
          <w:sz w:val="20"/>
          <w:szCs w:val="20"/>
          <w:lang w:val="es-ES"/>
        </w:rPr>
      </w:pPr>
    </w:p>
    <w:p w14:paraId="32ED5AF5" w14:textId="1EB76191" w:rsidR="003A7C6D" w:rsidRDefault="003A7C6D" w:rsidP="007F53E7">
      <w:pPr>
        <w:pStyle w:val="ListParagraph"/>
        <w:numPr>
          <w:ilvl w:val="0"/>
          <w:numId w:val="57"/>
        </w:numPr>
        <w:rPr>
          <w:rFonts w:cs="Calibri"/>
          <w:sz w:val="20"/>
          <w:szCs w:val="20"/>
          <w:lang w:val="es-ES"/>
        </w:rPr>
      </w:pPr>
      <w:r>
        <w:rPr>
          <w:rFonts w:cs="Calibri"/>
          <w:sz w:val="20"/>
          <w:szCs w:val="20"/>
          <w:lang w:val="es-ES"/>
        </w:rPr>
        <w:t>Martina Yépez Peñafiel</w:t>
      </w:r>
    </w:p>
    <w:p w14:paraId="112925F2" w14:textId="77777777" w:rsidR="003A7C6D" w:rsidRPr="003A7C6D" w:rsidRDefault="003A7C6D" w:rsidP="007F53E7">
      <w:pPr>
        <w:pStyle w:val="ListParagraph"/>
        <w:rPr>
          <w:rFonts w:cs="Calibri"/>
          <w:sz w:val="20"/>
          <w:szCs w:val="20"/>
          <w:lang w:val="es-ES"/>
        </w:rPr>
      </w:pPr>
    </w:p>
    <w:p w14:paraId="7C26B50A" w14:textId="5069B70C" w:rsidR="003A7C6D" w:rsidRDefault="003A7C6D" w:rsidP="007F53E7">
      <w:pPr>
        <w:pStyle w:val="ListParagraph"/>
        <w:numPr>
          <w:ilvl w:val="0"/>
          <w:numId w:val="57"/>
        </w:numPr>
        <w:rPr>
          <w:rFonts w:cs="Calibri"/>
          <w:sz w:val="20"/>
          <w:szCs w:val="20"/>
          <w:lang w:val="es-ES"/>
        </w:rPr>
      </w:pPr>
      <w:r>
        <w:rPr>
          <w:rFonts w:cs="Calibri"/>
          <w:sz w:val="20"/>
          <w:szCs w:val="20"/>
          <w:lang w:val="es-ES"/>
        </w:rPr>
        <w:t>Nicolás Burnet Peñafiel</w:t>
      </w:r>
    </w:p>
    <w:p w14:paraId="1908B523" w14:textId="77777777" w:rsidR="003A7C6D" w:rsidRPr="003A7C6D" w:rsidRDefault="003A7C6D" w:rsidP="007F53E7">
      <w:pPr>
        <w:pStyle w:val="ListParagraph"/>
        <w:rPr>
          <w:rFonts w:cs="Calibri"/>
          <w:sz w:val="20"/>
          <w:szCs w:val="20"/>
          <w:lang w:val="es-ES"/>
        </w:rPr>
      </w:pPr>
    </w:p>
    <w:p w14:paraId="02A03A87" w14:textId="78381A93" w:rsidR="003A7C6D" w:rsidRDefault="003A7C6D" w:rsidP="007F53E7">
      <w:pPr>
        <w:pStyle w:val="ListParagraph"/>
        <w:numPr>
          <w:ilvl w:val="0"/>
          <w:numId w:val="57"/>
        </w:numPr>
        <w:rPr>
          <w:rFonts w:cs="Calibri"/>
          <w:sz w:val="20"/>
          <w:szCs w:val="20"/>
          <w:lang w:val="es-ES"/>
        </w:rPr>
      </w:pPr>
      <w:r>
        <w:rPr>
          <w:rFonts w:cs="Calibri"/>
          <w:sz w:val="20"/>
          <w:szCs w:val="20"/>
          <w:lang w:val="es-ES"/>
        </w:rPr>
        <w:t>Micaela Burnet Peñafiel</w:t>
      </w:r>
    </w:p>
    <w:p w14:paraId="2C7F5B47" w14:textId="77777777" w:rsidR="003A7C6D" w:rsidRPr="003A7C6D" w:rsidRDefault="003A7C6D" w:rsidP="007F53E7">
      <w:pPr>
        <w:pStyle w:val="ListParagraph"/>
        <w:rPr>
          <w:rFonts w:cs="Calibri"/>
          <w:sz w:val="20"/>
          <w:szCs w:val="20"/>
          <w:lang w:val="es-ES"/>
        </w:rPr>
      </w:pPr>
    </w:p>
    <w:p w14:paraId="1B606AB2" w14:textId="45FD3EE0" w:rsidR="003A7C6D" w:rsidRDefault="003A7C6D" w:rsidP="007F53E7">
      <w:pPr>
        <w:pStyle w:val="ListParagraph"/>
        <w:numPr>
          <w:ilvl w:val="0"/>
          <w:numId w:val="57"/>
        </w:numPr>
        <w:rPr>
          <w:rFonts w:cs="Calibri"/>
          <w:sz w:val="20"/>
          <w:szCs w:val="20"/>
          <w:lang w:val="es-ES"/>
        </w:rPr>
      </w:pPr>
      <w:r>
        <w:rPr>
          <w:rFonts w:cs="Calibri"/>
          <w:sz w:val="20"/>
          <w:szCs w:val="20"/>
          <w:lang w:val="es-ES"/>
        </w:rPr>
        <w:t>Martín Matías Burnet Peñafiel</w:t>
      </w:r>
    </w:p>
    <w:p w14:paraId="586760CF" w14:textId="77777777" w:rsidR="003A7C6D" w:rsidRPr="003A7C6D" w:rsidRDefault="003A7C6D" w:rsidP="007F53E7">
      <w:pPr>
        <w:pStyle w:val="ListParagraph"/>
        <w:rPr>
          <w:rFonts w:cs="Calibri"/>
          <w:sz w:val="20"/>
          <w:szCs w:val="20"/>
          <w:lang w:val="es-ES"/>
        </w:rPr>
      </w:pPr>
    </w:p>
    <w:p w14:paraId="1F61FFAD" w14:textId="5CE7B921" w:rsidR="003A7C6D" w:rsidRDefault="003A7C6D" w:rsidP="007F53E7">
      <w:pPr>
        <w:pStyle w:val="ListParagraph"/>
        <w:numPr>
          <w:ilvl w:val="0"/>
          <w:numId w:val="57"/>
        </w:numPr>
        <w:rPr>
          <w:rFonts w:cs="Calibri"/>
          <w:sz w:val="20"/>
          <w:szCs w:val="20"/>
          <w:lang w:val="es-ES"/>
        </w:rPr>
      </w:pPr>
      <w:r>
        <w:rPr>
          <w:rFonts w:cs="Calibri"/>
          <w:sz w:val="20"/>
          <w:szCs w:val="20"/>
          <w:lang w:val="es-ES"/>
        </w:rPr>
        <w:t>María Julia Peñafiel</w:t>
      </w:r>
    </w:p>
    <w:p w14:paraId="39F8EC85" w14:textId="77777777" w:rsidR="003A7C6D" w:rsidRPr="003A7C6D" w:rsidRDefault="003A7C6D" w:rsidP="007F53E7">
      <w:pPr>
        <w:pStyle w:val="ListParagraph"/>
        <w:rPr>
          <w:rFonts w:cs="Calibri"/>
          <w:sz w:val="20"/>
          <w:szCs w:val="20"/>
          <w:lang w:val="es-ES"/>
        </w:rPr>
      </w:pPr>
    </w:p>
    <w:p w14:paraId="40B605EC" w14:textId="6E49626E" w:rsidR="003A7C6D" w:rsidRDefault="003A7C6D" w:rsidP="007F53E7">
      <w:pPr>
        <w:pStyle w:val="ListParagraph"/>
        <w:numPr>
          <w:ilvl w:val="0"/>
          <w:numId w:val="57"/>
        </w:numPr>
        <w:rPr>
          <w:rFonts w:cs="Calibri"/>
          <w:sz w:val="20"/>
          <w:szCs w:val="20"/>
          <w:lang w:val="es-ES"/>
        </w:rPr>
      </w:pPr>
      <w:r>
        <w:rPr>
          <w:rFonts w:cs="Calibri"/>
          <w:sz w:val="20"/>
          <w:szCs w:val="20"/>
          <w:lang w:val="es-ES"/>
        </w:rPr>
        <w:t>María Paz Peñafiel</w:t>
      </w:r>
    </w:p>
    <w:p w14:paraId="56E68029" w14:textId="77777777" w:rsidR="003A7C6D" w:rsidRPr="003A7C6D" w:rsidRDefault="003A7C6D" w:rsidP="007F53E7">
      <w:pPr>
        <w:pStyle w:val="ListParagraph"/>
        <w:rPr>
          <w:rFonts w:cs="Calibri"/>
          <w:sz w:val="20"/>
          <w:szCs w:val="20"/>
          <w:lang w:val="es-ES"/>
        </w:rPr>
      </w:pPr>
    </w:p>
    <w:p w14:paraId="10520D1A" w14:textId="73B63A39" w:rsidR="003A7C6D" w:rsidRDefault="003A7C6D" w:rsidP="007F53E7">
      <w:pPr>
        <w:pStyle w:val="ListParagraph"/>
        <w:numPr>
          <w:ilvl w:val="0"/>
          <w:numId w:val="57"/>
        </w:numPr>
        <w:rPr>
          <w:rFonts w:cs="Calibri"/>
          <w:sz w:val="20"/>
          <w:szCs w:val="20"/>
          <w:lang w:val="es-ES"/>
        </w:rPr>
      </w:pPr>
      <w:r>
        <w:rPr>
          <w:rFonts w:cs="Calibri"/>
          <w:sz w:val="20"/>
          <w:szCs w:val="20"/>
          <w:lang w:val="es-ES"/>
        </w:rPr>
        <w:t>David Esteban Peñafiel</w:t>
      </w:r>
    </w:p>
    <w:p w14:paraId="528B6B9E" w14:textId="77777777" w:rsidR="003A7C6D" w:rsidRPr="003A7C6D" w:rsidRDefault="003A7C6D" w:rsidP="007F53E7">
      <w:pPr>
        <w:pStyle w:val="ListParagraph"/>
        <w:rPr>
          <w:rFonts w:cs="Calibri"/>
          <w:sz w:val="20"/>
          <w:szCs w:val="20"/>
          <w:lang w:val="es-ES"/>
        </w:rPr>
      </w:pPr>
    </w:p>
    <w:p w14:paraId="30E480F6" w14:textId="5C75B29E" w:rsidR="003A7C6D" w:rsidRDefault="003A7C6D" w:rsidP="007F53E7">
      <w:pPr>
        <w:pStyle w:val="ListParagraph"/>
        <w:numPr>
          <w:ilvl w:val="0"/>
          <w:numId w:val="57"/>
        </w:numPr>
        <w:rPr>
          <w:rFonts w:cs="Calibri"/>
          <w:sz w:val="20"/>
          <w:szCs w:val="20"/>
          <w:lang w:val="es-ES"/>
        </w:rPr>
      </w:pPr>
      <w:r>
        <w:rPr>
          <w:rFonts w:cs="Calibri"/>
          <w:sz w:val="20"/>
          <w:szCs w:val="20"/>
          <w:lang w:val="es-ES"/>
        </w:rPr>
        <w:t>Daniela Peñafiel</w:t>
      </w:r>
    </w:p>
    <w:p w14:paraId="79925DC5" w14:textId="77777777" w:rsidR="003A7C6D" w:rsidRPr="003A7C6D" w:rsidRDefault="003A7C6D" w:rsidP="007F53E7">
      <w:pPr>
        <w:pStyle w:val="ListParagraph"/>
        <w:rPr>
          <w:rFonts w:cs="Calibri"/>
          <w:sz w:val="20"/>
          <w:szCs w:val="20"/>
          <w:lang w:val="es-ES"/>
        </w:rPr>
      </w:pPr>
    </w:p>
    <w:p w14:paraId="2A524C10" w14:textId="16323889" w:rsidR="003A7C6D" w:rsidRDefault="003A7C6D" w:rsidP="007F53E7">
      <w:pPr>
        <w:pStyle w:val="ListParagraph"/>
        <w:numPr>
          <w:ilvl w:val="0"/>
          <w:numId w:val="57"/>
        </w:numPr>
        <w:rPr>
          <w:rFonts w:cs="Calibri"/>
          <w:sz w:val="20"/>
          <w:szCs w:val="20"/>
          <w:lang w:val="es-ES"/>
        </w:rPr>
      </w:pPr>
      <w:r>
        <w:rPr>
          <w:rFonts w:cs="Calibri"/>
          <w:sz w:val="20"/>
          <w:szCs w:val="20"/>
          <w:lang w:val="es-ES"/>
        </w:rPr>
        <w:t xml:space="preserve">Valeria Peñafiel </w:t>
      </w:r>
    </w:p>
    <w:p w14:paraId="55CAC959" w14:textId="77777777" w:rsidR="003A7C6D" w:rsidRPr="003A7C6D" w:rsidRDefault="003A7C6D" w:rsidP="007F53E7">
      <w:pPr>
        <w:pStyle w:val="ListParagraph"/>
        <w:rPr>
          <w:rFonts w:cs="Calibri"/>
          <w:sz w:val="20"/>
          <w:szCs w:val="20"/>
          <w:lang w:val="es-ES"/>
        </w:rPr>
      </w:pPr>
    </w:p>
    <w:p w14:paraId="41CEEA62" w14:textId="62D6DA96" w:rsidR="003A7C6D" w:rsidRDefault="003A7C6D" w:rsidP="007F53E7">
      <w:pPr>
        <w:pStyle w:val="ListParagraph"/>
        <w:numPr>
          <w:ilvl w:val="0"/>
          <w:numId w:val="57"/>
        </w:numPr>
        <w:rPr>
          <w:rFonts w:cs="Calibri"/>
          <w:sz w:val="20"/>
          <w:szCs w:val="20"/>
          <w:lang w:val="es-ES"/>
        </w:rPr>
      </w:pPr>
      <w:r>
        <w:rPr>
          <w:rFonts w:cs="Calibri"/>
          <w:sz w:val="20"/>
          <w:szCs w:val="20"/>
          <w:lang w:val="es-ES"/>
        </w:rPr>
        <w:t>Carlos Alejandro Peñafiel</w:t>
      </w:r>
    </w:p>
    <w:p w14:paraId="14543DDE" w14:textId="77777777" w:rsidR="003A7C6D" w:rsidRPr="003A7C6D" w:rsidRDefault="003A7C6D" w:rsidP="007F53E7">
      <w:pPr>
        <w:pStyle w:val="ListParagraph"/>
        <w:rPr>
          <w:rFonts w:cs="Calibri"/>
          <w:sz w:val="20"/>
          <w:szCs w:val="20"/>
          <w:lang w:val="es-ES"/>
        </w:rPr>
      </w:pPr>
    </w:p>
    <w:p w14:paraId="678C88A7" w14:textId="2676C006" w:rsidR="003A7C6D" w:rsidRDefault="003A7C6D" w:rsidP="007F53E7">
      <w:pPr>
        <w:pStyle w:val="ListParagraph"/>
        <w:numPr>
          <w:ilvl w:val="0"/>
          <w:numId w:val="57"/>
        </w:numPr>
        <w:rPr>
          <w:rFonts w:cs="Calibri"/>
          <w:sz w:val="20"/>
          <w:szCs w:val="20"/>
          <w:lang w:val="es-ES"/>
        </w:rPr>
      </w:pPr>
      <w:r>
        <w:rPr>
          <w:rFonts w:cs="Calibri"/>
          <w:sz w:val="20"/>
          <w:szCs w:val="20"/>
          <w:lang w:val="es-ES"/>
        </w:rPr>
        <w:t>Wilson Cunguan Revelo</w:t>
      </w:r>
    </w:p>
    <w:p w14:paraId="7B90351D" w14:textId="77777777" w:rsidR="003A7C6D" w:rsidRPr="003A7C6D" w:rsidRDefault="003A7C6D" w:rsidP="007F53E7">
      <w:pPr>
        <w:pStyle w:val="ListParagraph"/>
        <w:rPr>
          <w:rFonts w:cs="Calibri"/>
          <w:sz w:val="20"/>
          <w:szCs w:val="20"/>
          <w:lang w:val="es-ES"/>
        </w:rPr>
      </w:pPr>
    </w:p>
    <w:p w14:paraId="34B16665" w14:textId="2E6CA0E6" w:rsidR="003A7C6D" w:rsidRDefault="003A7C6D" w:rsidP="007F53E7">
      <w:pPr>
        <w:pStyle w:val="ListParagraph"/>
        <w:numPr>
          <w:ilvl w:val="0"/>
          <w:numId w:val="57"/>
        </w:numPr>
        <w:rPr>
          <w:rFonts w:cs="Calibri"/>
          <w:sz w:val="20"/>
          <w:szCs w:val="20"/>
          <w:lang w:val="es-ES"/>
        </w:rPr>
      </w:pPr>
      <w:r>
        <w:rPr>
          <w:rFonts w:cs="Calibri"/>
          <w:sz w:val="20"/>
          <w:szCs w:val="20"/>
          <w:lang w:val="es-ES"/>
        </w:rPr>
        <w:t>Norma Marlene Carrera</w:t>
      </w:r>
    </w:p>
    <w:p w14:paraId="6F6219FD" w14:textId="77777777" w:rsidR="003A7C6D" w:rsidRPr="003A7C6D" w:rsidRDefault="003A7C6D" w:rsidP="007F53E7">
      <w:pPr>
        <w:pStyle w:val="ListParagraph"/>
        <w:rPr>
          <w:rFonts w:cs="Calibri"/>
          <w:sz w:val="20"/>
          <w:szCs w:val="20"/>
          <w:lang w:val="es-ES"/>
        </w:rPr>
      </w:pPr>
    </w:p>
    <w:p w14:paraId="18655E97" w14:textId="42D6AD25" w:rsidR="003A7C6D" w:rsidRDefault="00344DF5" w:rsidP="007F53E7">
      <w:pPr>
        <w:pStyle w:val="ListParagraph"/>
        <w:numPr>
          <w:ilvl w:val="0"/>
          <w:numId w:val="57"/>
        </w:numPr>
        <w:rPr>
          <w:rFonts w:cs="Calibri"/>
          <w:sz w:val="20"/>
          <w:szCs w:val="20"/>
          <w:lang w:val="es-ES"/>
        </w:rPr>
      </w:pPr>
      <w:r>
        <w:rPr>
          <w:rFonts w:cs="Calibri"/>
          <w:sz w:val="20"/>
          <w:szCs w:val="20"/>
          <w:lang w:val="es-ES"/>
        </w:rPr>
        <w:t>Vicente Minda Parra</w:t>
      </w:r>
    </w:p>
    <w:p w14:paraId="46323F1C" w14:textId="77777777" w:rsidR="00344DF5" w:rsidRPr="00344DF5" w:rsidRDefault="00344DF5" w:rsidP="007F53E7">
      <w:pPr>
        <w:pStyle w:val="ListParagraph"/>
        <w:rPr>
          <w:rFonts w:cs="Calibri"/>
          <w:sz w:val="20"/>
          <w:szCs w:val="20"/>
          <w:lang w:val="es-ES"/>
        </w:rPr>
      </w:pPr>
    </w:p>
    <w:p w14:paraId="40BD31C5" w14:textId="2003DE92" w:rsidR="00344DF5" w:rsidRPr="003A7C6D" w:rsidRDefault="00344DF5" w:rsidP="007F53E7">
      <w:pPr>
        <w:pStyle w:val="ListParagraph"/>
        <w:numPr>
          <w:ilvl w:val="0"/>
          <w:numId w:val="57"/>
        </w:numPr>
        <w:rPr>
          <w:rFonts w:cs="Calibri"/>
          <w:sz w:val="20"/>
          <w:szCs w:val="20"/>
          <w:lang w:val="es-ES"/>
        </w:rPr>
      </w:pPr>
      <w:r>
        <w:rPr>
          <w:rFonts w:cs="Calibri"/>
          <w:sz w:val="20"/>
          <w:szCs w:val="20"/>
          <w:lang w:val="es-ES"/>
        </w:rPr>
        <w:t>Zoila Marina Estrada</w:t>
      </w:r>
    </w:p>
    <w:sectPr w:rsidR="00344DF5" w:rsidRPr="003A7C6D"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13C0" w14:textId="77777777" w:rsidR="00182523" w:rsidRDefault="00182523">
      <w:r>
        <w:separator/>
      </w:r>
    </w:p>
  </w:endnote>
  <w:endnote w:type="continuationSeparator" w:id="0">
    <w:p w14:paraId="3D040049" w14:textId="77777777" w:rsidR="00182523" w:rsidRDefault="001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91F57">
          <w:rPr>
            <w:noProof/>
            <w:sz w:val="16"/>
            <w:szCs w:val="22"/>
          </w:rPr>
          <w:t>9</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59AF" w14:textId="77777777" w:rsidR="00182523" w:rsidRPr="000F35ED" w:rsidRDefault="001825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5A0C54" w14:textId="77777777" w:rsidR="00182523" w:rsidRPr="000F35ED" w:rsidRDefault="00182523" w:rsidP="000F35ED">
      <w:pPr>
        <w:rPr>
          <w:rFonts w:asciiTheme="majorHAnsi" w:hAnsiTheme="majorHAnsi"/>
          <w:sz w:val="16"/>
          <w:szCs w:val="16"/>
        </w:rPr>
      </w:pPr>
      <w:r w:rsidRPr="000F35ED">
        <w:rPr>
          <w:rFonts w:asciiTheme="majorHAnsi" w:hAnsiTheme="majorHAnsi"/>
          <w:sz w:val="16"/>
          <w:szCs w:val="16"/>
        </w:rPr>
        <w:separator/>
      </w:r>
    </w:p>
    <w:p w14:paraId="3797D5A6" w14:textId="77777777" w:rsidR="00182523" w:rsidRPr="000F35ED" w:rsidRDefault="001825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E379C4" w14:textId="77777777" w:rsidR="00182523" w:rsidRPr="000F35ED" w:rsidRDefault="001825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8613AA" w14:textId="60259CB3" w:rsidR="006B65B6" w:rsidRPr="00551925" w:rsidRDefault="006B65B6" w:rsidP="00B14064">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La petición fue inicialmente presentada por Klaus Graetzer Peñafiel y Bruna </w:t>
      </w:r>
      <w:r w:rsidR="0009105C" w:rsidRPr="00551925">
        <w:rPr>
          <w:rFonts w:asciiTheme="majorHAnsi" w:hAnsiTheme="majorHAnsi"/>
          <w:sz w:val="16"/>
          <w:szCs w:val="16"/>
          <w:lang w:val="es-PA"/>
        </w:rPr>
        <w:t>Molina,</w:t>
      </w:r>
      <w:r w:rsidRPr="00551925">
        <w:rPr>
          <w:rFonts w:asciiTheme="majorHAnsi" w:hAnsiTheme="majorHAnsi"/>
          <w:sz w:val="16"/>
          <w:szCs w:val="16"/>
          <w:lang w:val="es-PA"/>
        </w:rPr>
        <w:t xml:space="preserve"> pero el 27 de enero de 2020 se recibió escrito de parte del señor Klaus Graetzer Peñafiel en el que se informaba del cambio de representación.</w:t>
      </w:r>
    </w:p>
  </w:footnote>
  <w:footnote w:id="3">
    <w:p w14:paraId="144543ED" w14:textId="74CD2886" w:rsidR="006B65B6" w:rsidRPr="00551925" w:rsidRDefault="006B65B6" w:rsidP="00B14064">
      <w:pPr>
        <w:pStyle w:val="FootnoteText"/>
        <w:ind w:firstLine="720"/>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La petición hace referencia a 26 presuntas víctimas cuyos nombres se detallan en anexo.</w:t>
      </w:r>
    </w:p>
  </w:footnote>
  <w:footnote w:id="4">
    <w:p w14:paraId="7ED4F98F" w14:textId="773ADD70" w:rsidR="006B65B6" w:rsidRPr="00551925" w:rsidRDefault="006B65B6" w:rsidP="00B14064">
      <w:pPr>
        <w:pStyle w:val="FootnoteText"/>
        <w:ind w:firstLine="720"/>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En adelante “la Convención Americana”.</w:t>
      </w:r>
    </w:p>
  </w:footnote>
  <w:footnote w:id="5">
    <w:p w14:paraId="08CD6656" w14:textId="77777777" w:rsidR="006B65B6" w:rsidRPr="00551925" w:rsidRDefault="006B65B6" w:rsidP="00B14064">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Las observaciones de cada parte fueron debidamente trasladadas a la parte contraria.</w:t>
      </w:r>
    </w:p>
  </w:footnote>
  <w:footnote w:id="6">
    <w:p w14:paraId="4972FF46" w14:textId="2C0F7C5C" w:rsidR="006B65B6" w:rsidRPr="00551925" w:rsidRDefault="006B65B6" w:rsidP="00B14064">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Adicionalmente se recibió durante la etapa de estudio un escrito de </w:t>
      </w:r>
      <w:r w:rsidRPr="00551925">
        <w:rPr>
          <w:rFonts w:asciiTheme="majorHAnsi" w:hAnsiTheme="majorHAnsi"/>
          <w:i/>
          <w:sz w:val="16"/>
          <w:szCs w:val="16"/>
          <w:lang w:val="es-PA"/>
        </w:rPr>
        <w:t xml:space="preserve">amicus curiae </w:t>
      </w:r>
      <w:r w:rsidRPr="00551925">
        <w:rPr>
          <w:rFonts w:asciiTheme="majorHAnsi" w:hAnsiTheme="majorHAnsi"/>
          <w:sz w:val="16"/>
          <w:szCs w:val="16"/>
          <w:lang w:val="es-PA"/>
        </w:rPr>
        <w:t>presentado por el abogado Asdrúbal Aguiar</w:t>
      </w:r>
      <w:r w:rsidR="0009105C" w:rsidRPr="00551925">
        <w:rPr>
          <w:rFonts w:asciiTheme="majorHAnsi" w:hAnsiTheme="majorHAnsi"/>
          <w:sz w:val="16"/>
          <w:szCs w:val="16"/>
          <w:lang w:val="es-PA"/>
        </w:rPr>
        <w:t>;</w:t>
      </w:r>
      <w:r w:rsidR="00B839C9" w:rsidRPr="00551925">
        <w:rPr>
          <w:rFonts w:asciiTheme="majorHAnsi" w:hAnsiTheme="majorHAnsi"/>
          <w:sz w:val="16"/>
          <w:szCs w:val="16"/>
          <w:lang w:val="es-PA"/>
        </w:rPr>
        <w:t xml:space="preserve"> </w:t>
      </w:r>
      <w:r w:rsidR="0009105C" w:rsidRPr="00551925">
        <w:rPr>
          <w:rFonts w:asciiTheme="majorHAnsi" w:hAnsiTheme="majorHAnsi"/>
          <w:sz w:val="16"/>
          <w:szCs w:val="16"/>
          <w:lang w:val="es-PA"/>
        </w:rPr>
        <w:t xml:space="preserve">el </w:t>
      </w:r>
      <w:r w:rsidR="00B839C9" w:rsidRPr="00551925">
        <w:rPr>
          <w:rFonts w:asciiTheme="majorHAnsi" w:hAnsiTheme="majorHAnsi"/>
          <w:sz w:val="16"/>
          <w:szCs w:val="16"/>
          <w:lang w:val="es-PA"/>
        </w:rPr>
        <w:t xml:space="preserve">Estado </w:t>
      </w:r>
      <w:r w:rsidR="0009105C" w:rsidRPr="00551925">
        <w:rPr>
          <w:rFonts w:asciiTheme="majorHAnsi" w:hAnsiTheme="majorHAnsi"/>
          <w:sz w:val="16"/>
          <w:szCs w:val="16"/>
          <w:lang w:val="es-PA"/>
        </w:rPr>
        <w:t>aleg</w:t>
      </w:r>
      <w:r w:rsidR="0009105C" w:rsidRPr="00551925">
        <w:rPr>
          <w:rFonts w:asciiTheme="majorHAnsi" w:hAnsiTheme="majorHAnsi"/>
          <w:sz w:val="16"/>
          <w:szCs w:val="16"/>
          <w:lang w:val="es-ES"/>
        </w:rPr>
        <w:t xml:space="preserve">ó que el escrito era </w:t>
      </w:r>
      <w:r w:rsidR="00B839C9" w:rsidRPr="00551925">
        <w:rPr>
          <w:rFonts w:asciiTheme="majorHAnsi" w:hAnsiTheme="majorHAnsi"/>
          <w:sz w:val="16"/>
          <w:szCs w:val="16"/>
          <w:lang w:val="es-PA"/>
        </w:rPr>
        <w:t>improceden</w:t>
      </w:r>
      <w:r w:rsidR="0009105C" w:rsidRPr="00551925">
        <w:rPr>
          <w:rFonts w:asciiTheme="majorHAnsi" w:hAnsiTheme="majorHAnsi"/>
          <w:sz w:val="16"/>
          <w:szCs w:val="16"/>
          <w:lang w:val="es-PA"/>
        </w:rPr>
        <w:t>te</w:t>
      </w:r>
      <w:r w:rsidR="00B839C9" w:rsidRPr="00551925">
        <w:rPr>
          <w:rFonts w:asciiTheme="majorHAnsi" w:hAnsiTheme="majorHAnsi"/>
          <w:sz w:val="16"/>
          <w:szCs w:val="16"/>
          <w:lang w:val="es-PA"/>
        </w:rPr>
        <w:t xml:space="preserve">. </w:t>
      </w:r>
      <w:r w:rsidR="0009105C" w:rsidRPr="00551925">
        <w:rPr>
          <w:rFonts w:asciiTheme="majorHAnsi" w:hAnsiTheme="majorHAnsi"/>
          <w:sz w:val="16"/>
          <w:szCs w:val="16"/>
          <w:lang w:val="es-PA"/>
        </w:rPr>
        <w:t>Si</w:t>
      </w:r>
      <w:r w:rsidR="004308B3" w:rsidRPr="00551925">
        <w:rPr>
          <w:rFonts w:asciiTheme="majorHAnsi" w:hAnsiTheme="majorHAnsi"/>
          <w:sz w:val="16"/>
          <w:szCs w:val="16"/>
          <w:lang w:val="es-PA"/>
        </w:rPr>
        <w:t xml:space="preserve"> bien </w:t>
      </w:r>
      <w:r w:rsidR="0009105C" w:rsidRPr="00551925">
        <w:rPr>
          <w:rFonts w:asciiTheme="majorHAnsi" w:hAnsiTheme="majorHAnsi"/>
          <w:sz w:val="16"/>
          <w:szCs w:val="16"/>
          <w:lang w:val="es-PA"/>
        </w:rPr>
        <w:t xml:space="preserve">la figura del </w:t>
      </w:r>
      <w:r w:rsidR="0009105C" w:rsidRPr="00551925">
        <w:rPr>
          <w:rFonts w:asciiTheme="majorHAnsi" w:hAnsiTheme="majorHAnsi"/>
          <w:i/>
          <w:sz w:val="16"/>
          <w:szCs w:val="16"/>
          <w:lang w:val="es-PA"/>
        </w:rPr>
        <w:t>amicus curiae</w:t>
      </w:r>
      <w:r w:rsidR="0009105C" w:rsidRPr="00551925">
        <w:rPr>
          <w:rFonts w:asciiTheme="majorHAnsi" w:hAnsiTheme="majorHAnsi"/>
          <w:sz w:val="16"/>
          <w:szCs w:val="16"/>
          <w:lang w:val="es-PA"/>
        </w:rPr>
        <w:t xml:space="preserve"> no se halla prevista en </w:t>
      </w:r>
      <w:r w:rsidR="004308B3" w:rsidRPr="00551925">
        <w:rPr>
          <w:rFonts w:asciiTheme="majorHAnsi" w:hAnsiTheme="majorHAnsi"/>
          <w:sz w:val="16"/>
          <w:szCs w:val="16"/>
          <w:lang w:val="es-PA"/>
        </w:rPr>
        <w:t>la Convención Americana ni el Reglamento de la C</w:t>
      </w:r>
      <w:r w:rsidR="0009105C" w:rsidRPr="00551925">
        <w:rPr>
          <w:rFonts w:asciiTheme="majorHAnsi" w:hAnsiTheme="majorHAnsi"/>
          <w:sz w:val="16"/>
          <w:szCs w:val="16"/>
          <w:lang w:val="es-PA"/>
        </w:rPr>
        <w:t xml:space="preserve">IDH, </w:t>
      </w:r>
      <w:r w:rsidR="004308B3" w:rsidRPr="00551925">
        <w:rPr>
          <w:rFonts w:asciiTheme="majorHAnsi" w:hAnsiTheme="majorHAnsi"/>
          <w:sz w:val="16"/>
          <w:szCs w:val="16"/>
          <w:lang w:val="es-PA"/>
        </w:rPr>
        <w:t xml:space="preserve">tampoco </w:t>
      </w:r>
      <w:r w:rsidR="0009105C" w:rsidRPr="00551925">
        <w:rPr>
          <w:rFonts w:asciiTheme="majorHAnsi" w:hAnsiTheme="majorHAnsi"/>
          <w:sz w:val="16"/>
          <w:szCs w:val="16"/>
          <w:lang w:val="es-PA"/>
        </w:rPr>
        <w:t xml:space="preserve">está </w:t>
      </w:r>
      <w:r w:rsidR="004308B3" w:rsidRPr="00551925">
        <w:rPr>
          <w:rFonts w:asciiTheme="majorHAnsi" w:hAnsiTheme="majorHAnsi"/>
          <w:sz w:val="16"/>
          <w:szCs w:val="16"/>
          <w:lang w:val="es-PA"/>
        </w:rPr>
        <w:t>proh</w:t>
      </w:r>
      <w:r w:rsidR="0009105C" w:rsidRPr="00551925">
        <w:rPr>
          <w:rFonts w:asciiTheme="majorHAnsi" w:hAnsiTheme="majorHAnsi"/>
          <w:sz w:val="16"/>
          <w:szCs w:val="16"/>
          <w:lang w:val="es-PA"/>
        </w:rPr>
        <w:t xml:space="preserve">ibida; el sistema interamericano se rige por </w:t>
      </w:r>
      <w:r w:rsidR="004308B3" w:rsidRPr="00551925">
        <w:rPr>
          <w:rFonts w:asciiTheme="majorHAnsi" w:hAnsiTheme="majorHAnsi"/>
          <w:sz w:val="16"/>
          <w:szCs w:val="16"/>
          <w:lang w:val="es-PA"/>
        </w:rPr>
        <w:t xml:space="preserve">el principio </w:t>
      </w:r>
      <w:r w:rsidR="004308B3" w:rsidRPr="00551925">
        <w:rPr>
          <w:rFonts w:asciiTheme="majorHAnsi" w:hAnsiTheme="majorHAnsi"/>
          <w:i/>
          <w:sz w:val="16"/>
          <w:szCs w:val="16"/>
          <w:lang w:val="es-PA"/>
        </w:rPr>
        <w:t xml:space="preserve">pro </w:t>
      </w:r>
      <w:r w:rsidR="0009105C" w:rsidRPr="00551925">
        <w:rPr>
          <w:rFonts w:asciiTheme="majorHAnsi" w:hAnsiTheme="majorHAnsi"/>
          <w:i/>
          <w:sz w:val="16"/>
          <w:szCs w:val="16"/>
          <w:lang w:val="es-PA"/>
        </w:rPr>
        <w:t xml:space="preserve">persona, </w:t>
      </w:r>
      <w:r w:rsidR="0009105C" w:rsidRPr="00551925">
        <w:rPr>
          <w:rFonts w:asciiTheme="majorHAnsi" w:hAnsiTheme="majorHAnsi"/>
          <w:iCs/>
          <w:sz w:val="16"/>
          <w:szCs w:val="16"/>
          <w:lang w:val="es-PA"/>
        </w:rPr>
        <w:t xml:space="preserve">y </w:t>
      </w:r>
      <w:r w:rsidR="004308B3" w:rsidRPr="00551925">
        <w:rPr>
          <w:rFonts w:asciiTheme="majorHAnsi" w:hAnsiTheme="majorHAnsi"/>
          <w:sz w:val="16"/>
          <w:szCs w:val="16"/>
          <w:lang w:val="es-PA"/>
        </w:rPr>
        <w:t xml:space="preserve">el impacto de las decisiones de </w:t>
      </w:r>
      <w:r w:rsidR="0009105C" w:rsidRPr="00551925">
        <w:rPr>
          <w:rFonts w:asciiTheme="majorHAnsi" w:hAnsiTheme="majorHAnsi"/>
          <w:sz w:val="16"/>
          <w:szCs w:val="16"/>
          <w:lang w:val="es-PA"/>
        </w:rPr>
        <w:t xml:space="preserve">sus </w:t>
      </w:r>
      <w:r w:rsidR="004308B3" w:rsidRPr="00551925">
        <w:rPr>
          <w:rFonts w:asciiTheme="majorHAnsi" w:hAnsiTheme="majorHAnsi"/>
          <w:sz w:val="16"/>
          <w:szCs w:val="16"/>
          <w:lang w:val="es-PA"/>
        </w:rPr>
        <w:t xml:space="preserve">órganos no se limita a las partes </w:t>
      </w:r>
      <w:r w:rsidR="0009105C" w:rsidRPr="00551925">
        <w:rPr>
          <w:rFonts w:asciiTheme="majorHAnsi" w:hAnsiTheme="majorHAnsi"/>
          <w:sz w:val="16"/>
          <w:szCs w:val="16"/>
          <w:lang w:val="es-PA"/>
        </w:rPr>
        <w:t xml:space="preserve">en los correspondientes </w:t>
      </w:r>
      <w:r w:rsidR="004308B3" w:rsidRPr="00551925">
        <w:rPr>
          <w:rFonts w:asciiTheme="majorHAnsi" w:hAnsiTheme="majorHAnsi"/>
          <w:sz w:val="16"/>
          <w:szCs w:val="16"/>
          <w:lang w:val="es-PA"/>
        </w:rPr>
        <w:t xml:space="preserve">procesos. Por </w:t>
      </w:r>
      <w:r w:rsidR="0009105C" w:rsidRPr="00551925">
        <w:rPr>
          <w:rFonts w:asciiTheme="majorHAnsi" w:hAnsiTheme="majorHAnsi"/>
          <w:sz w:val="16"/>
          <w:szCs w:val="16"/>
          <w:lang w:val="es-PA"/>
        </w:rPr>
        <w:t>lo tanto,</w:t>
      </w:r>
      <w:r w:rsidR="004308B3" w:rsidRPr="00551925">
        <w:rPr>
          <w:rFonts w:asciiTheme="majorHAnsi" w:hAnsiTheme="majorHAnsi"/>
          <w:sz w:val="16"/>
          <w:szCs w:val="16"/>
          <w:lang w:val="es-PA"/>
        </w:rPr>
        <w:t xml:space="preserve"> la presentación de escritos de </w:t>
      </w:r>
      <w:r w:rsidR="004308B3" w:rsidRPr="00551925">
        <w:rPr>
          <w:rFonts w:asciiTheme="majorHAnsi" w:hAnsiTheme="majorHAnsi"/>
          <w:i/>
          <w:sz w:val="16"/>
          <w:szCs w:val="16"/>
          <w:lang w:val="es-PA"/>
        </w:rPr>
        <w:t xml:space="preserve">amicus curiae </w:t>
      </w:r>
      <w:r w:rsidR="004308B3" w:rsidRPr="00551925">
        <w:rPr>
          <w:rFonts w:asciiTheme="majorHAnsi" w:hAnsiTheme="majorHAnsi"/>
          <w:sz w:val="16"/>
          <w:szCs w:val="16"/>
          <w:lang w:val="es-PA"/>
        </w:rPr>
        <w:t>en relación con peticiones en tr</w:t>
      </w:r>
      <w:r w:rsidR="00FB0646" w:rsidRPr="00551925">
        <w:rPr>
          <w:rFonts w:asciiTheme="majorHAnsi" w:hAnsiTheme="majorHAnsi"/>
          <w:sz w:val="16"/>
          <w:szCs w:val="16"/>
          <w:lang w:val="es-PA"/>
        </w:rPr>
        <w:t xml:space="preserve">ámite ante </w:t>
      </w:r>
      <w:r w:rsidR="0009105C" w:rsidRPr="00551925">
        <w:rPr>
          <w:rFonts w:asciiTheme="majorHAnsi" w:hAnsiTheme="majorHAnsi"/>
          <w:sz w:val="16"/>
          <w:szCs w:val="16"/>
          <w:lang w:val="es-PA"/>
        </w:rPr>
        <w:t xml:space="preserve">la CIDH </w:t>
      </w:r>
      <w:r w:rsidR="004308B3" w:rsidRPr="00551925">
        <w:rPr>
          <w:rFonts w:asciiTheme="majorHAnsi" w:hAnsiTheme="majorHAnsi"/>
          <w:sz w:val="16"/>
          <w:szCs w:val="16"/>
          <w:lang w:val="es-PA"/>
        </w:rPr>
        <w:t xml:space="preserve">no es </w:t>
      </w:r>
      <w:r w:rsidR="004308B3" w:rsidRPr="00551925">
        <w:rPr>
          <w:rFonts w:asciiTheme="majorHAnsi" w:hAnsiTheme="majorHAnsi"/>
          <w:i/>
          <w:sz w:val="16"/>
          <w:szCs w:val="16"/>
          <w:lang w:val="es-PA"/>
        </w:rPr>
        <w:t xml:space="preserve">per se </w:t>
      </w:r>
      <w:r w:rsidR="004308B3" w:rsidRPr="00551925">
        <w:rPr>
          <w:rFonts w:asciiTheme="majorHAnsi" w:hAnsiTheme="majorHAnsi"/>
          <w:sz w:val="16"/>
          <w:szCs w:val="16"/>
          <w:lang w:val="es-PA"/>
        </w:rPr>
        <w:t xml:space="preserve">improcedente. </w:t>
      </w:r>
      <w:r w:rsidR="0009105C" w:rsidRPr="00551925">
        <w:rPr>
          <w:rFonts w:asciiTheme="majorHAnsi" w:hAnsiTheme="majorHAnsi"/>
          <w:sz w:val="16"/>
          <w:szCs w:val="16"/>
          <w:lang w:val="es-PA"/>
        </w:rPr>
        <w:t xml:space="preserve">Por otra parte, la Comisión no encuentra en el referido escrito elementos que sustenten el alegato de que sería </w:t>
      </w:r>
      <w:r w:rsidR="004308B3" w:rsidRPr="00551925">
        <w:rPr>
          <w:rFonts w:asciiTheme="majorHAnsi" w:hAnsiTheme="majorHAnsi"/>
          <w:sz w:val="16"/>
          <w:szCs w:val="16"/>
          <w:lang w:val="es-PA"/>
        </w:rPr>
        <w:t xml:space="preserve">específicamente improcedente por </w:t>
      </w:r>
      <w:r w:rsidR="00FB0646" w:rsidRPr="00551925">
        <w:rPr>
          <w:rFonts w:asciiTheme="majorHAnsi" w:hAnsiTheme="majorHAnsi"/>
          <w:sz w:val="16"/>
          <w:szCs w:val="16"/>
          <w:lang w:val="es-PA"/>
        </w:rPr>
        <w:t xml:space="preserve">tergiversar la finalidad de </w:t>
      </w:r>
      <w:r w:rsidR="0009105C" w:rsidRPr="00551925">
        <w:rPr>
          <w:rFonts w:asciiTheme="majorHAnsi" w:hAnsiTheme="majorHAnsi"/>
          <w:sz w:val="16"/>
          <w:szCs w:val="16"/>
          <w:lang w:val="es-PA"/>
        </w:rPr>
        <w:t>est</w:t>
      </w:r>
      <w:r w:rsidR="00FB0646" w:rsidRPr="00551925">
        <w:rPr>
          <w:rFonts w:asciiTheme="majorHAnsi" w:hAnsiTheme="majorHAnsi"/>
          <w:sz w:val="16"/>
          <w:szCs w:val="16"/>
          <w:lang w:val="es-PA"/>
        </w:rPr>
        <w:t>a figura.</w:t>
      </w:r>
    </w:p>
  </w:footnote>
  <w:footnote w:id="7">
    <w:p w14:paraId="3151F8DA" w14:textId="6FC250A4" w:rsidR="001D15D1" w:rsidRPr="00551925" w:rsidRDefault="001D15D1" w:rsidP="00B14064">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w:t>
      </w:r>
      <w:r w:rsidRPr="00551925">
        <w:rPr>
          <w:rFonts w:asciiTheme="majorHAnsi" w:hAnsiTheme="majorHAnsi"/>
          <w:sz w:val="16"/>
          <w:szCs w:val="16"/>
          <w:lang w:val="es-UY"/>
        </w:rPr>
        <w:t>El artículo 2 del Mandato 13 estableció que la referida resolución de la AGD no sería “susceptible de acción de amparo constitucional u otra de carácter especial, y si de hecho se hubiera interpuesto, será inmediatamente archivada, sin que se pueda suspender o impedir el cumplimiento de la referida resolución” y que “los jueces o magistrados que avocaren conocimiento de cualquier clase de acción constitucional relativa a esta resolución y aquellas que se tomen para ejecutarla, implementarla o cumplirla a cabalidad, deberán inadmitirlas bajo pena de destitución y sin perjuicio de la responsabilidad penal a la que hubiera lugar”.</w:t>
      </w:r>
    </w:p>
  </w:footnote>
  <w:footnote w:id="8">
    <w:p w14:paraId="7FB8EFEE" w14:textId="3539FF3E" w:rsidR="001D15D1" w:rsidRPr="00551925" w:rsidRDefault="001D15D1" w:rsidP="00B14064">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w:t>
      </w:r>
      <w:r w:rsidRPr="00551925">
        <w:rPr>
          <w:rFonts w:asciiTheme="majorHAnsi" w:hAnsiTheme="majorHAnsi"/>
          <w:sz w:val="16"/>
          <w:szCs w:val="16"/>
          <w:lang w:val="es-UY"/>
        </w:rPr>
        <w:t>El referido artículo 29 establecía que si los administradores de una entidad financiera hubiesen incurrido en conductas irregulares estos garantizarían con su patrimonio personal los depósitos de la institución financiera, incautándose los bienes que fueran de estos según el público conocimiento y transfiriéndose dichos bienes a un fideicomiso en garantía mientras se probaba su real propiedad.</w:t>
      </w:r>
    </w:p>
  </w:footnote>
  <w:footnote w:id="9">
    <w:p w14:paraId="4B38D795" w14:textId="766A95A6" w:rsidR="004636F7" w:rsidRPr="00551925" w:rsidRDefault="004636F7" w:rsidP="00B14064">
      <w:pPr>
        <w:pStyle w:val="FootnoteText"/>
        <w:ind w:firstLine="720"/>
        <w:jc w:val="both"/>
        <w:rPr>
          <w:sz w:val="16"/>
          <w:szCs w:val="16"/>
          <w:lang w:val="es-ES"/>
        </w:rPr>
      </w:pPr>
      <w:r w:rsidRPr="00551925">
        <w:rPr>
          <w:rStyle w:val="FootnoteReference"/>
          <w:sz w:val="16"/>
          <w:szCs w:val="16"/>
        </w:rPr>
        <w:footnoteRef/>
      </w:r>
      <w:r w:rsidRPr="00551925">
        <w:rPr>
          <w:sz w:val="16"/>
          <w:szCs w:val="16"/>
          <w:lang w:val="es-ES"/>
        </w:rPr>
        <w:t xml:space="preserve"> </w:t>
      </w:r>
      <w:r w:rsidR="00551925" w:rsidRPr="00551925">
        <w:rPr>
          <w:sz w:val="16"/>
          <w:szCs w:val="16"/>
          <w:lang w:val="es-ES"/>
        </w:rPr>
        <w:t>E</w:t>
      </w:r>
      <w:r w:rsidRPr="00551925">
        <w:rPr>
          <w:rFonts w:ascii="Cambria" w:hAnsi="Cambria"/>
          <w:sz w:val="16"/>
          <w:szCs w:val="16"/>
          <w:lang w:val="es-UY"/>
        </w:rPr>
        <w:t>l Instructivo de Procedimientos para la Determinación del Origen Lícito y Real Propiedad de los bienes incautados por la AGD establecía en su artículo 2(a) que “la demostración del origen lícito y real propiedad de los bienes incautados corresponde al tercero presuntamente afectado por la medida de incautación en cada caso”</w:t>
      </w:r>
      <w:r w:rsidR="00551925" w:rsidRPr="00551925">
        <w:rPr>
          <w:rFonts w:ascii="Cambria" w:hAnsi="Cambria"/>
          <w:sz w:val="16"/>
          <w:szCs w:val="16"/>
          <w:lang w:val="es-UY"/>
        </w:rPr>
        <w:t>.</w:t>
      </w:r>
    </w:p>
  </w:footnote>
  <w:footnote w:id="10">
    <w:p w14:paraId="64CDF859" w14:textId="65E3E21C" w:rsidR="008F66B1" w:rsidRPr="001C677C" w:rsidRDefault="008F66B1" w:rsidP="00275567">
      <w:pPr>
        <w:pStyle w:val="FootnoteText"/>
        <w:ind w:firstLine="720"/>
        <w:jc w:val="both"/>
        <w:rPr>
          <w:rFonts w:asciiTheme="majorHAnsi" w:hAnsiTheme="majorHAnsi"/>
          <w:sz w:val="16"/>
          <w:szCs w:val="16"/>
          <w:lang w:val="es-ES"/>
        </w:rPr>
      </w:pPr>
      <w:r w:rsidRPr="001C677C">
        <w:rPr>
          <w:rStyle w:val="FootnoteReference"/>
          <w:rFonts w:asciiTheme="majorHAnsi" w:hAnsiTheme="majorHAnsi"/>
          <w:sz w:val="16"/>
          <w:szCs w:val="16"/>
          <w:lang w:val="es-ES"/>
        </w:rPr>
        <w:t>*</w:t>
      </w:r>
      <w:r w:rsidR="00275567" w:rsidRPr="001C677C">
        <w:rPr>
          <w:rFonts w:asciiTheme="majorHAnsi" w:hAnsiTheme="majorHAnsi"/>
          <w:color w:val="auto"/>
          <w:sz w:val="16"/>
          <w:szCs w:val="16"/>
          <w:lang w:val="es-ES"/>
        </w:rPr>
        <w:t>La Secretaría Ejecutiva de la CIDH subsana el error administrativo involuntario advertido en el presente informe en el sentido de suprimir la expresión “última”, quedando en los términos en que ahora se muestra.</w:t>
      </w:r>
      <w:r w:rsidRPr="001C677C">
        <w:rPr>
          <w:rFonts w:asciiTheme="majorHAnsi" w:hAnsiTheme="majorHAnsi"/>
          <w:sz w:val="16"/>
          <w:szCs w:val="16"/>
          <w:lang w:val="es-ES"/>
        </w:rPr>
        <w:t xml:space="preserve"> </w:t>
      </w:r>
    </w:p>
  </w:footnote>
  <w:footnote w:id="11">
    <w:p w14:paraId="2488486B" w14:textId="51FF0CC9" w:rsidR="00F9489F" w:rsidRPr="00AA2423" w:rsidRDefault="00F9489F" w:rsidP="00BB4C3D">
      <w:pPr>
        <w:pStyle w:val="FootnoteText"/>
        <w:ind w:firstLine="720"/>
        <w:jc w:val="both"/>
        <w:rPr>
          <w:lang w:val="es-ES"/>
        </w:rPr>
      </w:pPr>
      <w:r w:rsidRPr="001C677C">
        <w:rPr>
          <w:rStyle w:val="FootnoteReference"/>
          <w:rFonts w:asciiTheme="majorHAnsi" w:hAnsiTheme="majorHAnsi"/>
          <w:sz w:val="16"/>
          <w:szCs w:val="16"/>
          <w:lang w:val="es-ES"/>
        </w:rPr>
        <w:t>**</w:t>
      </w:r>
      <w:r w:rsidR="00AA2423" w:rsidRPr="001C677C">
        <w:rPr>
          <w:rFonts w:asciiTheme="majorHAnsi" w:hAnsiTheme="majorHAnsi"/>
          <w:color w:val="auto"/>
          <w:sz w:val="16"/>
          <w:szCs w:val="16"/>
          <w:lang w:val="es-ES"/>
        </w:rPr>
        <w:t>La Secretaría Ejecutiva de la CIDH subsana el error administrativo involuntario advertido en el presente informe</w:t>
      </w:r>
      <w:r w:rsidR="00844620" w:rsidRPr="001C677C">
        <w:rPr>
          <w:rFonts w:asciiTheme="majorHAnsi" w:hAnsiTheme="majorHAnsi"/>
          <w:color w:val="auto"/>
          <w:sz w:val="16"/>
          <w:szCs w:val="16"/>
          <w:lang w:val="es-ES"/>
        </w:rPr>
        <w:t xml:space="preserve"> en el sentido de eliminar la referencia literal (b) del artículo 46.2 de la Convención Americana</w:t>
      </w:r>
      <w:r w:rsidR="00391E83" w:rsidRPr="001C677C">
        <w:rPr>
          <w:rFonts w:asciiTheme="majorHAnsi" w:hAnsiTheme="majorHAnsi"/>
          <w:color w:val="auto"/>
          <w:sz w:val="16"/>
          <w:szCs w:val="16"/>
          <w:lang w:val="es-ES"/>
        </w:rPr>
        <w:t>, por los términos en que ahora consta en el mismo, de conformidad a lo oportunamente decidido por la Comisión.</w:t>
      </w:r>
    </w:p>
  </w:footnote>
  <w:footnote w:id="12">
    <w:p w14:paraId="29725228" w14:textId="33991D70" w:rsidR="006B65B6" w:rsidRPr="00551925" w:rsidRDefault="006B65B6" w:rsidP="00B14064">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AA2423">
        <w:rPr>
          <w:rFonts w:asciiTheme="majorHAnsi" w:hAnsiTheme="majorHAnsi"/>
          <w:sz w:val="16"/>
          <w:szCs w:val="16"/>
          <w:lang w:val="es-ES"/>
        </w:rPr>
        <w:t xml:space="preserve"> CIDH, Informe No. 49/20. </w:t>
      </w:r>
      <w:r w:rsidRPr="00551925">
        <w:rPr>
          <w:rFonts w:asciiTheme="majorHAnsi" w:hAnsiTheme="majorHAnsi"/>
          <w:sz w:val="16"/>
          <w:szCs w:val="16"/>
          <w:lang w:val="es-PA"/>
        </w:rPr>
        <w:t>Admisibilidad. Catalina Ayala Murrieta y Enrique Menoscal Vera. Ecuador. 24 de febrero de 2020.</w:t>
      </w:r>
    </w:p>
  </w:footnote>
  <w:footnote w:id="13">
    <w:p w14:paraId="4144B747" w14:textId="0B5AC943" w:rsidR="006B65B6" w:rsidRPr="00551925" w:rsidRDefault="006B65B6" w:rsidP="00B14064">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color w:val="auto"/>
          <w:sz w:val="16"/>
          <w:szCs w:val="16"/>
          <w:lang w:val="es-PA"/>
        </w:rPr>
        <w:t xml:space="preserve"> CIDH, Garantías para la independencia de las y los operadores de </w:t>
      </w:r>
      <w:r w:rsidR="00A6396B" w:rsidRPr="00551925">
        <w:rPr>
          <w:rFonts w:asciiTheme="majorHAnsi" w:hAnsiTheme="majorHAnsi"/>
          <w:color w:val="auto"/>
          <w:sz w:val="16"/>
          <w:szCs w:val="16"/>
          <w:lang w:val="es-PA"/>
        </w:rPr>
        <w:t>justicia, OEA</w:t>
      </w:r>
      <w:r w:rsidRPr="00551925">
        <w:rPr>
          <w:rFonts w:asciiTheme="majorHAnsi" w:hAnsiTheme="majorHAnsi"/>
          <w:color w:val="auto"/>
          <w:sz w:val="16"/>
          <w:szCs w:val="16"/>
          <w:lang w:val="es-PA"/>
        </w:rPr>
        <w:t>/Ser.L/V/II. Doc. 44/</w:t>
      </w:r>
      <w:r w:rsidR="00D2331C" w:rsidRPr="00551925">
        <w:rPr>
          <w:rFonts w:asciiTheme="majorHAnsi" w:hAnsiTheme="majorHAnsi"/>
          <w:color w:val="auto"/>
          <w:sz w:val="16"/>
          <w:szCs w:val="16"/>
          <w:lang w:val="es-PA"/>
        </w:rPr>
        <w:t xml:space="preserve">13 </w:t>
      </w:r>
      <w:r w:rsidR="00D2331C" w:rsidRPr="00551925">
        <w:rPr>
          <w:rFonts w:asciiTheme="majorHAnsi" w:hAnsiTheme="majorHAnsi"/>
          <w:sz w:val="16"/>
          <w:szCs w:val="16"/>
          <w:lang w:val="es-PA"/>
        </w:rPr>
        <w:t>párr.</w:t>
      </w:r>
      <w:r w:rsidRPr="00551925">
        <w:rPr>
          <w:rFonts w:asciiTheme="majorHAnsi" w:hAnsiTheme="majorHAnsi"/>
          <w:sz w:val="16"/>
          <w:szCs w:val="16"/>
          <w:lang w:val="es-PA"/>
        </w:rPr>
        <w:t xml:space="preserve"> 34</w:t>
      </w:r>
    </w:p>
  </w:footnote>
  <w:footnote w:id="14">
    <w:p w14:paraId="6B477799" w14:textId="1C38655F" w:rsidR="006B65B6" w:rsidRPr="00551925" w:rsidRDefault="006B65B6" w:rsidP="00B14064">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Corte I.D.H., Apitz Barbera y Otros (“Corte Primera de lo Contencioso Administrativo” vs. Venezuela. Sentencia de Excepción Preliminar, Fondo, Reparaciones y Costas. Sentencia de 5 de agosto de 2008, párr. 131.</w:t>
      </w:r>
    </w:p>
  </w:footnote>
  <w:footnote w:id="15">
    <w:p w14:paraId="6857209D" w14:textId="77777777" w:rsidR="006B65B6" w:rsidRPr="00551925" w:rsidRDefault="006B65B6" w:rsidP="00B14064">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CE13EC"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CE13EC"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02047C"/>
    <w:lvl w:ilvl="0" w:tplc="4CBC54F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D742CE0"/>
    <w:multiLevelType w:val="hybridMultilevel"/>
    <w:tmpl w:val="9F00643A"/>
    <w:lvl w:ilvl="0" w:tplc="CDC0E99C">
      <w:start w:val="19"/>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32F7F3D"/>
    <w:multiLevelType w:val="hybridMultilevel"/>
    <w:tmpl w:val="5ACE0EBE"/>
    <w:lvl w:ilvl="0" w:tplc="C4FC9A42">
      <w:start w:val="15"/>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EB5827"/>
    <w:multiLevelType w:val="hybridMultilevel"/>
    <w:tmpl w:val="AECC57F2"/>
    <w:lvl w:ilvl="0" w:tplc="0F1050CE">
      <w:start w:val="14"/>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B147E0"/>
    <w:multiLevelType w:val="hybridMultilevel"/>
    <w:tmpl w:val="8A0A0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98176805">
    <w:abstractNumId w:val="3"/>
  </w:num>
  <w:num w:numId="2" w16cid:durableId="993682566">
    <w:abstractNumId w:val="5"/>
  </w:num>
  <w:num w:numId="3" w16cid:durableId="31392918">
    <w:abstractNumId w:val="53"/>
  </w:num>
  <w:num w:numId="4" w16cid:durableId="1357805343">
    <w:abstractNumId w:val="20"/>
  </w:num>
  <w:num w:numId="5" w16cid:durableId="1815946465">
    <w:abstractNumId w:val="47"/>
  </w:num>
  <w:num w:numId="6" w16cid:durableId="554852822">
    <w:abstractNumId w:val="25"/>
  </w:num>
  <w:num w:numId="7" w16cid:durableId="377243688">
    <w:abstractNumId w:val="6"/>
  </w:num>
  <w:num w:numId="8" w16cid:durableId="383992421">
    <w:abstractNumId w:val="16"/>
  </w:num>
  <w:num w:numId="9" w16cid:durableId="779451958">
    <w:abstractNumId w:val="41"/>
  </w:num>
  <w:num w:numId="10" w16cid:durableId="528032699">
    <w:abstractNumId w:val="0"/>
  </w:num>
  <w:num w:numId="11" w16cid:durableId="1728720262">
    <w:abstractNumId w:val="34"/>
  </w:num>
  <w:num w:numId="12" w16cid:durableId="144207024">
    <w:abstractNumId w:val="35"/>
  </w:num>
  <w:num w:numId="13" w16cid:durableId="858658448">
    <w:abstractNumId w:val="43"/>
  </w:num>
  <w:num w:numId="14" w16cid:durableId="16858983">
    <w:abstractNumId w:val="1"/>
  </w:num>
  <w:num w:numId="15" w16cid:durableId="990325643">
    <w:abstractNumId w:val="2"/>
  </w:num>
  <w:num w:numId="16" w16cid:durableId="817038334">
    <w:abstractNumId w:val="7"/>
  </w:num>
  <w:num w:numId="17" w16cid:durableId="1466389530">
    <w:abstractNumId w:val="8"/>
  </w:num>
  <w:num w:numId="18" w16cid:durableId="580142196">
    <w:abstractNumId w:val="9"/>
  </w:num>
  <w:num w:numId="19" w16cid:durableId="568273230">
    <w:abstractNumId w:val="10"/>
  </w:num>
  <w:num w:numId="20" w16cid:durableId="1049525457">
    <w:abstractNumId w:val="11"/>
  </w:num>
  <w:num w:numId="21" w16cid:durableId="1796630223">
    <w:abstractNumId w:val="12"/>
  </w:num>
  <w:num w:numId="22" w16cid:durableId="229004861">
    <w:abstractNumId w:val="13"/>
  </w:num>
  <w:num w:numId="23" w16cid:durableId="1009791767">
    <w:abstractNumId w:val="14"/>
  </w:num>
  <w:num w:numId="24" w16cid:durableId="708335571">
    <w:abstractNumId w:val="15"/>
  </w:num>
  <w:num w:numId="25" w16cid:durableId="1913269576">
    <w:abstractNumId w:val="17"/>
  </w:num>
  <w:num w:numId="26" w16cid:durableId="741220245">
    <w:abstractNumId w:val="18"/>
  </w:num>
  <w:num w:numId="27" w16cid:durableId="2086610221">
    <w:abstractNumId w:val="21"/>
  </w:num>
  <w:num w:numId="28" w16cid:durableId="396712864">
    <w:abstractNumId w:val="22"/>
  </w:num>
  <w:num w:numId="29" w16cid:durableId="370810693">
    <w:abstractNumId w:val="23"/>
  </w:num>
  <w:num w:numId="30" w16cid:durableId="1433432347">
    <w:abstractNumId w:val="24"/>
  </w:num>
  <w:num w:numId="31" w16cid:durableId="1136751867">
    <w:abstractNumId w:val="26"/>
  </w:num>
  <w:num w:numId="32" w16cid:durableId="1368142918">
    <w:abstractNumId w:val="27"/>
  </w:num>
  <w:num w:numId="33" w16cid:durableId="1921403005">
    <w:abstractNumId w:val="28"/>
  </w:num>
  <w:num w:numId="34" w16cid:durableId="2025862033">
    <w:abstractNumId w:val="29"/>
  </w:num>
  <w:num w:numId="35" w16cid:durableId="154732134">
    <w:abstractNumId w:val="30"/>
  </w:num>
  <w:num w:numId="36" w16cid:durableId="134419414">
    <w:abstractNumId w:val="31"/>
  </w:num>
  <w:num w:numId="37" w16cid:durableId="719206386">
    <w:abstractNumId w:val="32"/>
  </w:num>
  <w:num w:numId="38" w16cid:durableId="1446920097">
    <w:abstractNumId w:val="33"/>
  </w:num>
  <w:num w:numId="39" w16cid:durableId="1620650578">
    <w:abstractNumId w:val="37"/>
  </w:num>
  <w:num w:numId="40" w16cid:durableId="1229420947">
    <w:abstractNumId w:val="38"/>
  </w:num>
  <w:num w:numId="41" w16cid:durableId="1600673160">
    <w:abstractNumId w:val="46"/>
  </w:num>
  <w:num w:numId="42" w16cid:durableId="1786608292">
    <w:abstractNumId w:val="48"/>
  </w:num>
  <w:num w:numId="43" w16cid:durableId="1636713590">
    <w:abstractNumId w:val="49"/>
  </w:num>
  <w:num w:numId="44" w16cid:durableId="1599678219">
    <w:abstractNumId w:val="51"/>
  </w:num>
  <w:num w:numId="45" w16cid:durableId="481120158">
    <w:abstractNumId w:val="52"/>
  </w:num>
  <w:num w:numId="46" w16cid:durableId="1593195311">
    <w:abstractNumId w:val="55"/>
  </w:num>
  <w:num w:numId="47" w16cid:durableId="219368024">
    <w:abstractNumId w:val="56"/>
  </w:num>
  <w:num w:numId="48" w16cid:durableId="2135323768">
    <w:abstractNumId w:val="57"/>
  </w:num>
  <w:num w:numId="49" w16cid:durableId="2041734716">
    <w:abstractNumId w:val="58"/>
  </w:num>
  <w:num w:numId="50" w16cid:durableId="1125662523">
    <w:abstractNumId w:val="59"/>
  </w:num>
  <w:num w:numId="51" w16cid:durableId="1356735209">
    <w:abstractNumId w:val="19"/>
  </w:num>
  <w:num w:numId="52" w16cid:durableId="1761178225">
    <w:abstractNumId w:val="39"/>
  </w:num>
  <w:num w:numId="53" w16cid:durableId="399911197">
    <w:abstractNumId w:val="50"/>
  </w:num>
  <w:num w:numId="54" w16cid:durableId="224338272">
    <w:abstractNumId w:val="44"/>
  </w:num>
  <w:num w:numId="55" w16cid:durableId="549607928">
    <w:abstractNumId w:val="4"/>
  </w:num>
  <w:num w:numId="56" w16cid:durableId="1107042791">
    <w:abstractNumId w:val="42"/>
  </w:num>
  <w:num w:numId="57" w16cid:durableId="2043479665">
    <w:abstractNumId w:val="54"/>
  </w:num>
  <w:num w:numId="58" w16cid:durableId="839586375">
    <w:abstractNumId w:val="45"/>
  </w:num>
  <w:num w:numId="59" w16cid:durableId="907880876">
    <w:abstractNumId w:val="40"/>
  </w:num>
  <w:num w:numId="60" w16cid:durableId="1421297119">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1469"/>
    <w:rsid w:val="00006E1F"/>
    <w:rsid w:val="000070D7"/>
    <w:rsid w:val="000112E0"/>
    <w:rsid w:val="00014313"/>
    <w:rsid w:val="0001788C"/>
    <w:rsid w:val="0002375F"/>
    <w:rsid w:val="00024488"/>
    <w:rsid w:val="000337EF"/>
    <w:rsid w:val="00040C3A"/>
    <w:rsid w:val="00040FAA"/>
    <w:rsid w:val="000419AD"/>
    <w:rsid w:val="000433C9"/>
    <w:rsid w:val="0004448B"/>
    <w:rsid w:val="00045A01"/>
    <w:rsid w:val="000477E3"/>
    <w:rsid w:val="000656CC"/>
    <w:rsid w:val="000673D0"/>
    <w:rsid w:val="00067890"/>
    <w:rsid w:val="000716C5"/>
    <w:rsid w:val="00075E23"/>
    <w:rsid w:val="0009105C"/>
    <w:rsid w:val="00091C07"/>
    <w:rsid w:val="0009344A"/>
    <w:rsid w:val="000A392E"/>
    <w:rsid w:val="000A4746"/>
    <w:rsid w:val="000A52FC"/>
    <w:rsid w:val="000A575F"/>
    <w:rsid w:val="000B6028"/>
    <w:rsid w:val="000D05CB"/>
    <w:rsid w:val="000D10DB"/>
    <w:rsid w:val="000D312B"/>
    <w:rsid w:val="000D3651"/>
    <w:rsid w:val="000E2985"/>
    <w:rsid w:val="000E5EB5"/>
    <w:rsid w:val="000F02EC"/>
    <w:rsid w:val="000F35ED"/>
    <w:rsid w:val="00101BF5"/>
    <w:rsid w:val="00107131"/>
    <w:rsid w:val="0010736F"/>
    <w:rsid w:val="00113F73"/>
    <w:rsid w:val="00121CC2"/>
    <w:rsid w:val="00131425"/>
    <w:rsid w:val="0013183A"/>
    <w:rsid w:val="00133EE5"/>
    <w:rsid w:val="00136EC3"/>
    <w:rsid w:val="00155030"/>
    <w:rsid w:val="00167A34"/>
    <w:rsid w:val="00174378"/>
    <w:rsid w:val="00175057"/>
    <w:rsid w:val="00177599"/>
    <w:rsid w:val="00182523"/>
    <w:rsid w:val="0018565E"/>
    <w:rsid w:val="001A22A2"/>
    <w:rsid w:val="001A234E"/>
    <w:rsid w:val="001A34A1"/>
    <w:rsid w:val="001A7870"/>
    <w:rsid w:val="001B1C49"/>
    <w:rsid w:val="001B3A00"/>
    <w:rsid w:val="001B7DDA"/>
    <w:rsid w:val="001C1B41"/>
    <w:rsid w:val="001C258E"/>
    <w:rsid w:val="001C5A65"/>
    <w:rsid w:val="001C677C"/>
    <w:rsid w:val="001D15D1"/>
    <w:rsid w:val="001D3954"/>
    <w:rsid w:val="001D65EF"/>
    <w:rsid w:val="001E2632"/>
    <w:rsid w:val="001E49E7"/>
    <w:rsid w:val="001F7201"/>
    <w:rsid w:val="00200484"/>
    <w:rsid w:val="00204563"/>
    <w:rsid w:val="0021279D"/>
    <w:rsid w:val="00215A57"/>
    <w:rsid w:val="00216A1D"/>
    <w:rsid w:val="0022072D"/>
    <w:rsid w:val="00223A29"/>
    <w:rsid w:val="002250A3"/>
    <w:rsid w:val="00235217"/>
    <w:rsid w:val="0024546E"/>
    <w:rsid w:val="00246D1F"/>
    <w:rsid w:val="00247403"/>
    <w:rsid w:val="00247542"/>
    <w:rsid w:val="00251109"/>
    <w:rsid w:val="0025568F"/>
    <w:rsid w:val="00263F6F"/>
    <w:rsid w:val="00264BEC"/>
    <w:rsid w:val="00266530"/>
    <w:rsid w:val="00266B61"/>
    <w:rsid w:val="0026712A"/>
    <w:rsid w:val="002704DB"/>
    <w:rsid w:val="00275567"/>
    <w:rsid w:val="002836F3"/>
    <w:rsid w:val="002A0AAE"/>
    <w:rsid w:val="002A5820"/>
    <w:rsid w:val="002A6627"/>
    <w:rsid w:val="002B0B90"/>
    <w:rsid w:val="002C398F"/>
    <w:rsid w:val="002C3B2B"/>
    <w:rsid w:val="002C6A45"/>
    <w:rsid w:val="002D1AB4"/>
    <w:rsid w:val="002D2B26"/>
    <w:rsid w:val="002D7EA2"/>
    <w:rsid w:val="002E187C"/>
    <w:rsid w:val="002E4781"/>
    <w:rsid w:val="002F3179"/>
    <w:rsid w:val="00302733"/>
    <w:rsid w:val="0030535D"/>
    <w:rsid w:val="00314078"/>
    <w:rsid w:val="0031535D"/>
    <w:rsid w:val="003239B8"/>
    <w:rsid w:val="00331341"/>
    <w:rsid w:val="0033169F"/>
    <w:rsid w:val="003332A8"/>
    <w:rsid w:val="00343724"/>
    <w:rsid w:val="00344977"/>
    <w:rsid w:val="00344DF5"/>
    <w:rsid w:val="00346C95"/>
    <w:rsid w:val="00356185"/>
    <w:rsid w:val="00360380"/>
    <w:rsid w:val="003617F2"/>
    <w:rsid w:val="00366053"/>
    <w:rsid w:val="0037519E"/>
    <w:rsid w:val="00375317"/>
    <w:rsid w:val="00377E2B"/>
    <w:rsid w:val="0038223E"/>
    <w:rsid w:val="0038524B"/>
    <w:rsid w:val="00385BCC"/>
    <w:rsid w:val="00386CF0"/>
    <w:rsid w:val="00390590"/>
    <w:rsid w:val="00391E83"/>
    <w:rsid w:val="00394073"/>
    <w:rsid w:val="003A3E87"/>
    <w:rsid w:val="003A7C6D"/>
    <w:rsid w:val="003B70FB"/>
    <w:rsid w:val="003C1537"/>
    <w:rsid w:val="003C367A"/>
    <w:rsid w:val="003C676B"/>
    <w:rsid w:val="003D3BC2"/>
    <w:rsid w:val="003E04BE"/>
    <w:rsid w:val="003E6CA1"/>
    <w:rsid w:val="003F7757"/>
    <w:rsid w:val="004065A8"/>
    <w:rsid w:val="00406675"/>
    <w:rsid w:val="0040728E"/>
    <w:rsid w:val="00411591"/>
    <w:rsid w:val="004165C2"/>
    <w:rsid w:val="004273CC"/>
    <w:rsid w:val="00427495"/>
    <w:rsid w:val="004308B3"/>
    <w:rsid w:val="004347D7"/>
    <w:rsid w:val="00441ECB"/>
    <w:rsid w:val="0044285A"/>
    <w:rsid w:val="00445193"/>
    <w:rsid w:val="004503BE"/>
    <w:rsid w:val="00450DFF"/>
    <w:rsid w:val="00454F0A"/>
    <w:rsid w:val="00462C1B"/>
    <w:rsid w:val="004636F7"/>
    <w:rsid w:val="00467B7E"/>
    <w:rsid w:val="00472AC8"/>
    <w:rsid w:val="00473BB4"/>
    <w:rsid w:val="00477305"/>
    <w:rsid w:val="00477592"/>
    <w:rsid w:val="0048136A"/>
    <w:rsid w:val="00482FD4"/>
    <w:rsid w:val="0048440B"/>
    <w:rsid w:val="00486F1C"/>
    <w:rsid w:val="0049419D"/>
    <w:rsid w:val="00494CCE"/>
    <w:rsid w:val="004A3072"/>
    <w:rsid w:val="004A4B9C"/>
    <w:rsid w:val="004A6A54"/>
    <w:rsid w:val="004B4480"/>
    <w:rsid w:val="004C0E8D"/>
    <w:rsid w:val="004C1EDB"/>
    <w:rsid w:val="004C20D2"/>
    <w:rsid w:val="004C2312"/>
    <w:rsid w:val="004C4B62"/>
    <w:rsid w:val="004C54C9"/>
    <w:rsid w:val="004C57D4"/>
    <w:rsid w:val="004D172D"/>
    <w:rsid w:val="004D4ABA"/>
    <w:rsid w:val="004D4B96"/>
    <w:rsid w:val="004D6025"/>
    <w:rsid w:val="004D70F9"/>
    <w:rsid w:val="004E2649"/>
    <w:rsid w:val="004E4887"/>
    <w:rsid w:val="004E75C7"/>
    <w:rsid w:val="004E7973"/>
    <w:rsid w:val="004F626F"/>
    <w:rsid w:val="00501399"/>
    <w:rsid w:val="0050633D"/>
    <w:rsid w:val="00507BC4"/>
    <w:rsid w:val="00511602"/>
    <w:rsid w:val="005128E4"/>
    <w:rsid w:val="005133DB"/>
    <w:rsid w:val="00513D7A"/>
    <w:rsid w:val="00514504"/>
    <w:rsid w:val="00520E16"/>
    <w:rsid w:val="005224F5"/>
    <w:rsid w:val="005246D3"/>
    <w:rsid w:val="005253C4"/>
    <w:rsid w:val="00525560"/>
    <w:rsid w:val="00530A97"/>
    <w:rsid w:val="00533A62"/>
    <w:rsid w:val="0053487B"/>
    <w:rsid w:val="00534B75"/>
    <w:rsid w:val="00544C49"/>
    <w:rsid w:val="005516A1"/>
    <w:rsid w:val="0055189F"/>
    <w:rsid w:val="00551925"/>
    <w:rsid w:val="005559EF"/>
    <w:rsid w:val="005609ED"/>
    <w:rsid w:val="00562BC8"/>
    <w:rsid w:val="00563557"/>
    <w:rsid w:val="0057402A"/>
    <w:rsid w:val="00575FF7"/>
    <w:rsid w:val="005771D0"/>
    <w:rsid w:val="00577730"/>
    <w:rsid w:val="00585A16"/>
    <w:rsid w:val="0059191A"/>
    <w:rsid w:val="005921FF"/>
    <w:rsid w:val="005A24ED"/>
    <w:rsid w:val="005A6D0E"/>
    <w:rsid w:val="005B52B0"/>
    <w:rsid w:val="005B6806"/>
    <w:rsid w:val="005B6A23"/>
    <w:rsid w:val="005C4225"/>
    <w:rsid w:val="005D13C5"/>
    <w:rsid w:val="005D6FF2"/>
    <w:rsid w:val="005E0A7F"/>
    <w:rsid w:val="005E3E07"/>
    <w:rsid w:val="005E5F78"/>
    <w:rsid w:val="005F0C91"/>
    <w:rsid w:val="005F0DAD"/>
    <w:rsid w:val="005F0F33"/>
    <w:rsid w:val="00600DAD"/>
    <w:rsid w:val="00600DEB"/>
    <w:rsid w:val="00601040"/>
    <w:rsid w:val="00601BDE"/>
    <w:rsid w:val="006050ED"/>
    <w:rsid w:val="006124CA"/>
    <w:rsid w:val="00612B84"/>
    <w:rsid w:val="00623843"/>
    <w:rsid w:val="00627C9F"/>
    <w:rsid w:val="006311E9"/>
    <w:rsid w:val="00632354"/>
    <w:rsid w:val="00635421"/>
    <w:rsid w:val="00642810"/>
    <w:rsid w:val="00643B20"/>
    <w:rsid w:val="006464BC"/>
    <w:rsid w:val="00646FF6"/>
    <w:rsid w:val="00652333"/>
    <w:rsid w:val="00654A18"/>
    <w:rsid w:val="0066024D"/>
    <w:rsid w:val="006716B0"/>
    <w:rsid w:val="00675B2C"/>
    <w:rsid w:val="0068009E"/>
    <w:rsid w:val="006856C8"/>
    <w:rsid w:val="00691772"/>
    <w:rsid w:val="00691776"/>
    <w:rsid w:val="00692219"/>
    <w:rsid w:val="00695339"/>
    <w:rsid w:val="0069536F"/>
    <w:rsid w:val="006A17D2"/>
    <w:rsid w:val="006A4DF1"/>
    <w:rsid w:val="006A53B4"/>
    <w:rsid w:val="006A57CF"/>
    <w:rsid w:val="006A73E6"/>
    <w:rsid w:val="006B21CC"/>
    <w:rsid w:val="006B2D5C"/>
    <w:rsid w:val="006B65B6"/>
    <w:rsid w:val="006B79EA"/>
    <w:rsid w:val="006C1F74"/>
    <w:rsid w:val="006C3525"/>
    <w:rsid w:val="006C4EB1"/>
    <w:rsid w:val="006D14F3"/>
    <w:rsid w:val="006D46DB"/>
    <w:rsid w:val="006E0166"/>
    <w:rsid w:val="006E2FFB"/>
    <w:rsid w:val="006E3931"/>
    <w:rsid w:val="006E7B34"/>
    <w:rsid w:val="0070697F"/>
    <w:rsid w:val="00706CC6"/>
    <w:rsid w:val="0072199C"/>
    <w:rsid w:val="00722C9F"/>
    <w:rsid w:val="007253B8"/>
    <w:rsid w:val="00733904"/>
    <w:rsid w:val="0073741F"/>
    <w:rsid w:val="00746311"/>
    <w:rsid w:val="00750840"/>
    <w:rsid w:val="00752599"/>
    <w:rsid w:val="00753A72"/>
    <w:rsid w:val="007621B6"/>
    <w:rsid w:val="0076643F"/>
    <w:rsid w:val="00777F63"/>
    <w:rsid w:val="0078377F"/>
    <w:rsid w:val="00785D5C"/>
    <w:rsid w:val="0079129C"/>
    <w:rsid w:val="00791F57"/>
    <w:rsid w:val="00793F54"/>
    <w:rsid w:val="00796283"/>
    <w:rsid w:val="007A5817"/>
    <w:rsid w:val="007B05C4"/>
    <w:rsid w:val="007B60E9"/>
    <w:rsid w:val="007B6CC3"/>
    <w:rsid w:val="007B71E2"/>
    <w:rsid w:val="007B767B"/>
    <w:rsid w:val="007B76D3"/>
    <w:rsid w:val="007C01D6"/>
    <w:rsid w:val="007C0760"/>
    <w:rsid w:val="007C3334"/>
    <w:rsid w:val="007C4159"/>
    <w:rsid w:val="007D2B98"/>
    <w:rsid w:val="007D328D"/>
    <w:rsid w:val="007D47AF"/>
    <w:rsid w:val="007E21BC"/>
    <w:rsid w:val="007E75F4"/>
    <w:rsid w:val="007E7C82"/>
    <w:rsid w:val="007F2AA1"/>
    <w:rsid w:val="007F3777"/>
    <w:rsid w:val="007F53E7"/>
    <w:rsid w:val="007F588D"/>
    <w:rsid w:val="007F58A4"/>
    <w:rsid w:val="00803423"/>
    <w:rsid w:val="00803A03"/>
    <w:rsid w:val="00803AE2"/>
    <w:rsid w:val="00803C12"/>
    <w:rsid w:val="00803DC6"/>
    <w:rsid w:val="00803F1C"/>
    <w:rsid w:val="0080600E"/>
    <w:rsid w:val="00806440"/>
    <w:rsid w:val="008076BB"/>
    <w:rsid w:val="00811520"/>
    <w:rsid w:val="00814688"/>
    <w:rsid w:val="00817612"/>
    <w:rsid w:val="00831D07"/>
    <w:rsid w:val="008338A4"/>
    <w:rsid w:val="00834D49"/>
    <w:rsid w:val="008368A1"/>
    <w:rsid w:val="00837C45"/>
    <w:rsid w:val="00840B5C"/>
    <w:rsid w:val="00841ACA"/>
    <w:rsid w:val="00844620"/>
    <w:rsid w:val="00844730"/>
    <w:rsid w:val="008457C2"/>
    <w:rsid w:val="00852B5D"/>
    <w:rsid w:val="00853712"/>
    <w:rsid w:val="00857A82"/>
    <w:rsid w:val="00866A35"/>
    <w:rsid w:val="00873836"/>
    <w:rsid w:val="00874720"/>
    <w:rsid w:val="008757DD"/>
    <w:rsid w:val="00883F95"/>
    <w:rsid w:val="00885737"/>
    <w:rsid w:val="00885993"/>
    <w:rsid w:val="0089003C"/>
    <w:rsid w:val="00890650"/>
    <w:rsid w:val="008958FD"/>
    <w:rsid w:val="00897E12"/>
    <w:rsid w:val="008A0AB8"/>
    <w:rsid w:val="008A0CEB"/>
    <w:rsid w:val="008A7E0F"/>
    <w:rsid w:val="008B12F5"/>
    <w:rsid w:val="008B4DC9"/>
    <w:rsid w:val="008C0512"/>
    <w:rsid w:val="008C105C"/>
    <w:rsid w:val="008C5E2D"/>
    <w:rsid w:val="008D114A"/>
    <w:rsid w:val="008D15B3"/>
    <w:rsid w:val="008D768D"/>
    <w:rsid w:val="008E0CA2"/>
    <w:rsid w:val="008E1315"/>
    <w:rsid w:val="008E3759"/>
    <w:rsid w:val="008E3BFE"/>
    <w:rsid w:val="008E4F1C"/>
    <w:rsid w:val="008E5363"/>
    <w:rsid w:val="008E580E"/>
    <w:rsid w:val="008F1912"/>
    <w:rsid w:val="008F66B1"/>
    <w:rsid w:val="0090270B"/>
    <w:rsid w:val="009036B7"/>
    <w:rsid w:val="00904013"/>
    <w:rsid w:val="009041DC"/>
    <w:rsid w:val="00904C8E"/>
    <w:rsid w:val="00917B5A"/>
    <w:rsid w:val="00917CBE"/>
    <w:rsid w:val="00920A58"/>
    <w:rsid w:val="00920A8C"/>
    <w:rsid w:val="00922E6C"/>
    <w:rsid w:val="009275AE"/>
    <w:rsid w:val="00934A2C"/>
    <w:rsid w:val="00936700"/>
    <w:rsid w:val="0094529B"/>
    <w:rsid w:val="009524FB"/>
    <w:rsid w:val="00954E4C"/>
    <w:rsid w:val="0096697B"/>
    <w:rsid w:val="0096706E"/>
    <w:rsid w:val="009725F4"/>
    <w:rsid w:val="00973FAC"/>
    <w:rsid w:val="00974491"/>
    <w:rsid w:val="00975C4E"/>
    <w:rsid w:val="00981FBA"/>
    <w:rsid w:val="009871D0"/>
    <w:rsid w:val="00990498"/>
    <w:rsid w:val="00995037"/>
    <w:rsid w:val="00997BC5"/>
    <w:rsid w:val="009A4F41"/>
    <w:rsid w:val="009A5FF0"/>
    <w:rsid w:val="009B381B"/>
    <w:rsid w:val="009C2EF0"/>
    <w:rsid w:val="009C527B"/>
    <w:rsid w:val="009C6CB7"/>
    <w:rsid w:val="009D1753"/>
    <w:rsid w:val="009D7611"/>
    <w:rsid w:val="009E0B61"/>
    <w:rsid w:val="009E41D6"/>
    <w:rsid w:val="009E4EC3"/>
    <w:rsid w:val="009E53DE"/>
    <w:rsid w:val="009F314C"/>
    <w:rsid w:val="00A11212"/>
    <w:rsid w:val="00A11E44"/>
    <w:rsid w:val="00A20002"/>
    <w:rsid w:val="00A26CE1"/>
    <w:rsid w:val="00A30100"/>
    <w:rsid w:val="00A322E4"/>
    <w:rsid w:val="00A328B3"/>
    <w:rsid w:val="00A3454F"/>
    <w:rsid w:val="00A37681"/>
    <w:rsid w:val="00A50FCF"/>
    <w:rsid w:val="00A528D1"/>
    <w:rsid w:val="00A553BD"/>
    <w:rsid w:val="00A60826"/>
    <w:rsid w:val="00A610CD"/>
    <w:rsid w:val="00A638CF"/>
    <w:rsid w:val="00A6396B"/>
    <w:rsid w:val="00A65011"/>
    <w:rsid w:val="00A72B91"/>
    <w:rsid w:val="00A758AA"/>
    <w:rsid w:val="00A77712"/>
    <w:rsid w:val="00A850E6"/>
    <w:rsid w:val="00A859D3"/>
    <w:rsid w:val="00A861BA"/>
    <w:rsid w:val="00A861CD"/>
    <w:rsid w:val="00A865AF"/>
    <w:rsid w:val="00A93C5B"/>
    <w:rsid w:val="00AA09A2"/>
    <w:rsid w:val="00AA2423"/>
    <w:rsid w:val="00AA3DE6"/>
    <w:rsid w:val="00AA7996"/>
    <w:rsid w:val="00AB2DCE"/>
    <w:rsid w:val="00AC19CB"/>
    <w:rsid w:val="00AC244D"/>
    <w:rsid w:val="00AC3E23"/>
    <w:rsid w:val="00AC6A11"/>
    <w:rsid w:val="00AC75CA"/>
    <w:rsid w:val="00AD489F"/>
    <w:rsid w:val="00AE0953"/>
    <w:rsid w:val="00AE5488"/>
    <w:rsid w:val="00AE6F91"/>
    <w:rsid w:val="00AF5571"/>
    <w:rsid w:val="00AF5D74"/>
    <w:rsid w:val="00B00B8E"/>
    <w:rsid w:val="00B07341"/>
    <w:rsid w:val="00B14064"/>
    <w:rsid w:val="00B21E2B"/>
    <w:rsid w:val="00B261A9"/>
    <w:rsid w:val="00B30539"/>
    <w:rsid w:val="00B314DB"/>
    <w:rsid w:val="00B318C1"/>
    <w:rsid w:val="00B33154"/>
    <w:rsid w:val="00B361F2"/>
    <w:rsid w:val="00B3718B"/>
    <w:rsid w:val="00B3745F"/>
    <w:rsid w:val="00B45E23"/>
    <w:rsid w:val="00B46185"/>
    <w:rsid w:val="00B4632A"/>
    <w:rsid w:val="00B530F1"/>
    <w:rsid w:val="00B56C46"/>
    <w:rsid w:val="00B623DB"/>
    <w:rsid w:val="00B634F5"/>
    <w:rsid w:val="00B650D3"/>
    <w:rsid w:val="00B70592"/>
    <w:rsid w:val="00B72A9A"/>
    <w:rsid w:val="00B767C7"/>
    <w:rsid w:val="00B81E01"/>
    <w:rsid w:val="00B839C9"/>
    <w:rsid w:val="00B8446C"/>
    <w:rsid w:val="00B86627"/>
    <w:rsid w:val="00BA0CBA"/>
    <w:rsid w:val="00BA276C"/>
    <w:rsid w:val="00BA5484"/>
    <w:rsid w:val="00BB265C"/>
    <w:rsid w:val="00BB306F"/>
    <w:rsid w:val="00BB368B"/>
    <w:rsid w:val="00BB4C3D"/>
    <w:rsid w:val="00BB79D4"/>
    <w:rsid w:val="00BD4B89"/>
    <w:rsid w:val="00BD5922"/>
    <w:rsid w:val="00BD5FD2"/>
    <w:rsid w:val="00BD7153"/>
    <w:rsid w:val="00BE646F"/>
    <w:rsid w:val="00BF02CB"/>
    <w:rsid w:val="00BF1898"/>
    <w:rsid w:val="00BF6FD8"/>
    <w:rsid w:val="00C03680"/>
    <w:rsid w:val="00C04307"/>
    <w:rsid w:val="00C054DF"/>
    <w:rsid w:val="00C14BD4"/>
    <w:rsid w:val="00C21762"/>
    <w:rsid w:val="00C21FEF"/>
    <w:rsid w:val="00C23BA4"/>
    <w:rsid w:val="00C24543"/>
    <w:rsid w:val="00C25457"/>
    <w:rsid w:val="00C256A2"/>
    <w:rsid w:val="00C25ADB"/>
    <w:rsid w:val="00C2623F"/>
    <w:rsid w:val="00C454F6"/>
    <w:rsid w:val="00C51515"/>
    <w:rsid w:val="00C53E21"/>
    <w:rsid w:val="00C549EF"/>
    <w:rsid w:val="00C5660B"/>
    <w:rsid w:val="00C60A04"/>
    <w:rsid w:val="00C6116C"/>
    <w:rsid w:val="00C6127B"/>
    <w:rsid w:val="00C6279E"/>
    <w:rsid w:val="00C66B72"/>
    <w:rsid w:val="00C6760C"/>
    <w:rsid w:val="00C70198"/>
    <w:rsid w:val="00C701A2"/>
    <w:rsid w:val="00C72A01"/>
    <w:rsid w:val="00C8540B"/>
    <w:rsid w:val="00C85632"/>
    <w:rsid w:val="00C87853"/>
    <w:rsid w:val="00C87AC4"/>
    <w:rsid w:val="00C94173"/>
    <w:rsid w:val="00C9491D"/>
    <w:rsid w:val="00C9567A"/>
    <w:rsid w:val="00CA27DA"/>
    <w:rsid w:val="00CA499E"/>
    <w:rsid w:val="00CB212D"/>
    <w:rsid w:val="00CB2660"/>
    <w:rsid w:val="00CC5E90"/>
    <w:rsid w:val="00CC765D"/>
    <w:rsid w:val="00CD046C"/>
    <w:rsid w:val="00CD1F68"/>
    <w:rsid w:val="00CD29AE"/>
    <w:rsid w:val="00CE076C"/>
    <w:rsid w:val="00CE1193"/>
    <w:rsid w:val="00CE13EC"/>
    <w:rsid w:val="00CE5199"/>
    <w:rsid w:val="00CE66D5"/>
    <w:rsid w:val="00CF36DF"/>
    <w:rsid w:val="00CF38A4"/>
    <w:rsid w:val="00CF41C4"/>
    <w:rsid w:val="00CF637A"/>
    <w:rsid w:val="00D0231E"/>
    <w:rsid w:val="00D045CE"/>
    <w:rsid w:val="00D04E19"/>
    <w:rsid w:val="00D059DE"/>
    <w:rsid w:val="00D05ABD"/>
    <w:rsid w:val="00D06F66"/>
    <w:rsid w:val="00D074A4"/>
    <w:rsid w:val="00D13FCE"/>
    <w:rsid w:val="00D1541A"/>
    <w:rsid w:val="00D2102D"/>
    <w:rsid w:val="00D2331C"/>
    <w:rsid w:val="00D23DC7"/>
    <w:rsid w:val="00D24A82"/>
    <w:rsid w:val="00D306D1"/>
    <w:rsid w:val="00D30800"/>
    <w:rsid w:val="00D3278A"/>
    <w:rsid w:val="00D32DF5"/>
    <w:rsid w:val="00D34786"/>
    <w:rsid w:val="00D37BFC"/>
    <w:rsid w:val="00D47A8E"/>
    <w:rsid w:val="00D51B07"/>
    <w:rsid w:val="00D52D14"/>
    <w:rsid w:val="00D535A0"/>
    <w:rsid w:val="00D56869"/>
    <w:rsid w:val="00D61228"/>
    <w:rsid w:val="00D712D3"/>
    <w:rsid w:val="00D71422"/>
    <w:rsid w:val="00D72DC6"/>
    <w:rsid w:val="00D7558D"/>
    <w:rsid w:val="00D81D92"/>
    <w:rsid w:val="00D848AC"/>
    <w:rsid w:val="00D876F9"/>
    <w:rsid w:val="00D93608"/>
    <w:rsid w:val="00DA13A2"/>
    <w:rsid w:val="00DA236D"/>
    <w:rsid w:val="00DA23D4"/>
    <w:rsid w:val="00DA7B5F"/>
    <w:rsid w:val="00DB480A"/>
    <w:rsid w:val="00DC11E7"/>
    <w:rsid w:val="00DC24E3"/>
    <w:rsid w:val="00DC26CF"/>
    <w:rsid w:val="00DC518D"/>
    <w:rsid w:val="00DC6ACD"/>
    <w:rsid w:val="00DC7023"/>
    <w:rsid w:val="00DC769A"/>
    <w:rsid w:val="00DD264E"/>
    <w:rsid w:val="00DD3D86"/>
    <w:rsid w:val="00DD4AD2"/>
    <w:rsid w:val="00DD7A80"/>
    <w:rsid w:val="00DE0342"/>
    <w:rsid w:val="00DF1EC4"/>
    <w:rsid w:val="00DF6B2D"/>
    <w:rsid w:val="00E0340B"/>
    <w:rsid w:val="00E04A90"/>
    <w:rsid w:val="00E0551F"/>
    <w:rsid w:val="00E07854"/>
    <w:rsid w:val="00E219C7"/>
    <w:rsid w:val="00E327E6"/>
    <w:rsid w:val="00E4118C"/>
    <w:rsid w:val="00E43157"/>
    <w:rsid w:val="00E461CE"/>
    <w:rsid w:val="00E54BC7"/>
    <w:rsid w:val="00E54E3C"/>
    <w:rsid w:val="00E56F4F"/>
    <w:rsid w:val="00E573E4"/>
    <w:rsid w:val="00E614FE"/>
    <w:rsid w:val="00E634E0"/>
    <w:rsid w:val="00E638D2"/>
    <w:rsid w:val="00E67981"/>
    <w:rsid w:val="00E71C69"/>
    <w:rsid w:val="00E720CA"/>
    <w:rsid w:val="00E73C6C"/>
    <w:rsid w:val="00E84EB5"/>
    <w:rsid w:val="00E85662"/>
    <w:rsid w:val="00E8789F"/>
    <w:rsid w:val="00E93097"/>
    <w:rsid w:val="00E9469A"/>
    <w:rsid w:val="00E97B71"/>
    <w:rsid w:val="00EA1A2E"/>
    <w:rsid w:val="00EA3D34"/>
    <w:rsid w:val="00EA3FD2"/>
    <w:rsid w:val="00EB2FE4"/>
    <w:rsid w:val="00EB39D6"/>
    <w:rsid w:val="00EB454D"/>
    <w:rsid w:val="00EB48E4"/>
    <w:rsid w:val="00EB60C6"/>
    <w:rsid w:val="00ED2FE9"/>
    <w:rsid w:val="00ED5291"/>
    <w:rsid w:val="00ED549D"/>
    <w:rsid w:val="00ED76BE"/>
    <w:rsid w:val="00EE00E9"/>
    <w:rsid w:val="00EE0C64"/>
    <w:rsid w:val="00EE247F"/>
    <w:rsid w:val="00EE57EB"/>
    <w:rsid w:val="00EF04D5"/>
    <w:rsid w:val="00EF1AAA"/>
    <w:rsid w:val="00EF1E3A"/>
    <w:rsid w:val="00EF4225"/>
    <w:rsid w:val="00EF4A26"/>
    <w:rsid w:val="00EF619B"/>
    <w:rsid w:val="00F00B55"/>
    <w:rsid w:val="00F02AD1"/>
    <w:rsid w:val="00F115A5"/>
    <w:rsid w:val="00F253CC"/>
    <w:rsid w:val="00F308F1"/>
    <w:rsid w:val="00F3260F"/>
    <w:rsid w:val="00F37106"/>
    <w:rsid w:val="00F43D1D"/>
    <w:rsid w:val="00F44E25"/>
    <w:rsid w:val="00F519CF"/>
    <w:rsid w:val="00F56BA5"/>
    <w:rsid w:val="00F57827"/>
    <w:rsid w:val="00F60E22"/>
    <w:rsid w:val="00F65FC7"/>
    <w:rsid w:val="00F6662B"/>
    <w:rsid w:val="00F81395"/>
    <w:rsid w:val="00F81BB8"/>
    <w:rsid w:val="00F85156"/>
    <w:rsid w:val="00F87019"/>
    <w:rsid w:val="00F90C64"/>
    <w:rsid w:val="00F917D1"/>
    <w:rsid w:val="00F9489F"/>
    <w:rsid w:val="00F94965"/>
    <w:rsid w:val="00F9653B"/>
    <w:rsid w:val="00FA0C29"/>
    <w:rsid w:val="00FB0646"/>
    <w:rsid w:val="00FB62CF"/>
    <w:rsid w:val="00FC0324"/>
    <w:rsid w:val="00FD2B53"/>
    <w:rsid w:val="00FD3C3B"/>
    <w:rsid w:val="00FD4A52"/>
    <w:rsid w:val="00FD5DA9"/>
    <w:rsid w:val="00FD6C7B"/>
    <w:rsid w:val="00FE07DD"/>
    <w:rsid w:val="00FE1F28"/>
    <w:rsid w:val="00FE462E"/>
    <w:rsid w:val="00FE6B45"/>
    <w:rsid w:val="00FF55F3"/>
    <w:rsid w:val="00FF5851"/>
    <w:rsid w:val="00FF5FF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154">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276099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05EF"/>
    <w:rsid w:val="0010279C"/>
    <w:rsid w:val="00200821"/>
    <w:rsid w:val="0025245B"/>
    <w:rsid w:val="002C52A7"/>
    <w:rsid w:val="00394049"/>
    <w:rsid w:val="004B5BBB"/>
    <w:rsid w:val="004F2DF8"/>
    <w:rsid w:val="00555DD5"/>
    <w:rsid w:val="005D6DC1"/>
    <w:rsid w:val="00666399"/>
    <w:rsid w:val="006A4DF1"/>
    <w:rsid w:val="006F24A1"/>
    <w:rsid w:val="0073403A"/>
    <w:rsid w:val="0078450F"/>
    <w:rsid w:val="007B051A"/>
    <w:rsid w:val="0094691C"/>
    <w:rsid w:val="009A261B"/>
    <w:rsid w:val="00A34E73"/>
    <w:rsid w:val="00AA2E17"/>
    <w:rsid w:val="00AC15A4"/>
    <w:rsid w:val="00AC567F"/>
    <w:rsid w:val="00B0336C"/>
    <w:rsid w:val="00B17E31"/>
    <w:rsid w:val="00C35B5F"/>
    <w:rsid w:val="00C72468"/>
    <w:rsid w:val="00D241E9"/>
    <w:rsid w:val="00D7750D"/>
    <w:rsid w:val="00F00D2F"/>
    <w:rsid w:val="00F128DF"/>
    <w:rsid w:val="00F7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9221-2982-490A-B0E4-03126EC1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4369</Words>
  <Characters>24908</Characters>
  <Application>Microsoft Office Word</Application>
  <DocSecurity>0</DocSecurity>
  <Lines>207</Lines>
  <Paragraphs>58</Paragraphs>
  <ScaleCrop>false</ScaleCrop>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2024-05-17T18:28:00Z</dcterms:created>
  <dcterms:modified xsi:type="dcterms:W3CDTF">2024-05-17T18:28:00Z</dcterms:modified>
</cp:coreProperties>
</file>