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D70FC" w:rsidRDefault="00D306D1" w:rsidP="004E486E">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745D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561EE1" w:rsidRDefault="00561E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561EE1" w:rsidRDefault="00561E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D70FC" w:rsidRDefault="00040C3A" w:rsidP="004E486E">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4E486E">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4E486E">
      <w:pPr>
        <w:tabs>
          <w:tab w:val="center" w:pos="5400"/>
        </w:tabs>
        <w:suppressAutoHyphens/>
        <w:rPr>
          <w:rFonts w:asciiTheme="majorHAnsi" w:hAnsiTheme="majorHAnsi"/>
          <w:sz w:val="22"/>
          <w:szCs w:val="22"/>
          <w:lang w:val="es-ES"/>
        </w:rPr>
      </w:pPr>
    </w:p>
    <w:p w14:paraId="12A36B24" w14:textId="77777777" w:rsidR="005128E4" w:rsidRPr="00ED70FC" w:rsidRDefault="005128E4" w:rsidP="004E486E">
      <w:pPr>
        <w:tabs>
          <w:tab w:val="center" w:pos="5400"/>
        </w:tabs>
        <w:suppressAutoHyphens/>
        <w:rPr>
          <w:rFonts w:asciiTheme="majorHAnsi" w:hAnsiTheme="majorHAnsi"/>
          <w:sz w:val="22"/>
          <w:szCs w:val="22"/>
          <w:lang w:val="es-ES"/>
        </w:rPr>
      </w:pPr>
    </w:p>
    <w:p w14:paraId="2252093D" w14:textId="77777777" w:rsidR="005128E4" w:rsidRPr="00ED70FC" w:rsidRDefault="005128E4" w:rsidP="004E486E">
      <w:pPr>
        <w:tabs>
          <w:tab w:val="center" w:pos="5400"/>
        </w:tabs>
        <w:suppressAutoHyphens/>
        <w:rPr>
          <w:rFonts w:asciiTheme="majorHAnsi" w:hAnsiTheme="majorHAnsi"/>
          <w:sz w:val="22"/>
          <w:szCs w:val="22"/>
          <w:lang w:val="es-ES"/>
        </w:rPr>
      </w:pPr>
    </w:p>
    <w:p w14:paraId="403935BD"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4E486E">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4E486E">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4E486E">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4E486E">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00098D9" w:rsidR="00561EE1" w:rsidRPr="004E2649" w:rsidRDefault="00561E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80295">
                              <w:rPr>
                                <w:rFonts w:asciiTheme="majorHAnsi" w:hAnsiTheme="majorHAnsi" w:cs="Arial"/>
                                <w:b/>
                                <w:bCs/>
                                <w:color w:val="0D0D0D" w:themeColor="text1" w:themeTint="F2"/>
                                <w:sz w:val="36"/>
                                <w:szCs w:val="22"/>
                                <w:lang w:val="es-ES_tradnl"/>
                              </w:rPr>
                              <w:t>216</w:t>
                            </w:r>
                            <w:r>
                              <w:rPr>
                                <w:rFonts w:asciiTheme="majorHAnsi" w:hAnsiTheme="majorHAnsi" w:cs="Arial"/>
                                <w:b/>
                                <w:bCs/>
                                <w:color w:val="0D0D0D" w:themeColor="text1" w:themeTint="F2"/>
                                <w:sz w:val="36"/>
                                <w:szCs w:val="22"/>
                                <w:lang w:val="es-ES_tradnl"/>
                              </w:rPr>
                              <w:t>/2</w:t>
                            </w:r>
                            <w:r w:rsidR="001D6436">
                              <w:rPr>
                                <w:rFonts w:asciiTheme="majorHAnsi" w:hAnsiTheme="majorHAnsi" w:cs="Arial"/>
                                <w:b/>
                                <w:bCs/>
                                <w:color w:val="0D0D0D" w:themeColor="text1" w:themeTint="F2"/>
                                <w:sz w:val="36"/>
                                <w:szCs w:val="22"/>
                                <w:lang w:val="es-ES_tradnl"/>
                              </w:rPr>
                              <w:t>2</w:t>
                            </w:r>
                          </w:p>
                          <w:p w14:paraId="09C54AB3" w14:textId="639E5BA9" w:rsidR="00561EE1" w:rsidRDefault="00561E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713AE79B" w:rsidR="00561EE1" w:rsidRPr="0010736F" w:rsidRDefault="00561E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561EE1" w:rsidRPr="0010736F" w:rsidRDefault="00561EE1"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B17CDC8" w:rsidR="00561EE1" w:rsidRPr="0010736F" w:rsidRDefault="00561EE1" w:rsidP="00997BC5">
                            <w:pPr>
                              <w:spacing w:line="276" w:lineRule="auto"/>
                              <w:rPr>
                                <w:rFonts w:asciiTheme="majorHAnsi" w:hAnsiTheme="majorHAnsi" w:cs="Arial"/>
                                <w:color w:val="0D0D0D" w:themeColor="text1" w:themeTint="F2"/>
                                <w:szCs w:val="22"/>
                                <w:lang w:val="es-ES_tradnl"/>
                              </w:rPr>
                            </w:pPr>
                            <w:bookmarkStart w:id="1" w:name="_Hlk109116438"/>
                            <w:r>
                              <w:rPr>
                                <w:rFonts w:asciiTheme="majorHAnsi" w:hAnsiTheme="majorHAnsi" w:cs="Arial"/>
                                <w:color w:val="0D0D0D" w:themeColor="text1" w:themeTint="F2"/>
                                <w:szCs w:val="22"/>
                                <w:lang w:val="es-ES_tradnl"/>
                              </w:rPr>
                              <w:t>MARIO ALCIDES LOPERA HERRERA Y FAMILIA</w:t>
                            </w:r>
                          </w:p>
                          <w:bookmarkEnd w:id="0"/>
                          <w:bookmarkEnd w:id="1"/>
                          <w:p w14:paraId="35068D0D" w14:textId="6DEA24DF" w:rsidR="00561EE1" w:rsidRPr="0010736F" w:rsidRDefault="00561E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61EE1" w:rsidRPr="00AE5488" w:rsidRDefault="00561EE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00098D9" w:rsidR="00561EE1" w:rsidRPr="004E2649" w:rsidRDefault="00561E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80295">
                        <w:rPr>
                          <w:rFonts w:asciiTheme="majorHAnsi" w:hAnsiTheme="majorHAnsi" w:cs="Arial"/>
                          <w:b/>
                          <w:bCs/>
                          <w:color w:val="0D0D0D" w:themeColor="text1" w:themeTint="F2"/>
                          <w:sz w:val="36"/>
                          <w:szCs w:val="22"/>
                          <w:lang w:val="es-ES_tradnl"/>
                        </w:rPr>
                        <w:t>216</w:t>
                      </w:r>
                      <w:r>
                        <w:rPr>
                          <w:rFonts w:asciiTheme="majorHAnsi" w:hAnsiTheme="majorHAnsi" w:cs="Arial"/>
                          <w:b/>
                          <w:bCs/>
                          <w:color w:val="0D0D0D" w:themeColor="text1" w:themeTint="F2"/>
                          <w:sz w:val="36"/>
                          <w:szCs w:val="22"/>
                          <w:lang w:val="es-ES_tradnl"/>
                        </w:rPr>
                        <w:t>/2</w:t>
                      </w:r>
                      <w:r w:rsidR="001D6436">
                        <w:rPr>
                          <w:rFonts w:asciiTheme="majorHAnsi" w:hAnsiTheme="majorHAnsi" w:cs="Arial"/>
                          <w:b/>
                          <w:bCs/>
                          <w:color w:val="0D0D0D" w:themeColor="text1" w:themeTint="F2"/>
                          <w:sz w:val="36"/>
                          <w:szCs w:val="22"/>
                          <w:lang w:val="es-ES_tradnl"/>
                        </w:rPr>
                        <w:t>2</w:t>
                      </w:r>
                    </w:p>
                    <w:p w14:paraId="09C54AB3" w14:textId="639E5BA9" w:rsidR="00561EE1" w:rsidRDefault="00561E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713AE79B" w:rsidR="00561EE1" w:rsidRPr="0010736F" w:rsidRDefault="00561E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561EE1" w:rsidRPr="0010736F" w:rsidRDefault="00561EE1"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B17CDC8" w:rsidR="00561EE1" w:rsidRPr="0010736F" w:rsidRDefault="00561EE1" w:rsidP="00997BC5">
                      <w:pPr>
                        <w:spacing w:line="276" w:lineRule="auto"/>
                        <w:rPr>
                          <w:rFonts w:asciiTheme="majorHAnsi" w:hAnsiTheme="majorHAnsi" w:cs="Arial"/>
                          <w:color w:val="0D0D0D" w:themeColor="text1" w:themeTint="F2"/>
                          <w:szCs w:val="22"/>
                          <w:lang w:val="es-ES_tradnl"/>
                        </w:rPr>
                      </w:pPr>
                      <w:bookmarkStart w:id="3" w:name="_Hlk109116438"/>
                      <w:r>
                        <w:rPr>
                          <w:rFonts w:asciiTheme="majorHAnsi" w:hAnsiTheme="majorHAnsi" w:cs="Arial"/>
                          <w:color w:val="0D0D0D" w:themeColor="text1" w:themeTint="F2"/>
                          <w:szCs w:val="22"/>
                          <w:lang w:val="es-ES_tradnl"/>
                        </w:rPr>
                        <w:t>MARIO ALCIDES LOPERA HERRERA Y FAMILIA</w:t>
                      </w:r>
                    </w:p>
                    <w:bookmarkEnd w:id="2"/>
                    <w:bookmarkEnd w:id="3"/>
                    <w:p w14:paraId="35068D0D" w14:textId="6DEA24DF" w:rsidR="00561EE1" w:rsidRPr="0010736F" w:rsidRDefault="00561E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61EE1" w:rsidRPr="00AE5488" w:rsidRDefault="00561EE1"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9091E3" w:rsidR="00561EE1" w:rsidRPr="00935F06" w:rsidRDefault="00561E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5E005A" w:rsidR="00561EE1" w:rsidRPr="00935F06" w:rsidRDefault="00561E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C0E43">
                              <w:rPr>
                                <w:rFonts w:asciiTheme="minorHAnsi" w:hAnsiTheme="minorHAnsi"/>
                                <w:color w:val="FFFFFF" w:themeColor="background1"/>
                                <w:sz w:val="22"/>
                                <w:lang w:val="pt-BR"/>
                              </w:rPr>
                              <w:t>219</w:t>
                            </w:r>
                          </w:p>
                          <w:p w14:paraId="69373ED2" w14:textId="4EBFF716" w:rsidR="00561EE1" w:rsidRPr="00437ED8" w:rsidRDefault="007B79E8" w:rsidP="007A5817">
                            <w:pPr>
                              <w:spacing w:line="276" w:lineRule="auto"/>
                              <w:jc w:val="right"/>
                              <w:rPr>
                                <w:rFonts w:asciiTheme="minorHAnsi" w:hAnsiTheme="minorHAnsi"/>
                                <w:color w:val="FFFFFF" w:themeColor="background1"/>
                                <w:sz w:val="22"/>
                                <w:lang w:val="pt-BR"/>
                              </w:rPr>
                            </w:pPr>
                            <w:r w:rsidRPr="00437ED8">
                              <w:rPr>
                                <w:rFonts w:asciiTheme="minorHAnsi" w:hAnsiTheme="minorHAnsi"/>
                                <w:color w:val="FFFFFF" w:themeColor="background1"/>
                                <w:sz w:val="22"/>
                                <w:lang w:val="pt-BR"/>
                              </w:rPr>
                              <w:t>15 agosto</w:t>
                            </w:r>
                            <w:r w:rsidR="00561EE1" w:rsidRPr="00437ED8">
                              <w:rPr>
                                <w:rFonts w:asciiTheme="minorHAnsi" w:hAnsiTheme="minorHAnsi"/>
                                <w:color w:val="FFFFFF" w:themeColor="background1"/>
                                <w:sz w:val="22"/>
                                <w:lang w:val="pt-BR"/>
                              </w:rPr>
                              <w:t xml:space="preserve"> 202</w:t>
                            </w:r>
                            <w:r w:rsidR="006065B7" w:rsidRPr="00437ED8">
                              <w:rPr>
                                <w:rFonts w:asciiTheme="minorHAnsi" w:hAnsiTheme="minorHAnsi"/>
                                <w:color w:val="FFFFFF" w:themeColor="background1"/>
                                <w:sz w:val="22"/>
                                <w:lang w:val="pt-BR"/>
                              </w:rPr>
                              <w:t>2</w:t>
                            </w:r>
                          </w:p>
                          <w:p w14:paraId="0771DB5B" w14:textId="77777777" w:rsidR="00561EE1" w:rsidRPr="00B16B79" w:rsidRDefault="00561EE1"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49091E3" w:rsidR="00561EE1" w:rsidRPr="00935F06" w:rsidRDefault="00561E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5E005A" w:rsidR="00561EE1" w:rsidRPr="00935F06" w:rsidRDefault="00561E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C0E43">
                        <w:rPr>
                          <w:rFonts w:asciiTheme="minorHAnsi" w:hAnsiTheme="minorHAnsi"/>
                          <w:color w:val="FFFFFF" w:themeColor="background1"/>
                          <w:sz w:val="22"/>
                          <w:lang w:val="pt-BR"/>
                        </w:rPr>
                        <w:t>219</w:t>
                      </w:r>
                    </w:p>
                    <w:p w14:paraId="69373ED2" w14:textId="4EBFF716" w:rsidR="00561EE1" w:rsidRPr="00437ED8" w:rsidRDefault="007B79E8" w:rsidP="007A5817">
                      <w:pPr>
                        <w:spacing w:line="276" w:lineRule="auto"/>
                        <w:jc w:val="right"/>
                        <w:rPr>
                          <w:rFonts w:asciiTheme="minorHAnsi" w:hAnsiTheme="minorHAnsi"/>
                          <w:color w:val="FFFFFF" w:themeColor="background1"/>
                          <w:sz w:val="22"/>
                          <w:lang w:val="pt-BR"/>
                        </w:rPr>
                      </w:pPr>
                      <w:r w:rsidRPr="00437ED8">
                        <w:rPr>
                          <w:rFonts w:asciiTheme="minorHAnsi" w:hAnsiTheme="minorHAnsi"/>
                          <w:color w:val="FFFFFF" w:themeColor="background1"/>
                          <w:sz w:val="22"/>
                          <w:lang w:val="pt-BR"/>
                        </w:rPr>
                        <w:t>15 agosto</w:t>
                      </w:r>
                      <w:r w:rsidR="00561EE1" w:rsidRPr="00437ED8">
                        <w:rPr>
                          <w:rFonts w:asciiTheme="minorHAnsi" w:hAnsiTheme="minorHAnsi"/>
                          <w:color w:val="FFFFFF" w:themeColor="background1"/>
                          <w:sz w:val="22"/>
                          <w:lang w:val="pt-BR"/>
                        </w:rPr>
                        <w:t xml:space="preserve"> 202</w:t>
                      </w:r>
                      <w:r w:rsidR="006065B7" w:rsidRPr="00437ED8">
                        <w:rPr>
                          <w:rFonts w:asciiTheme="minorHAnsi" w:hAnsiTheme="minorHAnsi"/>
                          <w:color w:val="FFFFFF" w:themeColor="background1"/>
                          <w:sz w:val="22"/>
                          <w:lang w:val="pt-BR"/>
                        </w:rPr>
                        <w:t>2</w:t>
                      </w:r>
                    </w:p>
                    <w:p w14:paraId="0771DB5B" w14:textId="77777777" w:rsidR="00561EE1" w:rsidRPr="00B16B79" w:rsidRDefault="00561EE1"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txbxContent>
                </v:textbox>
              </v:shape>
            </w:pict>
          </mc:Fallback>
        </mc:AlternateContent>
      </w:r>
    </w:p>
    <w:p w14:paraId="155B0536"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4E486E">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4E486E">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4E486E">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4E486E">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4E486E">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4E486E">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4E486E">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CAF3758" w:rsidR="00561EE1" w:rsidRPr="00890650" w:rsidRDefault="00561E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03A5">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C150F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065B7">
                              <w:rPr>
                                <w:rFonts w:asciiTheme="majorHAnsi" w:hAnsiTheme="majorHAnsi"/>
                                <w:color w:val="0D0D0D" w:themeColor="text1" w:themeTint="F2"/>
                                <w:sz w:val="18"/>
                                <w:szCs w:val="22"/>
                                <w:lang w:val="es-ES"/>
                              </w:rPr>
                              <w:t>2</w:t>
                            </w:r>
                            <w:r w:rsidR="00C150F5">
                              <w:rPr>
                                <w:rFonts w:asciiTheme="majorHAnsi" w:hAnsiTheme="majorHAnsi"/>
                                <w:color w:val="0D0D0D" w:themeColor="text1" w:themeTint="F2"/>
                                <w:sz w:val="18"/>
                                <w:szCs w:val="22"/>
                                <w:lang w:val="es-ES"/>
                              </w:rPr>
                              <w:t>.</w:t>
                            </w:r>
                          </w:p>
                          <w:p w14:paraId="4BDF3581" w14:textId="77777777" w:rsidR="00561EE1" w:rsidRPr="007A5817" w:rsidRDefault="00561E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61EE1" w:rsidRPr="00167A34" w:rsidRDefault="00561EE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CAF3758" w:rsidR="00561EE1" w:rsidRPr="00890650" w:rsidRDefault="00561E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03A5">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C150F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6065B7">
                        <w:rPr>
                          <w:rFonts w:asciiTheme="majorHAnsi" w:hAnsiTheme="majorHAnsi"/>
                          <w:color w:val="0D0D0D" w:themeColor="text1" w:themeTint="F2"/>
                          <w:sz w:val="18"/>
                          <w:szCs w:val="22"/>
                          <w:lang w:val="es-ES"/>
                        </w:rPr>
                        <w:t>2</w:t>
                      </w:r>
                      <w:r w:rsidR="00C150F5">
                        <w:rPr>
                          <w:rFonts w:asciiTheme="majorHAnsi" w:hAnsiTheme="majorHAnsi"/>
                          <w:color w:val="0D0D0D" w:themeColor="text1" w:themeTint="F2"/>
                          <w:sz w:val="18"/>
                          <w:szCs w:val="22"/>
                          <w:lang w:val="es-ES"/>
                        </w:rPr>
                        <w:t>.</w:t>
                      </w:r>
                    </w:p>
                    <w:p w14:paraId="4BDF3581" w14:textId="77777777" w:rsidR="00561EE1" w:rsidRPr="007A5817" w:rsidRDefault="00561E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61EE1" w:rsidRPr="00167A34" w:rsidRDefault="00561EE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4E486E">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2D4D058" w:rsidR="00561EE1" w:rsidRPr="007B05C4" w:rsidRDefault="00561E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E01886">
                              <w:rPr>
                                <w:rFonts w:asciiTheme="majorHAnsi" w:hAnsiTheme="majorHAnsi"/>
                                <w:b/>
                                <w:color w:val="595959" w:themeColor="text1" w:themeTint="A6"/>
                                <w:sz w:val="18"/>
                                <w:szCs w:val="18"/>
                                <w:lang w:val="pt-BR"/>
                              </w:rPr>
                              <w:t>como:</w:t>
                            </w:r>
                            <w:r w:rsidRPr="00E01886">
                              <w:rPr>
                                <w:rFonts w:asciiTheme="majorHAnsi" w:hAnsiTheme="majorHAnsi"/>
                                <w:color w:val="595959" w:themeColor="text1" w:themeTint="A6"/>
                                <w:sz w:val="18"/>
                                <w:szCs w:val="18"/>
                                <w:lang w:val="pt-BR"/>
                              </w:rPr>
                              <w:t xml:space="preserve"> CIDH, Informe No. </w:t>
                            </w:r>
                            <w:r w:rsidR="00C150F5" w:rsidRPr="00C150F5">
                              <w:rPr>
                                <w:rFonts w:asciiTheme="majorHAnsi" w:hAnsiTheme="majorHAnsi"/>
                                <w:color w:val="595959" w:themeColor="text1" w:themeTint="A6"/>
                                <w:sz w:val="18"/>
                                <w:szCs w:val="18"/>
                                <w:lang w:val="pt-BR"/>
                              </w:rPr>
                              <w:t>216</w:t>
                            </w:r>
                            <w:r w:rsidRPr="00C150F5">
                              <w:rPr>
                                <w:rFonts w:asciiTheme="majorHAnsi" w:hAnsiTheme="majorHAnsi"/>
                                <w:color w:val="595959" w:themeColor="text1" w:themeTint="A6"/>
                                <w:sz w:val="18"/>
                                <w:szCs w:val="18"/>
                                <w:lang w:val="pt-BR"/>
                              </w:rPr>
                              <w:t>/</w:t>
                            </w:r>
                            <w:r w:rsidR="00C150F5" w:rsidRPr="00C150F5">
                              <w:rPr>
                                <w:rFonts w:asciiTheme="majorHAnsi" w:hAnsiTheme="majorHAnsi"/>
                                <w:color w:val="595959" w:themeColor="text1" w:themeTint="A6"/>
                                <w:sz w:val="18"/>
                                <w:szCs w:val="18"/>
                                <w:lang w:val="pt-BR"/>
                              </w:rPr>
                              <w:t>22</w:t>
                            </w:r>
                            <w:r w:rsidRPr="00C150F5">
                              <w:rPr>
                                <w:rFonts w:asciiTheme="majorHAnsi" w:hAnsiTheme="majorHAnsi"/>
                                <w:color w:val="595959" w:themeColor="text1" w:themeTint="A6"/>
                                <w:sz w:val="18"/>
                                <w:szCs w:val="18"/>
                                <w:lang w:val="pt-BR"/>
                              </w:rPr>
                              <w:t>.</w:t>
                            </w:r>
                            <w:r w:rsidRPr="00C150F5">
                              <w:rPr>
                                <w:color w:val="595959" w:themeColor="text1" w:themeTint="A6"/>
                                <w:lang w:val="pt-BR"/>
                              </w:rPr>
                              <w:t xml:space="preserve"> </w:t>
                            </w:r>
                            <w:r w:rsidRPr="00E01886">
                              <w:rPr>
                                <w:rFonts w:asciiTheme="majorHAnsi" w:hAnsiTheme="majorHAnsi"/>
                                <w:color w:val="595959" w:themeColor="text1" w:themeTint="A6"/>
                                <w:sz w:val="18"/>
                                <w:szCs w:val="18"/>
                                <w:lang w:val="es-ES_tradnl"/>
                              </w:rPr>
                              <w:t xml:space="preserve">Petición </w:t>
                            </w:r>
                            <w:r w:rsidR="006065B7" w:rsidRPr="00E01886">
                              <w:rPr>
                                <w:rFonts w:asciiTheme="majorHAnsi" w:hAnsiTheme="majorHAnsi"/>
                                <w:color w:val="595959" w:themeColor="text1" w:themeTint="A6"/>
                                <w:sz w:val="18"/>
                                <w:szCs w:val="18"/>
                                <w:lang w:val="es-ES_tradnl"/>
                              </w:rPr>
                              <w:t>1119</w:t>
                            </w:r>
                            <w:r w:rsidRPr="00E01886">
                              <w:rPr>
                                <w:rFonts w:asciiTheme="majorHAnsi" w:hAnsiTheme="majorHAnsi"/>
                                <w:color w:val="595959" w:themeColor="text1" w:themeTint="A6"/>
                                <w:sz w:val="18"/>
                                <w:szCs w:val="18"/>
                                <w:lang w:val="es-ES_tradnl"/>
                              </w:rPr>
                              <w:t>-0</w:t>
                            </w:r>
                            <w:r w:rsidR="006065B7" w:rsidRPr="00E01886">
                              <w:rPr>
                                <w:rFonts w:asciiTheme="majorHAnsi" w:hAnsiTheme="majorHAnsi"/>
                                <w:color w:val="595959" w:themeColor="text1" w:themeTint="A6"/>
                                <w:sz w:val="18"/>
                                <w:szCs w:val="18"/>
                                <w:lang w:val="es-ES_tradnl"/>
                              </w:rPr>
                              <w:t>9</w:t>
                            </w:r>
                            <w:r w:rsidRPr="00E01886">
                              <w:rPr>
                                <w:rFonts w:asciiTheme="majorHAnsi" w:hAnsiTheme="majorHAnsi"/>
                                <w:color w:val="595959" w:themeColor="text1" w:themeTint="A6"/>
                                <w:sz w:val="18"/>
                                <w:szCs w:val="18"/>
                                <w:lang w:val="es-ES_tradnl"/>
                              </w:rPr>
                              <w:t xml:space="preserve">. Admisibilidad. </w:t>
                            </w:r>
                            <w:r w:rsidRPr="00E01886">
                              <w:rPr>
                                <w:rFonts w:ascii="Cambria" w:hAnsi="Cambria"/>
                                <w:bCs/>
                                <w:color w:val="595959" w:themeColor="text1" w:themeTint="A6"/>
                                <w:sz w:val="19"/>
                                <w:szCs w:val="19"/>
                                <w:lang w:val="es-ES"/>
                              </w:rPr>
                              <w:t>Mario Alcides Lopera Herrera</w:t>
                            </w:r>
                            <w:r w:rsidR="00E01886" w:rsidRPr="00E01886">
                              <w:rPr>
                                <w:rFonts w:ascii="Cambria" w:hAnsi="Cambria"/>
                                <w:bCs/>
                                <w:color w:val="595959" w:themeColor="text1" w:themeTint="A6"/>
                                <w:sz w:val="19"/>
                                <w:szCs w:val="19"/>
                                <w:lang w:val="es-ES"/>
                              </w:rPr>
                              <w:t xml:space="preserve"> y familia</w:t>
                            </w:r>
                            <w:r w:rsidRPr="00A82C5D">
                              <w:rPr>
                                <w:rFonts w:asciiTheme="majorHAnsi" w:hAnsiTheme="majorHAnsi"/>
                                <w:color w:val="595959" w:themeColor="text1" w:themeTint="A6"/>
                                <w:sz w:val="18"/>
                                <w:szCs w:val="18"/>
                                <w:lang w:val="es-ES_tradnl"/>
                              </w:rPr>
                              <w:t>. C</w:t>
                            </w:r>
                            <w:r>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077BD0">
                              <w:rPr>
                                <w:rFonts w:asciiTheme="majorHAnsi" w:hAnsiTheme="majorHAnsi"/>
                                <w:color w:val="595959" w:themeColor="text1" w:themeTint="A6"/>
                                <w:sz w:val="18"/>
                                <w:szCs w:val="18"/>
                                <w:lang w:val="es-ES"/>
                              </w:rPr>
                              <w:t>15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2D4D058" w:rsidR="00561EE1" w:rsidRPr="007B05C4" w:rsidRDefault="00561E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E01886">
                        <w:rPr>
                          <w:rFonts w:asciiTheme="majorHAnsi" w:hAnsiTheme="majorHAnsi"/>
                          <w:b/>
                          <w:color w:val="595959" w:themeColor="text1" w:themeTint="A6"/>
                          <w:sz w:val="18"/>
                          <w:szCs w:val="18"/>
                          <w:lang w:val="pt-BR"/>
                        </w:rPr>
                        <w:t>como:</w:t>
                      </w:r>
                      <w:r w:rsidRPr="00E01886">
                        <w:rPr>
                          <w:rFonts w:asciiTheme="majorHAnsi" w:hAnsiTheme="majorHAnsi"/>
                          <w:color w:val="595959" w:themeColor="text1" w:themeTint="A6"/>
                          <w:sz w:val="18"/>
                          <w:szCs w:val="18"/>
                          <w:lang w:val="pt-BR"/>
                        </w:rPr>
                        <w:t xml:space="preserve"> CIDH, Informe No. </w:t>
                      </w:r>
                      <w:r w:rsidR="00C150F5" w:rsidRPr="00C150F5">
                        <w:rPr>
                          <w:rFonts w:asciiTheme="majorHAnsi" w:hAnsiTheme="majorHAnsi"/>
                          <w:color w:val="595959" w:themeColor="text1" w:themeTint="A6"/>
                          <w:sz w:val="18"/>
                          <w:szCs w:val="18"/>
                          <w:lang w:val="pt-BR"/>
                        </w:rPr>
                        <w:t>216</w:t>
                      </w:r>
                      <w:r w:rsidRPr="00C150F5">
                        <w:rPr>
                          <w:rFonts w:asciiTheme="majorHAnsi" w:hAnsiTheme="majorHAnsi"/>
                          <w:color w:val="595959" w:themeColor="text1" w:themeTint="A6"/>
                          <w:sz w:val="18"/>
                          <w:szCs w:val="18"/>
                          <w:lang w:val="pt-BR"/>
                        </w:rPr>
                        <w:t>/</w:t>
                      </w:r>
                      <w:r w:rsidR="00C150F5" w:rsidRPr="00C150F5">
                        <w:rPr>
                          <w:rFonts w:asciiTheme="majorHAnsi" w:hAnsiTheme="majorHAnsi"/>
                          <w:color w:val="595959" w:themeColor="text1" w:themeTint="A6"/>
                          <w:sz w:val="18"/>
                          <w:szCs w:val="18"/>
                          <w:lang w:val="pt-BR"/>
                        </w:rPr>
                        <w:t>22</w:t>
                      </w:r>
                      <w:r w:rsidRPr="00C150F5">
                        <w:rPr>
                          <w:rFonts w:asciiTheme="majorHAnsi" w:hAnsiTheme="majorHAnsi"/>
                          <w:color w:val="595959" w:themeColor="text1" w:themeTint="A6"/>
                          <w:sz w:val="18"/>
                          <w:szCs w:val="18"/>
                          <w:lang w:val="pt-BR"/>
                        </w:rPr>
                        <w:t>.</w:t>
                      </w:r>
                      <w:r w:rsidRPr="00C150F5">
                        <w:rPr>
                          <w:color w:val="595959" w:themeColor="text1" w:themeTint="A6"/>
                          <w:lang w:val="pt-BR"/>
                        </w:rPr>
                        <w:t xml:space="preserve"> </w:t>
                      </w:r>
                      <w:r w:rsidRPr="00E01886">
                        <w:rPr>
                          <w:rFonts w:asciiTheme="majorHAnsi" w:hAnsiTheme="majorHAnsi"/>
                          <w:color w:val="595959" w:themeColor="text1" w:themeTint="A6"/>
                          <w:sz w:val="18"/>
                          <w:szCs w:val="18"/>
                          <w:lang w:val="es-ES_tradnl"/>
                        </w:rPr>
                        <w:t xml:space="preserve">Petición </w:t>
                      </w:r>
                      <w:r w:rsidR="006065B7" w:rsidRPr="00E01886">
                        <w:rPr>
                          <w:rFonts w:asciiTheme="majorHAnsi" w:hAnsiTheme="majorHAnsi"/>
                          <w:color w:val="595959" w:themeColor="text1" w:themeTint="A6"/>
                          <w:sz w:val="18"/>
                          <w:szCs w:val="18"/>
                          <w:lang w:val="es-ES_tradnl"/>
                        </w:rPr>
                        <w:t>1119</w:t>
                      </w:r>
                      <w:r w:rsidRPr="00E01886">
                        <w:rPr>
                          <w:rFonts w:asciiTheme="majorHAnsi" w:hAnsiTheme="majorHAnsi"/>
                          <w:color w:val="595959" w:themeColor="text1" w:themeTint="A6"/>
                          <w:sz w:val="18"/>
                          <w:szCs w:val="18"/>
                          <w:lang w:val="es-ES_tradnl"/>
                        </w:rPr>
                        <w:t>-0</w:t>
                      </w:r>
                      <w:r w:rsidR="006065B7" w:rsidRPr="00E01886">
                        <w:rPr>
                          <w:rFonts w:asciiTheme="majorHAnsi" w:hAnsiTheme="majorHAnsi"/>
                          <w:color w:val="595959" w:themeColor="text1" w:themeTint="A6"/>
                          <w:sz w:val="18"/>
                          <w:szCs w:val="18"/>
                          <w:lang w:val="es-ES_tradnl"/>
                        </w:rPr>
                        <w:t>9</w:t>
                      </w:r>
                      <w:r w:rsidRPr="00E01886">
                        <w:rPr>
                          <w:rFonts w:asciiTheme="majorHAnsi" w:hAnsiTheme="majorHAnsi"/>
                          <w:color w:val="595959" w:themeColor="text1" w:themeTint="A6"/>
                          <w:sz w:val="18"/>
                          <w:szCs w:val="18"/>
                          <w:lang w:val="es-ES_tradnl"/>
                        </w:rPr>
                        <w:t xml:space="preserve">. Admisibilidad. </w:t>
                      </w:r>
                      <w:r w:rsidRPr="00E01886">
                        <w:rPr>
                          <w:rFonts w:ascii="Cambria" w:hAnsi="Cambria"/>
                          <w:bCs/>
                          <w:color w:val="595959" w:themeColor="text1" w:themeTint="A6"/>
                          <w:sz w:val="19"/>
                          <w:szCs w:val="19"/>
                          <w:lang w:val="es-ES"/>
                        </w:rPr>
                        <w:t>Mario Alcides Lopera Herrera</w:t>
                      </w:r>
                      <w:r w:rsidR="00E01886" w:rsidRPr="00E01886">
                        <w:rPr>
                          <w:rFonts w:ascii="Cambria" w:hAnsi="Cambria"/>
                          <w:bCs/>
                          <w:color w:val="595959" w:themeColor="text1" w:themeTint="A6"/>
                          <w:sz w:val="19"/>
                          <w:szCs w:val="19"/>
                          <w:lang w:val="es-ES"/>
                        </w:rPr>
                        <w:t xml:space="preserve"> y familia</w:t>
                      </w:r>
                      <w:r w:rsidRPr="00A82C5D">
                        <w:rPr>
                          <w:rFonts w:asciiTheme="majorHAnsi" w:hAnsiTheme="majorHAnsi"/>
                          <w:color w:val="595959" w:themeColor="text1" w:themeTint="A6"/>
                          <w:sz w:val="18"/>
                          <w:szCs w:val="18"/>
                          <w:lang w:val="es-ES_tradnl"/>
                        </w:rPr>
                        <w:t>. C</w:t>
                      </w:r>
                      <w:r>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077BD0">
                        <w:rPr>
                          <w:rFonts w:asciiTheme="majorHAnsi" w:hAnsiTheme="majorHAnsi"/>
                          <w:color w:val="595959" w:themeColor="text1" w:themeTint="A6"/>
                          <w:sz w:val="18"/>
                          <w:szCs w:val="18"/>
                          <w:lang w:val="es-ES"/>
                        </w:rPr>
                        <w:t>15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4E486E">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4E486E">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3A3A6CE" w:rsidR="00561EE1" w:rsidRPr="00D72DC6" w:rsidRDefault="004804D1" w:rsidP="00F02AD1">
                            <w:pPr>
                              <w:rPr>
                                <w:color w:val="FFFFFF" w:themeColor="background1"/>
                                <w14:textFill>
                                  <w14:noFill/>
                                </w14:textFill>
                              </w:rPr>
                            </w:pPr>
                            <w:r>
                              <w:rPr>
                                <w:noProof/>
                                <w:color w:val="FFFFFF" w:themeColor="background1"/>
                              </w:rPr>
                              <w:drawing>
                                <wp:inline distT="0" distB="0" distL="0" distR="0" wp14:anchorId="5843051A" wp14:editId="1E278F3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3A3A6CE" w:rsidR="00561EE1" w:rsidRPr="00D72DC6" w:rsidRDefault="004804D1" w:rsidP="00F02AD1">
                      <w:pPr>
                        <w:rPr>
                          <w:color w:val="FFFFFF" w:themeColor="background1"/>
                          <w14:textFill>
                            <w14:noFill/>
                          </w14:textFill>
                        </w:rPr>
                      </w:pPr>
                      <w:r>
                        <w:rPr>
                          <w:noProof/>
                          <w:color w:val="FFFFFF" w:themeColor="background1"/>
                        </w:rPr>
                        <w:drawing>
                          <wp:inline distT="0" distB="0" distL="0" distR="0" wp14:anchorId="5843051A" wp14:editId="1E278F3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61EE1" w:rsidRPr="004B7EB6" w:rsidRDefault="00561E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561EE1" w:rsidRPr="004B7EB6" w:rsidRDefault="00561E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4E486E">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7175E4" w:rsidRDefault="003239B8" w:rsidP="006065B7">
      <w:pPr>
        <w:spacing w:after="240"/>
        <w:ind w:firstLine="720"/>
        <w:jc w:val="both"/>
        <w:rPr>
          <w:rFonts w:ascii="Cambria" w:hAnsi="Cambria"/>
          <w:b/>
          <w:bCs/>
          <w:sz w:val="20"/>
          <w:szCs w:val="20"/>
          <w:lang w:val="es-ES"/>
        </w:rPr>
      </w:pPr>
      <w:r w:rsidRPr="007175E4">
        <w:rPr>
          <w:rFonts w:ascii="Cambria" w:hAnsi="Cambria"/>
          <w:b/>
          <w:bCs/>
          <w:sz w:val="20"/>
          <w:szCs w:val="20"/>
          <w:lang w:val="es-ES"/>
        </w:rPr>
        <w:lastRenderedPageBreak/>
        <w:t>I.</w:t>
      </w:r>
      <w:r w:rsidRPr="007175E4">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77"/>
        <w:gridCol w:w="5670"/>
      </w:tblGrid>
      <w:tr w:rsidR="003239B8" w:rsidRPr="007175E4" w14:paraId="5A79D1F7" w14:textId="77777777" w:rsidTr="001D6436">
        <w:tc>
          <w:tcPr>
            <w:tcW w:w="3577" w:type="dxa"/>
            <w:tcBorders>
              <w:top w:val="single" w:sz="4" w:space="0" w:color="auto"/>
              <w:bottom w:val="single" w:sz="6" w:space="0" w:color="auto"/>
            </w:tcBorders>
            <w:shd w:val="clear" w:color="auto" w:fill="386294"/>
            <w:vAlign w:val="center"/>
          </w:tcPr>
          <w:p w14:paraId="0CB2A43B" w14:textId="293F2B29" w:rsidR="003239B8" w:rsidRPr="006065B7" w:rsidRDefault="00D77503" w:rsidP="001D6436">
            <w:pPr>
              <w:jc w:val="center"/>
              <w:rPr>
                <w:rFonts w:ascii="Cambria" w:hAnsi="Cambria"/>
                <w:b/>
                <w:color w:val="FFFFFF" w:themeColor="background1"/>
                <w:sz w:val="20"/>
                <w:szCs w:val="20"/>
                <w:lang w:val="es-ES"/>
              </w:rPr>
            </w:pPr>
            <w:r w:rsidRPr="006065B7">
              <w:rPr>
                <w:rFonts w:ascii="Cambria" w:hAnsi="Cambria"/>
                <w:b/>
                <w:color w:val="FFFFFF" w:themeColor="background1"/>
                <w:sz w:val="20"/>
                <w:szCs w:val="20"/>
                <w:lang w:val="es-ES"/>
              </w:rPr>
              <w:t>Parte peticionaria</w:t>
            </w:r>
            <w:r w:rsidR="006065B7">
              <w:rPr>
                <w:rFonts w:ascii="Cambria" w:hAnsi="Cambria"/>
                <w:b/>
                <w:color w:val="FFFFFF" w:themeColor="background1"/>
                <w:sz w:val="20"/>
                <w:szCs w:val="20"/>
                <w:lang w:val="es-ES"/>
              </w:rPr>
              <w:t>:</w:t>
            </w:r>
          </w:p>
        </w:tc>
        <w:tc>
          <w:tcPr>
            <w:tcW w:w="5670" w:type="dxa"/>
            <w:vAlign w:val="center"/>
          </w:tcPr>
          <w:p w14:paraId="3C5315D8" w14:textId="44761018" w:rsidR="003239B8" w:rsidRPr="007175E4" w:rsidRDefault="00A53A0F" w:rsidP="001D6436">
            <w:pPr>
              <w:jc w:val="both"/>
              <w:rPr>
                <w:rFonts w:ascii="Cambria" w:hAnsi="Cambria"/>
                <w:bCs/>
                <w:sz w:val="20"/>
                <w:szCs w:val="20"/>
                <w:lang w:val="es-ES"/>
              </w:rPr>
            </w:pPr>
            <w:r w:rsidRPr="007175E4">
              <w:rPr>
                <w:rFonts w:ascii="Cambria" w:hAnsi="Cambria"/>
                <w:bCs/>
                <w:sz w:val="20"/>
                <w:szCs w:val="20"/>
                <w:lang w:val="es-ES"/>
              </w:rPr>
              <w:t>Óscar Darío Villegas Posada</w:t>
            </w:r>
          </w:p>
        </w:tc>
      </w:tr>
      <w:tr w:rsidR="003239B8" w:rsidRPr="00437ED8" w14:paraId="593A7E45" w14:textId="77777777" w:rsidTr="001D6436">
        <w:tc>
          <w:tcPr>
            <w:tcW w:w="3577" w:type="dxa"/>
            <w:tcBorders>
              <w:top w:val="single" w:sz="6" w:space="0" w:color="auto"/>
              <w:bottom w:val="single" w:sz="6" w:space="0" w:color="auto"/>
            </w:tcBorders>
            <w:shd w:val="clear" w:color="auto" w:fill="386294"/>
            <w:vAlign w:val="center"/>
          </w:tcPr>
          <w:p w14:paraId="0E78CA0C" w14:textId="30469A62" w:rsidR="003239B8" w:rsidRPr="006065B7" w:rsidRDefault="003239B8" w:rsidP="001D6436">
            <w:pPr>
              <w:jc w:val="center"/>
              <w:rPr>
                <w:rFonts w:ascii="Cambria" w:hAnsi="Cambria"/>
                <w:b/>
                <w:color w:val="FFFFFF" w:themeColor="background1"/>
                <w:sz w:val="20"/>
                <w:szCs w:val="20"/>
                <w:lang w:val="es-ES"/>
              </w:rPr>
            </w:pPr>
            <w:r w:rsidRPr="006065B7">
              <w:rPr>
                <w:rFonts w:ascii="Cambria" w:hAnsi="Cambria"/>
                <w:b/>
                <w:color w:val="FFFFFF" w:themeColor="background1"/>
                <w:sz w:val="20"/>
                <w:szCs w:val="20"/>
                <w:lang w:val="es-ES"/>
              </w:rPr>
              <w:t>Presunta víctima</w:t>
            </w:r>
            <w:r w:rsidR="001D6436">
              <w:rPr>
                <w:rFonts w:ascii="Cambria" w:hAnsi="Cambria"/>
                <w:b/>
                <w:color w:val="FFFFFF" w:themeColor="background1"/>
                <w:sz w:val="20"/>
                <w:szCs w:val="20"/>
                <w:lang w:val="es-ES"/>
              </w:rPr>
              <w:t>:</w:t>
            </w:r>
          </w:p>
        </w:tc>
        <w:tc>
          <w:tcPr>
            <w:tcW w:w="5670" w:type="dxa"/>
            <w:vAlign w:val="center"/>
          </w:tcPr>
          <w:p w14:paraId="4AEBF59E" w14:textId="21B0A047" w:rsidR="003239B8" w:rsidRPr="00E01886" w:rsidRDefault="00A53A0F" w:rsidP="001D6436">
            <w:pPr>
              <w:jc w:val="both"/>
              <w:rPr>
                <w:rFonts w:ascii="Cambria" w:hAnsi="Cambria"/>
                <w:bCs/>
                <w:sz w:val="20"/>
                <w:szCs w:val="20"/>
                <w:lang w:val="es-ES"/>
              </w:rPr>
            </w:pPr>
            <w:r w:rsidRPr="00E01886">
              <w:rPr>
                <w:rFonts w:ascii="Cambria" w:hAnsi="Cambria"/>
                <w:bCs/>
                <w:sz w:val="20"/>
                <w:szCs w:val="20"/>
                <w:lang w:val="es-ES"/>
              </w:rPr>
              <w:t>Mario Alcides Lopera Herrera</w:t>
            </w:r>
            <w:r w:rsidR="002D0A01" w:rsidRPr="00E01886">
              <w:rPr>
                <w:rFonts w:ascii="Cambria" w:hAnsi="Cambria"/>
                <w:bCs/>
                <w:sz w:val="20"/>
                <w:szCs w:val="20"/>
                <w:lang w:val="es-ES"/>
              </w:rPr>
              <w:t xml:space="preserve"> y familia</w:t>
            </w:r>
            <w:r w:rsidR="00201E85" w:rsidRPr="00E01886">
              <w:rPr>
                <w:rStyle w:val="FootnoteReference"/>
                <w:rFonts w:ascii="Cambria" w:hAnsi="Cambria"/>
                <w:bCs/>
                <w:sz w:val="20"/>
                <w:szCs w:val="20"/>
                <w:lang w:val="es-ES"/>
              </w:rPr>
              <w:footnoteReference w:id="2"/>
            </w:r>
          </w:p>
        </w:tc>
      </w:tr>
      <w:tr w:rsidR="003239B8" w:rsidRPr="007175E4" w14:paraId="3E62E1D3" w14:textId="77777777" w:rsidTr="001D6436">
        <w:tc>
          <w:tcPr>
            <w:tcW w:w="3577" w:type="dxa"/>
            <w:tcBorders>
              <w:top w:val="single" w:sz="6" w:space="0" w:color="auto"/>
              <w:bottom w:val="single" w:sz="6" w:space="0" w:color="auto"/>
            </w:tcBorders>
            <w:shd w:val="clear" w:color="auto" w:fill="386294"/>
            <w:vAlign w:val="center"/>
          </w:tcPr>
          <w:p w14:paraId="340B0F09" w14:textId="6614E2C4" w:rsidR="003239B8" w:rsidRPr="006065B7" w:rsidRDefault="00D77503" w:rsidP="001D6436">
            <w:pPr>
              <w:jc w:val="center"/>
              <w:rPr>
                <w:rFonts w:ascii="Cambria" w:hAnsi="Cambria"/>
                <w:b/>
                <w:color w:val="FFFFFF" w:themeColor="background1"/>
                <w:sz w:val="20"/>
                <w:szCs w:val="20"/>
                <w:lang w:val="es-ES"/>
              </w:rPr>
            </w:pPr>
            <w:r w:rsidRPr="006065B7">
              <w:rPr>
                <w:rFonts w:ascii="Cambria" w:hAnsi="Cambria"/>
                <w:b/>
                <w:color w:val="FFFFFF" w:themeColor="background1"/>
                <w:sz w:val="20"/>
                <w:szCs w:val="20"/>
                <w:lang w:val="es-ES"/>
              </w:rPr>
              <w:t>Estado denunciado</w:t>
            </w:r>
            <w:r w:rsidR="001D6436">
              <w:rPr>
                <w:rFonts w:ascii="Cambria" w:hAnsi="Cambria"/>
                <w:b/>
                <w:color w:val="FFFFFF" w:themeColor="background1"/>
                <w:sz w:val="20"/>
                <w:szCs w:val="20"/>
                <w:lang w:val="es-ES"/>
              </w:rPr>
              <w:t>:</w:t>
            </w:r>
          </w:p>
        </w:tc>
        <w:tc>
          <w:tcPr>
            <w:tcW w:w="5670" w:type="dxa"/>
            <w:vAlign w:val="center"/>
          </w:tcPr>
          <w:p w14:paraId="274C8A50" w14:textId="74736386" w:rsidR="003239B8" w:rsidRPr="00E01886" w:rsidRDefault="00D62438" w:rsidP="001D6436">
            <w:pPr>
              <w:jc w:val="both"/>
              <w:rPr>
                <w:rFonts w:ascii="Cambria" w:hAnsi="Cambria"/>
                <w:bCs/>
                <w:sz w:val="20"/>
                <w:szCs w:val="20"/>
                <w:lang w:val="es-ES"/>
              </w:rPr>
            </w:pPr>
            <w:r w:rsidRPr="00E01886">
              <w:rPr>
                <w:rFonts w:ascii="Cambria" w:hAnsi="Cambria"/>
                <w:bCs/>
                <w:sz w:val="20"/>
                <w:szCs w:val="20"/>
                <w:lang w:val="es-ES"/>
              </w:rPr>
              <w:t>C</w:t>
            </w:r>
            <w:r w:rsidR="00A53A0F" w:rsidRPr="00E01886">
              <w:rPr>
                <w:rFonts w:ascii="Cambria" w:hAnsi="Cambria"/>
                <w:bCs/>
                <w:sz w:val="20"/>
                <w:szCs w:val="20"/>
                <w:lang w:val="es-ES"/>
              </w:rPr>
              <w:t>olombia</w:t>
            </w:r>
            <w:r w:rsidR="00DA31AC" w:rsidRPr="00E01886">
              <w:rPr>
                <w:rStyle w:val="FootnoteReference"/>
                <w:rFonts w:ascii="Cambria" w:hAnsi="Cambria"/>
                <w:bCs/>
                <w:sz w:val="20"/>
                <w:szCs w:val="20"/>
                <w:lang w:val="es-ES"/>
              </w:rPr>
              <w:footnoteReference w:id="3"/>
            </w:r>
          </w:p>
        </w:tc>
      </w:tr>
      <w:tr w:rsidR="00223A29" w:rsidRPr="00437ED8" w14:paraId="632511BC" w14:textId="77777777" w:rsidTr="001D6436">
        <w:tc>
          <w:tcPr>
            <w:tcW w:w="3577" w:type="dxa"/>
            <w:tcBorders>
              <w:top w:val="single" w:sz="6" w:space="0" w:color="auto"/>
              <w:bottom w:val="single" w:sz="6" w:space="0" w:color="auto"/>
            </w:tcBorders>
            <w:shd w:val="clear" w:color="auto" w:fill="386294"/>
            <w:vAlign w:val="center"/>
          </w:tcPr>
          <w:p w14:paraId="727E2F6B" w14:textId="516291E8" w:rsidR="00223A29" w:rsidRPr="006065B7" w:rsidRDefault="001B3A00" w:rsidP="00443917">
            <w:pPr>
              <w:jc w:val="center"/>
              <w:rPr>
                <w:rFonts w:ascii="Cambria" w:hAnsi="Cambria"/>
                <w:b/>
                <w:color w:val="FFFFFF" w:themeColor="background1"/>
                <w:sz w:val="20"/>
                <w:szCs w:val="20"/>
                <w:lang w:val="es-ES"/>
              </w:rPr>
            </w:pPr>
            <w:r w:rsidRPr="006065B7">
              <w:rPr>
                <w:rFonts w:ascii="Cambria" w:hAnsi="Cambria"/>
                <w:b/>
                <w:color w:val="FFFFFF" w:themeColor="background1"/>
                <w:sz w:val="20"/>
                <w:szCs w:val="20"/>
                <w:lang w:val="es-ES"/>
              </w:rPr>
              <w:t xml:space="preserve">Derechos </w:t>
            </w:r>
            <w:r w:rsidR="00E4118C" w:rsidRPr="006065B7">
              <w:rPr>
                <w:rFonts w:ascii="Cambria" w:hAnsi="Cambria"/>
                <w:b/>
                <w:color w:val="FFFFFF" w:themeColor="background1"/>
                <w:sz w:val="20"/>
                <w:szCs w:val="20"/>
                <w:lang w:val="es-ES"/>
              </w:rPr>
              <w:t>invocados</w:t>
            </w:r>
            <w:r w:rsidR="001D6436">
              <w:rPr>
                <w:rFonts w:ascii="Cambria" w:hAnsi="Cambria"/>
                <w:b/>
                <w:color w:val="FFFFFF" w:themeColor="background1"/>
                <w:sz w:val="20"/>
                <w:szCs w:val="20"/>
                <w:lang w:val="es-ES"/>
              </w:rPr>
              <w:t>:</w:t>
            </w:r>
          </w:p>
        </w:tc>
        <w:tc>
          <w:tcPr>
            <w:tcW w:w="5670" w:type="dxa"/>
            <w:vAlign w:val="center"/>
          </w:tcPr>
          <w:p w14:paraId="6DEE1EEB" w14:textId="43AC3289" w:rsidR="00223A29" w:rsidRPr="00E01886" w:rsidRDefault="00E93777" w:rsidP="00443917">
            <w:pPr>
              <w:jc w:val="both"/>
              <w:rPr>
                <w:rFonts w:ascii="Cambria" w:hAnsi="Cambria"/>
                <w:bCs/>
                <w:sz w:val="20"/>
                <w:szCs w:val="20"/>
                <w:lang w:val="es-ES"/>
              </w:rPr>
            </w:pPr>
            <w:r w:rsidRPr="00E01886">
              <w:rPr>
                <w:rFonts w:ascii="Cambria" w:hAnsi="Cambria"/>
                <w:bCs/>
                <w:sz w:val="20"/>
                <w:szCs w:val="20"/>
                <w:lang w:val="es-ES"/>
              </w:rPr>
              <w:t xml:space="preserve">Artículos 4 (vida), 8 (garantías judiciales), </w:t>
            </w:r>
            <w:r w:rsidR="00CE527D" w:rsidRPr="00E01886">
              <w:rPr>
                <w:rFonts w:ascii="Cambria" w:hAnsi="Cambria"/>
                <w:bCs/>
                <w:sz w:val="20"/>
                <w:szCs w:val="20"/>
                <w:lang w:val="es-ES"/>
              </w:rPr>
              <w:t>1</w:t>
            </w:r>
            <w:r w:rsidR="00D1161E" w:rsidRPr="00E01886">
              <w:rPr>
                <w:rFonts w:ascii="Cambria" w:hAnsi="Cambria"/>
                <w:bCs/>
                <w:sz w:val="20"/>
                <w:szCs w:val="20"/>
                <w:lang w:val="es-ES"/>
              </w:rPr>
              <w:t>1</w:t>
            </w:r>
            <w:r w:rsidR="00CE527D" w:rsidRPr="00E01886">
              <w:rPr>
                <w:rFonts w:ascii="Cambria" w:hAnsi="Cambria"/>
                <w:bCs/>
                <w:sz w:val="20"/>
                <w:szCs w:val="20"/>
                <w:lang w:val="es-ES"/>
              </w:rPr>
              <w:t xml:space="preserve"> (</w:t>
            </w:r>
            <w:r w:rsidR="001D6436" w:rsidRPr="00E01886">
              <w:rPr>
                <w:rFonts w:ascii="Cambria" w:hAnsi="Cambria"/>
                <w:bCs/>
                <w:sz w:val="20"/>
                <w:szCs w:val="20"/>
                <w:lang w:val="es-ES"/>
              </w:rPr>
              <w:t xml:space="preserve">protección de la </w:t>
            </w:r>
            <w:r w:rsidR="00CE527D" w:rsidRPr="00E01886">
              <w:rPr>
                <w:rFonts w:ascii="Cambria" w:hAnsi="Cambria"/>
                <w:bCs/>
                <w:sz w:val="20"/>
                <w:szCs w:val="20"/>
                <w:lang w:val="es-ES"/>
              </w:rPr>
              <w:t>honra</w:t>
            </w:r>
            <w:r w:rsidR="00D1161E" w:rsidRPr="00E01886">
              <w:rPr>
                <w:rFonts w:ascii="Cambria" w:hAnsi="Cambria"/>
                <w:bCs/>
                <w:sz w:val="20"/>
                <w:szCs w:val="20"/>
                <w:lang w:val="es-ES"/>
              </w:rPr>
              <w:t xml:space="preserve">), </w:t>
            </w:r>
            <w:r w:rsidR="00CE527D" w:rsidRPr="00E01886">
              <w:rPr>
                <w:rFonts w:ascii="Cambria" w:hAnsi="Cambria"/>
                <w:bCs/>
                <w:sz w:val="20"/>
                <w:szCs w:val="20"/>
                <w:lang w:val="es-ES"/>
              </w:rPr>
              <w:t xml:space="preserve">24 </w:t>
            </w:r>
            <w:r w:rsidR="00CE527D" w:rsidRPr="00E01886">
              <w:rPr>
                <w:rFonts w:ascii="Cambria" w:hAnsi="Cambria"/>
                <w:bCs/>
                <w:sz w:val="20"/>
                <w:szCs w:val="20"/>
                <w:lang w:val="es-VE"/>
              </w:rPr>
              <w:t>(igualdad ante la ley),</w:t>
            </w:r>
            <w:r w:rsidR="00CE527D" w:rsidRPr="00E01886">
              <w:rPr>
                <w:rFonts w:ascii="Cambria" w:hAnsi="Cambria"/>
                <w:bCs/>
                <w:sz w:val="20"/>
                <w:szCs w:val="20"/>
                <w:lang w:val="es-ES"/>
              </w:rPr>
              <w:t xml:space="preserve"> </w:t>
            </w:r>
            <w:r w:rsidRPr="00E01886">
              <w:rPr>
                <w:rFonts w:ascii="Cambria" w:hAnsi="Cambria"/>
                <w:bCs/>
                <w:sz w:val="20"/>
                <w:szCs w:val="20"/>
                <w:lang w:val="es-ES"/>
              </w:rPr>
              <w:t>25 (protección judicial) y 26 (derechos económicos, sociales y culturales) de la Convención Americana sobre Derechos Humanos</w:t>
            </w:r>
            <w:r w:rsidRPr="00E01886">
              <w:rPr>
                <w:rStyle w:val="FootnoteReference"/>
                <w:rFonts w:ascii="Cambria" w:hAnsi="Cambria"/>
                <w:bCs/>
                <w:sz w:val="20"/>
                <w:szCs w:val="20"/>
                <w:lang w:val="es-ES"/>
              </w:rPr>
              <w:footnoteReference w:id="4"/>
            </w:r>
            <w:r w:rsidR="0011584C">
              <w:rPr>
                <w:rFonts w:ascii="Cambria" w:hAnsi="Cambria"/>
                <w:bCs/>
                <w:sz w:val="20"/>
                <w:szCs w:val="20"/>
                <w:lang w:val="es-ES"/>
              </w:rPr>
              <w:t>,</w:t>
            </w:r>
            <w:r w:rsidR="00DA31AC" w:rsidRPr="00E01886">
              <w:rPr>
                <w:rFonts w:ascii="Cambria" w:hAnsi="Cambria"/>
                <w:bCs/>
                <w:sz w:val="20"/>
                <w:szCs w:val="20"/>
                <w:lang w:val="es-ES"/>
              </w:rPr>
              <w:t xml:space="preserve"> </w:t>
            </w:r>
            <w:r w:rsidR="00DA31AC" w:rsidRPr="00E01886">
              <w:rPr>
                <w:rFonts w:ascii="Cambria" w:hAnsi="Cambria"/>
                <w:sz w:val="20"/>
                <w:szCs w:val="20"/>
                <w:lang w:val="es-MX"/>
              </w:rPr>
              <w:t>en relación con el artículo 1.1 (obligación de respetar los derechos) del mismo instrumento</w:t>
            </w:r>
            <w:r w:rsidRPr="00E01886">
              <w:rPr>
                <w:rFonts w:ascii="Cambria" w:hAnsi="Cambria"/>
                <w:bCs/>
                <w:sz w:val="20"/>
                <w:szCs w:val="20"/>
                <w:lang w:val="es-ES"/>
              </w:rPr>
              <w:t>;</w:t>
            </w:r>
            <w:r w:rsidR="001D6436" w:rsidRPr="00E01886">
              <w:rPr>
                <w:rFonts w:ascii="Cambria" w:hAnsi="Cambria"/>
                <w:bCs/>
                <w:sz w:val="20"/>
                <w:szCs w:val="20"/>
                <w:lang w:val="es-ES"/>
              </w:rPr>
              <w:t xml:space="preserve"> </w:t>
            </w:r>
            <w:r w:rsidR="00CE527D" w:rsidRPr="00E01886">
              <w:rPr>
                <w:rFonts w:ascii="Cambria" w:hAnsi="Cambria"/>
                <w:bCs/>
                <w:sz w:val="20"/>
                <w:szCs w:val="20"/>
                <w:lang w:val="es-ES"/>
              </w:rPr>
              <w:t>a</w:t>
            </w:r>
            <w:r w:rsidR="0081594F" w:rsidRPr="00E01886">
              <w:rPr>
                <w:rFonts w:ascii="Cambria" w:hAnsi="Cambria"/>
                <w:bCs/>
                <w:sz w:val="20"/>
                <w:szCs w:val="20"/>
                <w:lang w:val="es-ES"/>
              </w:rPr>
              <w:t>rtículo</w:t>
            </w:r>
            <w:r w:rsidR="000C2EB9" w:rsidRPr="00E01886">
              <w:rPr>
                <w:rFonts w:ascii="Cambria" w:hAnsi="Cambria"/>
                <w:bCs/>
                <w:sz w:val="20"/>
                <w:szCs w:val="20"/>
                <w:lang w:val="es-ES"/>
              </w:rPr>
              <w:t>s</w:t>
            </w:r>
            <w:r w:rsidR="0081594F" w:rsidRPr="00E01886">
              <w:rPr>
                <w:rFonts w:ascii="Cambria" w:hAnsi="Cambria"/>
                <w:bCs/>
                <w:sz w:val="20"/>
                <w:szCs w:val="20"/>
                <w:lang w:val="es-ES"/>
              </w:rPr>
              <w:t xml:space="preserve"> XI (salud) y XVIII (justicia) de la Declaración Americana de los Derechos</w:t>
            </w:r>
            <w:r w:rsidR="000C2EB9" w:rsidRPr="00E01886">
              <w:rPr>
                <w:rFonts w:ascii="Cambria" w:hAnsi="Cambria"/>
                <w:bCs/>
                <w:sz w:val="20"/>
                <w:szCs w:val="20"/>
                <w:lang w:val="es-ES"/>
              </w:rPr>
              <w:t xml:space="preserve"> y </w:t>
            </w:r>
            <w:r w:rsidR="0081594F" w:rsidRPr="00E01886">
              <w:rPr>
                <w:rFonts w:ascii="Cambria" w:hAnsi="Cambria"/>
                <w:bCs/>
                <w:sz w:val="20"/>
                <w:szCs w:val="20"/>
                <w:lang w:val="es-ES"/>
              </w:rPr>
              <w:t>Deberes del Hombre</w:t>
            </w:r>
            <w:r w:rsidR="0081594F" w:rsidRPr="00E01886">
              <w:rPr>
                <w:rStyle w:val="FootnoteReference"/>
                <w:rFonts w:ascii="Cambria" w:hAnsi="Cambria"/>
                <w:bCs/>
                <w:sz w:val="20"/>
                <w:szCs w:val="20"/>
                <w:lang w:val="es-ES"/>
              </w:rPr>
              <w:footnoteReference w:id="5"/>
            </w:r>
            <w:r w:rsidR="00CE527D" w:rsidRPr="00E01886">
              <w:rPr>
                <w:rFonts w:ascii="Cambria" w:hAnsi="Cambria"/>
                <w:bCs/>
                <w:sz w:val="20"/>
                <w:szCs w:val="20"/>
                <w:lang w:val="es-ES"/>
              </w:rPr>
              <w:t>;</w:t>
            </w:r>
            <w:r w:rsidR="0081594F" w:rsidRPr="00E01886">
              <w:rPr>
                <w:rFonts w:ascii="Cambria" w:hAnsi="Cambria"/>
                <w:bCs/>
                <w:sz w:val="20"/>
                <w:szCs w:val="20"/>
                <w:lang w:val="es-ES"/>
              </w:rPr>
              <w:t xml:space="preserve"> </w:t>
            </w:r>
            <w:r w:rsidR="00CE527D" w:rsidRPr="00E01886">
              <w:rPr>
                <w:rFonts w:ascii="Cambria" w:hAnsi="Cambria"/>
                <w:bCs/>
                <w:sz w:val="20"/>
                <w:szCs w:val="20"/>
                <w:lang w:val="es-ES"/>
              </w:rPr>
              <w:t>y otros instrumentos internacionales</w:t>
            </w:r>
            <w:r w:rsidR="00CE527D" w:rsidRPr="00E01886">
              <w:rPr>
                <w:rStyle w:val="FootnoteReference"/>
                <w:rFonts w:ascii="Cambria" w:hAnsi="Cambria"/>
                <w:bCs/>
                <w:sz w:val="20"/>
                <w:szCs w:val="20"/>
                <w:lang w:val="es-ES"/>
              </w:rPr>
              <w:footnoteReference w:id="6"/>
            </w:r>
          </w:p>
        </w:tc>
      </w:tr>
    </w:tbl>
    <w:tbl>
      <w:tblPr>
        <w:tblStyle w:val="TableGrid"/>
        <w:tblpPr w:leftFromText="180" w:rightFromText="180" w:vertAnchor="text" w:horzAnchor="margin" w:tblpX="175" w:tblpY="647"/>
        <w:tblW w:w="9175" w:type="dxa"/>
        <w:tblBorders>
          <w:insideH w:val="single" w:sz="6" w:space="0" w:color="auto"/>
          <w:insideV w:val="single" w:sz="6" w:space="0" w:color="auto"/>
        </w:tblBorders>
        <w:tblLook w:val="04A0" w:firstRow="1" w:lastRow="0" w:firstColumn="1" w:lastColumn="0" w:noHBand="0" w:noVBand="1"/>
      </w:tblPr>
      <w:tblGrid>
        <w:gridCol w:w="3487"/>
        <w:gridCol w:w="5688"/>
      </w:tblGrid>
      <w:tr w:rsidR="001D6436" w:rsidRPr="007175E4" w14:paraId="6ECA6080" w14:textId="77777777" w:rsidTr="001D6436">
        <w:tc>
          <w:tcPr>
            <w:tcW w:w="3487" w:type="dxa"/>
            <w:tcBorders>
              <w:top w:val="single" w:sz="6" w:space="0" w:color="auto"/>
              <w:bottom w:val="single" w:sz="6" w:space="0" w:color="auto"/>
            </w:tcBorders>
            <w:shd w:val="clear" w:color="auto" w:fill="386294"/>
            <w:vAlign w:val="center"/>
          </w:tcPr>
          <w:p w14:paraId="4D870767" w14:textId="30DD78AD" w:rsidR="001D6436" w:rsidRPr="001D6436" w:rsidRDefault="001D6436" w:rsidP="001D6436">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 xml:space="preserve">Presentación </w:t>
            </w:r>
            <w:r w:rsidRPr="001D6436">
              <w:rPr>
                <w:rFonts w:ascii="Cambria" w:hAnsi="Cambria"/>
                <w:b/>
                <w:color w:val="FFFFFF" w:themeColor="background1"/>
                <w:sz w:val="20"/>
                <w:szCs w:val="20"/>
                <w:lang w:val="es-ES"/>
              </w:rPr>
              <w:t>de la petición</w:t>
            </w:r>
            <w:r>
              <w:rPr>
                <w:rFonts w:ascii="Cambria" w:hAnsi="Cambria"/>
                <w:b/>
                <w:color w:val="FFFFFF" w:themeColor="background1"/>
                <w:sz w:val="20"/>
                <w:szCs w:val="20"/>
                <w:lang w:val="es-ES"/>
              </w:rPr>
              <w:t>:</w:t>
            </w:r>
          </w:p>
        </w:tc>
        <w:tc>
          <w:tcPr>
            <w:tcW w:w="5688" w:type="dxa"/>
            <w:vAlign w:val="center"/>
          </w:tcPr>
          <w:p w14:paraId="5033D049" w14:textId="77777777" w:rsidR="001D6436" w:rsidRPr="007175E4" w:rsidRDefault="001D6436" w:rsidP="001D6436">
            <w:pPr>
              <w:jc w:val="both"/>
              <w:rPr>
                <w:rFonts w:ascii="Cambria" w:hAnsi="Cambria"/>
                <w:bCs/>
                <w:sz w:val="20"/>
                <w:szCs w:val="20"/>
                <w:lang w:val="es-ES"/>
              </w:rPr>
            </w:pPr>
            <w:r w:rsidRPr="007175E4">
              <w:rPr>
                <w:rFonts w:ascii="Cambria" w:hAnsi="Cambria"/>
                <w:bCs/>
                <w:sz w:val="20"/>
                <w:szCs w:val="20"/>
                <w:lang w:val="es-ES"/>
              </w:rPr>
              <w:t>11 de septiembre de 2009</w:t>
            </w:r>
          </w:p>
        </w:tc>
      </w:tr>
      <w:tr w:rsidR="001D6436" w:rsidRPr="007175E4" w14:paraId="6EFE9005" w14:textId="77777777" w:rsidTr="001D6436">
        <w:tc>
          <w:tcPr>
            <w:tcW w:w="3487" w:type="dxa"/>
            <w:tcBorders>
              <w:top w:val="single" w:sz="6" w:space="0" w:color="auto"/>
              <w:bottom w:val="single" w:sz="6" w:space="0" w:color="auto"/>
            </w:tcBorders>
            <w:shd w:val="clear" w:color="auto" w:fill="386294"/>
            <w:vAlign w:val="center"/>
          </w:tcPr>
          <w:p w14:paraId="64E5027D" w14:textId="3EEF0C8E" w:rsidR="001D6436" w:rsidRPr="00DA31AC" w:rsidRDefault="001D6436" w:rsidP="001D6436">
            <w:pPr>
              <w:jc w:val="center"/>
              <w:rPr>
                <w:rFonts w:ascii="Cambria" w:hAnsi="Cambria"/>
                <w:b/>
                <w:color w:val="FFFFFF" w:themeColor="background1"/>
                <w:sz w:val="20"/>
                <w:szCs w:val="20"/>
                <w:lang w:val="es-ES"/>
              </w:rPr>
            </w:pPr>
            <w:r w:rsidRPr="00DA31AC">
              <w:rPr>
                <w:rFonts w:ascii="Cambria" w:hAnsi="Cambria"/>
                <w:b/>
                <w:color w:val="FFFFFF" w:themeColor="background1"/>
                <w:sz w:val="20"/>
                <w:szCs w:val="20"/>
                <w:lang w:val="es-ES"/>
              </w:rPr>
              <w:t>Notificación de la petición al Estado:</w:t>
            </w:r>
          </w:p>
        </w:tc>
        <w:tc>
          <w:tcPr>
            <w:tcW w:w="5688" w:type="dxa"/>
            <w:vAlign w:val="center"/>
          </w:tcPr>
          <w:p w14:paraId="409D5625" w14:textId="728F20C9" w:rsidR="001D6436" w:rsidRPr="007175E4" w:rsidRDefault="00AD081E" w:rsidP="001D6436">
            <w:pPr>
              <w:jc w:val="both"/>
              <w:rPr>
                <w:rFonts w:ascii="Cambria" w:hAnsi="Cambria"/>
                <w:bCs/>
                <w:sz w:val="20"/>
                <w:szCs w:val="20"/>
                <w:lang w:val="es-ES"/>
              </w:rPr>
            </w:pPr>
            <w:r>
              <w:rPr>
                <w:rFonts w:ascii="Cambria" w:hAnsi="Cambria"/>
                <w:bCs/>
                <w:sz w:val="20"/>
                <w:szCs w:val="20"/>
                <w:lang w:val="es-ES"/>
              </w:rPr>
              <w:t>6 de junio</w:t>
            </w:r>
            <w:r w:rsidR="001D6436" w:rsidRPr="007175E4">
              <w:rPr>
                <w:rFonts w:ascii="Cambria" w:hAnsi="Cambria"/>
                <w:bCs/>
                <w:sz w:val="20"/>
                <w:szCs w:val="20"/>
                <w:lang w:val="es-ES"/>
              </w:rPr>
              <w:t xml:space="preserve"> de 2014</w:t>
            </w:r>
          </w:p>
        </w:tc>
      </w:tr>
      <w:tr w:rsidR="001D6436" w:rsidRPr="007175E4" w14:paraId="157507C5" w14:textId="77777777" w:rsidTr="001D6436">
        <w:tc>
          <w:tcPr>
            <w:tcW w:w="3487" w:type="dxa"/>
            <w:tcBorders>
              <w:top w:val="single" w:sz="6" w:space="0" w:color="auto"/>
              <w:bottom w:val="single" w:sz="6" w:space="0" w:color="auto"/>
            </w:tcBorders>
            <w:shd w:val="clear" w:color="auto" w:fill="386294"/>
            <w:vAlign w:val="center"/>
          </w:tcPr>
          <w:p w14:paraId="36E81411" w14:textId="73C16FEF" w:rsidR="001D6436" w:rsidRPr="00DA31AC" w:rsidRDefault="001D6436" w:rsidP="001D6436">
            <w:pPr>
              <w:jc w:val="center"/>
              <w:rPr>
                <w:rFonts w:ascii="Cambria" w:hAnsi="Cambria"/>
                <w:b/>
                <w:color w:val="FFFFFF" w:themeColor="background1"/>
                <w:sz w:val="20"/>
                <w:szCs w:val="20"/>
                <w:lang w:val="es-ES"/>
              </w:rPr>
            </w:pPr>
            <w:r w:rsidRPr="00DA31AC">
              <w:rPr>
                <w:rFonts w:ascii="Cambria" w:hAnsi="Cambria"/>
                <w:b/>
                <w:color w:val="FFFFFF" w:themeColor="background1"/>
                <w:sz w:val="20"/>
                <w:szCs w:val="20"/>
                <w:lang w:val="es-ES"/>
              </w:rPr>
              <w:t>Primera respuesta del Estado:</w:t>
            </w:r>
          </w:p>
        </w:tc>
        <w:tc>
          <w:tcPr>
            <w:tcW w:w="5688" w:type="dxa"/>
            <w:vAlign w:val="center"/>
          </w:tcPr>
          <w:p w14:paraId="00569A95" w14:textId="77777777" w:rsidR="001D6436" w:rsidRPr="007175E4" w:rsidRDefault="001D6436" w:rsidP="001D6436">
            <w:pPr>
              <w:jc w:val="both"/>
              <w:rPr>
                <w:rFonts w:ascii="Cambria" w:hAnsi="Cambria"/>
                <w:bCs/>
                <w:sz w:val="20"/>
                <w:szCs w:val="20"/>
                <w:lang w:val="es-ES"/>
              </w:rPr>
            </w:pPr>
            <w:r w:rsidRPr="007175E4">
              <w:rPr>
                <w:rFonts w:ascii="Cambria" w:hAnsi="Cambria"/>
                <w:bCs/>
                <w:sz w:val="20"/>
                <w:szCs w:val="20"/>
                <w:lang w:val="es-ES"/>
              </w:rPr>
              <w:t>10 de octubre de 2014</w:t>
            </w:r>
          </w:p>
        </w:tc>
      </w:tr>
      <w:tr w:rsidR="001D6436" w:rsidRPr="00437ED8" w14:paraId="14B6992C" w14:textId="77777777" w:rsidTr="001D6436">
        <w:tc>
          <w:tcPr>
            <w:tcW w:w="3487" w:type="dxa"/>
            <w:tcBorders>
              <w:top w:val="single" w:sz="6" w:space="0" w:color="auto"/>
              <w:bottom w:val="single" w:sz="6" w:space="0" w:color="auto"/>
            </w:tcBorders>
            <w:shd w:val="clear" w:color="auto" w:fill="386294"/>
            <w:vAlign w:val="center"/>
          </w:tcPr>
          <w:p w14:paraId="45B7C88A" w14:textId="5EF0278C" w:rsidR="001D6436" w:rsidRPr="00DA31AC" w:rsidRDefault="001D6436" w:rsidP="001D6436">
            <w:pPr>
              <w:ind w:right="96"/>
              <w:jc w:val="center"/>
              <w:rPr>
                <w:rFonts w:ascii="Cambria" w:hAnsi="Cambria"/>
                <w:b/>
                <w:color w:val="FFFFFF" w:themeColor="background1"/>
                <w:sz w:val="20"/>
                <w:szCs w:val="20"/>
                <w:lang w:val="es-ES"/>
              </w:rPr>
            </w:pPr>
            <w:r w:rsidRPr="00DA31AC">
              <w:rPr>
                <w:rFonts w:ascii="Cambria" w:hAnsi="Cambria"/>
                <w:b/>
                <w:color w:val="FFFFFF" w:themeColor="background1"/>
                <w:sz w:val="20"/>
                <w:szCs w:val="20"/>
                <w:lang w:val="es-ES"/>
              </w:rPr>
              <w:t>Observaciones adicionales de la parte peticionaria:</w:t>
            </w:r>
          </w:p>
        </w:tc>
        <w:tc>
          <w:tcPr>
            <w:tcW w:w="5688" w:type="dxa"/>
            <w:vAlign w:val="center"/>
          </w:tcPr>
          <w:p w14:paraId="36953247" w14:textId="479E9877" w:rsidR="001D6436" w:rsidRPr="007175E4" w:rsidRDefault="001D6436" w:rsidP="001D6436">
            <w:pPr>
              <w:jc w:val="both"/>
              <w:rPr>
                <w:rFonts w:ascii="Cambria" w:hAnsi="Cambria"/>
                <w:bCs/>
                <w:sz w:val="20"/>
                <w:szCs w:val="20"/>
                <w:lang w:val="es-ES"/>
              </w:rPr>
            </w:pPr>
            <w:r w:rsidRPr="007175E4">
              <w:rPr>
                <w:rFonts w:ascii="Cambria" w:hAnsi="Cambria"/>
                <w:bCs/>
                <w:sz w:val="20"/>
                <w:szCs w:val="20"/>
                <w:lang w:val="es-ES"/>
              </w:rPr>
              <w:t>30 de diciembre de 2014</w:t>
            </w:r>
            <w:r w:rsidR="00AD081E">
              <w:rPr>
                <w:rFonts w:ascii="Cambria" w:hAnsi="Cambria"/>
                <w:bCs/>
                <w:sz w:val="20"/>
                <w:szCs w:val="20"/>
                <w:lang w:val="es-ES"/>
              </w:rPr>
              <w:t>, 22 de enero de 2015</w:t>
            </w:r>
            <w:r w:rsidR="004532D2">
              <w:rPr>
                <w:rFonts w:ascii="Cambria" w:hAnsi="Cambria"/>
                <w:bCs/>
                <w:sz w:val="20"/>
                <w:szCs w:val="20"/>
                <w:lang w:val="es-ES"/>
              </w:rPr>
              <w:t>,</w:t>
            </w:r>
            <w:r w:rsidRPr="007175E4">
              <w:rPr>
                <w:rFonts w:ascii="Cambria" w:hAnsi="Cambria"/>
                <w:bCs/>
                <w:sz w:val="20"/>
                <w:szCs w:val="20"/>
                <w:lang w:val="es-ES"/>
              </w:rPr>
              <w:t xml:space="preserve"> 20 de mayo de 2019</w:t>
            </w:r>
            <w:r w:rsidR="004532D2">
              <w:rPr>
                <w:rFonts w:ascii="Cambria" w:hAnsi="Cambria"/>
                <w:bCs/>
                <w:sz w:val="20"/>
                <w:szCs w:val="20"/>
                <w:lang w:val="es-ES"/>
              </w:rPr>
              <w:t>, y 31 de marzo y 5 de agosto de 2020</w:t>
            </w:r>
          </w:p>
        </w:tc>
      </w:tr>
      <w:tr w:rsidR="001D6436" w:rsidRPr="007175E4" w14:paraId="36B29AA2" w14:textId="77777777" w:rsidTr="00443917">
        <w:trPr>
          <w:trHeight w:val="231"/>
        </w:trPr>
        <w:tc>
          <w:tcPr>
            <w:tcW w:w="3487" w:type="dxa"/>
            <w:tcBorders>
              <w:top w:val="single" w:sz="6" w:space="0" w:color="auto"/>
              <w:bottom w:val="single" w:sz="6" w:space="0" w:color="auto"/>
            </w:tcBorders>
            <w:shd w:val="clear" w:color="auto" w:fill="386294"/>
            <w:vAlign w:val="center"/>
          </w:tcPr>
          <w:p w14:paraId="3C1EFC7C" w14:textId="3E2A0C49" w:rsidR="001D6436" w:rsidRPr="00DA31AC" w:rsidRDefault="001D6436" w:rsidP="001D6436">
            <w:pPr>
              <w:jc w:val="center"/>
              <w:rPr>
                <w:rFonts w:ascii="Cambria" w:hAnsi="Cambria"/>
                <w:b/>
                <w:color w:val="FFFFFF" w:themeColor="background1"/>
                <w:sz w:val="20"/>
                <w:szCs w:val="20"/>
                <w:lang w:val="es-ES"/>
              </w:rPr>
            </w:pPr>
            <w:r w:rsidRPr="00DA31AC">
              <w:rPr>
                <w:rFonts w:ascii="Cambria" w:hAnsi="Cambria"/>
                <w:b/>
                <w:color w:val="FFFFFF" w:themeColor="background1"/>
                <w:sz w:val="20"/>
                <w:szCs w:val="20"/>
                <w:lang w:val="es-ES"/>
              </w:rPr>
              <w:t>Observaciones adicionales del Estado:</w:t>
            </w:r>
          </w:p>
        </w:tc>
        <w:tc>
          <w:tcPr>
            <w:tcW w:w="5688" w:type="dxa"/>
            <w:vAlign w:val="center"/>
          </w:tcPr>
          <w:p w14:paraId="0BC8F02D" w14:textId="77777777" w:rsidR="001D6436" w:rsidRPr="007175E4" w:rsidRDefault="001D6436" w:rsidP="001D6436">
            <w:pPr>
              <w:jc w:val="both"/>
              <w:rPr>
                <w:rFonts w:ascii="Cambria" w:hAnsi="Cambria"/>
                <w:bCs/>
                <w:sz w:val="20"/>
                <w:szCs w:val="20"/>
                <w:lang w:val="es-ES"/>
              </w:rPr>
            </w:pPr>
            <w:r w:rsidRPr="007175E4">
              <w:rPr>
                <w:rFonts w:ascii="Cambria" w:hAnsi="Cambria"/>
                <w:bCs/>
                <w:sz w:val="20"/>
                <w:szCs w:val="20"/>
                <w:lang w:val="es-ES"/>
              </w:rPr>
              <w:t>13 de abril de 2015</w:t>
            </w:r>
          </w:p>
        </w:tc>
      </w:tr>
    </w:tbl>
    <w:p w14:paraId="20263696" w14:textId="07A1733C" w:rsidR="003239B8" w:rsidRPr="007175E4" w:rsidRDefault="003239B8" w:rsidP="00443917">
      <w:pPr>
        <w:spacing w:before="240" w:after="240"/>
        <w:ind w:firstLine="720"/>
        <w:jc w:val="both"/>
        <w:rPr>
          <w:rFonts w:ascii="Cambria" w:hAnsi="Cambria"/>
          <w:b/>
          <w:bCs/>
          <w:sz w:val="20"/>
          <w:szCs w:val="20"/>
          <w:lang w:val="es-ES"/>
        </w:rPr>
      </w:pPr>
      <w:r w:rsidRPr="007175E4">
        <w:rPr>
          <w:rFonts w:ascii="Cambria" w:hAnsi="Cambria"/>
          <w:b/>
          <w:bCs/>
          <w:sz w:val="20"/>
          <w:szCs w:val="20"/>
          <w:lang w:val="es-ES"/>
        </w:rPr>
        <w:t>II.</w:t>
      </w:r>
      <w:r w:rsidRPr="007175E4">
        <w:rPr>
          <w:rFonts w:ascii="Cambria" w:hAnsi="Cambria"/>
          <w:b/>
          <w:bCs/>
          <w:sz w:val="20"/>
          <w:szCs w:val="20"/>
          <w:lang w:val="es-ES"/>
        </w:rPr>
        <w:tab/>
        <w:t>TRÁMITE ANTE LA CIDH</w:t>
      </w:r>
      <w:r w:rsidR="008E3BFE" w:rsidRPr="007175E4">
        <w:rPr>
          <w:rStyle w:val="FootnoteReference"/>
          <w:rFonts w:ascii="Cambria" w:hAnsi="Cambria"/>
          <w:b/>
          <w:sz w:val="20"/>
          <w:szCs w:val="20"/>
          <w:lang w:val="es-ES"/>
        </w:rPr>
        <w:footnoteReference w:id="7"/>
      </w:r>
    </w:p>
    <w:p w14:paraId="1167A7FD" w14:textId="5AED3218" w:rsidR="00443917" w:rsidRPr="007175E4" w:rsidRDefault="00443917" w:rsidP="00443917">
      <w:pPr>
        <w:spacing w:before="360" w:after="240"/>
        <w:ind w:firstLine="720"/>
        <w:jc w:val="both"/>
        <w:rPr>
          <w:rFonts w:ascii="Cambria" w:hAnsi="Cambria"/>
          <w:b/>
          <w:bCs/>
          <w:sz w:val="20"/>
          <w:szCs w:val="20"/>
          <w:lang w:val="es-ES"/>
        </w:rPr>
      </w:pPr>
      <w:r>
        <w:rPr>
          <w:rFonts w:ascii="Cambria" w:hAnsi="Cambria"/>
          <w:b/>
          <w:bCs/>
          <w:sz w:val="20"/>
          <w:szCs w:val="20"/>
          <w:lang w:val="es-ES"/>
        </w:rPr>
        <w:t>III.</w:t>
      </w:r>
      <w:r>
        <w:rPr>
          <w:rFonts w:ascii="Cambria" w:hAnsi="Cambria"/>
          <w:b/>
          <w:bCs/>
          <w:sz w:val="20"/>
          <w:szCs w:val="20"/>
          <w:lang w:val="es-ES"/>
        </w:rPr>
        <w:tab/>
        <w:t>COMPETENCIA</w:t>
      </w:r>
    </w:p>
    <w:tbl>
      <w:tblPr>
        <w:tblStyle w:val="TableGrid"/>
        <w:tblW w:w="9180" w:type="dxa"/>
        <w:tblInd w:w="175" w:type="dxa"/>
        <w:tblBorders>
          <w:insideH w:val="single" w:sz="6" w:space="0" w:color="auto"/>
          <w:insideV w:val="single" w:sz="6" w:space="0" w:color="auto"/>
        </w:tblBorders>
        <w:tblLook w:val="04A0" w:firstRow="1" w:lastRow="0" w:firstColumn="1" w:lastColumn="0" w:noHBand="0" w:noVBand="1"/>
      </w:tblPr>
      <w:tblGrid>
        <w:gridCol w:w="3577"/>
        <w:gridCol w:w="5603"/>
      </w:tblGrid>
      <w:tr w:rsidR="00AA1FC9" w:rsidRPr="007175E4" w14:paraId="072532AD" w14:textId="77777777" w:rsidTr="00443917">
        <w:trPr>
          <w:cantSplit/>
        </w:trPr>
        <w:tc>
          <w:tcPr>
            <w:tcW w:w="3577" w:type="dxa"/>
            <w:tcBorders>
              <w:top w:val="single" w:sz="4" w:space="0" w:color="auto"/>
              <w:bottom w:val="single" w:sz="6" w:space="0" w:color="auto"/>
            </w:tcBorders>
            <w:shd w:val="clear" w:color="auto" w:fill="386294"/>
            <w:vAlign w:val="center"/>
          </w:tcPr>
          <w:p w14:paraId="5C2E4B34" w14:textId="24AE52E7" w:rsidR="00AA1FC9" w:rsidRPr="007175E4" w:rsidRDefault="00443917" w:rsidP="00443917">
            <w:pPr>
              <w:jc w:val="center"/>
              <w:rPr>
                <w:rFonts w:ascii="Cambria" w:hAnsi="Cambria"/>
                <w:b/>
                <w:i/>
                <w:color w:val="FFFFFF" w:themeColor="background1"/>
                <w:sz w:val="20"/>
                <w:szCs w:val="20"/>
                <w:lang w:val="es-ES"/>
              </w:rPr>
            </w:pPr>
            <w:r>
              <w:rPr>
                <w:rFonts w:ascii="Cambria" w:hAnsi="Cambria"/>
                <w:b/>
                <w:iCs/>
                <w:color w:val="FFFFFF" w:themeColor="background1"/>
                <w:sz w:val="20"/>
                <w:szCs w:val="20"/>
                <w:lang w:val="es-ES"/>
              </w:rPr>
              <w:t xml:space="preserve">Competencia </w:t>
            </w:r>
            <w:r w:rsidR="00AA1FC9" w:rsidRPr="007175E4">
              <w:rPr>
                <w:rFonts w:ascii="Cambria" w:hAnsi="Cambria"/>
                <w:b/>
                <w:i/>
                <w:color w:val="FFFFFF" w:themeColor="background1"/>
                <w:sz w:val="20"/>
                <w:szCs w:val="20"/>
                <w:lang w:val="es-ES"/>
              </w:rPr>
              <w:t>Ratione personae</w:t>
            </w:r>
            <w:r>
              <w:rPr>
                <w:rFonts w:ascii="Cambria" w:hAnsi="Cambria"/>
                <w:b/>
                <w:i/>
                <w:color w:val="FFFFFF" w:themeColor="background1"/>
                <w:sz w:val="20"/>
                <w:szCs w:val="20"/>
                <w:lang w:val="es-ES"/>
              </w:rPr>
              <w:t>:</w:t>
            </w:r>
          </w:p>
        </w:tc>
        <w:tc>
          <w:tcPr>
            <w:tcW w:w="5603" w:type="dxa"/>
          </w:tcPr>
          <w:p w14:paraId="7707F3E9" w14:textId="491FCDE8" w:rsidR="00AA1FC9" w:rsidRPr="007175E4" w:rsidRDefault="00AA1FC9" w:rsidP="00443917">
            <w:pPr>
              <w:rPr>
                <w:rFonts w:ascii="Cambria" w:hAnsi="Cambria"/>
                <w:bCs/>
                <w:sz w:val="20"/>
                <w:szCs w:val="20"/>
                <w:lang w:val="es-ES"/>
              </w:rPr>
            </w:pPr>
            <w:r w:rsidRPr="007175E4">
              <w:rPr>
                <w:rFonts w:ascii="Cambria" w:hAnsi="Cambria"/>
                <w:sz w:val="20"/>
                <w:szCs w:val="20"/>
                <w:lang w:val="es-ES"/>
              </w:rPr>
              <w:t>Sí</w:t>
            </w:r>
          </w:p>
        </w:tc>
      </w:tr>
      <w:tr w:rsidR="00AA1FC9" w:rsidRPr="007175E4" w14:paraId="4B8802DA" w14:textId="77777777" w:rsidTr="00443917">
        <w:trPr>
          <w:cantSplit/>
        </w:trPr>
        <w:tc>
          <w:tcPr>
            <w:tcW w:w="3577" w:type="dxa"/>
            <w:tcBorders>
              <w:top w:val="single" w:sz="6" w:space="0" w:color="auto"/>
              <w:bottom w:val="single" w:sz="6" w:space="0" w:color="auto"/>
            </w:tcBorders>
            <w:shd w:val="clear" w:color="auto" w:fill="386294"/>
            <w:vAlign w:val="center"/>
          </w:tcPr>
          <w:p w14:paraId="3915C23B" w14:textId="4EAF1BC5" w:rsidR="00AA1FC9" w:rsidRPr="007175E4" w:rsidRDefault="00443917" w:rsidP="00443917">
            <w:pPr>
              <w:jc w:val="center"/>
              <w:rPr>
                <w:rFonts w:ascii="Cambria" w:hAnsi="Cambria"/>
                <w:b/>
                <w:i/>
                <w:color w:val="FFFFFF" w:themeColor="background1"/>
                <w:sz w:val="20"/>
                <w:szCs w:val="20"/>
                <w:lang w:val="es-ES"/>
              </w:rPr>
            </w:pPr>
            <w:r>
              <w:rPr>
                <w:rFonts w:ascii="Cambria" w:hAnsi="Cambria"/>
                <w:b/>
                <w:iCs/>
                <w:color w:val="FFFFFF" w:themeColor="background1"/>
                <w:sz w:val="20"/>
                <w:szCs w:val="20"/>
                <w:lang w:val="es-ES"/>
              </w:rPr>
              <w:t xml:space="preserve">Competencia </w:t>
            </w:r>
            <w:r w:rsidR="00AA1FC9" w:rsidRPr="007175E4">
              <w:rPr>
                <w:rFonts w:ascii="Cambria" w:hAnsi="Cambria"/>
                <w:b/>
                <w:i/>
                <w:color w:val="FFFFFF" w:themeColor="background1"/>
                <w:sz w:val="20"/>
                <w:szCs w:val="20"/>
                <w:lang w:val="es-ES"/>
              </w:rPr>
              <w:t>Ratione loci</w:t>
            </w:r>
            <w:r>
              <w:rPr>
                <w:rFonts w:ascii="Cambria" w:hAnsi="Cambria"/>
                <w:b/>
                <w:i/>
                <w:color w:val="FFFFFF" w:themeColor="background1"/>
                <w:sz w:val="20"/>
                <w:szCs w:val="20"/>
                <w:lang w:val="es-ES"/>
              </w:rPr>
              <w:t>:</w:t>
            </w:r>
          </w:p>
        </w:tc>
        <w:tc>
          <w:tcPr>
            <w:tcW w:w="5603" w:type="dxa"/>
          </w:tcPr>
          <w:p w14:paraId="12C931CB" w14:textId="642B1A91" w:rsidR="00AA1FC9" w:rsidRPr="007175E4" w:rsidRDefault="00AA1FC9" w:rsidP="00443917">
            <w:pPr>
              <w:rPr>
                <w:rFonts w:ascii="Cambria" w:hAnsi="Cambria"/>
                <w:bCs/>
                <w:sz w:val="20"/>
                <w:szCs w:val="20"/>
                <w:lang w:val="es-ES"/>
              </w:rPr>
            </w:pPr>
            <w:r w:rsidRPr="007175E4">
              <w:rPr>
                <w:rFonts w:ascii="Cambria" w:hAnsi="Cambria"/>
                <w:sz w:val="20"/>
                <w:szCs w:val="20"/>
                <w:lang w:val="es-ES"/>
              </w:rPr>
              <w:t>Sí</w:t>
            </w:r>
          </w:p>
        </w:tc>
      </w:tr>
      <w:tr w:rsidR="00AA1FC9" w:rsidRPr="007175E4" w14:paraId="4362FDF3" w14:textId="77777777" w:rsidTr="00443917">
        <w:trPr>
          <w:cantSplit/>
        </w:trPr>
        <w:tc>
          <w:tcPr>
            <w:tcW w:w="3577" w:type="dxa"/>
            <w:tcBorders>
              <w:top w:val="single" w:sz="6" w:space="0" w:color="auto"/>
              <w:bottom w:val="single" w:sz="6" w:space="0" w:color="auto"/>
            </w:tcBorders>
            <w:shd w:val="clear" w:color="auto" w:fill="386294"/>
            <w:vAlign w:val="center"/>
          </w:tcPr>
          <w:p w14:paraId="3BE23153" w14:textId="2EC922B8" w:rsidR="00AA1FC9" w:rsidRPr="007175E4" w:rsidRDefault="00443917" w:rsidP="00443917">
            <w:pPr>
              <w:jc w:val="center"/>
              <w:rPr>
                <w:rFonts w:ascii="Cambria" w:hAnsi="Cambria"/>
                <w:b/>
                <w:i/>
                <w:color w:val="FFFFFF" w:themeColor="background1"/>
                <w:sz w:val="20"/>
                <w:szCs w:val="20"/>
                <w:lang w:val="es-ES"/>
              </w:rPr>
            </w:pPr>
            <w:r>
              <w:rPr>
                <w:rFonts w:ascii="Cambria" w:hAnsi="Cambria"/>
                <w:b/>
                <w:iCs/>
                <w:color w:val="FFFFFF" w:themeColor="background1"/>
                <w:sz w:val="20"/>
                <w:szCs w:val="20"/>
                <w:lang w:val="es-ES"/>
              </w:rPr>
              <w:t xml:space="preserve">Competencia </w:t>
            </w:r>
            <w:r w:rsidR="00AA1FC9" w:rsidRPr="007175E4">
              <w:rPr>
                <w:rFonts w:ascii="Cambria" w:hAnsi="Cambria"/>
                <w:b/>
                <w:i/>
                <w:color w:val="FFFFFF" w:themeColor="background1"/>
                <w:sz w:val="20"/>
                <w:szCs w:val="20"/>
                <w:lang w:val="es-ES"/>
              </w:rPr>
              <w:t>Ratione temporis</w:t>
            </w:r>
            <w:r>
              <w:rPr>
                <w:rFonts w:ascii="Cambria" w:hAnsi="Cambria"/>
                <w:b/>
                <w:i/>
                <w:color w:val="FFFFFF" w:themeColor="background1"/>
                <w:sz w:val="20"/>
                <w:szCs w:val="20"/>
                <w:lang w:val="es-ES"/>
              </w:rPr>
              <w:t>:</w:t>
            </w:r>
          </w:p>
        </w:tc>
        <w:tc>
          <w:tcPr>
            <w:tcW w:w="5603" w:type="dxa"/>
          </w:tcPr>
          <w:p w14:paraId="6F8B059B" w14:textId="64A70BFC" w:rsidR="00AA1FC9" w:rsidRPr="007175E4" w:rsidRDefault="00AA1FC9" w:rsidP="00443917">
            <w:pPr>
              <w:rPr>
                <w:rFonts w:ascii="Cambria" w:hAnsi="Cambria"/>
                <w:bCs/>
                <w:sz w:val="20"/>
                <w:szCs w:val="20"/>
                <w:lang w:val="es-ES"/>
              </w:rPr>
            </w:pPr>
            <w:r w:rsidRPr="007175E4">
              <w:rPr>
                <w:rFonts w:ascii="Cambria" w:hAnsi="Cambria"/>
                <w:sz w:val="20"/>
                <w:szCs w:val="20"/>
                <w:lang w:val="es-ES"/>
              </w:rPr>
              <w:t>Sí</w:t>
            </w:r>
          </w:p>
        </w:tc>
      </w:tr>
      <w:tr w:rsidR="00AA1FC9" w:rsidRPr="00437ED8" w14:paraId="30ABEC3E" w14:textId="77777777" w:rsidTr="00443917">
        <w:trPr>
          <w:cantSplit/>
        </w:trPr>
        <w:tc>
          <w:tcPr>
            <w:tcW w:w="3577" w:type="dxa"/>
            <w:tcBorders>
              <w:top w:val="single" w:sz="6" w:space="0" w:color="auto"/>
              <w:bottom w:val="single" w:sz="6" w:space="0" w:color="auto"/>
            </w:tcBorders>
            <w:shd w:val="clear" w:color="auto" w:fill="386294"/>
            <w:vAlign w:val="center"/>
          </w:tcPr>
          <w:p w14:paraId="47B529D2" w14:textId="7545B1A0" w:rsidR="00AA1FC9" w:rsidRPr="007175E4" w:rsidRDefault="00443917" w:rsidP="00443917">
            <w:pPr>
              <w:jc w:val="center"/>
              <w:rPr>
                <w:rFonts w:ascii="Cambria" w:hAnsi="Cambria"/>
                <w:b/>
                <w:i/>
                <w:color w:val="FFFFFF" w:themeColor="background1"/>
                <w:sz w:val="20"/>
                <w:szCs w:val="20"/>
                <w:lang w:val="es-ES"/>
              </w:rPr>
            </w:pPr>
            <w:r>
              <w:rPr>
                <w:rFonts w:ascii="Cambria" w:hAnsi="Cambria"/>
                <w:b/>
                <w:iCs/>
                <w:color w:val="FFFFFF" w:themeColor="background1"/>
                <w:sz w:val="20"/>
                <w:szCs w:val="20"/>
                <w:lang w:val="es-ES"/>
              </w:rPr>
              <w:t xml:space="preserve">Competencia </w:t>
            </w:r>
            <w:r w:rsidR="00AA1FC9" w:rsidRPr="007175E4">
              <w:rPr>
                <w:rFonts w:ascii="Cambria" w:hAnsi="Cambria"/>
                <w:b/>
                <w:i/>
                <w:color w:val="FFFFFF" w:themeColor="background1"/>
                <w:sz w:val="20"/>
                <w:szCs w:val="20"/>
                <w:lang w:val="es-ES"/>
              </w:rPr>
              <w:t>Ratione materiae</w:t>
            </w:r>
            <w:r>
              <w:rPr>
                <w:rFonts w:ascii="Cambria" w:hAnsi="Cambria"/>
                <w:b/>
                <w:i/>
                <w:color w:val="FFFFFF" w:themeColor="background1"/>
                <w:sz w:val="20"/>
                <w:szCs w:val="20"/>
                <w:lang w:val="es-ES"/>
              </w:rPr>
              <w:t>:</w:t>
            </w:r>
          </w:p>
        </w:tc>
        <w:tc>
          <w:tcPr>
            <w:tcW w:w="5603" w:type="dxa"/>
          </w:tcPr>
          <w:p w14:paraId="0C122F44" w14:textId="3EE48B7C" w:rsidR="00AA1FC9" w:rsidRPr="007175E4" w:rsidRDefault="00AA1FC9" w:rsidP="00443917">
            <w:pPr>
              <w:jc w:val="both"/>
              <w:rPr>
                <w:rFonts w:ascii="Cambria" w:hAnsi="Cambria"/>
                <w:bCs/>
                <w:sz w:val="20"/>
                <w:szCs w:val="20"/>
                <w:lang w:val="es-ES"/>
              </w:rPr>
            </w:pPr>
            <w:r w:rsidRPr="007175E4">
              <w:rPr>
                <w:rFonts w:ascii="Cambria" w:hAnsi="Cambria"/>
                <w:sz w:val="20"/>
                <w:szCs w:val="20"/>
                <w:lang w:val="es-ES"/>
              </w:rPr>
              <w:t>Sí, Convención Americana (depósito de</w:t>
            </w:r>
            <w:r w:rsidR="002E5993" w:rsidRPr="007175E4">
              <w:rPr>
                <w:rFonts w:ascii="Cambria" w:hAnsi="Cambria"/>
                <w:sz w:val="20"/>
                <w:szCs w:val="20"/>
                <w:lang w:val="es-ES"/>
              </w:rPr>
              <w:t>l</w:t>
            </w:r>
            <w:r w:rsidRPr="007175E4">
              <w:rPr>
                <w:rFonts w:ascii="Cambria" w:hAnsi="Cambria"/>
                <w:sz w:val="20"/>
                <w:szCs w:val="20"/>
                <w:lang w:val="es-ES"/>
              </w:rPr>
              <w:t xml:space="preserve"> instrumento </w:t>
            </w:r>
            <w:r w:rsidR="002E5993" w:rsidRPr="007175E4">
              <w:rPr>
                <w:rFonts w:ascii="Cambria" w:hAnsi="Cambria"/>
                <w:sz w:val="20"/>
                <w:szCs w:val="20"/>
                <w:lang w:val="es-ES"/>
              </w:rPr>
              <w:t xml:space="preserve">de ratificación </w:t>
            </w:r>
            <w:r w:rsidRPr="007175E4">
              <w:rPr>
                <w:rFonts w:ascii="Cambria" w:hAnsi="Cambria"/>
                <w:sz w:val="20"/>
                <w:szCs w:val="20"/>
                <w:lang w:val="es-ES"/>
              </w:rPr>
              <w:t>real</w:t>
            </w:r>
            <w:r w:rsidR="000B4E5A" w:rsidRPr="007175E4">
              <w:rPr>
                <w:rFonts w:ascii="Cambria" w:hAnsi="Cambria"/>
                <w:sz w:val="20"/>
                <w:szCs w:val="20"/>
                <w:lang w:val="es-ES"/>
              </w:rPr>
              <w:t xml:space="preserve">izado el </w:t>
            </w:r>
            <w:r w:rsidR="00973F81" w:rsidRPr="007175E4">
              <w:rPr>
                <w:rFonts w:ascii="Cambria" w:hAnsi="Cambria"/>
                <w:sz w:val="20"/>
                <w:szCs w:val="20"/>
                <w:lang w:val="es-ES"/>
              </w:rPr>
              <w:t>31 de julio</w:t>
            </w:r>
            <w:r w:rsidR="000B4E5A" w:rsidRPr="007175E4">
              <w:rPr>
                <w:rFonts w:ascii="Cambria" w:hAnsi="Cambria"/>
                <w:sz w:val="20"/>
                <w:szCs w:val="20"/>
                <w:lang w:val="es-ES"/>
              </w:rPr>
              <w:t xml:space="preserve"> de 19</w:t>
            </w:r>
            <w:r w:rsidR="00973F81" w:rsidRPr="007175E4">
              <w:rPr>
                <w:rFonts w:ascii="Cambria" w:hAnsi="Cambria"/>
                <w:sz w:val="20"/>
                <w:szCs w:val="20"/>
                <w:lang w:val="es-ES"/>
              </w:rPr>
              <w:t>73</w:t>
            </w:r>
            <w:r w:rsidR="000B4E5A" w:rsidRPr="007175E4">
              <w:rPr>
                <w:rFonts w:ascii="Cambria" w:hAnsi="Cambria"/>
                <w:sz w:val="20"/>
                <w:szCs w:val="20"/>
                <w:lang w:val="es-ES"/>
              </w:rPr>
              <w:t>)</w:t>
            </w:r>
          </w:p>
        </w:tc>
      </w:tr>
    </w:tbl>
    <w:p w14:paraId="4E92C444" w14:textId="6AA541C0" w:rsidR="003239B8" w:rsidRPr="007175E4" w:rsidRDefault="003239B8" w:rsidP="00443917">
      <w:pPr>
        <w:spacing w:before="240" w:after="240"/>
        <w:ind w:firstLine="720"/>
        <w:jc w:val="both"/>
        <w:rPr>
          <w:rFonts w:ascii="Cambria" w:hAnsi="Cambria"/>
          <w:b/>
          <w:bCs/>
          <w:sz w:val="20"/>
          <w:szCs w:val="20"/>
          <w:lang w:val="es-ES"/>
        </w:rPr>
      </w:pPr>
      <w:r w:rsidRPr="007175E4">
        <w:rPr>
          <w:rFonts w:ascii="Cambria" w:hAnsi="Cambria"/>
          <w:b/>
          <w:bCs/>
          <w:sz w:val="20"/>
          <w:szCs w:val="20"/>
          <w:lang w:val="es-ES"/>
        </w:rPr>
        <w:t xml:space="preserve">IV. </w:t>
      </w:r>
      <w:r w:rsidRPr="007175E4">
        <w:rPr>
          <w:rFonts w:ascii="Cambria" w:hAnsi="Cambria"/>
          <w:b/>
          <w:bCs/>
          <w:sz w:val="20"/>
          <w:szCs w:val="20"/>
          <w:lang w:val="es-ES"/>
        </w:rPr>
        <w:tab/>
      </w:r>
      <w:r w:rsidR="00EE00E9" w:rsidRPr="007175E4">
        <w:rPr>
          <w:rFonts w:ascii="Cambria" w:hAnsi="Cambria"/>
          <w:b/>
          <w:bCs/>
          <w:sz w:val="20"/>
          <w:szCs w:val="20"/>
          <w:lang w:val="es-ES"/>
        </w:rPr>
        <w:t>DUPLICACIÓN</w:t>
      </w:r>
      <w:r w:rsidR="00EE00E9" w:rsidRPr="007175E4">
        <w:rPr>
          <w:rFonts w:ascii="Cambria" w:hAnsi="Cambria"/>
          <w:b/>
          <w:bCs/>
          <w:color w:val="FFFFFF" w:themeColor="background1"/>
          <w:sz w:val="20"/>
          <w:szCs w:val="20"/>
          <w:lang w:val="es-ES"/>
        </w:rPr>
        <w:t xml:space="preserve"> </w:t>
      </w:r>
      <w:r w:rsidR="00EE00E9" w:rsidRPr="007175E4">
        <w:rPr>
          <w:rFonts w:ascii="Cambria" w:hAnsi="Cambria"/>
          <w:b/>
          <w:bCs/>
          <w:sz w:val="20"/>
          <w:szCs w:val="20"/>
          <w:lang w:val="es-ES"/>
        </w:rPr>
        <w:t>DE PROCEDIMIENTOS Y COSA JUZGADA</w:t>
      </w:r>
      <w:r w:rsidR="00EE00E9" w:rsidRPr="007175E4">
        <w:rPr>
          <w:rFonts w:ascii="Cambria" w:hAnsi="Cambria"/>
          <w:b/>
          <w:bCs/>
          <w:i/>
          <w:sz w:val="20"/>
          <w:szCs w:val="20"/>
          <w:lang w:val="es-ES"/>
        </w:rPr>
        <w:t xml:space="preserve"> </w:t>
      </w:r>
      <w:r w:rsidR="00F4378E" w:rsidRPr="007175E4">
        <w:rPr>
          <w:rFonts w:ascii="Cambria" w:hAnsi="Cambria"/>
          <w:b/>
          <w:bCs/>
          <w:sz w:val="20"/>
          <w:szCs w:val="20"/>
          <w:lang w:val="es-ES"/>
        </w:rPr>
        <w:t>INTERNACIONAL, CARACTERIZACIÓN</w:t>
      </w:r>
      <w:r w:rsidRPr="007175E4">
        <w:rPr>
          <w:rFonts w:ascii="Cambria" w:hAnsi="Cambria"/>
          <w:b/>
          <w:bCs/>
          <w:sz w:val="20"/>
          <w:szCs w:val="20"/>
          <w:lang w:val="es-ES"/>
        </w:rPr>
        <w:t xml:space="preserve">, </w:t>
      </w:r>
      <w:r w:rsidRPr="007175E4">
        <w:rPr>
          <w:rFonts w:ascii="Cambria" w:hAnsi="Cambria"/>
          <w:b/>
          <w:sz w:val="20"/>
          <w:szCs w:val="20"/>
          <w:lang w:val="es-ES"/>
        </w:rPr>
        <w:t>AGOTAMIENTO DE LOS RECURSOS INTERNOS Y PLAZO DE PRESENTACIÓN</w:t>
      </w:r>
    </w:p>
    <w:tbl>
      <w:tblPr>
        <w:tblStyle w:val="TableGrid"/>
        <w:tblW w:w="9180" w:type="dxa"/>
        <w:tblInd w:w="175" w:type="dxa"/>
        <w:tblBorders>
          <w:insideH w:val="single" w:sz="6" w:space="0" w:color="auto"/>
          <w:insideV w:val="single" w:sz="6" w:space="0" w:color="auto"/>
        </w:tblBorders>
        <w:tblLook w:val="04A0" w:firstRow="1" w:lastRow="0" w:firstColumn="1" w:lastColumn="0" w:noHBand="0" w:noVBand="1"/>
      </w:tblPr>
      <w:tblGrid>
        <w:gridCol w:w="3510"/>
        <w:gridCol w:w="5670"/>
      </w:tblGrid>
      <w:tr w:rsidR="00EE00E9" w:rsidRPr="007175E4" w14:paraId="1231C988" w14:textId="77777777" w:rsidTr="00DA31AC">
        <w:trPr>
          <w:cantSplit/>
        </w:trPr>
        <w:tc>
          <w:tcPr>
            <w:tcW w:w="3510" w:type="dxa"/>
            <w:tcBorders>
              <w:top w:val="single" w:sz="4" w:space="0" w:color="auto"/>
              <w:bottom w:val="single" w:sz="6" w:space="0" w:color="auto"/>
            </w:tcBorders>
            <w:shd w:val="clear" w:color="auto" w:fill="386294"/>
            <w:vAlign w:val="center"/>
          </w:tcPr>
          <w:p w14:paraId="6F8031F4" w14:textId="2FEC89D2" w:rsidR="00EE00E9" w:rsidRPr="00443917" w:rsidRDefault="00EE00E9" w:rsidP="00DA31AC">
            <w:pPr>
              <w:jc w:val="center"/>
              <w:rPr>
                <w:rFonts w:ascii="Cambria" w:hAnsi="Cambria"/>
                <w:b/>
                <w:color w:val="FFFFFF" w:themeColor="background1"/>
                <w:sz w:val="20"/>
                <w:szCs w:val="20"/>
                <w:lang w:val="es-ES"/>
              </w:rPr>
            </w:pPr>
            <w:r w:rsidRPr="00443917">
              <w:rPr>
                <w:rFonts w:ascii="Cambria" w:hAnsi="Cambria"/>
                <w:b/>
                <w:color w:val="FFFFFF" w:themeColor="background1"/>
                <w:sz w:val="20"/>
                <w:szCs w:val="20"/>
                <w:lang w:val="es-ES"/>
              </w:rPr>
              <w:t xml:space="preserve">Duplicación </w:t>
            </w:r>
            <w:r w:rsidR="00443917">
              <w:rPr>
                <w:rFonts w:ascii="Cambria" w:hAnsi="Cambria"/>
                <w:b/>
                <w:color w:val="FFFFFF" w:themeColor="background1"/>
                <w:sz w:val="20"/>
                <w:szCs w:val="20"/>
                <w:lang w:val="es-ES"/>
              </w:rPr>
              <w:t xml:space="preserve">de procedimientos </w:t>
            </w:r>
            <w:r w:rsidR="00D77503" w:rsidRPr="00443917">
              <w:rPr>
                <w:rFonts w:ascii="Cambria" w:hAnsi="Cambria"/>
                <w:b/>
                <w:color w:val="FFFFFF" w:themeColor="background1"/>
                <w:sz w:val="20"/>
                <w:szCs w:val="20"/>
                <w:lang w:val="es-ES"/>
              </w:rPr>
              <w:t>y cosa juzgada internacional</w:t>
            </w:r>
            <w:r w:rsidR="00443917">
              <w:rPr>
                <w:rFonts w:ascii="Cambria" w:hAnsi="Cambria"/>
                <w:b/>
                <w:color w:val="FFFFFF" w:themeColor="background1"/>
                <w:sz w:val="20"/>
                <w:szCs w:val="20"/>
                <w:lang w:val="es-ES"/>
              </w:rPr>
              <w:t>:</w:t>
            </w:r>
          </w:p>
        </w:tc>
        <w:tc>
          <w:tcPr>
            <w:tcW w:w="5670" w:type="dxa"/>
            <w:vAlign w:val="center"/>
          </w:tcPr>
          <w:p w14:paraId="240941E6" w14:textId="028B5D36" w:rsidR="00EE00E9" w:rsidRPr="007175E4" w:rsidRDefault="00ED70FC" w:rsidP="00DA31AC">
            <w:pPr>
              <w:jc w:val="both"/>
              <w:rPr>
                <w:rFonts w:ascii="Cambria" w:hAnsi="Cambria"/>
                <w:bCs/>
                <w:sz w:val="20"/>
                <w:szCs w:val="20"/>
                <w:lang w:val="es-ES"/>
              </w:rPr>
            </w:pPr>
            <w:r w:rsidRPr="007175E4">
              <w:rPr>
                <w:rFonts w:ascii="Cambria" w:hAnsi="Cambria"/>
                <w:bCs/>
                <w:sz w:val="20"/>
                <w:szCs w:val="20"/>
                <w:lang w:val="es-ES"/>
              </w:rPr>
              <w:t>No</w:t>
            </w:r>
          </w:p>
        </w:tc>
      </w:tr>
      <w:tr w:rsidR="00214755" w:rsidRPr="00437ED8" w14:paraId="15FAA7D1" w14:textId="77777777" w:rsidTr="00DA31AC">
        <w:trPr>
          <w:cantSplit/>
        </w:trPr>
        <w:tc>
          <w:tcPr>
            <w:tcW w:w="3510" w:type="dxa"/>
            <w:tcBorders>
              <w:top w:val="single" w:sz="4" w:space="0" w:color="auto"/>
              <w:bottom w:val="single" w:sz="6" w:space="0" w:color="auto"/>
            </w:tcBorders>
            <w:shd w:val="clear" w:color="auto" w:fill="386294"/>
            <w:vAlign w:val="center"/>
          </w:tcPr>
          <w:p w14:paraId="1B0D29FF" w14:textId="16AAC24C" w:rsidR="00214755" w:rsidRPr="00443917" w:rsidRDefault="00214755" w:rsidP="00DA31AC">
            <w:pPr>
              <w:jc w:val="center"/>
              <w:rPr>
                <w:rFonts w:ascii="Cambria" w:hAnsi="Cambria"/>
                <w:b/>
                <w:i/>
                <w:color w:val="FFFFFF" w:themeColor="background1"/>
                <w:sz w:val="20"/>
                <w:szCs w:val="20"/>
                <w:lang w:val="es-ES"/>
              </w:rPr>
            </w:pPr>
            <w:r w:rsidRPr="00443917">
              <w:rPr>
                <w:rFonts w:ascii="Cambria" w:hAnsi="Cambria"/>
                <w:b/>
                <w:color w:val="FFFFFF" w:themeColor="background1"/>
                <w:sz w:val="20"/>
                <w:szCs w:val="20"/>
                <w:lang w:val="es-ES"/>
              </w:rPr>
              <w:t xml:space="preserve">Derechos </w:t>
            </w:r>
            <w:r w:rsidR="00443917">
              <w:rPr>
                <w:rFonts w:ascii="Cambria" w:hAnsi="Cambria"/>
                <w:b/>
                <w:color w:val="FFFFFF" w:themeColor="background1"/>
                <w:sz w:val="20"/>
                <w:szCs w:val="20"/>
                <w:lang w:val="es-ES"/>
              </w:rPr>
              <w:t>declarados admisibles:</w:t>
            </w:r>
          </w:p>
        </w:tc>
        <w:tc>
          <w:tcPr>
            <w:tcW w:w="5670" w:type="dxa"/>
            <w:vAlign w:val="center"/>
          </w:tcPr>
          <w:p w14:paraId="6310C8F7" w14:textId="401B8D7C" w:rsidR="00214755" w:rsidRPr="006D645B" w:rsidRDefault="000B4E5A" w:rsidP="00DA31AC">
            <w:pPr>
              <w:jc w:val="both"/>
              <w:rPr>
                <w:rFonts w:ascii="Cambria" w:hAnsi="Cambria"/>
                <w:bCs/>
                <w:sz w:val="20"/>
                <w:szCs w:val="20"/>
                <w:lang w:val="es-ES"/>
              </w:rPr>
            </w:pPr>
            <w:r w:rsidRPr="006D645B">
              <w:rPr>
                <w:rFonts w:ascii="Cambria" w:hAnsi="Cambria"/>
                <w:sz w:val="20"/>
                <w:szCs w:val="20"/>
                <w:lang w:val="es-MX"/>
              </w:rPr>
              <w:t xml:space="preserve">Artículos </w:t>
            </w:r>
            <w:r w:rsidR="008B67B2" w:rsidRPr="006D645B">
              <w:rPr>
                <w:rFonts w:ascii="Cambria" w:hAnsi="Cambria"/>
                <w:sz w:val="20"/>
                <w:szCs w:val="20"/>
                <w:lang w:val="es-ES"/>
              </w:rPr>
              <w:t xml:space="preserve">8 (garantías judiciales), </w:t>
            </w:r>
            <w:r w:rsidR="008B67B2" w:rsidRPr="006D645B">
              <w:rPr>
                <w:rFonts w:ascii="Cambria" w:hAnsi="Cambria"/>
                <w:bCs/>
                <w:sz w:val="20"/>
                <w:szCs w:val="20"/>
                <w:lang w:val="es-ES"/>
              </w:rPr>
              <w:t xml:space="preserve">24 </w:t>
            </w:r>
            <w:r w:rsidR="008B67B2" w:rsidRPr="006D645B">
              <w:rPr>
                <w:rFonts w:ascii="Cambria" w:hAnsi="Cambria"/>
                <w:bCs/>
                <w:sz w:val="20"/>
                <w:szCs w:val="20"/>
                <w:lang w:val="es-VE"/>
              </w:rPr>
              <w:t>(igualdad ante la ley)</w:t>
            </w:r>
            <w:r w:rsidR="00E01886" w:rsidRPr="006D645B">
              <w:rPr>
                <w:rFonts w:ascii="Cambria" w:hAnsi="Cambria"/>
                <w:bCs/>
                <w:sz w:val="20"/>
                <w:szCs w:val="20"/>
                <w:lang w:val="es-VE"/>
              </w:rPr>
              <w:t xml:space="preserve"> y</w:t>
            </w:r>
            <w:r w:rsidR="008B67B2" w:rsidRPr="006D645B">
              <w:rPr>
                <w:rFonts w:ascii="Cambria" w:hAnsi="Cambria"/>
                <w:bCs/>
                <w:sz w:val="20"/>
                <w:szCs w:val="20"/>
                <w:lang w:val="es-ES"/>
              </w:rPr>
              <w:t xml:space="preserve"> </w:t>
            </w:r>
            <w:r w:rsidR="008B67B2" w:rsidRPr="006D645B">
              <w:rPr>
                <w:rFonts w:ascii="Cambria" w:hAnsi="Cambria"/>
                <w:sz w:val="20"/>
                <w:szCs w:val="20"/>
                <w:lang w:val="es-ES"/>
              </w:rPr>
              <w:t xml:space="preserve">25 (protección judicial) </w:t>
            </w:r>
            <w:r w:rsidRPr="006D645B">
              <w:rPr>
                <w:rFonts w:ascii="Cambria" w:hAnsi="Cambria"/>
                <w:sz w:val="20"/>
                <w:szCs w:val="20"/>
                <w:lang w:val="es-MX"/>
              </w:rPr>
              <w:t>de la Convención Americana</w:t>
            </w:r>
            <w:r w:rsidR="0011584C">
              <w:rPr>
                <w:rFonts w:ascii="Cambria" w:hAnsi="Cambria"/>
                <w:sz w:val="20"/>
                <w:szCs w:val="20"/>
                <w:lang w:val="es-MX"/>
              </w:rPr>
              <w:t>,</w:t>
            </w:r>
            <w:r w:rsidRPr="006D645B">
              <w:rPr>
                <w:rFonts w:ascii="Cambria" w:hAnsi="Cambria"/>
                <w:sz w:val="20"/>
                <w:szCs w:val="20"/>
                <w:lang w:val="es-MX"/>
              </w:rPr>
              <w:t xml:space="preserve"> en relación con </w:t>
            </w:r>
            <w:r w:rsidR="00DA31AC" w:rsidRPr="006D645B">
              <w:rPr>
                <w:rFonts w:ascii="Cambria" w:hAnsi="Cambria"/>
                <w:sz w:val="20"/>
                <w:szCs w:val="20"/>
                <w:lang w:val="es-MX"/>
              </w:rPr>
              <w:t xml:space="preserve">los </w:t>
            </w:r>
            <w:r w:rsidRPr="006D645B">
              <w:rPr>
                <w:rFonts w:ascii="Cambria" w:hAnsi="Cambria"/>
                <w:sz w:val="20"/>
                <w:szCs w:val="20"/>
                <w:lang w:val="es-MX"/>
              </w:rPr>
              <w:t>artículos 1.1 (obligación de respetar los derechos) y 2 (deber de adoptar disposiciones de derecho interno)</w:t>
            </w:r>
            <w:r w:rsidR="00DA31AC" w:rsidRPr="006D645B">
              <w:rPr>
                <w:rFonts w:ascii="Cambria" w:hAnsi="Cambria"/>
                <w:sz w:val="20"/>
                <w:szCs w:val="20"/>
                <w:lang w:val="es-MX"/>
              </w:rPr>
              <w:t xml:space="preserve"> del mismo instrumento</w:t>
            </w:r>
          </w:p>
        </w:tc>
      </w:tr>
      <w:tr w:rsidR="00214755" w:rsidRPr="00437ED8" w14:paraId="4EFD141E" w14:textId="77777777" w:rsidTr="00DA31AC">
        <w:trPr>
          <w:cantSplit/>
        </w:trPr>
        <w:tc>
          <w:tcPr>
            <w:tcW w:w="3510" w:type="dxa"/>
            <w:tcBorders>
              <w:top w:val="single" w:sz="6" w:space="0" w:color="auto"/>
              <w:bottom w:val="single" w:sz="6" w:space="0" w:color="auto"/>
            </w:tcBorders>
            <w:shd w:val="clear" w:color="auto" w:fill="386294"/>
            <w:vAlign w:val="center"/>
          </w:tcPr>
          <w:p w14:paraId="4C04A89C" w14:textId="2FB6E638" w:rsidR="00214755" w:rsidRPr="00443917" w:rsidRDefault="00214755" w:rsidP="00DA31AC">
            <w:pPr>
              <w:jc w:val="center"/>
              <w:rPr>
                <w:rFonts w:ascii="Cambria" w:hAnsi="Cambria"/>
                <w:b/>
                <w:color w:val="FFFFFF" w:themeColor="background1"/>
                <w:sz w:val="20"/>
                <w:szCs w:val="20"/>
                <w:lang w:val="es-ES"/>
              </w:rPr>
            </w:pPr>
            <w:r w:rsidRPr="00443917">
              <w:rPr>
                <w:rFonts w:ascii="Cambria" w:hAnsi="Cambria"/>
                <w:b/>
                <w:color w:val="FFFFFF" w:themeColor="background1"/>
                <w:sz w:val="20"/>
                <w:szCs w:val="20"/>
                <w:lang w:val="es-ES"/>
              </w:rPr>
              <w:t xml:space="preserve">Agotamiento de recursos </w:t>
            </w:r>
            <w:r w:rsidR="00443917">
              <w:rPr>
                <w:rFonts w:ascii="Cambria" w:hAnsi="Cambria"/>
                <w:b/>
                <w:color w:val="FFFFFF" w:themeColor="background1"/>
                <w:sz w:val="20"/>
                <w:szCs w:val="20"/>
                <w:lang w:val="es-ES"/>
              </w:rPr>
              <w:t xml:space="preserve">internos </w:t>
            </w:r>
            <w:r w:rsidRPr="00443917">
              <w:rPr>
                <w:rFonts w:ascii="Cambria" w:hAnsi="Cambria"/>
                <w:b/>
                <w:color w:val="FFFFFF" w:themeColor="background1"/>
                <w:sz w:val="20"/>
                <w:szCs w:val="20"/>
                <w:lang w:val="es-ES"/>
              </w:rPr>
              <w:t>o procedencia de una excepción</w:t>
            </w:r>
            <w:r w:rsidR="00443917">
              <w:rPr>
                <w:rFonts w:ascii="Cambria" w:hAnsi="Cambria"/>
                <w:b/>
                <w:color w:val="FFFFFF" w:themeColor="background1"/>
                <w:sz w:val="20"/>
                <w:szCs w:val="20"/>
                <w:lang w:val="es-ES"/>
              </w:rPr>
              <w:t>:</w:t>
            </w:r>
          </w:p>
        </w:tc>
        <w:tc>
          <w:tcPr>
            <w:tcW w:w="5670" w:type="dxa"/>
            <w:vAlign w:val="center"/>
          </w:tcPr>
          <w:p w14:paraId="69C53E8A" w14:textId="123041A3" w:rsidR="00214755" w:rsidRPr="006D645B" w:rsidRDefault="00214755" w:rsidP="00DA31AC">
            <w:pPr>
              <w:jc w:val="both"/>
              <w:rPr>
                <w:rFonts w:ascii="Cambria" w:hAnsi="Cambria"/>
                <w:bCs/>
                <w:sz w:val="20"/>
                <w:szCs w:val="20"/>
                <w:lang w:val="es-ES"/>
              </w:rPr>
            </w:pPr>
            <w:r w:rsidRPr="006D645B">
              <w:rPr>
                <w:rFonts w:ascii="Cambria" w:hAnsi="Cambria"/>
                <w:sz w:val="20"/>
                <w:szCs w:val="20"/>
                <w:lang w:val="es-MX"/>
              </w:rPr>
              <w:t>Sí</w:t>
            </w:r>
            <w:r w:rsidR="00E01886" w:rsidRPr="006D645B">
              <w:rPr>
                <w:rFonts w:ascii="Cambria" w:hAnsi="Cambria"/>
                <w:sz w:val="20"/>
                <w:szCs w:val="20"/>
                <w:lang w:val="es-MX"/>
              </w:rPr>
              <w:t>, en los términos de la Sección VI</w:t>
            </w:r>
          </w:p>
        </w:tc>
      </w:tr>
      <w:tr w:rsidR="00214755" w:rsidRPr="00437ED8" w14:paraId="52B5BA17" w14:textId="77777777" w:rsidTr="00DA31AC">
        <w:trPr>
          <w:cantSplit/>
        </w:trPr>
        <w:tc>
          <w:tcPr>
            <w:tcW w:w="3510" w:type="dxa"/>
            <w:tcBorders>
              <w:top w:val="single" w:sz="6" w:space="0" w:color="auto"/>
              <w:bottom w:val="single" w:sz="6" w:space="0" w:color="auto"/>
            </w:tcBorders>
            <w:shd w:val="clear" w:color="auto" w:fill="386294"/>
            <w:vAlign w:val="center"/>
          </w:tcPr>
          <w:p w14:paraId="5DF99086" w14:textId="206FF736" w:rsidR="00214755" w:rsidRPr="00443917" w:rsidRDefault="00214755" w:rsidP="00DA31AC">
            <w:pPr>
              <w:jc w:val="center"/>
              <w:rPr>
                <w:rFonts w:ascii="Cambria" w:hAnsi="Cambria"/>
                <w:b/>
                <w:color w:val="FFFFFF" w:themeColor="background1"/>
                <w:sz w:val="20"/>
                <w:szCs w:val="20"/>
                <w:lang w:val="es-ES"/>
              </w:rPr>
            </w:pPr>
            <w:r w:rsidRPr="00443917">
              <w:rPr>
                <w:rFonts w:ascii="Cambria" w:hAnsi="Cambria"/>
                <w:b/>
                <w:color w:val="FFFFFF" w:themeColor="background1"/>
                <w:sz w:val="20"/>
                <w:szCs w:val="20"/>
                <w:lang w:val="es-ES"/>
              </w:rPr>
              <w:t>Presentación dentro de plazo</w:t>
            </w:r>
            <w:r w:rsidR="00443917">
              <w:rPr>
                <w:rFonts w:ascii="Cambria" w:hAnsi="Cambria"/>
                <w:b/>
                <w:color w:val="FFFFFF" w:themeColor="background1"/>
                <w:sz w:val="20"/>
                <w:szCs w:val="20"/>
                <w:lang w:val="es-ES"/>
              </w:rPr>
              <w:t>:</w:t>
            </w:r>
          </w:p>
        </w:tc>
        <w:tc>
          <w:tcPr>
            <w:tcW w:w="5670" w:type="dxa"/>
            <w:vAlign w:val="center"/>
          </w:tcPr>
          <w:p w14:paraId="4A2A4569" w14:textId="578AB4B8" w:rsidR="00214755" w:rsidRPr="006D645B" w:rsidRDefault="00214755" w:rsidP="00DA31AC">
            <w:pPr>
              <w:jc w:val="both"/>
              <w:rPr>
                <w:rFonts w:ascii="Cambria" w:hAnsi="Cambria"/>
                <w:bCs/>
                <w:sz w:val="20"/>
                <w:szCs w:val="20"/>
                <w:lang w:val="es-ES"/>
              </w:rPr>
            </w:pPr>
            <w:r w:rsidRPr="006D645B">
              <w:rPr>
                <w:rFonts w:ascii="Cambria" w:hAnsi="Cambria"/>
                <w:sz w:val="20"/>
                <w:szCs w:val="20"/>
                <w:lang w:val="es-MX"/>
              </w:rPr>
              <w:t xml:space="preserve">Sí, </w:t>
            </w:r>
            <w:r w:rsidR="007E3A8D" w:rsidRPr="006D645B">
              <w:rPr>
                <w:rFonts w:ascii="Cambria" w:hAnsi="Cambria"/>
                <w:sz w:val="20"/>
                <w:szCs w:val="20"/>
                <w:lang w:val="es-MX"/>
              </w:rPr>
              <w:t xml:space="preserve">el </w:t>
            </w:r>
            <w:r w:rsidR="00973F81" w:rsidRPr="006D645B">
              <w:rPr>
                <w:rFonts w:ascii="Cambria" w:hAnsi="Cambria"/>
                <w:sz w:val="20"/>
                <w:szCs w:val="20"/>
                <w:lang w:val="es-MX"/>
              </w:rPr>
              <w:t xml:space="preserve">11 de septiembre de 2009 </w:t>
            </w:r>
          </w:p>
        </w:tc>
      </w:tr>
    </w:tbl>
    <w:p w14:paraId="18E6423B" w14:textId="54CA6AE3" w:rsidR="003239B8" w:rsidRPr="006A3D76" w:rsidRDefault="00223A29" w:rsidP="00DF1D18">
      <w:pPr>
        <w:spacing w:before="240" w:after="240"/>
        <w:ind w:firstLine="720"/>
        <w:jc w:val="both"/>
        <w:rPr>
          <w:rFonts w:asciiTheme="majorHAnsi" w:hAnsiTheme="majorHAnsi"/>
          <w:b/>
          <w:sz w:val="20"/>
          <w:szCs w:val="20"/>
          <w:lang w:val="es-ES_tradnl"/>
        </w:rPr>
      </w:pPr>
      <w:r w:rsidRPr="006A3D76">
        <w:rPr>
          <w:rFonts w:asciiTheme="majorHAnsi" w:hAnsiTheme="majorHAnsi"/>
          <w:b/>
          <w:sz w:val="20"/>
          <w:szCs w:val="20"/>
          <w:lang w:val="es-ES_tradnl"/>
        </w:rPr>
        <w:lastRenderedPageBreak/>
        <w:t xml:space="preserve">V. </w:t>
      </w:r>
      <w:r w:rsidRPr="006A3D76">
        <w:rPr>
          <w:rFonts w:asciiTheme="majorHAnsi" w:hAnsiTheme="majorHAnsi"/>
          <w:b/>
          <w:sz w:val="20"/>
          <w:szCs w:val="20"/>
          <w:lang w:val="es-ES_tradnl"/>
        </w:rPr>
        <w:tab/>
      </w:r>
      <w:r w:rsidR="00DA31AC" w:rsidRPr="006A3D76">
        <w:rPr>
          <w:rFonts w:asciiTheme="majorHAnsi" w:hAnsiTheme="majorHAnsi"/>
          <w:b/>
          <w:sz w:val="20"/>
          <w:szCs w:val="20"/>
          <w:lang w:val="es-ES_tradnl"/>
        </w:rPr>
        <w:t>POSICIÓN DE LAS PARTES</w:t>
      </w:r>
    </w:p>
    <w:p w14:paraId="104C65EB" w14:textId="4BA00064" w:rsidR="000A01B1" w:rsidRPr="006A3D76" w:rsidRDefault="007E468C"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FF0000"/>
          <w:sz w:val="20"/>
          <w:szCs w:val="20"/>
          <w:lang w:val="es-ES_tradnl"/>
        </w:rPr>
      </w:pPr>
      <w:r w:rsidRPr="006A3D76">
        <w:rPr>
          <w:rFonts w:asciiTheme="majorHAnsi" w:hAnsiTheme="majorHAnsi"/>
          <w:sz w:val="20"/>
          <w:szCs w:val="20"/>
          <w:lang w:val="es-ES_tradnl"/>
        </w:rPr>
        <w:t xml:space="preserve">El peticionario </w:t>
      </w:r>
      <w:r w:rsidR="0062670D" w:rsidRPr="006A3D76">
        <w:rPr>
          <w:rFonts w:asciiTheme="majorHAnsi" w:hAnsiTheme="majorHAnsi"/>
          <w:sz w:val="20"/>
          <w:szCs w:val="20"/>
          <w:lang w:val="es-ES_tradnl"/>
        </w:rPr>
        <w:t>reclama la</w:t>
      </w:r>
      <w:r w:rsidR="00DF1D18" w:rsidRPr="006A3D76">
        <w:rPr>
          <w:rFonts w:asciiTheme="majorHAnsi" w:hAnsiTheme="majorHAnsi"/>
          <w:sz w:val="20"/>
          <w:szCs w:val="20"/>
          <w:lang w:val="es-ES_tradnl"/>
        </w:rPr>
        <w:t xml:space="preserve"> responsabilidad internacional del Estado colombiano </w:t>
      </w:r>
      <w:r w:rsidR="00F93C66" w:rsidRPr="006A3D76">
        <w:rPr>
          <w:rFonts w:asciiTheme="majorHAnsi" w:hAnsiTheme="majorHAnsi"/>
          <w:sz w:val="20"/>
          <w:szCs w:val="20"/>
          <w:lang w:val="es-ES_tradnl"/>
        </w:rPr>
        <w:t xml:space="preserve">por </w:t>
      </w:r>
      <w:r w:rsidR="00DF1D18" w:rsidRPr="006A3D76">
        <w:rPr>
          <w:rFonts w:asciiTheme="majorHAnsi" w:hAnsiTheme="majorHAnsi"/>
          <w:sz w:val="20"/>
          <w:szCs w:val="20"/>
          <w:lang w:val="es-ES_tradnl"/>
        </w:rPr>
        <w:t xml:space="preserve">la muerte </w:t>
      </w:r>
      <w:r w:rsidR="00DD6A5A" w:rsidRPr="006A3D76">
        <w:rPr>
          <w:rFonts w:asciiTheme="majorHAnsi" w:hAnsiTheme="majorHAnsi"/>
          <w:sz w:val="20"/>
          <w:szCs w:val="20"/>
          <w:lang w:val="es-ES_tradnl"/>
        </w:rPr>
        <w:t xml:space="preserve">de Mario Alcides Lopera Herrera </w:t>
      </w:r>
      <w:r w:rsidR="00821342" w:rsidRPr="006A3D76">
        <w:rPr>
          <w:rFonts w:asciiTheme="majorHAnsi" w:hAnsiTheme="majorHAnsi"/>
          <w:sz w:val="20"/>
          <w:szCs w:val="20"/>
          <w:lang w:val="es-ES_tradnl"/>
        </w:rPr>
        <w:t>(</w:t>
      </w:r>
      <w:r w:rsidR="00DD6A5A" w:rsidRPr="006A3D76">
        <w:rPr>
          <w:rFonts w:asciiTheme="majorHAnsi" w:hAnsiTheme="majorHAnsi"/>
          <w:sz w:val="20"/>
          <w:szCs w:val="20"/>
          <w:lang w:val="es-ES_tradnl"/>
        </w:rPr>
        <w:t>en adelante “presunta víctima”)</w:t>
      </w:r>
      <w:r w:rsidR="00821342" w:rsidRPr="006A3D76">
        <w:rPr>
          <w:rFonts w:asciiTheme="majorHAnsi" w:hAnsiTheme="majorHAnsi"/>
          <w:sz w:val="20"/>
          <w:szCs w:val="20"/>
          <w:lang w:val="es-ES_tradnl"/>
        </w:rPr>
        <w:t xml:space="preserve"> </w:t>
      </w:r>
      <w:r w:rsidR="00F93C66" w:rsidRPr="006A3D76">
        <w:rPr>
          <w:rFonts w:asciiTheme="majorHAnsi" w:hAnsiTheme="majorHAnsi"/>
          <w:sz w:val="20"/>
          <w:szCs w:val="20"/>
          <w:lang w:val="es-ES_tradnl"/>
        </w:rPr>
        <w:t>como resultado de</w:t>
      </w:r>
      <w:r w:rsidR="00920F7D" w:rsidRPr="006A3D76">
        <w:rPr>
          <w:rFonts w:asciiTheme="majorHAnsi" w:hAnsiTheme="majorHAnsi"/>
          <w:sz w:val="20"/>
          <w:szCs w:val="20"/>
          <w:lang w:val="es-ES_tradnl"/>
        </w:rPr>
        <w:t xml:space="preserve"> no recibir </w:t>
      </w:r>
      <w:r w:rsidR="00DF1D18" w:rsidRPr="006A3D76">
        <w:rPr>
          <w:rFonts w:asciiTheme="majorHAnsi" w:hAnsiTheme="majorHAnsi"/>
          <w:sz w:val="20"/>
          <w:szCs w:val="20"/>
          <w:lang w:val="es-ES_tradnl"/>
        </w:rPr>
        <w:t>atención médica oportuna y adecuada</w:t>
      </w:r>
      <w:r w:rsidRPr="006A3D76">
        <w:rPr>
          <w:rFonts w:asciiTheme="majorHAnsi" w:hAnsiTheme="majorHAnsi"/>
          <w:sz w:val="20"/>
          <w:szCs w:val="20"/>
          <w:lang w:val="es-ES_tradnl"/>
        </w:rPr>
        <w:t xml:space="preserve">. </w:t>
      </w:r>
      <w:r w:rsidR="00DF1D18" w:rsidRPr="006A3D76">
        <w:rPr>
          <w:rFonts w:asciiTheme="majorHAnsi" w:hAnsiTheme="majorHAnsi"/>
          <w:sz w:val="20"/>
          <w:szCs w:val="20"/>
          <w:lang w:val="es-ES_tradnl"/>
        </w:rPr>
        <w:t xml:space="preserve">Asimismo, </w:t>
      </w:r>
      <w:r w:rsidR="0047583B" w:rsidRPr="006A3D76">
        <w:rPr>
          <w:rFonts w:asciiTheme="majorHAnsi" w:hAnsiTheme="majorHAnsi"/>
          <w:sz w:val="20"/>
          <w:szCs w:val="20"/>
          <w:lang w:val="es-ES_tradnl"/>
        </w:rPr>
        <w:t xml:space="preserve">alega </w:t>
      </w:r>
      <w:r w:rsidR="008764AD" w:rsidRPr="006A3D76">
        <w:rPr>
          <w:rFonts w:asciiTheme="majorHAnsi" w:hAnsiTheme="majorHAnsi"/>
          <w:sz w:val="20"/>
          <w:szCs w:val="20"/>
          <w:lang w:val="es-ES_tradnl"/>
        </w:rPr>
        <w:t xml:space="preserve">que la familia de la presunta víctima sufrió una denegación injustificada de justicia y la imposibilidad de acceder a un recurso efectivo </w:t>
      </w:r>
      <w:r w:rsidR="0016212E" w:rsidRPr="006A3D76">
        <w:rPr>
          <w:rFonts w:asciiTheme="majorHAnsi" w:hAnsiTheme="majorHAnsi"/>
          <w:sz w:val="20"/>
          <w:szCs w:val="20"/>
          <w:lang w:val="es-ES_tradnl"/>
        </w:rPr>
        <w:t xml:space="preserve">para conocer la verdad y </w:t>
      </w:r>
      <w:r w:rsidR="008764AD" w:rsidRPr="006A3D76">
        <w:rPr>
          <w:rFonts w:asciiTheme="majorHAnsi" w:hAnsiTheme="majorHAnsi"/>
          <w:sz w:val="20"/>
          <w:szCs w:val="20"/>
          <w:lang w:val="es-ES_tradnl"/>
        </w:rPr>
        <w:t xml:space="preserve">sancionar </w:t>
      </w:r>
      <w:r w:rsidR="0016212E" w:rsidRPr="006A3D76">
        <w:rPr>
          <w:rFonts w:asciiTheme="majorHAnsi" w:hAnsiTheme="majorHAnsi"/>
          <w:sz w:val="20"/>
          <w:szCs w:val="20"/>
          <w:lang w:val="es-ES_tradnl"/>
        </w:rPr>
        <w:t>a los responsables.</w:t>
      </w:r>
    </w:p>
    <w:p w14:paraId="726C8BF2" w14:textId="74A46332" w:rsidR="004E486E" w:rsidRPr="006A3D76" w:rsidRDefault="004E486E"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DCA3A23" w14:textId="10D6E65A" w:rsidR="000E533C" w:rsidRPr="006A3D76" w:rsidRDefault="008C50BE"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sz w:val="20"/>
          <w:szCs w:val="20"/>
          <w:lang w:val="es-ES_tradnl"/>
        </w:rPr>
        <w:t>El peticionario d</w:t>
      </w:r>
      <w:r w:rsidR="00DF1D18" w:rsidRPr="006A3D76">
        <w:rPr>
          <w:rFonts w:asciiTheme="majorHAnsi" w:hAnsiTheme="majorHAnsi"/>
          <w:sz w:val="20"/>
          <w:szCs w:val="20"/>
          <w:lang w:val="es-ES_tradnl"/>
        </w:rPr>
        <w:t>escribe</w:t>
      </w:r>
      <w:r w:rsidR="000A01B1"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w:t>
      </w:r>
      <w:r w:rsidR="000A01B1" w:rsidRPr="006A3D76">
        <w:rPr>
          <w:rFonts w:asciiTheme="majorHAnsi" w:hAnsiTheme="majorHAnsi"/>
          <w:sz w:val="20"/>
          <w:szCs w:val="20"/>
          <w:lang w:val="es-ES_tradnl"/>
        </w:rPr>
        <w:t xml:space="preserve">sin aportar </w:t>
      </w:r>
      <w:r w:rsidR="00864B96" w:rsidRPr="006A3D76">
        <w:rPr>
          <w:rFonts w:asciiTheme="majorHAnsi" w:hAnsiTheme="majorHAnsi"/>
          <w:sz w:val="20"/>
          <w:szCs w:val="20"/>
          <w:lang w:val="es-ES_tradnl"/>
        </w:rPr>
        <w:t>más información</w:t>
      </w:r>
      <w:r w:rsidRPr="006A3D76">
        <w:rPr>
          <w:rFonts w:asciiTheme="majorHAnsi" w:hAnsiTheme="majorHAnsi"/>
          <w:sz w:val="20"/>
          <w:szCs w:val="20"/>
          <w:lang w:val="es-ES_tradnl"/>
        </w:rPr>
        <w:t>–</w:t>
      </w:r>
      <w:r w:rsidR="000A01B1" w:rsidRPr="006A3D76">
        <w:rPr>
          <w:rFonts w:asciiTheme="majorHAnsi" w:hAnsiTheme="majorHAnsi"/>
          <w:sz w:val="20"/>
          <w:szCs w:val="20"/>
          <w:lang w:val="es-ES_tradnl"/>
        </w:rPr>
        <w:t xml:space="preserve"> que e</w:t>
      </w:r>
      <w:r w:rsidR="002F7F5F" w:rsidRPr="006A3D76">
        <w:rPr>
          <w:rFonts w:asciiTheme="majorHAnsi" w:hAnsiTheme="majorHAnsi"/>
          <w:sz w:val="20"/>
          <w:szCs w:val="20"/>
          <w:lang w:val="es-ES_tradnl"/>
        </w:rPr>
        <w:t xml:space="preserve">l </w:t>
      </w:r>
      <w:r w:rsidR="00973F81" w:rsidRPr="006A3D76">
        <w:rPr>
          <w:rFonts w:asciiTheme="majorHAnsi" w:hAnsiTheme="majorHAnsi"/>
          <w:sz w:val="20"/>
          <w:szCs w:val="20"/>
          <w:lang w:val="es-ES_tradnl"/>
        </w:rPr>
        <w:t>8 de mayo de 1994 la presunta víctima</w:t>
      </w:r>
      <w:r w:rsidR="00784092" w:rsidRPr="006A3D76">
        <w:rPr>
          <w:rFonts w:asciiTheme="majorHAnsi" w:hAnsiTheme="majorHAnsi"/>
          <w:sz w:val="20"/>
          <w:szCs w:val="20"/>
          <w:lang w:val="es-ES_tradnl"/>
        </w:rPr>
        <w:t xml:space="preserve"> </w:t>
      </w:r>
      <w:r w:rsidR="00DF1D18" w:rsidRPr="006A3D76">
        <w:rPr>
          <w:rFonts w:asciiTheme="majorHAnsi" w:hAnsiTheme="majorHAnsi"/>
          <w:sz w:val="20"/>
          <w:szCs w:val="20"/>
          <w:lang w:val="es-ES_tradnl"/>
        </w:rPr>
        <w:t xml:space="preserve">acudió </w:t>
      </w:r>
      <w:r w:rsidR="00784092" w:rsidRPr="006A3D76">
        <w:rPr>
          <w:rFonts w:asciiTheme="majorHAnsi" w:hAnsiTheme="majorHAnsi"/>
          <w:sz w:val="20"/>
          <w:szCs w:val="20"/>
          <w:lang w:val="es-ES_tradnl"/>
        </w:rPr>
        <w:t xml:space="preserve">a la </w:t>
      </w:r>
      <w:r w:rsidR="00DF1D18" w:rsidRPr="006A3D76">
        <w:rPr>
          <w:rFonts w:asciiTheme="majorHAnsi" w:hAnsiTheme="majorHAnsi"/>
          <w:sz w:val="20"/>
          <w:szCs w:val="20"/>
          <w:lang w:val="es-ES_tradnl"/>
        </w:rPr>
        <w:t>Clínica “Víctor Cárdenas” del Instituto de Seguros Sociales (en adelante la “Clínica Cárdenas”)</w:t>
      </w:r>
      <w:r w:rsidR="00F00650" w:rsidRPr="006A3D76">
        <w:rPr>
          <w:rFonts w:asciiTheme="majorHAnsi" w:hAnsiTheme="majorHAnsi"/>
          <w:sz w:val="20"/>
          <w:szCs w:val="20"/>
          <w:lang w:val="es-ES_tradnl"/>
        </w:rPr>
        <w:t xml:space="preserve">, </w:t>
      </w:r>
      <w:r w:rsidR="001123CE" w:rsidRPr="006A3D76">
        <w:rPr>
          <w:rFonts w:asciiTheme="majorHAnsi" w:hAnsiTheme="majorHAnsi"/>
          <w:sz w:val="20"/>
          <w:szCs w:val="20"/>
          <w:lang w:val="es-ES_tradnl"/>
        </w:rPr>
        <w:t xml:space="preserve">luego de haber recibido una herida de bala en el Barrio Gran Avenida del </w:t>
      </w:r>
      <w:r w:rsidR="007E468C" w:rsidRPr="006A3D76">
        <w:rPr>
          <w:rFonts w:asciiTheme="majorHAnsi" w:hAnsiTheme="majorHAnsi"/>
          <w:sz w:val="20"/>
          <w:szCs w:val="20"/>
          <w:lang w:val="es-ES_tradnl"/>
        </w:rPr>
        <w:t>Municipio de Bello</w:t>
      </w:r>
      <w:r w:rsidR="007E3509" w:rsidRPr="006A3D76">
        <w:rPr>
          <w:rFonts w:asciiTheme="majorHAnsi" w:hAnsiTheme="majorHAnsi"/>
          <w:sz w:val="20"/>
          <w:szCs w:val="20"/>
          <w:lang w:val="es-ES_tradnl"/>
        </w:rPr>
        <w:t>;</w:t>
      </w:r>
      <w:r w:rsidR="00DF1D18" w:rsidRPr="006A3D76">
        <w:rPr>
          <w:rFonts w:asciiTheme="majorHAnsi" w:hAnsiTheme="majorHAnsi"/>
          <w:sz w:val="20"/>
          <w:szCs w:val="20"/>
          <w:lang w:val="es-ES_tradnl"/>
        </w:rPr>
        <w:t xml:space="preserve"> sin embargo, le </w:t>
      </w:r>
      <w:r w:rsidR="007E3509" w:rsidRPr="006A3D76">
        <w:rPr>
          <w:rFonts w:asciiTheme="majorHAnsi" w:hAnsiTheme="majorHAnsi"/>
          <w:sz w:val="20"/>
          <w:szCs w:val="20"/>
          <w:lang w:val="es-ES_tradnl"/>
        </w:rPr>
        <w:t>habría sido</w:t>
      </w:r>
      <w:r w:rsidR="00DF1D18" w:rsidRPr="006A3D76">
        <w:rPr>
          <w:rFonts w:asciiTheme="majorHAnsi" w:hAnsiTheme="majorHAnsi"/>
          <w:sz w:val="20"/>
          <w:szCs w:val="20"/>
          <w:lang w:val="es-ES_tradnl"/>
        </w:rPr>
        <w:t xml:space="preserve"> negada </w:t>
      </w:r>
      <w:r w:rsidR="007E3509" w:rsidRPr="006A3D76">
        <w:rPr>
          <w:rFonts w:asciiTheme="majorHAnsi" w:hAnsiTheme="majorHAnsi"/>
          <w:sz w:val="20"/>
          <w:szCs w:val="20"/>
          <w:lang w:val="es-ES_tradnl"/>
        </w:rPr>
        <w:t xml:space="preserve">la </w:t>
      </w:r>
      <w:r w:rsidR="00DF1D18" w:rsidRPr="006A3D76">
        <w:rPr>
          <w:rFonts w:asciiTheme="majorHAnsi" w:hAnsiTheme="majorHAnsi"/>
          <w:sz w:val="20"/>
          <w:szCs w:val="20"/>
          <w:lang w:val="es-ES_tradnl"/>
        </w:rPr>
        <w:t xml:space="preserve">atención médica </w:t>
      </w:r>
      <w:r w:rsidR="00F61428" w:rsidRPr="006A3D76">
        <w:rPr>
          <w:rFonts w:asciiTheme="majorHAnsi" w:hAnsiTheme="majorHAnsi"/>
          <w:sz w:val="20"/>
          <w:szCs w:val="20"/>
          <w:lang w:val="es-ES_tradnl"/>
        </w:rPr>
        <w:t>por</w:t>
      </w:r>
      <w:r w:rsidR="00F85286" w:rsidRPr="006A3D76">
        <w:rPr>
          <w:rFonts w:asciiTheme="majorHAnsi" w:hAnsiTheme="majorHAnsi"/>
          <w:sz w:val="20"/>
          <w:szCs w:val="20"/>
          <w:lang w:val="es-ES_tradnl"/>
        </w:rPr>
        <w:t xml:space="preserve"> </w:t>
      </w:r>
      <w:r w:rsidR="003B4C0C" w:rsidRPr="006A3D76">
        <w:rPr>
          <w:rFonts w:asciiTheme="majorHAnsi" w:hAnsiTheme="majorHAnsi"/>
          <w:sz w:val="20"/>
          <w:szCs w:val="20"/>
          <w:lang w:val="es-ES_tradnl"/>
        </w:rPr>
        <w:t>no estar afiliado a dicha institución</w:t>
      </w:r>
      <w:r w:rsidR="00F00650" w:rsidRPr="006A3D76">
        <w:rPr>
          <w:rFonts w:asciiTheme="majorHAnsi" w:hAnsiTheme="majorHAnsi"/>
          <w:sz w:val="20"/>
          <w:szCs w:val="20"/>
          <w:lang w:val="es-ES_tradnl"/>
        </w:rPr>
        <w:t xml:space="preserve">. Seguidamente, </w:t>
      </w:r>
      <w:r w:rsidR="00B0613D" w:rsidRPr="006A3D76">
        <w:rPr>
          <w:rFonts w:asciiTheme="majorHAnsi" w:hAnsiTheme="majorHAnsi"/>
          <w:sz w:val="20"/>
          <w:szCs w:val="20"/>
          <w:lang w:val="es-ES_tradnl"/>
        </w:rPr>
        <w:t xml:space="preserve">relata </w:t>
      </w:r>
      <w:r w:rsidR="00186C9A" w:rsidRPr="006A3D76">
        <w:rPr>
          <w:rFonts w:asciiTheme="majorHAnsi" w:hAnsiTheme="majorHAnsi"/>
          <w:sz w:val="20"/>
          <w:szCs w:val="20"/>
          <w:lang w:val="es-ES_tradnl"/>
        </w:rPr>
        <w:t xml:space="preserve">de manera concisa, </w:t>
      </w:r>
      <w:r w:rsidR="00B0613D" w:rsidRPr="006A3D76">
        <w:rPr>
          <w:rFonts w:asciiTheme="majorHAnsi" w:hAnsiTheme="majorHAnsi"/>
          <w:sz w:val="20"/>
          <w:szCs w:val="20"/>
          <w:lang w:val="es-ES_tradnl"/>
        </w:rPr>
        <w:t xml:space="preserve">que la presunta víctima </w:t>
      </w:r>
      <w:r w:rsidR="00F00650" w:rsidRPr="006A3D76">
        <w:rPr>
          <w:rFonts w:asciiTheme="majorHAnsi" w:hAnsiTheme="majorHAnsi"/>
          <w:sz w:val="20"/>
          <w:szCs w:val="20"/>
          <w:lang w:val="es-ES_tradnl"/>
        </w:rPr>
        <w:t>fue remitido y trasladado al Hospital “Marco Fidel Suárez” (en adelante “el Hospital Suárez”),</w:t>
      </w:r>
      <w:r w:rsidR="003B4C0C" w:rsidRPr="006A3D76">
        <w:rPr>
          <w:rFonts w:asciiTheme="majorHAnsi" w:hAnsiTheme="majorHAnsi"/>
          <w:sz w:val="20"/>
          <w:szCs w:val="20"/>
          <w:lang w:val="es-ES_tradnl"/>
        </w:rPr>
        <w:t xml:space="preserve"> donde falleció</w:t>
      </w:r>
      <w:r w:rsidR="00B0613D" w:rsidRPr="006A3D76">
        <w:rPr>
          <w:rFonts w:asciiTheme="majorHAnsi" w:hAnsiTheme="majorHAnsi"/>
          <w:sz w:val="20"/>
          <w:szCs w:val="20"/>
          <w:lang w:val="es-ES_tradnl"/>
        </w:rPr>
        <w:t xml:space="preserve"> por una deficiente atención médica</w:t>
      </w:r>
      <w:r w:rsidR="003B4C0C" w:rsidRPr="006A3D76">
        <w:rPr>
          <w:rFonts w:asciiTheme="majorHAnsi" w:hAnsiTheme="majorHAnsi"/>
          <w:sz w:val="20"/>
          <w:szCs w:val="20"/>
          <w:lang w:val="es-ES_tradnl"/>
        </w:rPr>
        <w:t>.</w:t>
      </w:r>
    </w:p>
    <w:p w14:paraId="1A4B2439" w14:textId="77777777" w:rsidR="002E581F" w:rsidRPr="006A3D76" w:rsidRDefault="002E581F" w:rsidP="0079167D">
      <w:pPr>
        <w:pStyle w:val="ListParagraph"/>
        <w:ind w:left="0" w:firstLine="720"/>
        <w:jc w:val="both"/>
        <w:rPr>
          <w:rFonts w:asciiTheme="majorHAnsi" w:hAnsiTheme="majorHAnsi"/>
          <w:sz w:val="20"/>
          <w:szCs w:val="20"/>
          <w:lang w:val="es-ES_tradnl"/>
        </w:rPr>
      </w:pPr>
    </w:p>
    <w:p w14:paraId="2AE27546" w14:textId="0F20E394" w:rsidR="00D471CA" w:rsidRPr="006A3D76" w:rsidRDefault="00C9211F"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sz w:val="20"/>
          <w:szCs w:val="20"/>
          <w:lang w:val="es-ES_tradnl"/>
        </w:rPr>
        <w:t xml:space="preserve">La </w:t>
      </w:r>
      <w:r w:rsidR="0059628C" w:rsidRPr="006A3D76">
        <w:rPr>
          <w:rFonts w:asciiTheme="majorHAnsi" w:hAnsiTheme="majorHAnsi"/>
          <w:sz w:val="20"/>
          <w:szCs w:val="20"/>
          <w:lang w:val="es-ES_tradnl"/>
        </w:rPr>
        <w:t>familia de la presunta víctima</w:t>
      </w:r>
      <w:r w:rsidR="003B4C0C" w:rsidRPr="006A3D76">
        <w:rPr>
          <w:rFonts w:asciiTheme="majorHAnsi" w:hAnsiTheme="majorHAnsi"/>
          <w:sz w:val="20"/>
          <w:szCs w:val="20"/>
          <w:lang w:val="es-ES_tradnl"/>
        </w:rPr>
        <w:t xml:space="preserve"> presentó </w:t>
      </w:r>
      <w:r w:rsidR="00894C14" w:rsidRPr="006A3D76">
        <w:rPr>
          <w:rFonts w:asciiTheme="majorHAnsi" w:hAnsiTheme="majorHAnsi"/>
          <w:sz w:val="20"/>
          <w:szCs w:val="20"/>
          <w:lang w:val="es-ES_tradnl"/>
        </w:rPr>
        <w:t xml:space="preserve">el 8 de mayo de 1996 </w:t>
      </w:r>
      <w:r w:rsidR="003B4C0C" w:rsidRPr="006A3D76">
        <w:rPr>
          <w:rFonts w:asciiTheme="majorHAnsi" w:hAnsiTheme="majorHAnsi"/>
          <w:sz w:val="20"/>
          <w:szCs w:val="20"/>
          <w:lang w:val="es-ES_tradnl"/>
        </w:rPr>
        <w:t xml:space="preserve">una </w:t>
      </w:r>
      <w:r w:rsidR="007A0EF1" w:rsidRPr="006A3D76">
        <w:rPr>
          <w:rFonts w:asciiTheme="majorHAnsi" w:hAnsiTheme="majorHAnsi"/>
          <w:sz w:val="20"/>
          <w:szCs w:val="20"/>
          <w:lang w:val="es-ES_tradnl"/>
        </w:rPr>
        <w:t xml:space="preserve">acción de reparación directa </w:t>
      </w:r>
      <w:r w:rsidR="003B4C0C" w:rsidRPr="006A3D76">
        <w:rPr>
          <w:rFonts w:asciiTheme="majorHAnsi" w:hAnsiTheme="majorHAnsi"/>
          <w:sz w:val="20"/>
          <w:szCs w:val="20"/>
          <w:lang w:val="es-ES_tradnl"/>
        </w:rPr>
        <w:t xml:space="preserve">ante el Tribunal Administrativo de Antioquía contra </w:t>
      </w:r>
      <w:r w:rsidR="007A0EF1" w:rsidRPr="006A3D76">
        <w:rPr>
          <w:rFonts w:asciiTheme="majorHAnsi" w:hAnsiTheme="majorHAnsi"/>
          <w:sz w:val="20"/>
          <w:szCs w:val="20"/>
          <w:lang w:val="es-ES_tradnl"/>
        </w:rPr>
        <w:t xml:space="preserve">el </w:t>
      </w:r>
      <w:r w:rsidR="003B4C0C" w:rsidRPr="006A3D76">
        <w:rPr>
          <w:rFonts w:asciiTheme="majorHAnsi" w:hAnsiTheme="majorHAnsi"/>
          <w:sz w:val="20"/>
          <w:szCs w:val="20"/>
          <w:lang w:val="es-ES_tradnl"/>
        </w:rPr>
        <w:t xml:space="preserve">Ministerio de Salud, </w:t>
      </w:r>
      <w:r w:rsidR="007A0EF1" w:rsidRPr="006A3D76">
        <w:rPr>
          <w:rFonts w:asciiTheme="majorHAnsi" w:hAnsiTheme="majorHAnsi"/>
          <w:sz w:val="20"/>
          <w:szCs w:val="20"/>
          <w:lang w:val="es-ES_tradnl"/>
        </w:rPr>
        <w:t xml:space="preserve">el Servicio Seccional de Salud del Departamento de Antioquía, </w:t>
      </w:r>
      <w:r w:rsidR="003B4C0C" w:rsidRPr="006A3D76">
        <w:rPr>
          <w:rFonts w:asciiTheme="majorHAnsi" w:hAnsiTheme="majorHAnsi"/>
          <w:sz w:val="20"/>
          <w:szCs w:val="20"/>
          <w:lang w:val="es-ES_tradnl"/>
        </w:rPr>
        <w:t>el Hospital Suárez y el Instituto de Seguros Sociales</w:t>
      </w:r>
      <w:r w:rsidR="00F00650" w:rsidRPr="006A3D76">
        <w:rPr>
          <w:rFonts w:asciiTheme="majorHAnsi" w:hAnsiTheme="majorHAnsi"/>
          <w:sz w:val="20"/>
          <w:szCs w:val="20"/>
          <w:lang w:val="es-ES_tradnl"/>
        </w:rPr>
        <w:t xml:space="preserve">, argumentando </w:t>
      </w:r>
      <w:r w:rsidR="009E6727" w:rsidRPr="006A3D76">
        <w:rPr>
          <w:rFonts w:asciiTheme="majorHAnsi" w:hAnsiTheme="majorHAnsi"/>
          <w:sz w:val="20"/>
          <w:szCs w:val="20"/>
          <w:lang w:val="es-ES_tradnl"/>
        </w:rPr>
        <w:t xml:space="preserve">que la muerte de </w:t>
      </w:r>
      <w:r w:rsidR="00A50CEF" w:rsidRPr="006A3D76">
        <w:rPr>
          <w:rFonts w:asciiTheme="majorHAnsi" w:hAnsiTheme="majorHAnsi"/>
          <w:sz w:val="20"/>
          <w:szCs w:val="20"/>
          <w:lang w:val="es-ES_tradnl"/>
        </w:rPr>
        <w:t xml:space="preserve">la presunta víctima </w:t>
      </w:r>
      <w:r w:rsidR="00F00650" w:rsidRPr="006A3D76">
        <w:rPr>
          <w:rFonts w:asciiTheme="majorHAnsi" w:hAnsiTheme="majorHAnsi"/>
          <w:sz w:val="20"/>
          <w:szCs w:val="20"/>
          <w:lang w:val="es-ES_tradnl"/>
        </w:rPr>
        <w:t xml:space="preserve">se produjo como resultado de la </w:t>
      </w:r>
      <w:r w:rsidR="009E6727" w:rsidRPr="006A3D76">
        <w:rPr>
          <w:rFonts w:asciiTheme="majorHAnsi" w:hAnsiTheme="majorHAnsi"/>
          <w:sz w:val="20"/>
          <w:szCs w:val="20"/>
          <w:lang w:val="es-ES_tradnl"/>
        </w:rPr>
        <w:t xml:space="preserve">pérdida de tiempo valioso y necesario en el Instituto de los Seguros Sociales y </w:t>
      </w:r>
      <w:r w:rsidR="00894C14" w:rsidRPr="006A3D76">
        <w:rPr>
          <w:rFonts w:asciiTheme="majorHAnsi" w:hAnsiTheme="majorHAnsi"/>
          <w:sz w:val="20"/>
          <w:szCs w:val="20"/>
          <w:lang w:val="es-ES_tradnl"/>
        </w:rPr>
        <w:t xml:space="preserve">de </w:t>
      </w:r>
      <w:r w:rsidR="009E6727" w:rsidRPr="006A3D76">
        <w:rPr>
          <w:rFonts w:asciiTheme="majorHAnsi" w:hAnsiTheme="majorHAnsi"/>
          <w:sz w:val="20"/>
          <w:szCs w:val="20"/>
          <w:lang w:val="es-ES_tradnl"/>
        </w:rPr>
        <w:t>una deficiente atención médica, quirúrgica y hospitalaria</w:t>
      </w:r>
      <w:r w:rsidR="00A64194" w:rsidRPr="006A3D76">
        <w:rPr>
          <w:rFonts w:asciiTheme="majorHAnsi" w:hAnsiTheme="majorHAnsi"/>
          <w:sz w:val="20"/>
          <w:szCs w:val="20"/>
          <w:lang w:val="es-ES_tradnl"/>
        </w:rPr>
        <w:t xml:space="preserve"> </w:t>
      </w:r>
      <w:r w:rsidR="009E6727" w:rsidRPr="006A3D76">
        <w:rPr>
          <w:rFonts w:asciiTheme="majorHAnsi" w:hAnsiTheme="majorHAnsi"/>
          <w:sz w:val="20"/>
          <w:szCs w:val="20"/>
          <w:lang w:val="es-ES_tradnl"/>
        </w:rPr>
        <w:t xml:space="preserve">en el </w:t>
      </w:r>
      <w:r w:rsidR="00920F7D" w:rsidRPr="006A3D76">
        <w:rPr>
          <w:rFonts w:asciiTheme="majorHAnsi" w:hAnsiTheme="majorHAnsi"/>
          <w:sz w:val="20"/>
          <w:szCs w:val="20"/>
          <w:lang w:val="es-ES_tradnl"/>
        </w:rPr>
        <w:t>H</w:t>
      </w:r>
      <w:r w:rsidR="009E6727" w:rsidRPr="006A3D76">
        <w:rPr>
          <w:rFonts w:asciiTheme="majorHAnsi" w:hAnsiTheme="majorHAnsi"/>
          <w:sz w:val="20"/>
          <w:szCs w:val="20"/>
          <w:lang w:val="es-ES_tradnl"/>
        </w:rPr>
        <w:t>ospital</w:t>
      </w:r>
      <w:r w:rsidR="00920F7D" w:rsidRPr="006A3D76">
        <w:rPr>
          <w:rFonts w:asciiTheme="majorHAnsi" w:hAnsiTheme="majorHAnsi"/>
          <w:sz w:val="20"/>
          <w:szCs w:val="20"/>
          <w:lang w:val="es-ES_tradnl"/>
        </w:rPr>
        <w:t xml:space="preserve"> Suárez</w:t>
      </w:r>
      <w:r w:rsidR="009E6727" w:rsidRPr="006A3D76">
        <w:rPr>
          <w:rFonts w:asciiTheme="majorHAnsi" w:hAnsiTheme="majorHAnsi"/>
          <w:sz w:val="20"/>
          <w:szCs w:val="20"/>
          <w:lang w:val="es-ES_tradnl"/>
        </w:rPr>
        <w:t xml:space="preserve">. </w:t>
      </w:r>
      <w:r w:rsidR="00A50CEF" w:rsidRPr="006A3D76">
        <w:rPr>
          <w:rFonts w:asciiTheme="majorHAnsi" w:hAnsiTheme="majorHAnsi"/>
          <w:sz w:val="20"/>
          <w:szCs w:val="20"/>
          <w:lang w:val="es-ES_tradnl"/>
        </w:rPr>
        <w:t xml:space="preserve">El </w:t>
      </w:r>
      <w:r w:rsidR="0032556F" w:rsidRPr="006A3D76">
        <w:rPr>
          <w:rFonts w:asciiTheme="majorHAnsi" w:hAnsiTheme="majorHAnsi"/>
          <w:sz w:val="20"/>
          <w:szCs w:val="20"/>
          <w:lang w:val="es-ES_tradnl"/>
        </w:rPr>
        <w:t>t</w:t>
      </w:r>
      <w:r w:rsidR="002E3FB9" w:rsidRPr="006A3D76">
        <w:rPr>
          <w:rFonts w:asciiTheme="majorHAnsi" w:hAnsiTheme="majorHAnsi"/>
          <w:sz w:val="20"/>
          <w:szCs w:val="20"/>
          <w:lang w:val="es-ES_tradnl"/>
        </w:rPr>
        <w:t xml:space="preserve">ribunal </w:t>
      </w:r>
      <w:r w:rsidR="006E2F26" w:rsidRPr="006A3D76">
        <w:rPr>
          <w:rFonts w:asciiTheme="majorHAnsi" w:hAnsiTheme="majorHAnsi"/>
          <w:sz w:val="20"/>
          <w:szCs w:val="20"/>
          <w:lang w:val="es-ES_tradnl"/>
        </w:rPr>
        <w:t>rechazó</w:t>
      </w:r>
      <w:r w:rsidR="009E6727" w:rsidRPr="006A3D76">
        <w:rPr>
          <w:rFonts w:asciiTheme="majorHAnsi" w:hAnsiTheme="majorHAnsi"/>
          <w:sz w:val="20"/>
          <w:szCs w:val="20"/>
          <w:lang w:val="es-ES_tradnl"/>
        </w:rPr>
        <w:t xml:space="preserve"> </w:t>
      </w:r>
      <w:r w:rsidR="006E2F26" w:rsidRPr="006A3D76">
        <w:rPr>
          <w:rFonts w:asciiTheme="majorHAnsi" w:hAnsiTheme="majorHAnsi"/>
          <w:sz w:val="20"/>
          <w:szCs w:val="20"/>
          <w:lang w:val="es-ES_tradnl"/>
        </w:rPr>
        <w:t xml:space="preserve">los alegatos de la familia de la presunta víctima </w:t>
      </w:r>
      <w:r w:rsidR="009E6727" w:rsidRPr="006A3D76">
        <w:rPr>
          <w:rFonts w:asciiTheme="majorHAnsi" w:hAnsiTheme="majorHAnsi"/>
          <w:sz w:val="20"/>
          <w:szCs w:val="20"/>
          <w:lang w:val="es-ES_tradnl"/>
        </w:rPr>
        <w:t>mediante sentencia d</w:t>
      </w:r>
      <w:r w:rsidR="002E3FB9" w:rsidRPr="006A3D76">
        <w:rPr>
          <w:rFonts w:asciiTheme="majorHAnsi" w:hAnsiTheme="majorHAnsi"/>
          <w:sz w:val="20"/>
          <w:szCs w:val="20"/>
          <w:lang w:val="es-ES_tradnl"/>
        </w:rPr>
        <w:t>el 24 de junio de 2008</w:t>
      </w:r>
      <w:r w:rsidR="00A50CEF" w:rsidRPr="006A3D76">
        <w:rPr>
          <w:rFonts w:asciiTheme="majorHAnsi" w:hAnsiTheme="majorHAnsi"/>
          <w:sz w:val="20"/>
          <w:szCs w:val="20"/>
          <w:lang w:val="es-ES_tradnl"/>
        </w:rPr>
        <w:t xml:space="preserve">, </w:t>
      </w:r>
      <w:r w:rsidR="00F00650" w:rsidRPr="006A3D76">
        <w:rPr>
          <w:rFonts w:asciiTheme="majorHAnsi" w:hAnsiTheme="majorHAnsi"/>
          <w:sz w:val="20"/>
          <w:szCs w:val="20"/>
          <w:lang w:val="es-ES_tradnl"/>
        </w:rPr>
        <w:t>al concluir</w:t>
      </w:r>
      <w:r w:rsidR="00BE1940" w:rsidRPr="006A3D76">
        <w:rPr>
          <w:rFonts w:asciiTheme="majorHAnsi" w:hAnsiTheme="majorHAnsi"/>
          <w:sz w:val="20"/>
          <w:szCs w:val="20"/>
          <w:lang w:val="es-ES_tradnl"/>
        </w:rPr>
        <w:t xml:space="preserve"> que </w:t>
      </w:r>
      <w:r w:rsidR="007A0EF1" w:rsidRPr="006A3D76">
        <w:rPr>
          <w:rFonts w:asciiTheme="majorHAnsi" w:hAnsiTheme="majorHAnsi"/>
          <w:sz w:val="20"/>
          <w:szCs w:val="20"/>
          <w:lang w:val="es-ES_tradnl"/>
        </w:rPr>
        <w:t xml:space="preserve">no </w:t>
      </w:r>
      <w:r w:rsidR="00A50CEF" w:rsidRPr="006A3D76">
        <w:rPr>
          <w:rFonts w:asciiTheme="majorHAnsi" w:hAnsiTheme="majorHAnsi"/>
          <w:sz w:val="20"/>
          <w:szCs w:val="20"/>
          <w:lang w:val="es-ES_tradnl"/>
        </w:rPr>
        <w:t>hab</w:t>
      </w:r>
      <w:r w:rsidR="007A0EF1" w:rsidRPr="006A3D76">
        <w:rPr>
          <w:rFonts w:asciiTheme="majorHAnsi" w:hAnsiTheme="majorHAnsi"/>
          <w:sz w:val="20"/>
          <w:szCs w:val="20"/>
          <w:lang w:val="es-ES_tradnl"/>
        </w:rPr>
        <w:t xml:space="preserve">ía </w:t>
      </w:r>
      <w:r w:rsidR="003B4C0C" w:rsidRPr="006A3D76">
        <w:rPr>
          <w:rFonts w:asciiTheme="majorHAnsi" w:hAnsiTheme="majorHAnsi"/>
          <w:sz w:val="20"/>
          <w:szCs w:val="20"/>
          <w:lang w:val="es-ES_tradnl"/>
        </w:rPr>
        <w:t>nexo causal entre el hecho y el daño</w:t>
      </w:r>
      <w:r w:rsidR="00F00650" w:rsidRPr="006A3D76">
        <w:rPr>
          <w:rFonts w:asciiTheme="majorHAnsi" w:hAnsiTheme="majorHAnsi"/>
          <w:sz w:val="20"/>
          <w:szCs w:val="20"/>
          <w:lang w:val="es-ES_tradnl"/>
        </w:rPr>
        <w:t xml:space="preserve">, </w:t>
      </w:r>
      <w:r w:rsidR="00920F7D" w:rsidRPr="006A3D76">
        <w:rPr>
          <w:rFonts w:asciiTheme="majorHAnsi" w:hAnsiTheme="majorHAnsi"/>
          <w:sz w:val="20"/>
          <w:szCs w:val="20"/>
          <w:lang w:val="es-ES_tradnl"/>
        </w:rPr>
        <w:t xml:space="preserve">lo cual, según </w:t>
      </w:r>
      <w:r w:rsidR="006D645B" w:rsidRPr="006A3D76">
        <w:rPr>
          <w:rFonts w:asciiTheme="majorHAnsi" w:hAnsiTheme="majorHAnsi"/>
          <w:sz w:val="20"/>
          <w:szCs w:val="20"/>
          <w:lang w:val="es-ES_tradnl"/>
        </w:rPr>
        <w:t>el peticionario</w:t>
      </w:r>
      <w:r w:rsidR="0077035F" w:rsidRPr="006A3D76">
        <w:rPr>
          <w:rFonts w:asciiTheme="majorHAnsi" w:hAnsiTheme="majorHAnsi"/>
          <w:sz w:val="20"/>
          <w:szCs w:val="20"/>
          <w:lang w:val="es-ES_tradnl"/>
        </w:rPr>
        <w:t>,</w:t>
      </w:r>
      <w:r w:rsidR="00920F7D" w:rsidRPr="006A3D76">
        <w:rPr>
          <w:rFonts w:asciiTheme="majorHAnsi" w:hAnsiTheme="majorHAnsi"/>
          <w:sz w:val="20"/>
          <w:szCs w:val="20"/>
          <w:lang w:val="es-ES_tradnl"/>
        </w:rPr>
        <w:t xml:space="preserve"> hizo </w:t>
      </w:r>
      <w:r w:rsidR="0077035F" w:rsidRPr="006A3D76">
        <w:rPr>
          <w:rFonts w:asciiTheme="majorHAnsi" w:hAnsiTheme="majorHAnsi"/>
          <w:sz w:val="20"/>
          <w:szCs w:val="20"/>
          <w:lang w:val="es-ES_tradnl"/>
        </w:rPr>
        <w:t xml:space="preserve">el tribunal </w:t>
      </w:r>
      <w:r w:rsidR="004D41CC" w:rsidRPr="006A3D76">
        <w:rPr>
          <w:rFonts w:asciiTheme="majorHAnsi" w:hAnsiTheme="majorHAnsi"/>
          <w:sz w:val="20"/>
          <w:szCs w:val="20"/>
          <w:lang w:val="es-ES_tradnl"/>
        </w:rPr>
        <w:t xml:space="preserve">en </w:t>
      </w:r>
      <w:r w:rsidR="00DE250A" w:rsidRPr="006A3D76">
        <w:rPr>
          <w:rFonts w:asciiTheme="majorHAnsi" w:hAnsiTheme="majorHAnsi"/>
          <w:sz w:val="20"/>
          <w:szCs w:val="20"/>
          <w:lang w:val="es-ES_tradnl"/>
        </w:rPr>
        <w:t xml:space="preserve">un abierto desconocimiento de la prueba obrante en el expediente y </w:t>
      </w:r>
      <w:r w:rsidR="00A50CEF" w:rsidRPr="006A3D76">
        <w:rPr>
          <w:rFonts w:asciiTheme="majorHAnsi" w:hAnsiTheme="majorHAnsi"/>
          <w:sz w:val="20"/>
          <w:szCs w:val="20"/>
          <w:lang w:val="es-ES_tradnl"/>
        </w:rPr>
        <w:t xml:space="preserve">de </w:t>
      </w:r>
      <w:r w:rsidR="00715D37" w:rsidRPr="006A3D76">
        <w:rPr>
          <w:rFonts w:asciiTheme="majorHAnsi" w:hAnsiTheme="majorHAnsi"/>
          <w:sz w:val="20"/>
          <w:szCs w:val="20"/>
          <w:lang w:val="es-ES_tradnl"/>
        </w:rPr>
        <w:t xml:space="preserve">la falta de </w:t>
      </w:r>
      <w:r w:rsidR="00D471CA" w:rsidRPr="006A3D76">
        <w:rPr>
          <w:rFonts w:asciiTheme="majorHAnsi" w:hAnsiTheme="majorHAnsi"/>
          <w:sz w:val="20"/>
          <w:szCs w:val="20"/>
          <w:lang w:val="es-ES_tradnl"/>
        </w:rPr>
        <w:t>valoración en conjunto</w:t>
      </w:r>
      <w:r w:rsidR="00A50CEF" w:rsidRPr="006A3D76">
        <w:rPr>
          <w:rFonts w:asciiTheme="majorHAnsi" w:hAnsiTheme="majorHAnsi"/>
          <w:sz w:val="20"/>
          <w:szCs w:val="20"/>
          <w:lang w:val="es-ES_tradnl"/>
        </w:rPr>
        <w:t xml:space="preserve"> de los elementos de convicción</w:t>
      </w:r>
      <w:r w:rsidR="00BC7F10" w:rsidRPr="006A3D76">
        <w:rPr>
          <w:rFonts w:asciiTheme="majorHAnsi" w:hAnsiTheme="majorHAnsi"/>
          <w:sz w:val="20"/>
          <w:szCs w:val="20"/>
          <w:lang w:val="es-ES_tradnl"/>
        </w:rPr>
        <w:t>.</w:t>
      </w:r>
    </w:p>
    <w:p w14:paraId="75008B7D" w14:textId="77777777" w:rsidR="004E486E" w:rsidRPr="006A3D76" w:rsidRDefault="004E486E"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7637FB9" w14:textId="6CEC3689" w:rsidR="00F93C66" w:rsidRPr="006A3D76" w:rsidRDefault="00157193"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sz w:val="20"/>
          <w:szCs w:val="20"/>
          <w:lang w:val="es-ES_tradnl"/>
        </w:rPr>
        <w:t xml:space="preserve">El </w:t>
      </w:r>
      <w:r w:rsidR="00BC7F10" w:rsidRPr="006A3D76">
        <w:rPr>
          <w:rFonts w:asciiTheme="majorHAnsi" w:hAnsiTheme="majorHAnsi"/>
          <w:sz w:val="20"/>
          <w:szCs w:val="20"/>
          <w:lang w:val="es-ES_tradnl"/>
        </w:rPr>
        <w:t xml:space="preserve">17 de julio del </w:t>
      </w:r>
      <w:r w:rsidR="005750B0" w:rsidRPr="006A3D76">
        <w:rPr>
          <w:rFonts w:asciiTheme="majorHAnsi" w:hAnsiTheme="majorHAnsi"/>
          <w:sz w:val="20"/>
          <w:szCs w:val="20"/>
          <w:lang w:val="es-ES_tradnl"/>
        </w:rPr>
        <w:t xml:space="preserve">2008 </w:t>
      </w:r>
      <w:r w:rsidRPr="006A3D76">
        <w:rPr>
          <w:rFonts w:asciiTheme="majorHAnsi" w:hAnsiTheme="majorHAnsi"/>
          <w:sz w:val="20"/>
          <w:szCs w:val="20"/>
          <w:lang w:val="es-ES_tradnl"/>
        </w:rPr>
        <w:t>la familia interpuso recurso de apelación</w:t>
      </w:r>
      <w:r w:rsidR="0077035F" w:rsidRPr="006A3D76">
        <w:rPr>
          <w:rFonts w:asciiTheme="majorHAnsi" w:hAnsiTheme="majorHAnsi"/>
          <w:sz w:val="20"/>
          <w:szCs w:val="20"/>
          <w:lang w:val="es-ES_tradnl"/>
        </w:rPr>
        <w:t>;</w:t>
      </w:r>
      <w:r w:rsidR="0032556F" w:rsidRPr="006A3D76">
        <w:rPr>
          <w:rFonts w:asciiTheme="majorHAnsi" w:hAnsiTheme="majorHAnsi"/>
          <w:sz w:val="20"/>
          <w:szCs w:val="20"/>
          <w:lang w:val="es-ES_tradnl"/>
        </w:rPr>
        <w:t xml:space="preserve"> sin embargo</w:t>
      </w:r>
      <w:r w:rsidR="0077035F" w:rsidRPr="006A3D76">
        <w:rPr>
          <w:rFonts w:asciiTheme="majorHAnsi" w:hAnsiTheme="majorHAnsi"/>
          <w:sz w:val="20"/>
          <w:szCs w:val="20"/>
          <w:lang w:val="es-ES_tradnl"/>
        </w:rPr>
        <w:t>,</w:t>
      </w:r>
      <w:r w:rsidR="0032556F" w:rsidRPr="006A3D76">
        <w:rPr>
          <w:rFonts w:asciiTheme="majorHAnsi" w:hAnsiTheme="majorHAnsi"/>
          <w:sz w:val="20"/>
          <w:szCs w:val="20"/>
          <w:lang w:val="es-ES_tradnl"/>
        </w:rPr>
        <w:t xml:space="preserve"> este </w:t>
      </w:r>
      <w:r w:rsidR="003B4C0C" w:rsidRPr="006A3D76">
        <w:rPr>
          <w:rFonts w:asciiTheme="majorHAnsi" w:hAnsiTheme="majorHAnsi"/>
          <w:sz w:val="20"/>
          <w:szCs w:val="20"/>
          <w:lang w:val="es-ES_tradnl"/>
        </w:rPr>
        <w:t xml:space="preserve">fue rechazado </w:t>
      </w:r>
      <w:r w:rsidR="0077035F" w:rsidRPr="006A3D76">
        <w:rPr>
          <w:rFonts w:asciiTheme="majorHAnsi" w:hAnsiTheme="majorHAnsi"/>
          <w:sz w:val="20"/>
          <w:szCs w:val="20"/>
          <w:lang w:val="es-ES_tradnl"/>
        </w:rPr>
        <w:t>mediante</w:t>
      </w:r>
      <w:r w:rsidR="00D6626B" w:rsidRPr="006A3D76">
        <w:rPr>
          <w:rFonts w:asciiTheme="majorHAnsi" w:hAnsiTheme="majorHAnsi"/>
          <w:sz w:val="20"/>
          <w:szCs w:val="20"/>
          <w:lang w:val="es-ES_tradnl"/>
        </w:rPr>
        <w:t xml:space="preserve"> auto d</w:t>
      </w:r>
      <w:r w:rsidR="003B4C0C" w:rsidRPr="006A3D76">
        <w:rPr>
          <w:rFonts w:asciiTheme="majorHAnsi" w:hAnsiTheme="majorHAnsi"/>
          <w:sz w:val="20"/>
          <w:szCs w:val="20"/>
          <w:lang w:val="es-ES_tradnl"/>
        </w:rPr>
        <w:t>e</w:t>
      </w:r>
      <w:r w:rsidR="0077035F" w:rsidRPr="006A3D76">
        <w:rPr>
          <w:rFonts w:asciiTheme="majorHAnsi" w:hAnsiTheme="majorHAnsi"/>
          <w:sz w:val="20"/>
          <w:szCs w:val="20"/>
          <w:lang w:val="es-ES_tradnl"/>
        </w:rPr>
        <w:t>l</w:t>
      </w:r>
      <w:r w:rsidR="003B4C0C" w:rsidRPr="006A3D76">
        <w:rPr>
          <w:rFonts w:asciiTheme="majorHAnsi" w:hAnsiTheme="majorHAnsi"/>
          <w:sz w:val="20"/>
          <w:szCs w:val="20"/>
          <w:lang w:val="es-ES_tradnl"/>
        </w:rPr>
        <w:t xml:space="preserve"> 5 de agosto </w:t>
      </w:r>
      <w:r w:rsidR="00715D37" w:rsidRPr="006A3D76">
        <w:rPr>
          <w:rFonts w:asciiTheme="majorHAnsi" w:hAnsiTheme="majorHAnsi"/>
          <w:sz w:val="20"/>
          <w:szCs w:val="20"/>
          <w:lang w:val="es-ES_tradnl"/>
        </w:rPr>
        <w:t xml:space="preserve">de </w:t>
      </w:r>
      <w:r w:rsidR="00BC7F10" w:rsidRPr="006A3D76">
        <w:rPr>
          <w:rFonts w:asciiTheme="majorHAnsi" w:hAnsiTheme="majorHAnsi"/>
          <w:sz w:val="20"/>
          <w:szCs w:val="20"/>
          <w:lang w:val="es-ES_tradnl"/>
        </w:rPr>
        <w:t xml:space="preserve">2008 </w:t>
      </w:r>
      <w:r w:rsidR="005750B0" w:rsidRPr="006A3D76">
        <w:rPr>
          <w:rFonts w:asciiTheme="majorHAnsi" w:hAnsiTheme="majorHAnsi"/>
          <w:sz w:val="20"/>
          <w:szCs w:val="20"/>
          <w:lang w:val="es-ES_tradnl"/>
        </w:rPr>
        <w:t xml:space="preserve">en tanto </w:t>
      </w:r>
      <w:r w:rsidRPr="006A3D76">
        <w:rPr>
          <w:rFonts w:asciiTheme="majorHAnsi" w:hAnsiTheme="majorHAnsi"/>
          <w:sz w:val="20"/>
          <w:szCs w:val="20"/>
          <w:lang w:val="es-ES_tradnl"/>
        </w:rPr>
        <w:t xml:space="preserve">el monto de </w:t>
      </w:r>
      <w:r w:rsidR="003B4C0C" w:rsidRPr="006A3D76">
        <w:rPr>
          <w:rFonts w:asciiTheme="majorHAnsi" w:hAnsiTheme="majorHAnsi"/>
          <w:sz w:val="20"/>
          <w:szCs w:val="20"/>
          <w:lang w:val="es-ES_tradnl"/>
        </w:rPr>
        <w:t xml:space="preserve">la </w:t>
      </w:r>
      <w:r w:rsidR="00715D37" w:rsidRPr="006A3D76">
        <w:rPr>
          <w:rFonts w:asciiTheme="majorHAnsi" w:hAnsiTheme="majorHAnsi"/>
          <w:sz w:val="20"/>
          <w:szCs w:val="20"/>
          <w:lang w:val="es-ES_tradnl"/>
        </w:rPr>
        <w:t xml:space="preserve">pretensión no superaba 500 </w:t>
      </w:r>
      <w:r w:rsidRPr="006A3D76">
        <w:rPr>
          <w:rFonts w:asciiTheme="majorHAnsi" w:hAnsiTheme="majorHAnsi"/>
          <w:sz w:val="20"/>
          <w:szCs w:val="20"/>
          <w:lang w:val="es-ES_tradnl"/>
        </w:rPr>
        <w:t xml:space="preserve">unidades del </w:t>
      </w:r>
      <w:r w:rsidR="00715D37" w:rsidRPr="006A3D76">
        <w:rPr>
          <w:rFonts w:asciiTheme="majorHAnsi" w:hAnsiTheme="majorHAnsi"/>
          <w:sz w:val="20"/>
          <w:szCs w:val="20"/>
          <w:lang w:val="es-ES_tradnl"/>
        </w:rPr>
        <w:t xml:space="preserve">Salario Mínimo Legal Mensual Vigente (en adelante “SMLMV”) </w:t>
      </w:r>
      <w:r w:rsidR="003B4C0C" w:rsidRPr="006A3D76">
        <w:rPr>
          <w:rFonts w:asciiTheme="majorHAnsi" w:hAnsiTheme="majorHAnsi"/>
          <w:sz w:val="20"/>
          <w:szCs w:val="20"/>
          <w:lang w:val="es-ES_tradnl"/>
        </w:rPr>
        <w:t>para acceder a la apelación</w:t>
      </w:r>
      <w:r w:rsidR="00715D37" w:rsidRPr="006A3D76">
        <w:rPr>
          <w:rFonts w:asciiTheme="majorHAnsi" w:hAnsiTheme="majorHAnsi"/>
          <w:sz w:val="20"/>
          <w:szCs w:val="20"/>
          <w:lang w:val="es-ES_tradnl"/>
        </w:rPr>
        <w:t xml:space="preserve"> de conformidad </w:t>
      </w:r>
      <w:r w:rsidR="00653F2F" w:rsidRPr="006A3D76">
        <w:rPr>
          <w:rFonts w:asciiTheme="majorHAnsi" w:hAnsiTheme="majorHAnsi"/>
          <w:sz w:val="20"/>
          <w:szCs w:val="20"/>
          <w:lang w:val="es-ES_tradnl"/>
        </w:rPr>
        <w:t xml:space="preserve">a la Ley 446 de 1998 y </w:t>
      </w:r>
      <w:r w:rsidR="00920F7D" w:rsidRPr="006A3D76">
        <w:rPr>
          <w:rFonts w:asciiTheme="majorHAnsi" w:hAnsiTheme="majorHAnsi"/>
          <w:sz w:val="20"/>
          <w:szCs w:val="20"/>
          <w:lang w:val="es-ES_tradnl"/>
        </w:rPr>
        <w:t>la</w:t>
      </w:r>
      <w:r w:rsidR="00864B96" w:rsidRPr="006A3D76">
        <w:rPr>
          <w:rFonts w:asciiTheme="majorHAnsi" w:hAnsiTheme="majorHAnsi"/>
          <w:sz w:val="20"/>
          <w:szCs w:val="20"/>
          <w:lang w:val="es-ES_tradnl"/>
        </w:rPr>
        <w:t xml:space="preserve"> Ley</w:t>
      </w:r>
      <w:r w:rsidR="00920F7D" w:rsidRPr="006A3D76">
        <w:rPr>
          <w:rFonts w:asciiTheme="majorHAnsi" w:hAnsiTheme="majorHAnsi"/>
          <w:sz w:val="20"/>
          <w:szCs w:val="20"/>
          <w:lang w:val="es-ES_tradnl"/>
        </w:rPr>
        <w:t xml:space="preserve"> 954 de</w:t>
      </w:r>
      <w:r w:rsidR="00864B96" w:rsidRPr="006A3D76">
        <w:rPr>
          <w:rFonts w:asciiTheme="majorHAnsi" w:hAnsiTheme="majorHAnsi"/>
          <w:sz w:val="20"/>
          <w:szCs w:val="20"/>
          <w:lang w:val="es-ES_tradnl"/>
        </w:rPr>
        <w:t xml:space="preserve"> </w:t>
      </w:r>
      <w:r w:rsidR="00920F7D" w:rsidRPr="006A3D76">
        <w:rPr>
          <w:rFonts w:asciiTheme="majorHAnsi" w:hAnsiTheme="majorHAnsi"/>
          <w:sz w:val="20"/>
          <w:szCs w:val="20"/>
          <w:lang w:val="es-ES_tradnl"/>
        </w:rPr>
        <w:t>2005</w:t>
      </w:r>
      <w:r w:rsidR="003B4C0C" w:rsidRPr="006A3D76">
        <w:rPr>
          <w:rFonts w:asciiTheme="majorHAnsi" w:hAnsiTheme="majorHAnsi"/>
          <w:sz w:val="20"/>
          <w:szCs w:val="20"/>
          <w:lang w:val="es-ES_tradnl"/>
        </w:rPr>
        <w:t xml:space="preserve">. </w:t>
      </w:r>
      <w:r w:rsidR="0032556F" w:rsidRPr="006A3D76">
        <w:rPr>
          <w:rFonts w:asciiTheme="majorHAnsi" w:hAnsiTheme="majorHAnsi"/>
          <w:sz w:val="20"/>
          <w:szCs w:val="20"/>
          <w:lang w:val="es-ES_tradnl"/>
        </w:rPr>
        <w:t xml:space="preserve">Ante lo anterior, </w:t>
      </w:r>
      <w:r w:rsidRPr="006A3D76">
        <w:rPr>
          <w:rFonts w:asciiTheme="majorHAnsi" w:hAnsiTheme="majorHAnsi"/>
          <w:sz w:val="20"/>
          <w:szCs w:val="20"/>
          <w:lang w:val="es-ES_tradnl"/>
        </w:rPr>
        <w:t xml:space="preserve">el 12 de agosto de 2008 </w:t>
      </w:r>
      <w:r w:rsidR="009F0FC6" w:rsidRPr="006A3D76">
        <w:rPr>
          <w:rFonts w:asciiTheme="majorHAnsi" w:hAnsiTheme="majorHAnsi"/>
          <w:sz w:val="20"/>
          <w:szCs w:val="20"/>
          <w:lang w:val="es-ES_tradnl"/>
        </w:rPr>
        <w:t>la familia</w:t>
      </w:r>
      <w:r w:rsidR="0032556F" w:rsidRPr="006A3D76">
        <w:rPr>
          <w:rFonts w:asciiTheme="majorHAnsi" w:hAnsiTheme="majorHAnsi"/>
          <w:sz w:val="20"/>
          <w:szCs w:val="20"/>
          <w:lang w:val="es-ES_tradnl"/>
        </w:rPr>
        <w:t xml:space="preserve"> </w:t>
      </w:r>
      <w:r w:rsidR="003B4C0C" w:rsidRPr="006A3D76">
        <w:rPr>
          <w:rFonts w:asciiTheme="majorHAnsi" w:hAnsiTheme="majorHAnsi"/>
          <w:sz w:val="20"/>
          <w:szCs w:val="20"/>
          <w:lang w:val="es-ES_tradnl"/>
        </w:rPr>
        <w:t>interpuso un recurso de reposición</w:t>
      </w:r>
      <w:r w:rsidR="00660FC9" w:rsidRPr="006A3D76">
        <w:rPr>
          <w:rFonts w:asciiTheme="majorHAnsi" w:hAnsiTheme="majorHAnsi"/>
          <w:sz w:val="20"/>
          <w:szCs w:val="20"/>
          <w:lang w:val="es-ES_tradnl"/>
        </w:rPr>
        <w:t xml:space="preserve"> con </w:t>
      </w:r>
      <w:r w:rsidR="00CA401E" w:rsidRPr="006A3D76">
        <w:rPr>
          <w:rFonts w:asciiTheme="majorHAnsi" w:hAnsiTheme="majorHAnsi"/>
          <w:sz w:val="20"/>
          <w:szCs w:val="20"/>
          <w:lang w:val="es-ES_tradnl"/>
        </w:rPr>
        <w:t xml:space="preserve">recurso de queja </w:t>
      </w:r>
      <w:r w:rsidR="00660FC9" w:rsidRPr="006A3D76">
        <w:rPr>
          <w:rFonts w:asciiTheme="majorHAnsi" w:hAnsiTheme="majorHAnsi"/>
          <w:sz w:val="20"/>
          <w:szCs w:val="20"/>
          <w:lang w:val="es-ES_tradnl"/>
        </w:rPr>
        <w:t>en subsidio</w:t>
      </w:r>
      <w:r w:rsidRPr="006A3D76">
        <w:rPr>
          <w:rFonts w:asciiTheme="majorHAnsi" w:hAnsiTheme="majorHAnsi"/>
          <w:sz w:val="20"/>
          <w:szCs w:val="20"/>
          <w:lang w:val="es-ES_tradnl"/>
        </w:rPr>
        <w:t>;</w:t>
      </w:r>
      <w:r w:rsidR="00660FC9" w:rsidRPr="006A3D76">
        <w:rPr>
          <w:rFonts w:asciiTheme="majorHAnsi" w:hAnsiTheme="majorHAnsi"/>
          <w:sz w:val="20"/>
          <w:szCs w:val="20"/>
          <w:lang w:val="es-ES_tradnl"/>
        </w:rPr>
        <w:t xml:space="preserve"> </w:t>
      </w:r>
      <w:r w:rsidR="009F0FC6" w:rsidRPr="006A3D76">
        <w:rPr>
          <w:rFonts w:asciiTheme="majorHAnsi" w:hAnsiTheme="majorHAnsi"/>
          <w:sz w:val="20"/>
          <w:szCs w:val="20"/>
          <w:lang w:val="es-ES_tradnl"/>
        </w:rPr>
        <w:t xml:space="preserve">pero </w:t>
      </w:r>
      <w:r w:rsidR="00D6626B" w:rsidRPr="006A3D76">
        <w:rPr>
          <w:rFonts w:asciiTheme="majorHAnsi" w:hAnsiTheme="majorHAnsi"/>
          <w:sz w:val="20"/>
          <w:szCs w:val="20"/>
          <w:lang w:val="es-ES_tradnl"/>
        </w:rPr>
        <w:t xml:space="preserve">el Tribunal Administrativo de </w:t>
      </w:r>
      <w:r w:rsidR="00CA401E" w:rsidRPr="006A3D76">
        <w:rPr>
          <w:rFonts w:asciiTheme="majorHAnsi" w:hAnsiTheme="majorHAnsi"/>
          <w:sz w:val="20"/>
          <w:szCs w:val="20"/>
          <w:lang w:val="es-ES_tradnl"/>
        </w:rPr>
        <w:t>Antioquía</w:t>
      </w:r>
      <w:r w:rsidR="00D6626B" w:rsidRPr="006A3D76">
        <w:rPr>
          <w:rFonts w:asciiTheme="majorHAnsi" w:hAnsiTheme="majorHAnsi"/>
          <w:sz w:val="20"/>
          <w:szCs w:val="20"/>
          <w:lang w:val="es-ES_tradnl"/>
        </w:rPr>
        <w:t xml:space="preserve"> negó el recurso de reposición </w:t>
      </w:r>
      <w:r w:rsidR="00CA401E" w:rsidRPr="006A3D76">
        <w:rPr>
          <w:rFonts w:asciiTheme="majorHAnsi" w:hAnsiTheme="majorHAnsi"/>
          <w:sz w:val="20"/>
          <w:szCs w:val="20"/>
          <w:lang w:val="es-ES_tradnl"/>
        </w:rPr>
        <w:t xml:space="preserve">el 21 de octubre del mismo año y </w:t>
      </w:r>
      <w:r w:rsidR="00D6626B" w:rsidRPr="006A3D76">
        <w:rPr>
          <w:rFonts w:asciiTheme="majorHAnsi" w:hAnsiTheme="majorHAnsi"/>
          <w:sz w:val="20"/>
          <w:szCs w:val="20"/>
          <w:lang w:val="es-ES_tradnl"/>
        </w:rPr>
        <w:t xml:space="preserve">dispuso el trámite del recurso de queja ante el Consejo de Estado. </w:t>
      </w:r>
      <w:r w:rsidRPr="006A3D76">
        <w:rPr>
          <w:rFonts w:asciiTheme="majorHAnsi" w:hAnsiTheme="majorHAnsi"/>
          <w:sz w:val="20"/>
          <w:szCs w:val="20"/>
          <w:lang w:val="es-ES_tradnl"/>
        </w:rPr>
        <w:t>En</w:t>
      </w:r>
      <w:r w:rsidR="00D6626B" w:rsidRPr="006A3D76">
        <w:rPr>
          <w:rFonts w:asciiTheme="majorHAnsi" w:hAnsiTheme="majorHAnsi"/>
          <w:sz w:val="20"/>
          <w:szCs w:val="20"/>
          <w:lang w:val="es-ES_tradnl"/>
        </w:rPr>
        <w:t xml:space="preserve"> el marco del recurso de queja</w:t>
      </w:r>
      <w:r w:rsidR="00BF0D47" w:rsidRPr="006A3D76">
        <w:rPr>
          <w:rFonts w:asciiTheme="majorHAnsi" w:hAnsiTheme="majorHAnsi"/>
          <w:sz w:val="20"/>
          <w:szCs w:val="20"/>
          <w:lang w:val="es-ES_tradnl"/>
        </w:rPr>
        <w:t>,</w:t>
      </w:r>
      <w:r w:rsidR="000639F4"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la familia </w:t>
      </w:r>
      <w:r w:rsidR="00BF0D47" w:rsidRPr="006A3D76">
        <w:rPr>
          <w:rFonts w:asciiTheme="majorHAnsi" w:hAnsiTheme="majorHAnsi"/>
          <w:sz w:val="20"/>
          <w:szCs w:val="20"/>
          <w:lang w:val="es-ES_tradnl"/>
        </w:rPr>
        <w:t xml:space="preserve">de la presunta víctima </w:t>
      </w:r>
      <w:r w:rsidR="000639F4" w:rsidRPr="006A3D76">
        <w:rPr>
          <w:rFonts w:asciiTheme="majorHAnsi" w:hAnsiTheme="majorHAnsi"/>
          <w:sz w:val="20"/>
          <w:szCs w:val="20"/>
          <w:lang w:val="es-ES_tradnl"/>
        </w:rPr>
        <w:t>argumentó</w:t>
      </w:r>
      <w:r w:rsidR="00D6626B"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que,</w:t>
      </w:r>
      <w:r w:rsidR="00D6626B" w:rsidRPr="006A3D76">
        <w:rPr>
          <w:rFonts w:asciiTheme="majorHAnsi" w:hAnsiTheme="majorHAnsi"/>
          <w:sz w:val="20"/>
          <w:szCs w:val="20"/>
          <w:lang w:val="es-ES_tradnl"/>
        </w:rPr>
        <w:t xml:space="preserve"> </w:t>
      </w:r>
      <w:r w:rsidR="00B0613D" w:rsidRPr="006A3D76">
        <w:rPr>
          <w:rFonts w:asciiTheme="majorHAnsi" w:hAnsiTheme="majorHAnsi"/>
          <w:sz w:val="20"/>
          <w:szCs w:val="20"/>
          <w:lang w:val="es-ES_tradnl"/>
        </w:rPr>
        <w:t xml:space="preserve">si bien </w:t>
      </w:r>
      <w:r w:rsidR="00D6626B" w:rsidRPr="006A3D76">
        <w:rPr>
          <w:rFonts w:asciiTheme="majorHAnsi" w:hAnsiTheme="majorHAnsi"/>
          <w:sz w:val="20"/>
          <w:szCs w:val="20"/>
          <w:lang w:val="es-ES_tradnl"/>
        </w:rPr>
        <w:t xml:space="preserve">la cuantía de la acción </w:t>
      </w:r>
      <w:r w:rsidR="00B0613D" w:rsidRPr="006A3D76">
        <w:rPr>
          <w:rFonts w:asciiTheme="majorHAnsi" w:hAnsiTheme="majorHAnsi"/>
          <w:sz w:val="20"/>
          <w:szCs w:val="20"/>
          <w:lang w:val="es-ES_tradnl"/>
        </w:rPr>
        <w:t xml:space="preserve">resultaba menor </w:t>
      </w:r>
      <w:r w:rsidR="00D6626B" w:rsidRPr="006A3D76">
        <w:rPr>
          <w:rFonts w:asciiTheme="majorHAnsi" w:hAnsiTheme="majorHAnsi"/>
          <w:sz w:val="20"/>
          <w:szCs w:val="20"/>
          <w:lang w:val="es-ES_tradnl"/>
        </w:rPr>
        <w:t>a las nuevas exigencias de la Ley 954 de 2005, se debía garantizar el derecho al debido proceso con una doble instancia</w:t>
      </w:r>
      <w:r w:rsidR="00B0613D" w:rsidRPr="006A3D76">
        <w:rPr>
          <w:rFonts w:asciiTheme="majorHAnsi" w:hAnsiTheme="majorHAnsi"/>
          <w:sz w:val="20"/>
          <w:szCs w:val="20"/>
          <w:lang w:val="es-ES_tradnl"/>
        </w:rPr>
        <w:t xml:space="preserve"> y </w:t>
      </w:r>
      <w:r w:rsidR="00653F2F" w:rsidRPr="006A3D76">
        <w:rPr>
          <w:rFonts w:asciiTheme="majorHAnsi" w:hAnsiTheme="majorHAnsi"/>
          <w:sz w:val="20"/>
          <w:szCs w:val="20"/>
          <w:lang w:val="es-ES_tradnl"/>
        </w:rPr>
        <w:t xml:space="preserve">no </w:t>
      </w:r>
      <w:r w:rsidR="00B0613D" w:rsidRPr="006A3D76">
        <w:rPr>
          <w:rFonts w:asciiTheme="majorHAnsi" w:hAnsiTheme="majorHAnsi"/>
          <w:sz w:val="20"/>
          <w:szCs w:val="20"/>
          <w:lang w:val="es-ES_tradnl"/>
        </w:rPr>
        <w:t xml:space="preserve">aplicar </w:t>
      </w:r>
      <w:r w:rsidR="00653F2F" w:rsidRPr="006A3D76">
        <w:rPr>
          <w:rFonts w:asciiTheme="majorHAnsi" w:hAnsiTheme="majorHAnsi"/>
          <w:sz w:val="20"/>
          <w:szCs w:val="20"/>
          <w:lang w:val="es-ES_tradnl"/>
        </w:rPr>
        <w:t>las disposiciones legales mencionadas</w:t>
      </w:r>
      <w:r w:rsidR="00D6626B"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El</w:t>
      </w:r>
      <w:r w:rsidR="0023147C" w:rsidRPr="006A3D76">
        <w:rPr>
          <w:rFonts w:asciiTheme="majorHAnsi" w:hAnsiTheme="majorHAnsi"/>
          <w:sz w:val="20"/>
          <w:szCs w:val="20"/>
          <w:lang w:val="es-ES_tradnl"/>
        </w:rPr>
        <w:t xml:space="preserve"> Consejo de Estado </w:t>
      </w:r>
      <w:r w:rsidR="00CA401E" w:rsidRPr="006A3D76">
        <w:rPr>
          <w:rFonts w:asciiTheme="majorHAnsi" w:hAnsiTheme="majorHAnsi"/>
          <w:sz w:val="20"/>
          <w:szCs w:val="20"/>
          <w:lang w:val="es-ES_tradnl"/>
        </w:rPr>
        <w:t xml:space="preserve">denegó el </w:t>
      </w:r>
      <w:r w:rsidR="0023147C" w:rsidRPr="006A3D76">
        <w:rPr>
          <w:rFonts w:asciiTheme="majorHAnsi" w:hAnsiTheme="majorHAnsi"/>
          <w:sz w:val="20"/>
          <w:szCs w:val="20"/>
          <w:lang w:val="es-ES_tradnl"/>
        </w:rPr>
        <w:t xml:space="preserve">recurso </w:t>
      </w:r>
      <w:r w:rsidR="000639F4" w:rsidRPr="006A3D76">
        <w:rPr>
          <w:rFonts w:asciiTheme="majorHAnsi" w:hAnsiTheme="majorHAnsi"/>
          <w:sz w:val="20"/>
          <w:szCs w:val="20"/>
          <w:lang w:val="es-ES_tradnl"/>
        </w:rPr>
        <w:t>mediante sentencia de</w:t>
      </w:r>
      <w:r w:rsidR="00072190" w:rsidRPr="006A3D76">
        <w:rPr>
          <w:rFonts w:asciiTheme="majorHAnsi" w:hAnsiTheme="majorHAnsi"/>
          <w:sz w:val="20"/>
          <w:szCs w:val="20"/>
          <w:lang w:val="es-ES_tradnl"/>
        </w:rPr>
        <w:t>l</w:t>
      </w:r>
      <w:r w:rsidR="000639F4" w:rsidRPr="006A3D76">
        <w:rPr>
          <w:rFonts w:asciiTheme="majorHAnsi" w:hAnsiTheme="majorHAnsi"/>
          <w:sz w:val="20"/>
          <w:szCs w:val="20"/>
          <w:lang w:val="es-ES_tradnl"/>
        </w:rPr>
        <w:t xml:space="preserve"> 25 de marzo de 2009</w:t>
      </w:r>
      <w:r w:rsidR="00104179"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por considerar </w:t>
      </w:r>
      <w:r w:rsidR="00CE527D" w:rsidRPr="006A3D76">
        <w:rPr>
          <w:rFonts w:asciiTheme="majorHAnsi" w:hAnsiTheme="majorHAnsi"/>
          <w:sz w:val="20"/>
          <w:szCs w:val="20"/>
          <w:lang w:val="es-ES_tradnl"/>
        </w:rPr>
        <w:t xml:space="preserve">que la </w:t>
      </w:r>
      <w:r w:rsidR="00104179" w:rsidRPr="006A3D76">
        <w:rPr>
          <w:rFonts w:asciiTheme="majorHAnsi" w:hAnsiTheme="majorHAnsi"/>
          <w:sz w:val="20"/>
          <w:szCs w:val="20"/>
          <w:lang w:val="es-ES_tradnl"/>
        </w:rPr>
        <w:t>L</w:t>
      </w:r>
      <w:r w:rsidR="00CE527D" w:rsidRPr="006A3D76">
        <w:rPr>
          <w:rFonts w:asciiTheme="majorHAnsi" w:hAnsiTheme="majorHAnsi"/>
          <w:sz w:val="20"/>
          <w:szCs w:val="20"/>
          <w:lang w:val="es-ES_tradnl"/>
        </w:rPr>
        <w:t xml:space="preserve">ey 954 de 2005 </w:t>
      </w:r>
      <w:r w:rsidRPr="006A3D76">
        <w:rPr>
          <w:rFonts w:asciiTheme="majorHAnsi" w:hAnsiTheme="majorHAnsi"/>
          <w:sz w:val="20"/>
          <w:szCs w:val="20"/>
          <w:lang w:val="es-ES_tradnl"/>
        </w:rPr>
        <w:t xml:space="preserve">ajustó </w:t>
      </w:r>
      <w:r w:rsidR="00CE527D" w:rsidRPr="006A3D76">
        <w:rPr>
          <w:rFonts w:asciiTheme="majorHAnsi" w:hAnsiTheme="majorHAnsi"/>
          <w:sz w:val="20"/>
          <w:szCs w:val="20"/>
          <w:lang w:val="es-ES_tradnl"/>
        </w:rPr>
        <w:t xml:space="preserve">temporalmente </w:t>
      </w:r>
      <w:r w:rsidR="005E4A86" w:rsidRPr="006A3D76">
        <w:rPr>
          <w:rFonts w:asciiTheme="majorHAnsi" w:hAnsiTheme="majorHAnsi"/>
          <w:sz w:val="20"/>
          <w:szCs w:val="20"/>
          <w:lang w:val="es-ES_tradnl"/>
        </w:rPr>
        <w:t xml:space="preserve">la </w:t>
      </w:r>
      <w:r w:rsidR="00CE527D" w:rsidRPr="006A3D76">
        <w:rPr>
          <w:rFonts w:asciiTheme="majorHAnsi" w:hAnsiTheme="majorHAnsi"/>
          <w:sz w:val="20"/>
          <w:szCs w:val="20"/>
          <w:lang w:val="es-ES_tradnl"/>
        </w:rPr>
        <w:t>competencia establecida en la Ley 446 de 1998.</w:t>
      </w:r>
      <w:r w:rsidR="00F93C66" w:rsidRPr="006A3D76">
        <w:rPr>
          <w:rFonts w:asciiTheme="majorHAnsi" w:hAnsiTheme="majorHAnsi"/>
          <w:sz w:val="20"/>
          <w:szCs w:val="20"/>
          <w:lang w:val="es-ES_tradnl"/>
        </w:rPr>
        <w:t xml:space="preserve"> </w:t>
      </w:r>
    </w:p>
    <w:p w14:paraId="0F2F96AD" w14:textId="77777777" w:rsidR="00F93C66" w:rsidRPr="006A3D76" w:rsidRDefault="00F93C66"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3FFADBA" w14:textId="541B34EC" w:rsidR="000B0D1B" w:rsidRPr="006A3D76" w:rsidRDefault="001864F3"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sz w:val="20"/>
          <w:szCs w:val="20"/>
          <w:lang w:val="es-ES_tradnl"/>
        </w:rPr>
        <w:t>El peticionario señala</w:t>
      </w:r>
      <w:r w:rsidR="005750B0" w:rsidRPr="006A3D76">
        <w:rPr>
          <w:rFonts w:asciiTheme="majorHAnsi" w:hAnsiTheme="majorHAnsi"/>
          <w:sz w:val="20"/>
          <w:szCs w:val="20"/>
          <w:lang w:val="es-ES_tradnl"/>
        </w:rPr>
        <w:t xml:space="preserve"> que </w:t>
      </w:r>
      <w:r w:rsidRPr="006A3D76">
        <w:rPr>
          <w:rFonts w:asciiTheme="majorHAnsi" w:hAnsiTheme="majorHAnsi"/>
          <w:sz w:val="20"/>
          <w:szCs w:val="20"/>
          <w:lang w:val="es-ES_tradnl"/>
        </w:rPr>
        <w:t xml:space="preserve">el proceso era de doble instancia </w:t>
      </w:r>
      <w:r w:rsidR="00072190" w:rsidRPr="006A3D76">
        <w:rPr>
          <w:rFonts w:asciiTheme="majorHAnsi" w:hAnsiTheme="majorHAnsi"/>
          <w:sz w:val="20"/>
          <w:szCs w:val="20"/>
          <w:lang w:val="es-ES_tradnl"/>
        </w:rPr>
        <w:t>al</w:t>
      </w:r>
      <w:r w:rsidRPr="006A3D76">
        <w:rPr>
          <w:rFonts w:asciiTheme="majorHAnsi" w:hAnsiTheme="majorHAnsi"/>
          <w:sz w:val="20"/>
          <w:szCs w:val="20"/>
          <w:lang w:val="es-ES_tradnl"/>
        </w:rPr>
        <w:t xml:space="preserve"> </w:t>
      </w:r>
      <w:r w:rsidR="005750B0" w:rsidRPr="006A3D76">
        <w:rPr>
          <w:rFonts w:asciiTheme="majorHAnsi" w:hAnsiTheme="majorHAnsi"/>
          <w:sz w:val="20"/>
          <w:szCs w:val="20"/>
          <w:lang w:val="es-ES_tradnl"/>
        </w:rPr>
        <w:t>momento que fue interpuesta la acción de reparación</w:t>
      </w:r>
      <w:r w:rsidRPr="006A3D76">
        <w:rPr>
          <w:rFonts w:asciiTheme="majorHAnsi" w:hAnsiTheme="majorHAnsi"/>
          <w:sz w:val="20"/>
          <w:szCs w:val="20"/>
          <w:lang w:val="es-ES_tradnl"/>
        </w:rPr>
        <w:t>;</w:t>
      </w:r>
      <w:r w:rsidR="005750B0" w:rsidRPr="006A3D76">
        <w:rPr>
          <w:rFonts w:asciiTheme="majorHAnsi" w:hAnsiTheme="majorHAnsi"/>
          <w:sz w:val="20"/>
          <w:szCs w:val="20"/>
          <w:lang w:val="es-ES_tradnl"/>
        </w:rPr>
        <w:t xml:space="preserve"> no obstante, </w:t>
      </w:r>
      <w:r w:rsidRPr="006A3D76">
        <w:rPr>
          <w:rFonts w:asciiTheme="majorHAnsi" w:hAnsiTheme="majorHAnsi"/>
          <w:sz w:val="20"/>
          <w:szCs w:val="20"/>
          <w:lang w:val="es-ES_tradnl"/>
        </w:rPr>
        <w:t xml:space="preserve">debido al </w:t>
      </w:r>
      <w:r w:rsidR="005750B0" w:rsidRPr="006A3D76">
        <w:rPr>
          <w:rFonts w:asciiTheme="majorHAnsi" w:hAnsiTheme="majorHAnsi"/>
          <w:sz w:val="20"/>
          <w:szCs w:val="20"/>
          <w:lang w:val="es-ES_tradnl"/>
        </w:rPr>
        <w:t xml:space="preserve">retraso procesal, </w:t>
      </w:r>
      <w:r w:rsidR="00072190" w:rsidRPr="006A3D76">
        <w:rPr>
          <w:rFonts w:asciiTheme="majorHAnsi" w:hAnsiTheme="majorHAnsi"/>
          <w:sz w:val="20"/>
          <w:szCs w:val="20"/>
          <w:lang w:val="es-ES_tradnl"/>
        </w:rPr>
        <w:t xml:space="preserve">aplicó </w:t>
      </w:r>
      <w:r w:rsidR="005750B0" w:rsidRPr="006A3D76">
        <w:rPr>
          <w:rFonts w:asciiTheme="majorHAnsi" w:hAnsiTheme="majorHAnsi"/>
          <w:sz w:val="20"/>
          <w:szCs w:val="20"/>
          <w:lang w:val="es-ES_tradnl"/>
        </w:rPr>
        <w:t>el marco normativo</w:t>
      </w:r>
      <w:r w:rsidR="00072190" w:rsidRPr="006A3D76">
        <w:rPr>
          <w:rFonts w:asciiTheme="majorHAnsi" w:hAnsiTheme="majorHAnsi"/>
          <w:sz w:val="20"/>
          <w:szCs w:val="20"/>
          <w:lang w:val="es-ES_tradnl"/>
        </w:rPr>
        <w:t xml:space="preserve"> </w:t>
      </w:r>
      <w:r w:rsidR="00806BA6" w:rsidRPr="006A3D76">
        <w:rPr>
          <w:rFonts w:asciiTheme="majorHAnsi" w:hAnsiTheme="majorHAnsi"/>
          <w:sz w:val="20"/>
          <w:szCs w:val="20"/>
          <w:lang w:val="es-ES_tradnl"/>
        </w:rPr>
        <w:t xml:space="preserve">modificado </w:t>
      </w:r>
      <w:r w:rsidR="005750B0" w:rsidRPr="006A3D76">
        <w:rPr>
          <w:rFonts w:asciiTheme="majorHAnsi" w:hAnsiTheme="majorHAnsi"/>
          <w:sz w:val="20"/>
          <w:szCs w:val="20"/>
          <w:lang w:val="es-ES_tradnl"/>
        </w:rPr>
        <w:t>de manera unilateral</w:t>
      </w:r>
      <w:r w:rsidR="005847F4" w:rsidRPr="006A3D76">
        <w:rPr>
          <w:rFonts w:asciiTheme="majorHAnsi" w:hAnsiTheme="majorHAnsi"/>
          <w:sz w:val="20"/>
          <w:szCs w:val="20"/>
          <w:lang w:val="es-ES_tradnl"/>
        </w:rPr>
        <w:t xml:space="preserve"> con el </w:t>
      </w:r>
      <w:r w:rsidR="00DE43CA" w:rsidRPr="006A3D76">
        <w:rPr>
          <w:rFonts w:asciiTheme="majorHAnsi" w:hAnsiTheme="majorHAnsi"/>
          <w:sz w:val="20"/>
          <w:szCs w:val="20"/>
          <w:lang w:val="es-ES_tradnl"/>
        </w:rPr>
        <w:t xml:space="preserve">único </w:t>
      </w:r>
      <w:r w:rsidR="005847F4" w:rsidRPr="006A3D76">
        <w:rPr>
          <w:rFonts w:asciiTheme="majorHAnsi" w:hAnsiTheme="majorHAnsi"/>
          <w:sz w:val="20"/>
          <w:szCs w:val="20"/>
          <w:lang w:val="es-ES_tradnl"/>
        </w:rPr>
        <w:t xml:space="preserve">fin </w:t>
      </w:r>
      <w:r w:rsidR="00DE43CA" w:rsidRPr="006A3D76">
        <w:rPr>
          <w:rFonts w:asciiTheme="majorHAnsi" w:hAnsiTheme="majorHAnsi"/>
          <w:sz w:val="20"/>
          <w:szCs w:val="20"/>
          <w:lang w:val="es-ES_tradnl"/>
        </w:rPr>
        <w:t xml:space="preserve">de </w:t>
      </w:r>
      <w:r w:rsidR="005847F4" w:rsidRPr="006A3D76">
        <w:rPr>
          <w:rFonts w:asciiTheme="majorHAnsi" w:hAnsiTheme="majorHAnsi"/>
          <w:sz w:val="20"/>
          <w:szCs w:val="20"/>
          <w:lang w:val="es-ES_tradnl"/>
        </w:rPr>
        <w:t xml:space="preserve">descongestionar al Consejo de Estado sin considerar que los procesos judiciales que se encontraban en curso perderían el derecho a ser recurridos y a que el superior pudiera corregir los posibles errores en que hubiera podido incurrir el </w:t>
      </w:r>
      <w:r w:rsidR="00DE43CA" w:rsidRPr="006A3D76">
        <w:rPr>
          <w:rFonts w:asciiTheme="majorHAnsi" w:hAnsiTheme="majorHAnsi"/>
          <w:sz w:val="20"/>
          <w:szCs w:val="20"/>
          <w:lang w:val="es-ES_tradnl"/>
        </w:rPr>
        <w:t>tr</w:t>
      </w:r>
      <w:r w:rsidR="005847F4" w:rsidRPr="006A3D76">
        <w:rPr>
          <w:rFonts w:asciiTheme="majorHAnsi" w:hAnsiTheme="majorHAnsi"/>
          <w:sz w:val="20"/>
          <w:szCs w:val="20"/>
          <w:lang w:val="es-ES_tradnl"/>
        </w:rPr>
        <w:t>ibunal de instancia</w:t>
      </w:r>
      <w:r w:rsidR="005750B0"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En</w:t>
      </w:r>
      <w:r w:rsidR="005750B0"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su</w:t>
      </w:r>
      <w:r w:rsidR="00384068" w:rsidRPr="006A3D76">
        <w:rPr>
          <w:rFonts w:asciiTheme="majorHAnsi" w:hAnsiTheme="majorHAnsi"/>
          <w:sz w:val="20"/>
          <w:szCs w:val="20"/>
          <w:lang w:val="es-ES_tradnl"/>
        </w:rPr>
        <w:t xml:space="preserve"> decisión de 25 de marzo de 2009 </w:t>
      </w:r>
      <w:r w:rsidR="000B0D1B" w:rsidRPr="006A3D76">
        <w:rPr>
          <w:rFonts w:asciiTheme="majorHAnsi" w:hAnsiTheme="majorHAnsi"/>
          <w:sz w:val="20"/>
          <w:szCs w:val="20"/>
          <w:lang w:val="es-ES_tradnl"/>
        </w:rPr>
        <w:t xml:space="preserve">el Consejo de Estado aplicó </w:t>
      </w:r>
      <w:r w:rsidRPr="006A3D76">
        <w:rPr>
          <w:rFonts w:asciiTheme="majorHAnsi" w:hAnsiTheme="majorHAnsi"/>
          <w:sz w:val="20"/>
          <w:szCs w:val="20"/>
          <w:lang w:val="es-ES_tradnl"/>
        </w:rPr>
        <w:t xml:space="preserve">la </w:t>
      </w:r>
      <w:r w:rsidR="000B0D1B" w:rsidRPr="006A3D76">
        <w:rPr>
          <w:rFonts w:asciiTheme="majorHAnsi" w:hAnsiTheme="majorHAnsi"/>
          <w:sz w:val="20"/>
          <w:szCs w:val="20"/>
          <w:lang w:val="es-ES_tradnl"/>
        </w:rPr>
        <w:t xml:space="preserve">jurisprudencia fijada por </w:t>
      </w:r>
      <w:r w:rsidR="005E4A86" w:rsidRPr="006A3D76">
        <w:rPr>
          <w:rFonts w:asciiTheme="majorHAnsi" w:hAnsiTheme="majorHAnsi"/>
          <w:sz w:val="20"/>
          <w:szCs w:val="20"/>
          <w:lang w:val="es-ES_tradnl"/>
        </w:rPr>
        <w:t xml:space="preserve">su </w:t>
      </w:r>
      <w:r w:rsidR="000B0D1B" w:rsidRPr="006A3D76">
        <w:rPr>
          <w:rFonts w:asciiTheme="majorHAnsi" w:hAnsiTheme="majorHAnsi"/>
          <w:sz w:val="20"/>
          <w:szCs w:val="20"/>
          <w:lang w:val="es-ES_tradnl"/>
        </w:rPr>
        <w:t>Sala Plena de la Sección Tercera</w:t>
      </w:r>
      <w:r w:rsidRPr="006A3D76">
        <w:rPr>
          <w:rFonts w:asciiTheme="majorHAnsi" w:hAnsiTheme="majorHAnsi"/>
          <w:sz w:val="20"/>
          <w:szCs w:val="20"/>
          <w:lang w:val="es-ES_tradnl"/>
        </w:rPr>
        <w:t>,</w:t>
      </w:r>
      <w:r w:rsidR="000B0D1B"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según </w:t>
      </w:r>
      <w:r w:rsidR="00806BA6" w:rsidRPr="006A3D76">
        <w:rPr>
          <w:rFonts w:asciiTheme="majorHAnsi" w:hAnsiTheme="majorHAnsi"/>
          <w:sz w:val="20"/>
          <w:szCs w:val="20"/>
          <w:lang w:val="es-ES_tradnl"/>
        </w:rPr>
        <w:t xml:space="preserve">la cual </w:t>
      </w:r>
      <w:r w:rsidR="000B0D1B" w:rsidRPr="006A3D76">
        <w:rPr>
          <w:rFonts w:asciiTheme="majorHAnsi" w:hAnsiTheme="majorHAnsi"/>
          <w:sz w:val="20"/>
          <w:szCs w:val="20"/>
          <w:lang w:val="es-ES_tradnl"/>
        </w:rPr>
        <w:t xml:space="preserve">para que las sentencias de los </w:t>
      </w:r>
      <w:r w:rsidR="00F93C66" w:rsidRPr="006A3D76">
        <w:rPr>
          <w:rFonts w:asciiTheme="majorHAnsi" w:hAnsiTheme="majorHAnsi"/>
          <w:sz w:val="20"/>
          <w:szCs w:val="20"/>
          <w:lang w:val="es-ES_tradnl"/>
        </w:rPr>
        <w:t>t</w:t>
      </w:r>
      <w:r w:rsidR="000B0D1B" w:rsidRPr="006A3D76">
        <w:rPr>
          <w:rFonts w:asciiTheme="majorHAnsi" w:hAnsiTheme="majorHAnsi"/>
          <w:sz w:val="20"/>
          <w:szCs w:val="20"/>
          <w:lang w:val="es-ES_tradnl"/>
        </w:rPr>
        <w:t>ribunales fueran susceptibles de impugnación el monto de la cuantía estimada en la demanda debía alcanzar los topes vigentes al momento de la formulación del recurso de apelación</w:t>
      </w:r>
      <w:r w:rsidR="00F93C66" w:rsidRPr="006A3D76">
        <w:rPr>
          <w:rFonts w:asciiTheme="majorHAnsi" w:hAnsiTheme="majorHAnsi"/>
          <w:sz w:val="20"/>
          <w:szCs w:val="20"/>
          <w:lang w:val="es-ES_tradnl"/>
        </w:rPr>
        <w:t xml:space="preserve"> y no al momento de la presentación de la acción de reparación</w:t>
      </w:r>
      <w:r w:rsidR="00806BA6" w:rsidRPr="006A3D76">
        <w:rPr>
          <w:rFonts w:asciiTheme="majorHAnsi" w:hAnsiTheme="majorHAnsi"/>
          <w:sz w:val="20"/>
          <w:szCs w:val="20"/>
          <w:lang w:val="es-ES_tradnl"/>
        </w:rPr>
        <w:t xml:space="preserve">. </w:t>
      </w:r>
      <w:r w:rsidR="004C0BE0" w:rsidRPr="006A3D76">
        <w:rPr>
          <w:rFonts w:asciiTheme="majorHAnsi" w:hAnsiTheme="majorHAnsi"/>
          <w:sz w:val="20"/>
          <w:szCs w:val="20"/>
          <w:lang w:val="es-ES_tradnl"/>
        </w:rPr>
        <w:t>E</w:t>
      </w:r>
      <w:r w:rsidRPr="006A3D76">
        <w:rPr>
          <w:rFonts w:asciiTheme="majorHAnsi" w:hAnsiTheme="majorHAnsi"/>
          <w:sz w:val="20"/>
          <w:szCs w:val="20"/>
          <w:lang w:val="es-ES_tradnl"/>
        </w:rPr>
        <w:t>l peticionario</w:t>
      </w:r>
      <w:r w:rsidR="004C0BE0" w:rsidRPr="006A3D76">
        <w:rPr>
          <w:rFonts w:asciiTheme="majorHAnsi" w:hAnsiTheme="majorHAnsi"/>
          <w:sz w:val="20"/>
          <w:szCs w:val="20"/>
          <w:lang w:val="es-ES_tradnl"/>
        </w:rPr>
        <w:t xml:space="preserve"> a</w:t>
      </w:r>
      <w:r w:rsidR="00384068" w:rsidRPr="006A3D76">
        <w:rPr>
          <w:rFonts w:asciiTheme="majorHAnsi" w:hAnsiTheme="majorHAnsi"/>
          <w:sz w:val="20"/>
          <w:szCs w:val="20"/>
          <w:lang w:val="es-ES_tradnl"/>
        </w:rPr>
        <w:t xml:space="preserve">lega que </w:t>
      </w:r>
      <w:r w:rsidR="00806BA6" w:rsidRPr="006A3D76">
        <w:rPr>
          <w:rFonts w:asciiTheme="majorHAnsi" w:hAnsiTheme="majorHAnsi"/>
          <w:sz w:val="20"/>
          <w:szCs w:val="20"/>
          <w:lang w:val="es-ES_tradnl"/>
        </w:rPr>
        <w:t xml:space="preserve">se dio una aplicación indebida a los procesos iniciados con anterioridad a la vigencia del artículo 164 de la Ley 446 de 1998 </w:t>
      </w:r>
      <w:r w:rsidRPr="006A3D76">
        <w:rPr>
          <w:rFonts w:asciiTheme="majorHAnsi" w:hAnsiTheme="majorHAnsi"/>
          <w:sz w:val="20"/>
          <w:szCs w:val="20"/>
          <w:lang w:val="es-ES_tradnl"/>
        </w:rPr>
        <w:t xml:space="preserve">en </w:t>
      </w:r>
      <w:r w:rsidR="00806BA6" w:rsidRPr="006A3D76">
        <w:rPr>
          <w:rFonts w:asciiTheme="majorHAnsi" w:hAnsiTheme="majorHAnsi"/>
          <w:sz w:val="20"/>
          <w:szCs w:val="20"/>
          <w:lang w:val="es-ES_tradnl"/>
        </w:rPr>
        <w:t>desconoci</w:t>
      </w:r>
      <w:r w:rsidRPr="006A3D76">
        <w:rPr>
          <w:rFonts w:asciiTheme="majorHAnsi" w:hAnsiTheme="majorHAnsi"/>
          <w:sz w:val="20"/>
          <w:szCs w:val="20"/>
          <w:lang w:val="es-ES_tradnl"/>
        </w:rPr>
        <w:t xml:space="preserve">miento de los </w:t>
      </w:r>
      <w:r w:rsidR="00384068" w:rsidRPr="006A3D76">
        <w:rPr>
          <w:rFonts w:asciiTheme="majorHAnsi" w:hAnsiTheme="majorHAnsi"/>
          <w:sz w:val="20"/>
          <w:szCs w:val="20"/>
          <w:lang w:val="es-ES_tradnl"/>
        </w:rPr>
        <w:t>derecho</w:t>
      </w:r>
      <w:r w:rsidRPr="006A3D76">
        <w:rPr>
          <w:rFonts w:asciiTheme="majorHAnsi" w:hAnsiTheme="majorHAnsi"/>
          <w:sz w:val="20"/>
          <w:szCs w:val="20"/>
          <w:lang w:val="es-ES_tradnl"/>
        </w:rPr>
        <w:t>s</w:t>
      </w:r>
      <w:r w:rsidR="00384068"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de las víctimas al debido proceso;</w:t>
      </w:r>
      <w:r w:rsidR="00384068"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la </w:t>
      </w:r>
      <w:r w:rsidR="00384068" w:rsidRPr="006A3D76">
        <w:rPr>
          <w:rFonts w:asciiTheme="majorHAnsi" w:hAnsiTheme="majorHAnsi"/>
          <w:sz w:val="20"/>
          <w:szCs w:val="20"/>
          <w:lang w:val="es-ES_tradnl"/>
        </w:rPr>
        <w:t>doble instancia</w:t>
      </w:r>
      <w:r w:rsidRPr="006A3D76">
        <w:rPr>
          <w:rFonts w:asciiTheme="majorHAnsi" w:hAnsiTheme="majorHAnsi"/>
          <w:sz w:val="20"/>
          <w:szCs w:val="20"/>
          <w:lang w:val="es-ES_tradnl"/>
        </w:rPr>
        <w:t>;</w:t>
      </w:r>
      <w:r w:rsidR="00384068" w:rsidRPr="006A3D76">
        <w:rPr>
          <w:rFonts w:asciiTheme="majorHAnsi" w:hAnsiTheme="majorHAnsi"/>
          <w:sz w:val="20"/>
          <w:szCs w:val="20"/>
          <w:lang w:val="es-ES_tradnl"/>
        </w:rPr>
        <w:t xml:space="preserve"> igualdad</w:t>
      </w:r>
      <w:r w:rsidRPr="006A3D76">
        <w:rPr>
          <w:rFonts w:asciiTheme="majorHAnsi" w:hAnsiTheme="majorHAnsi"/>
          <w:sz w:val="20"/>
          <w:szCs w:val="20"/>
          <w:lang w:val="es-ES_tradnl"/>
        </w:rPr>
        <w:t>;</w:t>
      </w:r>
      <w:r w:rsidR="00384068" w:rsidRPr="006A3D76">
        <w:rPr>
          <w:rFonts w:asciiTheme="majorHAnsi" w:hAnsiTheme="majorHAnsi"/>
          <w:sz w:val="20"/>
          <w:szCs w:val="20"/>
          <w:lang w:val="es-ES_tradnl"/>
        </w:rPr>
        <w:t xml:space="preserve"> y acceso a la administración de justicia</w:t>
      </w:r>
      <w:r w:rsidRPr="006A3D76">
        <w:rPr>
          <w:rFonts w:asciiTheme="majorHAnsi" w:hAnsiTheme="majorHAnsi"/>
          <w:sz w:val="20"/>
          <w:szCs w:val="20"/>
          <w:lang w:val="es-ES_tradnl"/>
        </w:rPr>
        <w:t xml:space="preserve">. Sostiene igualmente que se vulneraron </w:t>
      </w:r>
      <w:r w:rsidR="00384068" w:rsidRPr="006A3D76">
        <w:rPr>
          <w:rFonts w:asciiTheme="majorHAnsi" w:hAnsiTheme="majorHAnsi"/>
          <w:sz w:val="20"/>
          <w:szCs w:val="20"/>
          <w:lang w:val="es-ES_tradnl"/>
        </w:rPr>
        <w:t>de los principios de seguridad jurídica y</w:t>
      </w:r>
      <w:r w:rsidR="00806BA6" w:rsidRPr="006A3D76">
        <w:rPr>
          <w:rFonts w:asciiTheme="majorHAnsi" w:hAnsiTheme="majorHAnsi"/>
          <w:sz w:val="20"/>
          <w:szCs w:val="20"/>
          <w:lang w:val="es-ES_tradnl"/>
        </w:rPr>
        <w:t xml:space="preserve"> la</w:t>
      </w:r>
      <w:r w:rsidR="00384068" w:rsidRPr="006A3D76">
        <w:rPr>
          <w:rFonts w:asciiTheme="majorHAnsi" w:hAnsiTheme="majorHAnsi"/>
          <w:sz w:val="20"/>
          <w:szCs w:val="20"/>
          <w:lang w:val="es-ES_tradnl"/>
        </w:rPr>
        <w:t xml:space="preserve"> confianza legítima.</w:t>
      </w:r>
    </w:p>
    <w:p w14:paraId="02315B19" w14:textId="4262F6FE" w:rsidR="001A066C" w:rsidRPr="006A3D76" w:rsidRDefault="001A066C"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BDE6F3F" w14:textId="3CF50621" w:rsidR="005079CA" w:rsidRPr="006A3D76" w:rsidRDefault="00DE43CA"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sz w:val="20"/>
          <w:szCs w:val="20"/>
          <w:lang w:val="es-ES_tradnl"/>
        </w:rPr>
        <w:t>Argumenta que</w:t>
      </w:r>
      <w:r w:rsidR="00032D9E"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en virtud de la muerte de la presunta víctima, no se inició investigación penal, disciplinaria ni ética en contra las personas que la atendieron</w:t>
      </w:r>
      <w:r w:rsidR="00032D9E" w:rsidRPr="006A3D76">
        <w:rPr>
          <w:rFonts w:asciiTheme="majorHAnsi" w:hAnsiTheme="majorHAnsi"/>
          <w:sz w:val="20"/>
          <w:szCs w:val="20"/>
          <w:lang w:val="es-ES_tradnl"/>
        </w:rPr>
        <w:t xml:space="preserve"> </w:t>
      </w:r>
      <w:r w:rsidR="002E581F" w:rsidRPr="006A3D76">
        <w:rPr>
          <w:rFonts w:asciiTheme="majorHAnsi" w:hAnsiTheme="majorHAnsi"/>
          <w:sz w:val="20"/>
          <w:szCs w:val="20"/>
          <w:lang w:val="es-ES_tradnl"/>
        </w:rPr>
        <w:t xml:space="preserve">con el fin de esclarecer los hechos </w:t>
      </w:r>
      <w:r w:rsidR="00032D9E" w:rsidRPr="006A3D76">
        <w:rPr>
          <w:rFonts w:asciiTheme="majorHAnsi" w:hAnsiTheme="majorHAnsi"/>
          <w:sz w:val="20"/>
          <w:szCs w:val="20"/>
          <w:lang w:val="es-ES_tradnl"/>
        </w:rPr>
        <w:t xml:space="preserve">por lo cual, de la mano a </w:t>
      </w:r>
      <w:r w:rsidR="001A066C" w:rsidRPr="006A3D76">
        <w:rPr>
          <w:rFonts w:asciiTheme="majorHAnsi" w:hAnsiTheme="majorHAnsi"/>
          <w:sz w:val="20"/>
          <w:szCs w:val="20"/>
          <w:lang w:val="es-ES_tradnl"/>
        </w:rPr>
        <w:t>la evolución del proceso en la jurisdicción contencioso</w:t>
      </w:r>
      <w:r w:rsidR="002E581F" w:rsidRPr="006A3D76">
        <w:rPr>
          <w:rFonts w:asciiTheme="majorHAnsi" w:hAnsiTheme="majorHAnsi"/>
          <w:sz w:val="20"/>
          <w:szCs w:val="20"/>
          <w:lang w:val="es-ES_tradnl"/>
        </w:rPr>
        <w:t>-</w:t>
      </w:r>
      <w:r w:rsidR="00032D9E" w:rsidRPr="006A3D76">
        <w:rPr>
          <w:rFonts w:asciiTheme="majorHAnsi" w:hAnsiTheme="majorHAnsi"/>
          <w:sz w:val="20"/>
          <w:szCs w:val="20"/>
          <w:lang w:val="es-ES_tradnl"/>
        </w:rPr>
        <w:t>administrativa</w:t>
      </w:r>
      <w:r w:rsidR="002E581F" w:rsidRPr="006A3D76">
        <w:rPr>
          <w:rFonts w:asciiTheme="majorHAnsi" w:hAnsiTheme="majorHAnsi"/>
          <w:sz w:val="20"/>
          <w:szCs w:val="20"/>
          <w:lang w:val="es-ES_tradnl"/>
        </w:rPr>
        <w:t xml:space="preserve"> que niega la posibilidad de una segunda instancia</w:t>
      </w:r>
      <w:r w:rsidR="00032D9E" w:rsidRPr="006A3D76">
        <w:rPr>
          <w:rFonts w:asciiTheme="majorHAnsi" w:hAnsiTheme="majorHAnsi"/>
          <w:sz w:val="20"/>
          <w:szCs w:val="20"/>
          <w:lang w:val="es-ES_tradnl"/>
        </w:rPr>
        <w:t xml:space="preserve">, sería </w:t>
      </w:r>
      <w:r w:rsidR="001A066C" w:rsidRPr="006A3D76">
        <w:rPr>
          <w:rFonts w:asciiTheme="majorHAnsi" w:hAnsiTheme="majorHAnsi"/>
          <w:sz w:val="20"/>
          <w:szCs w:val="20"/>
          <w:lang w:val="es-ES_tradnl"/>
        </w:rPr>
        <w:t xml:space="preserve">viable invocar la excepción </w:t>
      </w:r>
      <w:r w:rsidR="00032D9E" w:rsidRPr="006A3D76">
        <w:rPr>
          <w:rFonts w:asciiTheme="majorHAnsi" w:hAnsiTheme="majorHAnsi"/>
          <w:sz w:val="20"/>
          <w:szCs w:val="20"/>
          <w:lang w:val="es-ES_tradnl"/>
        </w:rPr>
        <w:t>a</w:t>
      </w:r>
      <w:r w:rsidR="001A066C" w:rsidRPr="006A3D76">
        <w:rPr>
          <w:rFonts w:asciiTheme="majorHAnsi" w:hAnsiTheme="majorHAnsi"/>
          <w:sz w:val="20"/>
          <w:szCs w:val="20"/>
          <w:lang w:val="es-ES_tradnl"/>
        </w:rPr>
        <w:t xml:space="preserve">l </w:t>
      </w:r>
      <w:r w:rsidR="00032D9E" w:rsidRPr="006A3D76">
        <w:rPr>
          <w:rFonts w:asciiTheme="majorHAnsi" w:hAnsiTheme="majorHAnsi"/>
          <w:sz w:val="20"/>
          <w:szCs w:val="20"/>
          <w:lang w:val="es-ES_tradnl"/>
        </w:rPr>
        <w:t>agotamiento</w:t>
      </w:r>
      <w:r w:rsidR="001A066C" w:rsidRPr="006A3D76">
        <w:rPr>
          <w:rFonts w:asciiTheme="majorHAnsi" w:hAnsiTheme="majorHAnsi"/>
          <w:sz w:val="20"/>
          <w:szCs w:val="20"/>
          <w:lang w:val="es-ES_tradnl"/>
        </w:rPr>
        <w:t xml:space="preserve"> de los recursos internos estipulad</w:t>
      </w:r>
      <w:r w:rsidR="00032D9E" w:rsidRPr="006A3D76">
        <w:rPr>
          <w:rFonts w:asciiTheme="majorHAnsi" w:hAnsiTheme="majorHAnsi"/>
          <w:sz w:val="20"/>
          <w:szCs w:val="20"/>
          <w:lang w:val="es-ES_tradnl"/>
        </w:rPr>
        <w:t>a</w:t>
      </w:r>
      <w:r w:rsidR="001A066C" w:rsidRPr="006A3D76">
        <w:rPr>
          <w:rFonts w:asciiTheme="majorHAnsi" w:hAnsiTheme="majorHAnsi"/>
          <w:sz w:val="20"/>
          <w:szCs w:val="20"/>
          <w:lang w:val="es-ES_tradnl"/>
        </w:rPr>
        <w:t xml:space="preserve"> en el </w:t>
      </w:r>
      <w:r w:rsidR="00032D9E" w:rsidRPr="006A3D76">
        <w:rPr>
          <w:rFonts w:asciiTheme="majorHAnsi" w:hAnsiTheme="majorHAnsi"/>
          <w:sz w:val="20"/>
          <w:szCs w:val="20"/>
          <w:lang w:val="es-ES_tradnl"/>
        </w:rPr>
        <w:lastRenderedPageBreak/>
        <w:t>artículo</w:t>
      </w:r>
      <w:r w:rsidR="001A066C" w:rsidRPr="006A3D76">
        <w:rPr>
          <w:rFonts w:asciiTheme="majorHAnsi" w:hAnsiTheme="majorHAnsi"/>
          <w:sz w:val="20"/>
          <w:szCs w:val="20"/>
          <w:lang w:val="es-ES_tradnl"/>
        </w:rPr>
        <w:t xml:space="preserve"> 46.2.c</w:t>
      </w:r>
      <w:r w:rsidR="009F0FC6" w:rsidRPr="006A3D76">
        <w:rPr>
          <w:rFonts w:asciiTheme="majorHAnsi" w:hAnsiTheme="majorHAnsi"/>
          <w:sz w:val="20"/>
          <w:szCs w:val="20"/>
          <w:lang w:val="es-ES_tradnl"/>
        </w:rPr>
        <w:t>)</w:t>
      </w:r>
      <w:r w:rsidR="002E581F" w:rsidRPr="006A3D76">
        <w:rPr>
          <w:rFonts w:asciiTheme="majorHAnsi" w:hAnsiTheme="majorHAnsi"/>
          <w:sz w:val="20"/>
          <w:szCs w:val="20"/>
          <w:lang w:val="es-ES_tradnl"/>
        </w:rPr>
        <w:t>. Al respecto, sostiene que los Estados son los garantes principales de la prestación efectiva de los servicios de salud por lo que, ante una muerte, debe “</w:t>
      </w:r>
      <w:r w:rsidR="002E581F" w:rsidRPr="006A3D76">
        <w:rPr>
          <w:rFonts w:asciiTheme="majorHAnsi" w:hAnsiTheme="majorHAnsi"/>
          <w:i/>
          <w:iCs/>
          <w:sz w:val="20"/>
          <w:szCs w:val="20"/>
          <w:lang w:val="es-ES_tradnl"/>
        </w:rPr>
        <w:t>iniciar todas las investigaciones</w:t>
      </w:r>
      <w:r w:rsidR="002E581F" w:rsidRPr="006A3D76">
        <w:rPr>
          <w:rFonts w:asciiTheme="majorHAnsi" w:hAnsiTheme="majorHAnsi"/>
          <w:sz w:val="20"/>
          <w:szCs w:val="20"/>
          <w:lang w:val="es-ES_tradnl"/>
        </w:rPr>
        <w:t xml:space="preserve">” y </w:t>
      </w:r>
      <w:r w:rsidR="002E581F" w:rsidRPr="006A3D76">
        <w:rPr>
          <w:rFonts w:asciiTheme="majorHAnsi" w:hAnsiTheme="majorHAnsi" w:cs="Cambria"/>
          <w:sz w:val="20"/>
          <w:szCs w:val="20"/>
          <w:lang w:val="es-ES_tradnl" w:eastAsia="es-ES"/>
        </w:rPr>
        <w:t>atribuir responsabilidades</w:t>
      </w:r>
      <w:r w:rsidR="002E581F" w:rsidRPr="006A3D76">
        <w:rPr>
          <w:rFonts w:asciiTheme="majorHAnsi" w:hAnsiTheme="majorHAnsi"/>
          <w:sz w:val="20"/>
          <w:szCs w:val="20"/>
          <w:lang w:val="es-ES_tradnl"/>
        </w:rPr>
        <w:t xml:space="preserve">. No obstante, </w:t>
      </w:r>
      <w:r w:rsidR="009E3542" w:rsidRPr="006A3D76">
        <w:rPr>
          <w:rFonts w:asciiTheme="majorHAnsi" w:hAnsiTheme="majorHAnsi" w:cs="Cambria"/>
          <w:sz w:val="20"/>
          <w:szCs w:val="20"/>
          <w:lang w:val="es-ES_tradnl" w:eastAsia="es-ES"/>
        </w:rPr>
        <w:t>el Estado omitió iniciar dichos procesos con fundamento en que no se advertía ningún tipo de responsabilidad en su muerte</w:t>
      </w:r>
      <w:r w:rsidR="009E3542" w:rsidRPr="006A3D76">
        <w:rPr>
          <w:rFonts w:asciiTheme="majorHAnsi" w:hAnsiTheme="majorHAnsi"/>
          <w:sz w:val="20"/>
          <w:szCs w:val="20"/>
          <w:lang w:val="es-ES_tradnl"/>
        </w:rPr>
        <w:t xml:space="preserve">, ignorando la </w:t>
      </w:r>
      <w:r w:rsidR="002E581F" w:rsidRPr="006A3D76">
        <w:rPr>
          <w:rFonts w:asciiTheme="majorHAnsi" w:hAnsiTheme="majorHAnsi"/>
          <w:sz w:val="20"/>
          <w:szCs w:val="20"/>
          <w:lang w:val="es-ES_tradnl"/>
        </w:rPr>
        <w:t>práctica médica inadecuada e inoportuna</w:t>
      </w:r>
      <w:r w:rsidR="009E3542" w:rsidRPr="006A3D76">
        <w:rPr>
          <w:rFonts w:asciiTheme="majorHAnsi" w:hAnsiTheme="majorHAnsi"/>
          <w:sz w:val="20"/>
          <w:szCs w:val="20"/>
          <w:lang w:val="es-ES_tradnl"/>
        </w:rPr>
        <w:t xml:space="preserve"> en perjuicio de la presunta víctima. Ante el argumento sobre la cuarta instancia, explica que </w:t>
      </w:r>
      <w:r w:rsidR="00785C1B" w:rsidRPr="006A3D76">
        <w:rPr>
          <w:rFonts w:asciiTheme="majorHAnsi" w:hAnsiTheme="majorHAnsi"/>
          <w:sz w:val="20"/>
          <w:szCs w:val="20"/>
          <w:lang w:val="es-ES_tradnl"/>
        </w:rPr>
        <w:t xml:space="preserve">la presente petición no presenta </w:t>
      </w:r>
      <w:r w:rsidR="005079CA" w:rsidRPr="006A3D76">
        <w:rPr>
          <w:rFonts w:asciiTheme="majorHAnsi" w:hAnsiTheme="majorHAnsi"/>
          <w:sz w:val="20"/>
          <w:szCs w:val="20"/>
          <w:lang w:val="es-ES_tradnl"/>
        </w:rPr>
        <w:t xml:space="preserve">una </w:t>
      </w:r>
      <w:r w:rsidR="00785C1B" w:rsidRPr="006A3D76">
        <w:rPr>
          <w:rFonts w:asciiTheme="majorHAnsi" w:hAnsiTheme="majorHAnsi"/>
          <w:sz w:val="20"/>
          <w:szCs w:val="20"/>
          <w:lang w:val="es-ES_tradnl"/>
        </w:rPr>
        <w:t xml:space="preserve">simple </w:t>
      </w:r>
      <w:r w:rsidR="005079CA" w:rsidRPr="006A3D76">
        <w:rPr>
          <w:rFonts w:asciiTheme="majorHAnsi" w:hAnsiTheme="majorHAnsi"/>
          <w:sz w:val="20"/>
          <w:szCs w:val="20"/>
          <w:lang w:val="es-ES_tradnl"/>
        </w:rPr>
        <w:t>inconformidad con la</w:t>
      </w:r>
      <w:r w:rsidR="00785C1B" w:rsidRPr="006A3D76">
        <w:rPr>
          <w:rFonts w:asciiTheme="majorHAnsi" w:hAnsiTheme="majorHAnsi"/>
          <w:sz w:val="20"/>
          <w:szCs w:val="20"/>
          <w:lang w:val="es-ES_tradnl"/>
        </w:rPr>
        <w:t xml:space="preserve">s </w:t>
      </w:r>
      <w:r w:rsidR="005079CA" w:rsidRPr="006A3D76">
        <w:rPr>
          <w:rFonts w:asciiTheme="majorHAnsi" w:hAnsiTheme="majorHAnsi"/>
          <w:sz w:val="20"/>
          <w:szCs w:val="20"/>
          <w:lang w:val="es-ES_tradnl"/>
        </w:rPr>
        <w:t>decisi</w:t>
      </w:r>
      <w:r w:rsidR="00785C1B" w:rsidRPr="006A3D76">
        <w:rPr>
          <w:rFonts w:asciiTheme="majorHAnsi" w:hAnsiTheme="majorHAnsi"/>
          <w:sz w:val="20"/>
          <w:szCs w:val="20"/>
          <w:lang w:val="es-ES_tradnl"/>
        </w:rPr>
        <w:t xml:space="preserve">ones judiciales </w:t>
      </w:r>
      <w:r w:rsidR="005079CA" w:rsidRPr="006A3D76">
        <w:rPr>
          <w:rFonts w:asciiTheme="majorHAnsi" w:hAnsiTheme="majorHAnsi"/>
          <w:sz w:val="20"/>
          <w:szCs w:val="20"/>
          <w:lang w:val="es-ES_tradnl"/>
        </w:rPr>
        <w:t>sino</w:t>
      </w:r>
      <w:r w:rsidR="00785C1B" w:rsidRPr="006A3D76">
        <w:rPr>
          <w:rFonts w:asciiTheme="majorHAnsi" w:hAnsiTheme="majorHAnsi"/>
          <w:sz w:val="20"/>
          <w:szCs w:val="20"/>
          <w:lang w:val="es-ES_tradnl"/>
        </w:rPr>
        <w:t xml:space="preserve">, </w:t>
      </w:r>
      <w:r w:rsidR="005079CA" w:rsidRPr="006A3D76">
        <w:rPr>
          <w:rFonts w:asciiTheme="majorHAnsi" w:hAnsiTheme="majorHAnsi"/>
          <w:sz w:val="20"/>
          <w:szCs w:val="20"/>
          <w:lang w:val="es-ES_tradnl"/>
        </w:rPr>
        <w:t>por el contrario</w:t>
      </w:r>
      <w:r w:rsidR="00785C1B" w:rsidRPr="006A3D76">
        <w:rPr>
          <w:rFonts w:asciiTheme="majorHAnsi" w:hAnsiTheme="majorHAnsi"/>
          <w:sz w:val="20"/>
          <w:szCs w:val="20"/>
          <w:lang w:val="es-ES_tradnl"/>
        </w:rPr>
        <w:t>,</w:t>
      </w:r>
      <w:r w:rsidR="005079CA" w:rsidRPr="006A3D76">
        <w:rPr>
          <w:rFonts w:asciiTheme="majorHAnsi" w:hAnsiTheme="majorHAnsi"/>
          <w:sz w:val="20"/>
          <w:szCs w:val="20"/>
          <w:lang w:val="es-ES_tradnl"/>
        </w:rPr>
        <w:t xml:space="preserve"> una clara violación al debido proceso por falta de valoración en conjunto de la prueba</w:t>
      </w:r>
      <w:r w:rsidR="00785C1B" w:rsidRPr="006A3D76">
        <w:rPr>
          <w:rFonts w:asciiTheme="majorHAnsi" w:hAnsiTheme="majorHAnsi"/>
          <w:sz w:val="20"/>
          <w:szCs w:val="20"/>
          <w:lang w:val="es-ES_tradnl"/>
        </w:rPr>
        <w:t>.</w:t>
      </w:r>
    </w:p>
    <w:p w14:paraId="65358FE5" w14:textId="52DE248C" w:rsidR="009432DD" w:rsidRPr="006A3D76" w:rsidRDefault="009432DD"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FFBED29" w14:textId="08621CE4" w:rsidR="003F4F47" w:rsidRPr="006A3D76" w:rsidRDefault="00202B0A"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0" w:themeColor="text1"/>
          <w:sz w:val="20"/>
          <w:szCs w:val="20"/>
          <w:lang w:val="es-ES_tradnl"/>
        </w:rPr>
      </w:pPr>
      <w:r w:rsidRPr="006A3D76">
        <w:rPr>
          <w:rFonts w:asciiTheme="majorHAnsi" w:hAnsiTheme="majorHAnsi"/>
          <w:sz w:val="20"/>
          <w:szCs w:val="20"/>
          <w:lang w:val="es-ES_tradnl"/>
        </w:rPr>
        <w:t xml:space="preserve">Por su parte, el Estado </w:t>
      </w:r>
      <w:r w:rsidR="00884E8C" w:rsidRPr="006A3D76">
        <w:rPr>
          <w:rFonts w:asciiTheme="majorHAnsi" w:hAnsiTheme="majorHAnsi"/>
          <w:sz w:val="20"/>
          <w:szCs w:val="20"/>
          <w:lang w:val="es-ES_tradnl"/>
        </w:rPr>
        <w:t>relata que la presunta víctima fue herida de muerte en el Barrio Gran Avenida del municipio Bello</w:t>
      </w:r>
      <w:r w:rsidR="00B301E7" w:rsidRPr="006A3D76">
        <w:rPr>
          <w:rFonts w:asciiTheme="majorHAnsi" w:hAnsiTheme="majorHAnsi"/>
          <w:sz w:val="20"/>
          <w:szCs w:val="20"/>
          <w:lang w:val="es-ES_tradnl"/>
        </w:rPr>
        <w:t>,</w:t>
      </w:r>
      <w:r w:rsidR="00884E8C" w:rsidRPr="006A3D76">
        <w:rPr>
          <w:rFonts w:asciiTheme="majorHAnsi" w:hAnsiTheme="majorHAnsi"/>
          <w:sz w:val="20"/>
          <w:szCs w:val="20"/>
          <w:lang w:val="es-ES_tradnl"/>
        </w:rPr>
        <w:t xml:space="preserve"> luego de lo cual fue trasladado a la Clínica Cárdenas del Instituto de Seguros Sociales donde le fueron suministrados líquidos para tratar de corregir el volumen de sangre que había perdido, recibiendo entonces “</w:t>
      </w:r>
      <w:r w:rsidR="00884E8C" w:rsidRPr="006A3D76">
        <w:rPr>
          <w:rFonts w:asciiTheme="majorHAnsi" w:hAnsiTheme="majorHAnsi"/>
          <w:i/>
          <w:iCs/>
          <w:sz w:val="20"/>
          <w:szCs w:val="20"/>
          <w:lang w:val="es-ES_tradnl"/>
        </w:rPr>
        <w:t>atención médica urgente inicial</w:t>
      </w:r>
      <w:r w:rsidR="00884E8C" w:rsidRPr="006A3D76">
        <w:rPr>
          <w:rFonts w:asciiTheme="majorHAnsi" w:hAnsiTheme="majorHAnsi"/>
          <w:sz w:val="20"/>
          <w:szCs w:val="20"/>
          <w:lang w:val="es-ES_tradnl"/>
        </w:rPr>
        <w:t>”. De esta entidad fue remitido al Hospital Su</w:t>
      </w:r>
      <w:r w:rsidR="0028333F" w:rsidRPr="006A3D76">
        <w:rPr>
          <w:rFonts w:asciiTheme="majorHAnsi" w:hAnsiTheme="majorHAnsi"/>
          <w:sz w:val="20"/>
          <w:szCs w:val="20"/>
          <w:lang w:val="es-ES_tradnl"/>
        </w:rPr>
        <w:t>á</w:t>
      </w:r>
      <w:r w:rsidR="00884E8C" w:rsidRPr="006A3D76">
        <w:rPr>
          <w:rFonts w:asciiTheme="majorHAnsi" w:hAnsiTheme="majorHAnsi"/>
          <w:sz w:val="20"/>
          <w:szCs w:val="20"/>
          <w:lang w:val="es-ES_tradnl"/>
        </w:rPr>
        <w:t>rez donde falleció. Ar</w:t>
      </w:r>
      <w:r w:rsidR="007A5166" w:rsidRPr="006A3D76">
        <w:rPr>
          <w:rFonts w:asciiTheme="majorHAnsi" w:hAnsiTheme="majorHAnsi"/>
          <w:sz w:val="20"/>
          <w:szCs w:val="20"/>
          <w:lang w:val="es-ES_tradnl"/>
        </w:rPr>
        <w:t xml:space="preserve">gumenta que </w:t>
      </w:r>
      <w:r w:rsidR="00200B3A" w:rsidRPr="006A3D76">
        <w:rPr>
          <w:rFonts w:asciiTheme="majorHAnsi" w:hAnsiTheme="majorHAnsi"/>
          <w:sz w:val="20"/>
          <w:szCs w:val="20"/>
          <w:lang w:val="es-ES_tradnl"/>
        </w:rPr>
        <w:t>el peticionario busca</w:t>
      </w:r>
      <w:r w:rsidR="007A5166" w:rsidRPr="006A3D76">
        <w:rPr>
          <w:rFonts w:asciiTheme="majorHAnsi" w:hAnsiTheme="majorHAnsi"/>
          <w:sz w:val="20"/>
          <w:szCs w:val="20"/>
          <w:lang w:val="es-ES_tradnl"/>
        </w:rPr>
        <w:t xml:space="preserve"> controvertir </w:t>
      </w:r>
      <w:r w:rsidR="00681515" w:rsidRPr="006A3D76">
        <w:rPr>
          <w:rFonts w:asciiTheme="majorHAnsi" w:hAnsiTheme="majorHAnsi"/>
          <w:sz w:val="20"/>
          <w:szCs w:val="20"/>
          <w:lang w:val="es-ES_tradnl"/>
        </w:rPr>
        <w:t xml:space="preserve">ante el sistema interamericano </w:t>
      </w:r>
      <w:r w:rsidR="007A5166" w:rsidRPr="006A3D76">
        <w:rPr>
          <w:rFonts w:asciiTheme="majorHAnsi" w:hAnsiTheme="majorHAnsi"/>
          <w:sz w:val="20"/>
          <w:szCs w:val="20"/>
          <w:lang w:val="es-ES_tradnl"/>
        </w:rPr>
        <w:t>las decisiones impartidas desde la jurisdicción nacional</w:t>
      </w:r>
      <w:r w:rsidR="007A5166" w:rsidRPr="006A3D76">
        <w:rPr>
          <w:rFonts w:asciiTheme="majorHAnsi" w:hAnsiTheme="majorHAnsi"/>
          <w:color w:val="000000" w:themeColor="text1"/>
          <w:sz w:val="20"/>
          <w:szCs w:val="20"/>
          <w:lang w:val="es-ES_tradnl"/>
        </w:rPr>
        <w:t xml:space="preserve">. </w:t>
      </w:r>
      <w:r w:rsidR="00681515" w:rsidRPr="006A3D76">
        <w:rPr>
          <w:rFonts w:asciiTheme="majorHAnsi" w:hAnsiTheme="majorHAnsi"/>
          <w:color w:val="000000" w:themeColor="text1"/>
          <w:sz w:val="20"/>
          <w:szCs w:val="20"/>
          <w:lang w:val="es-ES_tradnl"/>
        </w:rPr>
        <w:t>Afirma</w:t>
      </w:r>
      <w:r w:rsidR="007A5166" w:rsidRPr="006A3D76">
        <w:rPr>
          <w:rFonts w:asciiTheme="majorHAnsi" w:hAnsiTheme="majorHAnsi"/>
          <w:color w:val="000000" w:themeColor="text1"/>
          <w:sz w:val="20"/>
          <w:szCs w:val="20"/>
          <w:lang w:val="es-ES_tradnl"/>
        </w:rPr>
        <w:t xml:space="preserve"> que las decisiones de las autoridades judiciales que conocieron de la demanda se efectuaron conforme al orden jurídico vigente y con total observancia de los derechos y garantías de quienes </w:t>
      </w:r>
      <w:r w:rsidR="00681515" w:rsidRPr="006A3D76">
        <w:rPr>
          <w:rFonts w:asciiTheme="majorHAnsi" w:hAnsiTheme="majorHAnsi"/>
          <w:color w:val="000000" w:themeColor="text1"/>
          <w:sz w:val="20"/>
          <w:szCs w:val="20"/>
          <w:lang w:val="es-ES_tradnl"/>
        </w:rPr>
        <w:t xml:space="preserve">la </w:t>
      </w:r>
      <w:r w:rsidR="007A5166" w:rsidRPr="006A3D76">
        <w:rPr>
          <w:rFonts w:asciiTheme="majorHAnsi" w:hAnsiTheme="majorHAnsi"/>
          <w:color w:val="000000" w:themeColor="text1"/>
          <w:sz w:val="20"/>
          <w:szCs w:val="20"/>
          <w:lang w:val="es-ES_tradnl"/>
        </w:rPr>
        <w:t>impuls</w:t>
      </w:r>
      <w:r w:rsidR="00681515" w:rsidRPr="006A3D76">
        <w:rPr>
          <w:rFonts w:asciiTheme="majorHAnsi" w:hAnsiTheme="majorHAnsi"/>
          <w:color w:val="000000" w:themeColor="text1"/>
          <w:sz w:val="20"/>
          <w:szCs w:val="20"/>
          <w:lang w:val="es-ES_tradnl"/>
        </w:rPr>
        <w:t>aron</w:t>
      </w:r>
      <w:r w:rsidR="007A5166" w:rsidRPr="006A3D76">
        <w:rPr>
          <w:rFonts w:asciiTheme="majorHAnsi" w:hAnsiTheme="majorHAnsi"/>
          <w:color w:val="000000" w:themeColor="text1"/>
          <w:sz w:val="20"/>
          <w:szCs w:val="20"/>
          <w:lang w:val="es-ES_tradnl"/>
        </w:rPr>
        <w:t>. Sostiene que la demanda de reparación directa no logró demostrar que la muerte de la presunta víctima se produjera como consecuencia de la negligencia del personal médico que le atendió</w:t>
      </w:r>
      <w:r w:rsidR="00681515" w:rsidRPr="006A3D76">
        <w:rPr>
          <w:rFonts w:asciiTheme="majorHAnsi" w:hAnsiTheme="majorHAnsi"/>
          <w:color w:val="000000" w:themeColor="text1"/>
          <w:sz w:val="20"/>
          <w:szCs w:val="20"/>
          <w:lang w:val="es-ES_tradnl"/>
        </w:rPr>
        <w:t>,</w:t>
      </w:r>
      <w:r w:rsidR="007A5166" w:rsidRPr="006A3D76">
        <w:rPr>
          <w:rFonts w:asciiTheme="majorHAnsi" w:hAnsiTheme="majorHAnsi"/>
          <w:color w:val="000000" w:themeColor="text1"/>
          <w:sz w:val="20"/>
          <w:szCs w:val="20"/>
          <w:lang w:val="es-ES_tradnl"/>
        </w:rPr>
        <w:t xml:space="preserve"> o que </w:t>
      </w:r>
      <w:r w:rsidR="00681515" w:rsidRPr="006A3D76">
        <w:rPr>
          <w:rFonts w:asciiTheme="majorHAnsi" w:hAnsiTheme="majorHAnsi"/>
          <w:color w:val="000000" w:themeColor="text1"/>
          <w:sz w:val="20"/>
          <w:szCs w:val="20"/>
          <w:lang w:val="es-ES_tradnl"/>
        </w:rPr>
        <w:t xml:space="preserve">dichos </w:t>
      </w:r>
      <w:r w:rsidR="007A5166" w:rsidRPr="006A3D76">
        <w:rPr>
          <w:rFonts w:asciiTheme="majorHAnsi" w:hAnsiTheme="majorHAnsi"/>
          <w:color w:val="000000" w:themeColor="text1"/>
          <w:sz w:val="20"/>
          <w:szCs w:val="20"/>
          <w:lang w:val="es-ES_tradnl"/>
        </w:rPr>
        <w:t>profesionales hubiera</w:t>
      </w:r>
      <w:r w:rsidR="00681515" w:rsidRPr="006A3D76">
        <w:rPr>
          <w:rFonts w:asciiTheme="majorHAnsi" w:hAnsiTheme="majorHAnsi"/>
          <w:color w:val="000000" w:themeColor="text1"/>
          <w:sz w:val="20"/>
          <w:szCs w:val="20"/>
          <w:lang w:val="es-ES_tradnl"/>
        </w:rPr>
        <w:t>n</w:t>
      </w:r>
      <w:r w:rsidR="007A5166" w:rsidRPr="006A3D76">
        <w:rPr>
          <w:rFonts w:asciiTheme="majorHAnsi" w:hAnsiTheme="majorHAnsi"/>
          <w:color w:val="000000" w:themeColor="text1"/>
          <w:sz w:val="20"/>
          <w:szCs w:val="20"/>
          <w:lang w:val="es-ES_tradnl"/>
        </w:rPr>
        <w:t xml:space="preserve"> actuado con desidia e impericia. Por el contrario, la</w:t>
      </w:r>
      <w:r w:rsidR="00884E8C" w:rsidRPr="006A3D76">
        <w:rPr>
          <w:rFonts w:asciiTheme="majorHAnsi" w:hAnsiTheme="majorHAnsi"/>
          <w:color w:val="000000" w:themeColor="text1"/>
          <w:sz w:val="20"/>
          <w:szCs w:val="20"/>
          <w:lang w:val="es-ES_tradnl"/>
        </w:rPr>
        <w:t xml:space="preserve"> totalidad de</w:t>
      </w:r>
      <w:r w:rsidR="007A5166" w:rsidRPr="006A3D76">
        <w:rPr>
          <w:rFonts w:asciiTheme="majorHAnsi" w:hAnsiTheme="majorHAnsi"/>
          <w:color w:val="000000" w:themeColor="text1"/>
          <w:sz w:val="20"/>
          <w:szCs w:val="20"/>
          <w:lang w:val="es-ES_tradnl"/>
        </w:rPr>
        <w:t xml:space="preserve"> prueba</w:t>
      </w:r>
      <w:r w:rsidR="00884E8C" w:rsidRPr="006A3D76">
        <w:rPr>
          <w:rFonts w:asciiTheme="majorHAnsi" w:hAnsiTheme="majorHAnsi"/>
          <w:color w:val="000000" w:themeColor="text1"/>
          <w:sz w:val="20"/>
          <w:szCs w:val="20"/>
          <w:lang w:val="es-ES_tradnl"/>
        </w:rPr>
        <w:t xml:space="preserve"> </w:t>
      </w:r>
      <w:r w:rsidR="007A5166" w:rsidRPr="006A3D76">
        <w:rPr>
          <w:rFonts w:asciiTheme="majorHAnsi" w:hAnsiTheme="majorHAnsi"/>
          <w:color w:val="000000" w:themeColor="text1"/>
          <w:sz w:val="20"/>
          <w:szCs w:val="20"/>
          <w:lang w:val="es-ES_tradnl"/>
        </w:rPr>
        <w:t xml:space="preserve">practicadas en el desarrollo de este proceso develaron que la conducta de los doctores intervinientes fue diligente desde el ingreso del paciente al Instituto de Seguros Sociales hasta la cirugía realizada por el Hospital Suárez. </w:t>
      </w:r>
    </w:p>
    <w:p w14:paraId="63DC32B0" w14:textId="77777777" w:rsidR="003F4F47" w:rsidRPr="006A3D76" w:rsidRDefault="003F4F47"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_tradnl"/>
        </w:rPr>
      </w:pPr>
    </w:p>
    <w:p w14:paraId="6D54DFE2" w14:textId="5A340812" w:rsidR="00B10C89" w:rsidRPr="006A3D76" w:rsidRDefault="007A5166"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0" w:themeColor="text1"/>
          <w:sz w:val="20"/>
          <w:szCs w:val="20"/>
          <w:lang w:val="es-ES_tradnl"/>
        </w:rPr>
      </w:pPr>
      <w:r w:rsidRPr="006A3D76">
        <w:rPr>
          <w:rFonts w:asciiTheme="majorHAnsi" w:hAnsiTheme="majorHAnsi"/>
          <w:color w:val="000000" w:themeColor="text1"/>
          <w:sz w:val="20"/>
          <w:szCs w:val="20"/>
          <w:lang w:val="es-ES_tradnl"/>
        </w:rPr>
        <w:t>Argumenta que en el proceso administrativo se tomaron como elementos de convicción el certificado de defunción</w:t>
      </w:r>
      <w:r w:rsidR="00681515" w:rsidRPr="006A3D76">
        <w:rPr>
          <w:rFonts w:asciiTheme="majorHAnsi" w:hAnsiTheme="majorHAnsi"/>
          <w:color w:val="000000" w:themeColor="text1"/>
          <w:sz w:val="20"/>
          <w:szCs w:val="20"/>
          <w:lang w:val="es-ES_tradnl"/>
        </w:rPr>
        <w:t xml:space="preserve"> de la presunta víctima</w:t>
      </w:r>
      <w:r w:rsidRPr="006A3D76">
        <w:rPr>
          <w:rFonts w:asciiTheme="majorHAnsi" w:hAnsiTheme="majorHAnsi"/>
          <w:color w:val="000000" w:themeColor="text1"/>
          <w:sz w:val="20"/>
          <w:szCs w:val="20"/>
          <w:lang w:val="es-ES_tradnl"/>
        </w:rPr>
        <w:t>; su historia clínica; y</w:t>
      </w:r>
      <w:r w:rsidR="00E12F10" w:rsidRPr="006A3D76">
        <w:rPr>
          <w:rFonts w:asciiTheme="majorHAnsi" w:hAnsiTheme="majorHAnsi"/>
          <w:color w:val="000000" w:themeColor="text1"/>
          <w:sz w:val="20"/>
          <w:szCs w:val="20"/>
          <w:lang w:val="es-ES_tradnl"/>
        </w:rPr>
        <w:t xml:space="preserve">, con valor prevalente, </w:t>
      </w:r>
      <w:r w:rsidRPr="006A3D76">
        <w:rPr>
          <w:rFonts w:asciiTheme="majorHAnsi" w:hAnsiTheme="majorHAnsi"/>
          <w:color w:val="000000" w:themeColor="text1"/>
          <w:sz w:val="20"/>
          <w:szCs w:val="20"/>
          <w:lang w:val="es-ES_tradnl"/>
        </w:rPr>
        <w:t xml:space="preserve">el dictamen pericial practicado </w:t>
      </w:r>
      <w:r w:rsidR="00681515" w:rsidRPr="006A3D76">
        <w:rPr>
          <w:rFonts w:asciiTheme="majorHAnsi" w:hAnsiTheme="majorHAnsi"/>
          <w:color w:val="000000" w:themeColor="text1"/>
          <w:sz w:val="20"/>
          <w:szCs w:val="20"/>
          <w:lang w:val="es-ES_tradnl"/>
        </w:rPr>
        <w:t xml:space="preserve">para determinar </w:t>
      </w:r>
      <w:r w:rsidRPr="006A3D76">
        <w:rPr>
          <w:rFonts w:asciiTheme="majorHAnsi" w:hAnsiTheme="majorHAnsi"/>
          <w:color w:val="000000" w:themeColor="text1"/>
          <w:sz w:val="20"/>
          <w:szCs w:val="20"/>
          <w:lang w:val="es-ES_tradnl"/>
        </w:rPr>
        <w:t xml:space="preserve">las causas </w:t>
      </w:r>
      <w:r w:rsidR="00681515" w:rsidRPr="006A3D76">
        <w:rPr>
          <w:rFonts w:asciiTheme="majorHAnsi" w:hAnsiTheme="majorHAnsi"/>
          <w:color w:val="000000" w:themeColor="text1"/>
          <w:sz w:val="20"/>
          <w:szCs w:val="20"/>
          <w:lang w:val="es-ES_tradnl"/>
        </w:rPr>
        <w:t>de</w:t>
      </w:r>
      <w:r w:rsidRPr="006A3D76">
        <w:rPr>
          <w:rFonts w:asciiTheme="majorHAnsi" w:hAnsiTheme="majorHAnsi"/>
          <w:color w:val="000000" w:themeColor="text1"/>
          <w:sz w:val="20"/>
          <w:szCs w:val="20"/>
          <w:lang w:val="es-ES_tradnl"/>
        </w:rPr>
        <w:t xml:space="preserve"> su muerte. </w:t>
      </w:r>
      <w:r w:rsidR="003F4F47" w:rsidRPr="006A3D76">
        <w:rPr>
          <w:rFonts w:asciiTheme="majorHAnsi" w:hAnsiTheme="majorHAnsi"/>
          <w:color w:val="000000" w:themeColor="text1"/>
          <w:sz w:val="20"/>
          <w:szCs w:val="20"/>
          <w:lang w:val="es-ES_tradnl"/>
        </w:rPr>
        <w:t xml:space="preserve">Así, alega que </w:t>
      </w:r>
      <w:r w:rsidR="006D645B" w:rsidRPr="006A3D76">
        <w:rPr>
          <w:rFonts w:asciiTheme="majorHAnsi" w:hAnsiTheme="majorHAnsi"/>
          <w:color w:val="000000" w:themeColor="text1"/>
          <w:sz w:val="20"/>
          <w:szCs w:val="20"/>
          <w:lang w:val="es-ES_tradnl"/>
        </w:rPr>
        <w:t>el peticionario</w:t>
      </w:r>
      <w:r w:rsidR="003F4F47" w:rsidRPr="006A3D76">
        <w:rPr>
          <w:rFonts w:asciiTheme="majorHAnsi" w:hAnsiTheme="majorHAnsi"/>
          <w:color w:val="000000" w:themeColor="text1"/>
          <w:sz w:val="20"/>
          <w:szCs w:val="20"/>
          <w:lang w:val="es-ES_tradnl"/>
        </w:rPr>
        <w:t xml:space="preserve"> no logró precisar </w:t>
      </w:r>
      <w:r w:rsidR="003F4F47" w:rsidRPr="006A3D76">
        <w:rPr>
          <w:rFonts w:asciiTheme="majorHAnsi" w:hAnsiTheme="majorHAnsi"/>
          <w:sz w:val="20"/>
          <w:szCs w:val="20"/>
          <w:lang w:val="es-ES_tradnl"/>
        </w:rPr>
        <w:t>c</w:t>
      </w:r>
      <w:r w:rsidR="0028333F" w:rsidRPr="006A3D76">
        <w:rPr>
          <w:rFonts w:asciiTheme="majorHAnsi" w:hAnsiTheme="majorHAnsi"/>
          <w:sz w:val="20"/>
          <w:szCs w:val="20"/>
          <w:lang w:val="es-ES_tradnl"/>
        </w:rPr>
        <w:t>ó</w:t>
      </w:r>
      <w:r w:rsidR="003F4F47" w:rsidRPr="006A3D76">
        <w:rPr>
          <w:rFonts w:asciiTheme="majorHAnsi" w:hAnsiTheme="majorHAnsi"/>
          <w:sz w:val="20"/>
          <w:szCs w:val="20"/>
          <w:lang w:val="es-ES_tradnl"/>
        </w:rPr>
        <w:t>mo el tribunal desconoció el debido proceso y se limita a señalar que la sentencia advirtió la inexistencia de un nexo causal entre el hecho y el daño.</w:t>
      </w:r>
    </w:p>
    <w:p w14:paraId="3AEC0D68" w14:textId="29954976" w:rsidR="00B10C89" w:rsidRPr="006A3D76" w:rsidRDefault="00B10C89"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_tradnl"/>
        </w:rPr>
      </w:pPr>
    </w:p>
    <w:p w14:paraId="79247A0B" w14:textId="5CE2D214" w:rsidR="007A5166" w:rsidRPr="006A3D76" w:rsidRDefault="007A5166"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0" w:themeColor="text1"/>
          <w:sz w:val="20"/>
          <w:szCs w:val="20"/>
          <w:lang w:val="es-ES_tradnl"/>
        </w:rPr>
      </w:pPr>
      <w:r w:rsidRPr="006A3D76">
        <w:rPr>
          <w:rFonts w:asciiTheme="majorHAnsi" w:hAnsiTheme="majorHAnsi"/>
          <w:color w:val="000000" w:themeColor="text1"/>
          <w:sz w:val="20"/>
          <w:szCs w:val="20"/>
          <w:lang w:val="es-ES_tradnl"/>
        </w:rPr>
        <w:t xml:space="preserve">Asimismo, </w:t>
      </w:r>
      <w:r w:rsidR="00E12F10" w:rsidRPr="006A3D76">
        <w:rPr>
          <w:rFonts w:asciiTheme="majorHAnsi" w:hAnsiTheme="majorHAnsi"/>
          <w:color w:val="000000" w:themeColor="text1"/>
          <w:sz w:val="20"/>
          <w:szCs w:val="20"/>
          <w:lang w:val="es-ES_tradnl"/>
        </w:rPr>
        <w:t xml:space="preserve">el Estado argumenta </w:t>
      </w:r>
      <w:r w:rsidRPr="006A3D76">
        <w:rPr>
          <w:rFonts w:asciiTheme="majorHAnsi" w:hAnsiTheme="majorHAnsi"/>
          <w:sz w:val="20"/>
          <w:szCs w:val="20"/>
          <w:lang w:val="es-ES_tradnl"/>
        </w:rPr>
        <w:t>que la</w:t>
      </w:r>
      <w:r w:rsidR="00E12F10" w:rsidRPr="006A3D76">
        <w:rPr>
          <w:rFonts w:asciiTheme="majorHAnsi" w:hAnsiTheme="majorHAnsi"/>
          <w:sz w:val="20"/>
          <w:szCs w:val="20"/>
          <w:lang w:val="es-ES_tradnl"/>
        </w:rPr>
        <w:t xml:space="preserve"> garantía </w:t>
      </w:r>
      <w:r w:rsidR="00681515" w:rsidRPr="006A3D76">
        <w:rPr>
          <w:rFonts w:asciiTheme="majorHAnsi" w:hAnsiTheme="majorHAnsi"/>
          <w:sz w:val="20"/>
          <w:szCs w:val="20"/>
          <w:lang w:val="es-ES_tradnl"/>
        </w:rPr>
        <w:t>de</w:t>
      </w:r>
      <w:r w:rsidRPr="006A3D76">
        <w:rPr>
          <w:rFonts w:asciiTheme="majorHAnsi" w:hAnsiTheme="majorHAnsi"/>
          <w:sz w:val="20"/>
          <w:szCs w:val="20"/>
          <w:lang w:val="es-ES_tradnl"/>
        </w:rPr>
        <w:t xml:space="preserve"> </w:t>
      </w:r>
      <w:r w:rsidR="0028333F" w:rsidRPr="006A3D76">
        <w:rPr>
          <w:rFonts w:asciiTheme="majorHAnsi" w:hAnsiTheme="majorHAnsi"/>
          <w:sz w:val="20"/>
          <w:szCs w:val="20"/>
          <w:lang w:val="es-ES_tradnl"/>
        </w:rPr>
        <w:t xml:space="preserve">la </w:t>
      </w:r>
      <w:r w:rsidRPr="006A3D76">
        <w:rPr>
          <w:rFonts w:asciiTheme="majorHAnsi" w:hAnsiTheme="majorHAnsi"/>
          <w:sz w:val="20"/>
          <w:szCs w:val="20"/>
          <w:lang w:val="es-ES_tradnl"/>
        </w:rPr>
        <w:t xml:space="preserve">doble instancia no forma parte del núcleo esencial del debido proceso y </w:t>
      </w:r>
      <w:r w:rsidR="00211124" w:rsidRPr="006A3D76">
        <w:rPr>
          <w:rFonts w:asciiTheme="majorHAnsi" w:hAnsiTheme="majorHAnsi"/>
          <w:sz w:val="20"/>
          <w:szCs w:val="20"/>
          <w:lang w:val="es-ES_tradnl"/>
        </w:rPr>
        <w:t xml:space="preserve">que </w:t>
      </w:r>
      <w:r w:rsidR="00E12F10" w:rsidRPr="006A3D76">
        <w:rPr>
          <w:rFonts w:asciiTheme="majorHAnsi" w:hAnsiTheme="majorHAnsi"/>
          <w:sz w:val="20"/>
          <w:szCs w:val="20"/>
          <w:lang w:val="es-ES_tradnl"/>
        </w:rPr>
        <w:t xml:space="preserve">por lo tanto </w:t>
      </w:r>
      <w:r w:rsidRPr="006A3D76">
        <w:rPr>
          <w:rFonts w:asciiTheme="majorHAnsi" w:hAnsiTheme="majorHAnsi"/>
          <w:sz w:val="20"/>
          <w:szCs w:val="20"/>
          <w:lang w:val="es-ES_tradnl"/>
        </w:rPr>
        <w:t xml:space="preserve">puede limitarse </w:t>
      </w:r>
      <w:r w:rsidR="00211124" w:rsidRPr="006A3D76">
        <w:rPr>
          <w:rFonts w:asciiTheme="majorHAnsi" w:hAnsiTheme="majorHAnsi"/>
          <w:sz w:val="20"/>
          <w:szCs w:val="20"/>
          <w:lang w:val="es-ES_tradnl"/>
        </w:rPr>
        <w:t xml:space="preserve">siempre que se </w:t>
      </w:r>
      <w:r w:rsidRPr="006A3D76">
        <w:rPr>
          <w:rFonts w:asciiTheme="majorHAnsi" w:hAnsiTheme="majorHAnsi"/>
          <w:sz w:val="20"/>
          <w:szCs w:val="20"/>
          <w:lang w:val="es-ES_tradnl"/>
        </w:rPr>
        <w:t>cumpl</w:t>
      </w:r>
      <w:r w:rsidR="00211124" w:rsidRPr="006A3D76">
        <w:rPr>
          <w:rFonts w:asciiTheme="majorHAnsi" w:hAnsiTheme="majorHAnsi"/>
          <w:sz w:val="20"/>
          <w:szCs w:val="20"/>
          <w:lang w:val="es-ES_tradnl"/>
        </w:rPr>
        <w:t>an</w:t>
      </w:r>
      <w:r w:rsidRPr="006A3D76">
        <w:rPr>
          <w:rFonts w:asciiTheme="majorHAnsi" w:hAnsiTheme="majorHAnsi"/>
          <w:sz w:val="20"/>
          <w:szCs w:val="20"/>
          <w:lang w:val="es-ES_tradnl"/>
        </w:rPr>
        <w:t xml:space="preserve"> determinados requisitos. </w:t>
      </w:r>
      <w:r w:rsidR="00E12F10" w:rsidRPr="006A3D76">
        <w:rPr>
          <w:rFonts w:asciiTheme="majorHAnsi" w:hAnsiTheme="majorHAnsi"/>
          <w:sz w:val="20"/>
          <w:szCs w:val="20"/>
          <w:lang w:val="es-ES_tradnl"/>
        </w:rPr>
        <w:t xml:space="preserve">Explica que </w:t>
      </w:r>
      <w:r w:rsidRPr="006A3D76">
        <w:rPr>
          <w:rFonts w:asciiTheme="majorHAnsi" w:hAnsiTheme="majorHAnsi"/>
          <w:sz w:val="20"/>
          <w:szCs w:val="20"/>
          <w:lang w:val="es-ES_tradnl"/>
        </w:rPr>
        <w:t xml:space="preserve">la limitación establecida </w:t>
      </w:r>
      <w:r w:rsidR="00E12F10" w:rsidRPr="006A3D76">
        <w:rPr>
          <w:rFonts w:asciiTheme="majorHAnsi" w:hAnsiTheme="majorHAnsi"/>
          <w:sz w:val="20"/>
          <w:szCs w:val="20"/>
          <w:lang w:val="es-ES_tradnl"/>
        </w:rPr>
        <w:t>en la mencionada normativa procesal y su aplicación al caso concreto se adecua</w:t>
      </w:r>
      <w:r w:rsidR="00211124" w:rsidRPr="006A3D76">
        <w:rPr>
          <w:rFonts w:asciiTheme="majorHAnsi" w:hAnsiTheme="majorHAnsi"/>
          <w:sz w:val="20"/>
          <w:szCs w:val="20"/>
          <w:lang w:val="es-ES_tradnl"/>
        </w:rPr>
        <w:t>n</w:t>
      </w:r>
      <w:r w:rsidR="00E12F10" w:rsidRPr="006A3D76">
        <w:rPr>
          <w:rFonts w:asciiTheme="majorHAnsi" w:hAnsiTheme="majorHAnsi"/>
          <w:sz w:val="20"/>
          <w:szCs w:val="20"/>
          <w:lang w:val="es-ES_tradnl"/>
        </w:rPr>
        <w:t xml:space="preserve"> a los estándares internacionales en materia de acceso a la justicia</w:t>
      </w:r>
      <w:r w:rsidRPr="006A3D76">
        <w:rPr>
          <w:rFonts w:asciiTheme="majorHAnsi" w:hAnsiTheme="majorHAnsi"/>
          <w:sz w:val="20"/>
          <w:szCs w:val="20"/>
          <w:lang w:val="es-ES_tradnl"/>
        </w:rPr>
        <w:t xml:space="preserve"> </w:t>
      </w:r>
      <w:r w:rsidR="005D5157" w:rsidRPr="006A3D76">
        <w:rPr>
          <w:rFonts w:asciiTheme="majorHAnsi" w:hAnsiTheme="majorHAnsi"/>
          <w:sz w:val="20"/>
          <w:szCs w:val="20"/>
          <w:lang w:val="es-ES_tradnl"/>
        </w:rPr>
        <w:t>ya</w:t>
      </w:r>
      <w:r w:rsidRPr="006A3D76">
        <w:rPr>
          <w:rFonts w:asciiTheme="majorHAnsi" w:hAnsiTheme="majorHAnsi"/>
          <w:sz w:val="20"/>
          <w:szCs w:val="20"/>
          <w:lang w:val="es-ES_tradnl"/>
        </w:rPr>
        <w:t xml:space="preserve"> que establece un periodo </w:t>
      </w:r>
      <w:r w:rsidR="00E12F10" w:rsidRPr="006A3D76">
        <w:rPr>
          <w:rFonts w:asciiTheme="majorHAnsi" w:hAnsiTheme="majorHAnsi"/>
          <w:sz w:val="20"/>
          <w:szCs w:val="20"/>
          <w:lang w:val="es-ES_tradnl"/>
        </w:rPr>
        <w:t>específico</w:t>
      </w:r>
      <w:r w:rsidRPr="006A3D76">
        <w:rPr>
          <w:rFonts w:asciiTheme="majorHAnsi" w:hAnsiTheme="majorHAnsi"/>
          <w:sz w:val="20"/>
          <w:szCs w:val="20"/>
          <w:lang w:val="es-ES_tradnl"/>
        </w:rPr>
        <w:t xml:space="preserve"> </w:t>
      </w:r>
      <w:r w:rsidR="00211124" w:rsidRPr="006A3D76">
        <w:rPr>
          <w:rFonts w:asciiTheme="majorHAnsi" w:hAnsiTheme="majorHAnsi"/>
          <w:sz w:val="20"/>
          <w:szCs w:val="20"/>
          <w:lang w:val="es-ES_tradnl"/>
        </w:rPr>
        <w:t xml:space="preserve">de aplicación y en consecuencia tiene carácter excepcional; además, </w:t>
      </w:r>
      <w:r w:rsidR="005D5157" w:rsidRPr="006A3D76">
        <w:rPr>
          <w:rFonts w:asciiTheme="majorHAnsi" w:hAnsiTheme="majorHAnsi"/>
          <w:sz w:val="20"/>
          <w:szCs w:val="20"/>
          <w:lang w:val="es-ES_tradnl"/>
        </w:rPr>
        <w:t>contiene</w:t>
      </w:r>
      <w:r w:rsidR="00E12F10"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una serie de oportunidades y garantías para el ejercicio del derecho a la defensa</w:t>
      </w:r>
      <w:r w:rsidR="00E12F10" w:rsidRPr="006A3D76">
        <w:rPr>
          <w:rFonts w:asciiTheme="majorHAnsi" w:hAnsiTheme="majorHAnsi"/>
          <w:sz w:val="20"/>
          <w:szCs w:val="20"/>
          <w:lang w:val="es-ES_tradnl"/>
        </w:rPr>
        <w:t xml:space="preserve">, </w:t>
      </w:r>
      <w:r w:rsidR="00211124" w:rsidRPr="006A3D76">
        <w:rPr>
          <w:rFonts w:asciiTheme="majorHAnsi" w:hAnsiTheme="majorHAnsi"/>
          <w:sz w:val="20"/>
          <w:szCs w:val="20"/>
          <w:lang w:val="es-ES_tradnl"/>
        </w:rPr>
        <w:t xml:space="preserve">que </w:t>
      </w:r>
      <w:r w:rsidR="00E12F10" w:rsidRPr="006A3D76">
        <w:rPr>
          <w:rFonts w:asciiTheme="majorHAnsi" w:hAnsiTheme="majorHAnsi"/>
          <w:sz w:val="20"/>
          <w:szCs w:val="20"/>
          <w:lang w:val="es-ES_tradnl"/>
        </w:rPr>
        <w:t xml:space="preserve">incluye la posibilidad de acudir a una acción de tutela </w:t>
      </w:r>
      <w:r w:rsidRPr="006A3D76">
        <w:rPr>
          <w:rFonts w:asciiTheme="majorHAnsi" w:hAnsiTheme="majorHAnsi"/>
          <w:sz w:val="20"/>
          <w:szCs w:val="20"/>
          <w:lang w:val="es-ES_tradnl"/>
        </w:rPr>
        <w:t xml:space="preserve">en caso de configurarse una </w:t>
      </w:r>
      <w:r w:rsidR="00E12F10" w:rsidRPr="006A3D76">
        <w:rPr>
          <w:rFonts w:asciiTheme="majorHAnsi" w:hAnsiTheme="majorHAnsi"/>
          <w:sz w:val="20"/>
          <w:szCs w:val="20"/>
          <w:lang w:val="es-ES_tradnl"/>
        </w:rPr>
        <w:t>vía</w:t>
      </w:r>
      <w:r w:rsidRPr="006A3D76">
        <w:rPr>
          <w:rFonts w:asciiTheme="majorHAnsi" w:hAnsiTheme="majorHAnsi"/>
          <w:sz w:val="20"/>
          <w:szCs w:val="20"/>
          <w:lang w:val="es-ES_tradnl"/>
        </w:rPr>
        <w:t xml:space="preserve"> de hecho</w:t>
      </w:r>
      <w:r w:rsidR="00E12F10"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w:t>
      </w:r>
      <w:r w:rsidR="00211124" w:rsidRPr="006A3D76">
        <w:rPr>
          <w:rFonts w:asciiTheme="majorHAnsi" w:hAnsiTheme="majorHAnsi"/>
          <w:sz w:val="20"/>
          <w:szCs w:val="20"/>
          <w:lang w:val="es-ES_tradnl"/>
        </w:rPr>
        <w:t xml:space="preserve">El Estado destaca </w:t>
      </w:r>
      <w:r w:rsidR="00E12F10" w:rsidRPr="006A3D76">
        <w:rPr>
          <w:rFonts w:asciiTheme="majorHAnsi" w:hAnsiTheme="majorHAnsi"/>
          <w:sz w:val="20"/>
          <w:szCs w:val="20"/>
          <w:lang w:val="es-ES_tradnl"/>
        </w:rPr>
        <w:t xml:space="preserve">que, </w:t>
      </w:r>
      <w:r w:rsidRPr="006A3D76">
        <w:rPr>
          <w:rFonts w:asciiTheme="majorHAnsi" w:hAnsiTheme="majorHAnsi"/>
          <w:sz w:val="20"/>
          <w:szCs w:val="20"/>
          <w:lang w:val="es-ES_tradnl"/>
        </w:rPr>
        <w:t>en el caso concreto</w:t>
      </w:r>
      <w:r w:rsidR="00E12F10"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w:t>
      </w:r>
      <w:r w:rsidR="00211124" w:rsidRPr="006A3D76">
        <w:rPr>
          <w:rFonts w:asciiTheme="majorHAnsi" w:hAnsiTheme="majorHAnsi"/>
          <w:sz w:val="20"/>
          <w:szCs w:val="20"/>
          <w:lang w:val="es-ES_tradnl"/>
        </w:rPr>
        <w:t xml:space="preserve">la </w:t>
      </w:r>
      <w:r w:rsidR="00E12F10" w:rsidRPr="006A3D76">
        <w:rPr>
          <w:rFonts w:asciiTheme="majorHAnsi" w:hAnsiTheme="majorHAnsi"/>
          <w:sz w:val="20"/>
          <w:szCs w:val="20"/>
          <w:lang w:val="es-ES_tradnl"/>
        </w:rPr>
        <w:t xml:space="preserve">medida </w:t>
      </w:r>
      <w:r w:rsidRPr="006A3D76">
        <w:rPr>
          <w:rFonts w:asciiTheme="majorHAnsi" w:hAnsiTheme="majorHAnsi"/>
          <w:sz w:val="20"/>
          <w:szCs w:val="20"/>
          <w:lang w:val="es-ES_tradnl"/>
        </w:rPr>
        <w:t>persig</w:t>
      </w:r>
      <w:r w:rsidR="00E12F10" w:rsidRPr="006A3D76">
        <w:rPr>
          <w:rFonts w:asciiTheme="majorHAnsi" w:hAnsiTheme="majorHAnsi"/>
          <w:sz w:val="20"/>
          <w:szCs w:val="20"/>
          <w:lang w:val="es-ES_tradnl"/>
        </w:rPr>
        <w:t xml:space="preserve">uió </w:t>
      </w:r>
      <w:r w:rsidR="00537CAA" w:rsidRPr="006A3D76">
        <w:rPr>
          <w:rFonts w:asciiTheme="majorHAnsi" w:hAnsiTheme="majorHAnsi"/>
          <w:sz w:val="20"/>
          <w:szCs w:val="20"/>
          <w:lang w:val="es-ES_tradnl"/>
        </w:rPr>
        <w:t>la</w:t>
      </w:r>
      <w:r w:rsidR="005D5157"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finalidad </w:t>
      </w:r>
      <w:r w:rsidR="005D5157" w:rsidRPr="006A3D76">
        <w:rPr>
          <w:rFonts w:asciiTheme="majorHAnsi" w:hAnsiTheme="majorHAnsi"/>
          <w:sz w:val="20"/>
          <w:szCs w:val="20"/>
          <w:lang w:val="es-ES_tradnl"/>
        </w:rPr>
        <w:t xml:space="preserve">legítima </w:t>
      </w:r>
      <w:r w:rsidR="00537CAA" w:rsidRPr="006A3D76">
        <w:rPr>
          <w:rFonts w:asciiTheme="majorHAnsi" w:hAnsiTheme="majorHAnsi"/>
          <w:sz w:val="20"/>
          <w:szCs w:val="20"/>
          <w:lang w:val="es-ES_tradnl"/>
        </w:rPr>
        <w:t xml:space="preserve">de </w:t>
      </w:r>
      <w:r w:rsidRPr="006A3D76">
        <w:rPr>
          <w:rFonts w:asciiTheme="majorHAnsi" w:hAnsiTheme="majorHAnsi"/>
          <w:sz w:val="20"/>
          <w:szCs w:val="20"/>
          <w:lang w:val="es-ES_tradnl"/>
        </w:rPr>
        <w:t xml:space="preserve">asegurar el derecho a la justicia ante una innegable </w:t>
      </w:r>
      <w:r w:rsidR="00E12F10" w:rsidRPr="006A3D76">
        <w:rPr>
          <w:rFonts w:asciiTheme="majorHAnsi" w:hAnsiTheme="majorHAnsi"/>
          <w:sz w:val="20"/>
          <w:szCs w:val="20"/>
          <w:lang w:val="es-ES_tradnl"/>
        </w:rPr>
        <w:t>situación</w:t>
      </w:r>
      <w:r w:rsidRPr="006A3D76">
        <w:rPr>
          <w:rFonts w:asciiTheme="majorHAnsi" w:hAnsiTheme="majorHAnsi"/>
          <w:sz w:val="20"/>
          <w:szCs w:val="20"/>
          <w:lang w:val="es-ES_tradnl"/>
        </w:rPr>
        <w:t xml:space="preserve"> de crisis</w:t>
      </w:r>
      <w:r w:rsidR="00211124"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w:t>
      </w:r>
      <w:r w:rsidR="00E12F10" w:rsidRPr="006A3D76">
        <w:rPr>
          <w:rFonts w:asciiTheme="majorHAnsi" w:hAnsiTheme="majorHAnsi"/>
          <w:sz w:val="20"/>
          <w:szCs w:val="20"/>
          <w:lang w:val="es-ES_tradnl"/>
        </w:rPr>
        <w:t xml:space="preserve">e igualmente </w:t>
      </w:r>
      <w:r w:rsidRPr="006A3D76">
        <w:rPr>
          <w:rFonts w:asciiTheme="majorHAnsi" w:hAnsiTheme="majorHAnsi"/>
          <w:sz w:val="20"/>
          <w:szCs w:val="20"/>
          <w:lang w:val="es-ES_tradnl"/>
        </w:rPr>
        <w:t xml:space="preserve">asegurar la </w:t>
      </w:r>
      <w:r w:rsidR="00E12F10" w:rsidRPr="006A3D76">
        <w:rPr>
          <w:rFonts w:asciiTheme="majorHAnsi" w:hAnsiTheme="majorHAnsi"/>
          <w:sz w:val="20"/>
          <w:szCs w:val="20"/>
          <w:lang w:val="es-ES_tradnl"/>
        </w:rPr>
        <w:t>descongestión</w:t>
      </w:r>
      <w:r w:rsidRPr="006A3D76">
        <w:rPr>
          <w:rFonts w:asciiTheme="majorHAnsi" w:hAnsiTheme="majorHAnsi"/>
          <w:sz w:val="20"/>
          <w:szCs w:val="20"/>
          <w:lang w:val="es-ES_tradnl"/>
        </w:rPr>
        <w:t xml:space="preserve"> de la </w:t>
      </w:r>
      <w:r w:rsidR="00E12F10" w:rsidRPr="006A3D76">
        <w:rPr>
          <w:rFonts w:asciiTheme="majorHAnsi" w:hAnsiTheme="majorHAnsi"/>
          <w:sz w:val="20"/>
          <w:szCs w:val="20"/>
          <w:lang w:val="es-ES_tradnl"/>
        </w:rPr>
        <w:t>Sección</w:t>
      </w:r>
      <w:r w:rsidRPr="006A3D76">
        <w:rPr>
          <w:rFonts w:asciiTheme="majorHAnsi" w:hAnsiTheme="majorHAnsi"/>
          <w:sz w:val="20"/>
          <w:szCs w:val="20"/>
          <w:lang w:val="es-ES_tradnl"/>
        </w:rPr>
        <w:t xml:space="preserve"> Tercera del Consejo de</w:t>
      </w:r>
      <w:r w:rsidR="00E12F10"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Estado, en función de </w:t>
      </w:r>
      <w:r w:rsidR="00211124" w:rsidRPr="006A3D76">
        <w:rPr>
          <w:rFonts w:asciiTheme="majorHAnsi" w:hAnsiTheme="majorHAnsi"/>
          <w:sz w:val="20"/>
          <w:szCs w:val="20"/>
          <w:lang w:val="es-ES_tradnl"/>
        </w:rPr>
        <w:t xml:space="preserve">la celeridad y </w:t>
      </w:r>
      <w:r w:rsidRPr="006A3D76">
        <w:rPr>
          <w:rFonts w:asciiTheme="majorHAnsi" w:hAnsiTheme="majorHAnsi"/>
          <w:sz w:val="20"/>
          <w:szCs w:val="20"/>
          <w:lang w:val="es-ES_tradnl"/>
        </w:rPr>
        <w:t>oportun</w:t>
      </w:r>
      <w:r w:rsidR="00211124" w:rsidRPr="006A3D76">
        <w:rPr>
          <w:rFonts w:asciiTheme="majorHAnsi" w:hAnsiTheme="majorHAnsi"/>
          <w:sz w:val="20"/>
          <w:szCs w:val="20"/>
          <w:lang w:val="es-ES_tradnl"/>
        </w:rPr>
        <w:t>idad</w:t>
      </w:r>
      <w:r w:rsidR="00E12F10"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w:t>
      </w:r>
      <w:r w:rsidR="00E12F10" w:rsidRPr="006A3D76">
        <w:rPr>
          <w:rFonts w:asciiTheme="majorHAnsi" w:hAnsiTheme="majorHAnsi"/>
          <w:sz w:val="20"/>
          <w:szCs w:val="20"/>
          <w:lang w:val="es-ES_tradnl"/>
        </w:rPr>
        <w:t xml:space="preserve">Finalmente, </w:t>
      </w:r>
      <w:r w:rsidR="00537CAA" w:rsidRPr="006A3D76">
        <w:rPr>
          <w:rFonts w:asciiTheme="majorHAnsi" w:hAnsiTheme="majorHAnsi"/>
          <w:sz w:val="20"/>
          <w:szCs w:val="20"/>
          <w:lang w:val="es-ES_tradnl"/>
        </w:rPr>
        <w:t>argumenta</w:t>
      </w:r>
      <w:r w:rsidR="00E12F10" w:rsidRPr="006A3D76">
        <w:rPr>
          <w:rFonts w:asciiTheme="majorHAnsi" w:hAnsiTheme="majorHAnsi"/>
          <w:sz w:val="20"/>
          <w:szCs w:val="20"/>
          <w:lang w:val="es-ES_tradnl"/>
        </w:rPr>
        <w:t xml:space="preserve"> que </w:t>
      </w:r>
      <w:r w:rsidRPr="006A3D76">
        <w:rPr>
          <w:rFonts w:asciiTheme="majorHAnsi" w:hAnsiTheme="majorHAnsi"/>
          <w:sz w:val="20"/>
          <w:szCs w:val="20"/>
          <w:lang w:val="es-ES_tradnl"/>
        </w:rPr>
        <w:t>la limitación no resulta discriminatoria</w:t>
      </w:r>
      <w:r w:rsidR="00211124" w:rsidRPr="006A3D76">
        <w:rPr>
          <w:rFonts w:asciiTheme="majorHAnsi" w:hAnsiTheme="majorHAnsi"/>
          <w:sz w:val="20"/>
          <w:szCs w:val="20"/>
          <w:lang w:val="es-ES_tradnl"/>
        </w:rPr>
        <w:t>,</w:t>
      </w:r>
      <w:r w:rsidRPr="006A3D76">
        <w:rPr>
          <w:rFonts w:asciiTheme="majorHAnsi" w:hAnsiTheme="majorHAnsi"/>
          <w:sz w:val="20"/>
          <w:szCs w:val="20"/>
          <w:lang w:val="es-ES_tradnl"/>
        </w:rPr>
        <w:t xml:space="preserve"> ya que simplemente </w:t>
      </w:r>
      <w:r w:rsidR="00211124" w:rsidRPr="006A3D76">
        <w:rPr>
          <w:rFonts w:asciiTheme="majorHAnsi" w:hAnsiTheme="majorHAnsi"/>
          <w:sz w:val="20"/>
          <w:szCs w:val="20"/>
          <w:lang w:val="es-ES_tradnl"/>
        </w:rPr>
        <w:t>aplica</w:t>
      </w:r>
      <w:r w:rsidRPr="006A3D76">
        <w:rPr>
          <w:rFonts w:asciiTheme="majorHAnsi" w:hAnsiTheme="majorHAnsi"/>
          <w:sz w:val="20"/>
          <w:szCs w:val="20"/>
          <w:lang w:val="es-ES_tradnl"/>
        </w:rPr>
        <w:t xml:space="preserve"> </w:t>
      </w:r>
      <w:r w:rsidR="00211124" w:rsidRPr="006A3D76">
        <w:rPr>
          <w:rFonts w:asciiTheme="majorHAnsi" w:hAnsiTheme="majorHAnsi"/>
          <w:sz w:val="20"/>
          <w:szCs w:val="20"/>
          <w:lang w:val="es-ES_tradnl"/>
        </w:rPr>
        <w:t>e</w:t>
      </w:r>
      <w:r w:rsidRPr="006A3D76">
        <w:rPr>
          <w:rFonts w:asciiTheme="majorHAnsi" w:hAnsiTheme="majorHAnsi"/>
          <w:sz w:val="20"/>
          <w:szCs w:val="20"/>
          <w:lang w:val="es-ES_tradnl"/>
        </w:rPr>
        <w:t xml:space="preserve">l factor de la cuantía para fijar </w:t>
      </w:r>
      <w:r w:rsidR="00211124" w:rsidRPr="006A3D76">
        <w:rPr>
          <w:rFonts w:asciiTheme="majorHAnsi" w:hAnsiTheme="majorHAnsi"/>
          <w:sz w:val="20"/>
          <w:szCs w:val="20"/>
          <w:lang w:val="es-ES_tradnl"/>
        </w:rPr>
        <w:t>la</w:t>
      </w:r>
      <w:r w:rsidRPr="006A3D76">
        <w:rPr>
          <w:rFonts w:asciiTheme="majorHAnsi" w:hAnsiTheme="majorHAnsi"/>
          <w:sz w:val="20"/>
          <w:szCs w:val="20"/>
          <w:lang w:val="es-ES_tradnl"/>
        </w:rPr>
        <w:t xml:space="preserve"> competencia sin que </w:t>
      </w:r>
      <w:r w:rsidR="00211124" w:rsidRPr="006A3D76">
        <w:rPr>
          <w:rFonts w:asciiTheme="majorHAnsi" w:hAnsiTheme="majorHAnsi"/>
          <w:sz w:val="20"/>
          <w:szCs w:val="20"/>
          <w:lang w:val="es-ES_tradnl"/>
        </w:rPr>
        <w:t xml:space="preserve">ello </w:t>
      </w:r>
      <w:r w:rsidRPr="006A3D76">
        <w:rPr>
          <w:rFonts w:asciiTheme="majorHAnsi" w:hAnsiTheme="majorHAnsi"/>
          <w:sz w:val="20"/>
          <w:szCs w:val="20"/>
          <w:lang w:val="es-ES_tradnl"/>
        </w:rPr>
        <w:t xml:space="preserve">signifique </w:t>
      </w:r>
      <w:r w:rsidRPr="006A3D76">
        <w:rPr>
          <w:rFonts w:asciiTheme="majorHAnsi" w:hAnsiTheme="majorHAnsi"/>
          <w:color w:val="000000" w:themeColor="text1"/>
          <w:sz w:val="20"/>
          <w:szCs w:val="20"/>
          <w:lang w:val="es-ES_tradnl"/>
        </w:rPr>
        <w:t xml:space="preserve">tratamiento distinto a quienes se encuentran en una </w:t>
      </w:r>
      <w:r w:rsidR="00E12F10" w:rsidRPr="006A3D76">
        <w:rPr>
          <w:rFonts w:asciiTheme="majorHAnsi" w:hAnsiTheme="majorHAnsi"/>
          <w:color w:val="000000" w:themeColor="text1"/>
          <w:sz w:val="20"/>
          <w:szCs w:val="20"/>
          <w:lang w:val="es-ES_tradnl"/>
        </w:rPr>
        <w:t>situación</w:t>
      </w:r>
      <w:r w:rsidRPr="006A3D76">
        <w:rPr>
          <w:rFonts w:asciiTheme="majorHAnsi" w:hAnsiTheme="majorHAnsi"/>
          <w:color w:val="000000" w:themeColor="text1"/>
          <w:sz w:val="20"/>
          <w:szCs w:val="20"/>
          <w:lang w:val="es-ES_tradnl"/>
        </w:rPr>
        <w:t xml:space="preserve"> similar.</w:t>
      </w:r>
    </w:p>
    <w:p w14:paraId="072C05CE" w14:textId="77777777" w:rsidR="003F4F47" w:rsidRPr="006A3D76" w:rsidRDefault="003F4F47"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8EA48AE" w14:textId="59FAD78C" w:rsidR="00CC554B" w:rsidRPr="006A3D76" w:rsidRDefault="00591F1C"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6A3D76">
        <w:rPr>
          <w:rFonts w:asciiTheme="majorHAnsi" w:hAnsiTheme="majorHAnsi"/>
          <w:color w:val="000000" w:themeColor="text1"/>
          <w:sz w:val="20"/>
          <w:szCs w:val="20"/>
          <w:lang w:val="es-ES_tradnl"/>
        </w:rPr>
        <w:t>Señala asimismo</w:t>
      </w:r>
      <w:r w:rsidR="00BD419D" w:rsidRPr="006A3D76">
        <w:rPr>
          <w:rFonts w:asciiTheme="majorHAnsi" w:hAnsiTheme="majorHAnsi"/>
          <w:color w:val="000000" w:themeColor="text1"/>
          <w:sz w:val="20"/>
          <w:szCs w:val="20"/>
          <w:lang w:val="es-ES_tradnl"/>
        </w:rPr>
        <w:t xml:space="preserve"> que, </w:t>
      </w:r>
      <w:r w:rsidRPr="006A3D76">
        <w:rPr>
          <w:rFonts w:asciiTheme="majorHAnsi" w:hAnsiTheme="majorHAnsi"/>
          <w:color w:val="000000" w:themeColor="text1"/>
          <w:sz w:val="20"/>
          <w:szCs w:val="20"/>
          <w:lang w:val="es-ES_tradnl"/>
        </w:rPr>
        <w:t>de acuerdo con</w:t>
      </w:r>
      <w:r w:rsidR="00BD419D" w:rsidRPr="006A3D76">
        <w:rPr>
          <w:rFonts w:asciiTheme="majorHAnsi" w:hAnsiTheme="majorHAnsi"/>
          <w:color w:val="000000" w:themeColor="text1"/>
          <w:sz w:val="20"/>
          <w:szCs w:val="20"/>
          <w:lang w:val="es-ES_tradnl"/>
        </w:rPr>
        <w:t xml:space="preserve"> la jurisprudencia del Consejo de Estado, </w:t>
      </w:r>
      <w:r w:rsidR="007A5166" w:rsidRPr="006A3D76">
        <w:rPr>
          <w:rFonts w:asciiTheme="majorHAnsi" w:hAnsiTheme="majorHAnsi"/>
          <w:color w:val="000000" w:themeColor="text1"/>
          <w:sz w:val="20"/>
          <w:szCs w:val="20"/>
          <w:lang w:val="es-ES_tradnl"/>
        </w:rPr>
        <w:t xml:space="preserve">la estimación de la </w:t>
      </w:r>
      <w:r w:rsidR="00BD419D" w:rsidRPr="006A3D76">
        <w:rPr>
          <w:rFonts w:asciiTheme="majorHAnsi" w:hAnsiTheme="majorHAnsi"/>
          <w:color w:val="000000" w:themeColor="text1"/>
          <w:sz w:val="20"/>
          <w:szCs w:val="20"/>
          <w:lang w:val="es-ES_tradnl"/>
        </w:rPr>
        <w:t>cuantía</w:t>
      </w:r>
      <w:r w:rsidR="007A5166" w:rsidRPr="006A3D76">
        <w:rPr>
          <w:rFonts w:asciiTheme="majorHAnsi" w:hAnsiTheme="majorHAnsi"/>
          <w:color w:val="000000" w:themeColor="text1"/>
          <w:sz w:val="20"/>
          <w:szCs w:val="20"/>
          <w:lang w:val="es-ES_tradnl"/>
        </w:rPr>
        <w:t xml:space="preserve"> de la </w:t>
      </w:r>
      <w:r w:rsidR="007A5166" w:rsidRPr="006A3D76">
        <w:rPr>
          <w:rFonts w:asciiTheme="majorHAnsi" w:hAnsiTheme="majorHAnsi"/>
          <w:sz w:val="20"/>
          <w:szCs w:val="20"/>
          <w:lang w:val="es-ES_tradnl"/>
        </w:rPr>
        <w:t xml:space="preserve">pretensión </w:t>
      </w:r>
      <w:r w:rsidR="00BD419D" w:rsidRPr="006A3D76">
        <w:rPr>
          <w:rFonts w:asciiTheme="majorHAnsi" w:hAnsiTheme="majorHAnsi"/>
          <w:sz w:val="20"/>
          <w:szCs w:val="20"/>
          <w:lang w:val="es-ES_tradnl"/>
        </w:rPr>
        <w:t>debía</w:t>
      </w:r>
      <w:r w:rsidR="007A5166" w:rsidRPr="006A3D76">
        <w:rPr>
          <w:rFonts w:asciiTheme="majorHAnsi" w:hAnsiTheme="majorHAnsi"/>
          <w:sz w:val="20"/>
          <w:szCs w:val="20"/>
          <w:lang w:val="es-ES_tradnl"/>
        </w:rPr>
        <w:t xml:space="preserve"> efectuarse al momento de la presentación de la </w:t>
      </w:r>
      <w:r w:rsidR="00BD419D" w:rsidRPr="006A3D76">
        <w:rPr>
          <w:rFonts w:asciiTheme="majorHAnsi" w:hAnsiTheme="majorHAnsi"/>
          <w:sz w:val="20"/>
          <w:szCs w:val="20"/>
          <w:lang w:val="es-ES_tradnl"/>
        </w:rPr>
        <w:t>demanda</w:t>
      </w:r>
      <w:r w:rsidR="007A5166" w:rsidRPr="006A3D76">
        <w:rPr>
          <w:rFonts w:asciiTheme="majorHAnsi" w:hAnsiTheme="majorHAnsi"/>
          <w:sz w:val="20"/>
          <w:szCs w:val="20"/>
          <w:lang w:val="es-ES_tradnl"/>
        </w:rPr>
        <w:t xml:space="preserve"> y no cuando el recurrente </w:t>
      </w:r>
      <w:r w:rsidR="00BD419D" w:rsidRPr="006A3D76">
        <w:rPr>
          <w:rFonts w:asciiTheme="majorHAnsi" w:hAnsiTheme="majorHAnsi"/>
          <w:sz w:val="20"/>
          <w:szCs w:val="20"/>
          <w:lang w:val="es-ES_tradnl"/>
        </w:rPr>
        <w:t>decidiera</w:t>
      </w:r>
      <w:r w:rsidR="007A5166" w:rsidRPr="006A3D76">
        <w:rPr>
          <w:rFonts w:asciiTheme="majorHAnsi" w:hAnsiTheme="majorHAnsi"/>
          <w:sz w:val="20"/>
          <w:szCs w:val="20"/>
          <w:lang w:val="es-ES_tradnl"/>
        </w:rPr>
        <w:t xml:space="preserve"> impugnar la sentencia. </w:t>
      </w:r>
      <w:r w:rsidRPr="006A3D76">
        <w:rPr>
          <w:rFonts w:asciiTheme="majorHAnsi" w:hAnsiTheme="majorHAnsi"/>
          <w:sz w:val="20"/>
          <w:szCs w:val="20"/>
          <w:lang w:val="es-ES_tradnl"/>
        </w:rPr>
        <w:t xml:space="preserve">En definitiva, </w:t>
      </w:r>
      <w:r w:rsidR="00BD419D" w:rsidRPr="006A3D76">
        <w:rPr>
          <w:rFonts w:asciiTheme="majorHAnsi" w:hAnsiTheme="majorHAnsi"/>
          <w:sz w:val="20"/>
          <w:szCs w:val="20"/>
          <w:lang w:val="es-ES_tradnl"/>
        </w:rPr>
        <w:t>destaca que l</w:t>
      </w:r>
      <w:r w:rsidR="007A5166" w:rsidRPr="006A3D76">
        <w:rPr>
          <w:rFonts w:asciiTheme="majorHAnsi" w:hAnsiTheme="majorHAnsi"/>
          <w:sz w:val="20"/>
          <w:szCs w:val="20"/>
          <w:lang w:val="es-ES_tradnl"/>
        </w:rPr>
        <w:t xml:space="preserve">a </w:t>
      </w:r>
      <w:r w:rsidR="00BD419D" w:rsidRPr="006A3D76">
        <w:rPr>
          <w:rFonts w:asciiTheme="majorHAnsi" w:hAnsiTheme="majorHAnsi"/>
          <w:sz w:val="20"/>
          <w:szCs w:val="20"/>
          <w:lang w:val="es-ES_tradnl"/>
        </w:rPr>
        <w:t>cuantía</w:t>
      </w:r>
      <w:r w:rsidR="007A5166" w:rsidRPr="006A3D76">
        <w:rPr>
          <w:rFonts w:asciiTheme="majorHAnsi" w:hAnsiTheme="majorHAnsi"/>
          <w:sz w:val="20"/>
          <w:szCs w:val="20"/>
          <w:lang w:val="es-ES_tradnl"/>
        </w:rPr>
        <w:t xml:space="preserve"> del proceso no </w:t>
      </w:r>
      <w:r w:rsidR="006B4621" w:rsidRPr="006A3D76">
        <w:rPr>
          <w:rFonts w:asciiTheme="majorHAnsi" w:hAnsiTheme="majorHAnsi"/>
          <w:sz w:val="20"/>
          <w:szCs w:val="20"/>
          <w:lang w:val="es-ES_tradnl"/>
        </w:rPr>
        <w:t>cumplió</w:t>
      </w:r>
      <w:r w:rsidR="007A5166" w:rsidRPr="006A3D76">
        <w:rPr>
          <w:rFonts w:asciiTheme="majorHAnsi" w:hAnsiTheme="majorHAnsi"/>
          <w:sz w:val="20"/>
          <w:szCs w:val="20"/>
          <w:lang w:val="es-ES_tradnl"/>
        </w:rPr>
        <w:t xml:space="preserve"> con el requisito ya que result</w:t>
      </w:r>
      <w:r w:rsidR="006B4621" w:rsidRPr="006A3D76">
        <w:rPr>
          <w:rFonts w:asciiTheme="majorHAnsi" w:hAnsiTheme="majorHAnsi"/>
          <w:sz w:val="20"/>
          <w:szCs w:val="20"/>
          <w:lang w:val="es-ES_tradnl"/>
        </w:rPr>
        <w:t xml:space="preserve">ó </w:t>
      </w:r>
      <w:r w:rsidR="007A5166" w:rsidRPr="006A3D76">
        <w:rPr>
          <w:rFonts w:asciiTheme="majorHAnsi" w:hAnsiTheme="majorHAnsi"/>
          <w:sz w:val="20"/>
          <w:szCs w:val="20"/>
          <w:lang w:val="es-ES_tradnl"/>
        </w:rPr>
        <w:t xml:space="preserve">inferior al estándar fijado en la norma. </w:t>
      </w:r>
    </w:p>
    <w:p w14:paraId="2202D4B9" w14:textId="77777777" w:rsidR="004E486E" w:rsidRPr="006A3D76" w:rsidRDefault="004E486E" w:rsidP="007916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_tradnl"/>
        </w:rPr>
      </w:pPr>
    </w:p>
    <w:p w14:paraId="0ED67B34" w14:textId="72B9DD05" w:rsidR="00884E8C" w:rsidRPr="006A3D76" w:rsidRDefault="006B4621" w:rsidP="00791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0" w:themeColor="text1"/>
          <w:sz w:val="20"/>
          <w:szCs w:val="20"/>
          <w:lang w:val="es-ES_tradnl"/>
        </w:rPr>
      </w:pPr>
      <w:r w:rsidRPr="006A3D76">
        <w:rPr>
          <w:rFonts w:asciiTheme="majorHAnsi" w:hAnsiTheme="majorHAnsi"/>
          <w:sz w:val="20"/>
          <w:szCs w:val="20"/>
          <w:lang w:val="es-ES_tradnl"/>
        </w:rPr>
        <w:t xml:space="preserve">Por otra parte, el Estado </w:t>
      </w:r>
      <w:r w:rsidR="00202B0A" w:rsidRPr="006A3D76">
        <w:rPr>
          <w:rFonts w:asciiTheme="majorHAnsi" w:hAnsiTheme="majorHAnsi"/>
          <w:sz w:val="20"/>
          <w:szCs w:val="20"/>
          <w:lang w:val="es-ES_tradnl"/>
        </w:rPr>
        <w:t xml:space="preserve">señala </w:t>
      </w:r>
      <w:r w:rsidR="00562FAB" w:rsidRPr="006A3D76">
        <w:rPr>
          <w:rFonts w:asciiTheme="majorHAnsi" w:hAnsiTheme="majorHAnsi"/>
          <w:sz w:val="20"/>
          <w:szCs w:val="20"/>
          <w:lang w:val="es-ES_tradnl"/>
        </w:rPr>
        <w:t>que</w:t>
      </w:r>
      <w:r w:rsidR="008A08FF" w:rsidRPr="006A3D76">
        <w:rPr>
          <w:rFonts w:asciiTheme="majorHAnsi" w:hAnsiTheme="majorHAnsi"/>
          <w:sz w:val="20"/>
          <w:szCs w:val="20"/>
          <w:lang w:val="es-ES_tradnl"/>
        </w:rPr>
        <w:t xml:space="preserve"> l</w:t>
      </w:r>
      <w:r w:rsidR="00B47215" w:rsidRPr="006A3D76">
        <w:rPr>
          <w:rFonts w:asciiTheme="majorHAnsi" w:hAnsiTheme="majorHAnsi"/>
          <w:sz w:val="20"/>
          <w:szCs w:val="20"/>
          <w:lang w:val="es-ES_tradnl"/>
        </w:rPr>
        <w:t xml:space="preserve">as presuntas </w:t>
      </w:r>
      <w:r w:rsidR="005E4A86" w:rsidRPr="006A3D76">
        <w:rPr>
          <w:rFonts w:asciiTheme="majorHAnsi" w:hAnsiTheme="majorHAnsi"/>
          <w:sz w:val="20"/>
          <w:szCs w:val="20"/>
          <w:lang w:val="es-ES_tradnl"/>
        </w:rPr>
        <w:t>víctimas</w:t>
      </w:r>
      <w:r w:rsidR="00B47215" w:rsidRPr="006A3D76">
        <w:rPr>
          <w:rFonts w:asciiTheme="majorHAnsi" w:hAnsiTheme="majorHAnsi"/>
          <w:sz w:val="20"/>
          <w:szCs w:val="20"/>
          <w:lang w:val="es-ES_tradnl"/>
        </w:rPr>
        <w:t xml:space="preserve"> </w:t>
      </w:r>
      <w:r w:rsidR="003F4F47" w:rsidRPr="006A3D76">
        <w:rPr>
          <w:rFonts w:asciiTheme="majorHAnsi" w:hAnsiTheme="majorHAnsi"/>
          <w:sz w:val="20"/>
          <w:szCs w:val="20"/>
          <w:lang w:val="es-ES_tradnl"/>
        </w:rPr>
        <w:t>tenían</w:t>
      </w:r>
      <w:r w:rsidR="00B47215" w:rsidRPr="006A3D76">
        <w:rPr>
          <w:rFonts w:asciiTheme="majorHAnsi" w:hAnsiTheme="majorHAnsi"/>
          <w:sz w:val="20"/>
          <w:szCs w:val="20"/>
          <w:lang w:val="es-ES_tradnl"/>
        </w:rPr>
        <w:t xml:space="preserve"> el deber de</w:t>
      </w:r>
      <w:r w:rsidR="005E4A86" w:rsidRPr="006A3D76">
        <w:rPr>
          <w:rFonts w:asciiTheme="majorHAnsi" w:hAnsiTheme="majorHAnsi"/>
          <w:sz w:val="20"/>
          <w:szCs w:val="20"/>
          <w:lang w:val="es-ES_tradnl"/>
        </w:rPr>
        <w:t xml:space="preserve"> </w:t>
      </w:r>
      <w:r w:rsidR="00B47215" w:rsidRPr="006A3D76">
        <w:rPr>
          <w:rFonts w:asciiTheme="majorHAnsi" w:hAnsiTheme="majorHAnsi"/>
          <w:sz w:val="20"/>
          <w:szCs w:val="20"/>
          <w:lang w:val="es-ES_tradnl"/>
        </w:rPr>
        <w:t xml:space="preserve">interponer y agotar los recursos jurídicos </w:t>
      </w:r>
      <w:r w:rsidR="005E4A86" w:rsidRPr="006A3D76">
        <w:rPr>
          <w:rFonts w:asciiTheme="majorHAnsi" w:hAnsiTheme="majorHAnsi"/>
          <w:sz w:val="20"/>
          <w:szCs w:val="20"/>
          <w:lang w:val="es-ES_tradnl"/>
        </w:rPr>
        <w:t>idóne</w:t>
      </w:r>
      <w:r w:rsidR="00591F1C" w:rsidRPr="006A3D76">
        <w:rPr>
          <w:rFonts w:asciiTheme="majorHAnsi" w:hAnsiTheme="majorHAnsi"/>
          <w:sz w:val="20"/>
          <w:szCs w:val="20"/>
          <w:lang w:val="es-ES_tradnl"/>
        </w:rPr>
        <w:t>o</w:t>
      </w:r>
      <w:r w:rsidR="005E4A86" w:rsidRPr="006A3D76">
        <w:rPr>
          <w:rFonts w:asciiTheme="majorHAnsi" w:hAnsiTheme="majorHAnsi"/>
          <w:sz w:val="20"/>
          <w:szCs w:val="20"/>
          <w:lang w:val="es-ES_tradnl"/>
        </w:rPr>
        <w:t>s</w:t>
      </w:r>
      <w:r w:rsidR="00B47215" w:rsidRPr="006A3D76">
        <w:rPr>
          <w:rFonts w:asciiTheme="majorHAnsi" w:hAnsiTheme="majorHAnsi"/>
          <w:sz w:val="20"/>
          <w:szCs w:val="20"/>
          <w:lang w:val="es-ES_tradnl"/>
        </w:rPr>
        <w:t xml:space="preserve"> </w:t>
      </w:r>
      <w:r w:rsidR="00591F1C" w:rsidRPr="006A3D76">
        <w:rPr>
          <w:rFonts w:asciiTheme="majorHAnsi" w:hAnsiTheme="majorHAnsi"/>
          <w:sz w:val="20"/>
          <w:szCs w:val="20"/>
          <w:lang w:val="es-ES_tradnl"/>
        </w:rPr>
        <w:t xml:space="preserve">con </w:t>
      </w:r>
      <w:r w:rsidR="00B47215" w:rsidRPr="006A3D76">
        <w:rPr>
          <w:rFonts w:asciiTheme="majorHAnsi" w:hAnsiTheme="majorHAnsi"/>
          <w:color w:val="000000" w:themeColor="text1"/>
          <w:sz w:val="20"/>
          <w:szCs w:val="20"/>
          <w:lang w:val="es-ES_tradnl"/>
        </w:rPr>
        <w:t>la debida diligencia.</w:t>
      </w:r>
      <w:r w:rsidR="0018378E" w:rsidRPr="006A3D76">
        <w:rPr>
          <w:rFonts w:asciiTheme="majorHAnsi" w:hAnsiTheme="majorHAnsi"/>
          <w:color w:val="000000" w:themeColor="text1"/>
          <w:sz w:val="20"/>
          <w:szCs w:val="20"/>
          <w:lang w:val="es-ES_tradnl"/>
        </w:rPr>
        <w:t xml:space="preserve"> </w:t>
      </w:r>
      <w:r w:rsidRPr="006A3D76">
        <w:rPr>
          <w:rFonts w:asciiTheme="majorHAnsi" w:hAnsiTheme="majorHAnsi"/>
          <w:color w:val="000000" w:themeColor="text1"/>
          <w:sz w:val="20"/>
          <w:szCs w:val="20"/>
          <w:lang w:val="es-ES_tradnl"/>
        </w:rPr>
        <w:t>A</w:t>
      </w:r>
      <w:r w:rsidR="00591F1C" w:rsidRPr="006A3D76">
        <w:rPr>
          <w:rFonts w:asciiTheme="majorHAnsi" w:hAnsiTheme="majorHAnsi"/>
          <w:color w:val="000000" w:themeColor="text1"/>
          <w:sz w:val="20"/>
          <w:szCs w:val="20"/>
          <w:lang w:val="es-ES_tradnl"/>
        </w:rPr>
        <w:t>gre</w:t>
      </w:r>
      <w:r w:rsidRPr="006A3D76">
        <w:rPr>
          <w:rFonts w:asciiTheme="majorHAnsi" w:hAnsiTheme="majorHAnsi"/>
          <w:color w:val="000000" w:themeColor="text1"/>
          <w:sz w:val="20"/>
          <w:szCs w:val="20"/>
          <w:lang w:val="es-ES_tradnl"/>
        </w:rPr>
        <w:t>ga que</w:t>
      </w:r>
      <w:r w:rsidR="00591F1C" w:rsidRPr="006A3D76">
        <w:rPr>
          <w:rFonts w:asciiTheme="majorHAnsi" w:hAnsiTheme="majorHAnsi"/>
          <w:color w:val="000000" w:themeColor="text1"/>
          <w:sz w:val="20"/>
          <w:szCs w:val="20"/>
          <w:lang w:val="es-ES_tradnl"/>
        </w:rPr>
        <w:t>,</w:t>
      </w:r>
      <w:r w:rsidRPr="006A3D76">
        <w:rPr>
          <w:rFonts w:asciiTheme="majorHAnsi" w:hAnsiTheme="majorHAnsi"/>
          <w:color w:val="000000" w:themeColor="text1"/>
          <w:sz w:val="20"/>
          <w:szCs w:val="20"/>
          <w:lang w:val="es-ES_tradnl"/>
        </w:rPr>
        <w:t xml:space="preserve"> a</w:t>
      </w:r>
      <w:r w:rsidR="0018378E" w:rsidRPr="006A3D76">
        <w:rPr>
          <w:rFonts w:asciiTheme="majorHAnsi" w:hAnsiTheme="majorHAnsi"/>
          <w:color w:val="000000" w:themeColor="text1"/>
          <w:sz w:val="20"/>
          <w:szCs w:val="20"/>
          <w:lang w:val="es-ES_tradnl"/>
        </w:rPr>
        <w:t xml:space="preserve"> pesar de sospecha</w:t>
      </w:r>
      <w:r w:rsidR="00591F1C" w:rsidRPr="006A3D76">
        <w:rPr>
          <w:rFonts w:asciiTheme="majorHAnsi" w:hAnsiTheme="majorHAnsi"/>
          <w:color w:val="000000" w:themeColor="text1"/>
          <w:sz w:val="20"/>
          <w:szCs w:val="20"/>
          <w:lang w:val="es-ES_tradnl"/>
        </w:rPr>
        <w:t>r</w:t>
      </w:r>
      <w:r w:rsidR="0018378E" w:rsidRPr="006A3D76">
        <w:rPr>
          <w:rFonts w:asciiTheme="majorHAnsi" w:hAnsiTheme="majorHAnsi"/>
          <w:color w:val="000000" w:themeColor="text1"/>
          <w:sz w:val="20"/>
          <w:szCs w:val="20"/>
          <w:lang w:val="es-ES_tradnl"/>
        </w:rPr>
        <w:t xml:space="preserve"> la responsabilidad penal y disciplinaria que pudo derivarse del tratamiento médico de urgencia a la presunta víctima</w:t>
      </w:r>
      <w:r w:rsidRPr="006A3D76">
        <w:rPr>
          <w:rFonts w:asciiTheme="majorHAnsi" w:hAnsiTheme="majorHAnsi"/>
          <w:color w:val="000000" w:themeColor="text1"/>
          <w:sz w:val="20"/>
          <w:szCs w:val="20"/>
          <w:lang w:val="es-ES_tradnl"/>
        </w:rPr>
        <w:t>,</w:t>
      </w:r>
      <w:r w:rsidR="0018378E" w:rsidRPr="006A3D76">
        <w:rPr>
          <w:rFonts w:asciiTheme="majorHAnsi" w:hAnsiTheme="majorHAnsi"/>
          <w:color w:val="000000" w:themeColor="text1"/>
          <w:sz w:val="20"/>
          <w:szCs w:val="20"/>
          <w:lang w:val="es-ES_tradnl"/>
        </w:rPr>
        <w:t xml:space="preserve"> sus familiares no promovieron </w:t>
      </w:r>
      <w:r w:rsidR="00FC3F9B" w:rsidRPr="006A3D76">
        <w:rPr>
          <w:rFonts w:asciiTheme="majorHAnsi" w:hAnsiTheme="majorHAnsi"/>
          <w:color w:val="000000" w:themeColor="text1"/>
          <w:sz w:val="20"/>
          <w:szCs w:val="20"/>
          <w:lang w:val="es-ES_tradnl"/>
        </w:rPr>
        <w:t xml:space="preserve">las respectivas </w:t>
      </w:r>
      <w:r w:rsidR="0018378E" w:rsidRPr="006A3D76">
        <w:rPr>
          <w:rFonts w:asciiTheme="majorHAnsi" w:hAnsiTheme="majorHAnsi"/>
          <w:color w:val="000000" w:themeColor="text1"/>
          <w:sz w:val="20"/>
          <w:szCs w:val="20"/>
          <w:lang w:val="es-ES_tradnl"/>
        </w:rPr>
        <w:t>denuncias penales</w:t>
      </w:r>
      <w:r w:rsidRPr="006A3D76">
        <w:rPr>
          <w:rFonts w:asciiTheme="majorHAnsi" w:hAnsiTheme="majorHAnsi"/>
          <w:color w:val="000000" w:themeColor="text1"/>
          <w:sz w:val="20"/>
          <w:szCs w:val="20"/>
          <w:lang w:val="es-ES_tradnl"/>
        </w:rPr>
        <w:t xml:space="preserve"> </w:t>
      </w:r>
      <w:r w:rsidR="00FC3F9B" w:rsidRPr="006A3D76">
        <w:rPr>
          <w:rFonts w:asciiTheme="majorHAnsi" w:hAnsiTheme="majorHAnsi"/>
          <w:color w:val="000000" w:themeColor="text1"/>
          <w:sz w:val="20"/>
          <w:szCs w:val="20"/>
          <w:lang w:val="es-ES_tradnl"/>
        </w:rPr>
        <w:t>ni</w:t>
      </w:r>
      <w:r w:rsidRPr="006A3D76">
        <w:rPr>
          <w:rFonts w:asciiTheme="majorHAnsi" w:hAnsiTheme="majorHAnsi"/>
          <w:color w:val="000000" w:themeColor="text1"/>
          <w:sz w:val="20"/>
          <w:szCs w:val="20"/>
          <w:lang w:val="es-ES_tradnl"/>
        </w:rPr>
        <w:t xml:space="preserve"> </w:t>
      </w:r>
      <w:r w:rsidR="0018378E" w:rsidRPr="006A3D76">
        <w:rPr>
          <w:rFonts w:asciiTheme="majorHAnsi" w:hAnsiTheme="majorHAnsi"/>
          <w:color w:val="000000" w:themeColor="text1"/>
          <w:sz w:val="20"/>
          <w:szCs w:val="20"/>
          <w:lang w:val="es-ES_tradnl"/>
        </w:rPr>
        <w:t>disciplinarias</w:t>
      </w:r>
      <w:r w:rsidR="00466951" w:rsidRPr="006A3D76">
        <w:rPr>
          <w:rFonts w:asciiTheme="majorHAnsi" w:hAnsiTheme="majorHAnsi"/>
          <w:color w:val="000000" w:themeColor="text1"/>
          <w:sz w:val="20"/>
          <w:szCs w:val="20"/>
          <w:lang w:val="es-ES_tradnl"/>
        </w:rPr>
        <w:t>. T</w:t>
      </w:r>
      <w:r w:rsidR="0018378E" w:rsidRPr="006A3D76">
        <w:rPr>
          <w:rFonts w:asciiTheme="majorHAnsi" w:hAnsiTheme="majorHAnsi"/>
          <w:color w:val="000000" w:themeColor="text1"/>
          <w:sz w:val="20"/>
          <w:szCs w:val="20"/>
          <w:lang w:val="es-ES_tradnl"/>
        </w:rPr>
        <w:t xml:space="preserve">ampoco </w:t>
      </w:r>
      <w:r w:rsidRPr="006A3D76">
        <w:rPr>
          <w:rFonts w:asciiTheme="majorHAnsi" w:hAnsiTheme="majorHAnsi"/>
          <w:color w:val="000000" w:themeColor="text1"/>
          <w:sz w:val="20"/>
          <w:szCs w:val="20"/>
          <w:lang w:val="es-ES_tradnl"/>
        </w:rPr>
        <w:t xml:space="preserve">iniciaron </w:t>
      </w:r>
      <w:r w:rsidR="0018378E" w:rsidRPr="006A3D76">
        <w:rPr>
          <w:rFonts w:asciiTheme="majorHAnsi" w:hAnsiTheme="majorHAnsi"/>
          <w:color w:val="000000" w:themeColor="text1"/>
          <w:sz w:val="20"/>
          <w:szCs w:val="20"/>
          <w:lang w:val="es-ES_tradnl"/>
        </w:rPr>
        <w:t>el proceso ético</w:t>
      </w:r>
      <w:r w:rsidR="00FC3F9B" w:rsidRPr="006A3D76">
        <w:rPr>
          <w:rFonts w:asciiTheme="majorHAnsi" w:hAnsiTheme="majorHAnsi"/>
          <w:color w:val="000000" w:themeColor="text1"/>
          <w:sz w:val="20"/>
          <w:szCs w:val="20"/>
          <w:lang w:val="es-ES_tradnl"/>
        </w:rPr>
        <w:t>-</w:t>
      </w:r>
      <w:r w:rsidR="0018378E" w:rsidRPr="006A3D76">
        <w:rPr>
          <w:rFonts w:asciiTheme="majorHAnsi" w:hAnsiTheme="majorHAnsi"/>
          <w:color w:val="000000" w:themeColor="text1"/>
          <w:sz w:val="20"/>
          <w:szCs w:val="20"/>
          <w:lang w:val="es-ES_tradnl"/>
        </w:rPr>
        <w:t xml:space="preserve">profesional </w:t>
      </w:r>
      <w:r w:rsidRPr="006A3D76">
        <w:rPr>
          <w:rFonts w:asciiTheme="majorHAnsi" w:hAnsiTheme="majorHAnsi"/>
          <w:color w:val="000000" w:themeColor="text1"/>
          <w:sz w:val="20"/>
          <w:szCs w:val="20"/>
          <w:lang w:val="es-ES_tradnl"/>
        </w:rPr>
        <w:t xml:space="preserve">establecido en </w:t>
      </w:r>
      <w:r w:rsidR="00B47215" w:rsidRPr="006A3D76">
        <w:rPr>
          <w:rFonts w:asciiTheme="majorHAnsi" w:hAnsiTheme="majorHAnsi"/>
          <w:color w:val="000000" w:themeColor="text1"/>
          <w:sz w:val="20"/>
          <w:szCs w:val="20"/>
          <w:lang w:val="es-ES_tradnl"/>
        </w:rPr>
        <w:t xml:space="preserve">la </w:t>
      </w:r>
      <w:r w:rsidR="008A08FF" w:rsidRPr="006A3D76">
        <w:rPr>
          <w:rFonts w:asciiTheme="majorHAnsi" w:hAnsiTheme="majorHAnsi"/>
          <w:color w:val="000000" w:themeColor="text1"/>
          <w:sz w:val="20"/>
          <w:szCs w:val="20"/>
          <w:lang w:val="es-ES_tradnl"/>
        </w:rPr>
        <w:t>L</w:t>
      </w:r>
      <w:r w:rsidR="00B47215" w:rsidRPr="006A3D76">
        <w:rPr>
          <w:rFonts w:asciiTheme="majorHAnsi" w:hAnsiTheme="majorHAnsi"/>
          <w:color w:val="000000" w:themeColor="text1"/>
          <w:sz w:val="20"/>
          <w:szCs w:val="20"/>
          <w:lang w:val="es-ES_tradnl"/>
        </w:rPr>
        <w:t>ey 23 de 1981</w:t>
      </w:r>
      <w:r w:rsidR="00466951" w:rsidRPr="006A3D76">
        <w:rPr>
          <w:rFonts w:asciiTheme="majorHAnsi" w:hAnsiTheme="majorHAnsi"/>
          <w:color w:val="000000" w:themeColor="text1"/>
          <w:sz w:val="20"/>
          <w:szCs w:val="20"/>
          <w:lang w:val="es-ES_tradnl"/>
        </w:rPr>
        <w:t xml:space="preserve">, cuyo </w:t>
      </w:r>
      <w:r w:rsidR="00B47215" w:rsidRPr="006A3D76">
        <w:rPr>
          <w:rFonts w:asciiTheme="majorHAnsi" w:hAnsiTheme="majorHAnsi"/>
          <w:color w:val="000000" w:themeColor="text1"/>
          <w:sz w:val="20"/>
          <w:szCs w:val="20"/>
          <w:lang w:val="es-ES_tradnl"/>
        </w:rPr>
        <w:t xml:space="preserve">impulso y desarrollo </w:t>
      </w:r>
      <w:r w:rsidR="0049030A" w:rsidRPr="006A3D76">
        <w:rPr>
          <w:rFonts w:asciiTheme="majorHAnsi" w:hAnsiTheme="majorHAnsi"/>
          <w:color w:val="000000" w:themeColor="text1"/>
          <w:sz w:val="20"/>
          <w:szCs w:val="20"/>
          <w:lang w:val="es-ES_tradnl"/>
        </w:rPr>
        <w:t xml:space="preserve">en </w:t>
      </w:r>
      <w:r w:rsidR="00466951" w:rsidRPr="006A3D76">
        <w:rPr>
          <w:rFonts w:asciiTheme="majorHAnsi" w:hAnsiTheme="majorHAnsi"/>
          <w:color w:val="000000" w:themeColor="text1"/>
          <w:sz w:val="20"/>
          <w:szCs w:val="20"/>
          <w:lang w:val="es-ES_tradnl"/>
        </w:rPr>
        <w:t>materia de</w:t>
      </w:r>
      <w:r w:rsidR="0049030A" w:rsidRPr="006A3D76">
        <w:rPr>
          <w:rFonts w:asciiTheme="majorHAnsi" w:hAnsiTheme="majorHAnsi"/>
          <w:color w:val="000000" w:themeColor="text1"/>
          <w:sz w:val="20"/>
          <w:szCs w:val="20"/>
          <w:lang w:val="es-ES_tradnl"/>
        </w:rPr>
        <w:t xml:space="preserve"> ejercicio </w:t>
      </w:r>
      <w:r w:rsidR="00466951" w:rsidRPr="006A3D76">
        <w:rPr>
          <w:rFonts w:asciiTheme="majorHAnsi" w:hAnsiTheme="majorHAnsi"/>
          <w:color w:val="000000" w:themeColor="text1"/>
          <w:sz w:val="20"/>
          <w:szCs w:val="20"/>
          <w:lang w:val="es-ES_tradnl"/>
        </w:rPr>
        <w:t>de la medicina</w:t>
      </w:r>
      <w:r w:rsidR="004C7E9A" w:rsidRPr="006A3D76">
        <w:rPr>
          <w:rFonts w:asciiTheme="majorHAnsi" w:hAnsiTheme="majorHAnsi"/>
          <w:color w:val="000000" w:themeColor="text1"/>
          <w:sz w:val="20"/>
          <w:szCs w:val="20"/>
          <w:lang w:val="es-ES_tradnl"/>
        </w:rPr>
        <w:t xml:space="preserve"> </w:t>
      </w:r>
      <w:r w:rsidR="0049030A" w:rsidRPr="006A3D76">
        <w:rPr>
          <w:rFonts w:asciiTheme="majorHAnsi" w:hAnsiTheme="majorHAnsi"/>
          <w:color w:val="000000" w:themeColor="text1"/>
          <w:sz w:val="20"/>
          <w:szCs w:val="20"/>
          <w:lang w:val="es-ES_tradnl"/>
        </w:rPr>
        <w:t xml:space="preserve">es diferente al que reviste la responsabilidad del servidor </w:t>
      </w:r>
      <w:r w:rsidR="0018378E" w:rsidRPr="006A3D76">
        <w:rPr>
          <w:rFonts w:asciiTheme="majorHAnsi" w:hAnsiTheme="majorHAnsi"/>
          <w:color w:val="000000" w:themeColor="text1"/>
          <w:sz w:val="20"/>
          <w:szCs w:val="20"/>
          <w:lang w:val="es-ES_tradnl"/>
        </w:rPr>
        <w:t>público</w:t>
      </w:r>
      <w:r w:rsidR="0049030A" w:rsidRPr="006A3D76">
        <w:rPr>
          <w:rFonts w:asciiTheme="majorHAnsi" w:hAnsiTheme="majorHAnsi"/>
          <w:color w:val="000000" w:themeColor="text1"/>
          <w:sz w:val="20"/>
          <w:szCs w:val="20"/>
          <w:lang w:val="es-ES_tradnl"/>
        </w:rPr>
        <w:t xml:space="preserve"> o del particular que ejerce función p</w:t>
      </w:r>
      <w:r w:rsidR="008A08FF" w:rsidRPr="006A3D76">
        <w:rPr>
          <w:rFonts w:asciiTheme="majorHAnsi" w:hAnsiTheme="majorHAnsi"/>
          <w:color w:val="000000" w:themeColor="text1"/>
          <w:sz w:val="20"/>
          <w:szCs w:val="20"/>
          <w:lang w:val="es-ES_tradnl"/>
        </w:rPr>
        <w:t>ú</w:t>
      </w:r>
      <w:r w:rsidR="0049030A" w:rsidRPr="006A3D76">
        <w:rPr>
          <w:rFonts w:asciiTheme="majorHAnsi" w:hAnsiTheme="majorHAnsi"/>
          <w:color w:val="000000" w:themeColor="text1"/>
          <w:sz w:val="20"/>
          <w:szCs w:val="20"/>
          <w:lang w:val="es-ES_tradnl"/>
        </w:rPr>
        <w:t xml:space="preserve">blica. </w:t>
      </w:r>
      <w:r w:rsidR="003F4F47" w:rsidRPr="006A3D76">
        <w:rPr>
          <w:rFonts w:asciiTheme="majorHAnsi" w:hAnsiTheme="majorHAnsi"/>
          <w:color w:val="000000" w:themeColor="text1"/>
          <w:sz w:val="20"/>
          <w:szCs w:val="20"/>
          <w:lang w:val="es-ES_tradnl"/>
        </w:rPr>
        <w:t>E</w:t>
      </w:r>
      <w:r w:rsidR="00952E2A" w:rsidRPr="006A3D76">
        <w:rPr>
          <w:rFonts w:asciiTheme="majorHAnsi" w:hAnsiTheme="majorHAnsi"/>
          <w:color w:val="000000" w:themeColor="text1"/>
          <w:sz w:val="20"/>
          <w:szCs w:val="20"/>
          <w:lang w:val="es-ES_tradnl"/>
        </w:rPr>
        <w:t xml:space="preserve">l </w:t>
      </w:r>
      <w:r w:rsidR="008A08FF" w:rsidRPr="006A3D76">
        <w:rPr>
          <w:rFonts w:asciiTheme="majorHAnsi" w:hAnsiTheme="majorHAnsi"/>
          <w:color w:val="000000" w:themeColor="text1"/>
          <w:sz w:val="20"/>
          <w:szCs w:val="20"/>
          <w:lang w:val="es-ES_tradnl"/>
        </w:rPr>
        <w:t>E</w:t>
      </w:r>
      <w:r w:rsidR="00952E2A" w:rsidRPr="006A3D76">
        <w:rPr>
          <w:rFonts w:asciiTheme="majorHAnsi" w:hAnsiTheme="majorHAnsi"/>
          <w:color w:val="000000" w:themeColor="text1"/>
          <w:sz w:val="20"/>
          <w:szCs w:val="20"/>
          <w:lang w:val="es-ES_tradnl"/>
        </w:rPr>
        <w:t>stado</w:t>
      </w:r>
      <w:r w:rsidR="004C7E9A" w:rsidRPr="006A3D76">
        <w:rPr>
          <w:rFonts w:asciiTheme="majorHAnsi" w:hAnsiTheme="majorHAnsi"/>
          <w:color w:val="000000" w:themeColor="text1"/>
          <w:sz w:val="20"/>
          <w:szCs w:val="20"/>
          <w:lang w:val="es-ES_tradnl"/>
        </w:rPr>
        <w:t xml:space="preserve"> argumenta que</w:t>
      </w:r>
      <w:r w:rsidR="00952E2A" w:rsidRPr="006A3D76">
        <w:rPr>
          <w:rFonts w:asciiTheme="majorHAnsi" w:hAnsiTheme="majorHAnsi"/>
          <w:color w:val="000000" w:themeColor="text1"/>
          <w:sz w:val="20"/>
          <w:szCs w:val="20"/>
          <w:lang w:val="es-ES_tradnl"/>
        </w:rPr>
        <w:t xml:space="preserve"> no i</w:t>
      </w:r>
      <w:r w:rsidR="008A08FF" w:rsidRPr="006A3D76">
        <w:rPr>
          <w:rFonts w:asciiTheme="majorHAnsi" w:hAnsiTheme="majorHAnsi"/>
          <w:color w:val="000000" w:themeColor="text1"/>
          <w:sz w:val="20"/>
          <w:szCs w:val="20"/>
          <w:lang w:val="es-ES_tradnl"/>
        </w:rPr>
        <w:t>nic</w:t>
      </w:r>
      <w:r w:rsidR="00952E2A" w:rsidRPr="006A3D76">
        <w:rPr>
          <w:rFonts w:asciiTheme="majorHAnsi" w:hAnsiTheme="majorHAnsi"/>
          <w:color w:val="000000" w:themeColor="text1"/>
          <w:sz w:val="20"/>
          <w:szCs w:val="20"/>
          <w:lang w:val="es-ES_tradnl"/>
        </w:rPr>
        <w:t>i</w:t>
      </w:r>
      <w:r w:rsidR="008A08FF" w:rsidRPr="006A3D76">
        <w:rPr>
          <w:rFonts w:asciiTheme="majorHAnsi" w:hAnsiTheme="majorHAnsi"/>
          <w:color w:val="000000" w:themeColor="text1"/>
          <w:sz w:val="20"/>
          <w:szCs w:val="20"/>
          <w:lang w:val="es-ES_tradnl"/>
        </w:rPr>
        <w:t>ó</w:t>
      </w:r>
      <w:r w:rsidR="00952E2A" w:rsidRPr="006A3D76">
        <w:rPr>
          <w:rFonts w:asciiTheme="majorHAnsi" w:hAnsiTheme="majorHAnsi"/>
          <w:color w:val="000000" w:themeColor="text1"/>
          <w:sz w:val="20"/>
          <w:szCs w:val="20"/>
          <w:lang w:val="es-ES_tradnl"/>
        </w:rPr>
        <w:t xml:space="preserve"> investigaciones de oficio dado que </w:t>
      </w:r>
      <w:r w:rsidR="00466951" w:rsidRPr="006A3D76">
        <w:rPr>
          <w:rFonts w:asciiTheme="majorHAnsi" w:hAnsiTheme="majorHAnsi"/>
          <w:color w:val="000000" w:themeColor="text1"/>
          <w:sz w:val="20"/>
          <w:szCs w:val="20"/>
          <w:lang w:val="es-ES_tradnl"/>
        </w:rPr>
        <w:t xml:space="preserve">no hubo duda alguna de </w:t>
      </w:r>
      <w:r w:rsidR="00952E2A" w:rsidRPr="006A3D76">
        <w:rPr>
          <w:rFonts w:asciiTheme="majorHAnsi" w:hAnsiTheme="majorHAnsi"/>
          <w:color w:val="000000" w:themeColor="text1"/>
          <w:sz w:val="20"/>
          <w:szCs w:val="20"/>
          <w:lang w:val="es-ES_tradnl"/>
        </w:rPr>
        <w:t xml:space="preserve">las propias autoridades judiciales sobre </w:t>
      </w:r>
      <w:r w:rsidR="003F4F47" w:rsidRPr="006A3D76">
        <w:rPr>
          <w:rFonts w:asciiTheme="majorHAnsi" w:hAnsiTheme="majorHAnsi"/>
          <w:color w:val="000000" w:themeColor="text1"/>
          <w:sz w:val="20"/>
          <w:szCs w:val="20"/>
          <w:lang w:val="es-ES_tradnl"/>
        </w:rPr>
        <w:t xml:space="preserve">la </w:t>
      </w:r>
      <w:r w:rsidR="0079167D" w:rsidRPr="006A3D76">
        <w:rPr>
          <w:rFonts w:asciiTheme="majorHAnsi" w:hAnsiTheme="majorHAnsi"/>
          <w:color w:val="000000" w:themeColor="text1"/>
          <w:sz w:val="20"/>
          <w:szCs w:val="20"/>
          <w:lang w:val="es-ES_tradnl"/>
        </w:rPr>
        <w:t>idoneidad</w:t>
      </w:r>
      <w:r w:rsidR="003F4F47" w:rsidRPr="006A3D76">
        <w:rPr>
          <w:rFonts w:asciiTheme="majorHAnsi" w:hAnsiTheme="majorHAnsi"/>
          <w:color w:val="000000" w:themeColor="text1"/>
          <w:sz w:val="20"/>
          <w:szCs w:val="20"/>
          <w:lang w:val="es-ES_tradnl"/>
        </w:rPr>
        <w:t xml:space="preserve"> de la atención médica</w:t>
      </w:r>
      <w:r w:rsidR="0079167D" w:rsidRPr="006A3D76">
        <w:rPr>
          <w:rFonts w:asciiTheme="majorHAnsi" w:hAnsiTheme="majorHAnsi"/>
          <w:color w:val="000000" w:themeColor="text1"/>
          <w:sz w:val="20"/>
          <w:szCs w:val="20"/>
          <w:lang w:val="es-ES_tradnl"/>
        </w:rPr>
        <w:t xml:space="preserve"> recibida por la presunta víctima</w:t>
      </w:r>
      <w:r w:rsidR="00952E2A" w:rsidRPr="006A3D76">
        <w:rPr>
          <w:rFonts w:asciiTheme="majorHAnsi" w:hAnsiTheme="majorHAnsi"/>
          <w:color w:val="000000" w:themeColor="text1"/>
          <w:sz w:val="20"/>
          <w:szCs w:val="20"/>
          <w:lang w:val="es-ES_tradnl"/>
        </w:rPr>
        <w:t>.</w:t>
      </w:r>
      <w:r w:rsidR="0079167D" w:rsidRPr="006A3D76">
        <w:rPr>
          <w:rFonts w:asciiTheme="majorHAnsi" w:hAnsiTheme="majorHAnsi"/>
          <w:color w:val="000000" w:themeColor="text1"/>
          <w:sz w:val="20"/>
          <w:szCs w:val="20"/>
          <w:lang w:val="es-ES_tradnl"/>
        </w:rPr>
        <w:t xml:space="preserve"> Sin perjuicio de lo anterior, indica – sin dar mayor detalle- que, en lo que respecta al homicidio de la presunta </w:t>
      </w:r>
      <w:r w:rsidR="0079167D" w:rsidRPr="006A3D76">
        <w:rPr>
          <w:rFonts w:asciiTheme="majorHAnsi" w:hAnsiTheme="majorHAnsi"/>
          <w:color w:val="000000" w:themeColor="text1"/>
          <w:sz w:val="20"/>
          <w:szCs w:val="20"/>
          <w:lang w:val="es-ES_tradnl"/>
        </w:rPr>
        <w:lastRenderedPageBreak/>
        <w:t xml:space="preserve">víctima, en atención a quien le disparó, se inició una investigación preliminar de oficio en orden a individualizar a los presuntas responsables e impartir la justicia correspondiente. </w:t>
      </w:r>
    </w:p>
    <w:p w14:paraId="70CD73B9" w14:textId="77777777" w:rsidR="004E486E" w:rsidRPr="006A3D76" w:rsidRDefault="004E486E" w:rsidP="00FE16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172FEF9E" w14:textId="7409E961" w:rsidR="005374F1" w:rsidRPr="006A3D76" w:rsidRDefault="004C616A" w:rsidP="00FE16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6A3D76">
        <w:rPr>
          <w:rFonts w:asciiTheme="majorHAnsi" w:hAnsiTheme="majorHAnsi"/>
          <w:b/>
          <w:bCs/>
          <w:sz w:val="20"/>
          <w:szCs w:val="20"/>
          <w:lang w:val="es-ES_tradnl"/>
        </w:rPr>
        <w:t xml:space="preserve">VI. </w:t>
      </w:r>
      <w:r w:rsidRPr="006A3D76">
        <w:rPr>
          <w:rFonts w:asciiTheme="majorHAnsi" w:hAnsiTheme="majorHAnsi"/>
          <w:b/>
          <w:bCs/>
          <w:sz w:val="20"/>
          <w:szCs w:val="20"/>
          <w:lang w:val="es-ES_tradnl"/>
        </w:rPr>
        <w:tab/>
        <w:t>A</w:t>
      </w:r>
      <w:r w:rsidR="00FE1665" w:rsidRPr="006A3D76">
        <w:rPr>
          <w:rFonts w:asciiTheme="majorHAnsi" w:hAnsiTheme="majorHAnsi"/>
          <w:b/>
          <w:bCs/>
          <w:sz w:val="20"/>
          <w:szCs w:val="20"/>
          <w:lang w:val="es-ES_tradnl"/>
        </w:rPr>
        <w:t>NÁLISIS DE A</w:t>
      </w:r>
      <w:r w:rsidRPr="006A3D76">
        <w:rPr>
          <w:rFonts w:asciiTheme="majorHAnsi" w:hAnsiTheme="majorHAnsi"/>
          <w:b/>
          <w:bCs/>
          <w:sz w:val="20"/>
          <w:szCs w:val="20"/>
          <w:lang w:val="es-ES_tradnl"/>
        </w:rPr>
        <w:t>GOTAMIENTO DE LOS RECURSOS INTERNOS Y PLAZO DE PRESENTACIÓN</w:t>
      </w:r>
    </w:p>
    <w:p w14:paraId="047A952E" w14:textId="77777777" w:rsidR="004E486E" w:rsidRPr="006A3D76" w:rsidRDefault="004E486E" w:rsidP="00FE16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0" w:themeColor="text1"/>
          <w:sz w:val="20"/>
          <w:szCs w:val="20"/>
          <w:lang w:val="es-ES_tradnl"/>
        </w:rPr>
      </w:pPr>
    </w:p>
    <w:p w14:paraId="3C2F7952" w14:textId="044E0E24" w:rsidR="0029604B" w:rsidRPr="006A3D76" w:rsidRDefault="009F0B4D" w:rsidP="002E4E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_tradnl"/>
        </w:rPr>
      </w:pPr>
      <w:r w:rsidRPr="006A3D76">
        <w:rPr>
          <w:rFonts w:asciiTheme="majorHAnsi" w:hAnsiTheme="majorHAnsi"/>
          <w:sz w:val="20"/>
          <w:szCs w:val="20"/>
          <w:lang w:val="es-ES_tradnl"/>
        </w:rPr>
        <w:t xml:space="preserve">El peticionario mantiene </w:t>
      </w:r>
      <w:r w:rsidR="00D45A37" w:rsidRPr="006A3D76">
        <w:rPr>
          <w:rFonts w:asciiTheme="majorHAnsi" w:hAnsiTheme="majorHAnsi"/>
          <w:sz w:val="20"/>
          <w:szCs w:val="20"/>
          <w:lang w:val="es-ES_tradnl"/>
        </w:rPr>
        <w:t xml:space="preserve">que los recursos suministrados no han sido efectivos para </w:t>
      </w:r>
      <w:r w:rsidRPr="006A3D76">
        <w:rPr>
          <w:rFonts w:asciiTheme="majorHAnsi" w:hAnsiTheme="majorHAnsi"/>
          <w:sz w:val="20"/>
          <w:szCs w:val="20"/>
          <w:lang w:val="es-ES_tradnl"/>
        </w:rPr>
        <w:t xml:space="preserve">sancionar a los responsables y garantizar </w:t>
      </w:r>
      <w:r w:rsidR="00D45A37" w:rsidRPr="006A3D76">
        <w:rPr>
          <w:rFonts w:asciiTheme="majorHAnsi" w:hAnsiTheme="majorHAnsi"/>
          <w:sz w:val="20"/>
          <w:szCs w:val="20"/>
          <w:lang w:val="es-ES_tradnl"/>
        </w:rPr>
        <w:t xml:space="preserve">el derecho </w:t>
      </w:r>
      <w:r w:rsidRPr="006A3D76">
        <w:rPr>
          <w:rFonts w:asciiTheme="majorHAnsi" w:hAnsiTheme="majorHAnsi"/>
          <w:sz w:val="20"/>
          <w:szCs w:val="20"/>
          <w:lang w:val="es-ES_tradnl"/>
        </w:rPr>
        <w:t xml:space="preserve">a </w:t>
      </w:r>
      <w:r w:rsidR="00D45A37" w:rsidRPr="006A3D76">
        <w:rPr>
          <w:rFonts w:asciiTheme="majorHAnsi" w:hAnsiTheme="majorHAnsi"/>
          <w:sz w:val="20"/>
          <w:szCs w:val="20"/>
          <w:lang w:val="es-ES_tradnl"/>
        </w:rPr>
        <w:t>la verdad</w:t>
      </w:r>
      <w:r w:rsidR="00B02FA9" w:rsidRPr="006A3D76">
        <w:rPr>
          <w:rFonts w:asciiTheme="majorHAnsi" w:hAnsiTheme="majorHAnsi"/>
          <w:sz w:val="20"/>
          <w:szCs w:val="20"/>
          <w:lang w:val="es-ES_tradnl"/>
        </w:rPr>
        <w:t xml:space="preserve">; y que </w:t>
      </w:r>
      <w:r w:rsidRPr="006A3D76">
        <w:rPr>
          <w:rFonts w:asciiTheme="majorHAnsi" w:hAnsiTheme="majorHAnsi"/>
          <w:sz w:val="20"/>
          <w:szCs w:val="20"/>
          <w:lang w:val="es-ES_tradnl"/>
        </w:rPr>
        <w:t xml:space="preserve">no </w:t>
      </w:r>
      <w:r w:rsidR="00B02FA9" w:rsidRPr="006A3D76">
        <w:rPr>
          <w:rFonts w:asciiTheme="majorHAnsi" w:hAnsiTheme="majorHAnsi"/>
          <w:sz w:val="20"/>
          <w:szCs w:val="20"/>
          <w:lang w:val="es-ES_tradnl"/>
        </w:rPr>
        <w:t xml:space="preserve">se </w:t>
      </w:r>
      <w:r w:rsidRPr="006A3D76">
        <w:rPr>
          <w:rFonts w:asciiTheme="majorHAnsi" w:hAnsiTheme="majorHAnsi"/>
          <w:sz w:val="20"/>
          <w:szCs w:val="20"/>
          <w:lang w:val="es-ES_tradnl"/>
        </w:rPr>
        <w:t xml:space="preserve">ha </w:t>
      </w:r>
      <w:r w:rsidR="00B02FA9" w:rsidRPr="006A3D76">
        <w:rPr>
          <w:rFonts w:asciiTheme="majorHAnsi" w:hAnsiTheme="majorHAnsi"/>
          <w:sz w:val="20"/>
          <w:szCs w:val="20"/>
          <w:lang w:val="es-ES_tradnl"/>
        </w:rPr>
        <w:t xml:space="preserve">iniciado </w:t>
      </w:r>
      <w:r w:rsidR="00D45A37" w:rsidRPr="006A3D76">
        <w:rPr>
          <w:rFonts w:asciiTheme="majorHAnsi" w:hAnsiTheme="majorHAnsi"/>
          <w:sz w:val="20"/>
          <w:szCs w:val="20"/>
          <w:lang w:val="es-ES_tradnl"/>
        </w:rPr>
        <w:t xml:space="preserve">una acción disciplinaria </w:t>
      </w:r>
      <w:r w:rsidR="00B02FA9" w:rsidRPr="006A3D76">
        <w:rPr>
          <w:rFonts w:asciiTheme="majorHAnsi" w:hAnsiTheme="majorHAnsi"/>
          <w:sz w:val="20"/>
          <w:szCs w:val="20"/>
          <w:lang w:val="es-ES_tradnl"/>
        </w:rPr>
        <w:t>ni</w:t>
      </w:r>
      <w:r w:rsidRPr="006A3D76">
        <w:rPr>
          <w:rFonts w:asciiTheme="majorHAnsi" w:hAnsiTheme="majorHAnsi"/>
          <w:sz w:val="20"/>
          <w:szCs w:val="20"/>
          <w:lang w:val="es-ES_tradnl"/>
        </w:rPr>
        <w:t xml:space="preserve"> una investigación </w:t>
      </w:r>
      <w:r w:rsidR="00D45A37" w:rsidRPr="006A3D76">
        <w:rPr>
          <w:rFonts w:asciiTheme="majorHAnsi" w:hAnsiTheme="majorHAnsi"/>
          <w:sz w:val="20"/>
          <w:szCs w:val="20"/>
          <w:lang w:val="es-ES_tradnl"/>
        </w:rPr>
        <w:t>penal</w:t>
      </w:r>
      <w:r w:rsidR="00B02FA9" w:rsidRPr="006A3D76">
        <w:rPr>
          <w:rFonts w:asciiTheme="majorHAnsi" w:hAnsiTheme="majorHAnsi"/>
          <w:sz w:val="20"/>
          <w:szCs w:val="20"/>
          <w:lang w:val="es-ES_tradnl"/>
        </w:rPr>
        <w:t>,</w:t>
      </w:r>
      <w:r w:rsidR="00D45A37" w:rsidRPr="006A3D76">
        <w:rPr>
          <w:rFonts w:asciiTheme="majorHAnsi" w:hAnsiTheme="majorHAnsi"/>
          <w:sz w:val="20"/>
          <w:szCs w:val="20"/>
          <w:lang w:val="es-ES_tradnl"/>
        </w:rPr>
        <w:t xml:space="preserve"> por lo cual </w:t>
      </w:r>
      <w:r w:rsidR="00B02FA9" w:rsidRPr="006A3D76">
        <w:rPr>
          <w:rFonts w:asciiTheme="majorHAnsi" w:hAnsiTheme="majorHAnsi"/>
          <w:sz w:val="20"/>
          <w:szCs w:val="20"/>
          <w:lang w:val="es-ES_tradnl"/>
        </w:rPr>
        <w:t xml:space="preserve">solicita que se aplique </w:t>
      </w:r>
      <w:r w:rsidRPr="006A3D76">
        <w:rPr>
          <w:rFonts w:asciiTheme="majorHAnsi" w:hAnsiTheme="majorHAnsi"/>
          <w:sz w:val="20"/>
          <w:szCs w:val="20"/>
          <w:lang w:val="es-ES_tradnl"/>
        </w:rPr>
        <w:t xml:space="preserve">la </w:t>
      </w:r>
      <w:r w:rsidR="00D45A37" w:rsidRPr="006A3D76">
        <w:rPr>
          <w:rFonts w:asciiTheme="majorHAnsi" w:hAnsiTheme="majorHAnsi"/>
          <w:sz w:val="20"/>
          <w:szCs w:val="20"/>
          <w:lang w:val="es-ES_tradnl"/>
        </w:rPr>
        <w:t xml:space="preserve">excepción </w:t>
      </w:r>
      <w:r w:rsidR="00B02FA9" w:rsidRPr="006A3D76">
        <w:rPr>
          <w:rFonts w:asciiTheme="majorHAnsi" w:hAnsiTheme="majorHAnsi"/>
          <w:sz w:val="20"/>
          <w:szCs w:val="20"/>
          <w:lang w:val="es-ES_tradnl"/>
        </w:rPr>
        <w:t>al</w:t>
      </w:r>
      <w:r w:rsidR="00D45A37" w:rsidRPr="006A3D76">
        <w:rPr>
          <w:rFonts w:asciiTheme="majorHAnsi" w:hAnsiTheme="majorHAnsi"/>
          <w:sz w:val="20"/>
          <w:szCs w:val="20"/>
          <w:lang w:val="es-ES_tradnl"/>
        </w:rPr>
        <w:t xml:space="preserve"> agotamiento de los recursos internos </w:t>
      </w:r>
      <w:r w:rsidR="00B02FA9" w:rsidRPr="006A3D76">
        <w:rPr>
          <w:rFonts w:asciiTheme="majorHAnsi" w:hAnsiTheme="majorHAnsi"/>
          <w:sz w:val="20"/>
          <w:szCs w:val="20"/>
          <w:lang w:val="es-ES_tradnl"/>
        </w:rPr>
        <w:t xml:space="preserve">por </w:t>
      </w:r>
      <w:r w:rsidR="00D45A37" w:rsidRPr="006A3D76">
        <w:rPr>
          <w:rFonts w:asciiTheme="majorHAnsi" w:hAnsiTheme="majorHAnsi"/>
          <w:sz w:val="20"/>
          <w:szCs w:val="20"/>
          <w:lang w:val="es-ES_tradnl"/>
        </w:rPr>
        <w:t xml:space="preserve">retardo injustificado. En relación </w:t>
      </w:r>
      <w:r w:rsidR="00B02FA9" w:rsidRPr="006A3D76">
        <w:rPr>
          <w:rFonts w:asciiTheme="majorHAnsi" w:hAnsiTheme="majorHAnsi"/>
          <w:sz w:val="20"/>
          <w:szCs w:val="20"/>
          <w:lang w:val="es-ES_tradnl"/>
        </w:rPr>
        <w:t xml:space="preserve">con el </w:t>
      </w:r>
      <w:r w:rsidR="00D45A37" w:rsidRPr="006A3D76">
        <w:rPr>
          <w:rFonts w:asciiTheme="majorHAnsi" w:hAnsiTheme="majorHAnsi"/>
          <w:sz w:val="20"/>
          <w:szCs w:val="20"/>
          <w:lang w:val="es-ES_tradnl"/>
        </w:rPr>
        <w:t xml:space="preserve">proceso contencioso administrativo, </w:t>
      </w:r>
      <w:r w:rsidRPr="006A3D76">
        <w:rPr>
          <w:rFonts w:asciiTheme="majorHAnsi" w:hAnsiTheme="majorHAnsi"/>
          <w:sz w:val="20"/>
          <w:szCs w:val="20"/>
          <w:lang w:val="es-ES_tradnl"/>
        </w:rPr>
        <w:t>destaca</w:t>
      </w:r>
      <w:r w:rsidR="00D45A37" w:rsidRPr="006A3D76">
        <w:rPr>
          <w:rFonts w:asciiTheme="majorHAnsi" w:hAnsiTheme="majorHAnsi"/>
          <w:sz w:val="20"/>
          <w:szCs w:val="20"/>
          <w:lang w:val="es-ES_tradnl"/>
        </w:rPr>
        <w:t xml:space="preserve"> que </w:t>
      </w:r>
      <w:r w:rsidRPr="006A3D76">
        <w:rPr>
          <w:rFonts w:asciiTheme="majorHAnsi" w:hAnsiTheme="majorHAnsi"/>
          <w:sz w:val="20"/>
          <w:szCs w:val="20"/>
          <w:lang w:val="es-ES_tradnl"/>
        </w:rPr>
        <w:t xml:space="preserve">la familia de la presunta víctima </w:t>
      </w:r>
      <w:r w:rsidR="001007DF" w:rsidRPr="006A3D76">
        <w:rPr>
          <w:rFonts w:asciiTheme="majorHAnsi" w:hAnsiTheme="majorHAnsi"/>
          <w:sz w:val="20"/>
          <w:szCs w:val="20"/>
          <w:lang w:val="es-ES_tradnl"/>
        </w:rPr>
        <w:t xml:space="preserve">presentó una acción de reparación directa </w:t>
      </w:r>
      <w:r w:rsidR="00D45A37" w:rsidRPr="006A3D76">
        <w:rPr>
          <w:rFonts w:asciiTheme="majorHAnsi" w:hAnsiTheme="majorHAnsi"/>
          <w:sz w:val="20"/>
          <w:szCs w:val="20"/>
          <w:lang w:val="es-ES_tradnl"/>
        </w:rPr>
        <w:t xml:space="preserve">el 8 de mayo de 1996 </w:t>
      </w:r>
      <w:r w:rsidR="001007DF" w:rsidRPr="006A3D76">
        <w:rPr>
          <w:rFonts w:asciiTheme="majorHAnsi" w:hAnsiTheme="majorHAnsi"/>
          <w:sz w:val="20"/>
          <w:szCs w:val="20"/>
          <w:lang w:val="es-ES_tradnl"/>
        </w:rPr>
        <w:t>ante el Tribunal Administrativo de Antioquía</w:t>
      </w:r>
      <w:r w:rsidR="00B02FA9" w:rsidRPr="006A3D76">
        <w:rPr>
          <w:rFonts w:asciiTheme="majorHAnsi" w:hAnsiTheme="majorHAnsi"/>
          <w:sz w:val="20"/>
          <w:szCs w:val="20"/>
          <w:lang w:val="es-ES_tradnl"/>
        </w:rPr>
        <w:t>, que</w:t>
      </w:r>
      <w:r w:rsidR="001007DF" w:rsidRPr="006A3D76">
        <w:rPr>
          <w:rFonts w:asciiTheme="majorHAnsi" w:hAnsiTheme="majorHAnsi"/>
          <w:sz w:val="20"/>
          <w:szCs w:val="20"/>
          <w:lang w:val="es-ES_tradnl"/>
        </w:rPr>
        <w:t xml:space="preserve"> </w:t>
      </w:r>
      <w:r w:rsidR="00D45A37" w:rsidRPr="006A3D76">
        <w:rPr>
          <w:rFonts w:asciiTheme="majorHAnsi" w:hAnsiTheme="majorHAnsi"/>
          <w:sz w:val="20"/>
          <w:szCs w:val="20"/>
          <w:lang w:val="es-ES_tradnl"/>
        </w:rPr>
        <w:t xml:space="preserve">fue </w:t>
      </w:r>
      <w:r w:rsidR="00B02FA9" w:rsidRPr="006A3D76">
        <w:rPr>
          <w:rFonts w:asciiTheme="majorHAnsi" w:hAnsiTheme="majorHAnsi"/>
          <w:sz w:val="20"/>
          <w:szCs w:val="20"/>
          <w:lang w:val="es-ES_tradnl"/>
        </w:rPr>
        <w:t xml:space="preserve">denegada por </w:t>
      </w:r>
      <w:r w:rsidR="001007DF" w:rsidRPr="006A3D76">
        <w:rPr>
          <w:rFonts w:asciiTheme="majorHAnsi" w:hAnsiTheme="majorHAnsi"/>
          <w:sz w:val="20"/>
          <w:szCs w:val="20"/>
          <w:lang w:val="es-ES_tradnl"/>
        </w:rPr>
        <w:t xml:space="preserve">sentencia de 24 de junio de 2008. </w:t>
      </w:r>
      <w:r w:rsidR="00B02FA9" w:rsidRPr="006A3D76">
        <w:rPr>
          <w:rFonts w:asciiTheme="majorHAnsi" w:hAnsiTheme="majorHAnsi"/>
          <w:sz w:val="20"/>
          <w:szCs w:val="20"/>
          <w:lang w:val="es-ES_tradnl"/>
        </w:rPr>
        <w:t>Luego</w:t>
      </w:r>
      <w:r w:rsidR="00D45A37" w:rsidRPr="006A3D76">
        <w:rPr>
          <w:rFonts w:asciiTheme="majorHAnsi" w:hAnsiTheme="majorHAnsi"/>
          <w:sz w:val="20"/>
          <w:szCs w:val="20"/>
          <w:lang w:val="es-ES_tradnl"/>
        </w:rPr>
        <w:t xml:space="preserve"> </w:t>
      </w:r>
      <w:r w:rsidR="001007DF" w:rsidRPr="006A3D76">
        <w:rPr>
          <w:rFonts w:asciiTheme="majorHAnsi" w:hAnsiTheme="majorHAnsi"/>
          <w:sz w:val="20"/>
          <w:szCs w:val="20"/>
          <w:lang w:val="es-ES_tradnl"/>
        </w:rPr>
        <w:t>interpuso un recurso de apelación el 17 de julio del 2008</w:t>
      </w:r>
      <w:r w:rsidR="00B02FA9" w:rsidRPr="006A3D76">
        <w:rPr>
          <w:rFonts w:asciiTheme="majorHAnsi" w:hAnsiTheme="majorHAnsi"/>
          <w:sz w:val="20"/>
          <w:szCs w:val="20"/>
          <w:lang w:val="es-ES_tradnl"/>
        </w:rPr>
        <w:t>,</w:t>
      </w:r>
      <w:r w:rsidR="001007DF" w:rsidRPr="006A3D76">
        <w:rPr>
          <w:rFonts w:asciiTheme="majorHAnsi" w:hAnsiTheme="majorHAnsi"/>
          <w:sz w:val="20"/>
          <w:szCs w:val="20"/>
          <w:lang w:val="es-ES_tradnl"/>
        </w:rPr>
        <w:t xml:space="preserve"> rechazado </w:t>
      </w:r>
      <w:r w:rsidR="00B02FA9" w:rsidRPr="006A3D76">
        <w:rPr>
          <w:rFonts w:asciiTheme="majorHAnsi" w:hAnsiTheme="majorHAnsi"/>
          <w:sz w:val="20"/>
          <w:szCs w:val="20"/>
          <w:lang w:val="es-ES_tradnl"/>
        </w:rPr>
        <w:t xml:space="preserve">por </w:t>
      </w:r>
      <w:r w:rsidR="001007DF" w:rsidRPr="006A3D76">
        <w:rPr>
          <w:rFonts w:asciiTheme="majorHAnsi" w:hAnsiTheme="majorHAnsi"/>
          <w:sz w:val="20"/>
          <w:szCs w:val="20"/>
          <w:lang w:val="es-ES_tradnl"/>
        </w:rPr>
        <w:t>auto de 5 de agosto de 2008</w:t>
      </w:r>
      <w:r w:rsidR="00B02FA9" w:rsidRPr="006A3D76">
        <w:rPr>
          <w:rFonts w:asciiTheme="majorHAnsi" w:hAnsiTheme="majorHAnsi"/>
          <w:sz w:val="20"/>
          <w:szCs w:val="20"/>
          <w:lang w:val="es-ES_tradnl"/>
        </w:rPr>
        <w:t>;</w:t>
      </w:r>
      <w:r w:rsidR="001007DF" w:rsidRPr="006A3D76">
        <w:rPr>
          <w:rFonts w:asciiTheme="majorHAnsi" w:hAnsiTheme="majorHAnsi"/>
          <w:sz w:val="20"/>
          <w:szCs w:val="20"/>
          <w:lang w:val="es-ES_tradnl"/>
        </w:rPr>
        <w:t xml:space="preserve"> </w:t>
      </w:r>
      <w:r w:rsidR="00D45A37" w:rsidRPr="006A3D76">
        <w:rPr>
          <w:rFonts w:asciiTheme="majorHAnsi" w:hAnsiTheme="majorHAnsi"/>
          <w:sz w:val="20"/>
          <w:szCs w:val="20"/>
          <w:lang w:val="es-ES_tradnl"/>
        </w:rPr>
        <w:t xml:space="preserve">y finalmente, </w:t>
      </w:r>
      <w:r w:rsidR="001007DF" w:rsidRPr="006A3D76">
        <w:rPr>
          <w:rFonts w:asciiTheme="majorHAnsi" w:hAnsiTheme="majorHAnsi"/>
          <w:sz w:val="20"/>
          <w:szCs w:val="20"/>
          <w:lang w:val="es-ES_tradnl"/>
        </w:rPr>
        <w:t xml:space="preserve">interpuso un recurso de reposición con recurso de queja en subsidio el 12 de agosto de 2008. </w:t>
      </w:r>
      <w:r w:rsidR="00B02FA9" w:rsidRPr="006A3D76">
        <w:rPr>
          <w:rFonts w:asciiTheme="majorHAnsi" w:hAnsiTheme="majorHAnsi"/>
          <w:sz w:val="20"/>
          <w:szCs w:val="20"/>
          <w:lang w:val="es-ES_tradnl"/>
        </w:rPr>
        <w:t xml:space="preserve">El </w:t>
      </w:r>
      <w:r w:rsidR="001007DF" w:rsidRPr="006A3D76">
        <w:rPr>
          <w:rFonts w:asciiTheme="majorHAnsi" w:hAnsiTheme="majorHAnsi"/>
          <w:sz w:val="20"/>
          <w:szCs w:val="20"/>
          <w:lang w:val="es-ES_tradnl"/>
        </w:rPr>
        <w:t>Tribunal Administrativo de Antioquía negó el recurso de reposición el 21 de octubre del mismo año</w:t>
      </w:r>
      <w:r w:rsidR="00B02FA9" w:rsidRPr="006A3D76">
        <w:rPr>
          <w:rFonts w:asciiTheme="majorHAnsi" w:hAnsiTheme="majorHAnsi"/>
          <w:sz w:val="20"/>
          <w:szCs w:val="20"/>
          <w:lang w:val="es-ES_tradnl"/>
        </w:rPr>
        <w:t>,</w:t>
      </w:r>
      <w:r w:rsidR="001007DF" w:rsidRPr="006A3D76">
        <w:rPr>
          <w:rFonts w:asciiTheme="majorHAnsi" w:hAnsiTheme="majorHAnsi"/>
          <w:sz w:val="20"/>
          <w:szCs w:val="20"/>
          <w:lang w:val="es-ES_tradnl"/>
        </w:rPr>
        <w:t xml:space="preserve"> y</w:t>
      </w:r>
      <w:r w:rsidR="00D45A37" w:rsidRPr="006A3D76">
        <w:rPr>
          <w:rFonts w:asciiTheme="majorHAnsi" w:hAnsiTheme="majorHAnsi"/>
          <w:sz w:val="20"/>
          <w:szCs w:val="20"/>
          <w:lang w:val="es-ES_tradnl"/>
        </w:rPr>
        <w:t xml:space="preserve"> el Consejo de Estado negó el recurso de queja </w:t>
      </w:r>
      <w:r w:rsidR="00B02FA9" w:rsidRPr="006A3D76">
        <w:rPr>
          <w:rFonts w:asciiTheme="majorHAnsi" w:hAnsiTheme="majorHAnsi"/>
          <w:sz w:val="20"/>
          <w:szCs w:val="20"/>
          <w:lang w:val="es-ES_tradnl"/>
        </w:rPr>
        <w:t xml:space="preserve">por </w:t>
      </w:r>
      <w:r w:rsidR="00D45A37" w:rsidRPr="006A3D76">
        <w:rPr>
          <w:rFonts w:asciiTheme="majorHAnsi" w:hAnsiTheme="majorHAnsi"/>
          <w:sz w:val="20"/>
          <w:szCs w:val="20"/>
          <w:lang w:val="es-ES_tradnl"/>
        </w:rPr>
        <w:t xml:space="preserve">sentencia de 25 de marzo de 2009. </w:t>
      </w:r>
    </w:p>
    <w:p w14:paraId="475A4CDB" w14:textId="77777777" w:rsidR="002E4E8C" w:rsidRPr="006A3D76" w:rsidRDefault="002E4E8C" w:rsidP="002960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_tradnl"/>
        </w:rPr>
      </w:pPr>
    </w:p>
    <w:p w14:paraId="4CABDE6C" w14:textId="4AD9074A" w:rsidR="006976F2" w:rsidRPr="006A3D76" w:rsidRDefault="002E4E8C" w:rsidP="002E4E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6A3D76">
        <w:rPr>
          <w:rFonts w:asciiTheme="majorHAnsi" w:hAnsiTheme="majorHAnsi"/>
          <w:color w:val="000000" w:themeColor="text1"/>
          <w:sz w:val="20"/>
          <w:szCs w:val="20"/>
          <w:lang w:val="es-ES_tradnl"/>
        </w:rPr>
        <w:t>La Comisión observa que</w:t>
      </w:r>
      <w:r w:rsidR="002D1E8A" w:rsidRPr="006A3D76">
        <w:rPr>
          <w:rFonts w:asciiTheme="majorHAnsi" w:hAnsiTheme="majorHAnsi"/>
          <w:color w:val="000000" w:themeColor="text1"/>
          <w:sz w:val="20"/>
          <w:szCs w:val="20"/>
          <w:lang w:val="es-ES_tradnl"/>
        </w:rPr>
        <w:t xml:space="preserve"> el objeto de la presente petición se circunscribe a dos reclamos principales: (i)</w:t>
      </w:r>
      <w:r w:rsidR="006976F2" w:rsidRPr="006A3D76">
        <w:rPr>
          <w:rFonts w:asciiTheme="majorHAnsi" w:hAnsiTheme="majorHAnsi"/>
          <w:color w:val="000000" w:themeColor="text1"/>
          <w:sz w:val="20"/>
          <w:szCs w:val="20"/>
          <w:lang w:val="es-ES_tradnl"/>
        </w:rPr>
        <w:t xml:space="preserve"> la muerte de Mario Alcides Lopera Herrera</w:t>
      </w:r>
      <w:r w:rsidR="006976F2" w:rsidRPr="006A3D76">
        <w:rPr>
          <w:rFonts w:asciiTheme="majorHAnsi" w:hAnsiTheme="majorHAnsi"/>
          <w:sz w:val="20"/>
          <w:szCs w:val="20"/>
          <w:lang w:val="es-ES_tradnl"/>
        </w:rPr>
        <w:t xml:space="preserve"> </w:t>
      </w:r>
      <w:r w:rsidR="006976F2" w:rsidRPr="006A3D76">
        <w:rPr>
          <w:rFonts w:asciiTheme="majorHAnsi" w:hAnsiTheme="majorHAnsi"/>
          <w:color w:val="000000" w:themeColor="text1"/>
          <w:sz w:val="20"/>
          <w:szCs w:val="20"/>
          <w:lang w:val="es-ES_tradnl"/>
        </w:rPr>
        <w:t xml:space="preserve">por la </w:t>
      </w:r>
      <w:r w:rsidR="002D1E8A" w:rsidRPr="006A3D76">
        <w:rPr>
          <w:rFonts w:asciiTheme="majorHAnsi" w:hAnsiTheme="majorHAnsi"/>
          <w:color w:val="000000" w:themeColor="text1"/>
          <w:sz w:val="20"/>
          <w:szCs w:val="20"/>
          <w:lang w:val="es-ES_tradnl"/>
        </w:rPr>
        <w:t>falta de una debida atención en salud por parte de</w:t>
      </w:r>
      <w:r w:rsidR="002D1E8A" w:rsidRPr="006A3D76">
        <w:rPr>
          <w:rFonts w:asciiTheme="majorHAnsi" w:hAnsiTheme="majorHAnsi"/>
          <w:sz w:val="20"/>
          <w:szCs w:val="20"/>
          <w:lang w:val="es-ES_tradnl"/>
        </w:rPr>
        <w:t xml:space="preserve"> </w:t>
      </w:r>
      <w:r w:rsidR="002D1E8A" w:rsidRPr="006A3D76">
        <w:rPr>
          <w:rFonts w:asciiTheme="majorHAnsi" w:hAnsiTheme="majorHAnsi"/>
          <w:color w:val="000000" w:themeColor="text1"/>
          <w:sz w:val="20"/>
          <w:szCs w:val="20"/>
          <w:lang w:val="es-ES_tradnl"/>
        </w:rPr>
        <w:t>la Clínica “Víctor Cárdenas” y el Hospital “Marco Fidel Suárez”</w:t>
      </w:r>
      <w:r w:rsidR="0029604B" w:rsidRPr="006A3D76">
        <w:rPr>
          <w:rFonts w:asciiTheme="majorHAnsi" w:hAnsiTheme="majorHAnsi"/>
          <w:color w:val="000000" w:themeColor="text1"/>
          <w:sz w:val="20"/>
          <w:szCs w:val="20"/>
          <w:lang w:val="es-ES_tradnl"/>
        </w:rPr>
        <w:t>;</w:t>
      </w:r>
      <w:r w:rsidR="002D1E8A" w:rsidRPr="006A3D76">
        <w:rPr>
          <w:rFonts w:asciiTheme="majorHAnsi" w:hAnsiTheme="majorHAnsi"/>
          <w:color w:val="000000" w:themeColor="text1"/>
          <w:sz w:val="20"/>
          <w:szCs w:val="20"/>
          <w:lang w:val="es-ES_tradnl"/>
        </w:rPr>
        <w:t xml:space="preserve"> y (ii) la falta de indemnización a la familia de esta por los daños </w:t>
      </w:r>
      <w:r w:rsidR="00E01886" w:rsidRPr="006A3D76">
        <w:rPr>
          <w:rFonts w:asciiTheme="majorHAnsi" w:hAnsiTheme="majorHAnsi"/>
          <w:color w:val="000000" w:themeColor="text1"/>
          <w:sz w:val="20"/>
          <w:szCs w:val="20"/>
          <w:lang w:val="es-ES_tradnl"/>
        </w:rPr>
        <w:t>ocasionados,</w:t>
      </w:r>
      <w:r w:rsidR="002A063B" w:rsidRPr="006A3D76">
        <w:rPr>
          <w:rFonts w:asciiTheme="majorHAnsi" w:hAnsiTheme="majorHAnsi"/>
          <w:color w:val="000000" w:themeColor="text1"/>
          <w:sz w:val="20"/>
          <w:szCs w:val="20"/>
          <w:lang w:val="es-ES_tradnl"/>
        </w:rPr>
        <w:t xml:space="preserve"> así como las violaciones al debido proceso y protección judicial en el marco del proceso contencioso-administrativo</w:t>
      </w:r>
      <w:r w:rsidR="002D1E8A" w:rsidRPr="006A3D76">
        <w:rPr>
          <w:rFonts w:asciiTheme="majorHAnsi" w:hAnsiTheme="majorHAnsi"/>
          <w:color w:val="000000" w:themeColor="text1"/>
          <w:sz w:val="20"/>
          <w:szCs w:val="20"/>
          <w:lang w:val="es-ES_tradnl"/>
        </w:rPr>
        <w:t xml:space="preserve">. </w:t>
      </w:r>
    </w:p>
    <w:p w14:paraId="7880C3E6" w14:textId="77777777" w:rsidR="006976F2" w:rsidRPr="006A3D76" w:rsidRDefault="006976F2" w:rsidP="006976F2">
      <w:pPr>
        <w:pStyle w:val="ListParagraph"/>
        <w:rPr>
          <w:rFonts w:asciiTheme="majorHAnsi" w:hAnsiTheme="majorHAnsi"/>
          <w:color w:val="FF0000"/>
          <w:sz w:val="20"/>
          <w:szCs w:val="20"/>
          <w:lang w:val="es-ES_tradnl"/>
        </w:rPr>
      </w:pPr>
    </w:p>
    <w:p w14:paraId="6529A665" w14:textId="25A0D05A" w:rsidR="0029604B" w:rsidRPr="006A3D76" w:rsidRDefault="00CA4ED8" w:rsidP="0029604B">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6A3D76">
        <w:rPr>
          <w:rFonts w:asciiTheme="majorHAnsi" w:hAnsiTheme="majorHAnsi"/>
          <w:sz w:val="20"/>
          <w:szCs w:val="20"/>
          <w:lang w:val="es-ES_tradnl"/>
        </w:rPr>
        <w:t>Con respecto al primer reclamo,</w:t>
      </w:r>
      <w:r w:rsidR="00035B87" w:rsidRPr="006A3D76">
        <w:rPr>
          <w:rFonts w:asciiTheme="majorHAnsi" w:hAnsiTheme="majorHAnsi"/>
          <w:sz w:val="20"/>
          <w:szCs w:val="20"/>
          <w:lang w:val="es-ES_tradnl"/>
        </w:rPr>
        <w:t xml:space="preserve"> </w:t>
      </w:r>
      <w:r w:rsidR="006D645B" w:rsidRPr="006A3D76">
        <w:rPr>
          <w:rFonts w:asciiTheme="majorHAnsi" w:hAnsiTheme="majorHAnsi"/>
          <w:sz w:val="20"/>
          <w:szCs w:val="20"/>
          <w:lang w:val="es-ES_tradnl"/>
        </w:rPr>
        <w:t>el peticionario</w:t>
      </w:r>
      <w:r w:rsidR="00691316" w:rsidRPr="006A3D76">
        <w:rPr>
          <w:rFonts w:asciiTheme="majorHAnsi" w:hAnsiTheme="majorHAnsi"/>
          <w:sz w:val="20"/>
          <w:szCs w:val="20"/>
          <w:lang w:val="es-ES_tradnl"/>
        </w:rPr>
        <w:t xml:space="preserve"> alega la muerte de </w:t>
      </w:r>
      <w:r w:rsidR="0079167D" w:rsidRPr="006A3D76">
        <w:rPr>
          <w:rFonts w:asciiTheme="majorHAnsi" w:hAnsiTheme="majorHAnsi"/>
          <w:sz w:val="20"/>
          <w:szCs w:val="20"/>
          <w:lang w:val="es-ES_tradnl"/>
        </w:rPr>
        <w:t xml:space="preserve">la presunta víctima </w:t>
      </w:r>
      <w:r w:rsidR="00691316" w:rsidRPr="006A3D76">
        <w:rPr>
          <w:rFonts w:asciiTheme="majorHAnsi" w:hAnsiTheme="majorHAnsi"/>
          <w:sz w:val="20"/>
          <w:szCs w:val="20"/>
          <w:lang w:val="es-ES_tradnl"/>
        </w:rPr>
        <w:t xml:space="preserve">como consecuencia de </w:t>
      </w:r>
      <w:r w:rsidR="00572FB8" w:rsidRPr="006A3D76">
        <w:rPr>
          <w:rFonts w:asciiTheme="majorHAnsi" w:hAnsiTheme="majorHAnsi"/>
          <w:sz w:val="20"/>
          <w:szCs w:val="20"/>
          <w:lang w:val="es-ES_tradnl"/>
        </w:rPr>
        <w:t>una atención médica inoportuna e ineficiente</w:t>
      </w:r>
      <w:r w:rsidR="00691316" w:rsidRPr="006A3D76">
        <w:rPr>
          <w:rFonts w:asciiTheme="majorHAnsi" w:hAnsiTheme="majorHAnsi"/>
          <w:sz w:val="20"/>
          <w:szCs w:val="20"/>
          <w:lang w:val="es-ES_tradnl"/>
        </w:rPr>
        <w:t>, y se limita a afirmar que el Estado no ha adelantado ningún tipo de investigación al respecto</w:t>
      </w:r>
      <w:r w:rsidR="00572FB8" w:rsidRPr="006A3D76">
        <w:rPr>
          <w:rFonts w:asciiTheme="majorHAnsi" w:hAnsiTheme="majorHAnsi"/>
          <w:sz w:val="20"/>
          <w:szCs w:val="20"/>
          <w:lang w:val="es-ES_tradnl"/>
        </w:rPr>
        <w:t xml:space="preserve">, a pesar de tener dicha obligación, </w:t>
      </w:r>
      <w:r w:rsidR="00691316" w:rsidRPr="006A3D76">
        <w:rPr>
          <w:rFonts w:asciiTheme="majorHAnsi" w:hAnsiTheme="majorHAnsi"/>
          <w:sz w:val="20"/>
          <w:szCs w:val="20"/>
          <w:lang w:val="es-ES_tradnl"/>
        </w:rPr>
        <w:t>en tanto no advertía ningún tipo de responsabilidad</w:t>
      </w:r>
      <w:r w:rsidR="00035B87" w:rsidRPr="006A3D76">
        <w:rPr>
          <w:rFonts w:asciiTheme="majorHAnsi" w:hAnsiTheme="majorHAnsi"/>
          <w:sz w:val="20"/>
          <w:szCs w:val="20"/>
          <w:lang w:val="es-ES_tradnl"/>
        </w:rPr>
        <w:t xml:space="preserve">. </w:t>
      </w:r>
      <w:r w:rsidR="0029604B" w:rsidRPr="006A3D76">
        <w:rPr>
          <w:rFonts w:asciiTheme="majorHAnsi" w:eastAsia="Arial Unicode MS" w:hAnsiTheme="majorHAnsi" w:cs="Times New Roman"/>
          <w:color w:val="auto"/>
          <w:sz w:val="20"/>
          <w:szCs w:val="20"/>
          <w:lang w:val="es-ES_tradnl" w:eastAsia="en-US"/>
        </w:rPr>
        <w:t xml:space="preserve">A su vez, el Estado alega que la familia de la presunta víctima no promovió denuncias penales ni disciplinarias, ni agotó el proceso ético-profesional establecido en la Ley 23 de 1981. El Estado explica que no inició investigaciones de oficio dado que las propias autoridades judiciales no tuvieron duda sobre la adecuada gestión del personal médico respecto a los hechos que dieron origen al presente asunto. </w:t>
      </w:r>
    </w:p>
    <w:p w14:paraId="2565D0CF" w14:textId="77777777" w:rsidR="0029604B" w:rsidRPr="006A3D76" w:rsidRDefault="0029604B" w:rsidP="0029604B">
      <w:pPr>
        <w:jc w:val="both"/>
        <w:rPr>
          <w:rFonts w:asciiTheme="majorHAnsi" w:hAnsiTheme="majorHAnsi"/>
          <w:sz w:val="20"/>
          <w:szCs w:val="20"/>
          <w:lang w:val="es-ES_tradnl"/>
        </w:rPr>
      </w:pPr>
    </w:p>
    <w:p w14:paraId="23226687" w14:textId="6B811F3D" w:rsidR="006E4B3D" w:rsidRPr="006A3D76" w:rsidRDefault="0029604B" w:rsidP="001E55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A3D76">
        <w:rPr>
          <w:rFonts w:asciiTheme="majorHAnsi" w:hAnsiTheme="majorHAnsi"/>
          <w:sz w:val="20"/>
          <w:szCs w:val="20"/>
          <w:lang w:val="es-ES_tradnl"/>
        </w:rPr>
        <w:t>A este respecto, la Comisión observa que d</w:t>
      </w:r>
      <w:r w:rsidR="00572FB8" w:rsidRPr="006A3D76">
        <w:rPr>
          <w:rFonts w:asciiTheme="majorHAnsi" w:hAnsiTheme="majorHAnsi"/>
          <w:sz w:val="20"/>
          <w:szCs w:val="20"/>
          <w:lang w:val="es-ES_tradnl"/>
        </w:rPr>
        <w:t xml:space="preserve">e la información disponible, surge que la única diligencia realizada por </w:t>
      </w:r>
      <w:r w:rsidR="006D645B" w:rsidRPr="006A3D76">
        <w:rPr>
          <w:rFonts w:asciiTheme="majorHAnsi" w:hAnsiTheme="majorHAnsi"/>
          <w:sz w:val="20"/>
          <w:szCs w:val="20"/>
          <w:lang w:val="es-ES_tradnl"/>
        </w:rPr>
        <w:t>el peticionario</w:t>
      </w:r>
      <w:r w:rsidR="00572FB8" w:rsidRPr="006A3D76">
        <w:rPr>
          <w:rFonts w:asciiTheme="majorHAnsi" w:hAnsiTheme="majorHAnsi"/>
          <w:sz w:val="20"/>
          <w:szCs w:val="20"/>
          <w:lang w:val="es-ES_tradnl"/>
        </w:rPr>
        <w:t xml:space="preserve"> fue la presentación de la acción de reparación directa y los subsecuentes recursos </w:t>
      </w:r>
      <w:r w:rsidR="0079167D" w:rsidRPr="006A3D76">
        <w:rPr>
          <w:rFonts w:asciiTheme="majorHAnsi" w:hAnsiTheme="majorHAnsi"/>
          <w:sz w:val="20"/>
          <w:szCs w:val="20"/>
          <w:lang w:val="es-ES_tradnl"/>
        </w:rPr>
        <w:t xml:space="preserve">ante </w:t>
      </w:r>
      <w:r w:rsidR="00572FB8" w:rsidRPr="006A3D76">
        <w:rPr>
          <w:rFonts w:asciiTheme="majorHAnsi" w:hAnsiTheme="majorHAnsi"/>
          <w:sz w:val="20"/>
          <w:szCs w:val="20"/>
          <w:lang w:val="es-ES_tradnl"/>
        </w:rPr>
        <w:t xml:space="preserve">la jurisdicción contencioso-administrativa. </w:t>
      </w:r>
      <w:r w:rsidR="002009AB" w:rsidRPr="006A3D76">
        <w:rPr>
          <w:rFonts w:asciiTheme="majorHAnsi" w:hAnsiTheme="majorHAnsi"/>
          <w:sz w:val="20"/>
          <w:szCs w:val="20"/>
          <w:lang w:val="es-ES_tradnl"/>
        </w:rPr>
        <w:t xml:space="preserve">Frente a este primer reclamo, </w:t>
      </w:r>
      <w:r w:rsidR="00DB1550" w:rsidRPr="006A3D76">
        <w:rPr>
          <w:rFonts w:asciiTheme="majorHAnsi" w:hAnsiTheme="majorHAnsi"/>
          <w:sz w:val="20"/>
          <w:szCs w:val="20"/>
          <w:lang w:val="es-ES_tradnl"/>
        </w:rPr>
        <w:t>la familia del Sr. Mario Lopera no interpuso ningún recurso</w:t>
      </w:r>
      <w:r w:rsidR="0043279F" w:rsidRPr="006A3D76">
        <w:rPr>
          <w:rFonts w:asciiTheme="majorHAnsi" w:hAnsiTheme="majorHAnsi"/>
          <w:sz w:val="20"/>
          <w:szCs w:val="20"/>
          <w:lang w:val="es-ES_tradnl"/>
        </w:rPr>
        <w:t xml:space="preserve">. </w:t>
      </w:r>
      <w:r w:rsidR="008F376C" w:rsidRPr="006A3D76">
        <w:rPr>
          <w:rFonts w:asciiTheme="majorHAnsi" w:hAnsiTheme="majorHAnsi"/>
          <w:sz w:val="20"/>
          <w:szCs w:val="20"/>
          <w:lang w:val="es-ES_tradnl"/>
        </w:rPr>
        <w:t>Por otro lado, la afirmación</w:t>
      </w:r>
      <w:r w:rsidR="00767DE9" w:rsidRPr="006A3D76">
        <w:rPr>
          <w:rFonts w:asciiTheme="majorHAnsi" w:hAnsiTheme="majorHAnsi"/>
          <w:sz w:val="20"/>
          <w:szCs w:val="20"/>
          <w:lang w:val="es-ES_tradnl"/>
        </w:rPr>
        <w:t xml:space="preserve"> general</w:t>
      </w:r>
      <w:r w:rsidR="008F376C" w:rsidRPr="006A3D76">
        <w:rPr>
          <w:rFonts w:asciiTheme="majorHAnsi" w:hAnsiTheme="majorHAnsi"/>
          <w:sz w:val="20"/>
          <w:szCs w:val="20"/>
          <w:lang w:val="es-ES_tradnl"/>
        </w:rPr>
        <w:t xml:space="preserve"> del peticionario de que en todos los casos en que una persona fallezca en un centro hospitalario a cargo del Estado se debe iniciar una investigación de oficio, no tiene asidero en el derecho internacional de los derechos humanos; la eventual obligación del Estado de iniciar una investigación de oficio respecto del personal médico dependerá de las particularidades del caso. En el presente caso, la Comisión no encuentra elementos claros </w:t>
      </w:r>
      <w:r w:rsidR="001E55A2" w:rsidRPr="006A3D76">
        <w:rPr>
          <w:rFonts w:asciiTheme="majorHAnsi" w:hAnsiTheme="majorHAnsi"/>
          <w:sz w:val="20"/>
          <w:szCs w:val="20"/>
          <w:lang w:val="es-ES_tradnl"/>
        </w:rPr>
        <w:t xml:space="preserve">que sustenten este supuesto. En conclusión, la Comisión Interamericana considera que este extremo de la petición no satisface el requisito de agotamiento de los recursos judiciales internos en los términos del </w:t>
      </w:r>
      <w:r w:rsidR="0043279F" w:rsidRPr="006A3D76">
        <w:rPr>
          <w:rFonts w:asciiTheme="majorHAnsi" w:hAnsiTheme="majorHAnsi"/>
          <w:sz w:val="20"/>
          <w:szCs w:val="20"/>
          <w:lang w:val="es-ES_tradnl"/>
        </w:rPr>
        <w:t>artículo 46.1 a) de la Convención Americana</w:t>
      </w:r>
      <w:r w:rsidR="00035B87" w:rsidRPr="006A3D76">
        <w:rPr>
          <w:rFonts w:asciiTheme="majorHAnsi" w:hAnsiTheme="majorHAnsi"/>
          <w:sz w:val="20"/>
          <w:szCs w:val="20"/>
          <w:lang w:val="es-ES_tradnl"/>
        </w:rPr>
        <w:t xml:space="preserve">. </w:t>
      </w:r>
    </w:p>
    <w:p w14:paraId="17442450" w14:textId="77777777" w:rsidR="0043279F" w:rsidRPr="006A3D76" w:rsidRDefault="0043279F" w:rsidP="0043279F">
      <w:pPr>
        <w:pStyle w:val="ListParagraph"/>
        <w:rPr>
          <w:rFonts w:asciiTheme="majorHAnsi" w:hAnsiTheme="majorHAnsi"/>
          <w:sz w:val="20"/>
          <w:szCs w:val="20"/>
          <w:lang w:val="es-ES_tradnl"/>
        </w:rPr>
      </w:pPr>
    </w:p>
    <w:p w14:paraId="2A88EF4A" w14:textId="71A35960" w:rsidR="002009AB" w:rsidRPr="006A3D76" w:rsidRDefault="00691316" w:rsidP="00151D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heme="minorHAnsi" w:hAnsiTheme="majorHAnsi"/>
          <w:sz w:val="20"/>
          <w:szCs w:val="20"/>
          <w:lang w:val="es-ES_tradnl"/>
        </w:rPr>
      </w:pPr>
      <w:r w:rsidRPr="006A3D76">
        <w:rPr>
          <w:rFonts w:asciiTheme="majorHAnsi" w:hAnsiTheme="majorHAnsi"/>
          <w:sz w:val="20"/>
          <w:szCs w:val="20"/>
          <w:lang w:val="es-ES_tradnl"/>
        </w:rPr>
        <w:t xml:space="preserve">Con respecto al segundo reclamo, </w:t>
      </w:r>
      <w:r w:rsidR="00F42F0A" w:rsidRPr="006A3D76">
        <w:rPr>
          <w:rFonts w:asciiTheme="majorHAnsi" w:hAnsiTheme="majorHAnsi"/>
          <w:sz w:val="20"/>
          <w:szCs w:val="20"/>
          <w:lang w:val="es-ES_tradnl"/>
        </w:rPr>
        <w:t>de naturaleza económica y objet</w:t>
      </w:r>
      <w:r w:rsidR="00537697" w:rsidRPr="006A3D76">
        <w:rPr>
          <w:rFonts w:asciiTheme="majorHAnsi" w:hAnsiTheme="majorHAnsi"/>
          <w:sz w:val="20"/>
          <w:szCs w:val="20"/>
          <w:lang w:val="es-ES_tradnl"/>
        </w:rPr>
        <w:t>iv</w:t>
      </w:r>
      <w:r w:rsidR="00F42F0A" w:rsidRPr="006A3D76">
        <w:rPr>
          <w:rFonts w:asciiTheme="majorHAnsi" w:hAnsiTheme="majorHAnsi"/>
          <w:sz w:val="20"/>
          <w:szCs w:val="20"/>
          <w:lang w:val="es-ES_tradnl"/>
        </w:rPr>
        <w:t xml:space="preserve">o </w:t>
      </w:r>
      <w:r w:rsidR="00537697" w:rsidRPr="006A3D76">
        <w:rPr>
          <w:rFonts w:asciiTheme="majorHAnsi" w:hAnsiTheme="majorHAnsi"/>
          <w:sz w:val="20"/>
          <w:szCs w:val="20"/>
          <w:lang w:val="es-ES_tradnl"/>
        </w:rPr>
        <w:t>principal del peticionario</w:t>
      </w:r>
      <w:r w:rsidR="00F42F0A" w:rsidRPr="006A3D76">
        <w:rPr>
          <w:rFonts w:asciiTheme="majorHAnsi" w:hAnsiTheme="majorHAnsi"/>
          <w:sz w:val="20"/>
          <w:szCs w:val="20"/>
          <w:lang w:val="es-ES_tradnl"/>
        </w:rPr>
        <w:t xml:space="preserve">, </w:t>
      </w:r>
      <w:r w:rsidR="002009AB" w:rsidRPr="006A3D76">
        <w:rPr>
          <w:rFonts w:asciiTheme="majorHAnsi" w:hAnsiTheme="majorHAnsi"/>
          <w:sz w:val="20"/>
          <w:szCs w:val="20"/>
          <w:lang w:val="es-ES_tradnl"/>
        </w:rPr>
        <w:t xml:space="preserve">la </w:t>
      </w:r>
      <w:r w:rsidR="004E2E7D" w:rsidRPr="006A3D76">
        <w:rPr>
          <w:rFonts w:asciiTheme="majorHAnsi" w:hAnsiTheme="majorHAnsi"/>
          <w:sz w:val="20"/>
          <w:szCs w:val="20"/>
          <w:lang w:val="es-ES_tradnl"/>
        </w:rPr>
        <w:t>CIDH</w:t>
      </w:r>
      <w:r w:rsidR="000A4BBD" w:rsidRPr="006A3D76">
        <w:rPr>
          <w:rFonts w:asciiTheme="majorHAnsi" w:hAnsiTheme="majorHAnsi"/>
          <w:sz w:val="20"/>
          <w:szCs w:val="20"/>
          <w:lang w:val="es-ES_tradnl"/>
        </w:rPr>
        <w:t xml:space="preserve"> </w:t>
      </w:r>
      <w:r w:rsidR="004E2E7D" w:rsidRPr="006A3D76">
        <w:rPr>
          <w:rFonts w:asciiTheme="majorHAnsi" w:hAnsiTheme="majorHAnsi"/>
          <w:sz w:val="20"/>
          <w:szCs w:val="20"/>
          <w:lang w:val="es-ES_tradnl"/>
        </w:rPr>
        <w:t>observa que se</w:t>
      </w:r>
      <w:r w:rsidR="000A4BBD" w:rsidRPr="006A3D76">
        <w:rPr>
          <w:rFonts w:asciiTheme="majorHAnsi" w:hAnsiTheme="majorHAnsi"/>
          <w:sz w:val="20"/>
          <w:szCs w:val="20"/>
          <w:lang w:val="es-ES_tradnl"/>
        </w:rPr>
        <w:t xml:space="preserve"> presentó una acción de reparación directa el 8 de mayo de 1996 ante el Tribunal Administrativo de Antioquía, la cual fue rechazada por sentencia de 24 de junio de 2008; un recurso de apelación el 17 de julio del 2008, el cual fue rechazado por auto de 5 de agosto de 2008; y un recurso de reposición con recurso de queja en subsidio el 12 de agosto de 2008</w:t>
      </w:r>
      <w:r w:rsidR="004E2E7D" w:rsidRPr="006A3D76">
        <w:rPr>
          <w:rFonts w:asciiTheme="majorHAnsi" w:hAnsiTheme="majorHAnsi"/>
          <w:sz w:val="20"/>
          <w:szCs w:val="20"/>
          <w:lang w:val="es-ES_tradnl"/>
        </w:rPr>
        <w:t>,</w:t>
      </w:r>
      <w:r w:rsidR="000A4BBD" w:rsidRPr="006A3D76">
        <w:rPr>
          <w:rFonts w:asciiTheme="majorHAnsi" w:hAnsiTheme="majorHAnsi"/>
          <w:sz w:val="20"/>
          <w:szCs w:val="20"/>
          <w:lang w:val="es-ES_tradnl"/>
        </w:rPr>
        <w:t xml:space="preserve"> siendo este último rechazado por el Consejo de Estado por sentencia de 25 de marzo de 2009. Por su parte, el Estado no plantea argumento alguno respecto al agotamiento de recursos internos sobre este segundo reclamo, ni controvierte lo indicado por los peticionarios sobre dicho requisito.</w:t>
      </w:r>
      <w:r w:rsidR="00466FA3" w:rsidRPr="006A3D76">
        <w:rPr>
          <w:rFonts w:asciiTheme="majorHAnsi" w:hAnsiTheme="majorHAnsi"/>
          <w:sz w:val="20"/>
          <w:szCs w:val="20"/>
          <w:lang w:val="es-ES_tradnl"/>
        </w:rPr>
        <w:t xml:space="preserve"> Atendido lo anterior, la Comisión concluye que la familia de la presunta víctima agotó los recursos internos disponibles mediante la sentencia de fecha 25 de marzo de 2009, en cumplimiento del artículo 46.1.a</w:t>
      </w:r>
      <w:r w:rsidR="004E2E7D" w:rsidRPr="006A3D76">
        <w:rPr>
          <w:rFonts w:asciiTheme="majorHAnsi" w:hAnsiTheme="majorHAnsi"/>
          <w:sz w:val="20"/>
          <w:szCs w:val="20"/>
          <w:lang w:val="es-ES_tradnl"/>
        </w:rPr>
        <w:t>)</w:t>
      </w:r>
      <w:r w:rsidR="00466FA3" w:rsidRPr="006A3D76">
        <w:rPr>
          <w:rFonts w:asciiTheme="majorHAnsi" w:hAnsiTheme="majorHAnsi"/>
          <w:sz w:val="20"/>
          <w:szCs w:val="20"/>
          <w:lang w:val="es-ES_tradnl"/>
        </w:rPr>
        <w:t xml:space="preserve"> de la Convención. En vista de que la petición fue presentada el </w:t>
      </w:r>
      <w:r w:rsidR="00BB50E5" w:rsidRPr="006A3D76">
        <w:rPr>
          <w:rFonts w:asciiTheme="majorHAnsi" w:hAnsiTheme="majorHAnsi"/>
          <w:sz w:val="20"/>
          <w:szCs w:val="20"/>
          <w:lang w:val="es-ES_tradnl"/>
        </w:rPr>
        <w:t>11 de septiembre de 2009</w:t>
      </w:r>
      <w:r w:rsidR="00466FA3" w:rsidRPr="006A3D76">
        <w:rPr>
          <w:rFonts w:asciiTheme="majorHAnsi" w:hAnsiTheme="majorHAnsi"/>
          <w:sz w:val="20"/>
          <w:szCs w:val="20"/>
          <w:lang w:val="es-ES_tradnl"/>
        </w:rPr>
        <w:t xml:space="preserve">, </w:t>
      </w:r>
      <w:r w:rsidR="004E2E7D" w:rsidRPr="006A3D76">
        <w:rPr>
          <w:rFonts w:asciiTheme="majorHAnsi" w:hAnsiTheme="majorHAnsi"/>
          <w:sz w:val="20"/>
          <w:szCs w:val="20"/>
          <w:lang w:val="es-ES_tradnl"/>
        </w:rPr>
        <w:t>esta</w:t>
      </w:r>
      <w:r w:rsidR="00466FA3" w:rsidRPr="006A3D76">
        <w:rPr>
          <w:rFonts w:asciiTheme="majorHAnsi" w:hAnsiTheme="majorHAnsi"/>
          <w:sz w:val="20"/>
          <w:szCs w:val="20"/>
          <w:lang w:val="es-ES_tradnl"/>
        </w:rPr>
        <w:t xml:space="preserve"> cumple con el requisito establecido en el artículo 46.1.b</w:t>
      </w:r>
      <w:r w:rsidR="004E2E7D" w:rsidRPr="006A3D76">
        <w:rPr>
          <w:rFonts w:asciiTheme="majorHAnsi" w:hAnsiTheme="majorHAnsi"/>
          <w:sz w:val="20"/>
          <w:szCs w:val="20"/>
          <w:lang w:val="es-ES_tradnl"/>
        </w:rPr>
        <w:t>)</w:t>
      </w:r>
      <w:r w:rsidR="00466FA3" w:rsidRPr="006A3D76">
        <w:rPr>
          <w:rFonts w:asciiTheme="majorHAnsi" w:hAnsiTheme="majorHAnsi"/>
          <w:sz w:val="20"/>
          <w:szCs w:val="20"/>
          <w:lang w:val="es-ES_tradnl"/>
        </w:rPr>
        <w:t xml:space="preserve"> de la Convención.</w:t>
      </w:r>
    </w:p>
    <w:p w14:paraId="1671D3BC" w14:textId="77777777" w:rsidR="004E486E" w:rsidRPr="006A3D76" w:rsidRDefault="004E486E" w:rsidP="00FE1665">
      <w:pPr>
        <w:pStyle w:val="ListParagraph"/>
        <w:ind w:left="0" w:firstLine="720"/>
        <w:jc w:val="both"/>
        <w:rPr>
          <w:rFonts w:asciiTheme="majorHAnsi" w:hAnsiTheme="majorHAnsi"/>
          <w:b/>
          <w:bCs/>
          <w:sz w:val="20"/>
          <w:szCs w:val="20"/>
          <w:lang w:val="es-ES_tradnl"/>
        </w:rPr>
      </w:pPr>
    </w:p>
    <w:p w14:paraId="1A289AF6" w14:textId="77777777" w:rsidR="000016F3" w:rsidRDefault="000016F3" w:rsidP="00FE1665">
      <w:pPr>
        <w:pStyle w:val="ListParagraph"/>
        <w:ind w:left="0" w:firstLine="720"/>
        <w:jc w:val="both"/>
        <w:rPr>
          <w:rFonts w:asciiTheme="majorHAnsi" w:hAnsiTheme="majorHAnsi"/>
          <w:b/>
          <w:bCs/>
          <w:sz w:val="20"/>
          <w:szCs w:val="20"/>
          <w:lang w:val="es-ES_tradnl"/>
        </w:rPr>
      </w:pPr>
    </w:p>
    <w:p w14:paraId="40B14F2F" w14:textId="77777777" w:rsidR="000016F3" w:rsidRDefault="000016F3" w:rsidP="00FE1665">
      <w:pPr>
        <w:pStyle w:val="ListParagraph"/>
        <w:ind w:left="0" w:firstLine="720"/>
        <w:jc w:val="both"/>
        <w:rPr>
          <w:rFonts w:asciiTheme="majorHAnsi" w:hAnsiTheme="majorHAnsi"/>
          <w:b/>
          <w:bCs/>
          <w:sz w:val="20"/>
          <w:szCs w:val="20"/>
          <w:lang w:val="es-ES_tradnl"/>
        </w:rPr>
      </w:pPr>
    </w:p>
    <w:p w14:paraId="7090A929" w14:textId="22CD7FEC" w:rsidR="00F04591" w:rsidRPr="006A3D76" w:rsidRDefault="00F04591" w:rsidP="00FE1665">
      <w:pPr>
        <w:pStyle w:val="ListParagraph"/>
        <w:ind w:left="0" w:firstLine="720"/>
        <w:jc w:val="both"/>
        <w:rPr>
          <w:rFonts w:asciiTheme="majorHAnsi" w:hAnsiTheme="majorHAnsi"/>
          <w:b/>
          <w:bCs/>
          <w:sz w:val="20"/>
          <w:szCs w:val="20"/>
          <w:lang w:val="es-ES_tradnl"/>
        </w:rPr>
      </w:pPr>
      <w:r w:rsidRPr="006A3D76">
        <w:rPr>
          <w:rFonts w:asciiTheme="majorHAnsi" w:hAnsiTheme="majorHAnsi"/>
          <w:b/>
          <w:bCs/>
          <w:sz w:val="20"/>
          <w:szCs w:val="20"/>
          <w:lang w:val="es-ES_tradnl"/>
        </w:rPr>
        <w:lastRenderedPageBreak/>
        <w:t>V</w:t>
      </w:r>
      <w:r w:rsidR="000E2789" w:rsidRPr="006A3D76">
        <w:rPr>
          <w:rFonts w:asciiTheme="majorHAnsi" w:hAnsiTheme="majorHAnsi"/>
          <w:b/>
          <w:bCs/>
          <w:sz w:val="20"/>
          <w:szCs w:val="20"/>
          <w:lang w:val="es-ES_tradnl"/>
        </w:rPr>
        <w:t>I</w:t>
      </w:r>
      <w:r w:rsidRPr="006A3D76">
        <w:rPr>
          <w:rFonts w:asciiTheme="majorHAnsi" w:hAnsiTheme="majorHAnsi"/>
          <w:b/>
          <w:bCs/>
          <w:sz w:val="20"/>
          <w:szCs w:val="20"/>
          <w:lang w:val="es-ES_tradnl"/>
        </w:rPr>
        <w:t xml:space="preserve">I. </w:t>
      </w:r>
      <w:r w:rsidRPr="006A3D76">
        <w:rPr>
          <w:rFonts w:asciiTheme="majorHAnsi" w:hAnsiTheme="majorHAnsi"/>
          <w:b/>
          <w:bCs/>
          <w:sz w:val="20"/>
          <w:szCs w:val="20"/>
          <w:lang w:val="es-ES_tradnl"/>
        </w:rPr>
        <w:tab/>
      </w:r>
      <w:r w:rsidR="00FE1665" w:rsidRPr="006A3D76">
        <w:rPr>
          <w:rFonts w:asciiTheme="majorHAnsi" w:hAnsiTheme="majorHAnsi"/>
          <w:b/>
          <w:bCs/>
          <w:sz w:val="20"/>
          <w:szCs w:val="20"/>
          <w:lang w:val="es-ES_tradnl"/>
        </w:rPr>
        <w:t xml:space="preserve">ANÁLISIS DE </w:t>
      </w:r>
      <w:r w:rsidRPr="006A3D76">
        <w:rPr>
          <w:rFonts w:asciiTheme="majorHAnsi" w:hAnsiTheme="majorHAnsi"/>
          <w:b/>
          <w:bCs/>
          <w:sz w:val="20"/>
          <w:szCs w:val="20"/>
          <w:lang w:val="es-ES_tradnl"/>
        </w:rPr>
        <w:t>CARACTERIZACIÓN</w:t>
      </w:r>
      <w:r w:rsidR="00FE1665" w:rsidRPr="006A3D76">
        <w:rPr>
          <w:rFonts w:asciiTheme="majorHAnsi" w:hAnsiTheme="majorHAnsi"/>
          <w:b/>
          <w:bCs/>
          <w:sz w:val="20"/>
          <w:szCs w:val="20"/>
          <w:lang w:val="es-ES_tradnl"/>
        </w:rPr>
        <w:t xml:space="preserve"> DE LOS HECHOS ALEGADOS</w:t>
      </w:r>
    </w:p>
    <w:p w14:paraId="63CB08BC" w14:textId="77777777" w:rsidR="004E486E" w:rsidRPr="006A3D76" w:rsidRDefault="004E486E" w:rsidP="00FE16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bCs/>
          <w:sz w:val="20"/>
          <w:szCs w:val="20"/>
          <w:lang w:val="es-ES_tradnl"/>
        </w:rPr>
      </w:pPr>
    </w:p>
    <w:p w14:paraId="3D12C5DE" w14:textId="5D468945" w:rsidR="00E01886" w:rsidRPr="006A3D76" w:rsidRDefault="006D645B" w:rsidP="009F23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bCs/>
          <w:sz w:val="20"/>
          <w:szCs w:val="20"/>
          <w:lang w:val="es-ES_tradnl"/>
        </w:rPr>
      </w:pPr>
      <w:r w:rsidRPr="006A3D76">
        <w:rPr>
          <w:rFonts w:asciiTheme="majorHAnsi" w:hAnsiTheme="majorHAnsi"/>
          <w:sz w:val="20"/>
          <w:szCs w:val="20"/>
          <w:lang w:val="es-ES_tradnl"/>
        </w:rPr>
        <w:t>El peticionario</w:t>
      </w:r>
      <w:r w:rsidR="00561EE1" w:rsidRPr="006A3D76">
        <w:rPr>
          <w:rFonts w:asciiTheme="majorHAnsi" w:hAnsiTheme="majorHAnsi"/>
          <w:sz w:val="20"/>
          <w:szCs w:val="20"/>
          <w:lang w:val="es-ES_tradnl"/>
        </w:rPr>
        <w:t xml:space="preserve"> </w:t>
      </w:r>
      <w:r w:rsidR="006C7AE8" w:rsidRPr="006A3D76">
        <w:rPr>
          <w:rFonts w:asciiTheme="majorHAnsi" w:hAnsiTheme="majorHAnsi"/>
          <w:sz w:val="20"/>
          <w:szCs w:val="20"/>
          <w:lang w:val="es-ES_tradnl"/>
        </w:rPr>
        <w:t xml:space="preserve">alega la </w:t>
      </w:r>
      <w:r w:rsidR="0081594F" w:rsidRPr="006A3D76">
        <w:rPr>
          <w:rFonts w:asciiTheme="majorHAnsi" w:hAnsiTheme="majorHAnsi"/>
          <w:sz w:val="20"/>
          <w:szCs w:val="20"/>
          <w:lang w:val="es-ES_tradnl"/>
        </w:rPr>
        <w:t xml:space="preserve">muerte </w:t>
      </w:r>
      <w:r w:rsidR="006233CE" w:rsidRPr="006A3D76">
        <w:rPr>
          <w:rFonts w:asciiTheme="majorHAnsi" w:hAnsiTheme="majorHAnsi"/>
          <w:sz w:val="20"/>
          <w:szCs w:val="20"/>
          <w:lang w:val="es-ES_tradnl"/>
        </w:rPr>
        <w:t xml:space="preserve">de la presunta víctima </w:t>
      </w:r>
      <w:r w:rsidR="0081594F" w:rsidRPr="006A3D76">
        <w:rPr>
          <w:rFonts w:asciiTheme="majorHAnsi" w:hAnsiTheme="majorHAnsi"/>
          <w:sz w:val="20"/>
          <w:szCs w:val="20"/>
          <w:lang w:val="es-ES_tradnl"/>
        </w:rPr>
        <w:t>por la falta de atención médica oportuna</w:t>
      </w:r>
      <w:r w:rsidR="004E2E7D" w:rsidRPr="006A3D76">
        <w:rPr>
          <w:rFonts w:asciiTheme="majorHAnsi" w:hAnsiTheme="majorHAnsi"/>
          <w:sz w:val="20"/>
          <w:szCs w:val="20"/>
          <w:lang w:val="es-ES_tradnl"/>
        </w:rPr>
        <w:t>;</w:t>
      </w:r>
      <w:r w:rsidR="00160D5E" w:rsidRPr="006A3D76">
        <w:rPr>
          <w:rFonts w:asciiTheme="majorHAnsi" w:hAnsiTheme="majorHAnsi"/>
          <w:sz w:val="20"/>
          <w:szCs w:val="20"/>
          <w:lang w:val="es-ES_tradnl"/>
        </w:rPr>
        <w:t xml:space="preserve"> </w:t>
      </w:r>
      <w:r w:rsidR="008B67B2" w:rsidRPr="006A3D76">
        <w:rPr>
          <w:rFonts w:asciiTheme="majorHAnsi" w:hAnsiTheme="majorHAnsi"/>
          <w:sz w:val="20"/>
          <w:szCs w:val="20"/>
          <w:lang w:val="es-ES_tradnl"/>
        </w:rPr>
        <w:t>la falta de valoración en conjunto de la prueba</w:t>
      </w:r>
      <w:r w:rsidR="00561EE1" w:rsidRPr="006A3D76">
        <w:rPr>
          <w:rFonts w:asciiTheme="majorHAnsi" w:hAnsiTheme="majorHAnsi"/>
          <w:sz w:val="20"/>
          <w:szCs w:val="20"/>
          <w:lang w:val="es-ES_tradnl"/>
        </w:rPr>
        <w:t>;</w:t>
      </w:r>
      <w:r w:rsidR="008B67B2" w:rsidRPr="006A3D76">
        <w:rPr>
          <w:rFonts w:asciiTheme="majorHAnsi" w:hAnsiTheme="majorHAnsi"/>
          <w:sz w:val="20"/>
          <w:szCs w:val="20"/>
          <w:lang w:val="es-ES_tradnl"/>
        </w:rPr>
        <w:t xml:space="preserve"> el</w:t>
      </w:r>
      <w:r w:rsidR="00160D5E" w:rsidRPr="006A3D76">
        <w:rPr>
          <w:rFonts w:asciiTheme="majorHAnsi" w:hAnsiTheme="majorHAnsi"/>
          <w:sz w:val="20"/>
          <w:szCs w:val="20"/>
          <w:lang w:val="es-ES_tradnl"/>
        </w:rPr>
        <w:t xml:space="preserve"> retardo injustificado</w:t>
      </w:r>
      <w:r w:rsidR="008B67B2" w:rsidRPr="006A3D76">
        <w:rPr>
          <w:rFonts w:asciiTheme="majorHAnsi" w:hAnsiTheme="majorHAnsi"/>
          <w:sz w:val="20"/>
          <w:szCs w:val="20"/>
          <w:lang w:val="es-ES_tradnl"/>
        </w:rPr>
        <w:t xml:space="preserve"> </w:t>
      </w:r>
      <w:r w:rsidR="00561EE1" w:rsidRPr="006A3D76">
        <w:rPr>
          <w:rFonts w:asciiTheme="majorHAnsi" w:hAnsiTheme="majorHAnsi"/>
          <w:sz w:val="20"/>
          <w:szCs w:val="20"/>
          <w:lang w:val="es-ES_tradnl"/>
        </w:rPr>
        <w:t>de</w:t>
      </w:r>
      <w:r w:rsidR="008B67B2" w:rsidRPr="006A3D76">
        <w:rPr>
          <w:rFonts w:asciiTheme="majorHAnsi" w:hAnsiTheme="majorHAnsi"/>
          <w:sz w:val="20"/>
          <w:szCs w:val="20"/>
          <w:lang w:val="es-ES_tradnl"/>
        </w:rPr>
        <w:t xml:space="preserve"> la acción de reparación directa</w:t>
      </w:r>
      <w:r w:rsidR="009F2349" w:rsidRPr="006A3D76">
        <w:rPr>
          <w:rFonts w:asciiTheme="majorHAnsi" w:hAnsiTheme="majorHAnsi"/>
          <w:sz w:val="20"/>
          <w:szCs w:val="20"/>
          <w:lang w:val="es-ES_tradnl"/>
        </w:rPr>
        <w:t xml:space="preserve"> –a este respecto es notorio que la sentencia de primera instancia tardó doce años en emitirse–</w:t>
      </w:r>
      <w:r w:rsidR="00561EE1" w:rsidRPr="006A3D76">
        <w:rPr>
          <w:rFonts w:asciiTheme="majorHAnsi" w:hAnsiTheme="majorHAnsi"/>
          <w:sz w:val="20"/>
          <w:szCs w:val="20"/>
          <w:lang w:val="es-ES_tradnl"/>
        </w:rPr>
        <w:t>;</w:t>
      </w:r>
      <w:r w:rsidR="008B67B2" w:rsidRPr="006A3D76">
        <w:rPr>
          <w:rFonts w:asciiTheme="majorHAnsi" w:hAnsiTheme="majorHAnsi"/>
          <w:sz w:val="20"/>
          <w:szCs w:val="20"/>
          <w:lang w:val="es-ES_tradnl"/>
        </w:rPr>
        <w:t xml:space="preserve"> </w:t>
      </w:r>
      <w:r w:rsidR="00561EE1" w:rsidRPr="006A3D76">
        <w:rPr>
          <w:rFonts w:asciiTheme="majorHAnsi" w:hAnsiTheme="majorHAnsi"/>
          <w:sz w:val="20"/>
          <w:szCs w:val="20"/>
          <w:lang w:val="es-ES_tradnl"/>
        </w:rPr>
        <w:t xml:space="preserve">y </w:t>
      </w:r>
      <w:r w:rsidR="008B67B2" w:rsidRPr="006A3D76">
        <w:rPr>
          <w:rFonts w:asciiTheme="majorHAnsi" w:hAnsiTheme="majorHAnsi"/>
          <w:sz w:val="20"/>
          <w:szCs w:val="20"/>
          <w:lang w:val="es-ES_tradnl"/>
        </w:rPr>
        <w:t xml:space="preserve">la falta de acceso </w:t>
      </w:r>
      <w:r w:rsidR="00160D5E" w:rsidRPr="006A3D76">
        <w:rPr>
          <w:rFonts w:asciiTheme="majorHAnsi" w:hAnsiTheme="majorHAnsi"/>
          <w:sz w:val="20"/>
          <w:szCs w:val="20"/>
          <w:lang w:val="es-ES_tradnl"/>
        </w:rPr>
        <w:t xml:space="preserve">a </w:t>
      </w:r>
      <w:r w:rsidR="002C6AEB" w:rsidRPr="006A3D76">
        <w:rPr>
          <w:rFonts w:asciiTheme="majorHAnsi" w:hAnsiTheme="majorHAnsi"/>
          <w:sz w:val="20"/>
          <w:szCs w:val="20"/>
          <w:lang w:val="es-ES_tradnl"/>
        </w:rPr>
        <w:t xml:space="preserve">la justicia frente a la imposibilidad de acudir a </w:t>
      </w:r>
      <w:r w:rsidR="00160D5E" w:rsidRPr="006A3D76">
        <w:rPr>
          <w:rFonts w:asciiTheme="majorHAnsi" w:hAnsiTheme="majorHAnsi"/>
          <w:sz w:val="20"/>
          <w:szCs w:val="20"/>
          <w:lang w:val="es-ES_tradnl"/>
        </w:rPr>
        <w:t>una segunda instancia</w:t>
      </w:r>
      <w:r w:rsidR="006C7AE8" w:rsidRPr="006A3D76">
        <w:rPr>
          <w:rFonts w:asciiTheme="majorHAnsi" w:hAnsiTheme="majorHAnsi"/>
          <w:sz w:val="20"/>
          <w:szCs w:val="20"/>
          <w:lang w:val="es-ES_tradnl"/>
        </w:rPr>
        <w:t xml:space="preserve">. </w:t>
      </w:r>
      <w:r w:rsidR="00E01886" w:rsidRPr="006A3D76">
        <w:rPr>
          <w:rFonts w:asciiTheme="majorHAnsi" w:hAnsiTheme="majorHAnsi"/>
          <w:sz w:val="20"/>
          <w:szCs w:val="20"/>
          <w:lang w:val="es-ES_tradnl"/>
        </w:rPr>
        <w:t>En vista de las conclusiones de la Sección VI</w:t>
      </w:r>
      <w:r w:rsidR="002A063B" w:rsidRPr="006A3D76">
        <w:rPr>
          <w:rFonts w:asciiTheme="majorHAnsi" w:hAnsiTheme="majorHAnsi"/>
          <w:sz w:val="20"/>
          <w:szCs w:val="20"/>
          <w:lang w:val="es-ES_tradnl"/>
        </w:rPr>
        <w:t xml:space="preserve">, </w:t>
      </w:r>
      <w:r w:rsidR="004E2E7D" w:rsidRPr="006A3D76">
        <w:rPr>
          <w:rFonts w:asciiTheme="majorHAnsi" w:hAnsiTheme="majorHAnsi"/>
          <w:sz w:val="20"/>
          <w:szCs w:val="20"/>
          <w:lang w:val="es-ES_tradnl"/>
        </w:rPr>
        <w:t>queda excluido del marco fáctico del presente caso todo lo relativo a la supuesta responsabilidad internacional de Colombia respecto del fallecimiento del Sr. Mario Lopera</w:t>
      </w:r>
      <w:r w:rsidR="002A063B" w:rsidRPr="006A3D76">
        <w:rPr>
          <w:rFonts w:asciiTheme="majorHAnsi" w:hAnsiTheme="majorHAnsi"/>
          <w:sz w:val="20"/>
          <w:szCs w:val="20"/>
          <w:lang w:val="es-ES_tradnl"/>
        </w:rPr>
        <w:t xml:space="preserve">. </w:t>
      </w:r>
      <w:r w:rsidR="004E2E7D" w:rsidRPr="006A3D76">
        <w:rPr>
          <w:rFonts w:asciiTheme="majorHAnsi" w:hAnsiTheme="majorHAnsi"/>
          <w:sz w:val="20"/>
          <w:szCs w:val="20"/>
          <w:lang w:val="es-ES_tradnl"/>
        </w:rPr>
        <w:t>Por lo tanto, solo</w:t>
      </w:r>
      <w:r w:rsidR="004E0D68" w:rsidRPr="006A3D76">
        <w:rPr>
          <w:rFonts w:asciiTheme="majorHAnsi" w:hAnsiTheme="majorHAnsi"/>
          <w:sz w:val="20"/>
          <w:szCs w:val="20"/>
          <w:lang w:val="es-ES_tradnl"/>
        </w:rPr>
        <w:t xml:space="preserve"> </w:t>
      </w:r>
      <w:r w:rsidR="002A063B" w:rsidRPr="006A3D76">
        <w:rPr>
          <w:rFonts w:asciiTheme="majorHAnsi" w:hAnsiTheme="majorHAnsi"/>
          <w:sz w:val="20"/>
          <w:szCs w:val="20"/>
          <w:lang w:val="es-ES_tradnl"/>
        </w:rPr>
        <w:t xml:space="preserve">subsiste el reclamo relativo a </w:t>
      </w:r>
      <w:r w:rsidR="00E01886" w:rsidRPr="006A3D76">
        <w:rPr>
          <w:rFonts w:asciiTheme="majorHAnsi" w:hAnsiTheme="majorHAnsi"/>
          <w:color w:val="000000" w:themeColor="text1"/>
          <w:sz w:val="20"/>
          <w:szCs w:val="20"/>
          <w:lang w:val="es-ES_tradnl"/>
        </w:rPr>
        <w:t>las violaciones al debido proceso y protección judicial en el marco del proceso contencioso-administrativo</w:t>
      </w:r>
      <w:r w:rsidR="00E01886" w:rsidRPr="006A3D76">
        <w:rPr>
          <w:rFonts w:asciiTheme="majorHAnsi" w:hAnsiTheme="majorHAnsi"/>
          <w:sz w:val="20"/>
          <w:szCs w:val="20"/>
          <w:lang w:val="es-ES_tradnl"/>
        </w:rPr>
        <w:t xml:space="preserve">. </w:t>
      </w:r>
      <w:r w:rsidR="009F2349" w:rsidRPr="006A3D76">
        <w:rPr>
          <w:rFonts w:asciiTheme="majorHAnsi" w:hAnsiTheme="majorHAnsi"/>
          <w:sz w:val="20"/>
          <w:szCs w:val="20"/>
          <w:lang w:val="es-ES_tradnl"/>
        </w:rPr>
        <w:t>L</w:t>
      </w:r>
      <w:r w:rsidR="009F2349" w:rsidRPr="006A3D76">
        <w:rPr>
          <w:rFonts w:asciiTheme="majorHAnsi" w:hAnsiTheme="majorHAnsi" w:cs="Calibri"/>
          <w:bCs/>
          <w:sz w:val="20"/>
          <w:szCs w:val="20"/>
          <w:lang w:val="es-ES_tradnl"/>
        </w:rPr>
        <w:t>a Comisión Interamericana considera, como ha hecho en casos similares, que se requiere de un análisis de fondo</w:t>
      </w:r>
      <w:r w:rsidR="009F2349" w:rsidRPr="006A3D76">
        <w:rPr>
          <w:rFonts w:asciiTheme="majorHAnsi" w:hAnsiTheme="majorHAnsi"/>
          <w:sz w:val="20"/>
          <w:szCs w:val="20"/>
          <w:lang w:val="es-ES_tradnl"/>
        </w:rPr>
        <w:t xml:space="preserve"> en </w:t>
      </w:r>
      <w:r w:rsidR="009F2349" w:rsidRPr="006A3D76">
        <w:rPr>
          <w:rFonts w:asciiTheme="majorHAnsi" w:hAnsiTheme="majorHAnsi"/>
          <w:color w:val="auto"/>
          <w:sz w:val="20"/>
          <w:szCs w:val="20"/>
          <w:lang w:val="es-ES_tradnl"/>
        </w:rPr>
        <w:t xml:space="preserve">cuanto a </w:t>
      </w:r>
      <w:r w:rsidR="009F2349" w:rsidRPr="006A3D76">
        <w:rPr>
          <w:rFonts w:asciiTheme="majorHAnsi" w:hAnsiTheme="majorHAnsi" w:cs="Calibri"/>
          <w:bCs/>
          <w:color w:val="auto"/>
          <w:sz w:val="20"/>
          <w:szCs w:val="20"/>
          <w:lang w:val="es-ES_tradnl"/>
        </w:rPr>
        <w:t xml:space="preserve">la aplicación de la Ley 954 de 2005 que habría establecido una instancia única por consideraciones de cuantía al proceso de reparación directa, dado que plantea cuestiones relacionadas con el alcance de la obligación contenida en el artículo 2 </w:t>
      </w:r>
      <w:r w:rsidR="009F2349" w:rsidRPr="006A3D76">
        <w:rPr>
          <w:rFonts w:asciiTheme="majorHAnsi" w:hAnsiTheme="majorHAnsi"/>
          <w:color w:val="auto"/>
          <w:sz w:val="20"/>
          <w:szCs w:val="20"/>
          <w:lang w:val="es-ES_tradnl"/>
        </w:rPr>
        <w:t>(deber de adoptar disposiciones de derecho interno)</w:t>
      </w:r>
      <w:r w:rsidR="009F2349" w:rsidRPr="006A3D76">
        <w:rPr>
          <w:rFonts w:asciiTheme="majorHAnsi" w:hAnsiTheme="majorHAnsi" w:cs="Calibri"/>
          <w:bCs/>
          <w:color w:val="auto"/>
          <w:sz w:val="20"/>
          <w:szCs w:val="20"/>
          <w:lang w:val="es-ES_tradnl"/>
        </w:rPr>
        <w:t xml:space="preserve"> de la Convención Americana, en relación con las garantías </w:t>
      </w:r>
      <w:r w:rsidR="009F2349" w:rsidRPr="006A3D76">
        <w:rPr>
          <w:rFonts w:asciiTheme="majorHAnsi" w:hAnsiTheme="majorHAnsi" w:cs="Calibri"/>
          <w:bCs/>
          <w:sz w:val="20"/>
          <w:szCs w:val="20"/>
          <w:lang w:val="es-ES_tradnl"/>
        </w:rPr>
        <w:t>del artículo 8 del mismo instrumento</w:t>
      </w:r>
      <w:r w:rsidR="009F2349" w:rsidRPr="006A3D76">
        <w:rPr>
          <w:rStyle w:val="FootnoteReference"/>
          <w:rFonts w:asciiTheme="majorHAnsi" w:hAnsiTheme="majorHAnsi" w:cs="Calibri"/>
          <w:bCs/>
          <w:sz w:val="20"/>
          <w:szCs w:val="20"/>
          <w:lang w:val="es-ES_tradnl"/>
        </w:rPr>
        <w:footnoteReference w:id="8"/>
      </w:r>
      <w:r w:rsidR="009F2349" w:rsidRPr="006A3D76">
        <w:rPr>
          <w:rFonts w:asciiTheme="majorHAnsi" w:hAnsiTheme="majorHAnsi" w:cs="Calibri"/>
          <w:bCs/>
          <w:sz w:val="20"/>
          <w:szCs w:val="20"/>
          <w:lang w:val="es-ES_tradnl"/>
        </w:rPr>
        <w:t>.</w:t>
      </w:r>
    </w:p>
    <w:p w14:paraId="6B7995AA" w14:textId="77777777" w:rsidR="00E01886" w:rsidRPr="006A3D76" w:rsidRDefault="00E01886" w:rsidP="00E018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bCs/>
          <w:sz w:val="20"/>
          <w:szCs w:val="20"/>
          <w:lang w:val="es-ES_tradnl"/>
        </w:rPr>
      </w:pPr>
    </w:p>
    <w:p w14:paraId="31B174C5" w14:textId="760CF23B" w:rsidR="002D1E8A" w:rsidRPr="006A3D76" w:rsidRDefault="004E2E7D" w:rsidP="002C1F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heme="minorHAnsi" w:hAnsiTheme="majorHAnsi"/>
          <w:sz w:val="20"/>
          <w:szCs w:val="20"/>
          <w:lang w:val="es-ES_tradnl"/>
        </w:rPr>
      </w:pPr>
      <w:r w:rsidRPr="006A3D76">
        <w:rPr>
          <w:rFonts w:asciiTheme="majorHAnsi" w:hAnsiTheme="majorHAnsi"/>
          <w:sz w:val="20"/>
          <w:szCs w:val="20"/>
          <w:lang w:val="es-ES_tradnl"/>
        </w:rPr>
        <w:t>A este respecto, y t</w:t>
      </w:r>
      <w:r w:rsidR="00561EE1" w:rsidRPr="006A3D76">
        <w:rPr>
          <w:rFonts w:asciiTheme="majorHAnsi" w:hAnsiTheme="majorHAnsi"/>
          <w:sz w:val="20"/>
          <w:szCs w:val="20"/>
          <w:lang w:val="es-ES_tradnl"/>
        </w:rPr>
        <w:t>ras</w:t>
      </w:r>
      <w:r w:rsidR="006C7AE8" w:rsidRPr="006A3D76">
        <w:rPr>
          <w:rFonts w:asciiTheme="majorHAnsi" w:hAnsiTheme="majorHAnsi"/>
          <w:sz w:val="20"/>
          <w:szCs w:val="20"/>
          <w:lang w:val="es-ES_tradnl"/>
        </w:rPr>
        <w:t xml:space="preserve"> examinar los elementos de hecho y de derecho expuestos por las partes</w:t>
      </w:r>
      <w:r w:rsidR="002C6AEB"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la Comisión </w:t>
      </w:r>
      <w:r w:rsidR="006C7AE8" w:rsidRPr="006A3D76">
        <w:rPr>
          <w:rFonts w:asciiTheme="majorHAnsi" w:hAnsiTheme="majorHAnsi"/>
          <w:sz w:val="20"/>
          <w:szCs w:val="20"/>
          <w:lang w:val="es-ES_tradnl"/>
        </w:rPr>
        <w:t xml:space="preserve">estima que </w:t>
      </w:r>
      <w:r w:rsidR="00561EE1" w:rsidRPr="006A3D76">
        <w:rPr>
          <w:rFonts w:asciiTheme="majorHAnsi" w:hAnsiTheme="majorHAnsi"/>
          <w:sz w:val="20"/>
          <w:szCs w:val="20"/>
          <w:lang w:val="es-ES_tradnl"/>
        </w:rPr>
        <w:t xml:space="preserve">los alegatos </w:t>
      </w:r>
      <w:r w:rsidR="006C7AE8" w:rsidRPr="006A3D76">
        <w:rPr>
          <w:rFonts w:asciiTheme="majorHAnsi" w:hAnsiTheme="majorHAnsi"/>
          <w:sz w:val="20"/>
          <w:szCs w:val="20"/>
          <w:lang w:val="es-ES_tradnl"/>
        </w:rPr>
        <w:t xml:space="preserve">de </w:t>
      </w:r>
      <w:r w:rsidR="006D645B" w:rsidRPr="006A3D76">
        <w:rPr>
          <w:rFonts w:asciiTheme="majorHAnsi" w:hAnsiTheme="majorHAnsi"/>
          <w:sz w:val="20"/>
          <w:szCs w:val="20"/>
          <w:lang w:val="es-ES_tradnl"/>
        </w:rPr>
        <w:t>el peticionario</w:t>
      </w:r>
      <w:r w:rsidR="006C7AE8" w:rsidRPr="006A3D76">
        <w:rPr>
          <w:rFonts w:asciiTheme="majorHAnsi" w:hAnsiTheme="majorHAnsi"/>
          <w:sz w:val="20"/>
          <w:szCs w:val="20"/>
          <w:lang w:val="es-ES_tradnl"/>
        </w:rPr>
        <w:t xml:space="preserve"> no resultan manifiestamente infundad</w:t>
      </w:r>
      <w:r w:rsidR="00561EE1" w:rsidRPr="006A3D76">
        <w:rPr>
          <w:rFonts w:asciiTheme="majorHAnsi" w:hAnsiTheme="majorHAnsi"/>
          <w:sz w:val="20"/>
          <w:szCs w:val="20"/>
          <w:lang w:val="es-ES_tradnl"/>
        </w:rPr>
        <w:t>o</w:t>
      </w:r>
      <w:r w:rsidR="006C7AE8" w:rsidRPr="006A3D76">
        <w:rPr>
          <w:rFonts w:asciiTheme="majorHAnsi" w:hAnsiTheme="majorHAnsi"/>
          <w:sz w:val="20"/>
          <w:szCs w:val="20"/>
          <w:lang w:val="es-ES_tradnl"/>
        </w:rPr>
        <w:t xml:space="preserve">s y requieren </w:t>
      </w:r>
      <w:r w:rsidRPr="006A3D76">
        <w:rPr>
          <w:rFonts w:asciiTheme="majorHAnsi" w:hAnsiTheme="majorHAnsi"/>
          <w:sz w:val="20"/>
          <w:szCs w:val="20"/>
          <w:lang w:val="es-ES_tradnl"/>
        </w:rPr>
        <w:t xml:space="preserve">de </w:t>
      </w:r>
      <w:r w:rsidR="006C7AE8" w:rsidRPr="006A3D76">
        <w:rPr>
          <w:rFonts w:asciiTheme="majorHAnsi" w:hAnsiTheme="majorHAnsi"/>
          <w:sz w:val="20"/>
          <w:szCs w:val="20"/>
          <w:lang w:val="es-ES_tradnl"/>
        </w:rPr>
        <w:t>un estudio de fondo</w:t>
      </w:r>
      <w:r w:rsidRPr="006A3D76">
        <w:rPr>
          <w:rFonts w:asciiTheme="majorHAnsi" w:hAnsiTheme="majorHAnsi"/>
          <w:sz w:val="20"/>
          <w:szCs w:val="20"/>
          <w:lang w:val="es-ES_tradnl"/>
        </w:rPr>
        <w:t>,</w:t>
      </w:r>
      <w:r w:rsidR="006C7AE8" w:rsidRPr="006A3D76">
        <w:rPr>
          <w:rFonts w:asciiTheme="majorHAnsi" w:hAnsiTheme="majorHAnsi"/>
          <w:sz w:val="20"/>
          <w:szCs w:val="20"/>
          <w:lang w:val="es-ES_tradnl"/>
        </w:rPr>
        <w:t xml:space="preserve"> </w:t>
      </w:r>
      <w:r w:rsidRPr="006A3D76">
        <w:rPr>
          <w:rFonts w:asciiTheme="majorHAnsi" w:hAnsiTheme="majorHAnsi"/>
          <w:sz w:val="20"/>
          <w:szCs w:val="20"/>
          <w:lang w:val="es-ES_tradnl"/>
        </w:rPr>
        <w:t xml:space="preserve">pues </w:t>
      </w:r>
      <w:r w:rsidR="009F2349" w:rsidRPr="006A3D76">
        <w:rPr>
          <w:rFonts w:asciiTheme="majorHAnsi" w:hAnsiTheme="majorHAnsi"/>
          <w:sz w:val="20"/>
          <w:szCs w:val="20"/>
          <w:lang w:val="es-ES_tradnl"/>
        </w:rPr>
        <w:t xml:space="preserve">prima fase podrían caracterizar violaciones a los derechos establecidos en los </w:t>
      </w:r>
      <w:r w:rsidR="006C7AE8" w:rsidRPr="006A3D76">
        <w:rPr>
          <w:rFonts w:asciiTheme="majorHAnsi" w:hAnsiTheme="majorHAnsi"/>
          <w:sz w:val="20"/>
          <w:szCs w:val="20"/>
          <w:lang w:val="es-ES_tradnl"/>
        </w:rPr>
        <w:t>artículos</w:t>
      </w:r>
      <w:r w:rsidR="00173BCB" w:rsidRPr="006A3D76">
        <w:rPr>
          <w:rFonts w:asciiTheme="majorHAnsi" w:hAnsiTheme="majorHAnsi"/>
          <w:sz w:val="20"/>
          <w:szCs w:val="20"/>
          <w:lang w:val="es-ES_tradnl"/>
        </w:rPr>
        <w:t xml:space="preserve"> </w:t>
      </w:r>
      <w:r w:rsidR="000B4E5A" w:rsidRPr="006A3D76">
        <w:rPr>
          <w:rFonts w:asciiTheme="majorHAnsi" w:hAnsiTheme="majorHAnsi"/>
          <w:sz w:val="20"/>
          <w:szCs w:val="20"/>
          <w:lang w:val="es-ES_tradnl"/>
        </w:rPr>
        <w:t>8 (garantías judiciales)</w:t>
      </w:r>
      <w:r w:rsidR="002C6AEB" w:rsidRPr="006A3D76">
        <w:rPr>
          <w:rFonts w:asciiTheme="majorHAnsi" w:hAnsiTheme="majorHAnsi"/>
          <w:bCs/>
          <w:sz w:val="20"/>
          <w:szCs w:val="20"/>
          <w:lang w:val="es-ES_tradnl"/>
        </w:rPr>
        <w:t xml:space="preserve">, 24 (igualdad ante la ley), </w:t>
      </w:r>
      <w:r w:rsidR="002C6AEB" w:rsidRPr="006A3D76">
        <w:rPr>
          <w:rFonts w:asciiTheme="majorHAnsi" w:hAnsiTheme="majorHAnsi"/>
          <w:sz w:val="20"/>
          <w:szCs w:val="20"/>
          <w:lang w:val="es-ES_tradnl"/>
        </w:rPr>
        <w:t xml:space="preserve">y </w:t>
      </w:r>
      <w:r w:rsidR="000B4E5A" w:rsidRPr="006A3D76">
        <w:rPr>
          <w:rFonts w:asciiTheme="majorHAnsi" w:hAnsiTheme="majorHAnsi"/>
          <w:sz w:val="20"/>
          <w:szCs w:val="20"/>
          <w:lang w:val="es-ES_tradnl"/>
        </w:rPr>
        <w:t>25 (protección judicial) de la Convención Americana</w:t>
      </w:r>
      <w:r w:rsidR="00CC3E13" w:rsidRPr="006A3D76">
        <w:rPr>
          <w:rFonts w:asciiTheme="majorHAnsi" w:hAnsiTheme="majorHAnsi"/>
          <w:sz w:val="20"/>
          <w:szCs w:val="20"/>
          <w:lang w:val="es-ES_tradnl"/>
        </w:rPr>
        <w:t>,</w:t>
      </w:r>
      <w:r w:rsidR="000B4E5A" w:rsidRPr="006A3D76">
        <w:rPr>
          <w:rFonts w:asciiTheme="majorHAnsi" w:hAnsiTheme="majorHAnsi"/>
          <w:sz w:val="20"/>
          <w:szCs w:val="20"/>
          <w:lang w:val="es-ES_tradnl"/>
        </w:rPr>
        <w:t xml:space="preserve"> en relación con </w:t>
      </w:r>
      <w:r w:rsidR="006C7AE8" w:rsidRPr="006A3D76">
        <w:rPr>
          <w:rFonts w:asciiTheme="majorHAnsi" w:hAnsiTheme="majorHAnsi"/>
          <w:sz w:val="20"/>
          <w:szCs w:val="20"/>
          <w:lang w:val="es-ES_tradnl"/>
        </w:rPr>
        <w:t>su</w:t>
      </w:r>
      <w:r w:rsidR="009F2349" w:rsidRPr="006A3D76">
        <w:rPr>
          <w:rFonts w:asciiTheme="majorHAnsi" w:hAnsiTheme="majorHAnsi"/>
          <w:sz w:val="20"/>
          <w:szCs w:val="20"/>
          <w:lang w:val="es-ES_tradnl"/>
        </w:rPr>
        <w:t>s</w:t>
      </w:r>
      <w:r w:rsidR="002C6AEB" w:rsidRPr="006A3D76">
        <w:rPr>
          <w:rFonts w:asciiTheme="majorHAnsi" w:hAnsiTheme="majorHAnsi"/>
          <w:sz w:val="20"/>
          <w:szCs w:val="20"/>
          <w:lang w:val="es-ES_tradnl"/>
        </w:rPr>
        <w:t xml:space="preserve"> </w:t>
      </w:r>
      <w:r w:rsidR="000B4E5A" w:rsidRPr="006A3D76">
        <w:rPr>
          <w:rFonts w:asciiTheme="majorHAnsi" w:hAnsiTheme="majorHAnsi"/>
          <w:sz w:val="20"/>
          <w:szCs w:val="20"/>
          <w:lang w:val="es-ES_tradnl"/>
        </w:rPr>
        <w:t>artículo</w:t>
      </w:r>
      <w:r w:rsidR="009F2349" w:rsidRPr="006A3D76">
        <w:rPr>
          <w:rFonts w:asciiTheme="majorHAnsi" w:hAnsiTheme="majorHAnsi"/>
          <w:sz w:val="20"/>
          <w:szCs w:val="20"/>
          <w:lang w:val="es-ES_tradnl"/>
        </w:rPr>
        <w:t>s</w:t>
      </w:r>
      <w:r w:rsidR="002C6AEB" w:rsidRPr="006A3D76">
        <w:rPr>
          <w:rFonts w:asciiTheme="majorHAnsi" w:hAnsiTheme="majorHAnsi"/>
          <w:sz w:val="20"/>
          <w:szCs w:val="20"/>
          <w:lang w:val="es-ES_tradnl"/>
        </w:rPr>
        <w:t xml:space="preserve"> </w:t>
      </w:r>
      <w:r w:rsidR="000B4E5A" w:rsidRPr="006A3D76">
        <w:rPr>
          <w:rFonts w:asciiTheme="majorHAnsi" w:hAnsiTheme="majorHAnsi"/>
          <w:sz w:val="20"/>
          <w:szCs w:val="20"/>
          <w:lang w:val="es-ES_tradnl"/>
        </w:rPr>
        <w:t>1.1 (obligación de respetar los derechos)</w:t>
      </w:r>
      <w:r w:rsidR="009F2349" w:rsidRPr="006A3D76">
        <w:rPr>
          <w:rFonts w:asciiTheme="majorHAnsi" w:hAnsiTheme="majorHAnsi"/>
          <w:sz w:val="20"/>
          <w:szCs w:val="20"/>
          <w:lang w:val="es-ES_tradnl"/>
        </w:rPr>
        <w:t xml:space="preserve"> y 2 (deber de adoptar disposiciones de derecho interno), en perjuicio de María Lucelli Herrera Foronda y Lucely Andrea Lopera Herrera como madre y hermana, respectivamente, de Mario Lopera.</w:t>
      </w:r>
      <w:r w:rsidR="008B67B2" w:rsidRPr="006A3D76">
        <w:rPr>
          <w:rFonts w:asciiTheme="majorHAnsi" w:hAnsiTheme="majorHAnsi"/>
          <w:sz w:val="20"/>
          <w:szCs w:val="20"/>
          <w:lang w:val="es-ES_tradnl"/>
        </w:rPr>
        <w:t xml:space="preserve"> </w:t>
      </w:r>
    </w:p>
    <w:p w14:paraId="69B5BD4A" w14:textId="77777777" w:rsidR="009F2349" w:rsidRPr="006A3D76" w:rsidRDefault="009F2349" w:rsidP="009F23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heme="minorHAnsi" w:hAnsiTheme="majorHAnsi"/>
          <w:sz w:val="20"/>
          <w:szCs w:val="20"/>
          <w:lang w:val="es-ES_tradnl"/>
        </w:rPr>
      </w:pPr>
    </w:p>
    <w:p w14:paraId="6C6BE3AC" w14:textId="69D64180" w:rsidR="00160D5E" w:rsidRPr="006A3D76" w:rsidRDefault="00561EE1" w:rsidP="00FE65D4">
      <w:pPr>
        <w:pStyle w:val="ListParagraph"/>
        <w:numPr>
          <w:ilvl w:val="0"/>
          <w:numId w:val="55"/>
        </w:numPr>
        <w:contextualSpacing/>
        <w:jc w:val="both"/>
        <w:rPr>
          <w:rFonts w:asciiTheme="majorHAnsi" w:hAnsiTheme="majorHAnsi"/>
          <w:sz w:val="20"/>
          <w:szCs w:val="20"/>
          <w:lang w:val="es-ES_tradnl"/>
        </w:rPr>
      </w:pPr>
      <w:r w:rsidRPr="006A3D76">
        <w:rPr>
          <w:rFonts w:asciiTheme="majorHAnsi" w:hAnsiTheme="majorHAnsi"/>
          <w:sz w:val="20"/>
          <w:szCs w:val="20"/>
          <w:bdr w:val="none" w:sz="0" w:space="0" w:color="auto" w:frame="1"/>
          <w:lang w:val="es-ES_tradnl"/>
        </w:rPr>
        <w:t xml:space="preserve">Por otro lado, la CIDH observa que el peticionario no ha ofrecido alegatos ni sustento suficiente para considerar </w:t>
      </w:r>
      <w:r w:rsidRPr="006A3D76">
        <w:rPr>
          <w:rFonts w:asciiTheme="majorHAnsi" w:hAnsiTheme="majorHAnsi"/>
          <w:i/>
          <w:sz w:val="20"/>
          <w:szCs w:val="20"/>
          <w:bdr w:val="none" w:sz="0" w:space="0" w:color="auto" w:frame="1"/>
          <w:lang w:val="es-ES_tradnl"/>
        </w:rPr>
        <w:t>prima facie</w:t>
      </w:r>
      <w:r w:rsidRPr="006A3D76">
        <w:rPr>
          <w:rFonts w:asciiTheme="majorHAnsi" w:hAnsiTheme="majorHAnsi"/>
          <w:sz w:val="20"/>
          <w:szCs w:val="20"/>
          <w:bdr w:val="none" w:sz="0" w:space="0" w:color="auto" w:frame="1"/>
          <w:lang w:val="es-ES_tradnl"/>
        </w:rPr>
        <w:t xml:space="preserve"> la </w:t>
      </w:r>
      <w:r w:rsidR="008B67B2" w:rsidRPr="006A3D76">
        <w:rPr>
          <w:rFonts w:asciiTheme="majorHAnsi" w:hAnsiTheme="majorHAnsi"/>
          <w:sz w:val="20"/>
          <w:szCs w:val="20"/>
          <w:bdr w:val="none" w:sz="0" w:space="0" w:color="auto" w:frame="1"/>
          <w:lang w:val="es-ES_tradnl"/>
        </w:rPr>
        <w:t xml:space="preserve">presunta violación del artículo 11 de la Convención Americana. </w:t>
      </w:r>
      <w:r w:rsidRPr="006A3D76">
        <w:rPr>
          <w:rFonts w:asciiTheme="majorHAnsi" w:hAnsiTheme="majorHAnsi"/>
          <w:sz w:val="20"/>
          <w:szCs w:val="20"/>
          <w:bdr w:val="none" w:sz="0" w:space="0" w:color="auto" w:frame="1"/>
          <w:lang w:val="es-ES_tradnl"/>
        </w:rPr>
        <w:t>Con</w:t>
      </w:r>
      <w:r w:rsidR="008B67B2" w:rsidRPr="006A3D76">
        <w:rPr>
          <w:rFonts w:asciiTheme="majorHAnsi" w:hAnsiTheme="majorHAnsi" w:cs="Calibri"/>
          <w:sz w:val="20"/>
          <w:szCs w:val="20"/>
          <w:bdr w:val="none" w:sz="0" w:space="0" w:color="auto" w:frame="1"/>
          <w:lang w:val="es-ES_tradnl"/>
        </w:rPr>
        <w:t xml:space="preserve"> relación </w:t>
      </w:r>
      <w:r w:rsidRPr="006A3D76">
        <w:rPr>
          <w:rFonts w:asciiTheme="majorHAnsi" w:hAnsiTheme="majorHAnsi" w:cs="Calibri"/>
          <w:sz w:val="20"/>
          <w:szCs w:val="20"/>
          <w:bdr w:val="none" w:sz="0" w:space="0" w:color="auto" w:frame="1"/>
          <w:lang w:val="es-ES_tradnl"/>
        </w:rPr>
        <w:t>a</w:t>
      </w:r>
      <w:r w:rsidR="008B67B2" w:rsidRPr="006A3D76">
        <w:rPr>
          <w:rFonts w:asciiTheme="majorHAnsi" w:hAnsiTheme="majorHAnsi" w:cs="Calibri"/>
          <w:sz w:val="20"/>
          <w:szCs w:val="20"/>
          <w:bdr w:val="none" w:sz="0" w:space="0" w:color="auto" w:frame="1"/>
          <w:lang w:val="es-ES_tradnl"/>
        </w:rPr>
        <w:t xml:space="preserve"> las presuntas violaciones </w:t>
      </w:r>
      <w:r w:rsidRPr="006A3D76">
        <w:rPr>
          <w:rFonts w:asciiTheme="majorHAnsi" w:hAnsiTheme="majorHAnsi" w:cs="Calibri"/>
          <w:sz w:val="20"/>
          <w:szCs w:val="20"/>
          <w:bdr w:val="none" w:sz="0" w:space="0" w:color="auto" w:frame="1"/>
          <w:lang w:val="es-ES_tradnl"/>
        </w:rPr>
        <w:t>de</w:t>
      </w:r>
      <w:r w:rsidR="008B67B2" w:rsidRPr="006A3D76">
        <w:rPr>
          <w:rFonts w:asciiTheme="majorHAnsi" w:hAnsiTheme="majorHAnsi" w:cs="Calibri"/>
          <w:sz w:val="20"/>
          <w:szCs w:val="20"/>
          <w:bdr w:val="none" w:sz="0" w:space="0" w:color="auto" w:frame="1"/>
          <w:lang w:val="es-ES_tradnl"/>
        </w:rPr>
        <w:t xml:space="preserve"> derechos </w:t>
      </w:r>
      <w:r w:rsidRPr="006A3D76">
        <w:rPr>
          <w:rFonts w:asciiTheme="majorHAnsi" w:hAnsiTheme="majorHAnsi" w:cs="Calibri"/>
          <w:sz w:val="20"/>
          <w:szCs w:val="20"/>
          <w:bdr w:val="none" w:sz="0" w:space="0" w:color="auto" w:frame="1"/>
          <w:lang w:val="es-ES_tradnl"/>
        </w:rPr>
        <w:t xml:space="preserve">reconocidos por </w:t>
      </w:r>
      <w:r w:rsidR="008B67B2" w:rsidRPr="006A3D76">
        <w:rPr>
          <w:rFonts w:asciiTheme="majorHAnsi" w:hAnsiTheme="majorHAnsi" w:cs="Calibri"/>
          <w:sz w:val="20"/>
          <w:szCs w:val="20"/>
          <w:bdr w:val="none" w:sz="0" w:space="0" w:color="auto" w:frame="1"/>
          <w:lang w:val="es-ES_tradnl"/>
        </w:rPr>
        <w:t xml:space="preserve">la Declaración Americana, la Comisión </w:t>
      </w:r>
      <w:r w:rsidRPr="006A3D76">
        <w:rPr>
          <w:rFonts w:asciiTheme="majorHAnsi" w:hAnsiTheme="majorHAnsi" w:cs="Calibri"/>
          <w:sz w:val="20"/>
          <w:szCs w:val="20"/>
          <w:bdr w:val="none" w:sz="0" w:space="0" w:color="auto" w:frame="1"/>
          <w:lang w:val="es-ES_tradnl"/>
        </w:rPr>
        <w:t xml:space="preserve">Interamericana </w:t>
      </w:r>
      <w:r w:rsidR="008B67B2" w:rsidRPr="006A3D76">
        <w:rPr>
          <w:rFonts w:asciiTheme="majorHAnsi" w:hAnsiTheme="majorHAnsi" w:cs="Calibri"/>
          <w:sz w:val="20"/>
          <w:szCs w:val="20"/>
          <w:bdr w:val="none" w:sz="0" w:space="0" w:color="auto" w:frame="1"/>
          <w:lang w:val="es-ES_tradnl"/>
        </w:rPr>
        <w:t>ha establecido previamente que, una vez que la Convención Americana entra en vigor en relación con un Estado, ésta y no la Declaración pasa a ser la fuente primaria de derecho aplicable, siempre que la petición se refiera a la presunta violación de derechos idénticos en ambos instrumentos y no se trate de una situación de violación continua</w:t>
      </w:r>
      <w:r w:rsidR="008B67B2" w:rsidRPr="006A3D76">
        <w:rPr>
          <w:rStyle w:val="FootnoteReference"/>
          <w:rFonts w:asciiTheme="majorHAnsi" w:hAnsiTheme="majorHAnsi" w:cs="Calibri"/>
          <w:sz w:val="20"/>
          <w:szCs w:val="20"/>
          <w:bdr w:val="none" w:sz="0" w:space="0" w:color="auto" w:frame="1"/>
          <w:lang w:val="es-ES_tradnl"/>
        </w:rPr>
        <w:footnoteReference w:id="9"/>
      </w:r>
      <w:r w:rsidR="008B67B2" w:rsidRPr="006A3D76">
        <w:rPr>
          <w:rFonts w:asciiTheme="majorHAnsi" w:hAnsiTheme="majorHAnsi" w:cs="Calibri"/>
          <w:sz w:val="20"/>
          <w:szCs w:val="20"/>
          <w:bdr w:val="none" w:sz="0" w:space="0" w:color="auto" w:frame="1"/>
          <w:lang w:val="es-ES_tradnl"/>
        </w:rPr>
        <w:t xml:space="preserve">. </w:t>
      </w:r>
      <w:r w:rsidR="00E01886" w:rsidRPr="006A3D76">
        <w:rPr>
          <w:rFonts w:asciiTheme="majorHAnsi" w:hAnsiTheme="majorHAnsi" w:cs="Calibri"/>
          <w:sz w:val="20"/>
          <w:szCs w:val="20"/>
          <w:bdr w:val="none" w:sz="0" w:space="0" w:color="auto" w:frame="1"/>
          <w:lang w:val="es-ES_tradnl"/>
        </w:rPr>
        <w:t>Asimismo, e</w:t>
      </w:r>
      <w:r w:rsidR="00160D5E" w:rsidRPr="006A3D76">
        <w:rPr>
          <w:rFonts w:asciiTheme="majorHAnsi" w:hAnsiTheme="majorHAnsi" w:cs="Calibri"/>
          <w:sz w:val="20"/>
          <w:szCs w:val="20"/>
          <w:lang w:val="es-ES_tradnl"/>
        </w:rPr>
        <w:t xml:space="preserve">n </w:t>
      </w:r>
      <w:r w:rsidR="00CD74D6" w:rsidRPr="006A3D76">
        <w:rPr>
          <w:rFonts w:asciiTheme="majorHAnsi" w:hAnsiTheme="majorHAnsi" w:cs="Calibri"/>
          <w:sz w:val="20"/>
          <w:szCs w:val="20"/>
          <w:lang w:val="es-ES_tradnl"/>
        </w:rPr>
        <w:t>cuanto a</w:t>
      </w:r>
      <w:r w:rsidR="00160D5E" w:rsidRPr="006A3D76">
        <w:rPr>
          <w:rFonts w:asciiTheme="majorHAnsi" w:hAnsiTheme="majorHAnsi" w:cs="Calibri"/>
          <w:sz w:val="20"/>
          <w:szCs w:val="20"/>
          <w:lang w:val="es-ES_tradnl"/>
        </w:rPr>
        <w:t>l Pacto Internacional de Derechos Civiles y Políticos, la C</w:t>
      </w:r>
      <w:r w:rsidR="00CD74D6" w:rsidRPr="006A3D76">
        <w:rPr>
          <w:rFonts w:asciiTheme="majorHAnsi" w:hAnsiTheme="majorHAnsi" w:cs="Calibri"/>
          <w:sz w:val="20"/>
          <w:szCs w:val="20"/>
          <w:lang w:val="es-ES_tradnl"/>
        </w:rPr>
        <w:t xml:space="preserve">IDH </w:t>
      </w:r>
      <w:r w:rsidR="00160D5E" w:rsidRPr="006A3D76">
        <w:rPr>
          <w:rFonts w:asciiTheme="majorHAnsi" w:hAnsiTheme="majorHAnsi" w:cs="Calibri"/>
          <w:sz w:val="20"/>
          <w:szCs w:val="20"/>
          <w:lang w:val="es-ES_tradnl"/>
        </w:rPr>
        <w:t xml:space="preserve">carece de competencia para establecer violaciones </w:t>
      </w:r>
      <w:r w:rsidR="00CD74D6" w:rsidRPr="006A3D76">
        <w:rPr>
          <w:rFonts w:asciiTheme="majorHAnsi" w:hAnsiTheme="majorHAnsi" w:cs="Calibri"/>
          <w:sz w:val="20"/>
          <w:szCs w:val="20"/>
          <w:lang w:val="es-ES_tradnl"/>
        </w:rPr>
        <w:t>de</w:t>
      </w:r>
      <w:r w:rsidR="00160D5E" w:rsidRPr="006A3D76">
        <w:rPr>
          <w:rFonts w:asciiTheme="majorHAnsi" w:hAnsiTheme="majorHAnsi" w:cs="Calibri"/>
          <w:sz w:val="20"/>
          <w:szCs w:val="20"/>
          <w:lang w:val="es-ES_tradnl"/>
        </w:rPr>
        <w:t xml:space="preserve"> </w:t>
      </w:r>
      <w:r w:rsidR="00CD74D6" w:rsidRPr="006A3D76">
        <w:rPr>
          <w:rFonts w:asciiTheme="majorHAnsi" w:hAnsiTheme="majorHAnsi" w:cs="Calibri"/>
          <w:sz w:val="20"/>
          <w:szCs w:val="20"/>
          <w:lang w:val="es-ES_tradnl"/>
        </w:rPr>
        <w:t xml:space="preserve">sus </w:t>
      </w:r>
      <w:r w:rsidR="00160D5E" w:rsidRPr="006A3D76">
        <w:rPr>
          <w:rFonts w:asciiTheme="majorHAnsi" w:hAnsiTheme="majorHAnsi" w:cs="Calibri"/>
          <w:sz w:val="20"/>
          <w:szCs w:val="20"/>
          <w:lang w:val="es-ES_tradnl"/>
        </w:rPr>
        <w:t xml:space="preserve">normas, sin perjuicio de lo cual podrá tomarlo en cuenta como parte de su ejercicio interpretativo de las normas de la Convención Americana en la etapa de fondo del presente </w:t>
      </w:r>
      <w:r w:rsidR="00CD74D6" w:rsidRPr="006A3D76">
        <w:rPr>
          <w:rFonts w:asciiTheme="majorHAnsi" w:hAnsiTheme="majorHAnsi" w:cs="Calibri"/>
          <w:sz w:val="20"/>
          <w:szCs w:val="20"/>
          <w:lang w:val="es-ES_tradnl"/>
        </w:rPr>
        <w:t>asunto</w:t>
      </w:r>
      <w:r w:rsidR="00160D5E" w:rsidRPr="006A3D76">
        <w:rPr>
          <w:rFonts w:asciiTheme="majorHAnsi" w:hAnsiTheme="majorHAnsi" w:cs="Calibri"/>
          <w:sz w:val="20"/>
          <w:szCs w:val="20"/>
          <w:lang w:val="es-ES_tradnl"/>
        </w:rPr>
        <w:t>, en los términos del artículo 29 de</w:t>
      </w:r>
      <w:r w:rsidR="00CD74D6" w:rsidRPr="006A3D76">
        <w:rPr>
          <w:rFonts w:asciiTheme="majorHAnsi" w:hAnsiTheme="majorHAnsi" w:cs="Calibri"/>
          <w:sz w:val="20"/>
          <w:szCs w:val="20"/>
          <w:lang w:val="es-ES_tradnl"/>
        </w:rPr>
        <w:t xml:space="preserve"> esta</w:t>
      </w:r>
      <w:r w:rsidR="00160D5E" w:rsidRPr="006A3D76">
        <w:rPr>
          <w:rStyle w:val="FootnoteReference"/>
          <w:rFonts w:asciiTheme="majorHAnsi" w:hAnsiTheme="majorHAnsi" w:cs="Calibri"/>
          <w:sz w:val="20"/>
          <w:szCs w:val="20"/>
          <w:lang w:val="es-ES_tradnl"/>
        </w:rPr>
        <w:footnoteReference w:id="10"/>
      </w:r>
      <w:r w:rsidR="00160D5E" w:rsidRPr="006A3D76">
        <w:rPr>
          <w:rFonts w:asciiTheme="majorHAnsi" w:hAnsiTheme="majorHAnsi" w:cs="Calibri"/>
          <w:sz w:val="20"/>
          <w:szCs w:val="20"/>
          <w:lang w:val="es-ES_tradnl"/>
        </w:rPr>
        <w:t xml:space="preserve">. </w:t>
      </w:r>
    </w:p>
    <w:p w14:paraId="020A3A3E" w14:textId="77777777" w:rsidR="00160D5E" w:rsidRPr="006A3D76" w:rsidRDefault="00160D5E" w:rsidP="00FE1665">
      <w:pPr>
        <w:ind w:firstLine="720"/>
        <w:jc w:val="both"/>
        <w:rPr>
          <w:rFonts w:asciiTheme="majorHAnsi" w:eastAsia="Times New Roman" w:hAnsiTheme="majorHAnsi" w:cs="Calibri"/>
          <w:sz w:val="20"/>
          <w:szCs w:val="20"/>
          <w:lang w:val="es-ES_tradnl" w:eastAsia="es-419"/>
        </w:rPr>
      </w:pPr>
    </w:p>
    <w:p w14:paraId="12435A20" w14:textId="2D7C6728" w:rsidR="004C7E9A" w:rsidRPr="006A3D76" w:rsidRDefault="00160D5E" w:rsidP="00FE1665">
      <w:pPr>
        <w:pStyle w:val="ListParagraph"/>
        <w:numPr>
          <w:ilvl w:val="0"/>
          <w:numId w:val="55"/>
        </w:numPr>
        <w:contextualSpacing/>
        <w:jc w:val="both"/>
        <w:rPr>
          <w:rFonts w:asciiTheme="majorHAnsi" w:hAnsiTheme="majorHAnsi"/>
          <w:sz w:val="20"/>
          <w:szCs w:val="20"/>
          <w:lang w:val="es-ES_tradnl"/>
        </w:rPr>
      </w:pPr>
      <w:r w:rsidRPr="006A3D76">
        <w:rPr>
          <w:rFonts w:asciiTheme="majorHAnsi" w:eastAsia="Times New Roman" w:hAnsiTheme="majorHAnsi" w:cs="Calibri"/>
          <w:sz w:val="20"/>
          <w:szCs w:val="20"/>
          <w:lang w:val="es-ES_tradnl" w:eastAsia="es-419"/>
        </w:rPr>
        <w:t xml:space="preserve">Con respecto a los alegatos del Estado </w:t>
      </w:r>
      <w:r w:rsidR="00CD74D6" w:rsidRPr="006A3D76">
        <w:rPr>
          <w:rFonts w:asciiTheme="majorHAnsi" w:eastAsia="Times New Roman" w:hAnsiTheme="majorHAnsi" w:cs="Calibri"/>
          <w:sz w:val="20"/>
          <w:szCs w:val="20"/>
          <w:lang w:val="es-ES_tradnl" w:eastAsia="es-419"/>
        </w:rPr>
        <w:t>sobre</w:t>
      </w:r>
      <w:r w:rsidRPr="006A3D76">
        <w:rPr>
          <w:rFonts w:asciiTheme="majorHAnsi" w:eastAsia="Times New Roman" w:hAnsiTheme="majorHAnsi" w:cs="Calibri"/>
          <w:sz w:val="20"/>
          <w:szCs w:val="20"/>
          <w:lang w:val="es-ES_tradnl" w:eastAsia="es-419"/>
        </w:rPr>
        <w:t xml:space="preserve"> la llamada </w:t>
      </w:r>
      <w:r w:rsidR="00CD74D6" w:rsidRPr="006A3D76">
        <w:rPr>
          <w:rFonts w:asciiTheme="majorHAnsi" w:eastAsia="Times New Roman" w:hAnsiTheme="majorHAnsi" w:cs="Calibri"/>
          <w:sz w:val="20"/>
          <w:szCs w:val="20"/>
          <w:lang w:val="es-ES_tradnl" w:eastAsia="es-419"/>
        </w:rPr>
        <w:t>“</w:t>
      </w:r>
      <w:r w:rsidRPr="006A3D76">
        <w:rPr>
          <w:rFonts w:asciiTheme="majorHAnsi" w:eastAsia="Times New Roman" w:hAnsiTheme="majorHAnsi" w:cs="Calibri"/>
          <w:sz w:val="20"/>
          <w:szCs w:val="20"/>
          <w:lang w:val="es-ES_tradnl" w:eastAsia="es-419"/>
        </w:rPr>
        <w:t xml:space="preserve">fórmula de </w:t>
      </w:r>
      <w:r w:rsidR="00CD74D6" w:rsidRPr="006A3D76">
        <w:rPr>
          <w:rFonts w:asciiTheme="majorHAnsi" w:eastAsia="Times New Roman" w:hAnsiTheme="majorHAnsi" w:cs="Calibri"/>
          <w:sz w:val="20"/>
          <w:szCs w:val="20"/>
          <w:lang w:val="es-ES_tradnl" w:eastAsia="es-419"/>
        </w:rPr>
        <w:t xml:space="preserve">la </w:t>
      </w:r>
      <w:r w:rsidRPr="006A3D76">
        <w:rPr>
          <w:rFonts w:asciiTheme="majorHAnsi" w:eastAsia="Times New Roman" w:hAnsiTheme="majorHAnsi" w:cs="Calibri"/>
          <w:sz w:val="20"/>
          <w:szCs w:val="20"/>
          <w:lang w:val="es-ES_tradnl" w:eastAsia="es-419"/>
        </w:rPr>
        <w:t>cuarta instancia”, a efectos de la admisibilidad</w:t>
      </w:r>
      <w:r w:rsidR="00CD74D6" w:rsidRPr="006A3D76">
        <w:rPr>
          <w:rFonts w:asciiTheme="majorHAnsi" w:eastAsia="Times New Roman" w:hAnsiTheme="majorHAnsi" w:cs="Calibri"/>
          <w:sz w:val="20"/>
          <w:szCs w:val="20"/>
          <w:lang w:val="es-ES_tradnl" w:eastAsia="es-419"/>
        </w:rPr>
        <w:t xml:space="preserve"> la Comisión Interamericana </w:t>
      </w:r>
      <w:r w:rsidRPr="006A3D76">
        <w:rPr>
          <w:rFonts w:asciiTheme="majorHAnsi" w:eastAsia="Times New Roman" w:hAnsiTheme="majorHAnsi" w:cs="Calibri"/>
          <w:sz w:val="20"/>
          <w:szCs w:val="20"/>
          <w:lang w:val="es-ES_tradnl" w:eastAsia="es-419"/>
        </w:rPr>
        <w:t>debe decidir si los hechos alegados caracteriza</w:t>
      </w:r>
      <w:r w:rsidR="00CD74D6" w:rsidRPr="006A3D76">
        <w:rPr>
          <w:rFonts w:asciiTheme="majorHAnsi" w:eastAsia="Times New Roman" w:hAnsiTheme="majorHAnsi" w:cs="Calibri"/>
          <w:sz w:val="20"/>
          <w:szCs w:val="20"/>
          <w:lang w:val="es-ES_tradnl" w:eastAsia="es-419"/>
        </w:rPr>
        <w:t>n</w:t>
      </w:r>
      <w:r w:rsidRPr="006A3D76">
        <w:rPr>
          <w:rFonts w:asciiTheme="majorHAnsi" w:eastAsia="Times New Roman" w:hAnsiTheme="majorHAnsi" w:cs="Calibri"/>
          <w:sz w:val="20"/>
          <w:szCs w:val="20"/>
          <w:lang w:val="es-ES_tradnl" w:eastAsia="es-419"/>
        </w:rPr>
        <w:t xml:space="preserve"> una </w:t>
      </w:r>
      <w:r w:rsidR="00CD74D6" w:rsidRPr="006A3D76">
        <w:rPr>
          <w:rFonts w:asciiTheme="majorHAnsi" w:eastAsia="Times New Roman" w:hAnsiTheme="majorHAnsi" w:cs="Calibri"/>
          <w:sz w:val="20"/>
          <w:szCs w:val="20"/>
          <w:lang w:val="es-ES_tradnl" w:eastAsia="es-419"/>
        </w:rPr>
        <w:t xml:space="preserve">posible </w:t>
      </w:r>
      <w:r w:rsidRPr="006A3D76">
        <w:rPr>
          <w:rFonts w:asciiTheme="majorHAnsi" w:eastAsia="Times New Roman" w:hAnsiTheme="majorHAnsi" w:cs="Calibri"/>
          <w:sz w:val="20"/>
          <w:szCs w:val="20"/>
          <w:lang w:val="es-ES_tradnl" w:eastAsia="es-419"/>
        </w:rPr>
        <w:t>violación de derechos, según lo estipulado en el artículo 47(b) de la Convención Americana</w:t>
      </w:r>
      <w:r w:rsidR="00CD74D6" w:rsidRPr="006A3D76">
        <w:rPr>
          <w:rFonts w:asciiTheme="majorHAnsi" w:eastAsia="Times New Roman" w:hAnsiTheme="majorHAnsi" w:cs="Calibri"/>
          <w:sz w:val="20"/>
          <w:szCs w:val="20"/>
          <w:lang w:val="es-ES_tradnl" w:eastAsia="es-419"/>
        </w:rPr>
        <w:t>;</w:t>
      </w:r>
      <w:r w:rsidRPr="006A3D76">
        <w:rPr>
          <w:rFonts w:asciiTheme="majorHAnsi" w:eastAsia="Times New Roman" w:hAnsiTheme="majorHAnsi" w:cs="Calibri"/>
          <w:sz w:val="20"/>
          <w:szCs w:val="20"/>
          <w:lang w:val="es-ES_tradnl" w:eastAsia="es-419"/>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w:t>
      </w:r>
      <w:r w:rsidR="00CD74D6" w:rsidRPr="006A3D76">
        <w:rPr>
          <w:rFonts w:asciiTheme="majorHAnsi" w:eastAsia="Times New Roman" w:hAnsiTheme="majorHAnsi" w:cs="Calibri"/>
          <w:sz w:val="20"/>
          <w:szCs w:val="20"/>
          <w:lang w:val="es-ES_tradnl" w:eastAsia="es-419"/>
        </w:rPr>
        <w:t xml:space="preserve">en el </w:t>
      </w:r>
      <w:r w:rsidRPr="006A3D76">
        <w:rPr>
          <w:rFonts w:asciiTheme="majorHAnsi" w:eastAsia="Times New Roman" w:hAnsiTheme="majorHAnsi" w:cs="Calibri"/>
          <w:sz w:val="20"/>
          <w:szCs w:val="20"/>
          <w:lang w:val="es-ES_tradnl" w:eastAsia="es-419"/>
        </w:rPr>
        <w:t>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p w14:paraId="188E3C41" w14:textId="77777777" w:rsidR="007175E4" w:rsidRPr="006A3D76" w:rsidRDefault="007175E4" w:rsidP="007175E4">
      <w:pPr>
        <w:contextualSpacing/>
        <w:jc w:val="both"/>
        <w:rPr>
          <w:rFonts w:asciiTheme="majorHAnsi" w:hAnsiTheme="majorHAnsi"/>
          <w:sz w:val="20"/>
          <w:szCs w:val="20"/>
          <w:lang w:val="es-ES_tradnl"/>
        </w:rPr>
      </w:pPr>
    </w:p>
    <w:p w14:paraId="29BB41F5" w14:textId="2851F5F9" w:rsidR="003239B8" w:rsidRPr="006A3D76" w:rsidRDefault="00EC72AB" w:rsidP="004E48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6A3D76">
        <w:rPr>
          <w:rFonts w:asciiTheme="majorHAnsi" w:hAnsiTheme="majorHAnsi"/>
          <w:b/>
          <w:bCs/>
          <w:sz w:val="20"/>
          <w:szCs w:val="20"/>
          <w:lang w:val="es-ES_tradnl"/>
        </w:rPr>
        <w:t>VI</w:t>
      </w:r>
      <w:r w:rsidR="00F04591" w:rsidRPr="006A3D76">
        <w:rPr>
          <w:rFonts w:asciiTheme="majorHAnsi" w:hAnsiTheme="majorHAnsi"/>
          <w:b/>
          <w:bCs/>
          <w:sz w:val="20"/>
          <w:szCs w:val="20"/>
          <w:lang w:val="es-ES_tradnl"/>
        </w:rPr>
        <w:t>II</w:t>
      </w:r>
      <w:r w:rsidR="003239B8" w:rsidRPr="006A3D76">
        <w:rPr>
          <w:rFonts w:asciiTheme="majorHAnsi" w:hAnsiTheme="majorHAnsi"/>
          <w:b/>
          <w:bCs/>
          <w:sz w:val="20"/>
          <w:szCs w:val="20"/>
          <w:lang w:val="es-ES_tradnl"/>
        </w:rPr>
        <w:t xml:space="preserve">. </w:t>
      </w:r>
      <w:r w:rsidR="003239B8" w:rsidRPr="006A3D76">
        <w:rPr>
          <w:rFonts w:asciiTheme="majorHAnsi" w:hAnsiTheme="majorHAnsi"/>
          <w:b/>
          <w:bCs/>
          <w:sz w:val="20"/>
          <w:szCs w:val="20"/>
          <w:lang w:val="es-ES_tradnl"/>
        </w:rPr>
        <w:tab/>
        <w:t>DECISIÓN</w:t>
      </w:r>
    </w:p>
    <w:p w14:paraId="203A49CE" w14:textId="77777777" w:rsidR="004E486E" w:rsidRPr="006A3D76" w:rsidRDefault="004E486E" w:rsidP="004E486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94EB857" w14:textId="523343A1" w:rsidR="008B67B2" w:rsidRPr="006A3D76" w:rsidRDefault="00C764E1" w:rsidP="004E48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A3D76">
        <w:rPr>
          <w:rFonts w:asciiTheme="majorHAnsi" w:hAnsiTheme="majorHAnsi"/>
          <w:sz w:val="20"/>
          <w:szCs w:val="20"/>
          <w:lang w:val="es-ES_tradnl"/>
        </w:rPr>
        <w:t xml:space="preserve">Declarar admisible la presente petición en relación con los </w:t>
      </w:r>
      <w:r w:rsidRPr="006A3D76">
        <w:rPr>
          <w:rFonts w:asciiTheme="majorHAnsi" w:hAnsiTheme="majorHAnsi"/>
          <w:bCs/>
          <w:sz w:val="20"/>
          <w:szCs w:val="20"/>
          <w:lang w:val="es-ES_tradnl"/>
        </w:rPr>
        <w:t>artículos</w:t>
      </w:r>
      <w:r w:rsidR="00173BCB" w:rsidRPr="006A3D76">
        <w:rPr>
          <w:rFonts w:asciiTheme="majorHAnsi" w:hAnsiTheme="majorHAnsi"/>
          <w:bCs/>
          <w:sz w:val="20"/>
          <w:szCs w:val="20"/>
          <w:lang w:val="es-ES_tradnl"/>
        </w:rPr>
        <w:t xml:space="preserve"> </w:t>
      </w:r>
      <w:r w:rsidR="008B67B2" w:rsidRPr="006A3D76">
        <w:rPr>
          <w:rFonts w:asciiTheme="majorHAnsi" w:hAnsiTheme="majorHAnsi"/>
          <w:sz w:val="20"/>
          <w:szCs w:val="20"/>
          <w:lang w:val="es-ES_tradnl"/>
        </w:rPr>
        <w:t xml:space="preserve">8, </w:t>
      </w:r>
      <w:r w:rsidR="008B67B2" w:rsidRPr="006A3D76">
        <w:rPr>
          <w:rFonts w:asciiTheme="majorHAnsi" w:hAnsiTheme="majorHAnsi"/>
          <w:bCs/>
          <w:sz w:val="20"/>
          <w:szCs w:val="20"/>
          <w:lang w:val="es-ES_tradnl"/>
        </w:rPr>
        <w:t>24</w:t>
      </w:r>
      <w:r w:rsidR="00E01886" w:rsidRPr="006A3D76">
        <w:rPr>
          <w:rFonts w:asciiTheme="majorHAnsi" w:hAnsiTheme="majorHAnsi"/>
          <w:bCs/>
          <w:sz w:val="20"/>
          <w:szCs w:val="20"/>
          <w:lang w:val="es-ES_tradnl"/>
        </w:rPr>
        <w:t xml:space="preserve"> y </w:t>
      </w:r>
      <w:r w:rsidR="008B67B2" w:rsidRPr="006A3D76">
        <w:rPr>
          <w:rFonts w:asciiTheme="majorHAnsi" w:hAnsiTheme="majorHAnsi"/>
          <w:sz w:val="20"/>
          <w:szCs w:val="20"/>
          <w:lang w:val="es-ES_tradnl"/>
        </w:rPr>
        <w:t>25</w:t>
      </w:r>
      <w:r w:rsidR="00E01886" w:rsidRPr="006A3D76">
        <w:rPr>
          <w:rFonts w:asciiTheme="majorHAnsi" w:hAnsiTheme="majorHAnsi"/>
          <w:sz w:val="20"/>
          <w:szCs w:val="20"/>
          <w:lang w:val="es-ES_tradnl"/>
        </w:rPr>
        <w:t xml:space="preserve"> </w:t>
      </w:r>
      <w:r w:rsidR="008B67B2" w:rsidRPr="006A3D76">
        <w:rPr>
          <w:rFonts w:asciiTheme="majorHAnsi" w:hAnsiTheme="majorHAnsi"/>
          <w:sz w:val="20"/>
          <w:szCs w:val="20"/>
          <w:lang w:val="es-ES_tradnl"/>
        </w:rPr>
        <w:t xml:space="preserve">de la Convención Americana, </w:t>
      </w:r>
      <w:r w:rsidRPr="006A3D76">
        <w:rPr>
          <w:rFonts w:asciiTheme="majorHAnsi" w:hAnsiTheme="majorHAnsi"/>
          <w:bCs/>
          <w:sz w:val="20"/>
          <w:szCs w:val="20"/>
          <w:lang w:val="es-ES_tradnl"/>
        </w:rPr>
        <w:t xml:space="preserve">en relación con sus artículos 1.1 y </w:t>
      </w:r>
      <w:r w:rsidR="004E486E" w:rsidRPr="006A3D76">
        <w:rPr>
          <w:rFonts w:asciiTheme="majorHAnsi" w:hAnsiTheme="majorHAnsi"/>
          <w:bCs/>
          <w:sz w:val="20"/>
          <w:szCs w:val="20"/>
          <w:lang w:val="es-ES_tradnl"/>
        </w:rPr>
        <w:t>2</w:t>
      </w:r>
      <w:r w:rsidR="00FC78E6">
        <w:rPr>
          <w:rFonts w:asciiTheme="majorHAnsi" w:hAnsiTheme="majorHAnsi"/>
          <w:bCs/>
          <w:sz w:val="20"/>
          <w:szCs w:val="20"/>
          <w:lang w:val="es-ES_tradnl"/>
        </w:rPr>
        <w:t>;</w:t>
      </w:r>
    </w:p>
    <w:p w14:paraId="2A4F7501" w14:textId="77777777" w:rsidR="008B67B2" w:rsidRPr="006A3D76" w:rsidRDefault="008B67B2" w:rsidP="004E486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14725DD" w14:textId="1EAD3759" w:rsidR="008B67B2" w:rsidRPr="006A3D76" w:rsidRDefault="008B67B2" w:rsidP="004E48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20"/>
          <w:szCs w:val="20"/>
          <w:lang w:val="es-ES_tradnl" w:eastAsia="en-US"/>
        </w:rPr>
      </w:pPr>
      <w:r w:rsidRPr="006A3D76">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E01886" w:rsidRPr="006A3D76">
        <w:rPr>
          <w:rFonts w:asciiTheme="majorHAnsi" w:eastAsia="Arial Unicode MS" w:hAnsiTheme="majorHAnsi" w:cs="Times New Roman"/>
          <w:color w:val="auto"/>
          <w:sz w:val="20"/>
          <w:szCs w:val="20"/>
          <w:lang w:val="es-ES_tradnl" w:eastAsia="en-US"/>
        </w:rPr>
        <w:t xml:space="preserve">los </w:t>
      </w:r>
      <w:r w:rsidRPr="006A3D76">
        <w:rPr>
          <w:rFonts w:asciiTheme="majorHAnsi" w:eastAsia="Arial Unicode MS" w:hAnsiTheme="majorHAnsi" w:cs="Times New Roman"/>
          <w:color w:val="auto"/>
          <w:sz w:val="20"/>
          <w:szCs w:val="20"/>
          <w:lang w:val="es-ES_tradnl" w:eastAsia="en-US"/>
        </w:rPr>
        <w:t>artículo</w:t>
      </w:r>
      <w:r w:rsidR="00E01886" w:rsidRPr="006A3D76">
        <w:rPr>
          <w:rFonts w:asciiTheme="majorHAnsi" w:eastAsia="Arial Unicode MS" w:hAnsiTheme="majorHAnsi" w:cs="Times New Roman"/>
          <w:color w:val="auto"/>
          <w:sz w:val="20"/>
          <w:szCs w:val="20"/>
          <w:lang w:val="es-ES_tradnl" w:eastAsia="en-US"/>
        </w:rPr>
        <w:t xml:space="preserve">s 4, </w:t>
      </w:r>
      <w:r w:rsidRPr="006A3D76">
        <w:rPr>
          <w:rFonts w:asciiTheme="majorHAnsi" w:eastAsia="Arial Unicode MS" w:hAnsiTheme="majorHAnsi" w:cs="Times New Roman"/>
          <w:color w:val="auto"/>
          <w:sz w:val="20"/>
          <w:szCs w:val="20"/>
          <w:lang w:val="es-ES_tradnl" w:eastAsia="en-US"/>
        </w:rPr>
        <w:t>11</w:t>
      </w:r>
      <w:r w:rsidR="004E486E" w:rsidRPr="006A3D76">
        <w:rPr>
          <w:rFonts w:asciiTheme="majorHAnsi" w:eastAsia="Arial Unicode MS" w:hAnsiTheme="majorHAnsi" w:cs="Times New Roman"/>
          <w:color w:val="auto"/>
          <w:sz w:val="20"/>
          <w:szCs w:val="20"/>
          <w:lang w:val="es-ES_tradnl" w:eastAsia="en-US"/>
        </w:rPr>
        <w:t xml:space="preserve"> </w:t>
      </w:r>
      <w:r w:rsidR="00E01886" w:rsidRPr="006A3D76">
        <w:rPr>
          <w:rFonts w:asciiTheme="majorHAnsi" w:eastAsia="Arial Unicode MS" w:hAnsiTheme="majorHAnsi" w:cs="Times New Roman"/>
          <w:color w:val="auto"/>
          <w:sz w:val="20"/>
          <w:szCs w:val="20"/>
          <w:lang w:val="es-ES_tradnl" w:eastAsia="en-US"/>
        </w:rPr>
        <w:t xml:space="preserve">y 26 </w:t>
      </w:r>
      <w:r w:rsidR="004E486E" w:rsidRPr="006A3D76">
        <w:rPr>
          <w:rFonts w:asciiTheme="majorHAnsi" w:eastAsia="Arial Unicode MS" w:hAnsiTheme="majorHAnsi" w:cs="Times New Roman"/>
          <w:color w:val="auto"/>
          <w:sz w:val="20"/>
          <w:szCs w:val="20"/>
          <w:lang w:val="es-ES_tradnl" w:eastAsia="en-US"/>
        </w:rPr>
        <w:t>de la Convención Americana</w:t>
      </w:r>
      <w:r w:rsidR="00FC78E6">
        <w:rPr>
          <w:rFonts w:asciiTheme="majorHAnsi" w:eastAsia="Arial Unicode MS" w:hAnsiTheme="majorHAnsi" w:cs="Times New Roman"/>
          <w:color w:val="auto"/>
          <w:sz w:val="20"/>
          <w:szCs w:val="20"/>
          <w:lang w:val="es-ES_tradnl" w:eastAsia="en-US"/>
        </w:rPr>
        <w:t>, y;</w:t>
      </w:r>
    </w:p>
    <w:p w14:paraId="6F666187" w14:textId="77777777" w:rsidR="008B67B2" w:rsidRPr="006A3D76" w:rsidRDefault="008B67B2" w:rsidP="004E48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CD4DFBD" w14:textId="5DD35814" w:rsidR="003239B8" w:rsidRDefault="004A6A54" w:rsidP="004E48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6A3D7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F2A4A65" w14:textId="77777777" w:rsidR="00AC448C" w:rsidRDefault="00AC448C" w:rsidP="00AC448C">
      <w:pPr>
        <w:pStyle w:val="ListParagraph"/>
        <w:rPr>
          <w:rFonts w:asciiTheme="majorHAnsi" w:hAnsiTheme="majorHAnsi"/>
          <w:sz w:val="20"/>
          <w:szCs w:val="20"/>
          <w:lang w:val="es-ES_tradnl"/>
        </w:rPr>
      </w:pPr>
    </w:p>
    <w:p w14:paraId="1F6D4CDC" w14:textId="7CC9D343" w:rsidR="00AC448C" w:rsidRPr="00437ED8" w:rsidRDefault="00AC448C" w:rsidP="00437ED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15</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37ED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sectPr w:rsidR="00AC448C" w:rsidRPr="00437E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9E15" w14:textId="77777777" w:rsidR="003F6101" w:rsidRDefault="003F6101">
      <w:r>
        <w:separator/>
      </w:r>
    </w:p>
  </w:endnote>
  <w:endnote w:type="continuationSeparator" w:id="0">
    <w:p w14:paraId="7609F98D" w14:textId="77777777" w:rsidR="003F6101" w:rsidRDefault="003F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4DA071" w:rsidR="00561EE1" w:rsidRPr="00934A2C" w:rsidRDefault="00561EE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6</w:t>
        </w:r>
        <w:r w:rsidRPr="00934A2C">
          <w:rPr>
            <w:noProof/>
            <w:sz w:val="16"/>
            <w:szCs w:val="22"/>
          </w:rPr>
          <w:fldChar w:fldCharType="end"/>
        </w:r>
      </w:p>
    </w:sdtContent>
  </w:sdt>
  <w:p w14:paraId="68530E6A" w14:textId="77777777" w:rsidR="00561EE1" w:rsidRDefault="0056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61EE1" w:rsidRPr="00934A2C" w:rsidRDefault="00561EE1">
    <w:pPr>
      <w:pStyle w:val="Footer"/>
      <w:jc w:val="center"/>
      <w:rPr>
        <w:sz w:val="16"/>
        <w:szCs w:val="22"/>
      </w:rPr>
    </w:pPr>
  </w:p>
  <w:p w14:paraId="49059CE3" w14:textId="77777777" w:rsidR="00561EE1" w:rsidRDefault="0056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6AB5" w14:textId="77777777" w:rsidR="003F6101" w:rsidRPr="000F35ED" w:rsidRDefault="003F610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D81A32" w14:textId="77777777" w:rsidR="003F6101" w:rsidRPr="000F35ED" w:rsidRDefault="003F6101" w:rsidP="000F35ED">
      <w:pPr>
        <w:rPr>
          <w:rFonts w:asciiTheme="majorHAnsi" w:hAnsiTheme="majorHAnsi"/>
          <w:sz w:val="16"/>
          <w:szCs w:val="16"/>
        </w:rPr>
      </w:pPr>
      <w:r w:rsidRPr="000F35ED">
        <w:rPr>
          <w:rFonts w:asciiTheme="majorHAnsi" w:hAnsiTheme="majorHAnsi"/>
          <w:sz w:val="16"/>
          <w:szCs w:val="16"/>
        </w:rPr>
        <w:separator/>
      </w:r>
    </w:p>
    <w:p w14:paraId="1771E7C1" w14:textId="77777777" w:rsidR="003F6101" w:rsidRPr="000F35ED" w:rsidRDefault="003F610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F401B40" w14:textId="77777777" w:rsidR="003F6101" w:rsidRPr="000F35ED" w:rsidRDefault="003F610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B5C617" w14:textId="6777B33C" w:rsidR="00561EE1" w:rsidRPr="00DA31AC" w:rsidRDefault="00561EE1" w:rsidP="00DA31AC">
      <w:pPr>
        <w:pStyle w:val="FootnoteText"/>
        <w:ind w:firstLine="720"/>
        <w:jc w:val="both"/>
        <w:rPr>
          <w:rFonts w:ascii="Cambria" w:hAnsi="Cambria"/>
          <w:color w:val="auto"/>
          <w:sz w:val="16"/>
          <w:szCs w:val="16"/>
          <w:lang w:val="es-MX"/>
        </w:rPr>
      </w:pPr>
      <w:r w:rsidRPr="00DA31AC">
        <w:rPr>
          <w:rStyle w:val="FootnoteReference"/>
          <w:rFonts w:ascii="Cambria" w:hAnsi="Cambria"/>
          <w:sz w:val="16"/>
          <w:szCs w:val="16"/>
        </w:rPr>
        <w:footnoteRef/>
      </w:r>
      <w:r w:rsidRPr="00DA31AC">
        <w:rPr>
          <w:rFonts w:ascii="Cambria" w:hAnsi="Cambria"/>
          <w:sz w:val="16"/>
          <w:szCs w:val="16"/>
          <w:lang w:val="es-MX"/>
        </w:rPr>
        <w:t xml:space="preserve"> El peticionario identifica a María Lucelli Herrera Foronda y Lucely Andrea Lopera Herrera como madre y hermana, respectivamente, de la presunta víctima.</w:t>
      </w:r>
    </w:p>
  </w:footnote>
  <w:footnote w:id="3">
    <w:p w14:paraId="09BDFC73" w14:textId="191A6541" w:rsidR="00DA31AC" w:rsidRPr="00DA31AC" w:rsidRDefault="00DA31AC" w:rsidP="00DA31AC">
      <w:pPr>
        <w:pStyle w:val="FootnoteText"/>
        <w:ind w:firstLine="720"/>
        <w:jc w:val="both"/>
        <w:rPr>
          <w:rFonts w:ascii="Cambria" w:hAnsi="Cambria"/>
          <w:sz w:val="16"/>
          <w:szCs w:val="16"/>
          <w:lang w:val="es-419"/>
        </w:rPr>
      </w:pPr>
      <w:r w:rsidRPr="00DA31AC">
        <w:rPr>
          <w:rStyle w:val="FootnoteReference"/>
          <w:rFonts w:ascii="Cambria" w:hAnsi="Cambria"/>
          <w:sz w:val="16"/>
          <w:szCs w:val="16"/>
        </w:rPr>
        <w:footnoteRef/>
      </w:r>
      <w:r w:rsidRPr="00DA31AC">
        <w:rPr>
          <w:rFonts w:ascii="Cambria" w:hAnsi="Cambria"/>
          <w:sz w:val="16"/>
          <w:szCs w:val="16"/>
          <w:lang w:val="es-419"/>
        </w:rPr>
        <w:t xml:space="preserve"> </w:t>
      </w:r>
      <w:r w:rsidRPr="00306F33">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r w:rsidR="00CA7CC0">
        <w:rPr>
          <w:rFonts w:asciiTheme="majorHAnsi" w:hAnsiTheme="majorHAnsi"/>
          <w:sz w:val="16"/>
          <w:szCs w:val="16"/>
          <w:lang w:val="es-ES"/>
        </w:rPr>
        <w:t>.</w:t>
      </w:r>
    </w:p>
  </w:footnote>
  <w:footnote w:id="4">
    <w:p w14:paraId="43185A4F" w14:textId="77777777" w:rsidR="00561EE1" w:rsidRPr="00DA31AC" w:rsidRDefault="00561EE1" w:rsidP="00DA31AC">
      <w:pPr>
        <w:pStyle w:val="FootnoteText"/>
        <w:ind w:firstLine="720"/>
        <w:jc w:val="both"/>
        <w:rPr>
          <w:rFonts w:ascii="Cambria" w:hAnsi="Cambria"/>
          <w:sz w:val="16"/>
          <w:szCs w:val="16"/>
          <w:lang w:val="es-ES"/>
        </w:rPr>
      </w:pPr>
      <w:r w:rsidRPr="00DA31AC">
        <w:rPr>
          <w:rStyle w:val="FootnoteReference"/>
          <w:rFonts w:ascii="Cambria" w:hAnsi="Cambria"/>
          <w:sz w:val="16"/>
          <w:szCs w:val="16"/>
        </w:rPr>
        <w:footnoteRef/>
      </w:r>
      <w:r w:rsidRPr="00DA31AC">
        <w:rPr>
          <w:rFonts w:ascii="Cambria" w:hAnsi="Cambria"/>
          <w:sz w:val="16"/>
          <w:szCs w:val="16"/>
          <w:lang w:val="es-ES"/>
        </w:rPr>
        <w:t xml:space="preserve"> En adelante “la Convención Americana” o “la Convención”.</w:t>
      </w:r>
    </w:p>
  </w:footnote>
  <w:footnote w:id="5">
    <w:p w14:paraId="51EAAA75" w14:textId="3687962C" w:rsidR="00561EE1" w:rsidRPr="00DA31AC" w:rsidRDefault="00561EE1" w:rsidP="00DA31AC">
      <w:pPr>
        <w:pStyle w:val="FootnoteText"/>
        <w:ind w:firstLine="720"/>
        <w:jc w:val="both"/>
        <w:rPr>
          <w:rFonts w:ascii="Cambria" w:hAnsi="Cambria"/>
          <w:sz w:val="16"/>
          <w:szCs w:val="16"/>
          <w:lang w:val="es-ES"/>
        </w:rPr>
      </w:pPr>
      <w:r w:rsidRPr="00DA31AC">
        <w:rPr>
          <w:rStyle w:val="FootnoteReference"/>
          <w:rFonts w:ascii="Cambria" w:hAnsi="Cambria"/>
          <w:sz w:val="16"/>
          <w:szCs w:val="16"/>
        </w:rPr>
        <w:footnoteRef/>
      </w:r>
      <w:r w:rsidRPr="00DA31AC">
        <w:rPr>
          <w:rFonts w:ascii="Cambria" w:hAnsi="Cambria"/>
          <w:sz w:val="16"/>
          <w:szCs w:val="16"/>
          <w:lang w:val="es-VE"/>
        </w:rPr>
        <w:t xml:space="preserve"> </w:t>
      </w:r>
      <w:r w:rsidRPr="00DA31AC">
        <w:rPr>
          <w:rFonts w:ascii="Cambria" w:hAnsi="Cambria"/>
          <w:sz w:val="16"/>
          <w:szCs w:val="16"/>
          <w:lang w:val="es-ES"/>
        </w:rPr>
        <w:t>En adelante “la Declaración Americana” o “la Declaración”</w:t>
      </w:r>
    </w:p>
  </w:footnote>
  <w:footnote w:id="6">
    <w:p w14:paraId="69DFAB4B" w14:textId="36015082" w:rsidR="00561EE1" w:rsidRPr="00DA31AC" w:rsidRDefault="00561EE1" w:rsidP="00DA31AC">
      <w:pPr>
        <w:pStyle w:val="FootnoteText"/>
        <w:ind w:firstLine="720"/>
        <w:jc w:val="both"/>
        <w:rPr>
          <w:rFonts w:ascii="Cambria" w:hAnsi="Cambria"/>
          <w:sz w:val="16"/>
          <w:szCs w:val="16"/>
          <w:lang w:val="es-VE"/>
        </w:rPr>
      </w:pPr>
      <w:r w:rsidRPr="00DA31AC">
        <w:rPr>
          <w:rStyle w:val="FootnoteReference"/>
          <w:rFonts w:ascii="Cambria" w:hAnsi="Cambria"/>
          <w:sz w:val="16"/>
          <w:szCs w:val="16"/>
        </w:rPr>
        <w:footnoteRef/>
      </w:r>
      <w:r w:rsidRPr="00DA31AC">
        <w:rPr>
          <w:rFonts w:ascii="Cambria" w:hAnsi="Cambria"/>
          <w:sz w:val="16"/>
          <w:szCs w:val="16"/>
          <w:lang w:val="es-VE"/>
        </w:rPr>
        <w:t xml:space="preserve"> Artículos 9, 10, 12 y 14 del Pacto Internacional de Derechos Civiles y Políticos. </w:t>
      </w:r>
    </w:p>
  </w:footnote>
  <w:footnote w:id="7">
    <w:p w14:paraId="79F07139" w14:textId="77777777" w:rsidR="00561EE1" w:rsidRPr="00DA31AC" w:rsidRDefault="00561EE1" w:rsidP="00DA31AC">
      <w:pPr>
        <w:pStyle w:val="FootnoteText"/>
        <w:ind w:firstLine="720"/>
        <w:jc w:val="both"/>
        <w:rPr>
          <w:rFonts w:ascii="Cambria" w:hAnsi="Cambria"/>
          <w:sz w:val="16"/>
          <w:szCs w:val="16"/>
          <w:lang w:val="es-ES"/>
        </w:rPr>
      </w:pPr>
      <w:r w:rsidRPr="00DA31AC">
        <w:rPr>
          <w:rStyle w:val="FootnoteReference"/>
          <w:rFonts w:ascii="Cambria" w:hAnsi="Cambria"/>
          <w:sz w:val="16"/>
          <w:szCs w:val="16"/>
        </w:rPr>
        <w:footnoteRef/>
      </w:r>
      <w:r w:rsidRPr="00DA31AC">
        <w:rPr>
          <w:rFonts w:ascii="Cambria" w:hAnsi="Cambria"/>
          <w:sz w:val="16"/>
          <w:szCs w:val="16"/>
          <w:lang w:val="es-ES"/>
        </w:rPr>
        <w:t xml:space="preserve"> Las observaciones de cada parte fueron debidamente trasladadas a la parte contraria.</w:t>
      </w:r>
    </w:p>
  </w:footnote>
  <w:footnote w:id="8">
    <w:p w14:paraId="3F89CB41" w14:textId="77777777" w:rsidR="009F2349" w:rsidRPr="00DA31AC" w:rsidRDefault="009F2349" w:rsidP="009F2349">
      <w:pPr>
        <w:pStyle w:val="FootnoteText"/>
        <w:ind w:firstLine="720"/>
        <w:jc w:val="both"/>
        <w:rPr>
          <w:rFonts w:ascii="Cambria" w:hAnsi="Cambria"/>
          <w:sz w:val="16"/>
          <w:szCs w:val="16"/>
          <w:lang w:val="es-ES_tradnl"/>
        </w:rPr>
      </w:pPr>
      <w:r w:rsidRPr="00DA31AC">
        <w:rPr>
          <w:rStyle w:val="FootnoteReference"/>
          <w:rFonts w:ascii="Cambria" w:hAnsi="Cambria"/>
          <w:sz w:val="16"/>
          <w:szCs w:val="16"/>
        </w:rPr>
        <w:footnoteRef/>
      </w:r>
      <w:r w:rsidRPr="00DA31AC">
        <w:rPr>
          <w:rFonts w:ascii="Cambria" w:hAnsi="Cambria"/>
          <w:sz w:val="16"/>
          <w:szCs w:val="16"/>
          <w:lang w:val="es-ES"/>
        </w:rPr>
        <w:t xml:space="preserve"> CIDH, Informe No. 108/17, Petición 562-08. Admisibilidad. Pedro Herber Rodríguez Cárdenas. Colombia. 7 de septiembre de 2017, párr. 16</w:t>
      </w:r>
      <w:r>
        <w:rPr>
          <w:rFonts w:ascii="Cambria" w:hAnsi="Cambria"/>
          <w:sz w:val="16"/>
          <w:szCs w:val="16"/>
          <w:lang w:val="es-ES"/>
        </w:rPr>
        <w:t xml:space="preserve">; y </w:t>
      </w:r>
      <w:r w:rsidRPr="002C6AEB">
        <w:rPr>
          <w:rFonts w:ascii="Cambria" w:hAnsi="Cambria"/>
          <w:sz w:val="16"/>
          <w:szCs w:val="16"/>
          <w:lang w:val="es-419"/>
        </w:rPr>
        <w:t xml:space="preserve">CIDH, Informe No. 52/17, Petición 816-08. Admisibilidad. Diana Milena Barona Sánchez y familia. Colombia. 25 de mayo de 2017, párr. </w:t>
      </w:r>
      <w:r w:rsidRPr="0011584C">
        <w:rPr>
          <w:rFonts w:ascii="Cambria" w:hAnsi="Cambria"/>
          <w:sz w:val="16"/>
          <w:szCs w:val="16"/>
          <w:lang w:val="es-US"/>
        </w:rPr>
        <w:t xml:space="preserve">9. </w:t>
      </w:r>
    </w:p>
  </w:footnote>
  <w:footnote w:id="9">
    <w:p w14:paraId="51E1E2B6" w14:textId="77777777" w:rsidR="00561EE1" w:rsidRPr="00DA31AC" w:rsidRDefault="00561EE1" w:rsidP="00DA31AC">
      <w:pPr>
        <w:pStyle w:val="FootnoteText"/>
        <w:ind w:firstLine="720"/>
        <w:jc w:val="both"/>
        <w:rPr>
          <w:rFonts w:ascii="Cambria" w:hAnsi="Cambria"/>
          <w:sz w:val="16"/>
          <w:szCs w:val="16"/>
          <w:lang w:val="es-ES"/>
        </w:rPr>
      </w:pPr>
      <w:r w:rsidRPr="00DA31AC">
        <w:rPr>
          <w:rStyle w:val="FootnoteReference"/>
          <w:rFonts w:ascii="Cambria" w:hAnsi="Cambria"/>
          <w:sz w:val="16"/>
          <w:szCs w:val="16"/>
        </w:rPr>
        <w:footnoteRef/>
      </w:r>
      <w:r w:rsidRPr="00DA31AC">
        <w:rPr>
          <w:rFonts w:ascii="Cambria" w:hAnsi="Cambria"/>
          <w:sz w:val="16"/>
          <w:szCs w:val="16"/>
          <w:lang w:val="es-ES"/>
        </w:rPr>
        <w:t xml:space="preserve"> CIDH, Informe No. 180/18. Petición 1616-07. Admisibilidad. A.G.A. y familiares. Colombia. 26 de diciembre de 2018, párr. 17.</w:t>
      </w:r>
    </w:p>
  </w:footnote>
  <w:footnote w:id="10">
    <w:p w14:paraId="6BE58F17" w14:textId="7725C5DF" w:rsidR="00561EE1" w:rsidRPr="00DA31AC" w:rsidRDefault="00561EE1" w:rsidP="00DA31AC">
      <w:pPr>
        <w:pStyle w:val="FootnoteText"/>
        <w:ind w:firstLine="720"/>
        <w:jc w:val="both"/>
        <w:rPr>
          <w:rFonts w:ascii="Cambria" w:hAnsi="Cambria"/>
          <w:sz w:val="16"/>
          <w:szCs w:val="16"/>
          <w:lang w:val="es-ES"/>
        </w:rPr>
      </w:pPr>
      <w:r w:rsidRPr="00DA31AC">
        <w:rPr>
          <w:rStyle w:val="FootnoteReference"/>
          <w:rFonts w:ascii="Cambria" w:hAnsi="Cambria"/>
          <w:sz w:val="16"/>
          <w:szCs w:val="16"/>
        </w:rPr>
        <w:footnoteRef/>
      </w:r>
      <w:r w:rsidRPr="00DA31AC">
        <w:rPr>
          <w:rFonts w:ascii="Cambria" w:hAnsi="Cambria"/>
          <w:sz w:val="16"/>
          <w:szCs w:val="16"/>
          <w:lang w:val="es-ES"/>
        </w:rPr>
        <w:t xml:space="preserve"> CIDH, Informe No. 132/18. Petición 1225-12. Admisibilidad. Octavio Romero y Gabriel Gersbach. </w:t>
      </w:r>
      <w:r w:rsidRPr="00DA31AC">
        <w:rPr>
          <w:rFonts w:ascii="Cambria" w:hAnsi="Cambria"/>
          <w:sz w:val="16"/>
          <w:szCs w:val="16"/>
        </w:rPr>
        <w:t>Argentina. 20 de noviembre de 2018,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61EE1" w:rsidRDefault="00561EE1" w:rsidP="00DD6A5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61EE1" w:rsidRDefault="0056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61EE1" w:rsidRDefault="00561EE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61EE1" w:rsidRPr="00EC7D62" w:rsidRDefault="00226E76" w:rsidP="00A50FCF">
    <w:pPr>
      <w:pStyle w:val="Header"/>
      <w:tabs>
        <w:tab w:val="clear" w:pos="4320"/>
        <w:tab w:val="clear" w:pos="8640"/>
      </w:tabs>
      <w:jc w:val="center"/>
      <w:rPr>
        <w:sz w:val="22"/>
        <w:szCs w:val="22"/>
      </w:rPr>
    </w:pPr>
    <w:r>
      <w:rPr>
        <w:noProof/>
        <w:sz w:val="22"/>
        <w:szCs w:val="22"/>
        <w:bdr w:val="nil"/>
      </w:rPr>
      <w:pict w14:anchorId="4367A34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914D7CE"/>
    <w:lvl w:ilvl="0" w:tplc="BC3253E8">
      <w:start w:val="1"/>
      <w:numFmt w:val="decimal"/>
      <w:lvlText w:val="%1."/>
      <w:lvlJc w:val="left"/>
      <w:pPr>
        <w:tabs>
          <w:tab w:val="num" w:pos="720"/>
        </w:tabs>
        <w:ind w:left="0" w:firstLine="720"/>
      </w:pPr>
      <w:rPr>
        <w:rFonts w:ascii="Cambria" w:hAnsi="Cambria" w:hint="default"/>
        <w:color w:val="auto"/>
        <w:lang w:val="es-MX"/>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9539988">
    <w:abstractNumId w:val="3"/>
  </w:num>
  <w:num w:numId="2" w16cid:durableId="1925265039">
    <w:abstractNumId w:val="5"/>
  </w:num>
  <w:num w:numId="3" w16cid:durableId="142822079">
    <w:abstractNumId w:val="50"/>
  </w:num>
  <w:num w:numId="4" w16cid:durableId="791168892">
    <w:abstractNumId w:val="20"/>
  </w:num>
  <w:num w:numId="5" w16cid:durableId="1472015043">
    <w:abstractNumId w:val="44"/>
  </w:num>
  <w:num w:numId="6" w16cid:durableId="1784110734">
    <w:abstractNumId w:val="25"/>
  </w:num>
  <w:num w:numId="7" w16cid:durableId="441611695">
    <w:abstractNumId w:val="6"/>
  </w:num>
  <w:num w:numId="8" w16cid:durableId="2052802561">
    <w:abstractNumId w:val="16"/>
  </w:num>
  <w:num w:numId="9" w16cid:durableId="10380875">
    <w:abstractNumId w:val="35"/>
  </w:num>
  <w:num w:numId="10" w16cid:durableId="78524460">
    <w:abstractNumId w:val="39"/>
  </w:num>
  <w:num w:numId="11" w16cid:durableId="942955834">
    <w:abstractNumId w:val="0"/>
  </w:num>
  <w:num w:numId="12" w16cid:durableId="161359104">
    <w:abstractNumId w:val="34"/>
  </w:num>
  <w:num w:numId="13" w16cid:durableId="76367077">
    <w:abstractNumId w:val="41"/>
  </w:num>
  <w:num w:numId="14" w16cid:durableId="1872958703">
    <w:abstractNumId w:val="1"/>
  </w:num>
  <w:num w:numId="15" w16cid:durableId="647324350">
    <w:abstractNumId w:val="2"/>
  </w:num>
  <w:num w:numId="16" w16cid:durableId="1795057472">
    <w:abstractNumId w:val="7"/>
  </w:num>
  <w:num w:numId="17" w16cid:durableId="1524440365">
    <w:abstractNumId w:val="8"/>
  </w:num>
  <w:num w:numId="18" w16cid:durableId="692388213">
    <w:abstractNumId w:val="9"/>
  </w:num>
  <w:num w:numId="19" w16cid:durableId="1855073249">
    <w:abstractNumId w:val="10"/>
  </w:num>
  <w:num w:numId="20" w16cid:durableId="648749662">
    <w:abstractNumId w:val="11"/>
  </w:num>
  <w:num w:numId="21" w16cid:durableId="1466660362">
    <w:abstractNumId w:val="12"/>
  </w:num>
  <w:num w:numId="22" w16cid:durableId="519583540">
    <w:abstractNumId w:val="13"/>
  </w:num>
  <w:num w:numId="23" w16cid:durableId="1252542998">
    <w:abstractNumId w:val="14"/>
  </w:num>
  <w:num w:numId="24" w16cid:durableId="404451115">
    <w:abstractNumId w:val="15"/>
  </w:num>
  <w:num w:numId="25" w16cid:durableId="2125032683">
    <w:abstractNumId w:val="17"/>
  </w:num>
  <w:num w:numId="26" w16cid:durableId="1218277589">
    <w:abstractNumId w:val="18"/>
  </w:num>
  <w:num w:numId="27" w16cid:durableId="1950895316">
    <w:abstractNumId w:val="21"/>
  </w:num>
  <w:num w:numId="28" w16cid:durableId="86313578">
    <w:abstractNumId w:val="22"/>
  </w:num>
  <w:num w:numId="29" w16cid:durableId="282272239">
    <w:abstractNumId w:val="23"/>
  </w:num>
  <w:num w:numId="30" w16cid:durableId="1317999917">
    <w:abstractNumId w:val="24"/>
  </w:num>
  <w:num w:numId="31" w16cid:durableId="1291935404">
    <w:abstractNumId w:val="26"/>
  </w:num>
  <w:num w:numId="32" w16cid:durableId="966350812">
    <w:abstractNumId w:val="27"/>
  </w:num>
  <w:num w:numId="33" w16cid:durableId="519664435">
    <w:abstractNumId w:val="28"/>
  </w:num>
  <w:num w:numId="34" w16cid:durableId="344133865">
    <w:abstractNumId w:val="29"/>
  </w:num>
  <w:num w:numId="35" w16cid:durableId="2141914593">
    <w:abstractNumId w:val="30"/>
  </w:num>
  <w:num w:numId="36" w16cid:durableId="1133525956">
    <w:abstractNumId w:val="31"/>
  </w:num>
  <w:num w:numId="37" w16cid:durableId="1549950358">
    <w:abstractNumId w:val="32"/>
  </w:num>
  <w:num w:numId="38" w16cid:durableId="435367115">
    <w:abstractNumId w:val="33"/>
  </w:num>
  <w:num w:numId="39" w16cid:durableId="707610249">
    <w:abstractNumId w:val="36"/>
  </w:num>
  <w:num w:numId="40" w16cid:durableId="1705977918">
    <w:abstractNumId w:val="37"/>
  </w:num>
  <w:num w:numId="41" w16cid:durableId="1149899825">
    <w:abstractNumId w:val="43"/>
  </w:num>
  <w:num w:numId="42" w16cid:durableId="955136829">
    <w:abstractNumId w:val="45"/>
  </w:num>
  <w:num w:numId="43" w16cid:durableId="2121298817">
    <w:abstractNumId w:val="46"/>
  </w:num>
  <w:num w:numId="44" w16cid:durableId="327177771">
    <w:abstractNumId w:val="48"/>
  </w:num>
  <w:num w:numId="45" w16cid:durableId="1894147548">
    <w:abstractNumId w:val="49"/>
  </w:num>
  <w:num w:numId="46" w16cid:durableId="1779906094">
    <w:abstractNumId w:val="51"/>
  </w:num>
  <w:num w:numId="47" w16cid:durableId="1793668820">
    <w:abstractNumId w:val="52"/>
  </w:num>
  <w:num w:numId="48" w16cid:durableId="1359355607">
    <w:abstractNumId w:val="53"/>
  </w:num>
  <w:num w:numId="49" w16cid:durableId="2015961521">
    <w:abstractNumId w:val="54"/>
  </w:num>
  <w:num w:numId="50" w16cid:durableId="37171651">
    <w:abstractNumId w:val="55"/>
  </w:num>
  <w:num w:numId="51" w16cid:durableId="1005286847">
    <w:abstractNumId w:val="19"/>
  </w:num>
  <w:num w:numId="52" w16cid:durableId="1760710908">
    <w:abstractNumId w:val="38"/>
  </w:num>
  <w:num w:numId="53" w16cid:durableId="603923409">
    <w:abstractNumId w:val="47"/>
  </w:num>
  <w:num w:numId="54" w16cid:durableId="1555004387">
    <w:abstractNumId w:val="42"/>
  </w:num>
  <w:num w:numId="55" w16cid:durableId="323975181">
    <w:abstractNumId w:val="4"/>
  </w:num>
  <w:num w:numId="56" w16cid:durableId="95035680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6F3"/>
    <w:rsid w:val="000065D0"/>
    <w:rsid w:val="00006B74"/>
    <w:rsid w:val="00006E1F"/>
    <w:rsid w:val="000070D7"/>
    <w:rsid w:val="0000723C"/>
    <w:rsid w:val="000104F5"/>
    <w:rsid w:val="00010644"/>
    <w:rsid w:val="0001322D"/>
    <w:rsid w:val="00015701"/>
    <w:rsid w:val="0001788C"/>
    <w:rsid w:val="0002113F"/>
    <w:rsid w:val="0002186F"/>
    <w:rsid w:val="00021E08"/>
    <w:rsid w:val="00032D9E"/>
    <w:rsid w:val="000337EF"/>
    <w:rsid w:val="00035B87"/>
    <w:rsid w:val="00037B69"/>
    <w:rsid w:val="00040BDA"/>
    <w:rsid w:val="00040C3A"/>
    <w:rsid w:val="00041822"/>
    <w:rsid w:val="000419AD"/>
    <w:rsid w:val="00050A02"/>
    <w:rsid w:val="000535D1"/>
    <w:rsid w:val="000639F4"/>
    <w:rsid w:val="000716C5"/>
    <w:rsid w:val="00072190"/>
    <w:rsid w:val="00075E23"/>
    <w:rsid w:val="00077BD0"/>
    <w:rsid w:val="00087017"/>
    <w:rsid w:val="00090CA4"/>
    <w:rsid w:val="0009344A"/>
    <w:rsid w:val="000949C8"/>
    <w:rsid w:val="00096BBE"/>
    <w:rsid w:val="000A01B1"/>
    <w:rsid w:val="000A3254"/>
    <w:rsid w:val="000A392E"/>
    <w:rsid w:val="000A4BBD"/>
    <w:rsid w:val="000A575F"/>
    <w:rsid w:val="000A586A"/>
    <w:rsid w:val="000B0579"/>
    <w:rsid w:val="000B0D1B"/>
    <w:rsid w:val="000B4E5A"/>
    <w:rsid w:val="000C1933"/>
    <w:rsid w:val="000C1C42"/>
    <w:rsid w:val="000C1C69"/>
    <w:rsid w:val="000C2EB9"/>
    <w:rsid w:val="000D10DB"/>
    <w:rsid w:val="000E0841"/>
    <w:rsid w:val="000E2789"/>
    <w:rsid w:val="000E533C"/>
    <w:rsid w:val="000E5EB5"/>
    <w:rsid w:val="000F1C1E"/>
    <w:rsid w:val="000F35ED"/>
    <w:rsid w:val="000F5101"/>
    <w:rsid w:val="001007DF"/>
    <w:rsid w:val="00104179"/>
    <w:rsid w:val="00107131"/>
    <w:rsid w:val="0010736F"/>
    <w:rsid w:val="00111A8A"/>
    <w:rsid w:val="001123CE"/>
    <w:rsid w:val="00113F73"/>
    <w:rsid w:val="00114525"/>
    <w:rsid w:val="0011584C"/>
    <w:rsid w:val="001171BB"/>
    <w:rsid w:val="00121CC2"/>
    <w:rsid w:val="00127AF2"/>
    <w:rsid w:val="00127B2C"/>
    <w:rsid w:val="00131D8B"/>
    <w:rsid w:val="00133EE5"/>
    <w:rsid w:val="00136AA2"/>
    <w:rsid w:val="00136E3D"/>
    <w:rsid w:val="00143EFE"/>
    <w:rsid w:val="001479C0"/>
    <w:rsid w:val="0015330B"/>
    <w:rsid w:val="00157193"/>
    <w:rsid w:val="00160299"/>
    <w:rsid w:val="00160D5E"/>
    <w:rsid w:val="0016212E"/>
    <w:rsid w:val="00167A34"/>
    <w:rsid w:val="00173BCB"/>
    <w:rsid w:val="001748A8"/>
    <w:rsid w:val="001761CF"/>
    <w:rsid w:val="00177EEF"/>
    <w:rsid w:val="001811F7"/>
    <w:rsid w:val="0018378E"/>
    <w:rsid w:val="001864F3"/>
    <w:rsid w:val="00186C9A"/>
    <w:rsid w:val="00187408"/>
    <w:rsid w:val="0019517D"/>
    <w:rsid w:val="001A066C"/>
    <w:rsid w:val="001A3318"/>
    <w:rsid w:val="001A3D2D"/>
    <w:rsid w:val="001A7870"/>
    <w:rsid w:val="001B36D5"/>
    <w:rsid w:val="001B3A00"/>
    <w:rsid w:val="001B4F0C"/>
    <w:rsid w:val="001B5141"/>
    <w:rsid w:val="001B5665"/>
    <w:rsid w:val="001C1B41"/>
    <w:rsid w:val="001C22CD"/>
    <w:rsid w:val="001C6E86"/>
    <w:rsid w:val="001C77FC"/>
    <w:rsid w:val="001D6436"/>
    <w:rsid w:val="001D65EF"/>
    <w:rsid w:val="001E0500"/>
    <w:rsid w:val="001E49E7"/>
    <w:rsid w:val="001E55A2"/>
    <w:rsid w:val="001F271B"/>
    <w:rsid w:val="001F7201"/>
    <w:rsid w:val="0020019E"/>
    <w:rsid w:val="002009AB"/>
    <w:rsid w:val="00200B3A"/>
    <w:rsid w:val="00201E85"/>
    <w:rsid w:val="00202B0A"/>
    <w:rsid w:val="00202C77"/>
    <w:rsid w:val="0020358C"/>
    <w:rsid w:val="00203BD4"/>
    <w:rsid w:val="00204931"/>
    <w:rsid w:val="00211124"/>
    <w:rsid w:val="00214755"/>
    <w:rsid w:val="002155A7"/>
    <w:rsid w:val="00223A29"/>
    <w:rsid w:val="002250A3"/>
    <w:rsid w:val="00226E76"/>
    <w:rsid w:val="00231294"/>
    <w:rsid w:val="0023147C"/>
    <w:rsid w:val="00235217"/>
    <w:rsid w:val="00235741"/>
    <w:rsid w:val="00241BF2"/>
    <w:rsid w:val="002441DA"/>
    <w:rsid w:val="0024534C"/>
    <w:rsid w:val="00246D1F"/>
    <w:rsid w:val="00247403"/>
    <w:rsid w:val="00247542"/>
    <w:rsid w:val="0025766A"/>
    <w:rsid w:val="00260F5B"/>
    <w:rsid w:val="00266B61"/>
    <w:rsid w:val="0026712A"/>
    <w:rsid w:val="002704DB"/>
    <w:rsid w:val="00274BF4"/>
    <w:rsid w:val="00277BDA"/>
    <w:rsid w:val="0028333F"/>
    <w:rsid w:val="00285743"/>
    <w:rsid w:val="00292E11"/>
    <w:rsid w:val="002947A0"/>
    <w:rsid w:val="0029575A"/>
    <w:rsid w:val="0029604B"/>
    <w:rsid w:val="002A063B"/>
    <w:rsid w:val="002A0AAE"/>
    <w:rsid w:val="002A304F"/>
    <w:rsid w:val="002A3053"/>
    <w:rsid w:val="002A5820"/>
    <w:rsid w:val="002B2C87"/>
    <w:rsid w:val="002C3350"/>
    <w:rsid w:val="002C6AEB"/>
    <w:rsid w:val="002D0A01"/>
    <w:rsid w:val="002D1E8A"/>
    <w:rsid w:val="002D1EAA"/>
    <w:rsid w:val="002D2B26"/>
    <w:rsid w:val="002D7EA2"/>
    <w:rsid w:val="002E187C"/>
    <w:rsid w:val="002E1ED4"/>
    <w:rsid w:val="002E3FB9"/>
    <w:rsid w:val="002E4E8C"/>
    <w:rsid w:val="002E581F"/>
    <w:rsid w:val="002E5993"/>
    <w:rsid w:val="002E7512"/>
    <w:rsid w:val="002F20BD"/>
    <w:rsid w:val="002F7F5F"/>
    <w:rsid w:val="00302733"/>
    <w:rsid w:val="00303AFC"/>
    <w:rsid w:val="0030765D"/>
    <w:rsid w:val="003121D5"/>
    <w:rsid w:val="00314078"/>
    <w:rsid w:val="0031535D"/>
    <w:rsid w:val="00317CF8"/>
    <w:rsid w:val="00320094"/>
    <w:rsid w:val="003239B8"/>
    <w:rsid w:val="0032556F"/>
    <w:rsid w:val="00325BBC"/>
    <w:rsid w:val="0032740F"/>
    <w:rsid w:val="0033169F"/>
    <w:rsid w:val="00332E1B"/>
    <w:rsid w:val="0034171D"/>
    <w:rsid w:val="00341827"/>
    <w:rsid w:val="0034224A"/>
    <w:rsid w:val="00343438"/>
    <w:rsid w:val="003437D7"/>
    <w:rsid w:val="00344977"/>
    <w:rsid w:val="00346C95"/>
    <w:rsid w:val="00351155"/>
    <w:rsid w:val="00355316"/>
    <w:rsid w:val="003558D2"/>
    <w:rsid w:val="00356185"/>
    <w:rsid w:val="00360380"/>
    <w:rsid w:val="00361EFF"/>
    <w:rsid w:val="00362393"/>
    <w:rsid w:val="003626A7"/>
    <w:rsid w:val="00374340"/>
    <w:rsid w:val="0037519E"/>
    <w:rsid w:val="003762C7"/>
    <w:rsid w:val="00384068"/>
    <w:rsid w:val="00384BF8"/>
    <w:rsid w:val="00386C6C"/>
    <w:rsid w:val="00386CF0"/>
    <w:rsid w:val="00387C6F"/>
    <w:rsid w:val="00390D1E"/>
    <w:rsid w:val="0039103D"/>
    <w:rsid w:val="00393274"/>
    <w:rsid w:val="00393C6D"/>
    <w:rsid w:val="00396BB6"/>
    <w:rsid w:val="00397B9C"/>
    <w:rsid w:val="003A1B80"/>
    <w:rsid w:val="003A6337"/>
    <w:rsid w:val="003B4C0C"/>
    <w:rsid w:val="003B4FF6"/>
    <w:rsid w:val="003B647F"/>
    <w:rsid w:val="003B70FB"/>
    <w:rsid w:val="003B778F"/>
    <w:rsid w:val="003C114A"/>
    <w:rsid w:val="003C2531"/>
    <w:rsid w:val="003C47BB"/>
    <w:rsid w:val="003C676B"/>
    <w:rsid w:val="003D0A55"/>
    <w:rsid w:val="003D225D"/>
    <w:rsid w:val="003D3BC2"/>
    <w:rsid w:val="003D4EB3"/>
    <w:rsid w:val="003D5EA8"/>
    <w:rsid w:val="003D73A0"/>
    <w:rsid w:val="003E1AD8"/>
    <w:rsid w:val="003E673E"/>
    <w:rsid w:val="003E6CA1"/>
    <w:rsid w:val="003E6D8B"/>
    <w:rsid w:val="003E76F5"/>
    <w:rsid w:val="003F2A8F"/>
    <w:rsid w:val="003F4F47"/>
    <w:rsid w:val="003F6101"/>
    <w:rsid w:val="004015D9"/>
    <w:rsid w:val="00402449"/>
    <w:rsid w:val="00405929"/>
    <w:rsid w:val="004065A8"/>
    <w:rsid w:val="004165C2"/>
    <w:rsid w:val="00416A7F"/>
    <w:rsid w:val="00417C80"/>
    <w:rsid w:val="00421739"/>
    <w:rsid w:val="00423172"/>
    <w:rsid w:val="004304AD"/>
    <w:rsid w:val="00431234"/>
    <w:rsid w:val="0043279F"/>
    <w:rsid w:val="00432B8C"/>
    <w:rsid w:val="00437ED8"/>
    <w:rsid w:val="00441ECB"/>
    <w:rsid w:val="00443917"/>
    <w:rsid w:val="00445193"/>
    <w:rsid w:val="00447333"/>
    <w:rsid w:val="00447CCF"/>
    <w:rsid w:val="004532D2"/>
    <w:rsid w:val="00454B04"/>
    <w:rsid w:val="004565BA"/>
    <w:rsid w:val="0045707F"/>
    <w:rsid w:val="00462C1B"/>
    <w:rsid w:val="00466951"/>
    <w:rsid w:val="00466FA3"/>
    <w:rsid w:val="00467B7E"/>
    <w:rsid w:val="0047127C"/>
    <w:rsid w:val="00473BB4"/>
    <w:rsid w:val="00474836"/>
    <w:rsid w:val="0047583B"/>
    <w:rsid w:val="00477592"/>
    <w:rsid w:val="004804D1"/>
    <w:rsid w:val="00484D16"/>
    <w:rsid w:val="00486F1C"/>
    <w:rsid w:val="0049030A"/>
    <w:rsid w:val="0049419D"/>
    <w:rsid w:val="004A59CC"/>
    <w:rsid w:val="004A6A54"/>
    <w:rsid w:val="004A6EF1"/>
    <w:rsid w:val="004A7464"/>
    <w:rsid w:val="004A7A09"/>
    <w:rsid w:val="004B0477"/>
    <w:rsid w:val="004B2239"/>
    <w:rsid w:val="004B3FA8"/>
    <w:rsid w:val="004C0BE0"/>
    <w:rsid w:val="004C20D2"/>
    <w:rsid w:val="004C2312"/>
    <w:rsid w:val="004C4542"/>
    <w:rsid w:val="004C4B62"/>
    <w:rsid w:val="004C54C9"/>
    <w:rsid w:val="004C616A"/>
    <w:rsid w:val="004C7E9A"/>
    <w:rsid w:val="004D29CB"/>
    <w:rsid w:val="004D41CC"/>
    <w:rsid w:val="004D4ABA"/>
    <w:rsid w:val="004D6025"/>
    <w:rsid w:val="004E054F"/>
    <w:rsid w:val="004E0D68"/>
    <w:rsid w:val="004E169F"/>
    <w:rsid w:val="004E19B1"/>
    <w:rsid w:val="004E1D50"/>
    <w:rsid w:val="004E2649"/>
    <w:rsid w:val="004E29F1"/>
    <w:rsid w:val="004E2E7D"/>
    <w:rsid w:val="004E473D"/>
    <w:rsid w:val="004E486E"/>
    <w:rsid w:val="004F6D03"/>
    <w:rsid w:val="00501399"/>
    <w:rsid w:val="00501652"/>
    <w:rsid w:val="0050633D"/>
    <w:rsid w:val="005079CA"/>
    <w:rsid w:val="00507BC4"/>
    <w:rsid w:val="005128E4"/>
    <w:rsid w:val="005133DB"/>
    <w:rsid w:val="00520703"/>
    <w:rsid w:val="005229A4"/>
    <w:rsid w:val="00525560"/>
    <w:rsid w:val="005328A7"/>
    <w:rsid w:val="005374F1"/>
    <w:rsid w:val="00537697"/>
    <w:rsid w:val="00537CAA"/>
    <w:rsid w:val="005415E6"/>
    <w:rsid w:val="00541D91"/>
    <w:rsid w:val="00541F5A"/>
    <w:rsid w:val="00544216"/>
    <w:rsid w:val="00544C49"/>
    <w:rsid w:val="005516A1"/>
    <w:rsid w:val="00560CE3"/>
    <w:rsid w:val="00561EE1"/>
    <w:rsid w:val="00562FAB"/>
    <w:rsid w:val="00563557"/>
    <w:rsid w:val="00567A1A"/>
    <w:rsid w:val="00572FB8"/>
    <w:rsid w:val="0057402A"/>
    <w:rsid w:val="00574881"/>
    <w:rsid w:val="00574A67"/>
    <w:rsid w:val="00574CB7"/>
    <w:rsid w:val="005750B0"/>
    <w:rsid w:val="005753FB"/>
    <w:rsid w:val="005771D0"/>
    <w:rsid w:val="005803A5"/>
    <w:rsid w:val="005847F4"/>
    <w:rsid w:val="0059191A"/>
    <w:rsid w:val="00591F1C"/>
    <w:rsid w:val="005921FF"/>
    <w:rsid w:val="00595A5E"/>
    <w:rsid w:val="0059628C"/>
    <w:rsid w:val="00596DCA"/>
    <w:rsid w:val="005A24ED"/>
    <w:rsid w:val="005A51C7"/>
    <w:rsid w:val="005A6D0E"/>
    <w:rsid w:val="005A6D87"/>
    <w:rsid w:val="005A7F11"/>
    <w:rsid w:val="005B2DB3"/>
    <w:rsid w:val="005B37CC"/>
    <w:rsid w:val="005B52B0"/>
    <w:rsid w:val="005B6806"/>
    <w:rsid w:val="005B6D22"/>
    <w:rsid w:val="005C261A"/>
    <w:rsid w:val="005C4225"/>
    <w:rsid w:val="005C6F56"/>
    <w:rsid w:val="005C7989"/>
    <w:rsid w:val="005D5157"/>
    <w:rsid w:val="005E0B65"/>
    <w:rsid w:val="005E11B2"/>
    <w:rsid w:val="005E4A86"/>
    <w:rsid w:val="005F03E1"/>
    <w:rsid w:val="005F0DAD"/>
    <w:rsid w:val="005F0F33"/>
    <w:rsid w:val="005F1B98"/>
    <w:rsid w:val="005F4721"/>
    <w:rsid w:val="005F4E06"/>
    <w:rsid w:val="006002A3"/>
    <w:rsid w:val="00600DEB"/>
    <w:rsid w:val="00601DD9"/>
    <w:rsid w:val="006026EC"/>
    <w:rsid w:val="0060313F"/>
    <w:rsid w:val="006065B7"/>
    <w:rsid w:val="006233CE"/>
    <w:rsid w:val="00623420"/>
    <w:rsid w:val="0062670D"/>
    <w:rsid w:val="006277DE"/>
    <w:rsid w:val="00627C9F"/>
    <w:rsid w:val="006311E9"/>
    <w:rsid w:val="00632354"/>
    <w:rsid w:val="00642810"/>
    <w:rsid w:val="00642B82"/>
    <w:rsid w:val="00647756"/>
    <w:rsid w:val="006509DA"/>
    <w:rsid w:val="00652333"/>
    <w:rsid w:val="00653F2F"/>
    <w:rsid w:val="00660AE7"/>
    <w:rsid w:val="00660FC9"/>
    <w:rsid w:val="0068009E"/>
    <w:rsid w:val="00681515"/>
    <w:rsid w:val="006819E9"/>
    <w:rsid w:val="00681A49"/>
    <w:rsid w:val="00686471"/>
    <w:rsid w:val="00690AAB"/>
    <w:rsid w:val="00691316"/>
    <w:rsid w:val="00691BBE"/>
    <w:rsid w:val="00692219"/>
    <w:rsid w:val="00696CF9"/>
    <w:rsid w:val="006976F2"/>
    <w:rsid w:val="006A16C1"/>
    <w:rsid w:val="006A17D2"/>
    <w:rsid w:val="006A3AE4"/>
    <w:rsid w:val="006A3D76"/>
    <w:rsid w:val="006A4D5D"/>
    <w:rsid w:val="006A70DA"/>
    <w:rsid w:val="006A73E6"/>
    <w:rsid w:val="006B2D5C"/>
    <w:rsid w:val="006B4621"/>
    <w:rsid w:val="006C4EB1"/>
    <w:rsid w:val="006C7AE8"/>
    <w:rsid w:val="006D645B"/>
    <w:rsid w:val="006E0166"/>
    <w:rsid w:val="006E2F26"/>
    <w:rsid w:val="006E4B3D"/>
    <w:rsid w:val="006E4FDC"/>
    <w:rsid w:val="006E7B34"/>
    <w:rsid w:val="006F2F1D"/>
    <w:rsid w:val="006F67A1"/>
    <w:rsid w:val="00701306"/>
    <w:rsid w:val="0070697F"/>
    <w:rsid w:val="0071444F"/>
    <w:rsid w:val="00715D37"/>
    <w:rsid w:val="007175E4"/>
    <w:rsid w:val="0072199C"/>
    <w:rsid w:val="00722C9F"/>
    <w:rsid w:val="007245EF"/>
    <w:rsid w:val="00724891"/>
    <w:rsid w:val="007253B8"/>
    <w:rsid w:val="00734BF3"/>
    <w:rsid w:val="0073598C"/>
    <w:rsid w:val="007369BE"/>
    <w:rsid w:val="0073741F"/>
    <w:rsid w:val="00743704"/>
    <w:rsid w:val="00744470"/>
    <w:rsid w:val="00744590"/>
    <w:rsid w:val="00753794"/>
    <w:rsid w:val="007570CD"/>
    <w:rsid w:val="00764FC8"/>
    <w:rsid w:val="0076643F"/>
    <w:rsid w:val="00767DE9"/>
    <w:rsid w:val="0077035F"/>
    <w:rsid w:val="007751BE"/>
    <w:rsid w:val="007779A8"/>
    <w:rsid w:val="00777F63"/>
    <w:rsid w:val="00780295"/>
    <w:rsid w:val="00781854"/>
    <w:rsid w:val="00784092"/>
    <w:rsid w:val="007852B5"/>
    <w:rsid w:val="00785C1B"/>
    <w:rsid w:val="0079167D"/>
    <w:rsid w:val="007941B3"/>
    <w:rsid w:val="007A0EF1"/>
    <w:rsid w:val="007A10D2"/>
    <w:rsid w:val="007A2F19"/>
    <w:rsid w:val="007A5166"/>
    <w:rsid w:val="007A5817"/>
    <w:rsid w:val="007B05C4"/>
    <w:rsid w:val="007B0A00"/>
    <w:rsid w:val="007B60E9"/>
    <w:rsid w:val="007B6CC3"/>
    <w:rsid w:val="007B79E8"/>
    <w:rsid w:val="007C20BA"/>
    <w:rsid w:val="007C3334"/>
    <w:rsid w:val="007C402A"/>
    <w:rsid w:val="007C6DAE"/>
    <w:rsid w:val="007C740F"/>
    <w:rsid w:val="007D2B98"/>
    <w:rsid w:val="007D4106"/>
    <w:rsid w:val="007D7C02"/>
    <w:rsid w:val="007E21BC"/>
    <w:rsid w:val="007E3509"/>
    <w:rsid w:val="007E3A8D"/>
    <w:rsid w:val="007E468C"/>
    <w:rsid w:val="007E58FE"/>
    <w:rsid w:val="007E7C82"/>
    <w:rsid w:val="007F0C51"/>
    <w:rsid w:val="007F588D"/>
    <w:rsid w:val="00802748"/>
    <w:rsid w:val="00803F1C"/>
    <w:rsid w:val="0080600E"/>
    <w:rsid w:val="00806BA6"/>
    <w:rsid w:val="00806FBB"/>
    <w:rsid w:val="0081594F"/>
    <w:rsid w:val="00817612"/>
    <w:rsid w:val="00821342"/>
    <w:rsid w:val="0082682E"/>
    <w:rsid w:val="008338A4"/>
    <w:rsid w:val="00834D49"/>
    <w:rsid w:val="00836A5A"/>
    <w:rsid w:val="00836D82"/>
    <w:rsid w:val="00837C45"/>
    <w:rsid w:val="008411F0"/>
    <w:rsid w:val="008417D0"/>
    <w:rsid w:val="00844730"/>
    <w:rsid w:val="008457C2"/>
    <w:rsid w:val="00845EF6"/>
    <w:rsid w:val="00854BC5"/>
    <w:rsid w:val="008561B9"/>
    <w:rsid w:val="00856ECA"/>
    <w:rsid w:val="00857A82"/>
    <w:rsid w:val="00864B96"/>
    <w:rsid w:val="00870539"/>
    <w:rsid w:val="00871526"/>
    <w:rsid w:val="00873836"/>
    <w:rsid w:val="008764AD"/>
    <w:rsid w:val="008778AD"/>
    <w:rsid w:val="008826A7"/>
    <w:rsid w:val="00883BA1"/>
    <w:rsid w:val="00884E8C"/>
    <w:rsid w:val="00885737"/>
    <w:rsid w:val="00890650"/>
    <w:rsid w:val="0089300F"/>
    <w:rsid w:val="00894C14"/>
    <w:rsid w:val="00897E12"/>
    <w:rsid w:val="008A08FF"/>
    <w:rsid w:val="008A0F81"/>
    <w:rsid w:val="008A2508"/>
    <w:rsid w:val="008A7E0F"/>
    <w:rsid w:val="008B12F5"/>
    <w:rsid w:val="008B5932"/>
    <w:rsid w:val="008B67B2"/>
    <w:rsid w:val="008C10F1"/>
    <w:rsid w:val="008C50BE"/>
    <w:rsid w:val="008C5751"/>
    <w:rsid w:val="008D3681"/>
    <w:rsid w:val="008D768D"/>
    <w:rsid w:val="008E328A"/>
    <w:rsid w:val="008E3759"/>
    <w:rsid w:val="008E3BFE"/>
    <w:rsid w:val="008E4762"/>
    <w:rsid w:val="008E64ED"/>
    <w:rsid w:val="008E7900"/>
    <w:rsid w:val="008F1912"/>
    <w:rsid w:val="008F376C"/>
    <w:rsid w:val="0090270B"/>
    <w:rsid w:val="009041DC"/>
    <w:rsid w:val="00904376"/>
    <w:rsid w:val="0091381C"/>
    <w:rsid w:val="00917B5A"/>
    <w:rsid w:val="00920874"/>
    <w:rsid w:val="00920A58"/>
    <w:rsid w:val="00920A8C"/>
    <w:rsid w:val="00920F7D"/>
    <w:rsid w:val="00926840"/>
    <w:rsid w:val="00934A2C"/>
    <w:rsid w:val="00935F06"/>
    <w:rsid w:val="00936942"/>
    <w:rsid w:val="00937B3A"/>
    <w:rsid w:val="00941B3B"/>
    <w:rsid w:val="009432DD"/>
    <w:rsid w:val="00943C8E"/>
    <w:rsid w:val="0094623D"/>
    <w:rsid w:val="00952E2A"/>
    <w:rsid w:val="009539B3"/>
    <w:rsid w:val="00954B82"/>
    <w:rsid w:val="00962436"/>
    <w:rsid w:val="0096706E"/>
    <w:rsid w:val="00967678"/>
    <w:rsid w:val="00973F81"/>
    <w:rsid w:val="00974491"/>
    <w:rsid w:val="00975C4E"/>
    <w:rsid w:val="00981FBA"/>
    <w:rsid w:val="00996D90"/>
    <w:rsid w:val="00997BC5"/>
    <w:rsid w:val="009A216A"/>
    <w:rsid w:val="009A4F41"/>
    <w:rsid w:val="009B04AC"/>
    <w:rsid w:val="009B381B"/>
    <w:rsid w:val="009C0048"/>
    <w:rsid w:val="009C1A96"/>
    <w:rsid w:val="009C2FC5"/>
    <w:rsid w:val="009D1753"/>
    <w:rsid w:val="009D20FB"/>
    <w:rsid w:val="009D5BEB"/>
    <w:rsid w:val="009D6502"/>
    <w:rsid w:val="009D7611"/>
    <w:rsid w:val="009D78A5"/>
    <w:rsid w:val="009E0B61"/>
    <w:rsid w:val="009E0CA1"/>
    <w:rsid w:val="009E3542"/>
    <w:rsid w:val="009E53DE"/>
    <w:rsid w:val="009E5F63"/>
    <w:rsid w:val="009E6727"/>
    <w:rsid w:val="009E7C00"/>
    <w:rsid w:val="009F0B4D"/>
    <w:rsid w:val="009F0FC6"/>
    <w:rsid w:val="009F2349"/>
    <w:rsid w:val="009F24A1"/>
    <w:rsid w:val="00A0691C"/>
    <w:rsid w:val="00A11E44"/>
    <w:rsid w:val="00A145B6"/>
    <w:rsid w:val="00A16346"/>
    <w:rsid w:val="00A16B7B"/>
    <w:rsid w:val="00A21B21"/>
    <w:rsid w:val="00A22397"/>
    <w:rsid w:val="00A26886"/>
    <w:rsid w:val="00A328B3"/>
    <w:rsid w:val="00A41288"/>
    <w:rsid w:val="00A50CEF"/>
    <w:rsid w:val="00A50FCF"/>
    <w:rsid w:val="00A5157F"/>
    <w:rsid w:val="00A528D1"/>
    <w:rsid w:val="00A53A0F"/>
    <w:rsid w:val="00A610CD"/>
    <w:rsid w:val="00A62508"/>
    <w:rsid w:val="00A625E0"/>
    <w:rsid w:val="00A64194"/>
    <w:rsid w:val="00A7063E"/>
    <w:rsid w:val="00A74947"/>
    <w:rsid w:val="00A758AA"/>
    <w:rsid w:val="00A800EA"/>
    <w:rsid w:val="00A82C5D"/>
    <w:rsid w:val="00A8681B"/>
    <w:rsid w:val="00A93FE6"/>
    <w:rsid w:val="00A97404"/>
    <w:rsid w:val="00AA04D9"/>
    <w:rsid w:val="00AA09A2"/>
    <w:rsid w:val="00AA1FC9"/>
    <w:rsid w:val="00AA247F"/>
    <w:rsid w:val="00AA45EE"/>
    <w:rsid w:val="00AA7996"/>
    <w:rsid w:val="00AB1468"/>
    <w:rsid w:val="00AB39E7"/>
    <w:rsid w:val="00AB7A31"/>
    <w:rsid w:val="00AC19CB"/>
    <w:rsid w:val="00AC448C"/>
    <w:rsid w:val="00AC4AC6"/>
    <w:rsid w:val="00AC6154"/>
    <w:rsid w:val="00AD081E"/>
    <w:rsid w:val="00AD1886"/>
    <w:rsid w:val="00AD5032"/>
    <w:rsid w:val="00AE5488"/>
    <w:rsid w:val="00AE6F91"/>
    <w:rsid w:val="00AE7F18"/>
    <w:rsid w:val="00AF05D4"/>
    <w:rsid w:val="00AF0F3D"/>
    <w:rsid w:val="00AF4C02"/>
    <w:rsid w:val="00AF5571"/>
    <w:rsid w:val="00AF6757"/>
    <w:rsid w:val="00AF6D17"/>
    <w:rsid w:val="00B02959"/>
    <w:rsid w:val="00B02FA9"/>
    <w:rsid w:val="00B0613D"/>
    <w:rsid w:val="00B06B4E"/>
    <w:rsid w:val="00B07341"/>
    <w:rsid w:val="00B10C89"/>
    <w:rsid w:val="00B16B79"/>
    <w:rsid w:val="00B202B5"/>
    <w:rsid w:val="00B301E7"/>
    <w:rsid w:val="00B30539"/>
    <w:rsid w:val="00B314DB"/>
    <w:rsid w:val="00B31FAB"/>
    <w:rsid w:val="00B361F2"/>
    <w:rsid w:val="00B3718B"/>
    <w:rsid w:val="00B37ED8"/>
    <w:rsid w:val="00B42859"/>
    <w:rsid w:val="00B4632A"/>
    <w:rsid w:val="00B47215"/>
    <w:rsid w:val="00B5067D"/>
    <w:rsid w:val="00B530F1"/>
    <w:rsid w:val="00B56DA5"/>
    <w:rsid w:val="00B736AF"/>
    <w:rsid w:val="00B82FC6"/>
    <w:rsid w:val="00B93862"/>
    <w:rsid w:val="00B97946"/>
    <w:rsid w:val="00BA276C"/>
    <w:rsid w:val="00BA4FC4"/>
    <w:rsid w:val="00BA5544"/>
    <w:rsid w:val="00BB1B05"/>
    <w:rsid w:val="00BB306F"/>
    <w:rsid w:val="00BB3FBD"/>
    <w:rsid w:val="00BB50E5"/>
    <w:rsid w:val="00BB709A"/>
    <w:rsid w:val="00BC0E43"/>
    <w:rsid w:val="00BC6CD0"/>
    <w:rsid w:val="00BC7F10"/>
    <w:rsid w:val="00BD2D61"/>
    <w:rsid w:val="00BD419D"/>
    <w:rsid w:val="00BD4B89"/>
    <w:rsid w:val="00BD5922"/>
    <w:rsid w:val="00BD76D9"/>
    <w:rsid w:val="00BE1940"/>
    <w:rsid w:val="00BF02CB"/>
    <w:rsid w:val="00BF0D47"/>
    <w:rsid w:val="00BF514A"/>
    <w:rsid w:val="00BF6FD8"/>
    <w:rsid w:val="00BF775D"/>
    <w:rsid w:val="00C03680"/>
    <w:rsid w:val="00C054DF"/>
    <w:rsid w:val="00C10AFC"/>
    <w:rsid w:val="00C13E6C"/>
    <w:rsid w:val="00C150F5"/>
    <w:rsid w:val="00C21562"/>
    <w:rsid w:val="00C21762"/>
    <w:rsid w:val="00C21FEF"/>
    <w:rsid w:val="00C2229D"/>
    <w:rsid w:val="00C24543"/>
    <w:rsid w:val="00C256A2"/>
    <w:rsid w:val="00C2583D"/>
    <w:rsid w:val="00C35A26"/>
    <w:rsid w:val="00C46104"/>
    <w:rsid w:val="00C51515"/>
    <w:rsid w:val="00C53910"/>
    <w:rsid w:val="00C5660B"/>
    <w:rsid w:val="00C56854"/>
    <w:rsid w:val="00C56B1F"/>
    <w:rsid w:val="00C5788A"/>
    <w:rsid w:val="00C66B72"/>
    <w:rsid w:val="00C7589C"/>
    <w:rsid w:val="00C764E1"/>
    <w:rsid w:val="00C87AC4"/>
    <w:rsid w:val="00C9211F"/>
    <w:rsid w:val="00C938F8"/>
    <w:rsid w:val="00C9567A"/>
    <w:rsid w:val="00CA401E"/>
    <w:rsid w:val="00CA48A3"/>
    <w:rsid w:val="00CA4ED8"/>
    <w:rsid w:val="00CA7CC0"/>
    <w:rsid w:val="00CB212D"/>
    <w:rsid w:val="00CB2660"/>
    <w:rsid w:val="00CB4D27"/>
    <w:rsid w:val="00CB52EB"/>
    <w:rsid w:val="00CC3A93"/>
    <w:rsid w:val="00CC3E13"/>
    <w:rsid w:val="00CC5402"/>
    <w:rsid w:val="00CC554B"/>
    <w:rsid w:val="00CC5DE9"/>
    <w:rsid w:val="00CC5E90"/>
    <w:rsid w:val="00CC6DEA"/>
    <w:rsid w:val="00CC6E35"/>
    <w:rsid w:val="00CC723E"/>
    <w:rsid w:val="00CD046C"/>
    <w:rsid w:val="00CD3F81"/>
    <w:rsid w:val="00CD74D6"/>
    <w:rsid w:val="00CE076C"/>
    <w:rsid w:val="00CE5199"/>
    <w:rsid w:val="00CE527D"/>
    <w:rsid w:val="00CE66D5"/>
    <w:rsid w:val="00CE7046"/>
    <w:rsid w:val="00CF45B4"/>
    <w:rsid w:val="00CF51D6"/>
    <w:rsid w:val="00CF637A"/>
    <w:rsid w:val="00CF69B5"/>
    <w:rsid w:val="00CF7A59"/>
    <w:rsid w:val="00D03715"/>
    <w:rsid w:val="00D059DE"/>
    <w:rsid w:val="00D05ABD"/>
    <w:rsid w:val="00D1161E"/>
    <w:rsid w:val="00D13FCE"/>
    <w:rsid w:val="00D278A4"/>
    <w:rsid w:val="00D306D1"/>
    <w:rsid w:val="00D30800"/>
    <w:rsid w:val="00D32260"/>
    <w:rsid w:val="00D34786"/>
    <w:rsid w:val="00D34B76"/>
    <w:rsid w:val="00D37BFC"/>
    <w:rsid w:val="00D42822"/>
    <w:rsid w:val="00D45A37"/>
    <w:rsid w:val="00D460F3"/>
    <w:rsid w:val="00D461AB"/>
    <w:rsid w:val="00D471CA"/>
    <w:rsid w:val="00D47366"/>
    <w:rsid w:val="00D47A8E"/>
    <w:rsid w:val="00D52D14"/>
    <w:rsid w:val="00D55256"/>
    <w:rsid w:val="00D5551D"/>
    <w:rsid w:val="00D62438"/>
    <w:rsid w:val="00D63926"/>
    <w:rsid w:val="00D64647"/>
    <w:rsid w:val="00D6626B"/>
    <w:rsid w:val="00D712D3"/>
    <w:rsid w:val="00D71422"/>
    <w:rsid w:val="00D72DC6"/>
    <w:rsid w:val="00D73A49"/>
    <w:rsid w:val="00D73F5E"/>
    <w:rsid w:val="00D75459"/>
    <w:rsid w:val="00D7558D"/>
    <w:rsid w:val="00D77503"/>
    <w:rsid w:val="00D81D92"/>
    <w:rsid w:val="00D876F9"/>
    <w:rsid w:val="00D877B6"/>
    <w:rsid w:val="00DA009E"/>
    <w:rsid w:val="00DA31AC"/>
    <w:rsid w:val="00DA7B5F"/>
    <w:rsid w:val="00DB1550"/>
    <w:rsid w:val="00DB20DA"/>
    <w:rsid w:val="00DB3D5F"/>
    <w:rsid w:val="00DC11E7"/>
    <w:rsid w:val="00DC2F5B"/>
    <w:rsid w:val="00DC46AF"/>
    <w:rsid w:val="00DC7023"/>
    <w:rsid w:val="00DC769A"/>
    <w:rsid w:val="00DD3D86"/>
    <w:rsid w:val="00DD3F6C"/>
    <w:rsid w:val="00DD619C"/>
    <w:rsid w:val="00DD6A5A"/>
    <w:rsid w:val="00DE12F0"/>
    <w:rsid w:val="00DE250A"/>
    <w:rsid w:val="00DE32FE"/>
    <w:rsid w:val="00DE43CA"/>
    <w:rsid w:val="00DE6C92"/>
    <w:rsid w:val="00DF1D18"/>
    <w:rsid w:val="00DF1EC4"/>
    <w:rsid w:val="00DF295D"/>
    <w:rsid w:val="00DF2C49"/>
    <w:rsid w:val="00E01886"/>
    <w:rsid w:val="00E01943"/>
    <w:rsid w:val="00E0340B"/>
    <w:rsid w:val="00E04A90"/>
    <w:rsid w:val="00E0551F"/>
    <w:rsid w:val="00E12F10"/>
    <w:rsid w:val="00E16AE2"/>
    <w:rsid w:val="00E170D0"/>
    <w:rsid w:val="00E219C7"/>
    <w:rsid w:val="00E23117"/>
    <w:rsid w:val="00E26CCA"/>
    <w:rsid w:val="00E31586"/>
    <w:rsid w:val="00E4118C"/>
    <w:rsid w:val="00E420A2"/>
    <w:rsid w:val="00E43157"/>
    <w:rsid w:val="00E461CE"/>
    <w:rsid w:val="00E479A2"/>
    <w:rsid w:val="00E50345"/>
    <w:rsid w:val="00E55DFC"/>
    <w:rsid w:val="00E579A7"/>
    <w:rsid w:val="00E61D55"/>
    <w:rsid w:val="00E720CA"/>
    <w:rsid w:val="00E747B6"/>
    <w:rsid w:val="00E84790"/>
    <w:rsid w:val="00E84EB5"/>
    <w:rsid w:val="00E85662"/>
    <w:rsid w:val="00E867BB"/>
    <w:rsid w:val="00E8789F"/>
    <w:rsid w:val="00E93777"/>
    <w:rsid w:val="00E97B71"/>
    <w:rsid w:val="00EA1110"/>
    <w:rsid w:val="00EA2E36"/>
    <w:rsid w:val="00EA325F"/>
    <w:rsid w:val="00EA3D34"/>
    <w:rsid w:val="00EA5252"/>
    <w:rsid w:val="00EA67B7"/>
    <w:rsid w:val="00EA7BB1"/>
    <w:rsid w:val="00EB24CA"/>
    <w:rsid w:val="00EB32DD"/>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176A"/>
    <w:rsid w:val="00EE24D5"/>
    <w:rsid w:val="00EE4457"/>
    <w:rsid w:val="00EF35AB"/>
    <w:rsid w:val="00EF4C44"/>
    <w:rsid w:val="00EF5BDB"/>
    <w:rsid w:val="00EF5DB8"/>
    <w:rsid w:val="00EF619B"/>
    <w:rsid w:val="00F00650"/>
    <w:rsid w:val="00F00B55"/>
    <w:rsid w:val="00F024BC"/>
    <w:rsid w:val="00F02AD1"/>
    <w:rsid w:val="00F035E2"/>
    <w:rsid w:val="00F04354"/>
    <w:rsid w:val="00F04591"/>
    <w:rsid w:val="00F06354"/>
    <w:rsid w:val="00F124BF"/>
    <w:rsid w:val="00F157A3"/>
    <w:rsid w:val="00F20214"/>
    <w:rsid w:val="00F21A08"/>
    <w:rsid w:val="00F25323"/>
    <w:rsid w:val="00F253CC"/>
    <w:rsid w:val="00F25954"/>
    <w:rsid w:val="00F32534"/>
    <w:rsid w:val="00F332EF"/>
    <w:rsid w:val="00F37106"/>
    <w:rsid w:val="00F40618"/>
    <w:rsid w:val="00F42E88"/>
    <w:rsid w:val="00F42F0A"/>
    <w:rsid w:val="00F4378E"/>
    <w:rsid w:val="00F50554"/>
    <w:rsid w:val="00F519CF"/>
    <w:rsid w:val="00F56BA5"/>
    <w:rsid w:val="00F60E22"/>
    <w:rsid w:val="00F6141B"/>
    <w:rsid w:val="00F61428"/>
    <w:rsid w:val="00F6248B"/>
    <w:rsid w:val="00F63B39"/>
    <w:rsid w:val="00F73142"/>
    <w:rsid w:val="00F81029"/>
    <w:rsid w:val="00F81395"/>
    <w:rsid w:val="00F81887"/>
    <w:rsid w:val="00F81BB8"/>
    <w:rsid w:val="00F82ADB"/>
    <w:rsid w:val="00F85286"/>
    <w:rsid w:val="00F917D1"/>
    <w:rsid w:val="00F9342C"/>
    <w:rsid w:val="00F93C66"/>
    <w:rsid w:val="00F93D0E"/>
    <w:rsid w:val="00F950F2"/>
    <w:rsid w:val="00F9653B"/>
    <w:rsid w:val="00FA3CA9"/>
    <w:rsid w:val="00FA41A1"/>
    <w:rsid w:val="00FA56EA"/>
    <w:rsid w:val="00FB62CF"/>
    <w:rsid w:val="00FC0F4A"/>
    <w:rsid w:val="00FC3330"/>
    <w:rsid w:val="00FC3DE9"/>
    <w:rsid w:val="00FC3F9B"/>
    <w:rsid w:val="00FC78E6"/>
    <w:rsid w:val="00FD3C3B"/>
    <w:rsid w:val="00FE07DD"/>
    <w:rsid w:val="00FE1665"/>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semiHidden/>
    <w:unhideWhenUsed/>
    <w:rsid w:val="007A10D2"/>
    <w:rPr>
      <w:color w:val="605E5C"/>
      <w:shd w:val="clear" w:color="auto" w:fill="E1DFDD"/>
    </w:rPr>
  </w:style>
  <w:style w:type="character" w:styleId="FollowedHyperlink">
    <w:name w:val="FollowedHyperlink"/>
    <w:basedOn w:val="DefaultParagraphFont"/>
    <w:uiPriority w:val="99"/>
    <w:semiHidden/>
    <w:unhideWhenUsed/>
    <w:rsid w:val="0039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274">
      <w:bodyDiv w:val="1"/>
      <w:marLeft w:val="0"/>
      <w:marRight w:val="0"/>
      <w:marTop w:val="0"/>
      <w:marBottom w:val="0"/>
      <w:divBdr>
        <w:top w:val="none" w:sz="0" w:space="0" w:color="auto"/>
        <w:left w:val="none" w:sz="0" w:space="0" w:color="auto"/>
        <w:bottom w:val="none" w:sz="0" w:space="0" w:color="auto"/>
        <w:right w:val="none" w:sz="0" w:space="0" w:color="auto"/>
      </w:divBdr>
    </w:div>
    <w:div w:id="173030883">
      <w:bodyDiv w:val="1"/>
      <w:marLeft w:val="0"/>
      <w:marRight w:val="0"/>
      <w:marTop w:val="0"/>
      <w:marBottom w:val="0"/>
      <w:divBdr>
        <w:top w:val="none" w:sz="0" w:space="0" w:color="auto"/>
        <w:left w:val="none" w:sz="0" w:space="0" w:color="auto"/>
        <w:bottom w:val="none" w:sz="0" w:space="0" w:color="auto"/>
        <w:right w:val="none" w:sz="0" w:space="0" w:color="auto"/>
      </w:divBdr>
    </w:div>
    <w:div w:id="245961596">
      <w:bodyDiv w:val="1"/>
      <w:marLeft w:val="0"/>
      <w:marRight w:val="0"/>
      <w:marTop w:val="0"/>
      <w:marBottom w:val="0"/>
      <w:divBdr>
        <w:top w:val="none" w:sz="0" w:space="0" w:color="auto"/>
        <w:left w:val="none" w:sz="0" w:space="0" w:color="auto"/>
        <w:bottom w:val="none" w:sz="0" w:space="0" w:color="auto"/>
        <w:right w:val="none" w:sz="0" w:space="0" w:color="auto"/>
      </w:divBdr>
    </w:div>
    <w:div w:id="3180023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03870744">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70727209">
      <w:bodyDiv w:val="1"/>
      <w:marLeft w:val="0"/>
      <w:marRight w:val="0"/>
      <w:marTop w:val="0"/>
      <w:marBottom w:val="0"/>
      <w:divBdr>
        <w:top w:val="none" w:sz="0" w:space="0" w:color="auto"/>
        <w:left w:val="none" w:sz="0" w:space="0" w:color="auto"/>
        <w:bottom w:val="none" w:sz="0" w:space="0" w:color="auto"/>
        <w:right w:val="none" w:sz="0" w:space="0" w:color="auto"/>
      </w:divBdr>
    </w:div>
    <w:div w:id="17274136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 w:id="199491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8002-5AFF-4FD8-BF9A-8854474A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3218</Words>
  <Characters>18343</Characters>
  <Application>Microsoft Office Word</Application>
  <DocSecurity>0</DocSecurity>
  <Lines>152</Lines>
  <Paragraphs>43</Paragraphs>
  <ScaleCrop>false</ScaleCrop>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