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8CDD"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663A3D" w:rsidRDefault="00663A3D"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663A3D" w:rsidRDefault="00663A3D"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7F23B4" w:rsidRDefault="00E10040" w:rsidP="00E10040">
      <w:pPr>
        <w:tabs>
          <w:tab w:val="center" w:pos="5400"/>
        </w:tabs>
        <w:suppressAutoHyphens/>
        <w:jc w:val="center"/>
        <w:rPr>
          <w:rFonts w:ascii="Cambria" w:hAnsi="Cambria"/>
          <w:sz w:val="22"/>
          <w:szCs w:val="22"/>
          <w:lang w:val="es-VE"/>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DB6CC90" w:rsidR="00663A3D" w:rsidRPr="00E10040" w:rsidRDefault="00663A3D"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352F22">
                              <w:rPr>
                                <w:rFonts w:ascii="Cambria" w:hAnsi="Cambria" w:cs="Arial"/>
                                <w:b/>
                                <w:bCs/>
                                <w:color w:val="0D0D0D" w:themeColor="text1" w:themeTint="F2"/>
                                <w:sz w:val="36"/>
                                <w:szCs w:val="22"/>
                                <w:lang w:val="es-ES_tradnl"/>
                              </w:rPr>
                              <w:t>209</w:t>
                            </w:r>
                            <w:r w:rsidRPr="00E10040">
                              <w:rPr>
                                <w:rFonts w:ascii="Cambria" w:hAnsi="Cambria" w:cs="Arial"/>
                                <w:b/>
                                <w:bCs/>
                                <w:color w:val="0D0D0D" w:themeColor="text1" w:themeTint="F2"/>
                                <w:sz w:val="36"/>
                                <w:szCs w:val="22"/>
                                <w:lang w:val="es-ES_tradnl"/>
                              </w:rPr>
                              <w:t>/2</w:t>
                            </w:r>
                            <w:r w:rsidR="000F15FC">
                              <w:rPr>
                                <w:rFonts w:ascii="Cambria" w:hAnsi="Cambria" w:cs="Arial"/>
                                <w:b/>
                                <w:bCs/>
                                <w:color w:val="0D0D0D" w:themeColor="text1" w:themeTint="F2"/>
                                <w:sz w:val="36"/>
                                <w:szCs w:val="22"/>
                                <w:lang w:val="es-ES_tradnl"/>
                              </w:rPr>
                              <w:t>2</w:t>
                            </w:r>
                          </w:p>
                          <w:p w14:paraId="67D1B048" w14:textId="333547FE" w:rsidR="00663A3D" w:rsidRPr="00E10040" w:rsidRDefault="00663A3D"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435</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0690A903" w:rsidR="00663A3D" w:rsidRPr="00E10040" w:rsidRDefault="00663A3D"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7F6797">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ADMISIBILIDAD</w:t>
                            </w:r>
                          </w:p>
                          <w:p w14:paraId="1C3D1962" w14:textId="77777777" w:rsidR="00663A3D" w:rsidRPr="00E10040" w:rsidRDefault="00663A3D" w:rsidP="00E10040">
                            <w:pPr>
                              <w:spacing w:line="276" w:lineRule="auto"/>
                              <w:rPr>
                                <w:rFonts w:ascii="Cambria" w:hAnsi="Cambria" w:cs="Arial"/>
                                <w:color w:val="0D0D0D" w:themeColor="text1" w:themeTint="F2"/>
                                <w:szCs w:val="22"/>
                                <w:lang w:val="es-ES_tradnl"/>
                              </w:rPr>
                            </w:pPr>
                            <w:bookmarkStart w:id="0" w:name="_ftnref1"/>
                          </w:p>
                          <w:p w14:paraId="6BA26578" w14:textId="18A16DFF" w:rsidR="007F6797" w:rsidRPr="007121D3" w:rsidRDefault="004144FD" w:rsidP="00E10040">
                            <w:pPr>
                              <w:spacing w:line="276" w:lineRule="auto"/>
                              <w:rPr>
                                <w:rFonts w:ascii="Cambria" w:hAnsi="Cambria" w:cs="Arial"/>
                                <w:color w:val="0D0D0D" w:themeColor="text1" w:themeTint="F2"/>
                                <w:szCs w:val="22"/>
                                <w:lang w:val="es-VE"/>
                              </w:rPr>
                            </w:pPr>
                            <w:r w:rsidRPr="004144FD">
                              <w:rPr>
                                <w:rFonts w:ascii="Cambria" w:hAnsi="Cambria"/>
                                <w:lang w:val="es-419"/>
                              </w:rPr>
                              <w:t xml:space="preserve">MARÍA ROSELIA SÁNCHEZ DE </w:t>
                            </w:r>
                            <w:r w:rsidRPr="00B33D42">
                              <w:rPr>
                                <w:rFonts w:ascii="Cambria" w:hAnsi="Cambria"/>
                                <w:lang w:val="es-419"/>
                              </w:rPr>
                              <w:t>RAMÍREZ</w:t>
                            </w:r>
                            <w:r w:rsidRPr="00B33D42">
                              <w:rPr>
                                <w:rFonts w:ascii="Cambria" w:hAnsi="Cambria" w:cs="Arial"/>
                                <w:color w:val="0D0D0D" w:themeColor="text1" w:themeTint="F2"/>
                                <w:lang w:val="es-VE"/>
                              </w:rPr>
                              <w:t xml:space="preserve"> </w:t>
                            </w:r>
                            <w:r w:rsidR="00663A3D" w:rsidRPr="00B33D42">
                              <w:rPr>
                                <w:rFonts w:ascii="Cambria" w:hAnsi="Cambria" w:cs="Arial"/>
                                <w:color w:val="0D0D0D" w:themeColor="text1" w:themeTint="F2"/>
                                <w:lang w:val="es-VE"/>
                              </w:rPr>
                              <w:t>Y OTROS</w:t>
                            </w:r>
                            <w:r w:rsidR="00590EBF">
                              <w:rPr>
                                <w:rFonts w:ascii="Cambria" w:hAnsi="Cambria" w:cs="Arial"/>
                                <w:color w:val="0D0D0D" w:themeColor="text1" w:themeTint="F2"/>
                                <w:lang w:val="es-VE"/>
                              </w:rPr>
                              <w:t xml:space="preserve"> </w:t>
                            </w:r>
                            <w:r w:rsidR="00E40D9F" w:rsidRPr="00B33D42">
                              <w:rPr>
                                <w:rFonts w:ascii="Cambria" w:hAnsi="Cambria" w:cs="Arial"/>
                                <w:color w:val="0D0D0D" w:themeColor="text1" w:themeTint="F2"/>
                                <w:lang w:val="es-VE"/>
                              </w:rPr>
                              <w:t>FAMILIARES DE POLICÍAS MUERTOS</w:t>
                            </w:r>
                            <w:r w:rsidR="00E40D9F" w:rsidRPr="00B33D42">
                              <w:rPr>
                                <w:rFonts w:ascii="Cambria" w:hAnsi="Cambria" w:cs="Arial"/>
                                <w:color w:val="0D0D0D" w:themeColor="text1" w:themeTint="F2"/>
                                <w:szCs w:val="22"/>
                                <w:lang w:val="es-VE"/>
                              </w:rPr>
                              <w:t xml:space="preserve"> POR EL NARCOTRÁFICO EN MEDELL</w:t>
                            </w:r>
                            <w:r w:rsidR="00246395">
                              <w:rPr>
                                <w:rFonts w:ascii="Cambria" w:hAnsi="Cambria" w:cs="Arial"/>
                                <w:color w:val="0D0D0D" w:themeColor="text1" w:themeTint="F2"/>
                                <w:szCs w:val="22"/>
                                <w:lang w:val="es-VE"/>
                              </w:rPr>
                              <w:t>Í</w:t>
                            </w:r>
                            <w:r w:rsidR="00E40D9F" w:rsidRPr="00B33D42">
                              <w:rPr>
                                <w:rFonts w:ascii="Cambria" w:hAnsi="Cambria" w:cs="Arial"/>
                                <w:color w:val="0D0D0D" w:themeColor="text1" w:themeTint="F2"/>
                                <w:szCs w:val="22"/>
                                <w:lang w:val="es-VE"/>
                              </w:rPr>
                              <w:t>N</w:t>
                            </w:r>
                            <w:r w:rsidR="00E40D9F">
                              <w:rPr>
                                <w:rFonts w:ascii="Cambria" w:hAnsi="Cambria" w:cs="Arial"/>
                                <w:color w:val="0D0D0D" w:themeColor="text1" w:themeTint="F2"/>
                                <w:szCs w:val="22"/>
                                <w:lang w:val="es-VE"/>
                              </w:rPr>
                              <w:t xml:space="preserve"> </w:t>
                            </w:r>
                          </w:p>
                          <w:bookmarkEnd w:id="0"/>
                          <w:p w14:paraId="7441DC01" w14:textId="410CF7C2" w:rsidR="00663A3D" w:rsidRPr="00E10040" w:rsidRDefault="00663A3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663A3D" w:rsidRPr="00E10040" w:rsidRDefault="00663A3D"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7DB6CC90" w:rsidR="00663A3D" w:rsidRPr="00E10040" w:rsidRDefault="00663A3D"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352F22">
                        <w:rPr>
                          <w:rFonts w:ascii="Cambria" w:hAnsi="Cambria" w:cs="Arial"/>
                          <w:b/>
                          <w:bCs/>
                          <w:color w:val="0D0D0D" w:themeColor="text1" w:themeTint="F2"/>
                          <w:sz w:val="36"/>
                          <w:szCs w:val="22"/>
                          <w:lang w:val="es-ES_tradnl"/>
                        </w:rPr>
                        <w:t>209</w:t>
                      </w:r>
                      <w:r w:rsidRPr="00E10040">
                        <w:rPr>
                          <w:rFonts w:ascii="Cambria" w:hAnsi="Cambria" w:cs="Arial"/>
                          <w:b/>
                          <w:bCs/>
                          <w:color w:val="0D0D0D" w:themeColor="text1" w:themeTint="F2"/>
                          <w:sz w:val="36"/>
                          <w:szCs w:val="22"/>
                          <w:lang w:val="es-ES_tradnl"/>
                        </w:rPr>
                        <w:t>/2</w:t>
                      </w:r>
                      <w:r w:rsidR="000F15FC">
                        <w:rPr>
                          <w:rFonts w:ascii="Cambria" w:hAnsi="Cambria" w:cs="Arial"/>
                          <w:b/>
                          <w:bCs/>
                          <w:color w:val="0D0D0D" w:themeColor="text1" w:themeTint="F2"/>
                          <w:sz w:val="36"/>
                          <w:szCs w:val="22"/>
                          <w:lang w:val="es-ES_tradnl"/>
                        </w:rPr>
                        <w:t>2</w:t>
                      </w:r>
                    </w:p>
                    <w:p w14:paraId="67D1B048" w14:textId="333547FE" w:rsidR="00663A3D" w:rsidRPr="00E10040" w:rsidRDefault="00663A3D"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435</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09</w:t>
                      </w:r>
                      <w:r w:rsidRPr="00E10040">
                        <w:rPr>
                          <w:rFonts w:ascii="Cambria" w:hAnsi="Cambria" w:cs="Arial"/>
                          <w:b/>
                          <w:color w:val="0D0D0D" w:themeColor="text1" w:themeTint="F2"/>
                          <w:sz w:val="36"/>
                          <w:szCs w:val="22"/>
                          <w:lang w:val="es-ES_tradnl"/>
                        </w:rPr>
                        <w:t xml:space="preserve"> </w:t>
                      </w:r>
                    </w:p>
                    <w:p w14:paraId="7264B33D" w14:textId="0690A903" w:rsidR="00663A3D" w:rsidRPr="00E10040" w:rsidRDefault="00663A3D"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w:t>
                      </w:r>
                      <w:r w:rsidR="007F6797">
                        <w:rPr>
                          <w:rFonts w:ascii="Cambria" w:hAnsi="Cambria" w:cs="Arial"/>
                          <w:color w:val="0D0D0D" w:themeColor="text1" w:themeTint="F2"/>
                          <w:szCs w:val="22"/>
                          <w:lang w:val="es-ES_tradnl"/>
                        </w:rPr>
                        <w:t>IN</w:t>
                      </w:r>
                      <w:r w:rsidRPr="00E10040">
                        <w:rPr>
                          <w:rFonts w:ascii="Cambria" w:hAnsi="Cambria" w:cs="Arial"/>
                          <w:color w:val="0D0D0D" w:themeColor="text1" w:themeTint="F2"/>
                          <w:szCs w:val="22"/>
                          <w:lang w:val="es-ES_tradnl"/>
                        </w:rPr>
                        <w:t>ADMISIBILIDAD</w:t>
                      </w:r>
                    </w:p>
                    <w:p w14:paraId="1C3D1962" w14:textId="77777777" w:rsidR="00663A3D" w:rsidRPr="00E10040" w:rsidRDefault="00663A3D" w:rsidP="00E10040">
                      <w:pPr>
                        <w:spacing w:line="276" w:lineRule="auto"/>
                        <w:rPr>
                          <w:rFonts w:ascii="Cambria" w:hAnsi="Cambria" w:cs="Arial"/>
                          <w:color w:val="0D0D0D" w:themeColor="text1" w:themeTint="F2"/>
                          <w:szCs w:val="22"/>
                          <w:lang w:val="es-ES_tradnl"/>
                        </w:rPr>
                      </w:pPr>
                      <w:bookmarkStart w:id="1" w:name="_ftnref1"/>
                    </w:p>
                    <w:p w14:paraId="6BA26578" w14:textId="18A16DFF" w:rsidR="007F6797" w:rsidRPr="007121D3" w:rsidRDefault="004144FD" w:rsidP="00E10040">
                      <w:pPr>
                        <w:spacing w:line="276" w:lineRule="auto"/>
                        <w:rPr>
                          <w:rFonts w:ascii="Cambria" w:hAnsi="Cambria" w:cs="Arial"/>
                          <w:color w:val="0D0D0D" w:themeColor="text1" w:themeTint="F2"/>
                          <w:szCs w:val="22"/>
                          <w:lang w:val="es-VE"/>
                        </w:rPr>
                      </w:pPr>
                      <w:r w:rsidRPr="004144FD">
                        <w:rPr>
                          <w:rFonts w:ascii="Cambria" w:hAnsi="Cambria"/>
                          <w:lang w:val="es-419"/>
                        </w:rPr>
                        <w:t xml:space="preserve">MARÍA ROSELIA SÁNCHEZ DE </w:t>
                      </w:r>
                      <w:r w:rsidRPr="00B33D42">
                        <w:rPr>
                          <w:rFonts w:ascii="Cambria" w:hAnsi="Cambria"/>
                          <w:lang w:val="es-419"/>
                        </w:rPr>
                        <w:t>RAMÍREZ</w:t>
                      </w:r>
                      <w:r w:rsidRPr="00B33D42">
                        <w:rPr>
                          <w:rFonts w:ascii="Cambria" w:hAnsi="Cambria" w:cs="Arial"/>
                          <w:color w:val="0D0D0D" w:themeColor="text1" w:themeTint="F2"/>
                          <w:lang w:val="es-VE"/>
                        </w:rPr>
                        <w:t xml:space="preserve"> </w:t>
                      </w:r>
                      <w:r w:rsidR="00663A3D" w:rsidRPr="00B33D42">
                        <w:rPr>
                          <w:rFonts w:ascii="Cambria" w:hAnsi="Cambria" w:cs="Arial"/>
                          <w:color w:val="0D0D0D" w:themeColor="text1" w:themeTint="F2"/>
                          <w:lang w:val="es-VE"/>
                        </w:rPr>
                        <w:t>Y OTROS</w:t>
                      </w:r>
                      <w:r w:rsidR="00590EBF">
                        <w:rPr>
                          <w:rFonts w:ascii="Cambria" w:hAnsi="Cambria" w:cs="Arial"/>
                          <w:color w:val="0D0D0D" w:themeColor="text1" w:themeTint="F2"/>
                          <w:lang w:val="es-VE"/>
                        </w:rPr>
                        <w:t xml:space="preserve"> </w:t>
                      </w:r>
                      <w:r w:rsidR="00E40D9F" w:rsidRPr="00B33D42">
                        <w:rPr>
                          <w:rFonts w:ascii="Cambria" w:hAnsi="Cambria" w:cs="Arial"/>
                          <w:color w:val="0D0D0D" w:themeColor="text1" w:themeTint="F2"/>
                          <w:lang w:val="es-VE"/>
                        </w:rPr>
                        <w:t>FAMILIARES DE POLICÍAS MUERTOS</w:t>
                      </w:r>
                      <w:r w:rsidR="00E40D9F" w:rsidRPr="00B33D42">
                        <w:rPr>
                          <w:rFonts w:ascii="Cambria" w:hAnsi="Cambria" w:cs="Arial"/>
                          <w:color w:val="0D0D0D" w:themeColor="text1" w:themeTint="F2"/>
                          <w:szCs w:val="22"/>
                          <w:lang w:val="es-VE"/>
                        </w:rPr>
                        <w:t xml:space="preserve"> POR EL NARCOTRÁFICO EN MEDELL</w:t>
                      </w:r>
                      <w:r w:rsidR="00246395">
                        <w:rPr>
                          <w:rFonts w:ascii="Cambria" w:hAnsi="Cambria" w:cs="Arial"/>
                          <w:color w:val="0D0D0D" w:themeColor="text1" w:themeTint="F2"/>
                          <w:szCs w:val="22"/>
                          <w:lang w:val="es-VE"/>
                        </w:rPr>
                        <w:t>Í</w:t>
                      </w:r>
                      <w:r w:rsidR="00E40D9F" w:rsidRPr="00B33D42">
                        <w:rPr>
                          <w:rFonts w:ascii="Cambria" w:hAnsi="Cambria" w:cs="Arial"/>
                          <w:color w:val="0D0D0D" w:themeColor="text1" w:themeTint="F2"/>
                          <w:szCs w:val="22"/>
                          <w:lang w:val="es-VE"/>
                        </w:rPr>
                        <w:t>N</w:t>
                      </w:r>
                      <w:r w:rsidR="00E40D9F">
                        <w:rPr>
                          <w:rFonts w:ascii="Cambria" w:hAnsi="Cambria" w:cs="Arial"/>
                          <w:color w:val="0D0D0D" w:themeColor="text1" w:themeTint="F2"/>
                          <w:szCs w:val="22"/>
                          <w:lang w:val="es-VE"/>
                        </w:rPr>
                        <w:t xml:space="preserve"> </w:t>
                      </w:r>
                    </w:p>
                    <w:bookmarkEnd w:id="1"/>
                    <w:p w14:paraId="7441DC01" w14:textId="410CF7C2" w:rsidR="00663A3D" w:rsidRPr="00E10040" w:rsidRDefault="00663A3D"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663A3D" w:rsidRPr="00E10040" w:rsidRDefault="00663A3D"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31FB53D5" w:rsidR="00663A3D" w:rsidRPr="004E2649" w:rsidRDefault="00663A3D"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5CCD98B2" w:rsidR="00663A3D" w:rsidRPr="004E2649" w:rsidRDefault="00663A3D"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680C">
                              <w:rPr>
                                <w:rFonts w:asciiTheme="minorHAnsi" w:hAnsiTheme="minorHAnsi"/>
                                <w:color w:val="FFFFFF" w:themeColor="background1"/>
                                <w:sz w:val="22"/>
                                <w:lang w:val="pt-BR"/>
                              </w:rPr>
                              <w:t>212</w:t>
                            </w:r>
                          </w:p>
                          <w:p w14:paraId="4BC71096" w14:textId="441349C7" w:rsidR="00663A3D" w:rsidRPr="00246395" w:rsidRDefault="001E680C" w:rsidP="00E10040">
                            <w:pPr>
                              <w:spacing w:line="276" w:lineRule="auto"/>
                              <w:jc w:val="right"/>
                              <w:rPr>
                                <w:rFonts w:asciiTheme="minorHAnsi" w:hAnsiTheme="minorHAnsi"/>
                                <w:color w:val="FFFFFF" w:themeColor="background1"/>
                                <w:sz w:val="22"/>
                                <w:lang w:val="pt-BR"/>
                              </w:rPr>
                            </w:pPr>
                            <w:r w:rsidRPr="00246395">
                              <w:rPr>
                                <w:rFonts w:asciiTheme="minorHAnsi" w:hAnsiTheme="minorHAnsi"/>
                                <w:color w:val="FFFFFF" w:themeColor="background1"/>
                                <w:sz w:val="22"/>
                                <w:lang w:val="pt-BR"/>
                              </w:rPr>
                              <w:t>13 agosto</w:t>
                            </w:r>
                            <w:r w:rsidR="00663A3D" w:rsidRPr="00246395">
                              <w:rPr>
                                <w:rFonts w:asciiTheme="minorHAnsi" w:hAnsiTheme="minorHAnsi"/>
                                <w:color w:val="FFFFFF" w:themeColor="background1"/>
                                <w:sz w:val="22"/>
                                <w:lang w:val="pt-BR"/>
                              </w:rPr>
                              <w:t xml:space="preserve"> 202</w:t>
                            </w:r>
                            <w:r w:rsidR="000F15FC" w:rsidRPr="00246395">
                              <w:rPr>
                                <w:rFonts w:asciiTheme="minorHAnsi" w:hAnsiTheme="minorHAnsi"/>
                                <w:color w:val="FFFFFF" w:themeColor="background1"/>
                                <w:sz w:val="22"/>
                                <w:lang w:val="pt-BR"/>
                              </w:rPr>
                              <w:t>2</w:t>
                            </w:r>
                          </w:p>
                          <w:p w14:paraId="2ED41C8A" w14:textId="77777777" w:rsidR="00663A3D" w:rsidRPr="00C25ADB" w:rsidRDefault="00663A3D"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31FB53D5" w:rsidR="00663A3D" w:rsidRPr="004E2649" w:rsidRDefault="00663A3D"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5CCD98B2" w:rsidR="00663A3D" w:rsidRPr="004E2649" w:rsidRDefault="00663A3D"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680C">
                        <w:rPr>
                          <w:rFonts w:asciiTheme="minorHAnsi" w:hAnsiTheme="minorHAnsi"/>
                          <w:color w:val="FFFFFF" w:themeColor="background1"/>
                          <w:sz w:val="22"/>
                          <w:lang w:val="pt-BR"/>
                        </w:rPr>
                        <w:t>212</w:t>
                      </w:r>
                    </w:p>
                    <w:p w14:paraId="4BC71096" w14:textId="441349C7" w:rsidR="00663A3D" w:rsidRPr="00246395" w:rsidRDefault="001E680C" w:rsidP="00E10040">
                      <w:pPr>
                        <w:spacing w:line="276" w:lineRule="auto"/>
                        <w:jc w:val="right"/>
                        <w:rPr>
                          <w:rFonts w:asciiTheme="minorHAnsi" w:hAnsiTheme="minorHAnsi"/>
                          <w:color w:val="FFFFFF" w:themeColor="background1"/>
                          <w:sz w:val="22"/>
                          <w:lang w:val="pt-BR"/>
                        </w:rPr>
                      </w:pPr>
                      <w:r w:rsidRPr="00246395">
                        <w:rPr>
                          <w:rFonts w:asciiTheme="minorHAnsi" w:hAnsiTheme="minorHAnsi"/>
                          <w:color w:val="FFFFFF" w:themeColor="background1"/>
                          <w:sz w:val="22"/>
                          <w:lang w:val="pt-BR"/>
                        </w:rPr>
                        <w:t>13 agosto</w:t>
                      </w:r>
                      <w:r w:rsidR="00663A3D" w:rsidRPr="00246395">
                        <w:rPr>
                          <w:rFonts w:asciiTheme="minorHAnsi" w:hAnsiTheme="minorHAnsi"/>
                          <w:color w:val="FFFFFF" w:themeColor="background1"/>
                          <w:sz w:val="22"/>
                          <w:lang w:val="pt-BR"/>
                        </w:rPr>
                        <w:t xml:space="preserve"> 202</w:t>
                      </w:r>
                      <w:r w:rsidR="000F15FC" w:rsidRPr="00246395">
                        <w:rPr>
                          <w:rFonts w:asciiTheme="minorHAnsi" w:hAnsiTheme="minorHAnsi"/>
                          <w:color w:val="FFFFFF" w:themeColor="background1"/>
                          <w:sz w:val="22"/>
                          <w:lang w:val="pt-BR"/>
                        </w:rPr>
                        <w:t>2</w:t>
                      </w:r>
                    </w:p>
                    <w:p w14:paraId="2ED41C8A" w14:textId="77777777" w:rsidR="00663A3D" w:rsidRPr="00C25ADB" w:rsidRDefault="00663A3D"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3B907F35" w:rsidR="00663A3D" w:rsidRPr="00E10040" w:rsidRDefault="00663A3D"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w:t>
                            </w:r>
                            <w:r w:rsidR="00C25E60">
                              <w:rPr>
                                <w:rFonts w:ascii="Cambria" w:hAnsi="Cambria"/>
                                <w:color w:val="0D0D0D" w:themeColor="text1" w:themeTint="F2"/>
                                <w:sz w:val="18"/>
                                <w:szCs w:val="22"/>
                                <w:lang w:val="es-ES"/>
                              </w:rPr>
                              <w:t xml:space="preserve">la Comisión el </w:t>
                            </w:r>
                            <w:r w:rsidR="00352F22">
                              <w:rPr>
                                <w:rFonts w:ascii="Cambria" w:hAnsi="Cambria"/>
                                <w:color w:val="0D0D0D" w:themeColor="text1" w:themeTint="F2"/>
                                <w:sz w:val="18"/>
                                <w:szCs w:val="22"/>
                                <w:lang w:val="es-ES"/>
                              </w:rPr>
                              <w:t>13</w:t>
                            </w:r>
                            <w:r w:rsidR="00C25E60">
                              <w:rPr>
                                <w:rFonts w:ascii="Cambria" w:hAnsi="Cambria"/>
                                <w:color w:val="0D0D0D" w:themeColor="text1" w:themeTint="F2"/>
                                <w:sz w:val="18"/>
                                <w:szCs w:val="22"/>
                                <w:lang w:val="es-ES"/>
                              </w:rPr>
                              <w:t xml:space="preserve"> de </w:t>
                            </w:r>
                            <w:r w:rsidR="00352F22">
                              <w:rPr>
                                <w:rFonts w:ascii="Cambria" w:hAnsi="Cambria"/>
                                <w:color w:val="0D0D0D" w:themeColor="text1" w:themeTint="F2"/>
                                <w:sz w:val="18"/>
                                <w:szCs w:val="22"/>
                                <w:lang w:val="es-ES"/>
                              </w:rPr>
                              <w:t>agosto</w:t>
                            </w:r>
                            <w:r w:rsidR="00C25E60">
                              <w:rPr>
                                <w:rFonts w:ascii="Cambria" w:hAnsi="Cambria"/>
                                <w:color w:val="0D0D0D" w:themeColor="text1" w:themeTint="F2"/>
                                <w:sz w:val="18"/>
                                <w:szCs w:val="22"/>
                                <w:lang w:val="es-ES"/>
                              </w:rPr>
                              <w:t xml:space="preserve"> de 202</w:t>
                            </w:r>
                            <w:r w:rsidR="000F15FC">
                              <w:rPr>
                                <w:rFonts w:ascii="Cambria" w:hAnsi="Cambria"/>
                                <w:color w:val="0D0D0D" w:themeColor="text1" w:themeTint="F2"/>
                                <w:sz w:val="18"/>
                                <w:szCs w:val="22"/>
                                <w:lang w:val="es-ES"/>
                              </w:rPr>
                              <w:t>2</w:t>
                            </w:r>
                            <w:r w:rsidR="00352F22">
                              <w:rPr>
                                <w:rFonts w:ascii="Cambria" w:hAnsi="Cambria"/>
                                <w:color w:val="0D0D0D" w:themeColor="text1" w:themeTint="F2"/>
                                <w:sz w:val="18"/>
                                <w:szCs w:val="22"/>
                                <w:lang w:val="es-ES"/>
                              </w:rPr>
                              <w:t>.</w:t>
                            </w:r>
                          </w:p>
                          <w:p w14:paraId="31ECACB8" w14:textId="77777777" w:rsidR="00663A3D" w:rsidRPr="00E10040" w:rsidRDefault="00663A3D"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663A3D" w:rsidRPr="00E10040" w:rsidRDefault="00663A3D"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3B907F35" w:rsidR="00663A3D" w:rsidRPr="00E10040" w:rsidRDefault="00663A3D"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w:t>
                      </w:r>
                      <w:r w:rsidR="00C25E60">
                        <w:rPr>
                          <w:rFonts w:ascii="Cambria" w:hAnsi="Cambria"/>
                          <w:color w:val="0D0D0D" w:themeColor="text1" w:themeTint="F2"/>
                          <w:sz w:val="18"/>
                          <w:szCs w:val="22"/>
                          <w:lang w:val="es-ES"/>
                        </w:rPr>
                        <w:t xml:space="preserve">la Comisión el </w:t>
                      </w:r>
                      <w:r w:rsidR="00352F22">
                        <w:rPr>
                          <w:rFonts w:ascii="Cambria" w:hAnsi="Cambria"/>
                          <w:color w:val="0D0D0D" w:themeColor="text1" w:themeTint="F2"/>
                          <w:sz w:val="18"/>
                          <w:szCs w:val="22"/>
                          <w:lang w:val="es-ES"/>
                        </w:rPr>
                        <w:t>13</w:t>
                      </w:r>
                      <w:r w:rsidR="00C25E60">
                        <w:rPr>
                          <w:rFonts w:ascii="Cambria" w:hAnsi="Cambria"/>
                          <w:color w:val="0D0D0D" w:themeColor="text1" w:themeTint="F2"/>
                          <w:sz w:val="18"/>
                          <w:szCs w:val="22"/>
                          <w:lang w:val="es-ES"/>
                        </w:rPr>
                        <w:t xml:space="preserve"> de </w:t>
                      </w:r>
                      <w:r w:rsidR="00352F22">
                        <w:rPr>
                          <w:rFonts w:ascii="Cambria" w:hAnsi="Cambria"/>
                          <w:color w:val="0D0D0D" w:themeColor="text1" w:themeTint="F2"/>
                          <w:sz w:val="18"/>
                          <w:szCs w:val="22"/>
                          <w:lang w:val="es-ES"/>
                        </w:rPr>
                        <w:t>agosto</w:t>
                      </w:r>
                      <w:r w:rsidR="00C25E60">
                        <w:rPr>
                          <w:rFonts w:ascii="Cambria" w:hAnsi="Cambria"/>
                          <w:color w:val="0D0D0D" w:themeColor="text1" w:themeTint="F2"/>
                          <w:sz w:val="18"/>
                          <w:szCs w:val="22"/>
                          <w:lang w:val="es-ES"/>
                        </w:rPr>
                        <w:t xml:space="preserve"> de 202</w:t>
                      </w:r>
                      <w:r w:rsidR="000F15FC">
                        <w:rPr>
                          <w:rFonts w:ascii="Cambria" w:hAnsi="Cambria"/>
                          <w:color w:val="0D0D0D" w:themeColor="text1" w:themeTint="F2"/>
                          <w:sz w:val="18"/>
                          <w:szCs w:val="22"/>
                          <w:lang w:val="es-ES"/>
                        </w:rPr>
                        <w:t>2</w:t>
                      </w:r>
                      <w:r w:rsidR="00352F22">
                        <w:rPr>
                          <w:rFonts w:ascii="Cambria" w:hAnsi="Cambria"/>
                          <w:color w:val="0D0D0D" w:themeColor="text1" w:themeTint="F2"/>
                          <w:sz w:val="18"/>
                          <w:szCs w:val="22"/>
                          <w:lang w:val="es-ES"/>
                        </w:rPr>
                        <w:t>.</w:t>
                      </w:r>
                    </w:p>
                    <w:p w14:paraId="31ECACB8" w14:textId="77777777" w:rsidR="00663A3D" w:rsidRPr="00E10040" w:rsidRDefault="00663A3D"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663A3D" w:rsidRPr="00E10040" w:rsidRDefault="00663A3D"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253DF542" w:rsidR="00663A3D" w:rsidRPr="00E10040" w:rsidRDefault="00663A3D"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352F22" w:rsidRPr="00352F22">
                              <w:rPr>
                                <w:rFonts w:ascii="Cambria" w:hAnsi="Cambria"/>
                                <w:color w:val="595959" w:themeColor="text1" w:themeTint="A6"/>
                                <w:sz w:val="18"/>
                                <w:szCs w:val="18"/>
                                <w:lang w:val="pt-BR"/>
                              </w:rPr>
                              <w:t>209</w:t>
                            </w:r>
                            <w:r w:rsidRPr="00352F22">
                              <w:rPr>
                                <w:rFonts w:ascii="Cambria" w:hAnsi="Cambria"/>
                                <w:color w:val="595959" w:themeColor="text1" w:themeTint="A6"/>
                                <w:sz w:val="18"/>
                                <w:szCs w:val="18"/>
                                <w:lang w:val="pt-BR"/>
                              </w:rPr>
                              <w:t>/2</w:t>
                            </w:r>
                            <w:r w:rsidR="000F15FC" w:rsidRPr="00352F22">
                              <w:rPr>
                                <w:rFonts w:ascii="Cambria" w:hAnsi="Cambria"/>
                                <w:color w:val="595959" w:themeColor="text1" w:themeTint="A6"/>
                                <w:sz w:val="18"/>
                                <w:szCs w:val="18"/>
                                <w:lang w:val="pt-BR"/>
                              </w:rPr>
                              <w:t>2</w:t>
                            </w:r>
                            <w:r w:rsidRPr="00352F22">
                              <w:rPr>
                                <w:rFonts w:ascii="Cambria" w:hAnsi="Cambria"/>
                                <w:color w:val="595959" w:themeColor="text1" w:themeTint="A6"/>
                                <w:sz w:val="18"/>
                                <w:szCs w:val="18"/>
                                <w:lang w:val="pt-BR"/>
                              </w:rPr>
                              <w:t xml:space="preserve">.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435</w:t>
                            </w:r>
                            <w:r w:rsidRPr="00E10040">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Inadmisibilidad. </w:t>
                            </w:r>
                            <w:r w:rsidR="004144FD" w:rsidRPr="004144FD">
                              <w:rPr>
                                <w:rFonts w:ascii="Cambria" w:hAnsi="Cambria"/>
                                <w:color w:val="595959" w:themeColor="text1" w:themeTint="A6"/>
                                <w:sz w:val="18"/>
                                <w:szCs w:val="18"/>
                                <w:lang w:val="es-ES_tradnl"/>
                              </w:rPr>
                              <w:t>María Roselia Sánchez de Ramírez</w:t>
                            </w:r>
                            <w:r w:rsidR="00E40D9F" w:rsidRPr="004144FD">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y otros</w:t>
                            </w:r>
                            <w:r w:rsidR="00590EBF">
                              <w:rPr>
                                <w:rFonts w:ascii="Cambria" w:hAnsi="Cambria"/>
                                <w:color w:val="595959" w:themeColor="text1" w:themeTint="A6"/>
                                <w:sz w:val="18"/>
                                <w:szCs w:val="18"/>
                                <w:lang w:val="es-ES_tradnl"/>
                              </w:rPr>
                              <w:t xml:space="preserve"> familiares de policías muertos por el </w:t>
                            </w:r>
                            <w:r w:rsidR="00797D00">
                              <w:rPr>
                                <w:rFonts w:ascii="Cambria" w:hAnsi="Cambria"/>
                                <w:color w:val="595959" w:themeColor="text1" w:themeTint="A6"/>
                                <w:sz w:val="18"/>
                                <w:szCs w:val="18"/>
                                <w:lang w:val="es-ES_tradnl"/>
                              </w:rPr>
                              <w:t xml:space="preserve">narcotráfico en </w:t>
                            </w:r>
                            <w:r w:rsidR="00246395">
                              <w:rPr>
                                <w:rFonts w:ascii="Cambria" w:hAnsi="Cambria"/>
                                <w:color w:val="595959" w:themeColor="text1" w:themeTint="A6"/>
                                <w:sz w:val="18"/>
                                <w:szCs w:val="18"/>
                                <w:lang w:val="es-ES_tradnl"/>
                              </w:rPr>
                              <w:t>Medellín</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797D00">
                              <w:rPr>
                                <w:rFonts w:ascii="Cambria" w:hAnsi="Cambria"/>
                                <w:color w:val="595959" w:themeColor="text1" w:themeTint="A6"/>
                                <w:sz w:val="18"/>
                                <w:szCs w:val="18"/>
                                <w:lang w:val="es-ES"/>
                              </w:rPr>
                              <w:t>13 de agosto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253DF542" w:rsidR="00663A3D" w:rsidRPr="00E10040" w:rsidRDefault="00663A3D"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352F22" w:rsidRPr="00352F22">
                        <w:rPr>
                          <w:rFonts w:ascii="Cambria" w:hAnsi="Cambria"/>
                          <w:color w:val="595959" w:themeColor="text1" w:themeTint="A6"/>
                          <w:sz w:val="18"/>
                          <w:szCs w:val="18"/>
                          <w:lang w:val="pt-BR"/>
                        </w:rPr>
                        <w:t>209</w:t>
                      </w:r>
                      <w:r w:rsidRPr="00352F22">
                        <w:rPr>
                          <w:rFonts w:ascii="Cambria" w:hAnsi="Cambria"/>
                          <w:color w:val="595959" w:themeColor="text1" w:themeTint="A6"/>
                          <w:sz w:val="18"/>
                          <w:szCs w:val="18"/>
                          <w:lang w:val="pt-BR"/>
                        </w:rPr>
                        <w:t>/2</w:t>
                      </w:r>
                      <w:r w:rsidR="000F15FC" w:rsidRPr="00352F22">
                        <w:rPr>
                          <w:rFonts w:ascii="Cambria" w:hAnsi="Cambria"/>
                          <w:color w:val="595959" w:themeColor="text1" w:themeTint="A6"/>
                          <w:sz w:val="18"/>
                          <w:szCs w:val="18"/>
                          <w:lang w:val="pt-BR"/>
                        </w:rPr>
                        <w:t>2</w:t>
                      </w:r>
                      <w:r w:rsidRPr="00352F22">
                        <w:rPr>
                          <w:rFonts w:ascii="Cambria" w:hAnsi="Cambria"/>
                          <w:color w:val="595959" w:themeColor="text1" w:themeTint="A6"/>
                          <w:sz w:val="18"/>
                          <w:szCs w:val="18"/>
                          <w:lang w:val="pt-BR"/>
                        </w:rPr>
                        <w:t xml:space="preserve">.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435</w:t>
                      </w:r>
                      <w:r w:rsidRPr="00E10040">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09</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Inadmisibilidad. </w:t>
                      </w:r>
                      <w:r w:rsidR="004144FD" w:rsidRPr="004144FD">
                        <w:rPr>
                          <w:rFonts w:ascii="Cambria" w:hAnsi="Cambria"/>
                          <w:color w:val="595959" w:themeColor="text1" w:themeTint="A6"/>
                          <w:sz w:val="18"/>
                          <w:szCs w:val="18"/>
                          <w:lang w:val="es-ES_tradnl"/>
                        </w:rPr>
                        <w:t>María Roselia Sánchez de Ramírez</w:t>
                      </w:r>
                      <w:r w:rsidR="00E40D9F" w:rsidRPr="004144FD">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y otros</w:t>
                      </w:r>
                      <w:r w:rsidR="00590EBF">
                        <w:rPr>
                          <w:rFonts w:ascii="Cambria" w:hAnsi="Cambria"/>
                          <w:color w:val="595959" w:themeColor="text1" w:themeTint="A6"/>
                          <w:sz w:val="18"/>
                          <w:szCs w:val="18"/>
                          <w:lang w:val="es-ES_tradnl"/>
                        </w:rPr>
                        <w:t xml:space="preserve"> familiares de policías muertos por el </w:t>
                      </w:r>
                      <w:r w:rsidR="00797D00">
                        <w:rPr>
                          <w:rFonts w:ascii="Cambria" w:hAnsi="Cambria"/>
                          <w:color w:val="595959" w:themeColor="text1" w:themeTint="A6"/>
                          <w:sz w:val="18"/>
                          <w:szCs w:val="18"/>
                          <w:lang w:val="es-ES_tradnl"/>
                        </w:rPr>
                        <w:t xml:space="preserve">narcotráfico en </w:t>
                      </w:r>
                      <w:r w:rsidR="00246395">
                        <w:rPr>
                          <w:rFonts w:ascii="Cambria" w:hAnsi="Cambria"/>
                          <w:color w:val="595959" w:themeColor="text1" w:themeTint="A6"/>
                          <w:sz w:val="18"/>
                          <w:szCs w:val="18"/>
                          <w:lang w:val="es-ES_tradnl"/>
                        </w:rPr>
                        <w:t>Medellín</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797D00">
                        <w:rPr>
                          <w:rFonts w:ascii="Cambria" w:hAnsi="Cambria"/>
                          <w:color w:val="595959" w:themeColor="text1" w:themeTint="A6"/>
                          <w:sz w:val="18"/>
                          <w:szCs w:val="18"/>
                          <w:lang w:val="es-ES"/>
                        </w:rPr>
                        <w:t>13 de agosto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55055E2E"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38AEAB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663A3D" w:rsidRPr="004B7EB6" w:rsidRDefault="00663A3D"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663A3D" w:rsidRPr="004B7EB6" w:rsidRDefault="00663A3D"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49FAE1A1" w:rsidR="00E10040" w:rsidRPr="00E10040" w:rsidRDefault="00797D00"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78045006">
                <wp:simplePos x="0" y="0"/>
                <wp:positionH relativeFrom="column">
                  <wp:posOffset>1318260</wp:posOffset>
                </wp:positionH>
                <wp:positionV relativeFrom="paragraph">
                  <wp:posOffset>499473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663A3D" w:rsidRPr="00D72DC6" w:rsidRDefault="00663A3D"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3.8pt;margin-top:39.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" fillcolor="white [3201]" stroked="f" strokeweight=".5pt">
                <v:textbox>
                  <w:txbxContent>
                    <w:p w14:paraId="2C6278D0" w14:textId="77777777" w:rsidR="00663A3D" w:rsidRPr="00D72DC6" w:rsidRDefault="00663A3D"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246395" w14:paraId="4097B42D" w14:textId="77777777" w:rsidTr="00A30742">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3559B4F0" w:rsidR="00E10040" w:rsidRPr="00E10040" w:rsidRDefault="007121D3" w:rsidP="00A30742">
            <w:pPr>
              <w:jc w:val="both"/>
              <w:rPr>
                <w:rFonts w:ascii="Cambria" w:hAnsi="Cambria"/>
                <w:bCs/>
                <w:sz w:val="20"/>
                <w:szCs w:val="20"/>
              </w:rPr>
            </w:pPr>
            <w:r>
              <w:rPr>
                <w:rFonts w:ascii="Cambria" w:hAnsi="Cambria"/>
                <w:bCs/>
                <w:sz w:val="20"/>
                <w:szCs w:val="20"/>
              </w:rPr>
              <w:t>María Cecilia Sánchez Botero y Rudolph Sánchez</w:t>
            </w:r>
          </w:p>
        </w:tc>
      </w:tr>
      <w:tr w:rsidR="00E10040" w:rsidRPr="00246395" w14:paraId="410FEBFE" w14:textId="77777777" w:rsidTr="00A30742">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2A0DEF" w:rsidP="00A3074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2DADEE3C" w:rsidR="00E10040" w:rsidRPr="00E10040" w:rsidRDefault="004144FD" w:rsidP="00A30742">
            <w:pPr>
              <w:jc w:val="both"/>
              <w:rPr>
                <w:rFonts w:ascii="Cambria" w:hAnsi="Cambria"/>
                <w:bCs/>
                <w:sz w:val="20"/>
                <w:szCs w:val="20"/>
              </w:rPr>
            </w:pPr>
            <w:r w:rsidRPr="00B33D42">
              <w:rPr>
                <w:rFonts w:ascii="Cambria" w:hAnsi="Cambria"/>
                <w:sz w:val="20"/>
                <w:szCs w:val="20"/>
                <w:lang w:val="es-419"/>
              </w:rPr>
              <w:t>María Roselia Sánchez de Ramírez</w:t>
            </w:r>
            <w:r w:rsidR="00C03C5F" w:rsidRPr="00B33D42">
              <w:rPr>
                <w:rFonts w:ascii="Cambria" w:hAnsi="Cambria"/>
                <w:bCs/>
                <w:sz w:val="20"/>
                <w:szCs w:val="20"/>
              </w:rPr>
              <w:t xml:space="preserve"> y</w:t>
            </w:r>
            <w:r w:rsidR="00C03C5F">
              <w:rPr>
                <w:rFonts w:ascii="Cambria" w:hAnsi="Cambria"/>
                <w:bCs/>
                <w:sz w:val="20"/>
                <w:szCs w:val="20"/>
              </w:rPr>
              <w:t xml:space="preserve"> otros familiares de policías muertos por el narcotráfico en Medellín</w:t>
            </w:r>
            <w:r w:rsidR="007121D3">
              <w:rPr>
                <w:rStyle w:val="FootnoteReference"/>
                <w:rFonts w:ascii="Cambria" w:hAnsi="Cambria"/>
                <w:bCs/>
                <w:sz w:val="20"/>
                <w:szCs w:val="20"/>
              </w:rPr>
              <w:footnoteReference w:id="1"/>
            </w:r>
          </w:p>
        </w:tc>
      </w:tr>
      <w:tr w:rsidR="00E10040" w:rsidRPr="00E10040" w14:paraId="19A873C8" w14:textId="77777777" w:rsidTr="00A30742">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1FAF70F7" w:rsidR="00E10040" w:rsidRPr="00E10040" w:rsidRDefault="007121D3" w:rsidP="00A30742">
            <w:pPr>
              <w:jc w:val="both"/>
              <w:rPr>
                <w:rFonts w:ascii="Cambria" w:hAnsi="Cambria"/>
                <w:bCs/>
                <w:sz w:val="20"/>
                <w:szCs w:val="20"/>
              </w:rPr>
            </w:pPr>
            <w:r>
              <w:rPr>
                <w:rFonts w:ascii="Cambria" w:hAnsi="Cambria"/>
                <w:bCs/>
                <w:sz w:val="20"/>
                <w:szCs w:val="20"/>
              </w:rPr>
              <w:t>Colombia</w:t>
            </w:r>
            <w:r w:rsidR="006C3852">
              <w:rPr>
                <w:rStyle w:val="FootnoteReference"/>
                <w:rFonts w:ascii="Cambria" w:hAnsi="Cambria"/>
                <w:bCs/>
                <w:sz w:val="20"/>
                <w:szCs w:val="20"/>
              </w:rPr>
              <w:footnoteReference w:id="2"/>
            </w:r>
          </w:p>
        </w:tc>
      </w:tr>
      <w:tr w:rsidR="00E10040" w:rsidRPr="00246395" w14:paraId="6848EE3C" w14:textId="77777777" w:rsidTr="00A30742">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314E3CA4" w:rsidR="00E10040" w:rsidRPr="00017076" w:rsidRDefault="00FF7680">
            <w:pPr>
              <w:jc w:val="both"/>
              <w:rPr>
                <w:rFonts w:ascii="Cambria" w:hAnsi="Cambria"/>
                <w:bCs/>
                <w:sz w:val="20"/>
                <w:szCs w:val="20"/>
              </w:rPr>
            </w:pPr>
            <w:r w:rsidRPr="00FF7680">
              <w:rPr>
                <w:rFonts w:ascii="Cambria" w:hAnsi="Cambria"/>
                <w:bCs/>
                <w:sz w:val="20"/>
                <w:szCs w:val="20"/>
                <w:lang w:val="es-419"/>
              </w:rPr>
              <w:t>No se</w:t>
            </w:r>
            <w:r w:rsidR="00D421CC" w:rsidRPr="00FF7680">
              <w:rPr>
                <w:rFonts w:ascii="Cambria" w:hAnsi="Cambria"/>
                <w:bCs/>
                <w:sz w:val="20"/>
                <w:szCs w:val="20"/>
                <w:lang w:val="es-419"/>
              </w:rPr>
              <w:t xml:space="preserve"> especifica artículos alegados</w:t>
            </w:r>
            <w:r w:rsidRPr="00FF7680">
              <w:rPr>
                <w:rFonts w:ascii="Cambria" w:hAnsi="Cambria"/>
                <w:bCs/>
                <w:sz w:val="20"/>
                <w:szCs w:val="20"/>
                <w:lang w:val="es-419"/>
              </w:rPr>
              <w:t xml:space="preserve">, pero de los hechos alegados se desprende con claridad que el peticionario se refiere fundamentalmente a violaciones al derecho a la igualdad ante la ley y al acceso a la justicia. </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A30742">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7EADD7F5" w:rsidR="00E10040" w:rsidRPr="00E10040" w:rsidRDefault="007121D3" w:rsidP="00A30742">
            <w:pPr>
              <w:jc w:val="both"/>
              <w:rPr>
                <w:rFonts w:ascii="Cambria" w:hAnsi="Cambria"/>
                <w:bCs/>
                <w:sz w:val="20"/>
                <w:szCs w:val="20"/>
              </w:rPr>
            </w:pPr>
            <w:r>
              <w:rPr>
                <w:rFonts w:ascii="Cambria" w:hAnsi="Cambria"/>
                <w:bCs/>
                <w:sz w:val="20"/>
                <w:szCs w:val="20"/>
              </w:rPr>
              <w:t>6 de abril de 2009</w:t>
            </w:r>
          </w:p>
        </w:tc>
      </w:tr>
      <w:tr w:rsidR="00E10040" w:rsidRPr="00246395" w14:paraId="07F7898F" w14:textId="77777777" w:rsidTr="00A30742">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1A74977F" w:rsidR="00E10040" w:rsidRPr="00E10040" w:rsidRDefault="00855D82">
            <w:pPr>
              <w:jc w:val="both"/>
              <w:rPr>
                <w:rFonts w:ascii="Cambria" w:hAnsi="Cambria"/>
                <w:bCs/>
                <w:sz w:val="20"/>
                <w:szCs w:val="20"/>
              </w:rPr>
            </w:pPr>
            <w:r>
              <w:rPr>
                <w:rFonts w:ascii="Cambria" w:hAnsi="Cambria"/>
                <w:bCs/>
                <w:sz w:val="20"/>
                <w:szCs w:val="20"/>
              </w:rPr>
              <w:t xml:space="preserve">19 de mayo y </w:t>
            </w:r>
            <w:r w:rsidR="009126AC">
              <w:rPr>
                <w:rFonts w:ascii="Cambria" w:hAnsi="Cambria"/>
                <w:bCs/>
                <w:sz w:val="20"/>
                <w:szCs w:val="20"/>
              </w:rPr>
              <w:t>7 de diciembre de 2009</w:t>
            </w:r>
            <w:r w:rsidR="002378B2">
              <w:rPr>
                <w:rFonts w:ascii="Cambria" w:hAnsi="Cambria"/>
                <w:bCs/>
                <w:sz w:val="20"/>
                <w:szCs w:val="20"/>
              </w:rPr>
              <w:t>;</w:t>
            </w:r>
            <w:r w:rsidR="009126AC">
              <w:rPr>
                <w:rFonts w:ascii="Cambria" w:hAnsi="Cambria"/>
                <w:bCs/>
                <w:sz w:val="20"/>
                <w:szCs w:val="20"/>
              </w:rPr>
              <w:t xml:space="preserve"> </w:t>
            </w:r>
            <w:r w:rsidR="005716B6">
              <w:rPr>
                <w:rFonts w:ascii="Cambria" w:hAnsi="Cambria"/>
                <w:bCs/>
                <w:sz w:val="20"/>
                <w:szCs w:val="20"/>
              </w:rPr>
              <w:t>25 de abril, 15 de junio y 19 de octubre de 2011</w:t>
            </w:r>
            <w:r w:rsidR="002378B2">
              <w:rPr>
                <w:rFonts w:ascii="Cambria" w:hAnsi="Cambria"/>
                <w:bCs/>
                <w:sz w:val="20"/>
                <w:szCs w:val="20"/>
              </w:rPr>
              <w:t>;</w:t>
            </w:r>
            <w:r w:rsidR="005716B6">
              <w:rPr>
                <w:rFonts w:ascii="Cambria" w:hAnsi="Cambria"/>
                <w:bCs/>
                <w:sz w:val="20"/>
                <w:szCs w:val="20"/>
              </w:rPr>
              <w:t xml:space="preserve"> </w:t>
            </w:r>
            <w:r w:rsidR="00DD116F">
              <w:rPr>
                <w:rFonts w:ascii="Cambria" w:hAnsi="Cambria"/>
                <w:bCs/>
                <w:sz w:val="20"/>
                <w:szCs w:val="20"/>
              </w:rPr>
              <w:t>26 de abril</w:t>
            </w:r>
            <w:r w:rsidR="005716B6">
              <w:rPr>
                <w:rFonts w:ascii="Cambria" w:hAnsi="Cambria"/>
                <w:bCs/>
                <w:sz w:val="20"/>
                <w:szCs w:val="20"/>
              </w:rPr>
              <w:t xml:space="preserve"> </w:t>
            </w:r>
            <w:r w:rsidR="001B20D0">
              <w:rPr>
                <w:rFonts w:ascii="Cambria" w:hAnsi="Cambria"/>
                <w:bCs/>
                <w:sz w:val="20"/>
                <w:szCs w:val="20"/>
              </w:rPr>
              <w:t xml:space="preserve">y 26 de octubre </w:t>
            </w:r>
            <w:r w:rsidR="005716B6">
              <w:rPr>
                <w:rFonts w:ascii="Cambria" w:hAnsi="Cambria"/>
                <w:bCs/>
                <w:sz w:val="20"/>
                <w:szCs w:val="20"/>
              </w:rPr>
              <w:t>de 2012</w:t>
            </w:r>
            <w:r w:rsidR="002378B2">
              <w:rPr>
                <w:rFonts w:ascii="Cambria" w:hAnsi="Cambria"/>
                <w:bCs/>
                <w:sz w:val="20"/>
                <w:szCs w:val="20"/>
              </w:rPr>
              <w:t>;</w:t>
            </w:r>
            <w:r w:rsidR="001B20D0">
              <w:rPr>
                <w:rFonts w:ascii="Cambria" w:hAnsi="Cambria"/>
                <w:bCs/>
                <w:sz w:val="20"/>
                <w:szCs w:val="20"/>
              </w:rPr>
              <w:t xml:space="preserve"> 14 de febrero, 2</w:t>
            </w:r>
            <w:r w:rsidR="00DD116F">
              <w:rPr>
                <w:rFonts w:ascii="Cambria" w:hAnsi="Cambria"/>
                <w:bCs/>
                <w:sz w:val="20"/>
                <w:szCs w:val="20"/>
              </w:rPr>
              <w:t>6</w:t>
            </w:r>
            <w:r w:rsidR="001B20D0">
              <w:rPr>
                <w:rFonts w:ascii="Cambria" w:hAnsi="Cambria"/>
                <w:bCs/>
                <w:sz w:val="20"/>
                <w:szCs w:val="20"/>
              </w:rPr>
              <w:t xml:space="preserve"> de marzo</w:t>
            </w:r>
            <w:r w:rsidR="000630F3">
              <w:rPr>
                <w:rFonts w:ascii="Cambria" w:hAnsi="Cambria"/>
                <w:bCs/>
                <w:sz w:val="20"/>
                <w:szCs w:val="20"/>
              </w:rPr>
              <w:t>,</w:t>
            </w:r>
            <w:r w:rsidR="001B20D0">
              <w:rPr>
                <w:rFonts w:ascii="Cambria" w:hAnsi="Cambria"/>
                <w:bCs/>
                <w:sz w:val="20"/>
                <w:szCs w:val="20"/>
              </w:rPr>
              <w:t xml:space="preserve"> </w:t>
            </w:r>
            <w:r w:rsidR="006B5097">
              <w:rPr>
                <w:rFonts w:ascii="Cambria" w:hAnsi="Cambria"/>
                <w:bCs/>
                <w:sz w:val="20"/>
                <w:szCs w:val="20"/>
              </w:rPr>
              <w:t>18</w:t>
            </w:r>
            <w:r w:rsidR="00A55C79">
              <w:rPr>
                <w:rFonts w:ascii="Cambria" w:hAnsi="Cambria"/>
                <w:bCs/>
                <w:sz w:val="20"/>
                <w:szCs w:val="20"/>
              </w:rPr>
              <w:t xml:space="preserve"> </w:t>
            </w:r>
            <w:r w:rsidR="001B20D0">
              <w:rPr>
                <w:rFonts w:ascii="Cambria" w:hAnsi="Cambria"/>
                <w:bCs/>
                <w:sz w:val="20"/>
                <w:szCs w:val="20"/>
              </w:rPr>
              <w:t xml:space="preserve">de junio </w:t>
            </w:r>
            <w:r w:rsidR="000630F3">
              <w:rPr>
                <w:rFonts w:ascii="Cambria" w:hAnsi="Cambria"/>
                <w:bCs/>
                <w:sz w:val="20"/>
                <w:szCs w:val="20"/>
              </w:rPr>
              <w:t xml:space="preserve">y </w:t>
            </w:r>
            <w:r w:rsidR="00781E6F">
              <w:rPr>
                <w:rFonts w:ascii="Cambria" w:hAnsi="Cambria"/>
                <w:bCs/>
                <w:sz w:val="20"/>
                <w:szCs w:val="20"/>
              </w:rPr>
              <w:t>3</w:t>
            </w:r>
            <w:r w:rsidR="000630F3">
              <w:rPr>
                <w:rFonts w:ascii="Cambria" w:hAnsi="Cambria"/>
                <w:bCs/>
                <w:sz w:val="20"/>
                <w:szCs w:val="20"/>
              </w:rPr>
              <w:t xml:space="preserve"> y </w:t>
            </w:r>
            <w:r w:rsidR="00781E6F">
              <w:rPr>
                <w:rFonts w:ascii="Cambria" w:hAnsi="Cambria"/>
                <w:bCs/>
                <w:sz w:val="20"/>
                <w:szCs w:val="20"/>
              </w:rPr>
              <w:t>10</w:t>
            </w:r>
            <w:r w:rsidR="000630F3">
              <w:rPr>
                <w:rFonts w:ascii="Cambria" w:hAnsi="Cambria"/>
                <w:bCs/>
                <w:sz w:val="20"/>
                <w:szCs w:val="20"/>
              </w:rPr>
              <w:t xml:space="preserve"> de julio </w:t>
            </w:r>
            <w:r w:rsidR="001B20D0">
              <w:rPr>
                <w:rFonts w:ascii="Cambria" w:hAnsi="Cambria"/>
                <w:bCs/>
                <w:sz w:val="20"/>
                <w:szCs w:val="20"/>
              </w:rPr>
              <w:t>de 2014</w:t>
            </w:r>
          </w:p>
        </w:tc>
      </w:tr>
      <w:tr w:rsidR="00E10040" w:rsidRPr="007121D3" w14:paraId="3D9B5327" w14:textId="77777777" w:rsidTr="00A30742">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601E04C3" w:rsidR="00E10040" w:rsidRPr="00E10040" w:rsidRDefault="00D266AE" w:rsidP="00A30742">
            <w:pPr>
              <w:jc w:val="both"/>
              <w:rPr>
                <w:rFonts w:ascii="Cambria" w:hAnsi="Cambria"/>
                <w:bCs/>
                <w:sz w:val="20"/>
                <w:szCs w:val="20"/>
              </w:rPr>
            </w:pPr>
            <w:r>
              <w:rPr>
                <w:rFonts w:ascii="Cambria" w:hAnsi="Cambria"/>
                <w:bCs/>
                <w:sz w:val="20"/>
                <w:szCs w:val="20"/>
              </w:rPr>
              <w:t>2</w:t>
            </w:r>
            <w:r w:rsidR="000630F3">
              <w:rPr>
                <w:rFonts w:ascii="Cambria" w:hAnsi="Cambria"/>
                <w:bCs/>
                <w:sz w:val="20"/>
                <w:szCs w:val="20"/>
              </w:rPr>
              <w:t xml:space="preserve"> de marzo de 2015</w:t>
            </w:r>
          </w:p>
        </w:tc>
      </w:tr>
      <w:tr w:rsidR="00E10040" w:rsidRPr="00E10040" w14:paraId="3690A4D4" w14:textId="77777777" w:rsidTr="00A30742">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050E6A51" w:rsidR="00E10040" w:rsidRPr="00E10040" w:rsidRDefault="004F3539" w:rsidP="00A30742">
            <w:pPr>
              <w:jc w:val="both"/>
              <w:rPr>
                <w:rFonts w:ascii="Cambria" w:hAnsi="Cambria"/>
                <w:bCs/>
                <w:sz w:val="20"/>
                <w:szCs w:val="20"/>
              </w:rPr>
            </w:pPr>
            <w:r>
              <w:rPr>
                <w:rFonts w:ascii="Cambria" w:hAnsi="Cambria"/>
                <w:bCs/>
                <w:sz w:val="20"/>
                <w:szCs w:val="20"/>
              </w:rPr>
              <w:t>17 de noviembre de 2017</w:t>
            </w:r>
          </w:p>
        </w:tc>
      </w:tr>
      <w:tr w:rsidR="00E10040" w:rsidRPr="00246395" w14:paraId="06D7C5BC" w14:textId="77777777" w:rsidTr="00A30742">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47FD1E2" w:rsidR="00E10040" w:rsidRPr="00E10040" w:rsidRDefault="00D266AE">
            <w:pPr>
              <w:jc w:val="both"/>
              <w:rPr>
                <w:rFonts w:ascii="Cambria" w:hAnsi="Cambria"/>
                <w:bCs/>
                <w:sz w:val="20"/>
                <w:szCs w:val="20"/>
              </w:rPr>
            </w:pPr>
            <w:r>
              <w:rPr>
                <w:rFonts w:ascii="Cambria" w:hAnsi="Cambria"/>
                <w:bCs/>
                <w:sz w:val="20"/>
                <w:szCs w:val="20"/>
              </w:rPr>
              <w:t>17 de agosto</w:t>
            </w:r>
            <w:r w:rsidR="000630F3">
              <w:rPr>
                <w:rFonts w:ascii="Cambria" w:hAnsi="Cambria"/>
                <w:bCs/>
                <w:sz w:val="20"/>
                <w:szCs w:val="20"/>
              </w:rPr>
              <w:t xml:space="preserve"> de 2015</w:t>
            </w:r>
            <w:r w:rsidR="002378B2">
              <w:rPr>
                <w:rFonts w:ascii="Cambria" w:hAnsi="Cambria"/>
                <w:bCs/>
                <w:sz w:val="20"/>
                <w:szCs w:val="20"/>
              </w:rPr>
              <w:t>;</w:t>
            </w:r>
            <w:r w:rsidR="004F3539">
              <w:rPr>
                <w:rFonts w:ascii="Cambria" w:hAnsi="Cambria"/>
                <w:bCs/>
                <w:sz w:val="20"/>
                <w:szCs w:val="20"/>
              </w:rPr>
              <w:t xml:space="preserve"> </w:t>
            </w:r>
            <w:r>
              <w:rPr>
                <w:rFonts w:ascii="Cambria" w:hAnsi="Cambria"/>
                <w:bCs/>
                <w:sz w:val="20"/>
                <w:szCs w:val="20"/>
              </w:rPr>
              <w:t xml:space="preserve">23 de mayo de 2016; </w:t>
            </w:r>
            <w:r w:rsidR="00B00C8E">
              <w:rPr>
                <w:rFonts w:ascii="Cambria" w:hAnsi="Cambria"/>
                <w:bCs/>
                <w:sz w:val="20"/>
                <w:szCs w:val="20"/>
              </w:rPr>
              <w:t>30</w:t>
            </w:r>
            <w:r w:rsidR="004F3539">
              <w:rPr>
                <w:rFonts w:ascii="Cambria" w:hAnsi="Cambria"/>
                <w:bCs/>
                <w:sz w:val="20"/>
                <w:szCs w:val="20"/>
              </w:rPr>
              <w:t xml:space="preserve"> de enero y </w:t>
            </w:r>
            <w:r w:rsidR="00F63052">
              <w:rPr>
                <w:rFonts w:ascii="Cambria" w:hAnsi="Cambria"/>
                <w:bCs/>
                <w:sz w:val="20"/>
                <w:szCs w:val="20"/>
              </w:rPr>
              <w:t>3</w:t>
            </w:r>
            <w:r w:rsidR="004F3539">
              <w:rPr>
                <w:rFonts w:ascii="Cambria" w:hAnsi="Cambria"/>
                <w:bCs/>
                <w:sz w:val="20"/>
                <w:szCs w:val="20"/>
              </w:rPr>
              <w:t xml:space="preserve"> de abril de 2018</w:t>
            </w:r>
            <w:r w:rsidR="002378B2">
              <w:rPr>
                <w:rFonts w:ascii="Cambria" w:hAnsi="Cambria"/>
                <w:bCs/>
                <w:sz w:val="20"/>
                <w:szCs w:val="20"/>
              </w:rPr>
              <w:t>;</w:t>
            </w:r>
            <w:r w:rsidR="004F3539">
              <w:rPr>
                <w:rFonts w:ascii="Cambria" w:hAnsi="Cambria"/>
                <w:bCs/>
                <w:sz w:val="20"/>
                <w:szCs w:val="20"/>
              </w:rPr>
              <w:t xml:space="preserve"> y 1</w:t>
            </w:r>
            <w:r w:rsidR="007D6B05">
              <w:rPr>
                <w:rFonts w:ascii="Cambria" w:hAnsi="Cambria"/>
                <w:bCs/>
                <w:sz w:val="20"/>
                <w:szCs w:val="20"/>
              </w:rPr>
              <w:t xml:space="preserve"> </w:t>
            </w:r>
            <w:r w:rsidR="004F3539">
              <w:rPr>
                <w:rFonts w:ascii="Cambria" w:hAnsi="Cambria"/>
                <w:bCs/>
                <w:sz w:val="20"/>
                <w:szCs w:val="20"/>
              </w:rPr>
              <w:t>de marzo de 2019</w:t>
            </w:r>
          </w:p>
        </w:tc>
      </w:tr>
      <w:tr w:rsidR="00E10040" w:rsidRPr="00E10040" w14:paraId="591D34D3" w14:textId="77777777" w:rsidTr="00A30742">
        <w:tc>
          <w:tcPr>
            <w:tcW w:w="3600" w:type="dxa"/>
            <w:tcBorders>
              <w:top w:val="single" w:sz="6" w:space="0" w:color="auto"/>
              <w:bottom w:val="single" w:sz="6" w:space="0" w:color="auto"/>
            </w:tcBorders>
            <w:shd w:val="clear" w:color="auto" w:fill="386294"/>
            <w:vAlign w:val="center"/>
          </w:tcPr>
          <w:p w14:paraId="1EC980E2"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del Estado:</w:t>
            </w:r>
          </w:p>
        </w:tc>
        <w:tc>
          <w:tcPr>
            <w:tcW w:w="5760" w:type="dxa"/>
            <w:vAlign w:val="center"/>
          </w:tcPr>
          <w:p w14:paraId="336231CC" w14:textId="2BE8616D" w:rsidR="00E10040" w:rsidRPr="00E10040" w:rsidRDefault="004F3539" w:rsidP="00A30742">
            <w:pPr>
              <w:jc w:val="both"/>
              <w:rPr>
                <w:rFonts w:ascii="Cambria" w:hAnsi="Cambria"/>
                <w:bCs/>
                <w:sz w:val="20"/>
                <w:szCs w:val="20"/>
              </w:rPr>
            </w:pPr>
            <w:r>
              <w:rPr>
                <w:rFonts w:ascii="Cambria" w:hAnsi="Cambria"/>
                <w:bCs/>
                <w:sz w:val="20"/>
                <w:szCs w:val="20"/>
              </w:rPr>
              <w:t>21 de junio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10040" w:rsidRPr="00E10040" w14:paraId="07EA4CAC" w14:textId="77777777" w:rsidTr="00E5299A">
        <w:trPr>
          <w:cantSplit/>
        </w:trPr>
        <w:tc>
          <w:tcPr>
            <w:tcW w:w="3561" w:type="dxa"/>
            <w:tcBorders>
              <w:top w:val="single" w:sz="4" w:space="0" w:color="auto"/>
              <w:bottom w:val="single" w:sz="6" w:space="0" w:color="auto"/>
            </w:tcBorders>
            <w:shd w:val="clear" w:color="auto" w:fill="386294"/>
            <w:vAlign w:val="center"/>
          </w:tcPr>
          <w:p w14:paraId="7DA6AF28" w14:textId="77777777" w:rsidR="00E10040" w:rsidRPr="00E10040" w:rsidRDefault="00E10040" w:rsidP="00A30742">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76" w:type="dxa"/>
            <w:vAlign w:val="center"/>
          </w:tcPr>
          <w:p w14:paraId="7E9A7E40" w14:textId="6F0C27D1" w:rsidR="00E10040" w:rsidRPr="00E10040" w:rsidRDefault="004F3539" w:rsidP="00A30742">
            <w:pPr>
              <w:rPr>
                <w:rFonts w:ascii="Cambria" w:hAnsi="Cambria"/>
                <w:bCs/>
                <w:sz w:val="20"/>
                <w:szCs w:val="20"/>
              </w:rPr>
            </w:pPr>
            <w:r>
              <w:rPr>
                <w:rFonts w:ascii="Cambria" w:hAnsi="Cambria"/>
                <w:bCs/>
                <w:sz w:val="20"/>
                <w:szCs w:val="20"/>
              </w:rPr>
              <w:t>Sí</w:t>
            </w:r>
          </w:p>
        </w:tc>
      </w:tr>
      <w:tr w:rsidR="00E10040" w:rsidRPr="00E10040" w14:paraId="18DFEB57" w14:textId="77777777" w:rsidTr="00E5299A">
        <w:trPr>
          <w:cantSplit/>
        </w:trPr>
        <w:tc>
          <w:tcPr>
            <w:tcW w:w="3561" w:type="dxa"/>
            <w:tcBorders>
              <w:top w:val="single" w:sz="6" w:space="0" w:color="auto"/>
              <w:bottom w:val="single" w:sz="6" w:space="0" w:color="auto"/>
            </w:tcBorders>
            <w:shd w:val="clear" w:color="auto" w:fill="386294"/>
            <w:vAlign w:val="center"/>
          </w:tcPr>
          <w:p w14:paraId="428C19DB"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76" w:type="dxa"/>
            <w:vAlign w:val="center"/>
          </w:tcPr>
          <w:p w14:paraId="13C8C951" w14:textId="506B0FA2" w:rsidR="00E10040" w:rsidRPr="00E10040" w:rsidRDefault="004F3539" w:rsidP="00A30742">
            <w:pPr>
              <w:rPr>
                <w:rFonts w:ascii="Cambria" w:hAnsi="Cambria"/>
                <w:bCs/>
                <w:sz w:val="20"/>
                <w:szCs w:val="20"/>
              </w:rPr>
            </w:pPr>
            <w:r>
              <w:rPr>
                <w:rFonts w:ascii="Cambria" w:hAnsi="Cambria"/>
                <w:bCs/>
                <w:sz w:val="20"/>
                <w:szCs w:val="20"/>
              </w:rPr>
              <w:t>Sí</w:t>
            </w:r>
          </w:p>
        </w:tc>
      </w:tr>
      <w:tr w:rsidR="00E10040" w:rsidRPr="00E10040" w14:paraId="712688E1" w14:textId="77777777" w:rsidTr="00E5299A">
        <w:trPr>
          <w:cantSplit/>
        </w:trPr>
        <w:tc>
          <w:tcPr>
            <w:tcW w:w="3561" w:type="dxa"/>
            <w:tcBorders>
              <w:top w:val="single" w:sz="6" w:space="0" w:color="auto"/>
              <w:bottom w:val="single" w:sz="6" w:space="0" w:color="auto"/>
            </w:tcBorders>
            <w:shd w:val="clear" w:color="auto" w:fill="386294"/>
            <w:vAlign w:val="center"/>
          </w:tcPr>
          <w:p w14:paraId="615423F2"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76" w:type="dxa"/>
            <w:vAlign w:val="center"/>
          </w:tcPr>
          <w:p w14:paraId="73F3F5B8" w14:textId="5C294094" w:rsidR="00E10040" w:rsidRPr="00E10040" w:rsidRDefault="004F3539" w:rsidP="00A30742">
            <w:pPr>
              <w:rPr>
                <w:rFonts w:ascii="Cambria" w:hAnsi="Cambria"/>
                <w:bCs/>
                <w:sz w:val="20"/>
                <w:szCs w:val="20"/>
              </w:rPr>
            </w:pPr>
            <w:r>
              <w:rPr>
                <w:rFonts w:ascii="Cambria" w:hAnsi="Cambria"/>
                <w:bCs/>
                <w:sz w:val="20"/>
                <w:szCs w:val="20"/>
              </w:rPr>
              <w:t>Sí</w:t>
            </w:r>
          </w:p>
        </w:tc>
      </w:tr>
      <w:tr w:rsidR="00E10040" w:rsidRPr="00246395" w14:paraId="36A0855A" w14:textId="77777777" w:rsidTr="00E5299A">
        <w:trPr>
          <w:cantSplit/>
        </w:trPr>
        <w:tc>
          <w:tcPr>
            <w:tcW w:w="3561" w:type="dxa"/>
            <w:tcBorders>
              <w:top w:val="single" w:sz="6" w:space="0" w:color="auto"/>
              <w:bottom w:val="single" w:sz="6" w:space="0" w:color="auto"/>
            </w:tcBorders>
            <w:shd w:val="clear" w:color="auto" w:fill="386294"/>
            <w:vAlign w:val="center"/>
          </w:tcPr>
          <w:p w14:paraId="6E5E1573" w14:textId="77777777" w:rsidR="00E10040" w:rsidRPr="00E10040" w:rsidRDefault="00E10040" w:rsidP="00A30742">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76" w:type="dxa"/>
            <w:vAlign w:val="center"/>
          </w:tcPr>
          <w:p w14:paraId="2A69C468" w14:textId="7F9D2758" w:rsidR="00E10040" w:rsidRPr="00E10040" w:rsidRDefault="004F3539" w:rsidP="00A30742">
            <w:pPr>
              <w:jc w:val="both"/>
              <w:rPr>
                <w:rFonts w:ascii="Cambria" w:hAnsi="Cambria"/>
                <w:bCs/>
                <w:sz w:val="20"/>
                <w:szCs w:val="20"/>
              </w:rPr>
            </w:pPr>
            <w:r>
              <w:rPr>
                <w:rFonts w:ascii="Cambria" w:hAnsi="Cambria"/>
                <w:bCs/>
                <w:sz w:val="20"/>
                <w:szCs w:val="20"/>
              </w:rPr>
              <w:t>Sí,</w:t>
            </w:r>
            <w:r w:rsidR="002523E8">
              <w:rPr>
                <w:rFonts w:ascii="Cambria" w:hAnsi="Cambria"/>
                <w:bCs/>
                <w:sz w:val="20"/>
                <w:szCs w:val="20"/>
              </w:rPr>
              <w:t xml:space="preserve"> </w:t>
            </w:r>
            <w:r>
              <w:rPr>
                <w:rFonts w:ascii="Cambria" w:hAnsi="Cambria"/>
                <w:bCs/>
                <w:sz w:val="20"/>
                <w:szCs w:val="20"/>
              </w:rPr>
              <w:t>Convención Americana (depósito de instrumento de ratificación realizado el 31 de julio de 1973)</w:t>
            </w:r>
          </w:p>
        </w:tc>
      </w:tr>
    </w:tbl>
    <w:p w14:paraId="472890AE" w14:textId="5A3EFB12" w:rsidR="00E10040" w:rsidRPr="006C3852"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w:t>
      </w:r>
      <w:r w:rsidRPr="006C3852">
        <w:rPr>
          <w:rFonts w:ascii="Cambria" w:hAnsi="Cambria"/>
          <w:b/>
          <w:sz w:val="20"/>
          <w:szCs w:val="20"/>
          <w:lang w:val="es-ES"/>
        </w:rPr>
        <w:t>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6C3852" w:rsidRPr="006C3852" w14:paraId="10DAFB6F" w14:textId="77777777" w:rsidTr="00E5299A">
        <w:trPr>
          <w:cantSplit/>
        </w:trPr>
        <w:tc>
          <w:tcPr>
            <w:tcW w:w="3566" w:type="dxa"/>
            <w:tcBorders>
              <w:top w:val="single" w:sz="4" w:space="0" w:color="auto"/>
              <w:bottom w:val="single" w:sz="6" w:space="0" w:color="auto"/>
            </w:tcBorders>
            <w:shd w:val="clear" w:color="auto" w:fill="386294"/>
            <w:vAlign w:val="center"/>
          </w:tcPr>
          <w:p w14:paraId="7A434BE2" w14:textId="77777777" w:rsidR="00E10040" w:rsidRPr="006C3852" w:rsidRDefault="00E10040" w:rsidP="00A30742">
            <w:pPr>
              <w:jc w:val="center"/>
              <w:rPr>
                <w:rFonts w:ascii="Cambria" w:hAnsi="Cambria"/>
                <w:b/>
                <w:bCs/>
                <w:color w:val="FFFFFF" w:themeColor="background1"/>
                <w:sz w:val="20"/>
                <w:szCs w:val="20"/>
              </w:rPr>
            </w:pPr>
            <w:r w:rsidRPr="006C3852">
              <w:rPr>
                <w:rFonts w:ascii="Cambria" w:hAnsi="Cambria"/>
                <w:b/>
                <w:bCs/>
                <w:color w:val="FFFFFF" w:themeColor="background1"/>
                <w:sz w:val="20"/>
                <w:szCs w:val="20"/>
              </w:rPr>
              <w:t>Duplicación de procedimientos y cosa juzgada internacional:</w:t>
            </w:r>
          </w:p>
        </w:tc>
        <w:tc>
          <w:tcPr>
            <w:tcW w:w="5771" w:type="dxa"/>
            <w:vAlign w:val="center"/>
          </w:tcPr>
          <w:p w14:paraId="02C313CB" w14:textId="3F64B5E8" w:rsidR="00E10040" w:rsidRPr="006C3852" w:rsidRDefault="004F3539" w:rsidP="00A30742">
            <w:pPr>
              <w:jc w:val="both"/>
              <w:rPr>
                <w:rFonts w:ascii="Cambria" w:hAnsi="Cambria"/>
                <w:bCs/>
                <w:sz w:val="20"/>
                <w:szCs w:val="20"/>
              </w:rPr>
            </w:pPr>
            <w:r w:rsidRPr="006C3852">
              <w:rPr>
                <w:rFonts w:ascii="Cambria" w:hAnsi="Cambria"/>
                <w:bCs/>
                <w:sz w:val="20"/>
                <w:szCs w:val="20"/>
              </w:rPr>
              <w:t>No</w:t>
            </w:r>
          </w:p>
        </w:tc>
      </w:tr>
      <w:tr w:rsidR="006C3852" w:rsidRPr="006C3852" w14:paraId="3CD13DD0" w14:textId="77777777" w:rsidTr="00E5299A">
        <w:trPr>
          <w:cantSplit/>
        </w:trPr>
        <w:tc>
          <w:tcPr>
            <w:tcW w:w="3566" w:type="dxa"/>
            <w:tcBorders>
              <w:top w:val="single" w:sz="4" w:space="0" w:color="auto"/>
              <w:bottom w:val="single" w:sz="6" w:space="0" w:color="auto"/>
            </w:tcBorders>
            <w:shd w:val="clear" w:color="auto" w:fill="386294"/>
            <w:vAlign w:val="center"/>
          </w:tcPr>
          <w:p w14:paraId="3BEC9D01" w14:textId="77777777" w:rsidR="00E10040" w:rsidRPr="006C3852" w:rsidRDefault="00E10040" w:rsidP="00A30742">
            <w:pPr>
              <w:jc w:val="center"/>
              <w:rPr>
                <w:rFonts w:ascii="Cambria" w:hAnsi="Cambria"/>
                <w:b/>
                <w:bCs/>
                <w:i/>
                <w:color w:val="FFFFFF" w:themeColor="background1"/>
                <w:sz w:val="20"/>
                <w:szCs w:val="20"/>
              </w:rPr>
            </w:pPr>
            <w:r w:rsidRPr="006C3852">
              <w:rPr>
                <w:rFonts w:ascii="Cambria" w:hAnsi="Cambria"/>
                <w:b/>
                <w:bCs/>
                <w:color w:val="FFFFFF" w:themeColor="background1"/>
                <w:sz w:val="20"/>
                <w:szCs w:val="20"/>
              </w:rPr>
              <w:t>Derechos declarados admisibles</w:t>
            </w:r>
            <w:r w:rsidRPr="006C3852">
              <w:rPr>
                <w:rFonts w:ascii="Cambria" w:hAnsi="Cambria"/>
                <w:b/>
                <w:bCs/>
                <w:i/>
                <w:color w:val="FFFFFF" w:themeColor="background1"/>
                <w:sz w:val="20"/>
                <w:szCs w:val="20"/>
              </w:rPr>
              <w:t>:</w:t>
            </w:r>
          </w:p>
        </w:tc>
        <w:tc>
          <w:tcPr>
            <w:tcW w:w="5771" w:type="dxa"/>
            <w:vAlign w:val="center"/>
          </w:tcPr>
          <w:p w14:paraId="7F500B5F" w14:textId="770AFC9A" w:rsidR="00E10040" w:rsidRPr="006C3852" w:rsidRDefault="0041482C" w:rsidP="00A30742">
            <w:pPr>
              <w:jc w:val="both"/>
              <w:rPr>
                <w:rFonts w:ascii="Cambria" w:hAnsi="Cambria"/>
                <w:bCs/>
                <w:sz w:val="20"/>
                <w:szCs w:val="20"/>
              </w:rPr>
            </w:pPr>
            <w:r>
              <w:rPr>
                <w:rFonts w:ascii="Cambria" w:hAnsi="Cambria"/>
                <w:bCs/>
                <w:sz w:val="20"/>
                <w:szCs w:val="20"/>
              </w:rPr>
              <w:t>No aplica</w:t>
            </w:r>
          </w:p>
        </w:tc>
      </w:tr>
      <w:tr w:rsidR="006C3852" w:rsidRPr="006C3852" w14:paraId="135E8DBF" w14:textId="77777777" w:rsidTr="00E5299A">
        <w:trPr>
          <w:cantSplit/>
        </w:trPr>
        <w:tc>
          <w:tcPr>
            <w:tcW w:w="3566" w:type="dxa"/>
            <w:tcBorders>
              <w:top w:val="single" w:sz="6" w:space="0" w:color="auto"/>
              <w:bottom w:val="single" w:sz="6" w:space="0" w:color="auto"/>
            </w:tcBorders>
            <w:shd w:val="clear" w:color="auto" w:fill="386294"/>
            <w:vAlign w:val="center"/>
          </w:tcPr>
          <w:p w14:paraId="423D299B" w14:textId="77777777" w:rsidR="00E10040" w:rsidRPr="006C3852" w:rsidRDefault="00E10040" w:rsidP="00A30742">
            <w:pPr>
              <w:jc w:val="center"/>
              <w:rPr>
                <w:rFonts w:ascii="Cambria" w:hAnsi="Cambria"/>
                <w:b/>
                <w:bCs/>
                <w:color w:val="FFFFFF" w:themeColor="background1"/>
                <w:sz w:val="20"/>
                <w:szCs w:val="20"/>
              </w:rPr>
            </w:pPr>
            <w:r w:rsidRPr="006C3852">
              <w:rPr>
                <w:rFonts w:ascii="Cambria" w:hAnsi="Cambria"/>
                <w:b/>
                <w:bCs/>
                <w:color w:val="FFFFFF" w:themeColor="background1"/>
                <w:sz w:val="20"/>
                <w:szCs w:val="20"/>
              </w:rPr>
              <w:t>Agotamiento de recursos internos o procedencia de una excepción:</w:t>
            </w:r>
          </w:p>
        </w:tc>
        <w:tc>
          <w:tcPr>
            <w:tcW w:w="5771" w:type="dxa"/>
            <w:vAlign w:val="center"/>
          </w:tcPr>
          <w:p w14:paraId="3F71FF5E" w14:textId="3F27B273" w:rsidR="00E10040" w:rsidRPr="006C3852" w:rsidRDefault="00EC6D03" w:rsidP="00A30742">
            <w:pPr>
              <w:rPr>
                <w:rFonts w:ascii="Cambria" w:hAnsi="Cambria"/>
                <w:bCs/>
                <w:sz w:val="20"/>
                <w:szCs w:val="20"/>
              </w:rPr>
            </w:pPr>
            <w:r w:rsidRPr="006C3852">
              <w:rPr>
                <w:rFonts w:ascii="Cambria" w:hAnsi="Cambria"/>
                <w:bCs/>
                <w:sz w:val="20"/>
                <w:szCs w:val="20"/>
              </w:rPr>
              <w:t>No</w:t>
            </w:r>
          </w:p>
        </w:tc>
      </w:tr>
      <w:tr w:rsidR="006C3852" w:rsidRPr="006C3852" w14:paraId="3584D459" w14:textId="77777777" w:rsidTr="00E5299A">
        <w:trPr>
          <w:cantSplit/>
        </w:trPr>
        <w:tc>
          <w:tcPr>
            <w:tcW w:w="3566" w:type="dxa"/>
            <w:tcBorders>
              <w:top w:val="single" w:sz="6" w:space="0" w:color="auto"/>
              <w:bottom w:val="single" w:sz="6" w:space="0" w:color="auto"/>
            </w:tcBorders>
            <w:shd w:val="clear" w:color="auto" w:fill="386294"/>
            <w:vAlign w:val="center"/>
          </w:tcPr>
          <w:p w14:paraId="2D708EA3" w14:textId="77777777" w:rsidR="00E10040" w:rsidRPr="006C3852" w:rsidRDefault="00E10040" w:rsidP="00A30742">
            <w:pPr>
              <w:jc w:val="center"/>
              <w:rPr>
                <w:rFonts w:ascii="Cambria" w:hAnsi="Cambria"/>
                <w:b/>
                <w:bCs/>
                <w:color w:val="FFFFFF" w:themeColor="background1"/>
                <w:sz w:val="20"/>
                <w:szCs w:val="20"/>
              </w:rPr>
            </w:pPr>
            <w:r w:rsidRPr="006C3852">
              <w:rPr>
                <w:rFonts w:ascii="Cambria" w:hAnsi="Cambria"/>
                <w:b/>
                <w:bCs/>
                <w:color w:val="FFFFFF" w:themeColor="background1"/>
                <w:sz w:val="20"/>
                <w:szCs w:val="20"/>
              </w:rPr>
              <w:t>Presentación dentro de plazo:</w:t>
            </w:r>
          </w:p>
        </w:tc>
        <w:tc>
          <w:tcPr>
            <w:tcW w:w="5771" w:type="dxa"/>
            <w:vAlign w:val="center"/>
          </w:tcPr>
          <w:p w14:paraId="521CCA2C" w14:textId="4F0AE652" w:rsidR="00E10040" w:rsidRPr="006C3852" w:rsidRDefault="00EC6D03" w:rsidP="00A30742">
            <w:pPr>
              <w:rPr>
                <w:rFonts w:ascii="Cambria" w:hAnsi="Cambria"/>
                <w:bCs/>
                <w:sz w:val="20"/>
                <w:szCs w:val="20"/>
              </w:rPr>
            </w:pPr>
            <w:r w:rsidRPr="006C3852">
              <w:rPr>
                <w:rFonts w:ascii="Cambria" w:hAnsi="Cambria"/>
                <w:bCs/>
                <w:sz w:val="20"/>
                <w:szCs w:val="20"/>
              </w:rPr>
              <w:t>No aplica</w:t>
            </w:r>
          </w:p>
        </w:tc>
      </w:tr>
    </w:tbl>
    <w:p w14:paraId="52907343" w14:textId="77777777" w:rsidR="00E5299A" w:rsidRDefault="00E5299A" w:rsidP="00E5299A">
      <w:pPr>
        <w:ind w:firstLine="720"/>
        <w:jc w:val="both"/>
        <w:rPr>
          <w:rFonts w:ascii="Cambria" w:hAnsi="Cambria"/>
          <w:b/>
          <w:sz w:val="20"/>
          <w:szCs w:val="20"/>
          <w:lang w:val="es-UY"/>
        </w:rPr>
      </w:pPr>
    </w:p>
    <w:p w14:paraId="43D3366B" w14:textId="4D0C1E5A" w:rsidR="00E10040" w:rsidRPr="001F35C9" w:rsidRDefault="00E10040" w:rsidP="00E5299A">
      <w:pPr>
        <w:ind w:firstLine="720"/>
        <w:jc w:val="both"/>
        <w:rPr>
          <w:rFonts w:ascii="Cambria" w:hAnsi="Cambria"/>
          <w:b/>
          <w:sz w:val="20"/>
          <w:szCs w:val="20"/>
          <w:lang w:val="es-ES_tradnl"/>
        </w:rPr>
      </w:pPr>
      <w:r w:rsidRPr="001F35C9">
        <w:rPr>
          <w:rFonts w:ascii="Cambria" w:hAnsi="Cambria"/>
          <w:b/>
          <w:sz w:val="20"/>
          <w:szCs w:val="20"/>
          <w:lang w:val="es-ES_tradnl"/>
        </w:rPr>
        <w:t xml:space="preserve">V. </w:t>
      </w:r>
      <w:r w:rsidRPr="001F35C9">
        <w:rPr>
          <w:rFonts w:ascii="Cambria" w:hAnsi="Cambria"/>
          <w:b/>
          <w:sz w:val="20"/>
          <w:szCs w:val="20"/>
          <w:lang w:val="es-ES_tradnl"/>
        </w:rPr>
        <w:tab/>
      </w:r>
      <w:r w:rsidR="00BA3B29" w:rsidRPr="001F35C9">
        <w:rPr>
          <w:rFonts w:ascii="Cambria" w:hAnsi="Cambria"/>
          <w:b/>
          <w:sz w:val="20"/>
          <w:szCs w:val="20"/>
          <w:lang w:val="es-ES_tradnl"/>
        </w:rPr>
        <w:t>POSICIÓN DE LAS PARTES</w:t>
      </w:r>
      <w:r w:rsidRPr="001F35C9">
        <w:rPr>
          <w:rFonts w:ascii="Cambria" w:hAnsi="Cambria"/>
          <w:b/>
          <w:sz w:val="20"/>
          <w:szCs w:val="20"/>
          <w:lang w:val="es-ES_tradnl"/>
        </w:rPr>
        <w:t xml:space="preserve"> </w:t>
      </w:r>
    </w:p>
    <w:p w14:paraId="1EB30832" w14:textId="77777777" w:rsidR="00E5299A" w:rsidRPr="001F35C9" w:rsidRDefault="00E5299A" w:rsidP="00E5299A">
      <w:pPr>
        <w:ind w:firstLine="720"/>
        <w:jc w:val="both"/>
        <w:rPr>
          <w:rFonts w:ascii="Cambria" w:hAnsi="Cambria"/>
          <w:b/>
          <w:sz w:val="20"/>
          <w:szCs w:val="20"/>
          <w:lang w:val="es-ES_tradnl"/>
        </w:rPr>
      </w:pPr>
    </w:p>
    <w:p w14:paraId="5F03B087" w14:textId="77235E5A" w:rsidR="003851E5" w:rsidRPr="001F35C9" w:rsidRDefault="00BA3B29"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1F35C9">
        <w:rPr>
          <w:color w:val="auto"/>
          <w:sz w:val="20"/>
          <w:szCs w:val="20"/>
          <w:lang w:val="es-ES_tradnl"/>
        </w:rPr>
        <w:t>Se</w:t>
      </w:r>
      <w:r w:rsidR="00B639F6" w:rsidRPr="001F35C9">
        <w:rPr>
          <w:color w:val="auto"/>
          <w:sz w:val="20"/>
          <w:szCs w:val="20"/>
          <w:lang w:val="es-ES_tradnl"/>
        </w:rPr>
        <w:t xml:space="preserve"> </w:t>
      </w:r>
      <w:r w:rsidR="00172E1E" w:rsidRPr="001F35C9">
        <w:rPr>
          <w:color w:val="auto"/>
          <w:sz w:val="20"/>
          <w:szCs w:val="20"/>
          <w:lang w:val="es-ES_tradnl"/>
        </w:rPr>
        <w:t>alega la</w:t>
      </w:r>
      <w:r w:rsidR="00EC0B97" w:rsidRPr="001F35C9">
        <w:rPr>
          <w:color w:val="auto"/>
          <w:sz w:val="20"/>
          <w:szCs w:val="20"/>
          <w:lang w:val="es-ES_tradnl"/>
        </w:rPr>
        <w:t xml:space="preserve"> </w:t>
      </w:r>
      <w:r w:rsidR="00666B6A" w:rsidRPr="001F35C9">
        <w:rPr>
          <w:color w:val="auto"/>
          <w:sz w:val="20"/>
          <w:szCs w:val="20"/>
          <w:lang w:val="es-ES_tradnl"/>
        </w:rPr>
        <w:t>falta</w:t>
      </w:r>
      <w:r w:rsidR="002523E8" w:rsidRPr="001F35C9">
        <w:rPr>
          <w:color w:val="auto"/>
          <w:sz w:val="20"/>
          <w:szCs w:val="20"/>
          <w:lang w:val="es-ES_tradnl"/>
        </w:rPr>
        <w:t xml:space="preserve"> de</w:t>
      </w:r>
      <w:r w:rsidR="00666B6A" w:rsidRPr="001F35C9">
        <w:rPr>
          <w:color w:val="auto"/>
          <w:sz w:val="20"/>
          <w:szCs w:val="20"/>
          <w:lang w:val="es-ES_tradnl"/>
        </w:rPr>
        <w:t xml:space="preserve"> </w:t>
      </w:r>
      <w:r w:rsidR="003823BA" w:rsidRPr="001F35C9">
        <w:rPr>
          <w:color w:val="auto"/>
          <w:sz w:val="20"/>
          <w:szCs w:val="20"/>
          <w:lang w:val="es-ES_tradnl"/>
        </w:rPr>
        <w:t>reparación a los familiare</w:t>
      </w:r>
      <w:r w:rsidR="00B73032" w:rsidRPr="001F35C9">
        <w:rPr>
          <w:color w:val="auto"/>
          <w:sz w:val="20"/>
          <w:szCs w:val="20"/>
          <w:lang w:val="es-ES_tradnl"/>
        </w:rPr>
        <w:t xml:space="preserve">s (en adelante “las presuntas víctimas”) </w:t>
      </w:r>
      <w:r w:rsidR="003823BA" w:rsidRPr="001F35C9">
        <w:rPr>
          <w:color w:val="auto"/>
          <w:sz w:val="20"/>
          <w:szCs w:val="20"/>
          <w:lang w:val="es-ES_tradnl"/>
        </w:rPr>
        <w:t xml:space="preserve">de </w:t>
      </w:r>
      <w:r w:rsidR="00172E1E" w:rsidRPr="001F35C9">
        <w:rPr>
          <w:color w:val="auto"/>
          <w:sz w:val="20"/>
          <w:szCs w:val="20"/>
          <w:lang w:val="es-ES_tradnl"/>
        </w:rPr>
        <w:t xml:space="preserve">sesenta y </w:t>
      </w:r>
      <w:r w:rsidR="004144FD" w:rsidRPr="001F35C9">
        <w:rPr>
          <w:color w:val="auto"/>
          <w:sz w:val="20"/>
          <w:szCs w:val="20"/>
          <w:lang w:val="es-ES_tradnl"/>
        </w:rPr>
        <w:t>tres</w:t>
      </w:r>
      <w:r w:rsidR="001A06A1" w:rsidRPr="001F35C9">
        <w:rPr>
          <w:color w:val="auto"/>
          <w:sz w:val="20"/>
          <w:szCs w:val="20"/>
          <w:lang w:val="es-ES_tradnl"/>
        </w:rPr>
        <w:t xml:space="preserve"> </w:t>
      </w:r>
      <w:r w:rsidR="00666B6A" w:rsidRPr="001F35C9">
        <w:rPr>
          <w:color w:val="auto"/>
          <w:sz w:val="20"/>
          <w:szCs w:val="20"/>
          <w:lang w:val="es-ES_tradnl"/>
        </w:rPr>
        <w:t xml:space="preserve">agentes de la Policía Nacional </w:t>
      </w:r>
      <w:r w:rsidR="003823BA" w:rsidRPr="001F35C9">
        <w:rPr>
          <w:color w:val="auto"/>
          <w:sz w:val="20"/>
          <w:szCs w:val="20"/>
          <w:lang w:val="es-ES_tradnl"/>
        </w:rPr>
        <w:t xml:space="preserve">asesinados </w:t>
      </w:r>
      <w:r w:rsidR="00E51A20" w:rsidRPr="001F35C9">
        <w:rPr>
          <w:color w:val="auto"/>
          <w:sz w:val="20"/>
          <w:szCs w:val="20"/>
          <w:lang w:val="es-ES_tradnl"/>
        </w:rPr>
        <w:t xml:space="preserve">por </w:t>
      </w:r>
      <w:r w:rsidR="003823BA" w:rsidRPr="001F35C9">
        <w:rPr>
          <w:color w:val="auto"/>
          <w:sz w:val="20"/>
          <w:szCs w:val="20"/>
          <w:lang w:val="es-ES_tradnl"/>
        </w:rPr>
        <w:t xml:space="preserve">órdenes de </w:t>
      </w:r>
      <w:r w:rsidR="00D421CC" w:rsidRPr="001F35C9">
        <w:rPr>
          <w:color w:val="auto"/>
          <w:sz w:val="20"/>
          <w:szCs w:val="20"/>
          <w:lang w:val="es-ES_tradnl"/>
        </w:rPr>
        <w:t>Pablo Escobar Gaviria</w:t>
      </w:r>
      <w:r w:rsidR="00A12E32" w:rsidRPr="001F35C9">
        <w:rPr>
          <w:color w:val="auto"/>
          <w:sz w:val="20"/>
          <w:szCs w:val="20"/>
          <w:lang w:val="es-ES_tradnl"/>
        </w:rPr>
        <w:t>.</w:t>
      </w:r>
      <w:r w:rsidR="004A7676" w:rsidRPr="001F35C9">
        <w:rPr>
          <w:color w:val="auto"/>
          <w:sz w:val="20"/>
          <w:szCs w:val="20"/>
          <w:lang w:val="es-ES_tradnl"/>
        </w:rPr>
        <w:t xml:space="preserve"> </w:t>
      </w:r>
      <w:r w:rsidR="00B639F6" w:rsidRPr="001F35C9">
        <w:rPr>
          <w:color w:val="auto"/>
          <w:sz w:val="20"/>
          <w:szCs w:val="20"/>
          <w:lang w:val="es-ES_tradnl"/>
        </w:rPr>
        <w:t>La parte peticionaria so</w:t>
      </w:r>
      <w:r w:rsidR="002378B2" w:rsidRPr="001F35C9">
        <w:rPr>
          <w:color w:val="auto"/>
          <w:sz w:val="20"/>
          <w:szCs w:val="20"/>
          <w:lang w:val="es-ES_tradnl"/>
        </w:rPr>
        <w:t>stiene que</w:t>
      </w:r>
      <w:r w:rsidR="00D421CC" w:rsidRPr="001F35C9">
        <w:rPr>
          <w:color w:val="auto"/>
          <w:sz w:val="20"/>
          <w:szCs w:val="20"/>
          <w:lang w:val="es-ES_tradnl"/>
        </w:rPr>
        <w:t xml:space="preserve"> el Estado no ha otorgado a los familiares de los policías </w:t>
      </w:r>
      <w:r w:rsidR="003B59C7" w:rsidRPr="001F35C9">
        <w:rPr>
          <w:color w:val="auto"/>
          <w:sz w:val="20"/>
          <w:szCs w:val="20"/>
          <w:lang w:val="es-ES_tradnl"/>
        </w:rPr>
        <w:t xml:space="preserve">fallecidos </w:t>
      </w:r>
      <w:r w:rsidR="00E51A20" w:rsidRPr="001F35C9">
        <w:rPr>
          <w:color w:val="auto"/>
          <w:sz w:val="20"/>
          <w:szCs w:val="20"/>
          <w:lang w:val="es-ES_tradnl"/>
        </w:rPr>
        <w:t xml:space="preserve">una indemnización integral </w:t>
      </w:r>
      <w:r w:rsidR="00630EC5" w:rsidRPr="001F35C9">
        <w:rPr>
          <w:color w:val="auto"/>
          <w:sz w:val="20"/>
          <w:szCs w:val="20"/>
          <w:lang w:val="es-ES_tradnl"/>
        </w:rPr>
        <w:t xml:space="preserve">adecuada </w:t>
      </w:r>
      <w:r w:rsidR="00E51A20" w:rsidRPr="001F35C9">
        <w:rPr>
          <w:color w:val="auto"/>
          <w:sz w:val="20"/>
          <w:szCs w:val="20"/>
          <w:lang w:val="es-ES_tradnl"/>
        </w:rPr>
        <w:t xml:space="preserve">tomando en consideración </w:t>
      </w:r>
      <w:r w:rsidR="008752B7" w:rsidRPr="001F35C9">
        <w:rPr>
          <w:color w:val="auto"/>
          <w:sz w:val="20"/>
          <w:szCs w:val="20"/>
          <w:lang w:val="es-ES_tradnl"/>
        </w:rPr>
        <w:t xml:space="preserve">la masa de </w:t>
      </w:r>
      <w:r w:rsidR="003823BA" w:rsidRPr="001F35C9">
        <w:rPr>
          <w:color w:val="auto"/>
          <w:sz w:val="20"/>
          <w:szCs w:val="20"/>
          <w:lang w:val="es-ES_tradnl"/>
        </w:rPr>
        <w:t xml:space="preserve">bienes del victimario, conforme al marco normativo vigente </w:t>
      </w:r>
      <w:r w:rsidR="003823BA" w:rsidRPr="001F35C9">
        <w:rPr>
          <w:color w:val="auto"/>
          <w:sz w:val="20"/>
          <w:szCs w:val="20"/>
          <w:lang w:val="es-ES_tradnl"/>
        </w:rPr>
        <w:lastRenderedPageBreak/>
        <w:t>referente a la responsabilidad civil extracontractual. Asimismo, sostiene que el Estado vulnera el derecho de igualdad y no discriminación de l</w:t>
      </w:r>
      <w:r w:rsidR="00B73032" w:rsidRPr="001F35C9">
        <w:rPr>
          <w:color w:val="auto"/>
          <w:sz w:val="20"/>
          <w:szCs w:val="20"/>
          <w:lang w:val="es-ES_tradnl"/>
        </w:rPr>
        <w:t xml:space="preserve">as presuntas víctimas </w:t>
      </w:r>
      <w:r w:rsidR="003823BA" w:rsidRPr="001F35C9">
        <w:rPr>
          <w:color w:val="auto"/>
          <w:sz w:val="20"/>
          <w:szCs w:val="20"/>
          <w:lang w:val="es-ES_tradnl"/>
        </w:rPr>
        <w:t xml:space="preserve">al </w:t>
      </w:r>
      <w:r w:rsidR="003851E5" w:rsidRPr="001F35C9">
        <w:rPr>
          <w:color w:val="auto"/>
          <w:sz w:val="20"/>
          <w:szCs w:val="20"/>
          <w:lang w:val="es-ES_tradnl"/>
        </w:rPr>
        <w:t>no incluir de manera expresa</w:t>
      </w:r>
      <w:r w:rsidR="00834B04" w:rsidRPr="001F35C9">
        <w:rPr>
          <w:color w:val="auto"/>
          <w:sz w:val="20"/>
          <w:szCs w:val="20"/>
          <w:lang w:val="es-ES_tradnl"/>
        </w:rPr>
        <w:t xml:space="preserve"> </w:t>
      </w:r>
      <w:r w:rsidR="003851E5" w:rsidRPr="001F35C9">
        <w:rPr>
          <w:color w:val="auto"/>
          <w:sz w:val="20"/>
          <w:szCs w:val="20"/>
          <w:lang w:val="es-ES_tradnl"/>
        </w:rPr>
        <w:t xml:space="preserve">a </w:t>
      </w:r>
      <w:r w:rsidR="00834B04" w:rsidRPr="001F35C9">
        <w:rPr>
          <w:color w:val="auto"/>
          <w:sz w:val="20"/>
          <w:szCs w:val="20"/>
          <w:lang w:val="es-ES_tradnl"/>
        </w:rPr>
        <w:t xml:space="preserve">las víctimas del narcotráfico en el régimen destinado a </w:t>
      </w:r>
      <w:r w:rsidR="008752B7" w:rsidRPr="001F35C9">
        <w:rPr>
          <w:color w:val="auto"/>
          <w:sz w:val="20"/>
          <w:szCs w:val="20"/>
          <w:lang w:val="es-ES_tradnl"/>
        </w:rPr>
        <w:t xml:space="preserve">reparar </w:t>
      </w:r>
      <w:r w:rsidR="00FF2730" w:rsidRPr="001F35C9">
        <w:rPr>
          <w:color w:val="auto"/>
          <w:sz w:val="20"/>
          <w:szCs w:val="20"/>
          <w:lang w:val="es-ES_tradnl"/>
        </w:rPr>
        <w:t>víctimas</w:t>
      </w:r>
      <w:r w:rsidR="00834B04" w:rsidRPr="001F35C9">
        <w:rPr>
          <w:color w:val="auto"/>
          <w:sz w:val="20"/>
          <w:szCs w:val="20"/>
          <w:lang w:val="es-ES_tradnl"/>
        </w:rPr>
        <w:t xml:space="preserve"> del conflicto armado</w:t>
      </w:r>
      <w:r w:rsidR="003851E5" w:rsidRPr="001F35C9">
        <w:rPr>
          <w:color w:val="auto"/>
          <w:sz w:val="20"/>
          <w:szCs w:val="20"/>
          <w:lang w:val="es-ES_tradnl"/>
        </w:rPr>
        <w:t xml:space="preserve">. </w:t>
      </w:r>
    </w:p>
    <w:p w14:paraId="3068782F"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02FA744" w14:textId="19477CFD" w:rsidR="00FD6F93" w:rsidRPr="001F35C9" w:rsidRDefault="007D60DC"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1F35C9">
        <w:rPr>
          <w:color w:val="auto"/>
          <w:sz w:val="20"/>
          <w:szCs w:val="20"/>
          <w:lang w:val="es-ES_tradnl"/>
        </w:rPr>
        <w:t>La parte peticionaria narra</w:t>
      </w:r>
      <w:r w:rsidR="00842563" w:rsidRPr="001F35C9">
        <w:rPr>
          <w:color w:val="auto"/>
          <w:sz w:val="20"/>
          <w:szCs w:val="20"/>
          <w:lang w:val="es-ES_tradnl"/>
        </w:rPr>
        <w:t xml:space="preserve"> que entre 1989 y 1993 </w:t>
      </w:r>
      <w:r w:rsidR="00C67BEB" w:rsidRPr="001F35C9">
        <w:rPr>
          <w:color w:val="auto"/>
          <w:sz w:val="20"/>
          <w:szCs w:val="20"/>
          <w:lang w:val="es-ES_tradnl"/>
        </w:rPr>
        <w:t xml:space="preserve">sesenta y </w:t>
      </w:r>
      <w:r w:rsidR="004144FD" w:rsidRPr="001F35C9">
        <w:rPr>
          <w:color w:val="auto"/>
          <w:sz w:val="20"/>
          <w:szCs w:val="20"/>
          <w:lang w:val="es-ES_tradnl"/>
        </w:rPr>
        <w:t>tres</w:t>
      </w:r>
      <w:r w:rsidR="00842563" w:rsidRPr="001F35C9">
        <w:rPr>
          <w:color w:val="auto"/>
          <w:sz w:val="20"/>
          <w:szCs w:val="20"/>
          <w:lang w:val="es-ES_tradnl"/>
        </w:rPr>
        <w:t xml:space="preserve"> agente</w:t>
      </w:r>
      <w:r w:rsidR="00F478B5" w:rsidRPr="001F35C9">
        <w:rPr>
          <w:color w:val="auto"/>
          <w:sz w:val="20"/>
          <w:szCs w:val="20"/>
          <w:lang w:val="es-ES_tradnl"/>
        </w:rPr>
        <w:t>s</w:t>
      </w:r>
      <w:r w:rsidR="00842563" w:rsidRPr="001F35C9">
        <w:rPr>
          <w:color w:val="auto"/>
          <w:sz w:val="20"/>
          <w:szCs w:val="20"/>
          <w:lang w:val="es-ES_tradnl"/>
        </w:rPr>
        <w:t xml:space="preserve"> de la Policía Nacional </w:t>
      </w:r>
      <w:r w:rsidR="00FF2730" w:rsidRPr="001F35C9">
        <w:rPr>
          <w:color w:val="auto"/>
          <w:sz w:val="20"/>
          <w:szCs w:val="20"/>
          <w:lang w:val="es-ES_tradnl"/>
        </w:rPr>
        <w:t xml:space="preserve">fueron </w:t>
      </w:r>
      <w:r w:rsidR="007C7D24" w:rsidRPr="001F35C9">
        <w:rPr>
          <w:color w:val="auto"/>
          <w:sz w:val="20"/>
          <w:szCs w:val="20"/>
          <w:lang w:val="es-ES_tradnl"/>
        </w:rPr>
        <w:t xml:space="preserve">asesinados en el área metropolitana de la ciudad de Medellín </w:t>
      </w:r>
      <w:r w:rsidR="000B101F" w:rsidRPr="001F35C9">
        <w:rPr>
          <w:color w:val="auto"/>
          <w:sz w:val="20"/>
          <w:szCs w:val="20"/>
          <w:lang w:val="es-ES_tradnl"/>
        </w:rPr>
        <w:t>por</w:t>
      </w:r>
      <w:r w:rsidR="00FF2730" w:rsidRPr="001F35C9">
        <w:rPr>
          <w:color w:val="auto"/>
          <w:sz w:val="20"/>
          <w:szCs w:val="20"/>
          <w:lang w:val="es-ES_tradnl"/>
        </w:rPr>
        <w:t xml:space="preserve"> </w:t>
      </w:r>
      <w:r w:rsidR="007C7D24" w:rsidRPr="001F35C9">
        <w:rPr>
          <w:color w:val="auto"/>
          <w:sz w:val="20"/>
          <w:szCs w:val="20"/>
          <w:lang w:val="es-ES_tradnl"/>
        </w:rPr>
        <w:t>distintos actores</w:t>
      </w:r>
      <w:r w:rsidR="00F478B5" w:rsidRPr="001F35C9">
        <w:rPr>
          <w:color w:val="auto"/>
          <w:sz w:val="20"/>
          <w:szCs w:val="20"/>
          <w:lang w:val="es-ES_tradnl"/>
        </w:rPr>
        <w:t>,</w:t>
      </w:r>
      <w:r w:rsidR="007C7D24" w:rsidRPr="001F35C9">
        <w:rPr>
          <w:color w:val="auto"/>
          <w:sz w:val="20"/>
          <w:szCs w:val="20"/>
          <w:lang w:val="es-ES_tradnl"/>
        </w:rPr>
        <w:t xml:space="preserve"> </w:t>
      </w:r>
      <w:r w:rsidR="00F478B5" w:rsidRPr="001F35C9">
        <w:rPr>
          <w:color w:val="auto"/>
          <w:sz w:val="20"/>
          <w:szCs w:val="20"/>
          <w:lang w:val="es-ES_tradnl"/>
        </w:rPr>
        <w:t xml:space="preserve">producto </w:t>
      </w:r>
      <w:r w:rsidR="007C7D24" w:rsidRPr="001F35C9">
        <w:rPr>
          <w:color w:val="auto"/>
          <w:sz w:val="20"/>
          <w:szCs w:val="20"/>
          <w:lang w:val="es-ES_tradnl"/>
        </w:rPr>
        <w:t>de la guerra con</w:t>
      </w:r>
      <w:r w:rsidR="00FF2730" w:rsidRPr="001F35C9">
        <w:rPr>
          <w:color w:val="auto"/>
          <w:sz w:val="20"/>
          <w:szCs w:val="20"/>
          <w:lang w:val="es-ES_tradnl"/>
        </w:rPr>
        <w:t>tra</w:t>
      </w:r>
      <w:r w:rsidR="007C7D24" w:rsidRPr="001F35C9">
        <w:rPr>
          <w:color w:val="auto"/>
          <w:sz w:val="20"/>
          <w:szCs w:val="20"/>
          <w:lang w:val="es-ES_tradnl"/>
        </w:rPr>
        <w:t xml:space="preserve"> el narcotráfico. </w:t>
      </w:r>
      <w:r w:rsidR="00412DCD" w:rsidRPr="001F35C9">
        <w:rPr>
          <w:color w:val="auto"/>
          <w:sz w:val="20"/>
          <w:szCs w:val="20"/>
          <w:lang w:val="es-ES_tradnl"/>
        </w:rPr>
        <w:t>El</w:t>
      </w:r>
      <w:r w:rsidR="00CD1150" w:rsidRPr="001F35C9">
        <w:rPr>
          <w:color w:val="auto"/>
          <w:sz w:val="20"/>
          <w:szCs w:val="20"/>
          <w:lang w:val="es-ES_tradnl"/>
        </w:rPr>
        <w:t xml:space="preserve"> entonces Presidente de la República, César Gaviria, y otros funcionarios del gobierno en distintas declaraciones ante los medios de comunicación identificaron a Pablo Escobar Gaviria como autor intelectual de los homicidios de todos los agentes de la policía del departamento de Antioquia</w:t>
      </w:r>
      <w:r w:rsidR="000275C8" w:rsidRPr="001F35C9">
        <w:rPr>
          <w:color w:val="auto"/>
          <w:sz w:val="20"/>
          <w:szCs w:val="20"/>
          <w:lang w:val="es-ES_tradnl"/>
        </w:rPr>
        <w:t>. I</w:t>
      </w:r>
      <w:r w:rsidR="007277BB" w:rsidRPr="001F35C9">
        <w:rPr>
          <w:color w:val="auto"/>
          <w:sz w:val="20"/>
          <w:szCs w:val="20"/>
          <w:lang w:val="es-ES_tradnl"/>
        </w:rPr>
        <w:t xml:space="preserve">ndica </w:t>
      </w:r>
      <w:r w:rsidR="00AC61B6" w:rsidRPr="001F35C9">
        <w:rPr>
          <w:color w:val="auto"/>
          <w:sz w:val="20"/>
          <w:szCs w:val="20"/>
          <w:lang w:val="es-ES_tradnl"/>
        </w:rPr>
        <w:t>–</w:t>
      </w:r>
      <w:r w:rsidR="00593485" w:rsidRPr="001F35C9">
        <w:rPr>
          <w:color w:val="auto"/>
          <w:sz w:val="20"/>
          <w:szCs w:val="20"/>
          <w:lang w:val="es-ES_tradnl"/>
        </w:rPr>
        <w:t>sin dar mayor detalle</w:t>
      </w:r>
      <w:r w:rsidR="00AC61B6" w:rsidRPr="001F35C9">
        <w:rPr>
          <w:color w:val="auto"/>
          <w:sz w:val="20"/>
          <w:szCs w:val="20"/>
          <w:lang w:val="es-ES_tradnl"/>
        </w:rPr>
        <w:t>–</w:t>
      </w:r>
      <w:r w:rsidR="00593485" w:rsidRPr="001F35C9">
        <w:rPr>
          <w:color w:val="auto"/>
          <w:sz w:val="20"/>
          <w:szCs w:val="20"/>
          <w:lang w:val="es-ES_tradnl"/>
        </w:rPr>
        <w:t xml:space="preserve"> </w:t>
      </w:r>
      <w:r w:rsidR="007277BB" w:rsidRPr="001F35C9">
        <w:rPr>
          <w:color w:val="auto"/>
          <w:sz w:val="20"/>
          <w:szCs w:val="20"/>
          <w:lang w:val="es-ES_tradnl"/>
        </w:rPr>
        <w:t>que</w:t>
      </w:r>
      <w:r w:rsidR="00F478B5" w:rsidRPr="001F35C9">
        <w:rPr>
          <w:color w:val="auto"/>
          <w:sz w:val="20"/>
          <w:szCs w:val="20"/>
          <w:lang w:val="es-ES_tradnl"/>
        </w:rPr>
        <w:t xml:space="preserve"> la Fiscalía Nacional inició </w:t>
      </w:r>
      <w:r w:rsidR="00FD6F93" w:rsidRPr="001F35C9">
        <w:rPr>
          <w:color w:val="auto"/>
          <w:sz w:val="20"/>
          <w:szCs w:val="20"/>
          <w:lang w:val="es-ES_tradnl"/>
        </w:rPr>
        <w:t xml:space="preserve">las investigaciones </w:t>
      </w:r>
      <w:r w:rsidR="00F478B5" w:rsidRPr="001F35C9">
        <w:rPr>
          <w:color w:val="auto"/>
          <w:sz w:val="20"/>
          <w:szCs w:val="20"/>
          <w:lang w:val="es-ES_tradnl"/>
        </w:rPr>
        <w:t>penales</w:t>
      </w:r>
      <w:r w:rsidR="008752B7" w:rsidRPr="001F35C9">
        <w:rPr>
          <w:color w:val="auto"/>
          <w:sz w:val="20"/>
          <w:szCs w:val="20"/>
          <w:lang w:val="es-ES_tradnl"/>
        </w:rPr>
        <w:t xml:space="preserve"> correspondientes</w:t>
      </w:r>
      <w:r w:rsidR="00AC61B6" w:rsidRPr="001F35C9">
        <w:rPr>
          <w:color w:val="auto"/>
          <w:sz w:val="20"/>
          <w:szCs w:val="20"/>
          <w:lang w:val="es-ES_tradnl"/>
        </w:rPr>
        <w:t>;</w:t>
      </w:r>
      <w:r w:rsidR="00F478B5" w:rsidRPr="001F35C9">
        <w:rPr>
          <w:color w:val="auto"/>
          <w:sz w:val="20"/>
          <w:szCs w:val="20"/>
          <w:lang w:val="es-ES_tradnl"/>
        </w:rPr>
        <w:t xml:space="preserve"> sin embargo, todas </w:t>
      </w:r>
      <w:r w:rsidR="00FD6F93" w:rsidRPr="001F35C9">
        <w:rPr>
          <w:color w:val="auto"/>
          <w:sz w:val="20"/>
          <w:szCs w:val="20"/>
          <w:lang w:val="es-ES_tradnl"/>
        </w:rPr>
        <w:t xml:space="preserve">fueron </w:t>
      </w:r>
      <w:r w:rsidR="007277BB" w:rsidRPr="001F35C9">
        <w:rPr>
          <w:color w:val="auto"/>
          <w:sz w:val="20"/>
          <w:szCs w:val="20"/>
          <w:lang w:val="es-ES_tradnl"/>
        </w:rPr>
        <w:t>suspendidas por falta de identificación de responsables</w:t>
      </w:r>
      <w:r w:rsidR="00F478B5" w:rsidRPr="001F35C9">
        <w:rPr>
          <w:color w:val="auto"/>
          <w:sz w:val="20"/>
          <w:szCs w:val="20"/>
          <w:lang w:val="es-ES_tradnl"/>
        </w:rPr>
        <w:t>.</w:t>
      </w:r>
      <w:r w:rsidR="00CD1150" w:rsidRPr="001F35C9">
        <w:rPr>
          <w:color w:val="auto"/>
          <w:sz w:val="20"/>
          <w:szCs w:val="20"/>
          <w:lang w:val="es-ES_tradnl"/>
        </w:rPr>
        <w:t xml:space="preserve"> L</w:t>
      </w:r>
      <w:r w:rsidR="008752B7" w:rsidRPr="001F35C9">
        <w:rPr>
          <w:color w:val="auto"/>
          <w:sz w:val="20"/>
          <w:szCs w:val="20"/>
          <w:lang w:val="es-ES_tradnl"/>
        </w:rPr>
        <w:t>a fiscalía</w:t>
      </w:r>
      <w:r w:rsidR="00CD1150" w:rsidRPr="001F35C9">
        <w:rPr>
          <w:color w:val="auto"/>
          <w:sz w:val="20"/>
          <w:szCs w:val="20"/>
          <w:lang w:val="es-ES_tradnl"/>
        </w:rPr>
        <w:t xml:space="preserve"> se limitó a dejar constancia </w:t>
      </w:r>
      <w:r w:rsidR="00AC61B6" w:rsidRPr="001F35C9">
        <w:rPr>
          <w:color w:val="auto"/>
          <w:sz w:val="20"/>
          <w:szCs w:val="20"/>
          <w:lang w:val="es-ES_tradnl"/>
        </w:rPr>
        <w:t xml:space="preserve">de </w:t>
      </w:r>
      <w:r w:rsidR="008752B7" w:rsidRPr="001F35C9">
        <w:rPr>
          <w:color w:val="auto"/>
          <w:sz w:val="20"/>
          <w:szCs w:val="20"/>
          <w:lang w:val="es-ES_tradnl"/>
        </w:rPr>
        <w:t>que los hechos ocurrieron en el marco de “</w:t>
      </w:r>
      <w:r w:rsidR="008752B7" w:rsidRPr="001F35C9">
        <w:rPr>
          <w:i/>
          <w:iCs/>
          <w:color w:val="auto"/>
          <w:sz w:val="20"/>
          <w:szCs w:val="20"/>
          <w:lang w:val="es-ES_tradnl"/>
        </w:rPr>
        <w:t>represalias por parte de grupos narcoterroristas</w:t>
      </w:r>
      <w:r w:rsidR="008752B7" w:rsidRPr="001F35C9">
        <w:rPr>
          <w:color w:val="auto"/>
          <w:sz w:val="20"/>
          <w:szCs w:val="20"/>
          <w:lang w:val="es-ES_tradnl"/>
        </w:rPr>
        <w:t>” identificando, en varias, al Cartel de Medellín</w:t>
      </w:r>
      <w:r w:rsidR="003B4AC3" w:rsidRPr="001F35C9">
        <w:rPr>
          <w:color w:val="auto"/>
          <w:sz w:val="20"/>
          <w:szCs w:val="20"/>
          <w:lang w:val="es-ES_tradnl"/>
        </w:rPr>
        <w:t>,</w:t>
      </w:r>
      <w:r w:rsidR="00F478B5" w:rsidRPr="001F35C9">
        <w:rPr>
          <w:color w:val="auto"/>
          <w:sz w:val="20"/>
          <w:szCs w:val="20"/>
          <w:lang w:val="es-ES_tradnl"/>
        </w:rPr>
        <w:t xml:space="preserve"> </w:t>
      </w:r>
      <w:r w:rsidR="008752B7" w:rsidRPr="001F35C9">
        <w:rPr>
          <w:color w:val="auto"/>
          <w:sz w:val="20"/>
          <w:szCs w:val="20"/>
          <w:lang w:val="es-ES_tradnl"/>
        </w:rPr>
        <w:t xml:space="preserve">y seguidamente </w:t>
      </w:r>
      <w:r w:rsidR="00F478B5" w:rsidRPr="001F35C9">
        <w:rPr>
          <w:color w:val="auto"/>
          <w:sz w:val="20"/>
          <w:szCs w:val="20"/>
          <w:lang w:val="es-ES_tradnl"/>
        </w:rPr>
        <w:t xml:space="preserve">fueron </w:t>
      </w:r>
      <w:r w:rsidR="007277BB" w:rsidRPr="001F35C9">
        <w:rPr>
          <w:color w:val="auto"/>
          <w:sz w:val="20"/>
          <w:szCs w:val="20"/>
          <w:lang w:val="es-ES_tradnl"/>
        </w:rPr>
        <w:t>archivadas o se dictar</w:t>
      </w:r>
      <w:r w:rsidR="00F478B5" w:rsidRPr="001F35C9">
        <w:rPr>
          <w:color w:val="auto"/>
          <w:sz w:val="20"/>
          <w:szCs w:val="20"/>
          <w:lang w:val="es-ES_tradnl"/>
        </w:rPr>
        <w:t xml:space="preserve">on </w:t>
      </w:r>
      <w:r w:rsidR="007277BB" w:rsidRPr="001F35C9">
        <w:rPr>
          <w:color w:val="auto"/>
          <w:sz w:val="20"/>
          <w:szCs w:val="20"/>
          <w:lang w:val="es-ES_tradnl"/>
        </w:rPr>
        <w:t xml:space="preserve">sentencias inhibitorias </w:t>
      </w:r>
      <w:r w:rsidR="00F478B5" w:rsidRPr="001F35C9">
        <w:rPr>
          <w:color w:val="auto"/>
          <w:sz w:val="20"/>
          <w:szCs w:val="20"/>
          <w:lang w:val="es-ES_tradnl"/>
        </w:rPr>
        <w:t>ya que “</w:t>
      </w:r>
      <w:r w:rsidR="00FD6F93" w:rsidRPr="001F35C9">
        <w:rPr>
          <w:i/>
          <w:iCs/>
          <w:color w:val="auto"/>
          <w:sz w:val="20"/>
          <w:szCs w:val="20"/>
          <w:lang w:val="es-ES_tradnl"/>
        </w:rPr>
        <w:t>el Estado carecía de los medios necesarios para llevar hasta su cul</w:t>
      </w:r>
      <w:r w:rsidR="007277BB" w:rsidRPr="001F35C9">
        <w:rPr>
          <w:i/>
          <w:iCs/>
          <w:color w:val="auto"/>
          <w:sz w:val="20"/>
          <w:szCs w:val="20"/>
          <w:lang w:val="es-ES_tradnl"/>
        </w:rPr>
        <w:t xml:space="preserve">minación dichos procesos </w:t>
      </w:r>
      <w:r w:rsidR="00FD6F93" w:rsidRPr="001F35C9">
        <w:rPr>
          <w:i/>
          <w:iCs/>
          <w:color w:val="auto"/>
          <w:sz w:val="20"/>
          <w:szCs w:val="20"/>
          <w:lang w:val="es-ES_tradnl"/>
        </w:rPr>
        <w:t>penales</w:t>
      </w:r>
      <w:r w:rsidR="00F478B5" w:rsidRPr="001F35C9">
        <w:rPr>
          <w:color w:val="auto"/>
          <w:sz w:val="20"/>
          <w:szCs w:val="20"/>
          <w:lang w:val="es-ES_tradnl"/>
        </w:rPr>
        <w:t>”</w:t>
      </w:r>
      <w:r w:rsidR="00FD6F93" w:rsidRPr="001F35C9">
        <w:rPr>
          <w:color w:val="auto"/>
          <w:sz w:val="20"/>
          <w:szCs w:val="20"/>
          <w:lang w:val="es-ES_tradnl"/>
        </w:rPr>
        <w:t xml:space="preserve">. </w:t>
      </w:r>
      <w:r w:rsidR="008752B7" w:rsidRPr="001F35C9">
        <w:rPr>
          <w:color w:val="auto"/>
          <w:sz w:val="20"/>
          <w:szCs w:val="20"/>
          <w:lang w:val="es-ES_tradnl"/>
        </w:rPr>
        <w:t xml:space="preserve">En tal respecto, </w:t>
      </w:r>
      <w:r w:rsidR="00971AE8" w:rsidRPr="001F35C9">
        <w:rPr>
          <w:color w:val="auto"/>
          <w:sz w:val="20"/>
          <w:szCs w:val="20"/>
          <w:lang w:val="es-ES_tradnl"/>
        </w:rPr>
        <w:t>las presuntas víctimas</w:t>
      </w:r>
      <w:r w:rsidR="00CD1150" w:rsidRPr="001F35C9">
        <w:rPr>
          <w:color w:val="auto"/>
          <w:sz w:val="20"/>
          <w:szCs w:val="20"/>
          <w:lang w:val="es-ES_tradnl"/>
        </w:rPr>
        <w:t xml:space="preserve"> se abstuvieron de adelantar o participar como parte civil en los procesos penales en contra de Pablo Escobar y “</w:t>
      </w:r>
      <w:r w:rsidR="00CD1150" w:rsidRPr="001F35C9">
        <w:rPr>
          <w:i/>
          <w:iCs/>
          <w:color w:val="auto"/>
          <w:sz w:val="20"/>
          <w:szCs w:val="20"/>
          <w:lang w:val="es-ES_tradnl"/>
        </w:rPr>
        <w:t>sus sicarios</w:t>
      </w:r>
      <w:r w:rsidR="00CD1150" w:rsidRPr="001F35C9">
        <w:rPr>
          <w:color w:val="auto"/>
          <w:sz w:val="20"/>
          <w:szCs w:val="20"/>
          <w:lang w:val="es-ES_tradnl"/>
        </w:rPr>
        <w:t xml:space="preserve">”, </w:t>
      </w:r>
      <w:r w:rsidR="003B4AC3" w:rsidRPr="001F35C9">
        <w:rPr>
          <w:color w:val="auto"/>
          <w:sz w:val="20"/>
          <w:szCs w:val="20"/>
          <w:lang w:val="es-ES_tradnl"/>
        </w:rPr>
        <w:t xml:space="preserve">por carecer de medios económicos para tener asistencia jurídica y </w:t>
      </w:r>
      <w:r w:rsidR="00CD1150" w:rsidRPr="001F35C9">
        <w:rPr>
          <w:color w:val="auto"/>
          <w:sz w:val="20"/>
          <w:szCs w:val="20"/>
          <w:lang w:val="es-ES_tradnl"/>
        </w:rPr>
        <w:t xml:space="preserve">al tener un temor fundado por su vida e integridad. </w:t>
      </w:r>
    </w:p>
    <w:p w14:paraId="0BACDF0D"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20DABEED" w14:textId="0DFC2C27" w:rsidR="00593485" w:rsidRPr="001F35C9" w:rsidRDefault="00205CEA"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color w:val="auto"/>
          <w:sz w:val="20"/>
          <w:szCs w:val="20"/>
          <w:lang w:val="es-ES_tradnl"/>
        </w:rPr>
      </w:pPr>
      <w:r w:rsidRPr="001F35C9">
        <w:rPr>
          <w:sz w:val="20"/>
          <w:szCs w:val="20"/>
          <w:lang w:val="es-ES_tradnl"/>
        </w:rPr>
        <w:t xml:space="preserve">Señala </w:t>
      </w:r>
      <w:r w:rsidR="003B4AC3" w:rsidRPr="001F35C9">
        <w:rPr>
          <w:sz w:val="20"/>
          <w:szCs w:val="20"/>
          <w:lang w:val="es-ES_tradnl"/>
        </w:rPr>
        <w:t>que l</w:t>
      </w:r>
      <w:r w:rsidR="0034289D" w:rsidRPr="001F35C9">
        <w:rPr>
          <w:sz w:val="20"/>
          <w:szCs w:val="20"/>
          <w:lang w:val="es-ES_tradnl"/>
        </w:rPr>
        <w:t xml:space="preserve">a Policía Nacional </w:t>
      </w:r>
      <w:r w:rsidR="00F63430" w:rsidRPr="001F35C9">
        <w:rPr>
          <w:sz w:val="20"/>
          <w:szCs w:val="20"/>
          <w:lang w:val="es-ES_tradnl"/>
        </w:rPr>
        <w:t xml:space="preserve">emitió </w:t>
      </w:r>
      <w:r w:rsidR="0034289D" w:rsidRPr="001F35C9">
        <w:rPr>
          <w:sz w:val="20"/>
          <w:szCs w:val="20"/>
          <w:lang w:val="es-ES_tradnl"/>
        </w:rPr>
        <w:t>los denominados “</w:t>
      </w:r>
      <w:r w:rsidR="0034289D" w:rsidRPr="001F35C9">
        <w:rPr>
          <w:i/>
          <w:iCs/>
          <w:sz w:val="20"/>
          <w:szCs w:val="20"/>
          <w:lang w:val="es-ES_tradnl"/>
        </w:rPr>
        <w:t>informes administrativos por muerte</w:t>
      </w:r>
      <w:r w:rsidR="0034289D" w:rsidRPr="001F35C9">
        <w:rPr>
          <w:sz w:val="20"/>
          <w:szCs w:val="20"/>
          <w:lang w:val="es-ES_tradnl"/>
        </w:rPr>
        <w:t xml:space="preserve">” </w:t>
      </w:r>
      <w:r w:rsidR="000275C8" w:rsidRPr="001F35C9">
        <w:rPr>
          <w:sz w:val="20"/>
          <w:szCs w:val="20"/>
          <w:lang w:val="es-ES_tradnl"/>
        </w:rPr>
        <w:t>frente a cada un</w:t>
      </w:r>
      <w:r w:rsidR="00C41E9E" w:rsidRPr="001F35C9">
        <w:rPr>
          <w:sz w:val="20"/>
          <w:szCs w:val="20"/>
          <w:lang w:val="es-ES_tradnl"/>
        </w:rPr>
        <w:t xml:space="preserve">o </w:t>
      </w:r>
      <w:r w:rsidR="000275C8" w:rsidRPr="001F35C9">
        <w:rPr>
          <w:sz w:val="20"/>
          <w:szCs w:val="20"/>
          <w:lang w:val="es-ES_tradnl"/>
        </w:rPr>
        <w:t>de l</w:t>
      </w:r>
      <w:r w:rsidR="00C41E9E" w:rsidRPr="001F35C9">
        <w:rPr>
          <w:sz w:val="20"/>
          <w:szCs w:val="20"/>
          <w:lang w:val="es-ES_tradnl"/>
        </w:rPr>
        <w:t xml:space="preserve">os agentes fallecidos </w:t>
      </w:r>
      <w:r w:rsidR="0034289D" w:rsidRPr="001F35C9">
        <w:rPr>
          <w:sz w:val="20"/>
          <w:szCs w:val="20"/>
          <w:lang w:val="es-ES_tradnl"/>
        </w:rPr>
        <w:t xml:space="preserve">en los </w:t>
      </w:r>
      <w:r w:rsidR="00F63430" w:rsidRPr="001F35C9">
        <w:rPr>
          <w:sz w:val="20"/>
          <w:szCs w:val="20"/>
          <w:lang w:val="es-ES_tradnl"/>
        </w:rPr>
        <w:t>cuales</w:t>
      </w:r>
      <w:r w:rsidR="00971AE8" w:rsidRPr="001F35C9">
        <w:rPr>
          <w:sz w:val="20"/>
          <w:szCs w:val="20"/>
          <w:lang w:val="es-ES_tradnl"/>
        </w:rPr>
        <w:t>,</w:t>
      </w:r>
      <w:r w:rsidR="00F63430" w:rsidRPr="001F35C9">
        <w:rPr>
          <w:sz w:val="20"/>
          <w:szCs w:val="20"/>
          <w:lang w:val="es-ES_tradnl"/>
        </w:rPr>
        <w:t xml:space="preserve"> </w:t>
      </w:r>
      <w:r w:rsidR="0034289D" w:rsidRPr="001F35C9">
        <w:rPr>
          <w:sz w:val="20"/>
          <w:szCs w:val="20"/>
          <w:lang w:val="es-ES_tradnl"/>
        </w:rPr>
        <w:t>en forma sucinta</w:t>
      </w:r>
      <w:r w:rsidR="00971AE8" w:rsidRPr="001F35C9">
        <w:rPr>
          <w:sz w:val="20"/>
          <w:szCs w:val="20"/>
          <w:lang w:val="es-ES_tradnl"/>
        </w:rPr>
        <w:t>,</w:t>
      </w:r>
      <w:r w:rsidR="00F63430" w:rsidRPr="001F35C9">
        <w:rPr>
          <w:sz w:val="20"/>
          <w:szCs w:val="20"/>
          <w:lang w:val="es-ES_tradnl"/>
        </w:rPr>
        <w:t xml:space="preserve"> const</w:t>
      </w:r>
      <w:r w:rsidR="00971AE8" w:rsidRPr="001F35C9">
        <w:rPr>
          <w:sz w:val="20"/>
          <w:szCs w:val="20"/>
          <w:lang w:val="es-ES_tradnl"/>
        </w:rPr>
        <w:t>ató</w:t>
      </w:r>
      <w:r w:rsidR="0034289D" w:rsidRPr="001F35C9">
        <w:rPr>
          <w:sz w:val="20"/>
          <w:szCs w:val="20"/>
          <w:lang w:val="es-ES_tradnl"/>
        </w:rPr>
        <w:t xml:space="preserve"> las circunstancias de tiempo, modo y lugar de la muerte de cada </w:t>
      </w:r>
      <w:r w:rsidR="0034289D" w:rsidRPr="001F35C9">
        <w:rPr>
          <w:color w:val="auto"/>
          <w:sz w:val="20"/>
          <w:szCs w:val="20"/>
          <w:lang w:val="es-ES_tradnl"/>
        </w:rPr>
        <w:t>agente</w:t>
      </w:r>
      <w:r w:rsidR="00142479" w:rsidRPr="001F35C9">
        <w:rPr>
          <w:color w:val="auto"/>
          <w:sz w:val="20"/>
          <w:szCs w:val="20"/>
          <w:lang w:val="es-ES_tradnl"/>
        </w:rPr>
        <w:t>;</w:t>
      </w:r>
      <w:r w:rsidR="00FF2730" w:rsidRPr="001F35C9">
        <w:rPr>
          <w:color w:val="auto"/>
          <w:sz w:val="20"/>
          <w:szCs w:val="20"/>
          <w:lang w:val="es-ES_tradnl"/>
        </w:rPr>
        <w:t xml:space="preserve"> y, en general, dejaba constancia explícita de la vinculación de la muerte del agente con el narcotráfico y/o el Cartel de Medellín</w:t>
      </w:r>
      <w:r w:rsidR="0034289D" w:rsidRPr="001F35C9">
        <w:rPr>
          <w:color w:val="auto"/>
          <w:sz w:val="20"/>
          <w:szCs w:val="20"/>
          <w:lang w:val="es-ES_tradnl"/>
        </w:rPr>
        <w:t>. En dichos informes, la Policía califi</w:t>
      </w:r>
      <w:r w:rsidR="000275C8" w:rsidRPr="001F35C9">
        <w:rPr>
          <w:color w:val="auto"/>
          <w:sz w:val="20"/>
          <w:szCs w:val="20"/>
          <w:lang w:val="es-ES_tradnl"/>
        </w:rPr>
        <w:t xml:space="preserve">có </w:t>
      </w:r>
      <w:r w:rsidR="0034289D" w:rsidRPr="001F35C9">
        <w:rPr>
          <w:color w:val="auto"/>
          <w:sz w:val="20"/>
          <w:szCs w:val="20"/>
          <w:lang w:val="es-ES_tradnl"/>
        </w:rPr>
        <w:t>como “</w:t>
      </w:r>
      <w:r w:rsidR="0034289D" w:rsidRPr="001F35C9">
        <w:rPr>
          <w:i/>
          <w:iCs/>
          <w:color w:val="auto"/>
          <w:sz w:val="20"/>
          <w:szCs w:val="20"/>
          <w:lang w:val="es-ES_tradnl"/>
        </w:rPr>
        <w:t>muerte en actos especiales y/o meritorios del servicio</w:t>
      </w:r>
      <w:r w:rsidR="0034289D" w:rsidRPr="001F35C9">
        <w:rPr>
          <w:color w:val="auto"/>
          <w:sz w:val="20"/>
          <w:szCs w:val="20"/>
          <w:lang w:val="es-ES_tradnl"/>
        </w:rPr>
        <w:t>” cuando los agentes eran asesinados en horario laboral; y como “</w:t>
      </w:r>
      <w:r w:rsidR="0034289D" w:rsidRPr="001F35C9">
        <w:rPr>
          <w:i/>
          <w:iCs/>
          <w:color w:val="auto"/>
          <w:sz w:val="20"/>
          <w:szCs w:val="20"/>
          <w:lang w:val="es-ES_tradnl"/>
        </w:rPr>
        <w:t>muerte en simple actividad</w:t>
      </w:r>
      <w:r w:rsidR="0034289D" w:rsidRPr="001F35C9">
        <w:rPr>
          <w:color w:val="auto"/>
          <w:sz w:val="20"/>
          <w:szCs w:val="20"/>
          <w:lang w:val="es-ES_tradnl"/>
        </w:rPr>
        <w:t xml:space="preserve">” cuando eran asesinados en tiempo de descanso. </w:t>
      </w:r>
      <w:r w:rsidR="00593485" w:rsidRPr="001F35C9">
        <w:rPr>
          <w:rFonts w:eastAsia="NotDefSpecial" w:cs="NotDefSpecial"/>
          <w:color w:val="auto"/>
          <w:sz w:val="20"/>
          <w:szCs w:val="20"/>
          <w:bdr w:val="none" w:sz="0" w:space="0" w:color="auto"/>
          <w:lang w:val="es-ES_tradnl"/>
        </w:rPr>
        <w:t>Así, explica que, como empleador de l</w:t>
      </w:r>
      <w:r w:rsidR="00971AE8" w:rsidRPr="001F35C9">
        <w:rPr>
          <w:rFonts w:eastAsia="NotDefSpecial" w:cs="NotDefSpecial"/>
          <w:color w:val="auto"/>
          <w:sz w:val="20"/>
          <w:szCs w:val="20"/>
          <w:bdr w:val="none" w:sz="0" w:space="0" w:color="auto"/>
          <w:lang w:val="es-ES_tradnl"/>
        </w:rPr>
        <w:t>o</w:t>
      </w:r>
      <w:r w:rsidR="00593485" w:rsidRPr="001F35C9">
        <w:rPr>
          <w:rFonts w:eastAsia="NotDefSpecial" w:cs="NotDefSpecial"/>
          <w:color w:val="auto"/>
          <w:sz w:val="20"/>
          <w:szCs w:val="20"/>
          <w:bdr w:val="none" w:sz="0" w:space="0" w:color="auto"/>
          <w:lang w:val="es-ES_tradnl"/>
        </w:rPr>
        <w:t xml:space="preserve">s </w:t>
      </w:r>
      <w:r w:rsidR="00971AE8" w:rsidRPr="001F35C9">
        <w:rPr>
          <w:rFonts w:eastAsia="NotDefSpecial" w:cs="NotDefSpecial"/>
          <w:color w:val="auto"/>
          <w:sz w:val="20"/>
          <w:szCs w:val="20"/>
          <w:bdr w:val="none" w:sz="0" w:space="0" w:color="auto"/>
          <w:lang w:val="es-ES_tradnl"/>
        </w:rPr>
        <w:t>policías asesinados</w:t>
      </w:r>
      <w:r w:rsidR="00593485" w:rsidRPr="001F35C9">
        <w:rPr>
          <w:rFonts w:eastAsia="NotDefSpecial" w:cs="NotDefSpecial"/>
          <w:color w:val="auto"/>
          <w:sz w:val="20"/>
          <w:szCs w:val="20"/>
          <w:bdr w:val="none" w:sz="0" w:space="0" w:color="auto"/>
          <w:lang w:val="es-ES_tradnl"/>
        </w:rPr>
        <w:t xml:space="preserve">, </w:t>
      </w:r>
      <w:r w:rsidR="001120D7" w:rsidRPr="001F35C9">
        <w:rPr>
          <w:rFonts w:eastAsia="NotDefSpecial" w:cs="NotDefSpecial"/>
          <w:color w:val="auto"/>
          <w:sz w:val="20"/>
          <w:szCs w:val="20"/>
          <w:bdr w:val="none" w:sz="0" w:space="0" w:color="auto"/>
          <w:lang w:val="es-ES_tradnl"/>
        </w:rPr>
        <w:t xml:space="preserve">la Policía Nacional entregó </w:t>
      </w:r>
      <w:r w:rsidR="00971AE8" w:rsidRPr="001F35C9">
        <w:rPr>
          <w:rFonts w:eastAsia="NotDefSpecial" w:cs="NotDefSpecial"/>
          <w:color w:val="auto"/>
          <w:sz w:val="20"/>
          <w:szCs w:val="20"/>
          <w:bdr w:val="none" w:sz="0" w:space="0" w:color="auto"/>
          <w:lang w:val="es-ES_tradnl"/>
        </w:rPr>
        <w:t xml:space="preserve">a cada grupo familiar </w:t>
      </w:r>
      <w:r w:rsidR="001120D7" w:rsidRPr="001F35C9">
        <w:rPr>
          <w:rFonts w:eastAsia="NotDefSpecial" w:cs="NotDefSpecial"/>
          <w:color w:val="auto"/>
          <w:sz w:val="20"/>
          <w:szCs w:val="20"/>
          <w:bdr w:val="none" w:sz="0" w:space="0" w:color="auto"/>
          <w:lang w:val="es-ES_tradnl"/>
        </w:rPr>
        <w:t xml:space="preserve">una pequeña indemnización </w:t>
      </w:r>
      <w:r w:rsidR="001A06A1" w:rsidRPr="001F35C9">
        <w:rPr>
          <w:rFonts w:eastAsia="NotDefSpecial" w:cs="NotDefSpecial"/>
          <w:color w:val="auto"/>
          <w:sz w:val="20"/>
          <w:szCs w:val="20"/>
          <w:bdr w:val="none" w:sz="0" w:space="0" w:color="auto"/>
          <w:lang w:val="es-ES_tradnl"/>
        </w:rPr>
        <w:t xml:space="preserve">correspondiente a </w:t>
      </w:r>
      <w:r w:rsidR="00B20705" w:rsidRPr="001F35C9">
        <w:rPr>
          <w:rFonts w:eastAsiaTheme="minorHAnsi"/>
          <w:color w:val="auto"/>
          <w:sz w:val="20"/>
          <w:szCs w:val="20"/>
          <w:bdr w:val="none" w:sz="0" w:space="0" w:color="auto"/>
          <w:lang w:val="es-ES_tradnl"/>
        </w:rPr>
        <w:t xml:space="preserve">las prestaciones sociales </w:t>
      </w:r>
      <w:r w:rsidR="00593485" w:rsidRPr="001F35C9">
        <w:rPr>
          <w:rFonts w:eastAsiaTheme="minorHAnsi"/>
          <w:color w:val="auto"/>
          <w:sz w:val="20"/>
          <w:szCs w:val="20"/>
          <w:bdr w:val="none" w:sz="0" w:space="0" w:color="auto"/>
          <w:lang w:val="es-ES_tradnl"/>
        </w:rPr>
        <w:t xml:space="preserve">de conformidad con </w:t>
      </w:r>
      <w:r w:rsidR="00B20705" w:rsidRPr="001F35C9">
        <w:rPr>
          <w:rFonts w:eastAsiaTheme="minorHAnsi"/>
          <w:color w:val="auto"/>
          <w:sz w:val="20"/>
          <w:szCs w:val="20"/>
          <w:bdr w:val="none" w:sz="0" w:space="0" w:color="auto"/>
          <w:lang w:val="es-ES_tradnl"/>
        </w:rPr>
        <w:t>la ley laboral,</w:t>
      </w:r>
      <w:r w:rsidR="001A06A1" w:rsidRPr="001F35C9">
        <w:rPr>
          <w:rFonts w:eastAsiaTheme="minorHAnsi"/>
          <w:color w:val="auto"/>
          <w:sz w:val="20"/>
          <w:szCs w:val="20"/>
          <w:bdr w:val="none" w:sz="0" w:space="0" w:color="auto"/>
          <w:lang w:val="es-ES_tradnl"/>
        </w:rPr>
        <w:t xml:space="preserve"> y </w:t>
      </w:r>
      <w:r w:rsidR="00B20705" w:rsidRPr="001F35C9">
        <w:rPr>
          <w:rFonts w:eastAsiaTheme="minorHAnsi"/>
          <w:color w:val="auto"/>
          <w:sz w:val="20"/>
          <w:szCs w:val="20"/>
          <w:bdr w:val="none" w:sz="0" w:space="0" w:color="auto"/>
          <w:lang w:val="es-ES_tradnl"/>
        </w:rPr>
        <w:t>les reconoció un valor adicional por el seguro que cubría a cada agente</w:t>
      </w:r>
      <w:r w:rsidR="009B512C" w:rsidRPr="001F35C9">
        <w:rPr>
          <w:rFonts w:eastAsia="NotDefSpecial" w:cs="NotDefSpecial"/>
          <w:color w:val="auto"/>
          <w:sz w:val="20"/>
          <w:szCs w:val="20"/>
          <w:bdr w:val="none" w:sz="0" w:space="0" w:color="auto"/>
          <w:lang w:val="es-ES_tradnl"/>
        </w:rPr>
        <w:t xml:space="preserve">. </w:t>
      </w:r>
      <w:r w:rsidR="00F63430" w:rsidRPr="001F35C9">
        <w:rPr>
          <w:rFonts w:eastAsia="NotDefSpecial" w:cs="NotDefSpecial"/>
          <w:color w:val="auto"/>
          <w:sz w:val="20"/>
          <w:szCs w:val="20"/>
          <w:bdr w:val="none" w:sz="0" w:space="0" w:color="auto"/>
          <w:lang w:val="es-ES_tradnl"/>
        </w:rPr>
        <w:t>No obstante, a</w:t>
      </w:r>
      <w:r w:rsidR="0002108E" w:rsidRPr="001F35C9">
        <w:rPr>
          <w:rFonts w:eastAsia="NotDefSpecial" w:cs="NotDefSpecial"/>
          <w:color w:val="auto"/>
          <w:sz w:val="20"/>
          <w:szCs w:val="20"/>
          <w:bdr w:val="none" w:sz="0" w:space="0" w:color="auto"/>
          <w:lang w:val="es-ES_tradnl"/>
        </w:rPr>
        <w:t xml:space="preserve">rgumenta que </w:t>
      </w:r>
      <w:r w:rsidR="00F25288" w:rsidRPr="001F35C9">
        <w:rPr>
          <w:rFonts w:eastAsia="NotDefSpecial" w:cs="NotDefSpecial"/>
          <w:color w:val="auto"/>
          <w:sz w:val="20"/>
          <w:szCs w:val="20"/>
          <w:bdr w:val="none" w:sz="0" w:space="0" w:color="auto"/>
          <w:lang w:val="es-ES_tradnl"/>
        </w:rPr>
        <w:t xml:space="preserve">estas </w:t>
      </w:r>
      <w:r w:rsidR="003B4AC3" w:rsidRPr="001F35C9">
        <w:rPr>
          <w:rFonts w:eastAsia="NotDefSpecial" w:cs="NotDefSpecial"/>
          <w:color w:val="auto"/>
          <w:sz w:val="20"/>
          <w:szCs w:val="20"/>
          <w:bdr w:val="none" w:sz="0" w:space="0" w:color="auto"/>
          <w:lang w:val="es-ES_tradnl"/>
        </w:rPr>
        <w:t>últimas</w:t>
      </w:r>
      <w:r w:rsidR="009B512C" w:rsidRPr="001F35C9">
        <w:rPr>
          <w:rFonts w:eastAsiaTheme="minorHAnsi" w:cs="Century Gothic"/>
          <w:color w:val="auto"/>
          <w:sz w:val="20"/>
          <w:szCs w:val="20"/>
          <w:bdr w:val="none" w:sz="0" w:space="0" w:color="auto"/>
          <w:lang w:val="es-ES_tradnl"/>
        </w:rPr>
        <w:t xml:space="preserve"> </w:t>
      </w:r>
      <w:r w:rsidR="00F25288" w:rsidRPr="001F35C9">
        <w:rPr>
          <w:rFonts w:eastAsiaTheme="minorHAnsi" w:cs="Century Gothic"/>
          <w:color w:val="auto"/>
          <w:sz w:val="20"/>
          <w:szCs w:val="20"/>
          <w:bdr w:val="none" w:sz="0" w:space="0" w:color="auto"/>
          <w:lang w:val="es-ES_tradnl"/>
        </w:rPr>
        <w:t xml:space="preserve">llamadas </w:t>
      </w:r>
      <w:r w:rsidR="003B4AC3" w:rsidRPr="001F35C9">
        <w:rPr>
          <w:rFonts w:eastAsiaTheme="minorHAnsi" w:cs="Century Gothic"/>
          <w:color w:val="auto"/>
          <w:sz w:val="20"/>
          <w:szCs w:val="20"/>
          <w:bdr w:val="none" w:sz="0" w:space="0" w:color="auto"/>
          <w:lang w:val="es-ES_tradnl"/>
        </w:rPr>
        <w:t xml:space="preserve">indemnizaciones </w:t>
      </w:r>
      <w:r w:rsidR="001A06A1" w:rsidRPr="001F35C9">
        <w:rPr>
          <w:rFonts w:eastAsiaTheme="minorHAnsi" w:cs="Century Gothic"/>
          <w:color w:val="auto"/>
          <w:sz w:val="20"/>
          <w:szCs w:val="20"/>
          <w:bdr w:val="none" w:sz="0" w:space="0" w:color="auto"/>
          <w:lang w:val="es-ES_tradnl"/>
        </w:rPr>
        <w:t>“</w:t>
      </w:r>
      <w:r w:rsidR="009B512C" w:rsidRPr="001F35C9">
        <w:rPr>
          <w:rFonts w:eastAsiaTheme="minorHAnsi" w:cs="Century Gothic"/>
          <w:i/>
          <w:iCs/>
          <w:color w:val="auto"/>
          <w:sz w:val="20"/>
          <w:szCs w:val="20"/>
          <w:bdr w:val="none" w:sz="0" w:space="0" w:color="auto"/>
          <w:lang w:val="es-ES_tradnl"/>
        </w:rPr>
        <w:t>a fortait</w:t>
      </w:r>
      <w:r w:rsidR="009B512C" w:rsidRPr="001F35C9">
        <w:rPr>
          <w:rFonts w:eastAsiaTheme="minorHAnsi" w:cs="CenturyGothic"/>
          <w:color w:val="auto"/>
          <w:sz w:val="20"/>
          <w:szCs w:val="20"/>
          <w:bdr w:val="none" w:sz="0" w:space="0" w:color="auto"/>
          <w:lang w:val="es-ES_tradnl"/>
        </w:rPr>
        <w:t>”</w:t>
      </w:r>
      <w:r w:rsidR="003B4AC3" w:rsidRPr="001F35C9">
        <w:rPr>
          <w:rFonts w:eastAsiaTheme="minorHAnsi" w:cs="CenturyGothic"/>
          <w:color w:val="auto"/>
          <w:sz w:val="20"/>
          <w:szCs w:val="20"/>
          <w:bdr w:val="none" w:sz="0" w:space="0" w:color="auto"/>
          <w:lang w:val="es-ES_tradnl"/>
        </w:rPr>
        <w:t xml:space="preserve"> además de </w:t>
      </w:r>
      <w:r w:rsidR="00DD0644" w:rsidRPr="001F35C9">
        <w:rPr>
          <w:rFonts w:eastAsiaTheme="minorHAnsi" w:cs="Century Gothic"/>
          <w:color w:val="auto"/>
          <w:sz w:val="20"/>
          <w:szCs w:val="20"/>
          <w:bdr w:val="none" w:sz="0" w:space="0" w:color="auto"/>
          <w:lang w:val="es-ES_tradnl"/>
        </w:rPr>
        <w:t>forma</w:t>
      </w:r>
      <w:r w:rsidR="003B4AC3" w:rsidRPr="001F35C9">
        <w:rPr>
          <w:rFonts w:eastAsiaTheme="minorHAnsi" w:cs="Century Gothic"/>
          <w:color w:val="auto"/>
          <w:sz w:val="20"/>
          <w:szCs w:val="20"/>
          <w:bdr w:val="none" w:sz="0" w:space="0" w:color="auto"/>
          <w:lang w:val="es-ES_tradnl"/>
        </w:rPr>
        <w:t xml:space="preserve">r </w:t>
      </w:r>
      <w:r w:rsidR="00DD0644" w:rsidRPr="001F35C9">
        <w:rPr>
          <w:rFonts w:eastAsiaTheme="minorHAnsi" w:cs="Century Gothic"/>
          <w:color w:val="auto"/>
          <w:sz w:val="20"/>
          <w:szCs w:val="20"/>
          <w:bdr w:val="none" w:sz="0" w:space="0" w:color="auto"/>
          <w:lang w:val="es-ES_tradnl"/>
        </w:rPr>
        <w:t xml:space="preserve">parte de las </w:t>
      </w:r>
      <w:r w:rsidR="009B512C" w:rsidRPr="001F35C9">
        <w:rPr>
          <w:rFonts w:eastAsiaTheme="minorHAnsi" w:cs="Century Gothic"/>
          <w:color w:val="auto"/>
          <w:sz w:val="20"/>
          <w:szCs w:val="20"/>
          <w:bdr w:val="none" w:sz="0" w:space="0" w:color="auto"/>
          <w:lang w:val="es-ES_tradnl"/>
        </w:rPr>
        <w:t>obligaci</w:t>
      </w:r>
      <w:r w:rsidR="00DD0644" w:rsidRPr="001F35C9">
        <w:rPr>
          <w:rFonts w:eastAsiaTheme="minorHAnsi" w:cs="Century Gothic"/>
          <w:color w:val="auto"/>
          <w:sz w:val="20"/>
          <w:szCs w:val="20"/>
          <w:bdr w:val="none" w:sz="0" w:space="0" w:color="auto"/>
          <w:lang w:val="es-ES_tradnl"/>
        </w:rPr>
        <w:t xml:space="preserve">ones </w:t>
      </w:r>
      <w:r w:rsidR="009B512C" w:rsidRPr="001F35C9">
        <w:rPr>
          <w:rFonts w:eastAsiaTheme="minorHAnsi" w:cs="Century Gothic"/>
          <w:color w:val="auto"/>
          <w:sz w:val="20"/>
          <w:szCs w:val="20"/>
          <w:bdr w:val="none" w:sz="0" w:space="0" w:color="auto"/>
          <w:lang w:val="es-ES_tradnl"/>
        </w:rPr>
        <w:t xml:space="preserve">de la Policía Nacional </w:t>
      </w:r>
      <w:r w:rsidR="00F25288" w:rsidRPr="001F35C9">
        <w:rPr>
          <w:rFonts w:eastAsiaTheme="minorHAnsi" w:cs="Century Gothic"/>
          <w:color w:val="auto"/>
          <w:sz w:val="20"/>
          <w:szCs w:val="20"/>
          <w:bdr w:val="none" w:sz="0" w:space="0" w:color="auto"/>
          <w:lang w:val="es-ES_tradnl"/>
        </w:rPr>
        <w:t xml:space="preserve">de </w:t>
      </w:r>
      <w:r w:rsidR="009B512C" w:rsidRPr="001F35C9">
        <w:rPr>
          <w:rFonts w:eastAsiaTheme="minorHAnsi" w:cs="Century Gothic"/>
          <w:color w:val="auto"/>
          <w:sz w:val="20"/>
          <w:szCs w:val="20"/>
          <w:bdr w:val="none" w:sz="0" w:space="0" w:color="auto"/>
          <w:lang w:val="es-ES_tradnl"/>
        </w:rPr>
        <w:t xml:space="preserve">resarcir a sus funcionarios por el riesgo </w:t>
      </w:r>
      <w:r w:rsidR="00F25288" w:rsidRPr="001F35C9">
        <w:rPr>
          <w:rFonts w:eastAsiaTheme="minorHAnsi" w:cs="Century Gothic"/>
          <w:color w:val="auto"/>
          <w:sz w:val="20"/>
          <w:szCs w:val="20"/>
          <w:bdr w:val="none" w:sz="0" w:space="0" w:color="auto"/>
          <w:lang w:val="es-ES_tradnl"/>
        </w:rPr>
        <w:t xml:space="preserve">al que están </w:t>
      </w:r>
      <w:r w:rsidR="009B512C" w:rsidRPr="001F35C9">
        <w:rPr>
          <w:rFonts w:eastAsiaTheme="minorHAnsi" w:cs="Century Gothic"/>
          <w:color w:val="auto"/>
          <w:sz w:val="20"/>
          <w:szCs w:val="20"/>
          <w:bdr w:val="none" w:sz="0" w:space="0" w:color="auto"/>
          <w:lang w:val="es-ES_tradnl"/>
        </w:rPr>
        <w:t>expuestos al ejercer un determinado cargo contratado</w:t>
      </w:r>
      <w:r w:rsidR="007E446E" w:rsidRPr="001F35C9">
        <w:rPr>
          <w:rFonts w:eastAsiaTheme="minorHAnsi" w:cs="Century Gothic"/>
          <w:color w:val="auto"/>
          <w:sz w:val="20"/>
          <w:szCs w:val="20"/>
          <w:bdr w:val="none" w:sz="0" w:space="0" w:color="auto"/>
          <w:lang w:val="es-ES_tradnl"/>
        </w:rPr>
        <w:t xml:space="preserve">, </w:t>
      </w:r>
      <w:r w:rsidR="003B4AC3" w:rsidRPr="001F35C9">
        <w:rPr>
          <w:rFonts w:eastAsia="NotDefSpecial" w:cs="NotDefSpecial"/>
          <w:color w:val="auto"/>
          <w:sz w:val="20"/>
          <w:szCs w:val="20"/>
          <w:bdr w:val="none" w:sz="0" w:space="0" w:color="auto"/>
          <w:lang w:val="es-ES_tradnl"/>
        </w:rPr>
        <w:t xml:space="preserve">resultaron irrisorias </w:t>
      </w:r>
      <w:r w:rsidR="007E446E" w:rsidRPr="001F35C9">
        <w:rPr>
          <w:rFonts w:eastAsiaTheme="minorHAnsi" w:cs="Century Gothic"/>
          <w:color w:val="auto"/>
          <w:sz w:val="20"/>
          <w:szCs w:val="20"/>
          <w:bdr w:val="none" w:sz="0" w:space="0" w:color="auto"/>
          <w:lang w:val="es-ES_tradnl"/>
        </w:rPr>
        <w:t>y no constituyeron un “</w:t>
      </w:r>
      <w:r w:rsidR="007E446E" w:rsidRPr="001F35C9">
        <w:rPr>
          <w:rFonts w:eastAsiaTheme="minorHAnsi" w:cs="Century Gothic"/>
          <w:i/>
          <w:iCs/>
          <w:color w:val="auto"/>
          <w:sz w:val="20"/>
          <w:szCs w:val="20"/>
          <w:bdr w:val="none" w:sz="0" w:space="0" w:color="auto"/>
          <w:lang w:val="es-ES_tradnl"/>
        </w:rPr>
        <w:t>resarcimiento de amplio bienestar</w:t>
      </w:r>
      <w:r w:rsidR="007E446E" w:rsidRPr="001F35C9">
        <w:rPr>
          <w:rFonts w:eastAsiaTheme="minorHAnsi" w:cs="Century Gothic"/>
          <w:color w:val="auto"/>
          <w:sz w:val="20"/>
          <w:szCs w:val="20"/>
          <w:bdr w:val="none" w:sz="0" w:space="0" w:color="auto"/>
          <w:lang w:val="es-ES_tradnl"/>
        </w:rPr>
        <w:t>”</w:t>
      </w:r>
      <w:r w:rsidR="00F25288" w:rsidRPr="001F35C9">
        <w:rPr>
          <w:rFonts w:eastAsia="NotDefSpecial" w:cs="NotDefSpecial"/>
          <w:color w:val="auto"/>
          <w:sz w:val="20"/>
          <w:szCs w:val="20"/>
          <w:bdr w:val="none" w:sz="0" w:space="0" w:color="auto"/>
          <w:lang w:val="es-ES_tradnl"/>
        </w:rPr>
        <w:t>.</w:t>
      </w:r>
      <w:r w:rsidR="004D41AD" w:rsidRPr="001F35C9">
        <w:rPr>
          <w:rFonts w:eastAsia="NotDefSpecial" w:cs="NotDefSpecial"/>
          <w:color w:val="auto"/>
          <w:sz w:val="20"/>
          <w:szCs w:val="20"/>
          <w:bdr w:val="none" w:sz="0" w:space="0" w:color="auto"/>
          <w:lang w:val="es-ES_tradnl"/>
        </w:rPr>
        <w:t xml:space="preserve"> </w:t>
      </w:r>
    </w:p>
    <w:p w14:paraId="495A5056"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color w:val="auto"/>
          <w:sz w:val="20"/>
          <w:szCs w:val="20"/>
          <w:lang w:val="es-ES_tradnl"/>
        </w:rPr>
      </w:pPr>
    </w:p>
    <w:p w14:paraId="249FD868" w14:textId="4E3DCF89" w:rsidR="007E446E" w:rsidRPr="001F35C9" w:rsidRDefault="003B4AC3"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color w:val="auto"/>
          <w:sz w:val="20"/>
          <w:szCs w:val="20"/>
          <w:lang w:val="es-ES_tradnl"/>
        </w:rPr>
      </w:pPr>
      <w:r w:rsidRPr="001F35C9">
        <w:rPr>
          <w:color w:val="auto"/>
          <w:sz w:val="20"/>
          <w:szCs w:val="20"/>
          <w:lang w:val="es-ES_tradnl"/>
        </w:rPr>
        <w:t xml:space="preserve">En </w:t>
      </w:r>
      <w:r w:rsidR="00C77118" w:rsidRPr="001F35C9">
        <w:rPr>
          <w:color w:val="auto"/>
          <w:sz w:val="20"/>
          <w:szCs w:val="20"/>
          <w:lang w:val="es-ES_tradnl"/>
        </w:rPr>
        <w:t>esta</w:t>
      </w:r>
      <w:r w:rsidRPr="001F35C9">
        <w:rPr>
          <w:color w:val="auto"/>
          <w:sz w:val="20"/>
          <w:szCs w:val="20"/>
          <w:lang w:val="es-ES_tradnl"/>
        </w:rPr>
        <w:t xml:space="preserve"> línea, d</w:t>
      </w:r>
      <w:r w:rsidR="007E446E" w:rsidRPr="001F35C9">
        <w:rPr>
          <w:color w:val="auto"/>
          <w:sz w:val="20"/>
          <w:szCs w:val="20"/>
          <w:lang w:val="es-ES_tradnl"/>
        </w:rPr>
        <w:t xml:space="preserve">estaca </w:t>
      </w:r>
      <w:r w:rsidR="00DD0644" w:rsidRPr="001F35C9">
        <w:rPr>
          <w:color w:val="auto"/>
          <w:sz w:val="20"/>
          <w:szCs w:val="20"/>
          <w:lang w:val="es-ES_tradnl"/>
        </w:rPr>
        <w:t>que</w:t>
      </w:r>
      <w:r w:rsidR="00587284" w:rsidRPr="001F35C9">
        <w:rPr>
          <w:color w:val="auto"/>
          <w:sz w:val="20"/>
          <w:szCs w:val="20"/>
          <w:lang w:val="es-ES_tradnl"/>
        </w:rPr>
        <w:t xml:space="preserve"> en el 2002 </w:t>
      </w:r>
      <w:r w:rsidR="00DD0644" w:rsidRPr="001F35C9">
        <w:rPr>
          <w:color w:val="auto"/>
          <w:sz w:val="20"/>
          <w:szCs w:val="20"/>
          <w:lang w:val="es-ES_tradnl"/>
        </w:rPr>
        <w:t xml:space="preserve">el Estado expidió </w:t>
      </w:r>
      <w:r w:rsidR="00587284" w:rsidRPr="001F35C9">
        <w:rPr>
          <w:color w:val="auto"/>
          <w:sz w:val="20"/>
          <w:szCs w:val="20"/>
          <w:lang w:val="es-ES_tradnl"/>
        </w:rPr>
        <w:t>la Ley 785 y la Ley 793</w:t>
      </w:r>
      <w:r w:rsidR="001470D2" w:rsidRPr="001F35C9">
        <w:rPr>
          <w:color w:val="auto"/>
          <w:sz w:val="20"/>
          <w:szCs w:val="20"/>
          <w:lang w:val="es-ES_tradnl"/>
        </w:rPr>
        <w:t>,</w:t>
      </w:r>
      <w:r w:rsidR="00E41013" w:rsidRPr="001F35C9">
        <w:rPr>
          <w:color w:val="auto"/>
          <w:sz w:val="20"/>
          <w:szCs w:val="20"/>
          <w:lang w:val="es-ES_tradnl"/>
        </w:rPr>
        <w:t xml:space="preserve"> ambas </w:t>
      </w:r>
      <w:r w:rsidR="00587284" w:rsidRPr="001F35C9">
        <w:rPr>
          <w:color w:val="auto"/>
          <w:sz w:val="20"/>
          <w:szCs w:val="20"/>
          <w:lang w:val="es-ES_tradnl"/>
        </w:rPr>
        <w:t>con la finalidad de</w:t>
      </w:r>
      <w:r w:rsidR="00E41013" w:rsidRPr="001F35C9">
        <w:rPr>
          <w:color w:val="auto"/>
          <w:sz w:val="20"/>
          <w:szCs w:val="20"/>
          <w:lang w:val="es-ES_tradnl"/>
        </w:rPr>
        <w:t>, entre otr</w:t>
      </w:r>
      <w:r w:rsidR="00C77118" w:rsidRPr="001F35C9">
        <w:rPr>
          <w:color w:val="auto"/>
          <w:sz w:val="20"/>
          <w:szCs w:val="20"/>
          <w:lang w:val="es-ES_tradnl"/>
        </w:rPr>
        <w:t>a</w:t>
      </w:r>
      <w:r w:rsidR="00E41013" w:rsidRPr="001F35C9">
        <w:rPr>
          <w:color w:val="auto"/>
          <w:sz w:val="20"/>
          <w:szCs w:val="20"/>
          <w:lang w:val="es-ES_tradnl"/>
        </w:rPr>
        <w:t xml:space="preserve">s </w:t>
      </w:r>
      <w:r w:rsidR="00C77118" w:rsidRPr="001F35C9">
        <w:rPr>
          <w:color w:val="auto"/>
          <w:sz w:val="20"/>
          <w:szCs w:val="20"/>
          <w:lang w:val="es-ES_tradnl"/>
        </w:rPr>
        <w:t>cosas</w:t>
      </w:r>
      <w:r w:rsidR="00E41013" w:rsidRPr="001F35C9">
        <w:rPr>
          <w:color w:val="auto"/>
          <w:sz w:val="20"/>
          <w:szCs w:val="20"/>
          <w:lang w:val="es-ES_tradnl"/>
        </w:rPr>
        <w:t>,</w:t>
      </w:r>
      <w:r w:rsidR="00587284" w:rsidRPr="001F35C9">
        <w:rPr>
          <w:color w:val="auto"/>
          <w:sz w:val="20"/>
          <w:szCs w:val="20"/>
          <w:lang w:val="es-ES_tradnl"/>
        </w:rPr>
        <w:t xml:space="preserve"> reglamentar </w:t>
      </w:r>
      <w:r w:rsidR="00E41013" w:rsidRPr="001F35C9">
        <w:rPr>
          <w:color w:val="auto"/>
          <w:sz w:val="20"/>
          <w:szCs w:val="20"/>
          <w:lang w:val="es-ES_tradnl"/>
        </w:rPr>
        <w:t xml:space="preserve">la administración y </w:t>
      </w:r>
      <w:r w:rsidR="00587284" w:rsidRPr="001F35C9">
        <w:rPr>
          <w:color w:val="auto"/>
          <w:sz w:val="20"/>
          <w:szCs w:val="20"/>
          <w:lang w:val="es-ES_tradnl"/>
        </w:rPr>
        <w:t xml:space="preserve">el destino de los bienes </w:t>
      </w:r>
      <w:r w:rsidR="00A127A5" w:rsidRPr="001F35C9">
        <w:rPr>
          <w:color w:val="auto"/>
          <w:sz w:val="20"/>
          <w:szCs w:val="20"/>
          <w:lang w:val="es-ES_tradnl"/>
        </w:rPr>
        <w:t xml:space="preserve">producto del narcotráfico </w:t>
      </w:r>
      <w:r w:rsidR="00E41013" w:rsidRPr="001F35C9">
        <w:rPr>
          <w:color w:val="auto"/>
          <w:sz w:val="20"/>
          <w:szCs w:val="20"/>
          <w:lang w:val="es-ES_tradnl"/>
        </w:rPr>
        <w:t xml:space="preserve">incautados </w:t>
      </w:r>
      <w:r w:rsidR="00587284" w:rsidRPr="001F35C9">
        <w:rPr>
          <w:color w:val="auto"/>
          <w:sz w:val="20"/>
          <w:szCs w:val="20"/>
          <w:lang w:val="es-ES_tradnl"/>
        </w:rPr>
        <w:t>por el Estado</w:t>
      </w:r>
      <w:r w:rsidR="00780E16" w:rsidRPr="001F35C9">
        <w:rPr>
          <w:color w:val="auto"/>
          <w:sz w:val="20"/>
          <w:szCs w:val="20"/>
          <w:lang w:val="es-ES_tradnl"/>
        </w:rPr>
        <w:t xml:space="preserve">, razón por la cual </w:t>
      </w:r>
      <w:r w:rsidR="00E41013" w:rsidRPr="001F35C9">
        <w:rPr>
          <w:color w:val="auto"/>
          <w:sz w:val="20"/>
          <w:szCs w:val="20"/>
          <w:lang w:val="es-ES_tradnl"/>
        </w:rPr>
        <w:t xml:space="preserve">los bienes de Pablo Escobar Gaviria </w:t>
      </w:r>
      <w:r w:rsidR="00D00729" w:rsidRPr="001F35C9">
        <w:rPr>
          <w:color w:val="auto"/>
          <w:sz w:val="20"/>
          <w:szCs w:val="20"/>
          <w:lang w:val="es-ES_tradnl"/>
        </w:rPr>
        <w:t>pasaron a la administración de la Dirección Nacional de Estupefacientes</w:t>
      </w:r>
      <w:r w:rsidR="0073379A" w:rsidRPr="001F35C9">
        <w:rPr>
          <w:color w:val="auto"/>
          <w:sz w:val="20"/>
          <w:szCs w:val="20"/>
          <w:lang w:val="es-ES_tradnl"/>
        </w:rPr>
        <w:t xml:space="preserve"> (en adelante la “DNE”)</w:t>
      </w:r>
      <w:r w:rsidR="00D00729" w:rsidRPr="001F35C9">
        <w:rPr>
          <w:color w:val="auto"/>
          <w:sz w:val="20"/>
          <w:szCs w:val="20"/>
          <w:lang w:val="es-ES_tradnl"/>
        </w:rPr>
        <w:t xml:space="preserve">. </w:t>
      </w:r>
      <w:r w:rsidR="004B49B1" w:rsidRPr="001F35C9">
        <w:rPr>
          <w:color w:val="auto"/>
          <w:sz w:val="20"/>
          <w:szCs w:val="20"/>
          <w:lang w:val="es-ES_tradnl"/>
        </w:rPr>
        <w:t xml:space="preserve">Explica </w:t>
      </w:r>
      <w:r w:rsidR="00D00729" w:rsidRPr="001F35C9">
        <w:rPr>
          <w:color w:val="auto"/>
          <w:sz w:val="20"/>
          <w:szCs w:val="20"/>
          <w:lang w:val="es-ES_tradnl"/>
        </w:rPr>
        <w:t xml:space="preserve">entonces </w:t>
      </w:r>
      <w:r w:rsidR="00AB1484" w:rsidRPr="001F35C9">
        <w:rPr>
          <w:color w:val="auto"/>
          <w:sz w:val="20"/>
          <w:szCs w:val="20"/>
          <w:lang w:val="es-ES_tradnl"/>
        </w:rPr>
        <w:t>que</w:t>
      </w:r>
      <w:r w:rsidR="0073379A" w:rsidRPr="001F35C9">
        <w:rPr>
          <w:color w:val="auto"/>
          <w:sz w:val="20"/>
          <w:szCs w:val="20"/>
          <w:lang w:val="es-ES_tradnl"/>
        </w:rPr>
        <w:t xml:space="preserve">, </w:t>
      </w:r>
      <w:r w:rsidR="000275C8" w:rsidRPr="001F35C9">
        <w:rPr>
          <w:color w:val="auto"/>
          <w:sz w:val="20"/>
          <w:szCs w:val="20"/>
          <w:lang w:val="es-ES_tradnl"/>
        </w:rPr>
        <w:t xml:space="preserve">si bien en años anteriores las presuntas víctimas </w:t>
      </w:r>
      <w:r w:rsidR="0073379A" w:rsidRPr="001F35C9">
        <w:rPr>
          <w:color w:val="auto"/>
          <w:sz w:val="20"/>
          <w:szCs w:val="20"/>
          <w:lang w:val="es-ES_tradnl"/>
        </w:rPr>
        <w:t xml:space="preserve">no se atrevieron a perseguir por su propia cuenta los bienes del victimario, o a solicitar al Estado ordenar la indemnización </w:t>
      </w:r>
      <w:r w:rsidR="000275C8" w:rsidRPr="001F35C9">
        <w:rPr>
          <w:color w:val="auto"/>
          <w:sz w:val="20"/>
          <w:szCs w:val="20"/>
          <w:lang w:val="es-ES_tradnl"/>
        </w:rPr>
        <w:t xml:space="preserve">sobre </w:t>
      </w:r>
      <w:r w:rsidR="0073379A" w:rsidRPr="001F35C9">
        <w:rPr>
          <w:color w:val="auto"/>
          <w:sz w:val="20"/>
          <w:szCs w:val="20"/>
          <w:lang w:val="es-ES_tradnl"/>
        </w:rPr>
        <w:t xml:space="preserve">los </w:t>
      </w:r>
      <w:r w:rsidR="000275C8" w:rsidRPr="001F35C9">
        <w:rPr>
          <w:color w:val="auto"/>
          <w:sz w:val="20"/>
          <w:szCs w:val="20"/>
          <w:lang w:val="es-ES_tradnl"/>
        </w:rPr>
        <w:t xml:space="preserve">mismos </w:t>
      </w:r>
      <w:r w:rsidR="0073379A" w:rsidRPr="001F35C9">
        <w:rPr>
          <w:color w:val="auto"/>
          <w:sz w:val="20"/>
          <w:szCs w:val="20"/>
          <w:lang w:val="es-ES_tradnl"/>
        </w:rPr>
        <w:t>por el peligro que ello representaba;</w:t>
      </w:r>
      <w:r w:rsidR="00AB1484" w:rsidRPr="001F35C9">
        <w:rPr>
          <w:color w:val="auto"/>
          <w:sz w:val="20"/>
          <w:szCs w:val="20"/>
          <w:lang w:val="es-ES_tradnl"/>
        </w:rPr>
        <w:t xml:space="preserve"> </w:t>
      </w:r>
      <w:r w:rsidR="00D00729" w:rsidRPr="001F35C9">
        <w:rPr>
          <w:color w:val="auto"/>
          <w:sz w:val="20"/>
          <w:szCs w:val="20"/>
          <w:lang w:val="es-ES_tradnl"/>
        </w:rPr>
        <w:t xml:space="preserve">a partir del 2008 </w:t>
      </w:r>
      <w:r w:rsidR="00CE4E7D" w:rsidRPr="001F35C9">
        <w:rPr>
          <w:color w:val="auto"/>
          <w:sz w:val="20"/>
          <w:szCs w:val="20"/>
          <w:lang w:val="es-ES_tradnl"/>
        </w:rPr>
        <w:t xml:space="preserve">se </w:t>
      </w:r>
      <w:r w:rsidR="00AB1484" w:rsidRPr="001F35C9">
        <w:rPr>
          <w:color w:val="auto"/>
          <w:sz w:val="20"/>
          <w:szCs w:val="20"/>
          <w:lang w:val="es-ES_tradnl"/>
        </w:rPr>
        <w:t>present</w:t>
      </w:r>
      <w:r w:rsidR="00CE4E7D" w:rsidRPr="001F35C9">
        <w:rPr>
          <w:color w:val="auto"/>
          <w:sz w:val="20"/>
          <w:szCs w:val="20"/>
          <w:lang w:val="es-ES_tradnl"/>
        </w:rPr>
        <w:t xml:space="preserve">aron </w:t>
      </w:r>
      <w:r w:rsidR="00D00729" w:rsidRPr="001F35C9">
        <w:rPr>
          <w:color w:val="auto"/>
          <w:sz w:val="20"/>
          <w:szCs w:val="20"/>
          <w:lang w:val="es-ES_tradnl"/>
        </w:rPr>
        <w:t xml:space="preserve">distintas </w:t>
      </w:r>
      <w:r w:rsidR="007F23B4" w:rsidRPr="001F35C9">
        <w:rPr>
          <w:color w:val="auto"/>
          <w:sz w:val="20"/>
          <w:szCs w:val="20"/>
          <w:lang w:val="es-ES_tradnl"/>
        </w:rPr>
        <w:t xml:space="preserve">solicitudes en representación de las familias ante diversas entidades </w:t>
      </w:r>
      <w:r w:rsidR="00195DBD" w:rsidRPr="001F35C9">
        <w:rPr>
          <w:color w:val="auto"/>
          <w:sz w:val="20"/>
          <w:szCs w:val="20"/>
          <w:lang w:val="es-ES_tradnl"/>
        </w:rPr>
        <w:t>del Estado</w:t>
      </w:r>
      <w:r w:rsidR="003F49AF" w:rsidRPr="001F35C9">
        <w:rPr>
          <w:color w:val="auto"/>
          <w:sz w:val="20"/>
          <w:szCs w:val="20"/>
          <w:lang w:val="es-ES_tradnl"/>
        </w:rPr>
        <w:t xml:space="preserve"> en virtud de las cuales obtuvieron </w:t>
      </w:r>
      <w:r w:rsidR="0088387B" w:rsidRPr="001F35C9">
        <w:rPr>
          <w:rFonts w:eastAsia="NotDefSpecial" w:cs="NotDefSpecial"/>
          <w:color w:val="auto"/>
          <w:sz w:val="20"/>
          <w:szCs w:val="20"/>
          <w:lang w:val="es-ES_tradnl"/>
        </w:rPr>
        <w:t>respuestas contradictorias a los postulados de la Constitución</w:t>
      </w:r>
      <w:r w:rsidR="003F49AF" w:rsidRPr="001F35C9">
        <w:rPr>
          <w:rFonts w:eastAsia="NotDefSpecial" w:cs="NotDefSpecial"/>
          <w:color w:val="auto"/>
          <w:sz w:val="20"/>
          <w:szCs w:val="20"/>
          <w:lang w:val="es-ES_tradnl"/>
        </w:rPr>
        <w:t xml:space="preserve">. En tal sentido, sostiene que las entidades </w:t>
      </w:r>
      <w:r w:rsidR="00195DBD" w:rsidRPr="001F35C9">
        <w:rPr>
          <w:rFonts w:eastAsia="NotDefSpecial" w:cs="NotDefSpecial"/>
          <w:color w:val="auto"/>
          <w:sz w:val="20"/>
          <w:szCs w:val="20"/>
          <w:lang w:val="es-ES_tradnl"/>
        </w:rPr>
        <w:t>razona</w:t>
      </w:r>
      <w:r w:rsidR="003F49AF" w:rsidRPr="001F35C9">
        <w:rPr>
          <w:rFonts w:eastAsia="NotDefSpecial" w:cs="NotDefSpecial"/>
          <w:color w:val="auto"/>
          <w:sz w:val="20"/>
          <w:szCs w:val="20"/>
          <w:lang w:val="es-ES_tradnl"/>
        </w:rPr>
        <w:t xml:space="preserve">ron </w:t>
      </w:r>
      <w:r w:rsidR="00195DBD" w:rsidRPr="001F35C9">
        <w:rPr>
          <w:rFonts w:eastAsia="NotDefSpecial" w:cs="NotDefSpecial"/>
          <w:color w:val="auto"/>
          <w:sz w:val="20"/>
          <w:szCs w:val="20"/>
          <w:lang w:val="es-ES_tradnl"/>
        </w:rPr>
        <w:t>que las familias de l</w:t>
      </w:r>
      <w:r w:rsidR="00971AE8" w:rsidRPr="001F35C9">
        <w:rPr>
          <w:rFonts w:eastAsia="NotDefSpecial" w:cs="NotDefSpecial"/>
          <w:color w:val="auto"/>
          <w:sz w:val="20"/>
          <w:szCs w:val="20"/>
          <w:lang w:val="es-ES_tradnl"/>
        </w:rPr>
        <w:t xml:space="preserve">os policías asesinados </w:t>
      </w:r>
      <w:r w:rsidR="00195DBD" w:rsidRPr="001F35C9">
        <w:rPr>
          <w:rFonts w:eastAsia="NotDefSpecial" w:cs="NotDefSpecial"/>
          <w:color w:val="auto"/>
          <w:sz w:val="20"/>
          <w:szCs w:val="20"/>
          <w:lang w:val="es-ES_tradnl"/>
        </w:rPr>
        <w:t>“</w:t>
      </w:r>
      <w:r w:rsidR="00195DBD" w:rsidRPr="001F35C9">
        <w:rPr>
          <w:rFonts w:eastAsia="NotDefSpecial" w:cs="NotDefSpecial"/>
          <w:i/>
          <w:iCs/>
          <w:color w:val="auto"/>
          <w:sz w:val="20"/>
          <w:szCs w:val="20"/>
          <w:lang w:val="es-ES_tradnl"/>
        </w:rPr>
        <w:t>no era</w:t>
      </w:r>
      <w:r w:rsidR="00971AE8" w:rsidRPr="001F35C9">
        <w:rPr>
          <w:rFonts w:eastAsia="NotDefSpecial" w:cs="NotDefSpecial"/>
          <w:i/>
          <w:iCs/>
          <w:color w:val="auto"/>
          <w:sz w:val="20"/>
          <w:szCs w:val="20"/>
          <w:lang w:val="es-ES_tradnl"/>
        </w:rPr>
        <w:t>n</w:t>
      </w:r>
      <w:r w:rsidR="00195DBD" w:rsidRPr="001F35C9">
        <w:rPr>
          <w:rFonts w:eastAsia="NotDefSpecial" w:cs="NotDefSpecial"/>
          <w:i/>
          <w:iCs/>
          <w:color w:val="auto"/>
          <w:sz w:val="20"/>
          <w:szCs w:val="20"/>
          <w:lang w:val="es-ES_tradnl"/>
        </w:rPr>
        <w:t xml:space="preserve"> consideradas víctimas bajo la ley colombiana</w:t>
      </w:r>
      <w:r w:rsidR="00195DBD" w:rsidRPr="001F35C9">
        <w:rPr>
          <w:rFonts w:eastAsia="NotDefSpecial" w:cs="NotDefSpecial"/>
          <w:color w:val="auto"/>
          <w:sz w:val="20"/>
          <w:szCs w:val="20"/>
          <w:lang w:val="es-ES_tradnl"/>
        </w:rPr>
        <w:t>”</w:t>
      </w:r>
      <w:r w:rsidR="00C77118" w:rsidRPr="001F35C9">
        <w:rPr>
          <w:rFonts w:eastAsia="NotDefSpecial" w:cs="NotDefSpecial"/>
          <w:color w:val="auto"/>
          <w:sz w:val="20"/>
          <w:szCs w:val="20"/>
          <w:lang w:val="es-ES_tradnl"/>
        </w:rPr>
        <w:t>,</w:t>
      </w:r>
      <w:r w:rsidR="00195DBD" w:rsidRPr="001F35C9">
        <w:rPr>
          <w:rFonts w:eastAsia="NotDefSpecial" w:cs="NotDefSpecial"/>
          <w:color w:val="auto"/>
          <w:sz w:val="20"/>
          <w:szCs w:val="20"/>
          <w:lang w:val="es-ES_tradnl"/>
        </w:rPr>
        <w:t xml:space="preserve"> por no haber sido objeto de daño por parte de grupos al margen de la ley, y les remitían a acudir a la justicia ordinaria para hacer efectivo su derecho. </w:t>
      </w:r>
    </w:p>
    <w:p w14:paraId="3A3CC9A2"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color w:val="auto"/>
          <w:sz w:val="20"/>
          <w:szCs w:val="20"/>
          <w:lang w:val="es-ES_tradnl"/>
        </w:rPr>
      </w:pPr>
    </w:p>
    <w:p w14:paraId="641D6E69" w14:textId="01609F49" w:rsidR="00680707" w:rsidRPr="001F35C9" w:rsidRDefault="003F49AF"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eastAsia="NotDefSpecial" w:cs="NotDefSpecial"/>
          <w:color w:val="auto"/>
          <w:sz w:val="20"/>
          <w:szCs w:val="20"/>
          <w:lang w:val="es-ES_tradnl"/>
        </w:rPr>
      </w:pPr>
      <w:r w:rsidRPr="001F35C9">
        <w:rPr>
          <w:rFonts w:cs="GillSansMT"/>
          <w:color w:val="auto"/>
          <w:sz w:val="20"/>
          <w:szCs w:val="20"/>
          <w:lang w:val="es-ES_tradnl"/>
        </w:rPr>
        <w:t xml:space="preserve">En particular, la parte peticionaria </w:t>
      </w:r>
      <w:r w:rsidR="00C53A3E" w:rsidRPr="001F35C9">
        <w:rPr>
          <w:rFonts w:cs="GillSansMT"/>
          <w:color w:val="auto"/>
          <w:sz w:val="20"/>
          <w:szCs w:val="20"/>
          <w:lang w:val="es-ES_tradnl"/>
        </w:rPr>
        <w:t>indica</w:t>
      </w:r>
      <w:r w:rsidRPr="001F35C9">
        <w:rPr>
          <w:rFonts w:cs="GillSansMT"/>
          <w:color w:val="auto"/>
          <w:sz w:val="20"/>
          <w:szCs w:val="20"/>
          <w:lang w:val="es-ES_tradnl"/>
        </w:rPr>
        <w:t xml:space="preserve"> </w:t>
      </w:r>
      <w:r w:rsidR="00A92E46" w:rsidRPr="001F35C9">
        <w:rPr>
          <w:rFonts w:cs="GillSansMT"/>
          <w:color w:val="auto"/>
          <w:sz w:val="20"/>
          <w:szCs w:val="20"/>
          <w:lang w:val="es-ES_tradnl"/>
        </w:rPr>
        <w:t xml:space="preserve">que </w:t>
      </w:r>
      <w:r w:rsidR="007F23B4" w:rsidRPr="001F35C9">
        <w:rPr>
          <w:rFonts w:cs="GillSansMT"/>
          <w:color w:val="auto"/>
          <w:sz w:val="20"/>
          <w:szCs w:val="20"/>
          <w:lang w:val="es-ES_tradnl"/>
        </w:rPr>
        <w:t xml:space="preserve">el 21 de abril de 2008 interpuso </w:t>
      </w:r>
      <w:r w:rsidR="008202C1" w:rsidRPr="001F35C9">
        <w:rPr>
          <w:rFonts w:cs="GillSansMT"/>
          <w:color w:val="auto"/>
          <w:sz w:val="20"/>
          <w:szCs w:val="20"/>
          <w:lang w:val="es-ES_tradnl"/>
        </w:rPr>
        <w:t>derecho de</w:t>
      </w:r>
      <w:r w:rsidR="007F23B4" w:rsidRPr="001F35C9">
        <w:rPr>
          <w:rFonts w:cs="GillSansMT"/>
          <w:color w:val="auto"/>
          <w:sz w:val="20"/>
          <w:szCs w:val="20"/>
          <w:lang w:val="es-ES_tradnl"/>
        </w:rPr>
        <w:t xml:space="preserve"> petición ante la DNE </w:t>
      </w:r>
      <w:r w:rsidR="008202C1" w:rsidRPr="001F35C9">
        <w:rPr>
          <w:rFonts w:cs="GillSansMT"/>
          <w:color w:val="auto"/>
          <w:sz w:val="20"/>
          <w:szCs w:val="20"/>
          <w:lang w:val="es-ES_tradnl"/>
        </w:rPr>
        <w:t xml:space="preserve">solicitando </w:t>
      </w:r>
      <w:r w:rsidR="00AB1484" w:rsidRPr="001F35C9">
        <w:rPr>
          <w:rFonts w:cs="GillSansMT"/>
          <w:color w:val="auto"/>
          <w:sz w:val="20"/>
          <w:szCs w:val="20"/>
          <w:lang w:val="es-ES_tradnl"/>
        </w:rPr>
        <w:t>el reconocimiento d</w:t>
      </w:r>
      <w:r w:rsidR="007F23B4" w:rsidRPr="001F35C9">
        <w:rPr>
          <w:rFonts w:cs="GillSansMT"/>
          <w:color w:val="auto"/>
          <w:sz w:val="20"/>
          <w:szCs w:val="20"/>
          <w:lang w:val="es-ES_tradnl"/>
        </w:rPr>
        <w:t xml:space="preserve">el derecho </w:t>
      </w:r>
      <w:r w:rsidR="002B1163" w:rsidRPr="001F35C9">
        <w:rPr>
          <w:rFonts w:cs="GillSansMT"/>
          <w:color w:val="auto"/>
          <w:sz w:val="20"/>
          <w:szCs w:val="20"/>
          <w:lang w:val="es-ES_tradnl"/>
        </w:rPr>
        <w:t>a una “</w:t>
      </w:r>
      <w:r w:rsidR="007F23B4" w:rsidRPr="001F35C9">
        <w:rPr>
          <w:rFonts w:cs="GillSansMT"/>
          <w:color w:val="auto"/>
          <w:sz w:val="20"/>
          <w:szCs w:val="20"/>
          <w:lang w:val="es-ES_tradnl"/>
        </w:rPr>
        <w:t>indemnización integral</w:t>
      </w:r>
      <w:r w:rsidR="002B1163" w:rsidRPr="001F35C9">
        <w:rPr>
          <w:rFonts w:cs="GillSansMT"/>
          <w:color w:val="auto"/>
          <w:sz w:val="20"/>
          <w:szCs w:val="20"/>
          <w:lang w:val="es-ES_tradnl"/>
        </w:rPr>
        <w:t xml:space="preserve">” – entendida por la parte peticionaria como una indemnización económica proporcional a los bienes de Pablo Escobar como autor intelectual de los homicidios </w:t>
      </w:r>
      <w:r w:rsidR="007F23B4" w:rsidRPr="001F35C9">
        <w:rPr>
          <w:rFonts w:cs="GillSansMT"/>
          <w:color w:val="auto"/>
          <w:sz w:val="20"/>
          <w:szCs w:val="20"/>
          <w:lang w:val="es-ES_tradnl"/>
        </w:rPr>
        <w:t>de l</w:t>
      </w:r>
      <w:r w:rsidR="00C41E9E" w:rsidRPr="001F35C9">
        <w:rPr>
          <w:rFonts w:cs="GillSansMT"/>
          <w:color w:val="auto"/>
          <w:sz w:val="20"/>
          <w:szCs w:val="20"/>
          <w:lang w:val="es-ES_tradnl"/>
        </w:rPr>
        <w:t xml:space="preserve">os sesenta y </w:t>
      </w:r>
      <w:r w:rsidR="004144FD" w:rsidRPr="001F35C9">
        <w:rPr>
          <w:rFonts w:cs="GillSansMT"/>
          <w:color w:val="auto"/>
          <w:sz w:val="20"/>
          <w:szCs w:val="20"/>
          <w:lang w:val="es-ES_tradnl"/>
        </w:rPr>
        <w:t>tres</w:t>
      </w:r>
      <w:r w:rsidR="00C41E9E" w:rsidRPr="001F35C9">
        <w:rPr>
          <w:rFonts w:cs="GillSansMT"/>
          <w:color w:val="auto"/>
          <w:sz w:val="20"/>
          <w:szCs w:val="20"/>
          <w:lang w:val="es-ES_tradnl"/>
        </w:rPr>
        <w:t xml:space="preserve"> agentes de la policía asesinados</w:t>
      </w:r>
      <w:r w:rsidR="00E42B6A" w:rsidRPr="001F35C9">
        <w:rPr>
          <w:rFonts w:cs="GillSansMT"/>
          <w:color w:val="auto"/>
          <w:sz w:val="20"/>
          <w:szCs w:val="20"/>
          <w:lang w:val="es-ES_tradnl"/>
        </w:rPr>
        <w:t>;</w:t>
      </w:r>
      <w:r w:rsidR="008202C1" w:rsidRPr="001F35C9">
        <w:rPr>
          <w:rFonts w:cs="GillSansMT"/>
          <w:color w:val="auto"/>
          <w:sz w:val="20"/>
          <w:szCs w:val="20"/>
          <w:lang w:val="es-ES_tradnl"/>
        </w:rPr>
        <w:t xml:space="preserve"> sin embargo, </w:t>
      </w:r>
      <w:r w:rsidR="00AB1484" w:rsidRPr="001F35C9">
        <w:rPr>
          <w:rFonts w:cs="GillSansMT"/>
          <w:color w:val="auto"/>
          <w:sz w:val="20"/>
          <w:szCs w:val="20"/>
          <w:lang w:val="es-ES_tradnl"/>
        </w:rPr>
        <w:t xml:space="preserve">el 15 de mayo de 2008 </w:t>
      </w:r>
      <w:r w:rsidR="007F23B4" w:rsidRPr="001F35C9">
        <w:rPr>
          <w:rFonts w:cs="GillSansMT"/>
          <w:color w:val="auto"/>
          <w:sz w:val="20"/>
          <w:szCs w:val="20"/>
          <w:lang w:val="es-ES_tradnl"/>
        </w:rPr>
        <w:t xml:space="preserve">la DNE </w:t>
      </w:r>
      <w:r w:rsidR="008202C1" w:rsidRPr="001F35C9">
        <w:rPr>
          <w:rFonts w:cs="GillSansMT"/>
          <w:color w:val="auto"/>
          <w:sz w:val="20"/>
          <w:szCs w:val="20"/>
          <w:lang w:val="es-ES_tradnl"/>
        </w:rPr>
        <w:t xml:space="preserve">concluyó </w:t>
      </w:r>
      <w:r w:rsidR="00C91003" w:rsidRPr="001F35C9">
        <w:rPr>
          <w:rFonts w:cs="GillSansMT"/>
          <w:color w:val="auto"/>
          <w:sz w:val="20"/>
          <w:szCs w:val="20"/>
          <w:lang w:val="es-ES_tradnl"/>
        </w:rPr>
        <w:t xml:space="preserve">no tener competencia legal, </w:t>
      </w:r>
      <w:r w:rsidR="008202C1" w:rsidRPr="001F35C9">
        <w:rPr>
          <w:rFonts w:cs="GillSansMT"/>
          <w:color w:val="auto"/>
          <w:sz w:val="20"/>
          <w:szCs w:val="20"/>
          <w:lang w:val="es-ES_tradnl"/>
        </w:rPr>
        <w:t>de conformidad con la Ley 785</w:t>
      </w:r>
      <w:r w:rsidR="00A66E7C" w:rsidRPr="001F35C9">
        <w:rPr>
          <w:rFonts w:cs="GillSansMT"/>
          <w:color w:val="auto"/>
          <w:sz w:val="20"/>
          <w:szCs w:val="20"/>
          <w:lang w:val="es-ES_tradnl"/>
        </w:rPr>
        <w:t xml:space="preserve">, </w:t>
      </w:r>
      <w:r w:rsidR="008202C1" w:rsidRPr="001F35C9">
        <w:rPr>
          <w:rFonts w:cs="GillSansMT"/>
          <w:color w:val="auto"/>
          <w:sz w:val="20"/>
          <w:szCs w:val="20"/>
          <w:lang w:val="es-ES_tradnl"/>
        </w:rPr>
        <w:t xml:space="preserve">la Ley 793 y el Decreto 2159 </w:t>
      </w:r>
      <w:r w:rsidR="00F167A5" w:rsidRPr="001F35C9">
        <w:rPr>
          <w:rFonts w:cs="GillSansMT"/>
          <w:color w:val="auto"/>
          <w:sz w:val="20"/>
          <w:szCs w:val="20"/>
          <w:lang w:val="es-ES_tradnl"/>
        </w:rPr>
        <w:t>d</w:t>
      </w:r>
      <w:r w:rsidR="008202C1" w:rsidRPr="001F35C9">
        <w:rPr>
          <w:rFonts w:cs="GillSansMT"/>
          <w:color w:val="auto"/>
          <w:sz w:val="20"/>
          <w:szCs w:val="20"/>
          <w:lang w:val="es-ES_tradnl"/>
        </w:rPr>
        <w:t>e 1992</w:t>
      </w:r>
      <w:r w:rsidR="00F167A5" w:rsidRPr="001F35C9">
        <w:rPr>
          <w:rFonts w:cs="GillSansMT"/>
          <w:color w:val="auto"/>
          <w:sz w:val="20"/>
          <w:szCs w:val="20"/>
          <w:lang w:val="es-ES_tradnl"/>
        </w:rPr>
        <w:t xml:space="preserve">, </w:t>
      </w:r>
      <w:r w:rsidR="007F23B4" w:rsidRPr="001F35C9">
        <w:rPr>
          <w:rFonts w:cs="GillSansMT"/>
          <w:color w:val="auto"/>
          <w:sz w:val="20"/>
          <w:szCs w:val="20"/>
          <w:lang w:val="es-ES_tradnl"/>
        </w:rPr>
        <w:t xml:space="preserve">para adelantar </w:t>
      </w:r>
      <w:r w:rsidR="00F167A5" w:rsidRPr="001F35C9">
        <w:rPr>
          <w:rFonts w:cs="GillSansMT"/>
          <w:color w:val="auto"/>
          <w:sz w:val="20"/>
          <w:szCs w:val="20"/>
          <w:lang w:val="es-ES_tradnl"/>
        </w:rPr>
        <w:t xml:space="preserve">reparaciones </w:t>
      </w:r>
      <w:r w:rsidR="007F23B4" w:rsidRPr="001F35C9">
        <w:rPr>
          <w:rFonts w:cs="GillSansMT"/>
          <w:color w:val="auto"/>
          <w:sz w:val="20"/>
          <w:szCs w:val="20"/>
          <w:lang w:val="es-ES_tradnl"/>
        </w:rPr>
        <w:t xml:space="preserve">a </w:t>
      </w:r>
      <w:r w:rsidR="002B1163" w:rsidRPr="001F35C9">
        <w:rPr>
          <w:rFonts w:cs="GillSansMT"/>
          <w:color w:val="auto"/>
          <w:sz w:val="20"/>
          <w:szCs w:val="20"/>
          <w:lang w:val="es-ES_tradnl"/>
        </w:rPr>
        <w:t xml:space="preserve">las </w:t>
      </w:r>
      <w:r w:rsidR="007F23B4" w:rsidRPr="001F35C9">
        <w:rPr>
          <w:rFonts w:cs="GillSansMT"/>
          <w:color w:val="auto"/>
          <w:sz w:val="20"/>
          <w:szCs w:val="20"/>
          <w:lang w:val="es-ES_tradnl"/>
        </w:rPr>
        <w:t xml:space="preserve">presuntas víctimas del narcotráfico. </w:t>
      </w:r>
      <w:r w:rsidR="00BA7CA0" w:rsidRPr="001F35C9">
        <w:rPr>
          <w:rFonts w:cs="GillSansMT"/>
          <w:color w:val="auto"/>
          <w:sz w:val="20"/>
          <w:szCs w:val="20"/>
          <w:lang w:val="es-ES_tradnl"/>
        </w:rPr>
        <w:t>En la misma línea, e</w:t>
      </w:r>
      <w:r w:rsidR="00AB1484" w:rsidRPr="001F35C9">
        <w:rPr>
          <w:rFonts w:cs="GillSansMT"/>
          <w:color w:val="auto"/>
          <w:sz w:val="20"/>
          <w:szCs w:val="20"/>
          <w:lang w:val="es-ES_tradnl"/>
        </w:rPr>
        <w:t>l</w:t>
      </w:r>
      <w:r w:rsidR="007F23B4" w:rsidRPr="001F35C9">
        <w:rPr>
          <w:rFonts w:cs="GillSansMT"/>
          <w:color w:val="auto"/>
          <w:sz w:val="20"/>
          <w:szCs w:val="20"/>
          <w:lang w:val="es-ES_tradnl"/>
        </w:rPr>
        <w:t xml:space="preserve"> </w:t>
      </w:r>
      <w:r w:rsidR="007F23B4" w:rsidRPr="001F35C9">
        <w:rPr>
          <w:rFonts w:cs="GillSansMT,Bold"/>
          <w:color w:val="auto"/>
          <w:sz w:val="20"/>
          <w:szCs w:val="20"/>
          <w:lang w:val="es-ES_tradnl"/>
        </w:rPr>
        <w:t>2</w:t>
      </w:r>
      <w:r w:rsidR="0095224E" w:rsidRPr="001F35C9">
        <w:rPr>
          <w:rFonts w:cs="GillSansMT,Bold"/>
          <w:color w:val="auto"/>
          <w:sz w:val="20"/>
          <w:szCs w:val="20"/>
          <w:lang w:val="es-ES_tradnl"/>
        </w:rPr>
        <w:t>1</w:t>
      </w:r>
      <w:r w:rsidR="007F23B4" w:rsidRPr="001F35C9">
        <w:rPr>
          <w:rFonts w:cs="GillSansMT,Bold"/>
          <w:color w:val="auto"/>
          <w:sz w:val="20"/>
          <w:szCs w:val="20"/>
          <w:lang w:val="es-ES_tradnl"/>
        </w:rPr>
        <w:t xml:space="preserve"> de mayo de 2008</w:t>
      </w:r>
      <w:r w:rsidR="007F23B4" w:rsidRPr="001F35C9">
        <w:rPr>
          <w:rFonts w:cs="GillSansMT"/>
          <w:color w:val="auto"/>
          <w:sz w:val="20"/>
          <w:szCs w:val="20"/>
          <w:lang w:val="es-ES_tradnl"/>
        </w:rPr>
        <w:t xml:space="preserve"> </w:t>
      </w:r>
      <w:r w:rsidR="00E42B6A" w:rsidRPr="001F35C9">
        <w:rPr>
          <w:rFonts w:cs="GillSansMT"/>
          <w:color w:val="auto"/>
          <w:sz w:val="20"/>
          <w:szCs w:val="20"/>
          <w:lang w:val="es-ES_tradnl"/>
        </w:rPr>
        <w:t xml:space="preserve">la parte peticionaria </w:t>
      </w:r>
      <w:r w:rsidR="007F23B4" w:rsidRPr="001F35C9">
        <w:rPr>
          <w:rFonts w:cs="GillSansMT"/>
          <w:color w:val="auto"/>
          <w:sz w:val="20"/>
          <w:szCs w:val="20"/>
          <w:lang w:val="es-ES_tradnl"/>
        </w:rPr>
        <w:t xml:space="preserve">interpuso </w:t>
      </w:r>
      <w:r w:rsidR="00C24BCE" w:rsidRPr="001F35C9">
        <w:rPr>
          <w:rFonts w:cs="GillSansMT"/>
          <w:color w:val="auto"/>
          <w:sz w:val="20"/>
          <w:szCs w:val="20"/>
          <w:lang w:val="es-ES_tradnl"/>
        </w:rPr>
        <w:t xml:space="preserve">un </w:t>
      </w:r>
      <w:r w:rsidR="007F23B4" w:rsidRPr="001F35C9">
        <w:rPr>
          <w:rFonts w:cs="GillSansMT"/>
          <w:color w:val="auto"/>
          <w:sz w:val="20"/>
          <w:szCs w:val="20"/>
          <w:lang w:val="es-ES_tradnl"/>
        </w:rPr>
        <w:t>derecho de petición ante el Fondo Nacional de Indemnización (en adelante “</w:t>
      </w:r>
      <w:r w:rsidR="00AB1484" w:rsidRPr="001F35C9">
        <w:rPr>
          <w:rFonts w:cs="GillSansMT"/>
          <w:color w:val="auto"/>
          <w:sz w:val="20"/>
          <w:szCs w:val="20"/>
          <w:lang w:val="es-ES_tradnl"/>
        </w:rPr>
        <w:t xml:space="preserve">el </w:t>
      </w:r>
      <w:r w:rsidR="007F23B4" w:rsidRPr="001F35C9">
        <w:rPr>
          <w:rFonts w:cs="GillSansMT"/>
          <w:color w:val="auto"/>
          <w:sz w:val="20"/>
          <w:szCs w:val="20"/>
          <w:lang w:val="es-ES_tradnl"/>
        </w:rPr>
        <w:t xml:space="preserve">FNI”), </w:t>
      </w:r>
      <w:r w:rsidR="007F23B4" w:rsidRPr="001F35C9">
        <w:rPr>
          <w:color w:val="auto"/>
          <w:sz w:val="20"/>
          <w:szCs w:val="20"/>
          <w:lang w:val="es-ES_tradnl"/>
        </w:rPr>
        <w:t>so</w:t>
      </w:r>
      <w:r w:rsidR="00932DEB" w:rsidRPr="001F35C9">
        <w:rPr>
          <w:color w:val="auto"/>
          <w:sz w:val="20"/>
          <w:szCs w:val="20"/>
          <w:lang w:val="es-ES_tradnl"/>
        </w:rPr>
        <w:t xml:space="preserve">licitando </w:t>
      </w:r>
      <w:r w:rsidR="00ED4B60" w:rsidRPr="001F35C9">
        <w:rPr>
          <w:color w:val="auto"/>
          <w:sz w:val="20"/>
          <w:szCs w:val="20"/>
          <w:lang w:val="es-ES_tradnl"/>
        </w:rPr>
        <w:t>la indemnización integral</w:t>
      </w:r>
      <w:r w:rsidR="00932DEB" w:rsidRPr="001F35C9">
        <w:rPr>
          <w:color w:val="auto"/>
          <w:sz w:val="20"/>
          <w:szCs w:val="20"/>
          <w:lang w:val="es-ES_tradnl"/>
        </w:rPr>
        <w:t>,</w:t>
      </w:r>
      <w:r w:rsidR="00ED4B60" w:rsidRPr="001F35C9">
        <w:rPr>
          <w:color w:val="auto"/>
          <w:sz w:val="20"/>
          <w:szCs w:val="20"/>
          <w:lang w:val="es-ES_tradnl"/>
        </w:rPr>
        <w:t xml:space="preserve"> </w:t>
      </w:r>
      <w:r w:rsidR="00932DEB" w:rsidRPr="001F35C9">
        <w:rPr>
          <w:color w:val="auto"/>
          <w:sz w:val="20"/>
          <w:szCs w:val="20"/>
          <w:lang w:val="es-ES_tradnl"/>
        </w:rPr>
        <w:t xml:space="preserve">así como </w:t>
      </w:r>
      <w:r w:rsidR="00AB1484" w:rsidRPr="001F35C9">
        <w:rPr>
          <w:color w:val="auto"/>
          <w:sz w:val="20"/>
          <w:szCs w:val="20"/>
          <w:lang w:val="es-ES_tradnl"/>
        </w:rPr>
        <w:t>información sobre</w:t>
      </w:r>
      <w:r w:rsidR="00ED4B60" w:rsidRPr="001F35C9">
        <w:rPr>
          <w:color w:val="auto"/>
          <w:sz w:val="20"/>
          <w:szCs w:val="20"/>
          <w:lang w:val="es-ES_tradnl"/>
        </w:rPr>
        <w:t xml:space="preserve"> </w:t>
      </w:r>
      <w:r w:rsidR="007F23B4" w:rsidRPr="001F35C9">
        <w:rPr>
          <w:color w:val="auto"/>
          <w:sz w:val="20"/>
          <w:szCs w:val="20"/>
          <w:lang w:val="es-ES_tradnl"/>
        </w:rPr>
        <w:t>los bienes que administra</w:t>
      </w:r>
      <w:r w:rsidR="00AB1484" w:rsidRPr="001F35C9">
        <w:rPr>
          <w:color w:val="auto"/>
          <w:sz w:val="20"/>
          <w:szCs w:val="20"/>
          <w:lang w:val="es-ES_tradnl"/>
        </w:rPr>
        <w:t>ba</w:t>
      </w:r>
      <w:r w:rsidR="007F23B4" w:rsidRPr="001F35C9">
        <w:rPr>
          <w:color w:val="auto"/>
          <w:sz w:val="20"/>
          <w:szCs w:val="20"/>
          <w:lang w:val="es-ES_tradnl"/>
        </w:rPr>
        <w:t xml:space="preserve"> la DNE</w:t>
      </w:r>
      <w:r w:rsidR="00932DEB" w:rsidRPr="001F35C9">
        <w:rPr>
          <w:color w:val="auto"/>
          <w:sz w:val="20"/>
          <w:szCs w:val="20"/>
          <w:lang w:val="es-ES_tradnl"/>
        </w:rPr>
        <w:t>,</w:t>
      </w:r>
      <w:r w:rsidR="007F23B4" w:rsidRPr="001F35C9">
        <w:rPr>
          <w:color w:val="auto"/>
          <w:sz w:val="20"/>
          <w:szCs w:val="20"/>
          <w:lang w:val="es-ES_tradnl"/>
        </w:rPr>
        <w:t xml:space="preserve"> </w:t>
      </w:r>
      <w:r w:rsidR="00932DEB" w:rsidRPr="001F35C9">
        <w:rPr>
          <w:color w:val="auto"/>
          <w:sz w:val="20"/>
          <w:szCs w:val="20"/>
          <w:lang w:val="es-ES_tradnl"/>
        </w:rPr>
        <w:t xml:space="preserve">sin embargo, </w:t>
      </w:r>
      <w:r w:rsidR="00AB1484" w:rsidRPr="001F35C9">
        <w:rPr>
          <w:color w:val="auto"/>
          <w:sz w:val="20"/>
          <w:szCs w:val="20"/>
          <w:lang w:val="es-ES_tradnl"/>
        </w:rPr>
        <w:t xml:space="preserve">la petición </w:t>
      </w:r>
      <w:r w:rsidR="007F23B4" w:rsidRPr="001F35C9">
        <w:rPr>
          <w:color w:val="auto"/>
          <w:sz w:val="20"/>
          <w:szCs w:val="20"/>
          <w:lang w:val="es-ES_tradnl"/>
        </w:rPr>
        <w:t>fue remitid</w:t>
      </w:r>
      <w:r w:rsidR="00AB1484" w:rsidRPr="001F35C9">
        <w:rPr>
          <w:color w:val="auto"/>
          <w:sz w:val="20"/>
          <w:szCs w:val="20"/>
          <w:lang w:val="es-ES_tradnl"/>
        </w:rPr>
        <w:t>a</w:t>
      </w:r>
      <w:r w:rsidR="007F23B4" w:rsidRPr="001F35C9">
        <w:rPr>
          <w:color w:val="auto"/>
          <w:sz w:val="20"/>
          <w:szCs w:val="20"/>
          <w:lang w:val="es-ES_tradnl"/>
        </w:rPr>
        <w:t xml:space="preserve"> a la DNE</w:t>
      </w:r>
      <w:r w:rsidR="00932DEB" w:rsidRPr="001F35C9">
        <w:rPr>
          <w:color w:val="auto"/>
          <w:sz w:val="20"/>
          <w:szCs w:val="20"/>
          <w:lang w:val="es-ES_tradnl"/>
        </w:rPr>
        <w:t xml:space="preserve"> quien respondió en el mismo sentido</w:t>
      </w:r>
      <w:r w:rsidR="002B1163" w:rsidRPr="001F35C9">
        <w:rPr>
          <w:color w:val="auto"/>
          <w:sz w:val="20"/>
          <w:szCs w:val="20"/>
          <w:lang w:val="es-ES_tradnl"/>
        </w:rPr>
        <w:t xml:space="preserve"> que el oficio del 15 de mayo de 2008</w:t>
      </w:r>
      <w:r w:rsidR="00932DEB" w:rsidRPr="001F35C9">
        <w:rPr>
          <w:color w:val="auto"/>
          <w:sz w:val="20"/>
          <w:szCs w:val="20"/>
          <w:lang w:val="es-ES_tradnl"/>
        </w:rPr>
        <w:t xml:space="preserve">. </w:t>
      </w:r>
      <w:r w:rsidR="00AE5690" w:rsidRPr="001F35C9">
        <w:rPr>
          <w:rFonts w:cs="GillSansMT"/>
          <w:color w:val="auto"/>
          <w:sz w:val="20"/>
          <w:szCs w:val="20"/>
          <w:lang w:val="es-ES_tradnl"/>
        </w:rPr>
        <w:t xml:space="preserve">El </w:t>
      </w:r>
      <w:r w:rsidR="007F23B4" w:rsidRPr="001F35C9">
        <w:rPr>
          <w:rFonts w:cs="GillSansMT"/>
          <w:color w:val="auto"/>
          <w:sz w:val="20"/>
          <w:szCs w:val="20"/>
          <w:lang w:val="es-ES_tradnl"/>
        </w:rPr>
        <w:t xml:space="preserve">29 de mayo </w:t>
      </w:r>
      <w:r w:rsidR="00254C2C" w:rsidRPr="001F35C9">
        <w:rPr>
          <w:rFonts w:cs="GillSansMT"/>
          <w:color w:val="auto"/>
          <w:sz w:val="20"/>
          <w:szCs w:val="20"/>
          <w:lang w:val="es-ES_tradnl"/>
        </w:rPr>
        <w:t xml:space="preserve">del mismo año </w:t>
      </w:r>
      <w:r w:rsidR="003D35E7" w:rsidRPr="001F35C9">
        <w:rPr>
          <w:rFonts w:cs="GillSansMT"/>
          <w:color w:val="auto"/>
          <w:sz w:val="20"/>
          <w:szCs w:val="20"/>
          <w:lang w:val="es-ES_tradnl"/>
        </w:rPr>
        <w:t>puso en conocimiento de</w:t>
      </w:r>
      <w:r w:rsidR="007F23B4" w:rsidRPr="001F35C9">
        <w:rPr>
          <w:rFonts w:cs="GillSansMT"/>
          <w:color w:val="auto"/>
          <w:sz w:val="20"/>
          <w:szCs w:val="20"/>
          <w:lang w:val="es-ES_tradnl"/>
        </w:rPr>
        <w:t xml:space="preserve"> la Presidencia de la República</w:t>
      </w:r>
      <w:r w:rsidR="003D35E7" w:rsidRPr="001F35C9">
        <w:rPr>
          <w:rFonts w:cs="GillSansMT"/>
          <w:color w:val="auto"/>
          <w:sz w:val="20"/>
          <w:szCs w:val="20"/>
          <w:lang w:val="es-ES_tradnl"/>
        </w:rPr>
        <w:t xml:space="preserve"> el derecho de petición presentado ante el FNI, </w:t>
      </w:r>
      <w:r w:rsidR="007455D4" w:rsidRPr="001F35C9">
        <w:rPr>
          <w:rFonts w:cs="GillSansMT"/>
          <w:color w:val="auto"/>
          <w:sz w:val="20"/>
          <w:szCs w:val="20"/>
          <w:lang w:val="es-ES_tradnl"/>
        </w:rPr>
        <w:t xml:space="preserve">y solicitó su apoyo </w:t>
      </w:r>
      <w:r w:rsidR="00254C2C" w:rsidRPr="001F35C9">
        <w:rPr>
          <w:rFonts w:cs="GillSansMT"/>
          <w:color w:val="auto"/>
          <w:sz w:val="20"/>
          <w:szCs w:val="20"/>
          <w:lang w:val="es-ES_tradnl"/>
        </w:rPr>
        <w:t xml:space="preserve">en </w:t>
      </w:r>
      <w:r w:rsidR="007455D4" w:rsidRPr="001F35C9">
        <w:rPr>
          <w:rFonts w:cs="GillSansMT"/>
          <w:color w:val="auto"/>
          <w:sz w:val="20"/>
          <w:szCs w:val="20"/>
          <w:lang w:val="es-ES_tradnl"/>
        </w:rPr>
        <w:t>obtener la indemnización integral</w:t>
      </w:r>
      <w:r w:rsidR="00254C2C" w:rsidRPr="001F35C9">
        <w:rPr>
          <w:rFonts w:cs="GillSansMT"/>
          <w:color w:val="auto"/>
          <w:sz w:val="20"/>
          <w:szCs w:val="20"/>
          <w:lang w:val="es-ES_tradnl"/>
        </w:rPr>
        <w:t xml:space="preserve"> en beneficio de los familiares de l</w:t>
      </w:r>
      <w:r w:rsidR="00C41E9E" w:rsidRPr="001F35C9">
        <w:rPr>
          <w:rFonts w:cs="GillSansMT"/>
          <w:color w:val="auto"/>
          <w:sz w:val="20"/>
          <w:szCs w:val="20"/>
          <w:lang w:val="es-ES_tradnl"/>
        </w:rPr>
        <w:t>o</w:t>
      </w:r>
      <w:r w:rsidR="00254C2C" w:rsidRPr="001F35C9">
        <w:rPr>
          <w:rFonts w:cs="GillSansMT"/>
          <w:color w:val="auto"/>
          <w:sz w:val="20"/>
          <w:szCs w:val="20"/>
          <w:lang w:val="es-ES_tradnl"/>
        </w:rPr>
        <w:t xml:space="preserve">s </w:t>
      </w:r>
      <w:r w:rsidR="00C41E9E" w:rsidRPr="001F35C9">
        <w:rPr>
          <w:rFonts w:cs="GillSansMT"/>
          <w:color w:val="auto"/>
          <w:sz w:val="20"/>
          <w:szCs w:val="20"/>
          <w:lang w:val="es-ES_tradnl"/>
        </w:rPr>
        <w:t xml:space="preserve">agentes fallecidos. </w:t>
      </w:r>
      <w:r w:rsidR="00AE5690" w:rsidRPr="001F35C9">
        <w:rPr>
          <w:rFonts w:cs="GillSansMT"/>
          <w:color w:val="auto"/>
          <w:sz w:val="20"/>
          <w:szCs w:val="20"/>
          <w:lang w:val="es-ES_tradnl"/>
        </w:rPr>
        <w:t>Explica que l</w:t>
      </w:r>
      <w:r w:rsidR="00AB1484" w:rsidRPr="001F35C9">
        <w:rPr>
          <w:rFonts w:cs="GillSansMT"/>
          <w:color w:val="auto"/>
          <w:sz w:val="20"/>
          <w:szCs w:val="20"/>
          <w:lang w:val="es-ES_tradnl"/>
        </w:rPr>
        <w:t>a solicitud fue</w:t>
      </w:r>
      <w:r w:rsidR="007F23B4" w:rsidRPr="001F35C9">
        <w:rPr>
          <w:rFonts w:cs="GillSansMT"/>
          <w:color w:val="auto"/>
          <w:sz w:val="20"/>
          <w:szCs w:val="20"/>
          <w:lang w:val="es-ES_tradnl"/>
        </w:rPr>
        <w:t xml:space="preserve"> </w:t>
      </w:r>
      <w:r w:rsidR="007F23B4" w:rsidRPr="001F35C9">
        <w:rPr>
          <w:rFonts w:cs="GillSansMT"/>
          <w:color w:val="auto"/>
          <w:sz w:val="20"/>
          <w:szCs w:val="20"/>
          <w:lang w:val="es-ES_tradnl"/>
        </w:rPr>
        <w:lastRenderedPageBreak/>
        <w:t>traslad</w:t>
      </w:r>
      <w:r w:rsidR="00AB1484" w:rsidRPr="001F35C9">
        <w:rPr>
          <w:rFonts w:cs="GillSansMT"/>
          <w:color w:val="auto"/>
          <w:sz w:val="20"/>
          <w:szCs w:val="20"/>
          <w:lang w:val="es-ES_tradnl"/>
        </w:rPr>
        <w:t>ada</w:t>
      </w:r>
      <w:r w:rsidR="007F23B4" w:rsidRPr="001F35C9">
        <w:rPr>
          <w:rFonts w:cs="GillSansMT"/>
          <w:color w:val="auto"/>
          <w:sz w:val="20"/>
          <w:szCs w:val="20"/>
          <w:lang w:val="es-ES_tradnl"/>
        </w:rPr>
        <w:t xml:space="preserve"> a</w:t>
      </w:r>
      <w:r w:rsidR="00932755" w:rsidRPr="001F35C9">
        <w:rPr>
          <w:rFonts w:cs="GillSansMT"/>
          <w:color w:val="auto"/>
          <w:sz w:val="20"/>
          <w:szCs w:val="20"/>
          <w:lang w:val="es-ES_tradnl"/>
        </w:rPr>
        <w:t xml:space="preserve"> distintas oficinas, hasta </w:t>
      </w:r>
      <w:r w:rsidRPr="001F35C9">
        <w:rPr>
          <w:rFonts w:cs="GillSansMT"/>
          <w:color w:val="auto"/>
          <w:sz w:val="20"/>
          <w:szCs w:val="20"/>
          <w:lang w:val="es-ES_tradnl"/>
        </w:rPr>
        <w:t>llegar a</w:t>
      </w:r>
      <w:r w:rsidR="00932755" w:rsidRPr="001F35C9">
        <w:rPr>
          <w:rFonts w:cs="GillSansMT"/>
          <w:color w:val="auto"/>
          <w:sz w:val="20"/>
          <w:szCs w:val="20"/>
          <w:lang w:val="es-ES_tradnl"/>
        </w:rPr>
        <w:t xml:space="preserve"> la dependencia de Justicia y Paz </w:t>
      </w:r>
      <w:r w:rsidR="00C24BCE" w:rsidRPr="001F35C9">
        <w:rPr>
          <w:rFonts w:cs="GillSansMT"/>
          <w:color w:val="auto"/>
          <w:sz w:val="20"/>
          <w:szCs w:val="20"/>
          <w:lang w:val="es-ES_tradnl"/>
        </w:rPr>
        <w:t>que</w:t>
      </w:r>
      <w:r w:rsidRPr="001F35C9">
        <w:rPr>
          <w:rFonts w:cs="GillSansMT"/>
          <w:color w:val="auto"/>
          <w:sz w:val="20"/>
          <w:szCs w:val="20"/>
          <w:lang w:val="es-ES_tradnl"/>
        </w:rPr>
        <w:t xml:space="preserve"> el </w:t>
      </w:r>
      <w:r w:rsidR="007F23B4" w:rsidRPr="001F35C9">
        <w:rPr>
          <w:rFonts w:cs="GillSansMT"/>
          <w:color w:val="auto"/>
          <w:sz w:val="20"/>
          <w:szCs w:val="20"/>
          <w:lang w:val="es-ES_tradnl"/>
        </w:rPr>
        <w:t xml:space="preserve">13 de agosto de 2008 </w:t>
      </w:r>
      <w:r w:rsidR="00CC1E7F" w:rsidRPr="001F35C9">
        <w:rPr>
          <w:rFonts w:cs="GillSansMT"/>
          <w:color w:val="auto"/>
          <w:sz w:val="20"/>
          <w:szCs w:val="20"/>
          <w:lang w:val="es-ES_tradnl"/>
        </w:rPr>
        <w:t xml:space="preserve">respondió </w:t>
      </w:r>
      <w:r w:rsidR="007F23B4" w:rsidRPr="001F35C9">
        <w:rPr>
          <w:rFonts w:cs="GillSansMT"/>
          <w:color w:val="auto"/>
          <w:sz w:val="20"/>
          <w:szCs w:val="20"/>
          <w:lang w:val="es-ES_tradnl"/>
        </w:rPr>
        <w:t xml:space="preserve">que la Ley 975 de 2005 y </w:t>
      </w:r>
      <w:r w:rsidR="007F23B4" w:rsidRPr="001F35C9">
        <w:rPr>
          <w:color w:val="auto"/>
          <w:sz w:val="20"/>
          <w:szCs w:val="20"/>
          <w:lang w:val="es-ES_tradnl"/>
        </w:rPr>
        <w:t>el contenido normativo de los procesos de paz</w:t>
      </w:r>
      <w:r w:rsidR="007F23B4" w:rsidRPr="001F35C9">
        <w:rPr>
          <w:rFonts w:cs="GillSansMT"/>
          <w:i/>
          <w:iCs/>
          <w:color w:val="auto"/>
          <w:sz w:val="20"/>
          <w:szCs w:val="20"/>
          <w:lang w:val="es-ES_tradnl"/>
        </w:rPr>
        <w:t>,</w:t>
      </w:r>
      <w:r w:rsidR="007F23B4" w:rsidRPr="001F35C9">
        <w:rPr>
          <w:rFonts w:cs="GillSansMT"/>
          <w:color w:val="auto"/>
          <w:sz w:val="20"/>
          <w:szCs w:val="20"/>
          <w:lang w:val="es-ES_tradnl"/>
        </w:rPr>
        <w:t xml:space="preserve"> no </w:t>
      </w:r>
      <w:r w:rsidR="00932755" w:rsidRPr="001F35C9">
        <w:rPr>
          <w:rFonts w:cs="GillSansMT"/>
          <w:color w:val="auto"/>
          <w:sz w:val="20"/>
          <w:szCs w:val="20"/>
          <w:lang w:val="es-ES_tradnl"/>
        </w:rPr>
        <w:t xml:space="preserve">incluían </w:t>
      </w:r>
      <w:r w:rsidR="007F23B4" w:rsidRPr="001F35C9">
        <w:rPr>
          <w:color w:val="auto"/>
          <w:sz w:val="20"/>
          <w:szCs w:val="20"/>
          <w:lang w:val="es-ES_tradnl"/>
        </w:rPr>
        <w:t>reparación integral para las víctimas del narcotráfico</w:t>
      </w:r>
      <w:r w:rsidR="00AB1484" w:rsidRPr="001F35C9">
        <w:rPr>
          <w:color w:val="auto"/>
          <w:sz w:val="20"/>
          <w:szCs w:val="20"/>
          <w:lang w:val="es-ES_tradnl"/>
        </w:rPr>
        <w:t>,</w:t>
      </w:r>
      <w:r w:rsidR="007F23B4" w:rsidRPr="001F35C9">
        <w:rPr>
          <w:rFonts w:cs="GillSansMT"/>
          <w:color w:val="auto"/>
          <w:sz w:val="20"/>
          <w:szCs w:val="20"/>
          <w:lang w:val="es-ES_tradnl"/>
        </w:rPr>
        <w:t xml:space="preserve"> </w:t>
      </w:r>
      <w:r w:rsidR="007F23B4" w:rsidRPr="001F35C9">
        <w:rPr>
          <w:color w:val="auto"/>
          <w:sz w:val="20"/>
          <w:szCs w:val="20"/>
          <w:lang w:val="es-ES_tradnl"/>
        </w:rPr>
        <w:t xml:space="preserve">sino de grupos organizados al margen de la ley. </w:t>
      </w:r>
    </w:p>
    <w:p w14:paraId="09B3FDCC"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eastAsia="NotDefSpecial" w:cs="NotDefSpecial"/>
          <w:color w:val="auto"/>
          <w:sz w:val="20"/>
          <w:szCs w:val="20"/>
          <w:lang w:val="es-ES_tradnl"/>
        </w:rPr>
      </w:pPr>
    </w:p>
    <w:p w14:paraId="414E3BE5" w14:textId="3CB9D92B" w:rsidR="00680707" w:rsidRPr="001F35C9" w:rsidRDefault="004E4EC4" w:rsidP="00E5299A">
      <w:pPr>
        <w:pStyle w:val="ListParagraph"/>
        <w:numPr>
          <w:ilvl w:val="0"/>
          <w:numId w:val="5"/>
        </w:numPr>
        <w:autoSpaceDE w:val="0"/>
        <w:autoSpaceDN w:val="0"/>
        <w:adjustRightInd w:val="0"/>
        <w:ind w:left="0" w:firstLine="720"/>
        <w:jc w:val="both"/>
        <w:rPr>
          <w:rFonts w:eastAsia="NotDefSpecial" w:cs="NotDefSpecial"/>
          <w:color w:val="auto"/>
          <w:sz w:val="20"/>
          <w:szCs w:val="20"/>
          <w:lang w:val="es-ES_tradnl"/>
        </w:rPr>
      </w:pPr>
      <w:r w:rsidRPr="001F35C9">
        <w:rPr>
          <w:rFonts w:eastAsia="NotDefSpecial" w:cs="NotDefSpecial"/>
          <w:color w:val="auto"/>
          <w:sz w:val="20"/>
          <w:szCs w:val="20"/>
          <w:lang w:val="es-ES_tradnl"/>
        </w:rPr>
        <w:t>L</w:t>
      </w:r>
      <w:r w:rsidR="00C24BCE" w:rsidRPr="001F35C9">
        <w:rPr>
          <w:rFonts w:eastAsia="NotDefSpecial" w:cs="NotDefSpecial"/>
          <w:color w:val="auto"/>
          <w:sz w:val="20"/>
          <w:szCs w:val="20"/>
          <w:lang w:val="es-ES_tradnl"/>
        </w:rPr>
        <w:t xml:space="preserve">a parte peticionaria </w:t>
      </w:r>
      <w:r w:rsidR="00F167A5" w:rsidRPr="001F35C9">
        <w:rPr>
          <w:rFonts w:eastAsia="NotDefSpecial" w:cs="NotDefSpecial"/>
          <w:color w:val="auto"/>
          <w:sz w:val="20"/>
          <w:szCs w:val="20"/>
          <w:lang w:val="es-ES_tradnl"/>
        </w:rPr>
        <w:t xml:space="preserve">interpuso </w:t>
      </w:r>
      <w:r w:rsidR="003F51F8" w:rsidRPr="001F35C9">
        <w:rPr>
          <w:rFonts w:eastAsia="NotDefSpecial" w:cs="NotDefSpecial"/>
          <w:color w:val="auto"/>
          <w:sz w:val="20"/>
          <w:szCs w:val="20"/>
          <w:lang w:val="es-ES_tradnl"/>
        </w:rPr>
        <w:t xml:space="preserve">nuevamente un </w:t>
      </w:r>
      <w:r w:rsidR="00680707" w:rsidRPr="001F35C9">
        <w:rPr>
          <w:rFonts w:eastAsia="NotDefSpecial" w:cs="NotDefSpecial"/>
          <w:color w:val="auto"/>
          <w:sz w:val="20"/>
          <w:szCs w:val="20"/>
          <w:lang w:val="es-ES_tradnl"/>
        </w:rPr>
        <w:t>derecho de petici</w:t>
      </w:r>
      <w:r w:rsidR="00F167A5" w:rsidRPr="001F35C9">
        <w:rPr>
          <w:rFonts w:eastAsia="NotDefSpecial" w:cs="NotDefSpecial"/>
          <w:color w:val="auto"/>
          <w:sz w:val="20"/>
          <w:szCs w:val="20"/>
          <w:lang w:val="es-ES_tradnl"/>
        </w:rPr>
        <w:t>ó</w:t>
      </w:r>
      <w:r w:rsidR="00680707" w:rsidRPr="001F35C9">
        <w:rPr>
          <w:rFonts w:eastAsia="NotDefSpecial" w:cs="NotDefSpecial"/>
          <w:color w:val="auto"/>
          <w:sz w:val="20"/>
          <w:szCs w:val="20"/>
          <w:lang w:val="es-ES_tradnl"/>
        </w:rPr>
        <w:t xml:space="preserve">n </w:t>
      </w:r>
      <w:r w:rsidR="00932755" w:rsidRPr="001F35C9">
        <w:rPr>
          <w:rFonts w:eastAsia="NotDefSpecial" w:cs="NotDefSpecial"/>
          <w:color w:val="auto"/>
          <w:sz w:val="20"/>
          <w:szCs w:val="20"/>
          <w:lang w:val="es-ES_tradnl"/>
        </w:rPr>
        <w:t xml:space="preserve">ante la </w:t>
      </w:r>
      <w:r w:rsidR="00C24BCE" w:rsidRPr="001F35C9">
        <w:rPr>
          <w:rFonts w:eastAsia="NotDefSpecial" w:cs="NotDefSpecial"/>
          <w:color w:val="auto"/>
          <w:sz w:val="20"/>
          <w:szCs w:val="20"/>
          <w:lang w:val="es-ES_tradnl"/>
        </w:rPr>
        <w:t>P</w:t>
      </w:r>
      <w:r w:rsidR="00932755" w:rsidRPr="001F35C9">
        <w:rPr>
          <w:rFonts w:eastAsia="NotDefSpecial" w:cs="NotDefSpecial"/>
          <w:color w:val="auto"/>
          <w:sz w:val="20"/>
          <w:szCs w:val="20"/>
          <w:lang w:val="es-ES_tradnl"/>
        </w:rPr>
        <w:t xml:space="preserve">residencia de la República </w:t>
      </w:r>
      <w:r w:rsidR="00680707" w:rsidRPr="001F35C9">
        <w:rPr>
          <w:rFonts w:eastAsia="NotDefSpecial" w:cs="NotDefSpecial"/>
          <w:color w:val="auto"/>
          <w:sz w:val="20"/>
          <w:szCs w:val="20"/>
          <w:lang w:val="es-ES_tradnl"/>
        </w:rPr>
        <w:t xml:space="preserve">solicitando </w:t>
      </w:r>
      <w:r w:rsidRPr="001F35C9">
        <w:rPr>
          <w:rFonts w:eastAsia="NotDefSpecial" w:cs="NotDefSpecial"/>
          <w:color w:val="auto"/>
          <w:sz w:val="20"/>
          <w:szCs w:val="20"/>
          <w:lang w:val="es-ES_tradnl"/>
        </w:rPr>
        <w:t>que se le indicara</w:t>
      </w:r>
      <w:r w:rsidR="00A864FE" w:rsidRPr="001F35C9">
        <w:rPr>
          <w:rFonts w:eastAsia="NotDefSpecial" w:cs="NotDefSpecial"/>
          <w:color w:val="auto"/>
          <w:sz w:val="20"/>
          <w:szCs w:val="20"/>
          <w:lang w:val="es-ES_tradnl"/>
        </w:rPr>
        <w:t xml:space="preserve"> </w:t>
      </w:r>
      <w:r w:rsidRPr="001F35C9">
        <w:rPr>
          <w:rFonts w:eastAsia="NotDefSpecial" w:cs="NotDefSpecial"/>
          <w:color w:val="auto"/>
          <w:sz w:val="20"/>
          <w:szCs w:val="20"/>
          <w:lang w:val="es-ES_tradnl"/>
        </w:rPr>
        <w:t>la autoridad</w:t>
      </w:r>
      <w:r w:rsidR="00680707" w:rsidRPr="001F35C9">
        <w:rPr>
          <w:rFonts w:eastAsia="NotDefSpecial" w:cs="NotDefSpecial"/>
          <w:color w:val="auto"/>
          <w:sz w:val="20"/>
          <w:szCs w:val="20"/>
          <w:lang w:val="es-ES_tradnl"/>
        </w:rPr>
        <w:t xml:space="preserve"> competente</w:t>
      </w:r>
      <w:r w:rsidR="00A864FE" w:rsidRPr="001F35C9">
        <w:rPr>
          <w:rFonts w:eastAsia="NotDefSpecial" w:cs="NotDefSpecial"/>
          <w:color w:val="auto"/>
          <w:sz w:val="20"/>
          <w:szCs w:val="20"/>
          <w:lang w:val="es-ES_tradnl"/>
        </w:rPr>
        <w:t xml:space="preserve"> para otorgar la indemnización integral a sus representados. Recalca entonces que</w:t>
      </w:r>
      <w:r w:rsidR="00433C82" w:rsidRPr="001F35C9">
        <w:rPr>
          <w:rFonts w:eastAsia="NotDefSpecial" w:cs="NotDefSpecial"/>
          <w:color w:val="auto"/>
          <w:sz w:val="20"/>
          <w:szCs w:val="20"/>
          <w:lang w:val="es-ES_tradnl"/>
        </w:rPr>
        <w:t>,</w:t>
      </w:r>
      <w:r w:rsidR="00A864FE" w:rsidRPr="001F35C9">
        <w:rPr>
          <w:rFonts w:eastAsia="NotDefSpecial" w:cs="NotDefSpecial"/>
          <w:color w:val="auto"/>
          <w:sz w:val="20"/>
          <w:szCs w:val="20"/>
          <w:lang w:val="es-ES_tradnl"/>
        </w:rPr>
        <w:t xml:space="preserve"> en dicha oportunidad, su petición fue remitida a la Secretaria General del Ministerio del Interior y de Justicia para su consideración y fines pertinentes. </w:t>
      </w:r>
      <w:r w:rsidR="003F51F8" w:rsidRPr="001F35C9">
        <w:rPr>
          <w:rFonts w:eastAsia="NotDefSpecial" w:cs="NotDefSpecial"/>
          <w:color w:val="auto"/>
          <w:sz w:val="20"/>
          <w:szCs w:val="20"/>
          <w:lang w:val="es-ES_tradnl"/>
        </w:rPr>
        <w:t xml:space="preserve">En tal sentido, </w:t>
      </w:r>
      <w:r w:rsidR="003F49AF" w:rsidRPr="001F35C9">
        <w:rPr>
          <w:rFonts w:eastAsia="NotDefSpecial" w:cs="NotDefSpecial"/>
          <w:color w:val="auto"/>
          <w:sz w:val="20"/>
          <w:szCs w:val="20"/>
          <w:lang w:val="es-ES_tradnl"/>
        </w:rPr>
        <w:t>interpuso</w:t>
      </w:r>
      <w:r w:rsidR="0088387B" w:rsidRPr="001F35C9">
        <w:rPr>
          <w:rFonts w:eastAsia="NotDefSpecial" w:cs="NotDefSpecial"/>
          <w:color w:val="auto"/>
          <w:sz w:val="20"/>
          <w:szCs w:val="20"/>
          <w:lang w:val="es-ES_tradnl"/>
        </w:rPr>
        <w:t xml:space="preserve"> </w:t>
      </w:r>
      <w:r w:rsidR="003F51F8" w:rsidRPr="001F35C9">
        <w:rPr>
          <w:rFonts w:eastAsia="NotDefSpecial" w:cs="NotDefSpecial"/>
          <w:color w:val="auto"/>
          <w:sz w:val="20"/>
          <w:szCs w:val="20"/>
          <w:lang w:val="es-ES_tradnl"/>
        </w:rPr>
        <w:t>una vez más</w:t>
      </w:r>
      <w:r w:rsidR="003F49AF" w:rsidRPr="001F35C9">
        <w:rPr>
          <w:rFonts w:eastAsia="NotDefSpecial" w:cs="NotDefSpecial"/>
          <w:color w:val="auto"/>
          <w:sz w:val="20"/>
          <w:szCs w:val="20"/>
          <w:lang w:val="es-ES_tradnl"/>
        </w:rPr>
        <w:t xml:space="preserve"> un</w:t>
      </w:r>
      <w:r w:rsidR="003F51F8" w:rsidRPr="001F35C9">
        <w:rPr>
          <w:rFonts w:eastAsia="NotDefSpecial" w:cs="NotDefSpecial"/>
          <w:color w:val="auto"/>
          <w:sz w:val="20"/>
          <w:szCs w:val="20"/>
          <w:lang w:val="es-ES_tradnl"/>
        </w:rPr>
        <w:t xml:space="preserve"> </w:t>
      </w:r>
      <w:r w:rsidR="0088387B" w:rsidRPr="001F35C9">
        <w:rPr>
          <w:rFonts w:eastAsia="NotDefSpecial" w:cs="NotDefSpecial"/>
          <w:color w:val="auto"/>
          <w:sz w:val="20"/>
          <w:szCs w:val="20"/>
          <w:lang w:val="es-ES_tradnl"/>
        </w:rPr>
        <w:t xml:space="preserve">derecho de </w:t>
      </w:r>
      <w:r w:rsidR="00433C82" w:rsidRPr="001F35C9">
        <w:rPr>
          <w:rFonts w:eastAsia="NotDefSpecial" w:cs="NotDefSpecial"/>
          <w:color w:val="auto"/>
          <w:sz w:val="20"/>
          <w:szCs w:val="20"/>
          <w:lang w:val="es-ES_tradnl"/>
        </w:rPr>
        <w:t>petición</w:t>
      </w:r>
      <w:r w:rsidR="0088387B" w:rsidRPr="001F35C9">
        <w:rPr>
          <w:rFonts w:eastAsia="NotDefSpecial" w:cs="NotDefSpecial"/>
          <w:color w:val="auto"/>
          <w:sz w:val="20"/>
          <w:szCs w:val="20"/>
          <w:lang w:val="es-ES_tradnl"/>
        </w:rPr>
        <w:t xml:space="preserve"> </w:t>
      </w:r>
      <w:r w:rsidR="00433C82" w:rsidRPr="001F35C9">
        <w:rPr>
          <w:rFonts w:eastAsia="NotDefSpecial" w:cs="NotDefSpecial"/>
          <w:color w:val="auto"/>
          <w:sz w:val="20"/>
          <w:szCs w:val="20"/>
          <w:lang w:val="es-ES_tradnl"/>
        </w:rPr>
        <w:t xml:space="preserve">ante dicho Ministerio, quien, a través de la oficina de Acción Social </w:t>
      </w:r>
      <w:r w:rsidR="0088387B" w:rsidRPr="001F35C9">
        <w:rPr>
          <w:rFonts w:eastAsia="NotDefSpecial" w:cs="NotDefSpecial"/>
          <w:color w:val="auto"/>
          <w:sz w:val="20"/>
          <w:szCs w:val="20"/>
          <w:lang w:val="es-ES_tradnl"/>
        </w:rPr>
        <w:t>le comunic</w:t>
      </w:r>
      <w:r w:rsidR="003F51F8" w:rsidRPr="001F35C9">
        <w:rPr>
          <w:rFonts w:eastAsia="NotDefSpecial" w:cs="NotDefSpecial"/>
          <w:color w:val="auto"/>
          <w:sz w:val="20"/>
          <w:szCs w:val="20"/>
          <w:lang w:val="es-ES_tradnl"/>
        </w:rPr>
        <w:t xml:space="preserve">ó </w:t>
      </w:r>
      <w:r w:rsidR="0088387B" w:rsidRPr="001F35C9">
        <w:rPr>
          <w:rFonts w:eastAsia="NotDefSpecial" w:cs="NotDefSpecial"/>
          <w:color w:val="auto"/>
          <w:sz w:val="20"/>
          <w:szCs w:val="20"/>
          <w:lang w:val="es-ES_tradnl"/>
        </w:rPr>
        <w:t xml:space="preserve">que el contenido </w:t>
      </w:r>
      <w:r w:rsidR="003F51F8" w:rsidRPr="001F35C9">
        <w:rPr>
          <w:rFonts w:eastAsia="NotDefSpecial" w:cs="NotDefSpecial"/>
          <w:color w:val="auto"/>
          <w:sz w:val="20"/>
          <w:szCs w:val="20"/>
          <w:lang w:val="es-ES_tradnl"/>
        </w:rPr>
        <w:t xml:space="preserve">de las normas relativas al proceso de paz </w:t>
      </w:r>
      <w:r w:rsidR="00246DE9" w:rsidRPr="001F35C9">
        <w:rPr>
          <w:rFonts w:eastAsia="NotDefSpecial" w:cs="NotDefSpecial"/>
          <w:color w:val="auto"/>
          <w:sz w:val="20"/>
          <w:szCs w:val="20"/>
          <w:lang w:val="es-ES_tradnl"/>
        </w:rPr>
        <w:t>no inclu</w:t>
      </w:r>
      <w:r w:rsidR="00E42108" w:rsidRPr="001F35C9">
        <w:rPr>
          <w:rFonts w:eastAsia="NotDefSpecial" w:cs="NotDefSpecial"/>
          <w:color w:val="auto"/>
          <w:sz w:val="20"/>
          <w:szCs w:val="20"/>
          <w:lang w:val="es-ES_tradnl"/>
        </w:rPr>
        <w:t xml:space="preserve">ía </w:t>
      </w:r>
      <w:r w:rsidR="00246DE9" w:rsidRPr="001F35C9">
        <w:rPr>
          <w:rFonts w:eastAsia="NotDefSpecial" w:cs="NotDefSpecial"/>
          <w:color w:val="auto"/>
          <w:sz w:val="20"/>
          <w:szCs w:val="20"/>
          <w:lang w:val="es-ES_tradnl"/>
        </w:rPr>
        <w:t>te</w:t>
      </w:r>
      <w:r w:rsidR="003F51F8" w:rsidRPr="001F35C9">
        <w:rPr>
          <w:rFonts w:eastAsia="NotDefSpecial" w:cs="NotDefSpecial"/>
          <w:color w:val="auto"/>
          <w:sz w:val="20"/>
          <w:szCs w:val="20"/>
          <w:lang w:val="es-ES_tradnl"/>
        </w:rPr>
        <w:t>m</w:t>
      </w:r>
      <w:r w:rsidR="00246DE9" w:rsidRPr="001F35C9">
        <w:rPr>
          <w:rFonts w:eastAsia="NotDefSpecial" w:cs="NotDefSpecial"/>
          <w:color w:val="auto"/>
          <w:sz w:val="20"/>
          <w:szCs w:val="20"/>
          <w:lang w:val="es-ES_tradnl"/>
        </w:rPr>
        <w:t xml:space="preserve">as relacionados </w:t>
      </w:r>
      <w:r w:rsidR="003F51F8" w:rsidRPr="001F35C9">
        <w:rPr>
          <w:rFonts w:eastAsia="NotDefSpecial" w:cs="NotDefSpecial"/>
          <w:color w:val="auto"/>
          <w:sz w:val="20"/>
          <w:szCs w:val="20"/>
          <w:lang w:val="es-ES_tradnl"/>
        </w:rPr>
        <w:t>a la reparación</w:t>
      </w:r>
      <w:r w:rsidR="00246DE9" w:rsidRPr="001F35C9">
        <w:rPr>
          <w:rFonts w:eastAsia="NotDefSpecial" w:cs="NotDefSpecial"/>
          <w:color w:val="auto"/>
          <w:sz w:val="20"/>
          <w:szCs w:val="20"/>
          <w:lang w:val="es-ES_tradnl"/>
        </w:rPr>
        <w:t xml:space="preserve"> integral a las </w:t>
      </w:r>
      <w:r w:rsidR="003F51F8" w:rsidRPr="001F35C9">
        <w:rPr>
          <w:rFonts w:eastAsia="NotDefSpecial" w:cs="NotDefSpecial"/>
          <w:color w:val="auto"/>
          <w:sz w:val="20"/>
          <w:szCs w:val="20"/>
          <w:lang w:val="es-ES_tradnl"/>
        </w:rPr>
        <w:t>víctimas</w:t>
      </w:r>
      <w:r w:rsidR="00246DE9" w:rsidRPr="001F35C9">
        <w:rPr>
          <w:rFonts w:eastAsia="NotDefSpecial" w:cs="NotDefSpecial"/>
          <w:color w:val="auto"/>
          <w:sz w:val="20"/>
          <w:szCs w:val="20"/>
          <w:lang w:val="es-ES_tradnl"/>
        </w:rPr>
        <w:t xml:space="preserve"> del narcotráfico</w:t>
      </w:r>
      <w:r w:rsidR="003F51F8" w:rsidRPr="001F35C9">
        <w:rPr>
          <w:rFonts w:eastAsia="NotDefSpecial" w:cs="NotDefSpecial"/>
          <w:color w:val="auto"/>
          <w:sz w:val="20"/>
          <w:szCs w:val="20"/>
          <w:lang w:val="es-ES_tradnl"/>
        </w:rPr>
        <w:t xml:space="preserve">, por lo que sugieren </w:t>
      </w:r>
      <w:r w:rsidR="00246DE9" w:rsidRPr="001F35C9">
        <w:rPr>
          <w:rFonts w:eastAsia="NotDefSpecial" w:cs="NotDefSpecial"/>
          <w:color w:val="auto"/>
          <w:sz w:val="20"/>
          <w:szCs w:val="20"/>
          <w:lang w:val="es-ES_tradnl"/>
        </w:rPr>
        <w:t xml:space="preserve">acudir a </w:t>
      </w:r>
      <w:r w:rsidR="003F51F8" w:rsidRPr="001F35C9">
        <w:rPr>
          <w:rFonts w:eastAsia="NotDefSpecial" w:cs="NotDefSpecial"/>
          <w:color w:val="auto"/>
          <w:sz w:val="20"/>
          <w:szCs w:val="20"/>
          <w:lang w:val="es-ES_tradnl"/>
        </w:rPr>
        <w:t xml:space="preserve">justicia ordinaria. </w:t>
      </w:r>
    </w:p>
    <w:p w14:paraId="2AD4CF6A" w14:textId="77777777" w:rsidR="00E5299A" w:rsidRPr="001F35C9" w:rsidRDefault="00E5299A" w:rsidP="00E5299A">
      <w:pPr>
        <w:autoSpaceDE w:val="0"/>
        <w:autoSpaceDN w:val="0"/>
        <w:adjustRightInd w:val="0"/>
        <w:jc w:val="both"/>
        <w:rPr>
          <w:rFonts w:ascii="Cambria" w:eastAsia="NotDefSpecial" w:hAnsi="Cambria" w:cs="NotDefSpecial"/>
          <w:sz w:val="20"/>
          <w:szCs w:val="20"/>
          <w:lang w:val="es-ES_tradnl"/>
        </w:rPr>
      </w:pPr>
    </w:p>
    <w:p w14:paraId="0F715070" w14:textId="27C905A1" w:rsidR="00246DE9" w:rsidRPr="001F35C9" w:rsidRDefault="00932DEB"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eastAsiaTheme="minorHAnsi" w:cs="GillSansMT"/>
          <w:color w:val="auto"/>
          <w:sz w:val="20"/>
          <w:szCs w:val="20"/>
          <w:bdr w:val="none" w:sz="0" w:space="0" w:color="auto"/>
          <w:lang w:val="es-ES_tradnl"/>
        </w:rPr>
      </w:pPr>
      <w:r w:rsidRPr="001F35C9">
        <w:rPr>
          <w:rFonts w:cs="GillSansMT"/>
          <w:color w:val="auto"/>
          <w:sz w:val="20"/>
          <w:szCs w:val="20"/>
          <w:lang w:val="es-ES_tradnl"/>
        </w:rPr>
        <w:t>Ante todo lo anterior, e</w:t>
      </w:r>
      <w:r w:rsidR="00246DE9" w:rsidRPr="001F35C9">
        <w:rPr>
          <w:rFonts w:cs="GillSansMT"/>
          <w:color w:val="auto"/>
          <w:sz w:val="20"/>
          <w:szCs w:val="20"/>
          <w:lang w:val="es-ES_tradnl"/>
        </w:rPr>
        <w:t xml:space="preserve">l 19 de septiembre de 2008 </w:t>
      </w:r>
      <w:r w:rsidRPr="001F35C9">
        <w:rPr>
          <w:rFonts w:cs="GillSansMT"/>
          <w:color w:val="auto"/>
          <w:sz w:val="20"/>
          <w:szCs w:val="20"/>
          <w:lang w:val="es-ES_tradnl"/>
        </w:rPr>
        <w:t xml:space="preserve">la parte peticionaria </w:t>
      </w:r>
      <w:r w:rsidR="00246DE9" w:rsidRPr="001F35C9">
        <w:rPr>
          <w:rFonts w:cs="GillSansMT"/>
          <w:color w:val="auto"/>
          <w:sz w:val="20"/>
          <w:szCs w:val="20"/>
          <w:lang w:val="es-ES_tradnl"/>
        </w:rPr>
        <w:t xml:space="preserve">interpuso una acción de tutela ante la Sala Jurisdiccional Disciplinaria del Consejo Seccional de Judicatura de Cundinamarca, contra el Ministerio </w:t>
      </w:r>
      <w:r w:rsidR="00246DE9" w:rsidRPr="001F35C9">
        <w:rPr>
          <w:color w:val="auto"/>
          <w:sz w:val="20"/>
          <w:szCs w:val="20"/>
          <w:lang w:val="es-ES_tradnl"/>
        </w:rPr>
        <w:t xml:space="preserve">del Interior y de Justicia y la DNE, </w:t>
      </w:r>
      <w:r w:rsidRPr="001F35C9">
        <w:rPr>
          <w:color w:val="auto"/>
          <w:sz w:val="20"/>
          <w:szCs w:val="20"/>
          <w:lang w:val="es-ES_tradnl"/>
        </w:rPr>
        <w:t xml:space="preserve">alegando </w:t>
      </w:r>
      <w:r w:rsidR="00246DE9" w:rsidRPr="001F35C9">
        <w:rPr>
          <w:rFonts w:cs="GillSansMT"/>
          <w:color w:val="auto"/>
          <w:sz w:val="20"/>
          <w:szCs w:val="20"/>
          <w:lang w:val="es-ES_tradnl"/>
        </w:rPr>
        <w:t xml:space="preserve">la vulneración del derecho a la igualdad </w:t>
      </w:r>
      <w:r w:rsidR="00246DE9" w:rsidRPr="001F35C9">
        <w:rPr>
          <w:color w:val="auto"/>
          <w:sz w:val="20"/>
          <w:szCs w:val="20"/>
          <w:lang w:val="es-ES_tradnl"/>
        </w:rPr>
        <w:t xml:space="preserve">de sus representados por su condición de víctimas de Pablo Escobar Gaviria; y del derecho a la información verídica y eficaz de conocer la totalidad de los bienes </w:t>
      </w:r>
      <w:r w:rsidRPr="001F35C9">
        <w:rPr>
          <w:color w:val="auto"/>
          <w:sz w:val="20"/>
          <w:szCs w:val="20"/>
          <w:lang w:val="es-ES_tradnl"/>
        </w:rPr>
        <w:t xml:space="preserve">confiscados de Pablo Escobar </w:t>
      </w:r>
      <w:r w:rsidR="00246DE9" w:rsidRPr="001F35C9">
        <w:rPr>
          <w:color w:val="auto"/>
          <w:sz w:val="20"/>
          <w:szCs w:val="20"/>
          <w:lang w:val="es-ES_tradnl"/>
        </w:rPr>
        <w:t xml:space="preserve">que reposan bajo la administración de la DNE. En el marco de dicho proceso, solicitó que se ordenara al Ministerio </w:t>
      </w:r>
      <w:r w:rsidRPr="001F35C9">
        <w:rPr>
          <w:color w:val="auto"/>
          <w:sz w:val="20"/>
          <w:szCs w:val="20"/>
          <w:lang w:val="es-ES_tradnl"/>
        </w:rPr>
        <w:t xml:space="preserve">del Interior </w:t>
      </w:r>
      <w:r w:rsidR="00246DE9" w:rsidRPr="001F35C9">
        <w:rPr>
          <w:color w:val="auto"/>
          <w:sz w:val="20"/>
          <w:szCs w:val="20"/>
          <w:lang w:val="es-ES_tradnl"/>
        </w:rPr>
        <w:t xml:space="preserve">el inicio de un proceso de indemnización integral en favor de sus representados, y que para este fin se declarasen parte de los bienes en poder de la DNE que comprenda todos los conceptos que se generen para cada víctima por responsabilidad civil extracontractual. Aduce que la autoridad judicial declaró improcedente la acción de tutela </w:t>
      </w:r>
      <w:r w:rsidR="003F49AF" w:rsidRPr="001F35C9">
        <w:rPr>
          <w:color w:val="auto"/>
          <w:sz w:val="20"/>
          <w:szCs w:val="20"/>
          <w:lang w:val="es-ES_tradnl"/>
        </w:rPr>
        <w:t xml:space="preserve">mediante sentencia de 14 de octubre de 2008, </w:t>
      </w:r>
      <w:r w:rsidR="00AD39D6" w:rsidRPr="001F35C9">
        <w:rPr>
          <w:color w:val="auto"/>
          <w:sz w:val="20"/>
          <w:szCs w:val="20"/>
          <w:lang w:val="es-ES_tradnl"/>
        </w:rPr>
        <w:t>por haber caducado la acción</w:t>
      </w:r>
      <w:r w:rsidR="00246DE9" w:rsidRPr="001F35C9">
        <w:rPr>
          <w:color w:val="auto"/>
          <w:sz w:val="20"/>
          <w:szCs w:val="20"/>
          <w:lang w:val="es-ES_tradnl"/>
        </w:rPr>
        <w:t xml:space="preserve">. </w:t>
      </w:r>
      <w:r w:rsidR="00AE5690" w:rsidRPr="001F35C9">
        <w:rPr>
          <w:color w:val="auto"/>
          <w:sz w:val="20"/>
          <w:szCs w:val="20"/>
          <w:lang w:val="es-ES_tradnl"/>
        </w:rPr>
        <w:t>Ante dicha decisión, i</w:t>
      </w:r>
      <w:r w:rsidR="00246DE9" w:rsidRPr="001F35C9">
        <w:rPr>
          <w:color w:val="auto"/>
          <w:sz w:val="20"/>
          <w:szCs w:val="20"/>
          <w:lang w:val="es-ES_tradnl"/>
        </w:rPr>
        <w:t>nterpuso un recurso de apelación</w:t>
      </w:r>
      <w:r w:rsidR="00290701" w:rsidRPr="001F35C9">
        <w:rPr>
          <w:color w:val="auto"/>
          <w:sz w:val="20"/>
          <w:szCs w:val="20"/>
          <w:lang w:val="es-ES_tradnl"/>
        </w:rPr>
        <w:t>,</w:t>
      </w:r>
      <w:r w:rsidR="00246DE9" w:rsidRPr="001F35C9">
        <w:rPr>
          <w:color w:val="auto"/>
          <w:sz w:val="20"/>
          <w:szCs w:val="20"/>
          <w:lang w:val="es-ES_tradnl"/>
        </w:rPr>
        <w:t xml:space="preserve"> </w:t>
      </w:r>
      <w:r w:rsidR="00AE5690" w:rsidRPr="001F35C9">
        <w:rPr>
          <w:color w:val="auto"/>
          <w:sz w:val="20"/>
          <w:szCs w:val="20"/>
          <w:lang w:val="es-ES_tradnl"/>
        </w:rPr>
        <w:t xml:space="preserve">el cual </w:t>
      </w:r>
      <w:r w:rsidR="00246DE9" w:rsidRPr="001F35C9">
        <w:rPr>
          <w:color w:val="auto"/>
          <w:sz w:val="20"/>
          <w:szCs w:val="20"/>
          <w:lang w:val="es-ES_tradnl"/>
        </w:rPr>
        <w:t>fue rechazado mediante sentencia dictada por la Sala Jurisdiccional Disciplinaria del Consejo Superior de la Judicatura el 26 de noviembre de 2008</w:t>
      </w:r>
      <w:r w:rsidR="00290701" w:rsidRPr="001F35C9">
        <w:rPr>
          <w:color w:val="auto"/>
          <w:sz w:val="20"/>
          <w:szCs w:val="20"/>
          <w:lang w:val="es-ES_tradnl"/>
        </w:rPr>
        <w:t>,</w:t>
      </w:r>
      <w:r w:rsidR="00246DE9" w:rsidRPr="001F35C9">
        <w:rPr>
          <w:color w:val="auto"/>
          <w:sz w:val="20"/>
          <w:szCs w:val="20"/>
          <w:lang w:val="es-ES_tradnl"/>
        </w:rPr>
        <w:t xml:space="preserve"> y notificad</w:t>
      </w:r>
      <w:r w:rsidR="00E42108" w:rsidRPr="001F35C9">
        <w:rPr>
          <w:color w:val="auto"/>
          <w:sz w:val="20"/>
          <w:szCs w:val="20"/>
          <w:lang w:val="es-ES_tradnl"/>
        </w:rPr>
        <w:t>o</w:t>
      </w:r>
      <w:r w:rsidR="00246DE9" w:rsidRPr="001F35C9">
        <w:rPr>
          <w:color w:val="auto"/>
          <w:sz w:val="20"/>
          <w:szCs w:val="20"/>
          <w:lang w:val="es-ES_tradnl"/>
        </w:rPr>
        <w:t xml:space="preserve"> el </w:t>
      </w:r>
      <w:r w:rsidR="00254C2C" w:rsidRPr="001F35C9">
        <w:rPr>
          <w:color w:val="auto"/>
          <w:sz w:val="20"/>
          <w:szCs w:val="20"/>
          <w:lang w:val="es-ES_tradnl"/>
        </w:rPr>
        <w:t xml:space="preserve">9 </w:t>
      </w:r>
      <w:r w:rsidR="00246DE9" w:rsidRPr="001F35C9">
        <w:rPr>
          <w:color w:val="auto"/>
          <w:sz w:val="20"/>
          <w:szCs w:val="20"/>
          <w:lang w:val="es-ES_tradnl"/>
        </w:rPr>
        <w:t xml:space="preserve">de diciembre de 2008. </w:t>
      </w:r>
      <w:r w:rsidR="004F06B1" w:rsidRPr="001F35C9">
        <w:rPr>
          <w:color w:val="auto"/>
          <w:sz w:val="20"/>
          <w:szCs w:val="20"/>
          <w:lang w:val="es-ES_tradnl"/>
        </w:rPr>
        <w:t>La parte peticionaria indica que i</w:t>
      </w:r>
      <w:r w:rsidR="00246DE9" w:rsidRPr="001F35C9">
        <w:rPr>
          <w:color w:val="auto"/>
          <w:sz w:val="20"/>
          <w:szCs w:val="20"/>
          <w:lang w:val="es-ES_tradnl"/>
        </w:rPr>
        <w:t xml:space="preserve">nterpuso un recurso de revisión ante la Corte Constitucional, </w:t>
      </w:r>
      <w:r w:rsidR="00E42108" w:rsidRPr="001F35C9">
        <w:rPr>
          <w:color w:val="auto"/>
          <w:sz w:val="20"/>
          <w:szCs w:val="20"/>
          <w:lang w:val="es-ES_tradnl"/>
        </w:rPr>
        <w:t>sin embargo, en escritos posteriores n</w:t>
      </w:r>
      <w:r w:rsidR="007F6797" w:rsidRPr="001F35C9">
        <w:rPr>
          <w:rFonts w:cs="GillSansMT"/>
          <w:color w:val="auto"/>
          <w:sz w:val="20"/>
          <w:szCs w:val="20"/>
          <w:lang w:val="es-ES_tradnl"/>
        </w:rPr>
        <w:t xml:space="preserve">o </w:t>
      </w:r>
      <w:r w:rsidR="004F06B1" w:rsidRPr="001F35C9">
        <w:rPr>
          <w:rFonts w:cs="GillSansMT"/>
          <w:color w:val="auto"/>
          <w:sz w:val="20"/>
          <w:szCs w:val="20"/>
          <w:lang w:val="es-ES_tradnl"/>
        </w:rPr>
        <w:t xml:space="preserve">presenta información sobre el resultado de este recurso. </w:t>
      </w:r>
    </w:p>
    <w:p w14:paraId="036FE870"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eastAsiaTheme="minorHAnsi" w:cs="GillSansMT"/>
          <w:color w:val="auto"/>
          <w:sz w:val="20"/>
          <w:szCs w:val="20"/>
          <w:bdr w:val="none" w:sz="0" w:space="0" w:color="auto"/>
          <w:lang w:val="es-ES_tradnl"/>
        </w:rPr>
      </w:pPr>
    </w:p>
    <w:p w14:paraId="4C64B13F" w14:textId="7734B3D3" w:rsidR="007F23B4" w:rsidRPr="001F35C9" w:rsidRDefault="00382048" w:rsidP="00E5299A">
      <w:pPr>
        <w:pStyle w:val="ListParagraph"/>
        <w:numPr>
          <w:ilvl w:val="0"/>
          <w:numId w:val="5"/>
        </w:numPr>
        <w:autoSpaceDE w:val="0"/>
        <w:autoSpaceDN w:val="0"/>
        <w:adjustRightInd w:val="0"/>
        <w:ind w:left="0" w:firstLine="720"/>
        <w:jc w:val="both"/>
        <w:rPr>
          <w:rFonts w:eastAsia="NotDefSpecial" w:cs="NotDefSpecial"/>
          <w:color w:val="auto"/>
          <w:sz w:val="20"/>
          <w:szCs w:val="20"/>
          <w:lang w:val="es-ES_tradnl"/>
        </w:rPr>
      </w:pPr>
      <w:r w:rsidRPr="001F35C9">
        <w:rPr>
          <w:color w:val="auto"/>
          <w:sz w:val="20"/>
          <w:szCs w:val="20"/>
          <w:lang w:val="es-ES_tradnl"/>
        </w:rPr>
        <w:t>Finalmente, detalla que</w:t>
      </w:r>
      <w:r w:rsidR="007F23B4" w:rsidRPr="001F35C9">
        <w:rPr>
          <w:rFonts w:eastAsia="NotDefSpecial" w:cs="NotDefSpecial"/>
          <w:color w:val="auto"/>
          <w:sz w:val="20"/>
          <w:szCs w:val="20"/>
          <w:lang w:val="es-ES_tradnl"/>
        </w:rPr>
        <w:t xml:space="preserve"> </w:t>
      </w:r>
      <w:r w:rsidR="007F23B4" w:rsidRPr="001F35C9">
        <w:rPr>
          <w:rFonts w:cs="GillSansMT"/>
          <w:color w:val="auto"/>
          <w:sz w:val="20"/>
          <w:szCs w:val="20"/>
          <w:lang w:val="es-ES_tradnl"/>
        </w:rPr>
        <w:t xml:space="preserve">interpuso </w:t>
      </w:r>
      <w:r w:rsidRPr="001F35C9">
        <w:rPr>
          <w:rFonts w:cs="GillSansMT"/>
          <w:color w:val="auto"/>
          <w:sz w:val="20"/>
          <w:szCs w:val="20"/>
          <w:lang w:val="es-ES_tradnl"/>
        </w:rPr>
        <w:t xml:space="preserve">otro derecho de </w:t>
      </w:r>
      <w:r w:rsidR="007F23B4" w:rsidRPr="001F35C9">
        <w:rPr>
          <w:rFonts w:cs="GillSansMT"/>
          <w:color w:val="auto"/>
          <w:sz w:val="20"/>
          <w:szCs w:val="20"/>
          <w:lang w:val="es-ES_tradnl"/>
        </w:rPr>
        <w:t>petición ante el Ministerio del Interior y de Justicia con el objet</w:t>
      </w:r>
      <w:r w:rsidR="007C567D" w:rsidRPr="001F35C9">
        <w:rPr>
          <w:rFonts w:cs="GillSansMT"/>
          <w:color w:val="auto"/>
          <w:sz w:val="20"/>
          <w:szCs w:val="20"/>
          <w:lang w:val="es-ES_tradnl"/>
        </w:rPr>
        <w:t>o</w:t>
      </w:r>
      <w:r w:rsidR="007F23B4" w:rsidRPr="001F35C9">
        <w:rPr>
          <w:rFonts w:cs="GillSansMT"/>
          <w:color w:val="auto"/>
          <w:sz w:val="20"/>
          <w:szCs w:val="20"/>
          <w:lang w:val="es-ES_tradnl"/>
        </w:rPr>
        <w:t xml:space="preserve"> de esclarecer si las presuntas víctimas estarían incluidas </w:t>
      </w:r>
      <w:r w:rsidR="007C567D" w:rsidRPr="001F35C9">
        <w:rPr>
          <w:rFonts w:cs="GillSansMT"/>
          <w:color w:val="auto"/>
          <w:sz w:val="20"/>
          <w:szCs w:val="20"/>
          <w:lang w:val="es-ES_tradnl"/>
        </w:rPr>
        <w:t>en</w:t>
      </w:r>
      <w:r w:rsidR="007F23B4" w:rsidRPr="001F35C9">
        <w:rPr>
          <w:rFonts w:eastAsia="NotDefSpecial" w:cs="NotDefSpecial"/>
          <w:color w:val="auto"/>
          <w:sz w:val="20"/>
          <w:szCs w:val="20"/>
          <w:lang w:val="es-ES_tradnl"/>
        </w:rPr>
        <w:t xml:space="preserve"> la reparación monetaria estipulada </w:t>
      </w:r>
      <w:r w:rsidR="007F23B4" w:rsidRPr="001F35C9">
        <w:rPr>
          <w:rFonts w:cs="GillSansMT"/>
          <w:color w:val="auto"/>
          <w:sz w:val="20"/>
          <w:szCs w:val="20"/>
          <w:lang w:val="es-ES_tradnl"/>
        </w:rPr>
        <w:t xml:space="preserve">en la Ley 1448 de 2011. Al respecto, el </w:t>
      </w:r>
      <w:r w:rsidRPr="001F35C9">
        <w:rPr>
          <w:rFonts w:cs="GillSansMT"/>
          <w:color w:val="auto"/>
          <w:sz w:val="20"/>
          <w:szCs w:val="20"/>
          <w:lang w:val="es-ES_tradnl"/>
        </w:rPr>
        <w:t xml:space="preserve">Director de Justicia Transicional del mismo Ministerio respondió </w:t>
      </w:r>
      <w:r w:rsidR="007F23B4" w:rsidRPr="001F35C9">
        <w:rPr>
          <w:rFonts w:cs="GillSansMT"/>
          <w:color w:val="auto"/>
          <w:sz w:val="20"/>
          <w:szCs w:val="20"/>
          <w:lang w:val="es-ES_tradnl"/>
        </w:rPr>
        <w:t>el 12 de julio de 2011 que</w:t>
      </w:r>
      <w:r w:rsidRPr="001F35C9">
        <w:rPr>
          <w:rFonts w:cs="GillSansMT"/>
          <w:color w:val="auto"/>
          <w:sz w:val="20"/>
          <w:szCs w:val="20"/>
          <w:lang w:val="es-ES_tradnl"/>
        </w:rPr>
        <w:t>,</w:t>
      </w:r>
      <w:r w:rsidR="00475889" w:rsidRPr="001F35C9">
        <w:rPr>
          <w:rFonts w:cs="GillSansMT"/>
          <w:color w:val="auto"/>
          <w:sz w:val="20"/>
          <w:szCs w:val="20"/>
          <w:lang w:val="es-ES_tradnl"/>
        </w:rPr>
        <w:t xml:space="preserve"> </w:t>
      </w:r>
      <w:r w:rsidRPr="001F35C9">
        <w:rPr>
          <w:rFonts w:cs="GillSansMT"/>
          <w:color w:val="auto"/>
          <w:sz w:val="20"/>
          <w:szCs w:val="20"/>
          <w:lang w:val="es-ES_tradnl"/>
        </w:rPr>
        <w:t xml:space="preserve">para los efectos de dicha ley, </w:t>
      </w:r>
      <w:r w:rsidR="003F49AF" w:rsidRPr="001F35C9">
        <w:rPr>
          <w:rFonts w:cs="GillSansMT"/>
          <w:color w:val="auto"/>
          <w:sz w:val="20"/>
          <w:szCs w:val="20"/>
          <w:lang w:val="es-ES_tradnl"/>
        </w:rPr>
        <w:t xml:space="preserve">la </w:t>
      </w:r>
      <w:r w:rsidR="002C71AD" w:rsidRPr="001F35C9">
        <w:rPr>
          <w:rFonts w:cs="GillSansMT"/>
          <w:color w:val="auto"/>
          <w:sz w:val="20"/>
          <w:szCs w:val="20"/>
          <w:lang w:val="es-ES_tradnl"/>
        </w:rPr>
        <w:t xml:space="preserve">condición de </w:t>
      </w:r>
      <w:r w:rsidR="00475889" w:rsidRPr="001F35C9">
        <w:rPr>
          <w:rFonts w:cs="GillSansMT"/>
          <w:color w:val="auto"/>
          <w:sz w:val="20"/>
          <w:szCs w:val="20"/>
          <w:lang w:val="es-ES_tradnl"/>
        </w:rPr>
        <w:t>v</w:t>
      </w:r>
      <w:r w:rsidRPr="001F35C9">
        <w:rPr>
          <w:rFonts w:cs="GillSansMT"/>
          <w:color w:val="auto"/>
          <w:sz w:val="20"/>
          <w:szCs w:val="20"/>
          <w:lang w:val="es-ES_tradnl"/>
        </w:rPr>
        <w:t>í</w:t>
      </w:r>
      <w:r w:rsidR="00475889" w:rsidRPr="001F35C9">
        <w:rPr>
          <w:rFonts w:cs="GillSansMT"/>
          <w:color w:val="auto"/>
          <w:sz w:val="20"/>
          <w:szCs w:val="20"/>
          <w:lang w:val="es-ES_tradnl"/>
        </w:rPr>
        <w:t>ctim</w:t>
      </w:r>
      <w:r w:rsidRPr="001F35C9">
        <w:rPr>
          <w:rFonts w:cs="GillSansMT"/>
          <w:color w:val="auto"/>
          <w:sz w:val="20"/>
          <w:szCs w:val="20"/>
          <w:lang w:val="es-ES_tradnl"/>
        </w:rPr>
        <w:t xml:space="preserve">a </w:t>
      </w:r>
      <w:r w:rsidR="002C71AD" w:rsidRPr="001F35C9">
        <w:rPr>
          <w:rFonts w:cs="GillSansMT"/>
          <w:color w:val="auto"/>
          <w:sz w:val="20"/>
          <w:szCs w:val="20"/>
          <w:lang w:val="es-ES_tradnl"/>
        </w:rPr>
        <w:t xml:space="preserve">estaba definida </w:t>
      </w:r>
      <w:r w:rsidRPr="001F35C9">
        <w:rPr>
          <w:rFonts w:cs="GillSansMT"/>
          <w:color w:val="auto"/>
          <w:sz w:val="20"/>
          <w:szCs w:val="20"/>
          <w:lang w:val="es-ES_tradnl"/>
        </w:rPr>
        <w:t>de conformidad con lo establecido en el artículo 3 de</w:t>
      </w:r>
      <w:r w:rsidR="00961BBA" w:rsidRPr="001F35C9">
        <w:rPr>
          <w:rFonts w:cs="GillSansMT"/>
          <w:color w:val="auto"/>
          <w:sz w:val="20"/>
          <w:szCs w:val="20"/>
          <w:lang w:val="es-ES_tradnl"/>
        </w:rPr>
        <w:t xml:space="preserve">l mismo texto normativo, y en el caso </w:t>
      </w:r>
      <w:r w:rsidR="003F51F8" w:rsidRPr="001F35C9">
        <w:rPr>
          <w:rFonts w:cs="GillSansMT"/>
          <w:color w:val="auto"/>
          <w:sz w:val="20"/>
          <w:szCs w:val="20"/>
          <w:lang w:val="es-ES_tradnl"/>
        </w:rPr>
        <w:t>de</w:t>
      </w:r>
      <w:r w:rsidR="00961BBA" w:rsidRPr="001F35C9">
        <w:rPr>
          <w:rFonts w:cs="GillSansMT"/>
          <w:color w:val="auto"/>
          <w:sz w:val="20"/>
          <w:szCs w:val="20"/>
          <w:lang w:val="es-ES_tradnl"/>
        </w:rPr>
        <w:t xml:space="preserve"> miembros de la fuerza pública que sean víctimas en dichos términos, su reparación por la vía </w:t>
      </w:r>
      <w:r w:rsidR="007F23B4" w:rsidRPr="001F35C9">
        <w:rPr>
          <w:rFonts w:cs="GillSansMT"/>
          <w:color w:val="auto"/>
          <w:sz w:val="20"/>
          <w:szCs w:val="20"/>
          <w:lang w:val="es-ES_tradnl"/>
        </w:rPr>
        <w:t>administrativa continuar</w:t>
      </w:r>
      <w:r w:rsidR="00961BBA" w:rsidRPr="001F35C9">
        <w:rPr>
          <w:rFonts w:cs="GillSansMT"/>
          <w:color w:val="auto"/>
          <w:sz w:val="20"/>
          <w:szCs w:val="20"/>
          <w:lang w:val="es-ES_tradnl"/>
        </w:rPr>
        <w:t xml:space="preserve">á </w:t>
      </w:r>
      <w:r w:rsidR="007F23B4" w:rsidRPr="001F35C9">
        <w:rPr>
          <w:rFonts w:cs="GillSansMT"/>
          <w:color w:val="auto"/>
          <w:sz w:val="20"/>
          <w:szCs w:val="20"/>
          <w:lang w:val="es-ES_tradnl"/>
        </w:rPr>
        <w:t>“</w:t>
      </w:r>
      <w:r w:rsidR="007F23B4" w:rsidRPr="001F35C9">
        <w:rPr>
          <w:rFonts w:cs="GillSansMT"/>
          <w:i/>
          <w:iCs/>
          <w:color w:val="auto"/>
          <w:sz w:val="20"/>
          <w:szCs w:val="20"/>
          <w:lang w:val="es-ES_tradnl"/>
        </w:rPr>
        <w:t>rigiéndose por el régimen especial que los cobija</w:t>
      </w:r>
      <w:r w:rsidR="000F4B0D" w:rsidRPr="001F35C9">
        <w:rPr>
          <w:rFonts w:cs="GillSansMT"/>
          <w:color w:val="auto"/>
          <w:sz w:val="20"/>
          <w:szCs w:val="20"/>
          <w:lang w:val="es-ES_tradnl"/>
        </w:rPr>
        <w:t>”</w:t>
      </w:r>
      <w:r w:rsidR="007F23B4" w:rsidRPr="001F35C9">
        <w:rPr>
          <w:rFonts w:eastAsia="NotDefSpecial" w:cs="NotDefSpecial"/>
          <w:color w:val="auto"/>
          <w:sz w:val="20"/>
          <w:szCs w:val="20"/>
          <w:lang w:val="es-ES_tradnl"/>
        </w:rPr>
        <w:t xml:space="preserve">. </w:t>
      </w:r>
    </w:p>
    <w:p w14:paraId="3BE3AD20" w14:textId="77777777" w:rsidR="00E5299A" w:rsidRPr="001F35C9" w:rsidRDefault="00E5299A" w:rsidP="00E5299A">
      <w:pPr>
        <w:autoSpaceDE w:val="0"/>
        <w:autoSpaceDN w:val="0"/>
        <w:adjustRightInd w:val="0"/>
        <w:jc w:val="both"/>
        <w:rPr>
          <w:rFonts w:ascii="Cambria" w:eastAsia="NotDefSpecial" w:hAnsi="Cambria" w:cs="NotDefSpecial"/>
          <w:sz w:val="20"/>
          <w:szCs w:val="20"/>
          <w:lang w:val="es-ES_tradnl"/>
        </w:rPr>
      </w:pPr>
    </w:p>
    <w:p w14:paraId="66E744AC" w14:textId="1FD2ED37" w:rsidR="00290701" w:rsidRPr="001F35C9" w:rsidRDefault="002C71AD" w:rsidP="00741336">
      <w:pPr>
        <w:pStyle w:val="ListParagraph"/>
        <w:numPr>
          <w:ilvl w:val="0"/>
          <w:numId w:val="5"/>
        </w:numPr>
        <w:ind w:left="0" w:firstLine="720"/>
        <w:jc w:val="both"/>
        <w:rPr>
          <w:color w:val="auto"/>
          <w:sz w:val="20"/>
          <w:szCs w:val="20"/>
          <w:lang w:val="es-ES_tradnl"/>
        </w:rPr>
      </w:pPr>
      <w:r w:rsidRPr="001F35C9">
        <w:rPr>
          <w:color w:val="auto"/>
          <w:sz w:val="20"/>
          <w:szCs w:val="20"/>
          <w:lang w:val="es-ES_tradnl"/>
        </w:rPr>
        <w:t xml:space="preserve">Con respecto </w:t>
      </w:r>
      <w:r w:rsidR="00290701" w:rsidRPr="001F35C9">
        <w:rPr>
          <w:color w:val="auto"/>
          <w:sz w:val="20"/>
          <w:szCs w:val="20"/>
          <w:lang w:val="es-ES_tradnl"/>
        </w:rPr>
        <w:t>al</w:t>
      </w:r>
      <w:r w:rsidRPr="001F35C9">
        <w:rPr>
          <w:color w:val="auto"/>
          <w:sz w:val="20"/>
          <w:szCs w:val="20"/>
          <w:lang w:val="es-ES_tradnl"/>
        </w:rPr>
        <w:t xml:space="preserve"> agotamiento de los recursos internos, alega que la acción de reparación directa tiene un término perentorio para ser </w:t>
      </w:r>
      <w:r w:rsidR="008460CC" w:rsidRPr="001F35C9">
        <w:rPr>
          <w:color w:val="auto"/>
          <w:sz w:val="20"/>
          <w:szCs w:val="20"/>
          <w:lang w:val="es-ES_tradnl"/>
        </w:rPr>
        <w:t>interpuesta</w:t>
      </w:r>
      <w:r w:rsidRPr="001F35C9">
        <w:rPr>
          <w:color w:val="auto"/>
          <w:sz w:val="20"/>
          <w:szCs w:val="20"/>
          <w:lang w:val="es-ES_tradnl"/>
        </w:rPr>
        <w:t xml:space="preserve">. En tal sentido, </w:t>
      </w:r>
      <w:r w:rsidR="00503312" w:rsidRPr="001F35C9">
        <w:rPr>
          <w:color w:val="auto"/>
          <w:sz w:val="20"/>
          <w:szCs w:val="20"/>
          <w:lang w:val="es-ES_tradnl"/>
        </w:rPr>
        <w:t xml:space="preserve">sostiene que </w:t>
      </w:r>
      <w:r w:rsidR="00065375" w:rsidRPr="001F35C9">
        <w:rPr>
          <w:color w:val="auto"/>
          <w:sz w:val="20"/>
          <w:szCs w:val="20"/>
          <w:lang w:val="es-ES_tradnl"/>
        </w:rPr>
        <w:t>las familias de l</w:t>
      </w:r>
      <w:r w:rsidR="00E42108" w:rsidRPr="001F35C9">
        <w:rPr>
          <w:color w:val="auto"/>
          <w:sz w:val="20"/>
          <w:szCs w:val="20"/>
          <w:lang w:val="es-ES_tradnl"/>
        </w:rPr>
        <w:t xml:space="preserve">os agentes fallecidos </w:t>
      </w:r>
      <w:r w:rsidR="00065375" w:rsidRPr="001F35C9">
        <w:rPr>
          <w:color w:val="auto"/>
          <w:sz w:val="20"/>
          <w:szCs w:val="20"/>
          <w:lang w:val="es-ES_tradnl"/>
        </w:rPr>
        <w:t xml:space="preserve">como víctimas de Pablo Escobar, quedaron en debilidad manifiesta al momento de los hechos y por un largo periodo de tiempo ante el peligro que representaba para sus vidas interponer cualquier acción penal, civil o administrativa sobre los bienes del Sr. Escobar en tanto los “sicarios y testaferros” conocían los domicilios de las familias. </w:t>
      </w:r>
      <w:r w:rsidR="00EC6D03" w:rsidRPr="001F35C9">
        <w:rPr>
          <w:color w:val="auto"/>
          <w:sz w:val="20"/>
          <w:szCs w:val="20"/>
          <w:lang w:val="es-ES_tradnl"/>
        </w:rPr>
        <w:t xml:space="preserve">Asimismo, considera que el sometimiento de los familiares a un proceso ordinario constituye una grave vulneración de sus derechos fundamentales, mientras el Estado invierte la totalidad de los recursos en otros sectores ajenos al daño causado por el victimario. </w:t>
      </w:r>
      <w:r w:rsidR="003A4146" w:rsidRPr="001F35C9">
        <w:rPr>
          <w:color w:val="auto"/>
          <w:sz w:val="20"/>
          <w:szCs w:val="20"/>
          <w:lang w:val="es-ES_tradnl"/>
        </w:rPr>
        <w:t>Alega</w:t>
      </w:r>
      <w:r w:rsidR="00915BCF" w:rsidRPr="001F35C9">
        <w:rPr>
          <w:color w:val="auto"/>
          <w:sz w:val="20"/>
          <w:szCs w:val="20"/>
          <w:lang w:val="es-ES_tradnl"/>
        </w:rPr>
        <w:t xml:space="preserve"> en tal sentido, que los alegatos </w:t>
      </w:r>
      <w:r w:rsidR="00503312" w:rsidRPr="001F35C9">
        <w:rPr>
          <w:color w:val="auto"/>
          <w:sz w:val="20"/>
          <w:szCs w:val="20"/>
          <w:lang w:val="es-ES_tradnl"/>
        </w:rPr>
        <w:t xml:space="preserve">del </w:t>
      </w:r>
      <w:r w:rsidR="00124133" w:rsidRPr="001F35C9">
        <w:rPr>
          <w:color w:val="auto"/>
          <w:sz w:val="20"/>
          <w:szCs w:val="20"/>
          <w:lang w:val="es-ES_tradnl"/>
        </w:rPr>
        <w:t>E</w:t>
      </w:r>
      <w:r w:rsidR="00503312" w:rsidRPr="001F35C9">
        <w:rPr>
          <w:color w:val="auto"/>
          <w:sz w:val="20"/>
          <w:szCs w:val="20"/>
          <w:lang w:val="es-ES_tradnl"/>
        </w:rPr>
        <w:t>stado son riguros</w:t>
      </w:r>
      <w:r w:rsidR="00915BCF" w:rsidRPr="001F35C9">
        <w:rPr>
          <w:color w:val="auto"/>
          <w:sz w:val="20"/>
          <w:szCs w:val="20"/>
          <w:lang w:val="es-ES_tradnl"/>
        </w:rPr>
        <w:t>o</w:t>
      </w:r>
      <w:r w:rsidR="00503312" w:rsidRPr="001F35C9">
        <w:rPr>
          <w:color w:val="auto"/>
          <w:sz w:val="20"/>
          <w:szCs w:val="20"/>
          <w:lang w:val="es-ES_tradnl"/>
        </w:rPr>
        <w:t>s</w:t>
      </w:r>
      <w:r w:rsidR="00615698" w:rsidRPr="001F35C9">
        <w:rPr>
          <w:color w:val="auto"/>
          <w:sz w:val="20"/>
          <w:szCs w:val="20"/>
          <w:lang w:val="es-ES_tradnl"/>
        </w:rPr>
        <w:t xml:space="preserve">, </w:t>
      </w:r>
      <w:r w:rsidR="00503312" w:rsidRPr="001F35C9">
        <w:rPr>
          <w:color w:val="auto"/>
          <w:sz w:val="20"/>
          <w:szCs w:val="20"/>
          <w:lang w:val="es-ES_tradnl"/>
        </w:rPr>
        <w:t xml:space="preserve">no </w:t>
      </w:r>
      <w:r w:rsidR="00915BCF" w:rsidRPr="001F35C9">
        <w:rPr>
          <w:color w:val="auto"/>
          <w:sz w:val="20"/>
          <w:szCs w:val="20"/>
          <w:lang w:val="es-ES_tradnl"/>
        </w:rPr>
        <w:t xml:space="preserve">se ajustan a </w:t>
      </w:r>
      <w:r w:rsidR="00503312" w:rsidRPr="001F35C9">
        <w:rPr>
          <w:color w:val="auto"/>
          <w:sz w:val="20"/>
          <w:szCs w:val="20"/>
          <w:lang w:val="es-ES_tradnl"/>
        </w:rPr>
        <w:t>la realidad del país</w:t>
      </w:r>
      <w:r w:rsidR="00615698" w:rsidRPr="001F35C9">
        <w:rPr>
          <w:color w:val="auto"/>
          <w:sz w:val="20"/>
          <w:szCs w:val="20"/>
          <w:lang w:val="es-ES_tradnl"/>
        </w:rPr>
        <w:t>, y al mismo tiempo,</w:t>
      </w:r>
      <w:r w:rsidR="00503312" w:rsidRPr="001F35C9">
        <w:rPr>
          <w:color w:val="auto"/>
          <w:sz w:val="20"/>
          <w:szCs w:val="20"/>
          <w:lang w:val="es-ES_tradnl"/>
        </w:rPr>
        <w:t xml:space="preserve"> desconocen todas las actuaciones realizadas ante las distintas instituciones estatales. </w:t>
      </w:r>
      <w:r w:rsidR="002C4BE4" w:rsidRPr="001F35C9">
        <w:rPr>
          <w:color w:val="auto"/>
          <w:sz w:val="20"/>
          <w:szCs w:val="20"/>
          <w:lang w:val="es-ES_tradnl"/>
        </w:rPr>
        <w:t xml:space="preserve">Reitera que la </w:t>
      </w:r>
      <w:r w:rsidR="008460CC" w:rsidRPr="001F35C9">
        <w:rPr>
          <w:color w:val="auto"/>
          <w:sz w:val="20"/>
          <w:szCs w:val="20"/>
          <w:lang w:val="es-ES_tradnl"/>
        </w:rPr>
        <w:t>indemnización</w:t>
      </w:r>
      <w:r w:rsidR="002C4BE4" w:rsidRPr="001F35C9">
        <w:rPr>
          <w:color w:val="auto"/>
          <w:sz w:val="20"/>
          <w:szCs w:val="20"/>
          <w:lang w:val="es-ES_tradnl"/>
        </w:rPr>
        <w:t xml:space="preserve"> que se les dio a las familias fue irrisoria. </w:t>
      </w:r>
      <w:r w:rsidR="00065375" w:rsidRPr="001F35C9">
        <w:rPr>
          <w:color w:val="auto"/>
          <w:sz w:val="20"/>
          <w:szCs w:val="20"/>
          <w:lang w:val="es-ES_tradnl"/>
        </w:rPr>
        <w:t>Así, argumenta</w:t>
      </w:r>
      <w:r w:rsidR="00E80047" w:rsidRPr="001F35C9">
        <w:rPr>
          <w:color w:val="auto"/>
          <w:sz w:val="20"/>
          <w:szCs w:val="20"/>
          <w:lang w:val="es-ES_tradnl"/>
        </w:rPr>
        <w:t xml:space="preserve"> </w:t>
      </w:r>
      <w:r w:rsidR="00065375" w:rsidRPr="001F35C9">
        <w:rPr>
          <w:color w:val="auto"/>
          <w:sz w:val="20"/>
          <w:szCs w:val="20"/>
          <w:lang w:val="es-ES_tradnl"/>
        </w:rPr>
        <w:t>que</w:t>
      </w:r>
      <w:r w:rsidR="00615698" w:rsidRPr="001F35C9">
        <w:rPr>
          <w:color w:val="auto"/>
          <w:sz w:val="20"/>
          <w:szCs w:val="20"/>
          <w:lang w:val="es-ES_tradnl"/>
        </w:rPr>
        <w:t xml:space="preserve"> </w:t>
      </w:r>
      <w:r w:rsidR="00065375" w:rsidRPr="001F35C9">
        <w:rPr>
          <w:color w:val="auto"/>
          <w:sz w:val="20"/>
          <w:szCs w:val="20"/>
          <w:lang w:val="es-ES_tradnl"/>
        </w:rPr>
        <w:t>la DNE,</w:t>
      </w:r>
      <w:r w:rsidR="00E80047" w:rsidRPr="001F35C9">
        <w:rPr>
          <w:color w:val="auto"/>
          <w:sz w:val="20"/>
          <w:szCs w:val="20"/>
          <w:lang w:val="es-ES_tradnl"/>
        </w:rPr>
        <w:t xml:space="preserve"> por </w:t>
      </w:r>
      <w:r w:rsidR="00065375" w:rsidRPr="001F35C9">
        <w:rPr>
          <w:color w:val="auto"/>
          <w:sz w:val="20"/>
          <w:szCs w:val="20"/>
          <w:lang w:val="es-ES_tradnl"/>
        </w:rPr>
        <w:t xml:space="preserve">ser la institución que administra </w:t>
      </w:r>
      <w:r w:rsidR="00E80047" w:rsidRPr="001F35C9">
        <w:rPr>
          <w:color w:val="auto"/>
          <w:sz w:val="20"/>
          <w:szCs w:val="20"/>
          <w:lang w:val="es-ES_tradnl"/>
        </w:rPr>
        <w:t>el manejo de los recursos provenientes y/o incautados al extinto victimario y</w:t>
      </w:r>
      <w:r w:rsidR="00065375" w:rsidRPr="001F35C9">
        <w:rPr>
          <w:color w:val="auto"/>
          <w:sz w:val="20"/>
          <w:szCs w:val="20"/>
          <w:lang w:val="es-ES_tradnl"/>
        </w:rPr>
        <w:t>,</w:t>
      </w:r>
      <w:r w:rsidR="00E80047" w:rsidRPr="001F35C9">
        <w:rPr>
          <w:color w:val="auto"/>
          <w:sz w:val="20"/>
          <w:szCs w:val="20"/>
          <w:lang w:val="es-ES_tradnl"/>
        </w:rPr>
        <w:t xml:space="preserve"> acorde a la inmensidad de </w:t>
      </w:r>
      <w:r w:rsidR="00065375" w:rsidRPr="001F35C9">
        <w:rPr>
          <w:color w:val="auto"/>
          <w:sz w:val="20"/>
          <w:szCs w:val="20"/>
          <w:lang w:val="es-ES_tradnl"/>
        </w:rPr>
        <w:t>estos</w:t>
      </w:r>
      <w:r w:rsidR="00E80047" w:rsidRPr="001F35C9">
        <w:rPr>
          <w:color w:val="auto"/>
          <w:sz w:val="20"/>
          <w:szCs w:val="20"/>
          <w:lang w:val="es-ES_tradnl"/>
        </w:rPr>
        <w:t xml:space="preserve">, debía separar el porcentaje justo para cubrir todos los conceptos que </w:t>
      </w:r>
      <w:r w:rsidR="00065375" w:rsidRPr="001F35C9">
        <w:rPr>
          <w:color w:val="auto"/>
          <w:sz w:val="20"/>
          <w:szCs w:val="20"/>
          <w:lang w:val="es-ES_tradnl"/>
        </w:rPr>
        <w:t>conforman</w:t>
      </w:r>
      <w:r w:rsidR="00E80047" w:rsidRPr="001F35C9">
        <w:rPr>
          <w:color w:val="auto"/>
          <w:sz w:val="20"/>
          <w:szCs w:val="20"/>
          <w:lang w:val="es-ES_tradnl"/>
        </w:rPr>
        <w:t xml:space="preserve"> la responsabilidad civil extracontractual como indemnización adicional para las familias de los agentes estatales. </w:t>
      </w:r>
    </w:p>
    <w:p w14:paraId="58742913" w14:textId="77777777" w:rsidR="003A4146" w:rsidRPr="001F35C9" w:rsidRDefault="003A4146" w:rsidP="003A4146">
      <w:pPr>
        <w:pStyle w:val="ListParagraph"/>
        <w:jc w:val="both"/>
        <w:rPr>
          <w:color w:val="auto"/>
          <w:sz w:val="20"/>
          <w:szCs w:val="20"/>
          <w:lang w:val="es-ES_tradnl"/>
        </w:rPr>
      </w:pPr>
    </w:p>
    <w:p w14:paraId="5B4B069A" w14:textId="799B7A3C" w:rsidR="00124133" w:rsidRPr="001F35C9" w:rsidRDefault="00065375" w:rsidP="00E07CD4">
      <w:pPr>
        <w:pStyle w:val="ListParagraph"/>
        <w:numPr>
          <w:ilvl w:val="0"/>
          <w:numId w:val="5"/>
        </w:numPr>
        <w:ind w:left="0" w:firstLine="720"/>
        <w:jc w:val="both"/>
        <w:rPr>
          <w:color w:val="auto"/>
          <w:sz w:val="20"/>
          <w:szCs w:val="20"/>
          <w:lang w:val="es-ES_tradnl"/>
        </w:rPr>
      </w:pPr>
      <w:r w:rsidRPr="001F35C9">
        <w:rPr>
          <w:color w:val="auto"/>
          <w:sz w:val="20"/>
          <w:szCs w:val="20"/>
          <w:lang w:val="es-ES_tradnl"/>
        </w:rPr>
        <w:t>Por último, l</w:t>
      </w:r>
      <w:r w:rsidR="00124133" w:rsidRPr="001F35C9">
        <w:rPr>
          <w:color w:val="auto"/>
          <w:sz w:val="20"/>
          <w:szCs w:val="20"/>
          <w:lang w:val="es-ES_tradnl"/>
        </w:rPr>
        <w:t xml:space="preserve">a parte peticionaria recalca que, en el marco de los avances en la legislación colombiana en materia de medidas de atención, asistencia y reparación integral a las víctimas de violaciones a los derechos humanos e infracciones al derecho internacional humanitario, el Estado no ha </w:t>
      </w:r>
      <w:r w:rsidR="004F06B1" w:rsidRPr="001F35C9">
        <w:rPr>
          <w:color w:val="auto"/>
          <w:sz w:val="20"/>
          <w:szCs w:val="20"/>
          <w:lang w:val="es-ES_tradnl"/>
        </w:rPr>
        <w:t xml:space="preserve">incluido </w:t>
      </w:r>
      <w:r w:rsidR="00124133" w:rsidRPr="001F35C9">
        <w:rPr>
          <w:color w:val="auto"/>
          <w:sz w:val="20"/>
          <w:szCs w:val="20"/>
          <w:lang w:val="es-ES_tradnl"/>
        </w:rPr>
        <w:t>de forma tácita o expresa a los agentes del Estado asesinados por la guerra del narcotráfico como víctimas en las normas promulgadas hasta la fecha</w:t>
      </w:r>
      <w:r w:rsidR="00DC66BF" w:rsidRPr="001F35C9">
        <w:rPr>
          <w:color w:val="auto"/>
          <w:sz w:val="20"/>
          <w:szCs w:val="20"/>
          <w:lang w:val="es-ES_tradnl"/>
        </w:rPr>
        <w:t xml:space="preserve">, a pesar de sus reiteradas solicitudes. </w:t>
      </w:r>
      <w:r w:rsidR="004F06B1" w:rsidRPr="001F35C9">
        <w:rPr>
          <w:color w:val="auto"/>
          <w:sz w:val="20"/>
          <w:szCs w:val="20"/>
          <w:lang w:val="es-ES_tradnl"/>
        </w:rPr>
        <w:t xml:space="preserve">Alega que, por el contrario, si ha </w:t>
      </w:r>
      <w:r w:rsidR="00C117D5" w:rsidRPr="001F35C9">
        <w:rPr>
          <w:color w:val="auto"/>
          <w:sz w:val="20"/>
          <w:szCs w:val="20"/>
          <w:lang w:val="es-ES_tradnl"/>
        </w:rPr>
        <w:t xml:space="preserve">reconocido </w:t>
      </w:r>
      <w:r w:rsidR="00C117D5" w:rsidRPr="001F35C9">
        <w:rPr>
          <w:color w:val="auto"/>
          <w:sz w:val="20"/>
          <w:szCs w:val="20"/>
          <w:lang w:val="es-ES_tradnl"/>
        </w:rPr>
        <w:lastRenderedPageBreak/>
        <w:t xml:space="preserve">como víctimas a otras personas que fallecieron </w:t>
      </w:r>
      <w:r w:rsidR="004F06B1" w:rsidRPr="001F35C9">
        <w:rPr>
          <w:color w:val="auto"/>
          <w:sz w:val="20"/>
          <w:szCs w:val="20"/>
          <w:lang w:val="es-ES_tradnl"/>
        </w:rPr>
        <w:t xml:space="preserve">también </w:t>
      </w:r>
      <w:r w:rsidR="00C117D5" w:rsidRPr="001F35C9">
        <w:rPr>
          <w:color w:val="auto"/>
          <w:sz w:val="20"/>
          <w:szCs w:val="20"/>
          <w:lang w:val="es-ES_tradnl"/>
        </w:rPr>
        <w:t>en la guerra contra el narcotráfico</w:t>
      </w:r>
      <w:r w:rsidR="004F06B1" w:rsidRPr="001F35C9">
        <w:rPr>
          <w:color w:val="auto"/>
          <w:sz w:val="20"/>
          <w:szCs w:val="20"/>
          <w:lang w:val="es-ES_tradnl"/>
        </w:rPr>
        <w:t xml:space="preserve">, como </w:t>
      </w:r>
      <w:r w:rsidR="006C3852" w:rsidRPr="001F35C9">
        <w:rPr>
          <w:color w:val="auto"/>
          <w:sz w:val="20"/>
          <w:szCs w:val="20"/>
          <w:lang w:val="es-ES_tradnl"/>
        </w:rPr>
        <w:t xml:space="preserve">por ejemplo </w:t>
      </w:r>
      <w:r w:rsidR="004F06B1" w:rsidRPr="001F35C9">
        <w:rPr>
          <w:color w:val="auto"/>
          <w:sz w:val="20"/>
          <w:szCs w:val="20"/>
          <w:lang w:val="es-ES_tradnl"/>
        </w:rPr>
        <w:t xml:space="preserve">las personas fallecidas en la explosión planificada por Pablo Escobar del avión de Avianca, cuyas familias </w:t>
      </w:r>
      <w:r w:rsidR="006C3852" w:rsidRPr="001F35C9">
        <w:rPr>
          <w:color w:val="auto"/>
          <w:sz w:val="20"/>
          <w:szCs w:val="20"/>
          <w:lang w:val="es-ES_tradnl"/>
        </w:rPr>
        <w:t xml:space="preserve">podrán ser indemnizadas en virtud de </w:t>
      </w:r>
      <w:r w:rsidR="00FF49AF" w:rsidRPr="001F35C9">
        <w:rPr>
          <w:color w:val="auto"/>
          <w:sz w:val="20"/>
          <w:szCs w:val="20"/>
          <w:lang w:val="es-ES_tradnl"/>
        </w:rPr>
        <w:t>la Ley 1424 de diciembre de 2010 y la General de la Nación de diciembre de 2009</w:t>
      </w:r>
      <w:r w:rsidR="006C3852" w:rsidRPr="001F35C9">
        <w:rPr>
          <w:color w:val="auto"/>
          <w:sz w:val="20"/>
          <w:szCs w:val="20"/>
          <w:lang w:val="es-ES_tradnl"/>
        </w:rPr>
        <w:t xml:space="preserve">. </w:t>
      </w:r>
    </w:p>
    <w:p w14:paraId="4A2EBB1E" w14:textId="77777777" w:rsidR="00E5299A" w:rsidRPr="001F35C9" w:rsidRDefault="00E5299A" w:rsidP="00E5299A">
      <w:pPr>
        <w:pStyle w:val="ListParagraph"/>
        <w:jc w:val="both"/>
        <w:rPr>
          <w:color w:val="auto"/>
          <w:sz w:val="20"/>
          <w:szCs w:val="20"/>
          <w:lang w:val="es-ES_tradnl"/>
        </w:rPr>
      </w:pPr>
    </w:p>
    <w:p w14:paraId="37B52FD6" w14:textId="019CA668" w:rsidR="00FC6E50" w:rsidRPr="001F35C9" w:rsidRDefault="00A30742"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eastAsiaTheme="minorHAnsi" w:cs="GillSansMT"/>
          <w:color w:val="auto"/>
          <w:sz w:val="20"/>
          <w:szCs w:val="20"/>
          <w:bdr w:val="none" w:sz="0" w:space="0" w:color="auto"/>
          <w:lang w:val="es-ES_tradnl"/>
        </w:rPr>
      </w:pPr>
      <w:r w:rsidRPr="001F35C9">
        <w:rPr>
          <w:rFonts w:eastAsiaTheme="minorHAnsi" w:cs="GillSansMT"/>
          <w:color w:val="auto"/>
          <w:sz w:val="20"/>
          <w:szCs w:val="20"/>
          <w:bdr w:val="none" w:sz="0" w:space="0" w:color="auto"/>
          <w:lang w:val="es-ES_tradnl"/>
        </w:rPr>
        <w:t>Por su parte</w:t>
      </w:r>
      <w:r w:rsidR="00436F4A" w:rsidRPr="001F35C9">
        <w:rPr>
          <w:rFonts w:eastAsiaTheme="minorHAnsi" w:cs="GillSansMT"/>
          <w:color w:val="auto"/>
          <w:sz w:val="20"/>
          <w:szCs w:val="20"/>
          <w:bdr w:val="none" w:sz="0" w:space="0" w:color="auto"/>
          <w:lang w:val="es-ES_tradnl"/>
        </w:rPr>
        <w:t xml:space="preserve">, </w:t>
      </w:r>
      <w:r w:rsidRPr="001F35C9">
        <w:rPr>
          <w:rFonts w:eastAsiaTheme="minorHAnsi" w:cs="GillSansMT"/>
          <w:color w:val="auto"/>
          <w:sz w:val="20"/>
          <w:szCs w:val="20"/>
          <w:bdr w:val="none" w:sz="0" w:space="0" w:color="auto"/>
          <w:lang w:val="es-ES_tradnl"/>
        </w:rPr>
        <w:t xml:space="preserve">el </w:t>
      </w:r>
      <w:r w:rsidR="000F2DAA" w:rsidRPr="001F35C9">
        <w:rPr>
          <w:rFonts w:eastAsiaTheme="minorHAnsi" w:cs="GillSansMT"/>
          <w:color w:val="auto"/>
          <w:sz w:val="20"/>
          <w:szCs w:val="20"/>
          <w:bdr w:val="none" w:sz="0" w:space="0" w:color="auto"/>
          <w:lang w:val="es-ES_tradnl"/>
        </w:rPr>
        <w:t>E</w:t>
      </w:r>
      <w:r w:rsidRPr="001F35C9">
        <w:rPr>
          <w:rFonts w:eastAsiaTheme="minorHAnsi" w:cs="GillSansMT"/>
          <w:color w:val="auto"/>
          <w:sz w:val="20"/>
          <w:szCs w:val="20"/>
          <w:bdr w:val="none" w:sz="0" w:space="0" w:color="auto"/>
          <w:lang w:val="es-ES_tradnl"/>
        </w:rPr>
        <w:t xml:space="preserve">stado </w:t>
      </w:r>
      <w:r w:rsidR="00596573" w:rsidRPr="001F35C9">
        <w:rPr>
          <w:color w:val="auto"/>
          <w:sz w:val="20"/>
          <w:szCs w:val="20"/>
          <w:lang w:val="es-ES_tradnl"/>
        </w:rPr>
        <w:t>argumenta</w:t>
      </w:r>
      <w:r w:rsidRPr="001F35C9">
        <w:rPr>
          <w:color w:val="auto"/>
          <w:sz w:val="20"/>
          <w:szCs w:val="20"/>
          <w:lang w:val="es-ES_tradnl"/>
        </w:rPr>
        <w:t xml:space="preserve"> que </w:t>
      </w:r>
      <w:r w:rsidR="0011555C" w:rsidRPr="001F35C9">
        <w:rPr>
          <w:color w:val="auto"/>
          <w:sz w:val="20"/>
          <w:szCs w:val="20"/>
          <w:lang w:val="es-ES_tradnl"/>
        </w:rPr>
        <w:t>l</w:t>
      </w:r>
      <w:r w:rsidRPr="001F35C9">
        <w:rPr>
          <w:color w:val="auto"/>
          <w:sz w:val="20"/>
          <w:szCs w:val="20"/>
          <w:lang w:val="es-ES_tradnl"/>
        </w:rPr>
        <w:t xml:space="preserve">a petición es manifiestamente infundada pues </w:t>
      </w:r>
      <w:r w:rsidR="00867BDC" w:rsidRPr="001F35C9">
        <w:rPr>
          <w:color w:val="auto"/>
          <w:sz w:val="20"/>
          <w:szCs w:val="20"/>
          <w:lang w:val="es-ES_tradnl"/>
        </w:rPr>
        <w:t xml:space="preserve">la pretensión de la </w:t>
      </w:r>
      <w:r w:rsidR="00436F4A" w:rsidRPr="001F35C9">
        <w:rPr>
          <w:color w:val="auto"/>
          <w:sz w:val="20"/>
          <w:szCs w:val="20"/>
          <w:lang w:val="es-ES_tradnl"/>
        </w:rPr>
        <w:t xml:space="preserve">parte peticionaria </w:t>
      </w:r>
      <w:r w:rsidR="003F3DF9" w:rsidRPr="001F35C9">
        <w:rPr>
          <w:color w:val="auto"/>
          <w:sz w:val="20"/>
          <w:szCs w:val="20"/>
          <w:lang w:val="es-ES_tradnl"/>
        </w:rPr>
        <w:t xml:space="preserve">sobre el derecho </w:t>
      </w:r>
      <w:r w:rsidR="00867BDC" w:rsidRPr="001F35C9">
        <w:rPr>
          <w:color w:val="auto"/>
          <w:sz w:val="20"/>
          <w:szCs w:val="20"/>
          <w:lang w:val="es-ES_tradnl"/>
        </w:rPr>
        <w:t xml:space="preserve">a una indemnización adicional </w:t>
      </w:r>
      <w:r w:rsidR="003F3DF9" w:rsidRPr="001F35C9">
        <w:rPr>
          <w:color w:val="auto"/>
          <w:sz w:val="20"/>
          <w:szCs w:val="20"/>
          <w:lang w:val="es-ES_tradnl"/>
        </w:rPr>
        <w:t xml:space="preserve">de los familiares de </w:t>
      </w:r>
      <w:r w:rsidR="00C117D5" w:rsidRPr="001F35C9">
        <w:rPr>
          <w:color w:val="auto"/>
          <w:sz w:val="20"/>
          <w:szCs w:val="20"/>
          <w:lang w:val="es-ES_tradnl"/>
        </w:rPr>
        <w:t xml:space="preserve">los sesenta y </w:t>
      </w:r>
      <w:r w:rsidR="004144FD" w:rsidRPr="001F35C9">
        <w:rPr>
          <w:color w:val="auto"/>
          <w:sz w:val="20"/>
          <w:szCs w:val="20"/>
          <w:lang w:val="es-ES_tradnl"/>
        </w:rPr>
        <w:t>tres</w:t>
      </w:r>
      <w:r w:rsidR="00C117D5" w:rsidRPr="001F35C9">
        <w:rPr>
          <w:color w:val="auto"/>
          <w:sz w:val="20"/>
          <w:szCs w:val="20"/>
          <w:lang w:val="es-ES_tradnl"/>
        </w:rPr>
        <w:t xml:space="preserve"> policías asesinados </w:t>
      </w:r>
      <w:r w:rsidR="009E2D91" w:rsidRPr="001F35C9">
        <w:rPr>
          <w:color w:val="auto"/>
          <w:sz w:val="20"/>
          <w:szCs w:val="20"/>
          <w:lang w:val="es-ES_tradnl"/>
        </w:rPr>
        <w:t xml:space="preserve">en referencia </w:t>
      </w:r>
      <w:r w:rsidR="00867BDC" w:rsidRPr="001F35C9">
        <w:rPr>
          <w:color w:val="auto"/>
          <w:sz w:val="20"/>
          <w:szCs w:val="20"/>
          <w:lang w:val="es-ES_tradnl"/>
        </w:rPr>
        <w:t xml:space="preserve">a los </w:t>
      </w:r>
      <w:r w:rsidR="009E2D91" w:rsidRPr="001F35C9">
        <w:rPr>
          <w:color w:val="auto"/>
          <w:sz w:val="20"/>
          <w:szCs w:val="20"/>
          <w:lang w:val="es-ES_tradnl"/>
        </w:rPr>
        <w:t xml:space="preserve">bienes producto del narcotráfico </w:t>
      </w:r>
      <w:r w:rsidR="00FC6E50" w:rsidRPr="001F35C9">
        <w:rPr>
          <w:color w:val="auto"/>
          <w:sz w:val="20"/>
          <w:szCs w:val="20"/>
          <w:lang w:val="es-ES_tradnl"/>
        </w:rPr>
        <w:t>incautados por el Estado</w:t>
      </w:r>
      <w:r w:rsidR="00867BDC" w:rsidRPr="001F35C9">
        <w:rPr>
          <w:color w:val="auto"/>
          <w:sz w:val="20"/>
          <w:szCs w:val="20"/>
          <w:lang w:val="es-ES_tradnl"/>
        </w:rPr>
        <w:t xml:space="preserve"> no tiene sustento jurídico</w:t>
      </w:r>
      <w:r w:rsidR="00FC6E50" w:rsidRPr="001F35C9">
        <w:rPr>
          <w:color w:val="auto"/>
          <w:sz w:val="20"/>
          <w:szCs w:val="20"/>
          <w:lang w:val="es-ES_tradnl"/>
        </w:rPr>
        <w:t xml:space="preserve"> </w:t>
      </w:r>
      <w:r w:rsidR="00BC5D5C" w:rsidRPr="001F35C9">
        <w:rPr>
          <w:color w:val="auto"/>
          <w:sz w:val="20"/>
          <w:szCs w:val="20"/>
          <w:lang w:val="es-ES_tradnl"/>
        </w:rPr>
        <w:t>alguno</w:t>
      </w:r>
      <w:r w:rsidR="008358D3" w:rsidRPr="001F35C9">
        <w:rPr>
          <w:color w:val="auto"/>
          <w:sz w:val="20"/>
          <w:szCs w:val="20"/>
          <w:lang w:val="es-ES_tradnl"/>
        </w:rPr>
        <w:t xml:space="preserve">; </w:t>
      </w:r>
      <w:r w:rsidR="00FC6E50" w:rsidRPr="001F35C9">
        <w:rPr>
          <w:color w:val="auto"/>
          <w:sz w:val="20"/>
          <w:szCs w:val="20"/>
          <w:lang w:val="es-ES_tradnl"/>
        </w:rPr>
        <w:t>y la parte peticionaria no ha invocado disposición legal que otorg</w:t>
      </w:r>
      <w:r w:rsidR="00ED4B60" w:rsidRPr="001F35C9">
        <w:rPr>
          <w:color w:val="auto"/>
          <w:sz w:val="20"/>
          <w:szCs w:val="20"/>
          <w:lang w:val="es-ES_tradnl"/>
        </w:rPr>
        <w:t>ue</w:t>
      </w:r>
      <w:r w:rsidR="00FC6E50" w:rsidRPr="001F35C9">
        <w:rPr>
          <w:color w:val="auto"/>
          <w:sz w:val="20"/>
          <w:szCs w:val="20"/>
          <w:lang w:val="es-ES_tradnl"/>
        </w:rPr>
        <w:t xml:space="preserve"> a las presuntas víctimas </w:t>
      </w:r>
      <w:r w:rsidR="00BC5D5C" w:rsidRPr="001F35C9">
        <w:rPr>
          <w:color w:val="auto"/>
          <w:sz w:val="20"/>
          <w:szCs w:val="20"/>
          <w:lang w:val="es-ES_tradnl"/>
        </w:rPr>
        <w:t>tal</w:t>
      </w:r>
      <w:r w:rsidR="00FC6E50" w:rsidRPr="001F35C9">
        <w:rPr>
          <w:color w:val="auto"/>
          <w:sz w:val="20"/>
          <w:szCs w:val="20"/>
          <w:lang w:val="es-ES_tradnl"/>
        </w:rPr>
        <w:t xml:space="preserve"> derecho</w:t>
      </w:r>
      <w:r w:rsidR="00867BDC" w:rsidRPr="001F35C9">
        <w:rPr>
          <w:color w:val="auto"/>
          <w:sz w:val="20"/>
          <w:szCs w:val="20"/>
          <w:lang w:val="es-ES_tradnl"/>
        </w:rPr>
        <w:t>.</w:t>
      </w:r>
      <w:r w:rsidR="00ED4B60" w:rsidRPr="001F35C9">
        <w:rPr>
          <w:color w:val="auto"/>
          <w:sz w:val="20"/>
          <w:szCs w:val="20"/>
          <w:lang w:val="es-ES_tradnl"/>
        </w:rPr>
        <w:t xml:space="preserve"> </w:t>
      </w:r>
    </w:p>
    <w:p w14:paraId="47F54771" w14:textId="77777777" w:rsidR="00E5299A" w:rsidRPr="001F35C9" w:rsidRDefault="00E5299A" w:rsidP="00E529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eastAsiaTheme="minorHAnsi" w:hAnsi="Cambria" w:cs="GillSansMT"/>
          <w:sz w:val="20"/>
          <w:szCs w:val="20"/>
          <w:bdr w:val="none" w:sz="0" w:space="0" w:color="auto"/>
          <w:lang w:val="es-ES_tradnl"/>
        </w:rPr>
      </w:pPr>
    </w:p>
    <w:p w14:paraId="6505A79C" w14:textId="58299917" w:rsidR="00544A38" w:rsidRPr="001F35C9" w:rsidRDefault="00213031"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color w:val="auto"/>
          <w:sz w:val="20"/>
          <w:szCs w:val="20"/>
          <w:lang w:val="es-ES_tradnl"/>
        </w:rPr>
      </w:pPr>
      <w:r w:rsidRPr="001F35C9">
        <w:rPr>
          <w:color w:val="auto"/>
          <w:sz w:val="20"/>
          <w:szCs w:val="20"/>
          <w:lang w:val="es-ES_tradnl"/>
        </w:rPr>
        <w:t xml:space="preserve">Argumenta que los familiares de los policías asesinados en servicio por narcotraficantes, tal como lo acepta la parte peticionaria, recibieron una indemnización especial llamada por la jurisprudencia como </w:t>
      </w:r>
      <w:r w:rsidRPr="001F35C9">
        <w:rPr>
          <w:iCs/>
          <w:color w:val="auto"/>
          <w:sz w:val="20"/>
          <w:szCs w:val="20"/>
          <w:lang w:val="es-ES_tradnl"/>
        </w:rPr>
        <w:t>indemnización</w:t>
      </w:r>
      <w:r w:rsidRPr="001F35C9">
        <w:rPr>
          <w:i/>
          <w:iCs/>
          <w:color w:val="auto"/>
          <w:sz w:val="20"/>
          <w:szCs w:val="20"/>
          <w:lang w:val="es-ES_tradnl"/>
        </w:rPr>
        <w:t xml:space="preserve"> </w:t>
      </w:r>
      <w:r w:rsidR="00065375" w:rsidRPr="001F35C9">
        <w:rPr>
          <w:i/>
          <w:iCs/>
          <w:color w:val="auto"/>
          <w:sz w:val="20"/>
          <w:szCs w:val="20"/>
          <w:lang w:val="es-ES_tradnl"/>
        </w:rPr>
        <w:t>“</w:t>
      </w:r>
      <w:r w:rsidRPr="001F35C9">
        <w:rPr>
          <w:i/>
          <w:iCs/>
          <w:color w:val="auto"/>
          <w:sz w:val="20"/>
          <w:szCs w:val="20"/>
          <w:lang w:val="es-ES_tradnl"/>
        </w:rPr>
        <w:t>a forfait</w:t>
      </w:r>
      <w:r w:rsidR="00065375" w:rsidRPr="001F35C9">
        <w:rPr>
          <w:i/>
          <w:iCs/>
          <w:color w:val="auto"/>
          <w:sz w:val="20"/>
          <w:szCs w:val="20"/>
          <w:lang w:val="es-ES_tradnl"/>
        </w:rPr>
        <w:t xml:space="preserve">” </w:t>
      </w:r>
      <w:r w:rsidRPr="001F35C9">
        <w:rPr>
          <w:color w:val="auto"/>
          <w:sz w:val="20"/>
          <w:szCs w:val="20"/>
          <w:lang w:val="es-ES_tradnl"/>
        </w:rPr>
        <w:t xml:space="preserve">a la que tenían derecho de acuerdo con el Decreto 1213 de 1990. </w:t>
      </w:r>
      <w:r w:rsidR="00436F4A" w:rsidRPr="001F35C9">
        <w:rPr>
          <w:color w:val="auto"/>
          <w:sz w:val="20"/>
          <w:szCs w:val="20"/>
          <w:lang w:val="es-ES_tradnl"/>
        </w:rPr>
        <w:t>Explica que e</w:t>
      </w:r>
      <w:r w:rsidRPr="001F35C9">
        <w:rPr>
          <w:color w:val="auto"/>
          <w:sz w:val="20"/>
          <w:szCs w:val="20"/>
          <w:lang w:val="es-ES_tradnl"/>
        </w:rPr>
        <w:t>sta respond</w:t>
      </w:r>
      <w:r w:rsidR="00F15A56" w:rsidRPr="001F35C9">
        <w:rPr>
          <w:color w:val="auto"/>
          <w:sz w:val="20"/>
          <w:szCs w:val="20"/>
          <w:lang w:val="es-ES_tradnl"/>
        </w:rPr>
        <w:t xml:space="preserve">e </w:t>
      </w:r>
      <w:r w:rsidRPr="001F35C9">
        <w:rPr>
          <w:color w:val="auto"/>
          <w:sz w:val="20"/>
          <w:szCs w:val="20"/>
          <w:lang w:val="es-ES_tradnl"/>
        </w:rPr>
        <w:t>a</w:t>
      </w:r>
      <w:r w:rsidR="00A30742" w:rsidRPr="001F35C9">
        <w:rPr>
          <w:color w:val="auto"/>
          <w:sz w:val="20"/>
          <w:szCs w:val="20"/>
          <w:lang w:val="es-ES_tradnl"/>
        </w:rPr>
        <w:t>l régimen protector de</w:t>
      </w:r>
      <w:r w:rsidRPr="001F35C9">
        <w:rPr>
          <w:color w:val="auto"/>
          <w:sz w:val="20"/>
          <w:szCs w:val="20"/>
          <w:lang w:val="es-ES_tradnl"/>
        </w:rPr>
        <w:t>l</w:t>
      </w:r>
      <w:r w:rsidR="00A30742" w:rsidRPr="001F35C9">
        <w:rPr>
          <w:color w:val="auto"/>
          <w:sz w:val="20"/>
          <w:szCs w:val="20"/>
          <w:lang w:val="es-ES_tradnl"/>
        </w:rPr>
        <w:t xml:space="preserve"> </w:t>
      </w:r>
      <w:r w:rsidRPr="001F35C9">
        <w:rPr>
          <w:color w:val="auto"/>
          <w:sz w:val="20"/>
          <w:szCs w:val="20"/>
          <w:lang w:val="es-ES_tradnl"/>
        </w:rPr>
        <w:t xml:space="preserve">derecho colombiano </w:t>
      </w:r>
      <w:r w:rsidR="00A30742" w:rsidRPr="001F35C9">
        <w:rPr>
          <w:color w:val="auto"/>
          <w:sz w:val="20"/>
          <w:szCs w:val="20"/>
          <w:lang w:val="es-ES_tradnl"/>
        </w:rPr>
        <w:t>para los familiares de policías que mueren en ejecución de actos de servicio</w:t>
      </w:r>
      <w:r w:rsidR="00BC5D5C" w:rsidRPr="001F35C9">
        <w:rPr>
          <w:color w:val="auto"/>
          <w:sz w:val="20"/>
          <w:szCs w:val="20"/>
          <w:lang w:val="es-ES_tradnl"/>
        </w:rPr>
        <w:t>, que</w:t>
      </w:r>
      <w:r w:rsidR="0011555C" w:rsidRPr="001F35C9">
        <w:rPr>
          <w:color w:val="auto"/>
          <w:sz w:val="20"/>
          <w:szCs w:val="20"/>
          <w:lang w:val="es-ES_tradnl"/>
        </w:rPr>
        <w:t xml:space="preserve"> </w:t>
      </w:r>
      <w:r w:rsidR="00A30742" w:rsidRPr="001F35C9">
        <w:rPr>
          <w:color w:val="auto"/>
          <w:sz w:val="20"/>
          <w:szCs w:val="20"/>
          <w:lang w:val="es-ES_tradnl"/>
        </w:rPr>
        <w:t xml:space="preserve">incluye </w:t>
      </w:r>
      <w:r w:rsidR="00436F4A" w:rsidRPr="001F35C9">
        <w:rPr>
          <w:color w:val="auto"/>
          <w:sz w:val="20"/>
          <w:szCs w:val="20"/>
          <w:lang w:val="es-ES_tradnl"/>
        </w:rPr>
        <w:t xml:space="preserve">una </w:t>
      </w:r>
      <w:r w:rsidR="00A30742" w:rsidRPr="001F35C9">
        <w:rPr>
          <w:color w:val="auto"/>
          <w:sz w:val="20"/>
          <w:szCs w:val="20"/>
          <w:lang w:val="es-ES_tradnl"/>
        </w:rPr>
        <w:t>serie de compensaciones, reconocimientos patrimoniales y prestacionales especiales</w:t>
      </w:r>
      <w:r w:rsidRPr="001F35C9">
        <w:rPr>
          <w:color w:val="auto"/>
          <w:sz w:val="20"/>
          <w:szCs w:val="20"/>
          <w:lang w:val="es-ES_tradnl"/>
        </w:rPr>
        <w:t xml:space="preserve"> y actúa como </w:t>
      </w:r>
      <w:r w:rsidR="00A30742" w:rsidRPr="001F35C9">
        <w:rPr>
          <w:color w:val="auto"/>
          <w:sz w:val="20"/>
          <w:szCs w:val="20"/>
          <w:lang w:val="es-ES_tradnl"/>
        </w:rPr>
        <w:t>un régimen de responsabilidad objetiva</w:t>
      </w:r>
      <w:r w:rsidRPr="001F35C9">
        <w:rPr>
          <w:color w:val="auto"/>
          <w:sz w:val="20"/>
          <w:szCs w:val="20"/>
          <w:lang w:val="es-ES_tradnl"/>
        </w:rPr>
        <w:t xml:space="preserve"> </w:t>
      </w:r>
      <w:r w:rsidR="00F15A56" w:rsidRPr="001F35C9">
        <w:rPr>
          <w:color w:val="auto"/>
          <w:sz w:val="20"/>
          <w:szCs w:val="20"/>
          <w:lang w:val="es-ES_tradnl"/>
        </w:rPr>
        <w:t>que</w:t>
      </w:r>
      <w:r w:rsidR="00A30742" w:rsidRPr="001F35C9">
        <w:rPr>
          <w:color w:val="auto"/>
          <w:sz w:val="20"/>
          <w:szCs w:val="20"/>
          <w:lang w:val="es-ES_tradnl"/>
        </w:rPr>
        <w:t xml:space="preserve"> surge en todos los casos sin consideración </w:t>
      </w:r>
      <w:r w:rsidR="00BC5D5C" w:rsidRPr="001F35C9">
        <w:rPr>
          <w:color w:val="auto"/>
          <w:sz w:val="20"/>
          <w:szCs w:val="20"/>
          <w:lang w:val="es-ES_tradnl"/>
        </w:rPr>
        <w:t>de</w:t>
      </w:r>
      <w:r w:rsidR="00A30742" w:rsidRPr="001F35C9">
        <w:rPr>
          <w:color w:val="auto"/>
          <w:sz w:val="20"/>
          <w:szCs w:val="20"/>
          <w:lang w:val="es-ES_tradnl"/>
        </w:rPr>
        <w:t xml:space="preserve"> la culpa o falla del servicio. </w:t>
      </w:r>
      <w:r w:rsidR="008358D3" w:rsidRPr="001F35C9">
        <w:rPr>
          <w:color w:val="auto"/>
          <w:sz w:val="20"/>
          <w:szCs w:val="20"/>
          <w:lang w:val="es-ES_tradnl"/>
        </w:rPr>
        <w:t xml:space="preserve">Sostiene que la afirmación de la parte peticionaria sobre la obligación de la DNE de otorgar a las presuntas víctimas una </w:t>
      </w:r>
      <w:r w:rsidR="00065375" w:rsidRPr="001F35C9">
        <w:rPr>
          <w:color w:val="auto"/>
          <w:sz w:val="20"/>
          <w:szCs w:val="20"/>
          <w:lang w:val="es-ES_tradnl"/>
        </w:rPr>
        <w:t>i</w:t>
      </w:r>
      <w:r w:rsidR="008358D3" w:rsidRPr="001F35C9">
        <w:rPr>
          <w:color w:val="auto"/>
          <w:sz w:val="20"/>
          <w:szCs w:val="20"/>
          <w:lang w:val="es-ES_tradnl"/>
        </w:rPr>
        <w:t>ndemnización adicional, desconoce el fundamento básico de la institución de la responsabilidad civil extracontractual, ya que para que surja la obligación de reparar un daño, el hecho causante del mismo debe ser imputable al sujeto que se reputa como presunto responsable. En el caso concreto, los homicidios de los miembros de la Policía Nacional fueron cometidos por terceros.</w:t>
      </w:r>
    </w:p>
    <w:p w14:paraId="4EE2FEB7"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_tradnl"/>
        </w:rPr>
      </w:pPr>
    </w:p>
    <w:p w14:paraId="48B6C8B9" w14:textId="755299E1" w:rsidR="00D063E4" w:rsidRPr="001F35C9" w:rsidRDefault="00544A38"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color w:val="auto"/>
          <w:sz w:val="20"/>
          <w:szCs w:val="20"/>
          <w:lang w:val="es-ES_tradnl"/>
        </w:rPr>
      </w:pPr>
      <w:r w:rsidRPr="001F35C9">
        <w:rPr>
          <w:color w:val="auto"/>
          <w:sz w:val="20"/>
          <w:szCs w:val="20"/>
          <w:lang w:val="es-ES_tradnl"/>
        </w:rPr>
        <w:t xml:space="preserve">El Estado sostiene que </w:t>
      </w:r>
      <w:r w:rsidR="00D063E4" w:rsidRPr="001F35C9">
        <w:rPr>
          <w:color w:val="auto"/>
          <w:sz w:val="20"/>
          <w:szCs w:val="20"/>
          <w:lang w:val="es-ES_tradnl"/>
        </w:rPr>
        <w:t xml:space="preserve">el Ministerio del Interior, Acción Social, la Unidad de Víctimas y la </w:t>
      </w:r>
      <w:r w:rsidR="00BC5D5C" w:rsidRPr="001F35C9">
        <w:rPr>
          <w:color w:val="auto"/>
          <w:sz w:val="20"/>
          <w:szCs w:val="20"/>
          <w:lang w:val="es-ES_tradnl"/>
        </w:rPr>
        <w:t>DNE</w:t>
      </w:r>
      <w:r w:rsidR="00D063E4" w:rsidRPr="001F35C9">
        <w:rPr>
          <w:color w:val="auto"/>
          <w:sz w:val="20"/>
          <w:szCs w:val="20"/>
          <w:lang w:val="es-ES_tradnl"/>
        </w:rPr>
        <w:t xml:space="preserve"> expusieron las razones por las </w:t>
      </w:r>
      <w:r w:rsidR="00B97F04" w:rsidRPr="001F35C9">
        <w:rPr>
          <w:color w:val="auto"/>
          <w:sz w:val="20"/>
          <w:szCs w:val="20"/>
          <w:lang w:val="es-ES_tradnl"/>
        </w:rPr>
        <w:t>que</w:t>
      </w:r>
      <w:r w:rsidR="00D063E4" w:rsidRPr="001F35C9">
        <w:rPr>
          <w:color w:val="auto"/>
          <w:sz w:val="20"/>
          <w:szCs w:val="20"/>
          <w:lang w:val="es-ES_tradnl"/>
        </w:rPr>
        <w:t xml:space="preserve"> las presuntas víctimas no eran beneficiari</w:t>
      </w:r>
      <w:r w:rsidR="00B97F04" w:rsidRPr="001F35C9">
        <w:rPr>
          <w:color w:val="auto"/>
          <w:sz w:val="20"/>
          <w:szCs w:val="20"/>
          <w:lang w:val="es-ES_tradnl"/>
        </w:rPr>
        <w:t>as</w:t>
      </w:r>
      <w:r w:rsidR="00D063E4" w:rsidRPr="001F35C9">
        <w:rPr>
          <w:color w:val="auto"/>
          <w:sz w:val="20"/>
          <w:szCs w:val="20"/>
          <w:lang w:val="es-ES_tradnl"/>
        </w:rPr>
        <w:t xml:space="preserve"> de los programas de reparación a los </w:t>
      </w:r>
      <w:r w:rsidR="00B97F04" w:rsidRPr="001F35C9">
        <w:rPr>
          <w:color w:val="auto"/>
          <w:sz w:val="20"/>
          <w:szCs w:val="20"/>
          <w:lang w:val="es-ES_tradnl"/>
        </w:rPr>
        <w:t>que</w:t>
      </w:r>
      <w:r w:rsidR="00D063E4" w:rsidRPr="001F35C9">
        <w:rPr>
          <w:color w:val="auto"/>
          <w:sz w:val="20"/>
          <w:szCs w:val="20"/>
          <w:lang w:val="es-ES_tradnl"/>
        </w:rPr>
        <w:t xml:space="preserve"> pretendían acceder. </w:t>
      </w:r>
      <w:r w:rsidR="004452B0" w:rsidRPr="001F35C9">
        <w:rPr>
          <w:color w:val="auto"/>
          <w:sz w:val="20"/>
          <w:szCs w:val="20"/>
          <w:lang w:val="es-ES_tradnl"/>
        </w:rPr>
        <w:t>Destaca en</w:t>
      </w:r>
      <w:r w:rsidR="00D063E4" w:rsidRPr="001F35C9">
        <w:rPr>
          <w:color w:val="auto"/>
          <w:sz w:val="20"/>
          <w:szCs w:val="20"/>
          <w:lang w:val="es-ES_tradnl"/>
        </w:rPr>
        <w:t xml:space="preserve"> particular que el Ministerio del Interior y de Justicia precisó en diferentes oportunidades que </w:t>
      </w:r>
      <w:r w:rsidR="004452B0" w:rsidRPr="001F35C9">
        <w:rPr>
          <w:color w:val="auto"/>
          <w:sz w:val="20"/>
          <w:szCs w:val="20"/>
          <w:lang w:val="es-ES_tradnl"/>
        </w:rPr>
        <w:t xml:space="preserve">los </w:t>
      </w:r>
      <w:r w:rsidR="00D063E4" w:rsidRPr="001F35C9">
        <w:rPr>
          <w:color w:val="auto"/>
          <w:sz w:val="20"/>
          <w:szCs w:val="20"/>
          <w:lang w:val="es-ES_tradnl"/>
        </w:rPr>
        <w:t xml:space="preserve">ex agentes de Policía asesinados por </w:t>
      </w:r>
      <w:r w:rsidRPr="001F35C9">
        <w:rPr>
          <w:color w:val="auto"/>
          <w:sz w:val="20"/>
          <w:szCs w:val="20"/>
          <w:lang w:val="es-ES_tradnl"/>
        </w:rPr>
        <w:t>n</w:t>
      </w:r>
      <w:r w:rsidR="00D063E4" w:rsidRPr="001F35C9">
        <w:rPr>
          <w:color w:val="auto"/>
          <w:sz w:val="20"/>
          <w:szCs w:val="20"/>
          <w:lang w:val="es-ES_tradnl"/>
        </w:rPr>
        <w:t xml:space="preserve">arcotraficantes no estaban cobijados por la reparación contenida en la </w:t>
      </w:r>
      <w:r w:rsidR="004452B0" w:rsidRPr="001F35C9">
        <w:rPr>
          <w:color w:val="auto"/>
          <w:sz w:val="20"/>
          <w:szCs w:val="20"/>
          <w:lang w:val="es-ES_tradnl"/>
        </w:rPr>
        <w:t>L</w:t>
      </w:r>
      <w:r w:rsidR="00D063E4" w:rsidRPr="001F35C9">
        <w:rPr>
          <w:color w:val="auto"/>
          <w:sz w:val="20"/>
          <w:szCs w:val="20"/>
          <w:lang w:val="es-ES_tradnl"/>
        </w:rPr>
        <w:t>ey 1448 de 2011</w:t>
      </w:r>
      <w:r w:rsidR="004452B0" w:rsidRPr="001F35C9">
        <w:rPr>
          <w:color w:val="auto"/>
          <w:sz w:val="20"/>
          <w:szCs w:val="20"/>
          <w:lang w:val="es-ES_tradnl"/>
        </w:rPr>
        <w:t>,</w:t>
      </w:r>
      <w:r w:rsidR="00D063E4" w:rsidRPr="001F35C9">
        <w:rPr>
          <w:color w:val="auto"/>
          <w:sz w:val="20"/>
          <w:szCs w:val="20"/>
          <w:lang w:val="es-ES_tradnl"/>
        </w:rPr>
        <w:t xml:space="preserve"> pues el parágrafo primero de</w:t>
      </w:r>
      <w:r w:rsidR="004452B0" w:rsidRPr="001F35C9">
        <w:rPr>
          <w:color w:val="auto"/>
          <w:sz w:val="20"/>
          <w:szCs w:val="20"/>
          <w:lang w:val="es-ES_tradnl"/>
        </w:rPr>
        <w:t xml:space="preserve"> su</w:t>
      </w:r>
      <w:r w:rsidR="00D063E4" w:rsidRPr="001F35C9">
        <w:rPr>
          <w:color w:val="auto"/>
          <w:sz w:val="20"/>
          <w:szCs w:val="20"/>
          <w:lang w:val="es-ES_tradnl"/>
        </w:rPr>
        <w:t xml:space="preserve"> artículo 4 disponía que </w:t>
      </w:r>
      <w:r w:rsidR="004452B0" w:rsidRPr="001F35C9">
        <w:rPr>
          <w:color w:val="auto"/>
          <w:sz w:val="20"/>
          <w:szCs w:val="20"/>
          <w:lang w:val="es-ES_tradnl"/>
        </w:rPr>
        <w:t>tales</w:t>
      </w:r>
      <w:r w:rsidR="00D063E4" w:rsidRPr="001F35C9">
        <w:rPr>
          <w:color w:val="auto"/>
          <w:sz w:val="20"/>
          <w:szCs w:val="20"/>
          <w:lang w:val="es-ES_tradnl"/>
        </w:rPr>
        <w:t xml:space="preserve"> reparaciones se regían por el régimen especial aplicable. </w:t>
      </w:r>
      <w:r w:rsidRPr="001F35C9">
        <w:rPr>
          <w:color w:val="auto"/>
          <w:sz w:val="20"/>
          <w:szCs w:val="20"/>
          <w:lang w:val="es-ES_tradnl"/>
        </w:rPr>
        <w:t>Asimismo, s</w:t>
      </w:r>
      <w:r w:rsidR="00D063E4" w:rsidRPr="001F35C9">
        <w:rPr>
          <w:color w:val="auto"/>
          <w:sz w:val="20"/>
          <w:szCs w:val="20"/>
          <w:lang w:val="es-ES_tradnl"/>
        </w:rPr>
        <w:t>ostiene que la Acción Social informó que las reparaciones dispuestas en la ley 418 de 1997 no tienen aplicación en casos de delincuencia común o acciones de narcotraficantes</w:t>
      </w:r>
      <w:r w:rsidR="004452B0" w:rsidRPr="001F35C9">
        <w:rPr>
          <w:color w:val="auto"/>
          <w:sz w:val="20"/>
          <w:szCs w:val="20"/>
          <w:lang w:val="es-ES_tradnl"/>
        </w:rPr>
        <w:t>;</w:t>
      </w:r>
      <w:r w:rsidR="00D063E4" w:rsidRPr="001F35C9">
        <w:rPr>
          <w:color w:val="auto"/>
          <w:sz w:val="20"/>
          <w:szCs w:val="20"/>
          <w:lang w:val="es-ES_tradnl"/>
        </w:rPr>
        <w:t xml:space="preserve"> que las reparaciones dispuestas en el Decreto 1290 de 2008 excluyen las víctimas de narcotráfico</w:t>
      </w:r>
      <w:r w:rsidR="004452B0" w:rsidRPr="001F35C9">
        <w:rPr>
          <w:color w:val="auto"/>
          <w:sz w:val="20"/>
          <w:szCs w:val="20"/>
          <w:lang w:val="es-ES_tradnl"/>
        </w:rPr>
        <w:t>;</w:t>
      </w:r>
      <w:r w:rsidR="00D063E4" w:rsidRPr="001F35C9">
        <w:rPr>
          <w:color w:val="auto"/>
          <w:sz w:val="20"/>
          <w:szCs w:val="20"/>
          <w:lang w:val="es-ES_tradnl"/>
        </w:rPr>
        <w:t xml:space="preserve"> y que la reparación a la que se refiere la </w:t>
      </w:r>
      <w:r w:rsidR="004452B0" w:rsidRPr="001F35C9">
        <w:rPr>
          <w:color w:val="auto"/>
          <w:sz w:val="20"/>
          <w:szCs w:val="20"/>
          <w:lang w:val="es-ES_tradnl"/>
        </w:rPr>
        <w:t>L</w:t>
      </w:r>
      <w:r w:rsidR="00D063E4" w:rsidRPr="001F35C9">
        <w:rPr>
          <w:color w:val="auto"/>
          <w:sz w:val="20"/>
          <w:szCs w:val="20"/>
          <w:lang w:val="es-ES_tradnl"/>
        </w:rPr>
        <w:t>ey 975 de 2005 excluye igualmente las víctimas de narcotráfico</w:t>
      </w:r>
      <w:r w:rsidR="004452B0" w:rsidRPr="001F35C9">
        <w:rPr>
          <w:color w:val="auto"/>
          <w:sz w:val="20"/>
          <w:szCs w:val="20"/>
          <w:lang w:val="es-ES_tradnl"/>
        </w:rPr>
        <w:t>.</w:t>
      </w:r>
      <w:r w:rsidR="00D063E4" w:rsidRPr="001F35C9">
        <w:rPr>
          <w:color w:val="auto"/>
          <w:sz w:val="20"/>
          <w:szCs w:val="20"/>
          <w:lang w:val="es-ES_tradnl"/>
        </w:rPr>
        <w:t xml:space="preserve"> </w:t>
      </w:r>
      <w:r w:rsidR="004452B0" w:rsidRPr="001F35C9">
        <w:rPr>
          <w:color w:val="auto"/>
          <w:sz w:val="20"/>
          <w:szCs w:val="20"/>
          <w:lang w:val="es-ES_tradnl"/>
        </w:rPr>
        <w:t>Al</w:t>
      </w:r>
      <w:r w:rsidR="00D063E4" w:rsidRPr="001F35C9">
        <w:rPr>
          <w:color w:val="auto"/>
          <w:sz w:val="20"/>
          <w:szCs w:val="20"/>
          <w:lang w:val="es-ES_tradnl"/>
        </w:rPr>
        <w:t xml:space="preserve"> mismo tiempo, </w:t>
      </w:r>
      <w:r w:rsidR="004452B0" w:rsidRPr="001F35C9">
        <w:rPr>
          <w:color w:val="auto"/>
          <w:sz w:val="20"/>
          <w:szCs w:val="20"/>
          <w:lang w:val="es-ES_tradnl"/>
        </w:rPr>
        <w:t xml:space="preserve">señala que </w:t>
      </w:r>
      <w:r w:rsidR="00D063E4" w:rsidRPr="001F35C9">
        <w:rPr>
          <w:color w:val="auto"/>
          <w:sz w:val="20"/>
          <w:szCs w:val="20"/>
          <w:lang w:val="es-ES_tradnl"/>
        </w:rPr>
        <w:t xml:space="preserve">la </w:t>
      </w:r>
      <w:r w:rsidR="004452B0" w:rsidRPr="001F35C9">
        <w:rPr>
          <w:color w:val="auto"/>
          <w:sz w:val="20"/>
          <w:szCs w:val="20"/>
          <w:lang w:val="es-ES_tradnl"/>
        </w:rPr>
        <w:t>DNE</w:t>
      </w:r>
      <w:r w:rsidR="00D063E4" w:rsidRPr="001F35C9">
        <w:rPr>
          <w:color w:val="auto"/>
          <w:sz w:val="20"/>
          <w:szCs w:val="20"/>
          <w:lang w:val="es-ES_tradnl"/>
        </w:rPr>
        <w:t xml:space="preserve"> informó que</w:t>
      </w:r>
      <w:r w:rsidR="004452B0" w:rsidRPr="001F35C9">
        <w:rPr>
          <w:color w:val="auto"/>
          <w:sz w:val="20"/>
          <w:szCs w:val="20"/>
          <w:lang w:val="es-ES_tradnl"/>
        </w:rPr>
        <w:t>,</w:t>
      </w:r>
      <w:r w:rsidR="00D063E4" w:rsidRPr="001F35C9">
        <w:rPr>
          <w:color w:val="auto"/>
          <w:sz w:val="20"/>
          <w:szCs w:val="20"/>
          <w:lang w:val="es-ES_tradnl"/>
        </w:rPr>
        <w:t xml:space="preserve"> de acuerdo con la </w:t>
      </w:r>
      <w:r w:rsidR="008358D3" w:rsidRPr="001F35C9">
        <w:rPr>
          <w:color w:val="auto"/>
          <w:sz w:val="20"/>
          <w:szCs w:val="20"/>
          <w:lang w:val="es-ES_tradnl"/>
        </w:rPr>
        <w:t>L</w:t>
      </w:r>
      <w:r w:rsidR="00D063E4" w:rsidRPr="001F35C9">
        <w:rPr>
          <w:color w:val="auto"/>
          <w:sz w:val="20"/>
          <w:szCs w:val="20"/>
          <w:lang w:val="es-ES_tradnl"/>
        </w:rPr>
        <w:t>ey 785 de 2002 y el Decreto 2159 de 1992, las presuntas víctimas no eran beneficiarias directas de los bienes de narcotraficantes que fueran incautados</w:t>
      </w:r>
      <w:r w:rsidR="004452B0" w:rsidRPr="001F35C9">
        <w:rPr>
          <w:color w:val="auto"/>
          <w:sz w:val="20"/>
          <w:szCs w:val="20"/>
          <w:lang w:val="es-ES_tradnl"/>
        </w:rPr>
        <w:t>;</w:t>
      </w:r>
      <w:r w:rsidR="00D063E4" w:rsidRPr="001F35C9">
        <w:rPr>
          <w:color w:val="auto"/>
          <w:sz w:val="20"/>
          <w:szCs w:val="20"/>
          <w:lang w:val="es-ES_tradnl"/>
        </w:rPr>
        <w:t xml:space="preserve"> y </w:t>
      </w:r>
      <w:r w:rsidR="004452B0" w:rsidRPr="001F35C9">
        <w:rPr>
          <w:color w:val="auto"/>
          <w:sz w:val="20"/>
          <w:szCs w:val="20"/>
          <w:lang w:val="es-ES_tradnl"/>
        </w:rPr>
        <w:t xml:space="preserve">que por lo tanto estas </w:t>
      </w:r>
      <w:r w:rsidR="00D063E4" w:rsidRPr="001F35C9">
        <w:rPr>
          <w:color w:val="auto"/>
          <w:sz w:val="20"/>
          <w:szCs w:val="20"/>
          <w:lang w:val="es-ES_tradnl"/>
        </w:rPr>
        <w:t>debía</w:t>
      </w:r>
      <w:r w:rsidR="004452B0" w:rsidRPr="001F35C9">
        <w:rPr>
          <w:color w:val="auto"/>
          <w:sz w:val="20"/>
          <w:szCs w:val="20"/>
          <w:lang w:val="es-ES_tradnl"/>
        </w:rPr>
        <w:t>n</w:t>
      </w:r>
      <w:r w:rsidR="00D063E4" w:rsidRPr="001F35C9">
        <w:rPr>
          <w:color w:val="auto"/>
          <w:sz w:val="20"/>
          <w:szCs w:val="20"/>
          <w:lang w:val="es-ES_tradnl"/>
        </w:rPr>
        <w:t xml:space="preserve"> acudir a la jurisdicción ordinaria</w:t>
      </w:r>
      <w:r w:rsidR="004452B0" w:rsidRPr="001F35C9">
        <w:rPr>
          <w:color w:val="auto"/>
          <w:sz w:val="20"/>
          <w:szCs w:val="20"/>
          <w:lang w:val="es-ES_tradnl"/>
        </w:rPr>
        <w:t xml:space="preserve"> para obtener una reparación</w:t>
      </w:r>
      <w:r w:rsidRPr="001F35C9">
        <w:rPr>
          <w:color w:val="auto"/>
          <w:sz w:val="20"/>
          <w:szCs w:val="20"/>
          <w:lang w:val="es-ES_tradnl"/>
        </w:rPr>
        <w:t xml:space="preserve">. </w:t>
      </w:r>
    </w:p>
    <w:p w14:paraId="7CE6400D"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0"/>
          <w:szCs w:val="20"/>
          <w:lang w:val="es-ES_tradnl"/>
        </w:rPr>
      </w:pPr>
    </w:p>
    <w:p w14:paraId="0FE9DC4C" w14:textId="2834218B" w:rsidR="003822DE" w:rsidRPr="001F35C9" w:rsidRDefault="00544A38" w:rsidP="00E5299A">
      <w:pPr>
        <w:pStyle w:val="Default"/>
        <w:numPr>
          <w:ilvl w:val="0"/>
          <w:numId w:val="5"/>
        </w:numPr>
        <w:ind w:left="0" w:firstLine="720"/>
        <w:jc w:val="both"/>
        <w:rPr>
          <w:rFonts w:ascii="Cambria" w:hAnsi="Cambria"/>
          <w:color w:val="auto"/>
          <w:sz w:val="20"/>
          <w:szCs w:val="20"/>
          <w:lang w:val="es-ES_tradnl"/>
        </w:rPr>
      </w:pPr>
      <w:r w:rsidRPr="001F35C9">
        <w:rPr>
          <w:rFonts w:ascii="Cambria" w:hAnsi="Cambria"/>
          <w:color w:val="auto"/>
          <w:sz w:val="20"/>
          <w:szCs w:val="20"/>
          <w:lang w:val="es-ES_tradnl"/>
        </w:rPr>
        <w:t xml:space="preserve">Por otro lado, </w:t>
      </w:r>
      <w:r w:rsidR="00F15A56" w:rsidRPr="001F35C9">
        <w:rPr>
          <w:rFonts w:ascii="Cambria" w:hAnsi="Cambria"/>
          <w:color w:val="auto"/>
          <w:sz w:val="20"/>
          <w:szCs w:val="20"/>
          <w:lang w:val="es-ES_tradnl"/>
        </w:rPr>
        <w:t>el Estado s</w:t>
      </w:r>
      <w:r w:rsidR="0050388B" w:rsidRPr="001F35C9">
        <w:rPr>
          <w:rFonts w:ascii="Cambria" w:hAnsi="Cambria"/>
          <w:color w:val="auto"/>
          <w:sz w:val="20"/>
          <w:szCs w:val="20"/>
          <w:lang w:val="es-ES_tradnl"/>
        </w:rPr>
        <w:t xml:space="preserve">ostiene que en el supuesto que se considere que </w:t>
      </w:r>
      <w:r w:rsidR="002D6940" w:rsidRPr="001F35C9">
        <w:rPr>
          <w:rFonts w:ascii="Cambria" w:hAnsi="Cambria"/>
          <w:color w:val="auto"/>
          <w:sz w:val="20"/>
          <w:szCs w:val="20"/>
          <w:lang w:val="es-ES_tradnl"/>
        </w:rPr>
        <w:t xml:space="preserve">las entidades citadas violaron los derechos de las presuntas víctimas al negar sus solicitudes, las pretensiones indemnizatorias son igualmente inadmisibles por falta de agotamiento de los recursos internos. </w:t>
      </w:r>
      <w:r w:rsidR="00F15A56" w:rsidRPr="001F35C9">
        <w:rPr>
          <w:rFonts w:ascii="Cambria" w:hAnsi="Cambria"/>
          <w:color w:val="auto"/>
          <w:sz w:val="20"/>
          <w:szCs w:val="20"/>
          <w:lang w:val="es-ES_tradnl"/>
        </w:rPr>
        <w:t>A</w:t>
      </w:r>
      <w:r w:rsidR="0050388B" w:rsidRPr="001F35C9">
        <w:rPr>
          <w:rFonts w:ascii="Cambria" w:hAnsi="Cambria"/>
          <w:color w:val="auto"/>
          <w:sz w:val="20"/>
          <w:szCs w:val="20"/>
          <w:lang w:val="es-ES_tradnl"/>
        </w:rPr>
        <w:t xml:space="preserve">rgumenta </w:t>
      </w:r>
      <w:r w:rsidR="00F15A56" w:rsidRPr="001F35C9">
        <w:rPr>
          <w:rFonts w:ascii="Cambria" w:hAnsi="Cambria"/>
          <w:color w:val="auto"/>
          <w:sz w:val="20"/>
          <w:szCs w:val="20"/>
          <w:lang w:val="es-ES_tradnl"/>
        </w:rPr>
        <w:t>que,</w:t>
      </w:r>
      <w:r w:rsidR="002D6940" w:rsidRPr="001F35C9">
        <w:rPr>
          <w:rFonts w:ascii="Cambria" w:hAnsi="Cambria"/>
          <w:color w:val="auto"/>
          <w:sz w:val="20"/>
          <w:szCs w:val="20"/>
          <w:lang w:val="es-ES_tradnl"/>
        </w:rPr>
        <w:t xml:space="preserve"> </w:t>
      </w:r>
      <w:r w:rsidR="00867BDC" w:rsidRPr="001F35C9">
        <w:rPr>
          <w:rFonts w:ascii="Cambria" w:hAnsi="Cambria"/>
          <w:color w:val="auto"/>
          <w:sz w:val="20"/>
          <w:szCs w:val="20"/>
          <w:lang w:val="es-ES_tradnl"/>
        </w:rPr>
        <w:t xml:space="preserve">si </w:t>
      </w:r>
      <w:r w:rsidR="008358D3" w:rsidRPr="001F35C9">
        <w:rPr>
          <w:rFonts w:ascii="Cambria" w:hAnsi="Cambria"/>
          <w:color w:val="auto"/>
          <w:sz w:val="20"/>
          <w:szCs w:val="20"/>
          <w:lang w:val="es-ES_tradnl"/>
        </w:rPr>
        <w:t>se</w:t>
      </w:r>
      <w:r w:rsidR="00867BDC" w:rsidRPr="001F35C9">
        <w:rPr>
          <w:rFonts w:ascii="Cambria" w:hAnsi="Cambria"/>
          <w:color w:val="auto"/>
          <w:sz w:val="20"/>
          <w:szCs w:val="20"/>
          <w:lang w:val="es-ES_tradnl"/>
        </w:rPr>
        <w:t xml:space="preserve"> consideraba que el Estado era responsable por acción o por omisión </w:t>
      </w:r>
      <w:r w:rsidR="00C8791D" w:rsidRPr="001F35C9">
        <w:rPr>
          <w:rFonts w:ascii="Cambria" w:hAnsi="Cambria"/>
          <w:color w:val="auto"/>
          <w:sz w:val="20"/>
          <w:szCs w:val="20"/>
          <w:lang w:val="es-ES_tradnl"/>
        </w:rPr>
        <w:t>en</w:t>
      </w:r>
      <w:r w:rsidR="00867BDC" w:rsidRPr="001F35C9">
        <w:rPr>
          <w:rFonts w:ascii="Cambria" w:hAnsi="Cambria"/>
          <w:color w:val="auto"/>
          <w:sz w:val="20"/>
          <w:szCs w:val="20"/>
          <w:lang w:val="es-ES_tradnl"/>
        </w:rPr>
        <w:t xml:space="preserve"> los homicidios de los </w:t>
      </w:r>
      <w:r w:rsidR="00C8791D" w:rsidRPr="001F35C9">
        <w:rPr>
          <w:rFonts w:ascii="Cambria" w:hAnsi="Cambria"/>
          <w:color w:val="auto"/>
          <w:sz w:val="20"/>
          <w:szCs w:val="20"/>
          <w:lang w:val="es-ES_tradnl"/>
        </w:rPr>
        <w:t>miembros</w:t>
      </w:r>
      <w:r w:rsidR="00867BDC" w:rsidRPr="001F35C9">
        <w:rPr>
          <w:rFonts w:ascii="Cambria" w:hAnsi="Cambria"/>
          <w:color w:val="auto"/>
          <w:sz w:val="20"/>
          <w:szCs w:val="20"/>
          <w:lang w:val="es-ES_tradnl"/>
        </w:rPr>
        <w:t xml:space="preserve"> de la Policía Nacional, debían acudir a la acción de reparación directa</w:t>
      </w:r>
      <w:r w:rsidR="00C8791D" w:rsidRPr="001F35C9">
        <w:rPr>
          <w:rFonts w:ascii="Cambria" w:hAnsi="Cambria"/>
          <w:color w:val="auto"/>
          <w:sz w:val="20"/>
          <w:szCs w:val="20"/>
          <w:lang w:val="es-ES_tradnl"/>
        </w:rPr>
        <w:t xml:space="preserve">, </w:t>
      </w:r>
      <w:r w:rsidR="008358D3" w:rsidRPr="001F35C9">
        <w:rPr>
          <w:rFonts w:ascii="Cambria" w:hAnsi="Cambria"/>
          <w:color w:val="auto"/>
          <w:sz w:val="20"/>
          <w:szCs w:val="20"/>
          <w:lang w:val="es-ES_tradnl"/>
        </w:rPr>
        <w:t>como</w:t>
      </w:r>
      <w:r w:rsidR="00867BDC" w:rsidRPr="001F35C9">
        <w:rPr>
          <w:rFonts w:ascii="Cambria" w:hAnsi="Cambria"/>
          <w:color w:val="auto"/>
          <w:sz w:val="20"/>
          <w:szCs w:val="20"/>
          <w:lang w:val="es-ES_tradnl"/>
        </w:rPr>
        <w:t xml:space="preserve"> </w:t>
      </w:r>
      <w:r w:rsidR="00C8791D" w:rsidRPr="001F35C9">
        <w:rPr>
          <w:rFonts w:ascii="Cambria" w:hAnsi="Cambria"/>
          <w:color w:val="auto"/>
          <w:sz w:val="20"/>
          <w:szCs w:val="20"/>
          <w:lang w:val="es-ES_tradnl"/>
        </w:rPr>
        <w:t>el</w:t>
      </w:r>
      <w:r w:rsidR="00F15A56" w:rsidRPr="001F35C9">
        <w:rPr>
          <w:rFonts w:ascii="Cambria" w:hAnsi="Cambria"/>
          <w:color w:val="auto"/>
          <w:sz w:val="20"/>
          <w:szCs w:val="20"/>
          <w:lang w:val="es-ES_tradnl"/>
        </w:rPr>
        <w:t xml:space="preserve"> recurso </w:t>
      </w:r>
      <w:r w:rsidR="00867BDC" w:rsidRPr="001F35C9">
        <w:rPr>
          <w:rFonts w:ascii="Cambria" w:hAnsi="Cambria"/>
          <w:color w:val="auto"/>
          <w:sz w:val="20"/>
          <w:szCs w:val="20"/>
          <w:lang w:val="es-ES_tradnl"/>
        </w:rPr>
        <w:t>adecuado y efectivo para que se les reconociera una indemnización adicional</w:t>
      </w:r>
      <w:r w:rsidR="00F56C21" w:rsidRPr="001F35C9">
        <w:rPr>
          <w:rFonts w:ascii="Cambria" w:hAnsi="Cambria"/>
          <w:color w:val="auto"/>
          <w:sz w:val="20"/>
          <w:szCs w:val="20"/>
          <w:lang w:val="es-ES_tradnl"/>
        </w:rPr>
        <w:t>.</w:t>
      </w:r>
      <w:r w:rsidR="008358D3" w:rsidRPr="001F35C9">
        <w:rPr>
          <w:rFonts w:ascii="Cambria" w:hAnsi="Cambria"/>
          <w:color w:val="auto"/>
          <w:sz w:val="20"/>
          <w:szCs w:val="20"/>
          <w:lang w:val="es-ES_tradnl"/>
        </w:rPr>
        <w:t xml:space="preserve"> Al respecto, </w:t>
      </w:r>
      <w:r w:rsidR="00F56C21" w:rsidRPr="001F35C9">
        <w:rPr>
          <w:rFonts w:ascii="Cambria" w:hAnsi="Cambria"/>
          <w:color w:val="auto"/>
          <w:sz w:val="20"/>
          <w:szCs w:val="20"/>
          <w:lang w:val="es-ES_tradnl"/>
        </w:rPr>
        <w:t xml:space="preserve">las diferentes gestiones realizadas </w:t>
      </w:r>
      <w:r w:rsidR="00C8791D" w:rsidRPr="001F35C9">
        <w:rPr>
          <w:rFonts w:ascii="Cambria" w:hAnsi="Cambria"/>
          <w:color w:val="auto"/>
          <w:sz w:val="20"/>
          <w:szCs w:val="20"/>
          <w:lang w:val="es-ES_tradnl"/>
        </w:rPr>
        <w:t xml:space="preserve">por la parte peticionaria </w:t>
      </w:r>
      <w:r w:rsidR="00F56C21" w:rsidRPr="001F35C9">
        <w:rPr>
          <w:rFonts w:ascii="Cambria" w:hAnsi="Cambria"/>
          <w:color w:val="auto"/>
          <w:sz w:val="20"/>
          <w:szCs w:val="20"/>
          <w:lang w:val="es-ES_tradnl"/>
        </w:rPr>
        <w:t xml:space="preserve">ante autoridades administrativas y judiciales distintas a la jurisdicción </w:t>
      </w:r>
      <w:r w:rsidR="00C8791D" w:rsidRPr="001F35C9">
        <w:rPr>
          <w:rFonts w:ascii="Cambria" w:hAnsi="Cambria"/>
          <w:color w:val="auto"/>
          <w:sz w:val="20"/>
          <w:szCs w:val="20"/>
          <w:lang w:val="es-ES_tradnl"/>
        </w:rPr>
        <w:t xml:space="preserve">de lo </w:t>
      </w:r>
      <w:r w:rsidR="00F56C21" w:rsidRPr="001F35C9">
        <w:rPr>
          <w:rFonts w:ascii="Cambria" w:hAnsi="Cambria"/>
          <w:color w:val="auto"/>
          <w:sz w:val="20"/>
          <w:szCs w:val="20"/>
          <w:lang w:val="es-ES_tradnl"/>
        </w:rPr>
        <w:t>contencios</w:t>
      </w:r>
      <w:r w:rsidR="00C8791D" w:rsidRPr="001F35C9">
        <w:rPr>
          <w:rFonts w:ascii="Cambria" w:hAnsi="Cambria"/>
          <w:color w:val="auto"/>
          <w:sz w:val="20"/>
          <w:szCs w:val="20"/>
          <w:lang w:val="es-ES_tradnl"/>
        </w:rPr>
        <w:t>o</w:t>
      </w:r>
      <w:r w:rsidR="00F56C21" w:rsidRPr="001F35C9">
        <w:rPr>
          <w:rFonts w:ascii="Cambria" w:hAnsi="Cambria"/>
          <w:color w:val="auto"/>
          <w:sz w:val="20"/>
          <w:szCs w:val="20"/>
          <w:lang w:val="es-ES_tradnl"/>
        </w:rPr>
        <w:t xml:space="preserve"> administrativ</w:t>
      </w:r>
      <w:r w:rsidR="00C8791D" w:rsidRPr="001F35C9">
        <w:rPr>
          <w:rFonts w:ascii="Cambria" w:hAnsi="Cambria"/>
          <w:color w:val="auto"/>
          <w:sz w:val="20"/>
          <w:szCs w:val="20"/>
          <w:lang w:val="es-ES_tradnl"/>
        </w:rPr>
        <w:t>o</w:t>
      </w:r>
      <w:r w:rsidR="00F56C21" w:rsidRPr="001F35C9">
        <w:rPr>
          <w:rFonts w:ascii="Cambria" w:hAnsi="Cambria"/>
          <w:color w:val="auto"/>
          <w:sz w:val="20"/>
          <w:szCs w:val="20"/>
          <w:lang w:val="es-ES_tradnl"/>
        </w:rPr>
        <w:t>, no la exime del agotamiento de este mecanismo jurisdiccional adecuado y efectivo</w:t>
      </w:r>
      <w:r w:rsidR="00A92E46" w:rsidRPr="001F35C9">
        <w:rPr>
          <w:rFonts w:ascii="Cambria" w:hAnsi="Cambria"/>
          <w:color w:val="auto"/>
          <w:sz w:val="20"/>
          <w:szCs w:val="20"/>
          <w:lang w:val="es-ES_tradnl"/>
        </w:rPr>
        <w:t xml:space="preserve">. Explica que </w:t>
      </w:r>
      <w:r w:rsidR="00B724DD" w:rsidRPr="001F35C9">
        <w:rPr>
          <w:rFonts w:ascii="Cambria" w:hAnsi="Cambria"/>
          <w:color w:val="auto"/>
          <w:sz w:val="20"/>
          <w:szCs w:val="20"/>
          <w:lang w:val="es-ES_tradnl"/>
        </w:rPr>
        <w:t xml:space="preserve">el Consejo Superior de la Judicatura </w:t>
      </w:r>
      <w:r w:rsidR="00A92E46" w:rsidRPr="001F35C9">
        <w:rPr>
          <w:rFonts w:ascii="Cambria" w:hAnsi="Cambria"/>
          <w:color w:val="auto"/>
          <w:sz w:val="20"/>
          <w:szCs w:val="20"/>
          <w:lang w:val="es-ES_tradnl"/>
        </w:rPr>
        <w:t xml:space="preserve">concluyó en tal sentido al </w:t>
      </w:r>
      <w:r w:rsidR="00B724DD" w:rsidRPr="001F35C9">
        <w:rPr>
          <w:rFonts w:ascii="Cambria" w:hAnsi="Cambria"/>
          <w:color w:val="auto"/>
          <w:sz w:val="20"/>
          <w:szCs w:val="20"/>
          <w:lang w:val="es-ES_tradnl"/>
        </w:rPr>
        <w:t>rechaz</w:t>
      </w:r>
      <w:r w:rsidR="00A92E46" w:rsidRPr="001F35C9">
        <w:rPr>
          <w:rFonts w:ascii="Cambria" w:hAnsi="Cambria"/>
          <w:color w:val="auto"/>
          <w:sz w:val="20"/>
          <w:szCs w:val="20"/>
          <w:lang w:val="es-ES_tradnl"/>
        </w:rPr>
        <w:t xml:space="preserve">ar </w:t>
      </w:r>
      <w:r w:rsidR="00B724DD" w:rsidRPr="001F35C9">
        <w:rPr>
          <w:rFonts w:ascii="Cambria" w:hAnsi="Cambria"/>
          <w:color w:val="auto"/>
          <w:sz w:val="20"/>
          <w:szCs w:val="20"/>
          <w:lang w:val="es-ES_tradnl"/>
        </w:rPr>
        <w:t xml:space="preserve">la acción de tutela </w:t>
      </w:r>
      <w:r w:rsidR="00F15A56" w:rsidRPr="001F35C9">
        <w:rPr>
          <w:rFonts w:ascii="Cambria" w:hAnsi="Cambria"/>
          <w:color w:val="auto"/>
          <w:sz w:val="20"/>
          <w:szCs w:val="20"/>
          <w:lang w:val="es-ES_tradnl"/>
        </w:rPr>
        <w:t>el 24 de octubre de 2008</w:t>
      </w:r>
      <w:r w:rsidR="00B724DD" w:rsidRPr="001F35C9">
        <w:rPr>
          <w:rFonts w:ascii="Cambria" w:hAnsi="Cambria"/>
          <w:color w:val="auto"/>
          <w:sz w:val="20"/>
          <w:szCs w:val="20"/>
          <w:lang w:val="es-ES_tradnl"/>
        </w:rPr>
        <w:t xml:space="preserve"> </w:t>
      </w:r>
      <w:r w:rsidR="00C8791D" w:rsidRPr="001F35C9">
        <w:rPr>
          <w:rFonts w:ascii="Cambria" w:hAnsi="Cambria"/>
          <w:color w:val="auto"/>
          <w:sz w:val="20"/>
          <w:szCs w:val="20"/>
          <w:lang w:val="es-ES_tradnl"/>
        </w:rPr>
        <w:t>por</w:t>
      </w:r>
      <w:r w:rsidR="00A92E46" w:rsidRPr="001F35C9">
        <w:rPr>
          <w:rFonts w:ascii="Cambria" w:hAnsi="Cambria"/>
          <w:color w:val="auto"/>
          <w:sz w:val="20"/>
          <w:szCs w:val="20"/>
          <w:lang w:val="es-ES_tradnl"/>
        </w:rPr>
        <w:t xml:space="preserve"> </w:t>
      </w:r>
      <w:r w:rsidR="00F15A56" w:rsidRPr="001F35C9">
        <w:rPr>
          <w:rFonts w:ascii="Cambria" w:hAnsi="Cambria"/>
          <w:color w:val="auto"/>
          <w:sz w:val="20"/>
          <w:szCs w:val="20"/>
          <w:lang w:val="es-ES_tradnl"/>
        </w:rPr>
        <w:t>no cumpl</w:t>
      </w:r>
      <w:r w:rsidR="00A92E46" w:rsidRPr="001F35C9">
        <w:rPr>
          <w:rFonts w:ascii="Cambria" w:hAnsi="Cambria"/>
          <w:color w:val="auto"/>
          <w:sz w:val="20"/>
          <w:szCs w:val="20"/>
          <w:lang w:val="es-ES_tradnl"/>
        </w:rPr>
        <w:t xml:space="preserve">ir </w:t>
      </w:r>
      <w:r w:rsidR="00F15A56" w:rsidRPr="001F35C9">
        <w:rPr>
          <w:rFonts w:ascii="Cambria" w:hAnsi="Cambria"/>
          <w:color w:val="auto"/>
          <w:sz w:val="20"/>
          <w:szCs w:val="20"/>
          <w:lang w:val="es-ES_tradnl"/>
        </w:rPr>
        <w:t>con el requisito de procedibilidad de subsidiariedad</w:t>
      </w:r>
      <w:r w:rsidR="00A92E46" w:rsidRPr="001F35C9">
        <w:rPr>
          <w:rFonts w:ascii="Cambria" w:hAnsi="Cambria"/>
          <w:color w:val="auto"/>
          <w:sz w:val="20"/>
          <w:szCs w:val="20"/>
          <w:lang w:val="es-ES_tradnl"/>
        </w:rPr>
        <w:t xml:space="preserve">. </w:t>
      </w:r>
    </w:p>
    <w:p w14:paraId="72F79DD8" w14:textId="77777777" w:rsidR="00E5299A" w:rsidRPr="001F35C9" w:rsidRDefault="00E5299A" w:rsidP="00E5299A">
      <w:pPr>
        <w:pStyle w:val="Default"/>
        <w:jc w:val="both"/>
        <w:rPr>
          <w:rFonts w:ascii="Cambria" w:hAnsi="Cambria"/>
          <w:color w:val="auto"/>
          <w:sz w:val="20"/>
          <w:szCs w:val="20"/>
          <w:lang w:val="es-ES_tradnl"/>
        </w:rPr>
      </w:pPr>
    </w:p>
    <w:p w14:paraId="4D8E1655" w14:textId="6D701D3A" w:rsidR="003822DE" w:rsidRPr="001F35C9" w:rsidRDefault="00C8791D" w:rsidP="00E5299A">
      <w:pPr>
        <w:pStyle w:val="Default"/>
        <w:numPr>
          <w:ilvl w:val="0"/>
          <w:numId w:val="5"/>
        </w:numPr>
        <w:ind w:left="0" w:firstLine="720"/>
        <w:jc w:val="both"/>
        <w:rPr>
          <w:rFonts w:ascii="Cambria" w:hAnsi="Cambria"/>
          <w:color w:val="auto"/>
          <w:sz w:val="20"/>
          <w:szCs w:val="20"/>
          <w:lang w:val="es-ES_tradnl"/>
        </w:rPr>
      </w:pPr>
      <w:r w:rsidRPr="001F35C9">
        <w:rPr>
          <w:rFonts w:ascii="Cambria" w:hAnsi="Cambria"/>
          <w:color w:val="auto"/>
          <w:sz w:val="20"/>
          <w:szCs w:val="20"/>
          <w:lang w:val="es-ES_tradnl"/>
        </w:rPr>
        <w:t>A</w:t>
      </w:r>
      <w:r w:rsidR="003822DE" w:rsidRPr="001F35C9">
        <w:rPr>
          <w:rFonts w:ascii="Cambria" w:hAnsi="Cambria"/>
          <w:color w:val="auto"/>
          <w:sz w:val="20"/>
          <w:szCs w:val="20"/>
          <w:lang w:val="es-ES_tradnl"/>
        </w:rPr>
        <w:t>unque</w:t>
      </w:r>
      <w:r w:rsidR="00B724DD" w:rsidRPr="001F35C9">
        <w:rPr>
          <w:rFonts w:ascii="Cambria" w:hAnsi="Cambria"/>
          <w:color w:val="auto"/>
          <w:sz w:val="20"/>
          <w:szCs w:val="20"/>
          <w:lang w:val="es-ES_tradnl"/>
        </w:rPr>
        <w:t xml:space="preserve"> </w:t>
      </w:r>
      <w:r w:rsidR="00867BDC" w:rsidRPr="001F35C9">
        <w:rPr>
          <w:rFonts w:ascii="Cambria" w:hAnsi="Cambria"/>
          <w:color w:val="auto"/>
          <w:sz w:val="20"/>
          <w:szCs w:val="20"/>
          <w:lang w:val="es-ES_tradnl"/>
        </w:rPr>
        <w:t xml:space="preserve">la </w:t>
      </w:r>
      <w:r w:rsidR="00B724DD" w:rsidRPr="001F35C9">
        <w:rPr>
          <w:rFonts w:ascii="Cambria" w:hAnsi="Cambria"/>
          <w:color w:val="auto"/>
          <w:sz w:val="20"/>
          <w:szCs w:val="20"/>
          <w:lang w:val="es-ES_tradnl"/>
        </w:rPr>
        <w:t xml:space="preserve">parte </w:t>
      </w:r>
      <w:r w:rsidR="00867BDC" w:rsidRPr="001F35C9">
        <w:rPr>
          <w:rFonts w:ascii="Cambria" w:hAnsi="Cambria"/>
          <w:color w:val="auto"/>
          <w:sz w:val="20"/>
          <w:szCs w:val="20"/>
          <w:lang w:val="es-ES_tradnl"/>
        </w:rPr>
        <w:t xml:space="preserve">peticionaria </w:t>
      </w:r>
      <w:r w:rsidR="00B724DD" w:rsidRPr="001F35C9">
        <w:rPr>
          <w:rFonts w:ascii="Cambria" w:hAnsi="Cambria"/>
          <w:color w:val="auto"/>
          <w:sz w:val="20"/>
          <w:szCs w:val="20"/>
          <w:lang w:val="es-ES_tradnl"/>
        </w:rPr>
        <w:t xml:space="preserve">sostiene </w:t>
      </w:r>
      <w:r w:rsidR="00867BDC" w:rsidRPr="001F35C9">
        <w:rPr>
          <w:rFonts w:ascii="Cambria" w:hAnsi="Cambria"/>
          <w:color w:val="auto"/>
          <w:sz w:val="20"/>
          <w:szCs w:val="20"/>
          <w:lang w:val="es-ES_tradnl"/>
        </w:rPr>
        <w:t>que las presuntas víctimas se encontraban en una situación de “debilidad manifiesta” que les impidió acudir ante los órganos judiciales</w:t>
      </w:r>
      <w:r w:rsidR="003822DE" w:rsidRPr="001F35C9">
        <w:rPr>
          <w:rFonts w:ascii="Cambria" w:hAnsi="Cambria"/>
          <w:color w:val="auto"/>
          <w:sz w:val="20"/>
          <w:szCs w:val="20"/>
          <w:lang w:val="es-ES_tradnl"/>
        </w:rPr>
        <w:t xml:space="preserve">, </w:t>
      </w:r>
      <w:r w:rsidR="00AA7803" w:rsidRPr="001F35C9">
        <w:rPr>
          <w:rFonts w:ascii="Cambria" w:hAnsi="Cambria"/>
          <w:color w:val="auto"/>
          <w:sz w:val="20"/>
          <w:szCs w:val="20"/>
          <w:lang w:val="es-ES_tradnl"/>
        </w:rPr>
        <w:t>el Estado</w:t>
      </w:r>
      <w:r w:rsidRPr="001F35C9">
        <w:rPr>
          <w:rFonts w:ascii="Cambria" w:hAnsi="Cambria"/>
          <w:color w:val="auto"/>
          <w:sz w:val="20"/>
          <w:szCs w:val="20"/>
          <w:lang w:val="es-ES_tradnl"/>
        </w:rPr>
        <w:t xml:space="preserve"> considera que </w:t>
      </w:r>
      <w:r w:rsidR="003822DE" w:rsidRPr="001F35C9">
        <w:rPr>
          <w:rFonts w:ascii="Cambria" w:hAnsi="Cambria"/>
          <w:color w:val="auto"/>
          <w:sz w:val="20"/>
          <w:szCs w:val="20"/>
          <w:lang w:val="es-ES_tradnl"/>
        </w:rPr>
        <w:t>se limita a describir un contexto general de temor y amenaza generado por un grupo delictivo en permanente confrontación con el Estado</w:t>
      </w:r>
      <w:r w:rsidRPr="001F35C9">
        <w:rPr>
          <w:rFonts w:ascii="Cambria" w:hAnsi="Cambria"/>
          <w:color w:val="auto"/>
          <w:sz w:val="20"/>
          <w:szCs w:val="20"/>
          <w:lang w:val="es-ES_tradnl"/>
        </w:rPr>
        <w:t>.</w:t>
      </w:r>
      <w:r w:rsidR="003822DE" w:rsidRPr="001F35C9">
        <w:rPr>
          <w:rFonts w:ascii="Cambria" w:hAnsi="Cambria"/>
          <w:color w:val="auto"/>
          <w:sz w:val="20"/>
          <w:szCs w:val="20"/>
          <w:lang w:val="es-ES_tradnl"/>
        </w:rPr>
        <w:t xml:space="preserve"> </w:t>
      </w:r>
      <w:r w:rsidRPr="001F35C9">
        <w:rPr>
          <w:rFonts w:ascii="Cambria" w:hAnsi="Cambria"/>
          <w:color w:val="auto"/>
          <w:sz w:val="20"/>
          <w:szCs w:val="20"/>
          <w:lang w:val="es-ES_tradnl"/>
        </w:rPr>
        <w:t xml:space="preserve">Afirma que la parte peticionaria </w:t>
      </w:r>
      <w:r w:rsidR="003822DE" w:rsidRPr="001F35C9">
        <w:rPr>
          <w:rFonts w:ascii="Cambria" w:hAnsi="Cambria"/>
          <w:color w:val="auto"/>
          <w:sz w:val="20"/>
          <w:szCs w:val="20"/>
          <w:lang w:val="es-ES_tradnl"/>
        </w:rPr>
        <w:t xml:space="preserve">no presenta alegatos sobre amenaza particular </w:t>
      </w:r>
      <w:r w:rsidRPr="001F35C9">
        <w:rPr>
          <w:rFonts w:ascii="Cambria" w:hAnsi="Cambria"/>
          <w:color w:val="auto"/>
          <w:sz w:val="20"/>
          <w:szCs w:val="20"/>
          <w:lang w:val="es-ES_tradnl"/>
        </w:rPr>
        <w:t xml:space="preserve">alguna </w:t>
      </w:r>
      <w:r w:rsidR="003822DE" w:rsidRPr="001F35C9">
        <w:rPr>
          <w:rFonts w:ascii="Cambria" w:hAnsi="Cambria"/>
          <w:color w:val="auto"/>
          <w:sz w:val="20"/>
          <w:szCs w:val="20"/>
          <w:lang w:val="es-ES_tradnl"/>
        </w:rPr>
        <w:t>contra las presuntas víctimas</w:t>
      </w:r>
      <w:r w:rsidRPr="001F35C9">
        <w:rPr>
          <w:rFonts w:ascii="Cambria" w:hAnsi="Cambria"/>
          <w:color w:val="auto"/>
          <w:sz w:val="20"/>
          <w:szCs w:val="20"/>
          <w:lang w:val="es-ES_tradnl"/>
        </w:rPr>
        <w:t>,</w:t>
      </w:r>
      <w:r w:rsidR="003822DE" w:rsidRPr="001F35C9">
        <w:rPr>
          <w:rFonts w:ascii="Cambria" w:hAnsi="Cambria"/>
          <w:color w:val="auto"/>
          <w:sz w:val="20"/>
          <w:szCs w:val="20"/>
          <w:lang w:val="es-ES_tradnl"/>
        </w:rPr>
        <w:t xml:space="preserve"> o </w:t>
      </w:r>
      <w:r w:rsidRPr="001F35C9">
        <w:rPr>
          <w:rFonts w:ascii="Cambria" w:hAnsi="Cambria"/>
          <w:color w:val="auto"/>
          <w:sz w:val="20"/>
          <w:szCs w:val="20"/>
          <w:lang w:val="es-ES_tradnl"/>
        </w:rPr>
        <w:t>que estuviera</w:t>
      </w:r>
      <w:r w:rsidR="003822DE" w:rsidRPr="001F35C9">
        <w:rPr>
          <w:rFonts w:ascii="Cambria" w:hAnsi="Cambria"/>
          <w:color w:val="auto"/>
          <w:sz w:val="20"/>
          <w:szCs w:val="20"/>
          <w:lang w:val="es-ES_tradnl"/>
        </w:rPr>
        <w:t xml:space="preserve"> relacionada con la interposición de acciones de responsabilidad extracontractual contra el Estado</w:t>
      </w:r>
      <w:r w:rsidR="00B724DD" w:rsidRPr="001F35C9">
        <w:rPr>
          <w:rFonts w:ascii="Cambria" w:hAnsi="Cambria"/>
          <w:color w:val="auto"/>
          <w:sz w:val="20"/>
          <w:szCs w:val="20"/>
          <w:lang w:val="es-ES_tradnl"/>
        </w:rPr>
        <w:t xml:space="preserve">. </w:t>
      </w:r>
    </w:p>
    <w:p w14:paraId="011E1F87" w14:textId="77777777" w:rsidR="00E5299A" w:rsidRPr="001F35C9" w:rsidRDefault="00E5299A" w:rsidP="00E5299A">
      <w:pPr>
        <w:pStyle w:val="Default"/>
        <w:jc w:val="both"/>
        <w:rPr>
          <w:rFonts w:ascii="Cambria" w:hAnsi="Cambria"/>
          <w:color w:val="auto"/>
          <w:sz w:val="20"/>
          <w:szCs w:val="20"/>
          <w:lang w:val="es-ES_tradnl"/>
        </w:rPr>
      </w:pPr>
    </w:p>
    <w:p w14:paraId="1B6B8937" w14:textId="77777777" w:rsidR="00A5205B" w:rsidRDefault="00A5205B" w:rsidP="00E5299A">
      <w:pPr>
        <w:ind w:firstLine="720"/>
        <w:jc w:val="both"/>
        <w:rPr>
          <w:rFonts w:ascii="Cambria" w:eastAsia="Cambria" w:hAnsi="Cambria" w:cs="Cambria"/>
          <w:b/>
          <w:bCs/>
          <w:sz w:val="20"/>
          <w:szCs w:val="20"/>
          <w:u w:color="000000"/>
          <w:lang w:val="es-ES_tradnl" w:eastAsia="es-ES"/>
        </w:rPr>
      </w:pPr>
    </w:p>
    <w:p w14:paraId="601768EE" w14:textId="74632ABD" w:rsidR="00E10040" w:rsidRPr="001F35C9" w:rsidRDefault="00E10040" w:rsidP="00E5299A">
      <w:pPr>
        <w:ind w:firstLine="720"/>
        <w:jc w:val="both"/>
        <w:rPr>
          <w:rFonts w:ascii="Cambria" w:eastAsia="Cambria" w:hAnsi="Cambria" w:cs="Cambria"/>
          <w:b/>
          <w:bCs/>
          <w:color w:val="000000"/>
          <w:sz w:val="20"/>
          <w:szCs w:val="20"/>
          <w:u w:color="000000"/>
          <w:lang w:val="es-ES_tradnl" w:eastAsia="es-ES"/>
        </w:rPr>
      </w:pPr>
      <w:r w:rsidRPr="001F35C9">
        <w:rPr>
          <w:rFonts w:ascii="Cambria" w:eastAsia="Cambria" w:hAnsi="Cambria" w:cs="Cambria"/>
          <w:b/>
          <w:bCs/>
          <w:sz w:val="20"/>
          <w:szCs w:val="20"/>
          <w:u w:color="000000"/>
          <w:lang w:val="es-ES_tradnl" w:eastAsia="es-ES"/>
        </w:rPr>
        <w:lastRenderedPageBreak/>
        <w:t>VI.</w:t>
      </w:r>
      <w:r w:rsidRPr="001F35C9">
        <w:rPr>
          <w:rFonts w:ascii="Cambria" w:eastAsia="Cambria" w:hAnsi="Cambria" w:cs="Cambria"/>
          <w:b/>
          <w:bCs/>
          <w:sz w:val="20"/>
          <w:szCs w:val="20"/>
          <w:u w:color="000000"/>
          <w:lang w:val="es-ES_tradnl" w:eastAsia="es-ES"/>
        </w:rPr>
        <w:tab/>
      </w:r>
      <w:r w:rsidRPr="001F35C9">
        <w:rPr>
          <w:rFonts w:ascii="Cambria" w:hAnsi="Cambria"/>
          <w:b/>
          <w:bCs/>
          <w:sz w:val="20"/>
          <w:szCs w:val="20"/>
          <w:lang w:val="es-ES_tradnl"/>
        </w:rPr>
        <w:t xml:space="preserve">ANÁLISIS DE </w:t>
      </w:r>
      <w:r w:rsidRPr="001F35C9">
        <w:rPr>
          <w:rFonts w:ascii="Cambria" w:hAnsi="Cambria"/>
          <w:b/>
          <w:sz w:val="20"/>
          <w:szCs w:val="20"/>
          <w:lang w:val="es-ES_tradnl"/>
        </w:rPr>
        <w:t>AGOTAMIENTO DE LOS RECURSOS INTERNOS Y PLAZO DE PRESENTACIÓN</w:t>
      </w:r>
      <w:r w:rsidRPr="001F35C9">
        <w:rPr>
          <w:rFonts w:ascii="Cambria" w:eastAsia="Cambria" w:hAnsi="Cambria" w:cs="Cambria"/>
          <w:b/>
          <w:bCs/>
          <w:color w:val="000000"/>
          <w:sz w:val="20"/>
          <w:szCs w:val="20"/>
          <w:u w:color="000000"/>
          <w:lang w:val="es-ES_tradnl" w:eastAsia="es-ES"/>
        </w:rPr>
        <w:t xml:space="preserve"> </w:t>
      </w:r>
    </w:p>
    <w:p w14:paraId="0C1E15E7" w14:textId="77777777" w:rsidR="00E5299A" w:rsidRPr="001F35C9" w:rsidRDefault="00E5299A" w:rsidP="00E5299A">
      <w:pPr>
        <w:ind w:firstLine="720"/>
        <w:jc w:val="both"/>
        <w:rPr>
          <w:rFonts w:ascii="Cambria" w:eastAsia="Cambria" w:hAnsi="Cambria" w:cs="Cambria"/>
          <w:b/>
          <w:bCs/>
          <w:color w:val="000000"/>
          <w:sz w:val="20"/>
          <w:szCs w:val="20"/>
          <w:u w:color="000000"/>
          <w:lang w:val="es-ES_tradnl" w:eastAsia="es-ES"/>
        </w:rPr>
      </w:pPr>
    </w:p>
    <w:p w14:paraId="63836A0B" w14:textId="585E17CF" w:rsidR="00F56C21" w:rsidRPr="001F35C9" w:rsidRDefault="00663A3D"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1F35C9">
        <w:rPr>
          <w:sz w:val="20"/>
          <w:szCs w:val="20"/>
          <w:lang w:val="es-ES_tradnl"/>
        </w:rPr>
        <w:t>La</w:t>
      </w:r>
      <w:r w:rsidR="00F56C21" w:rsidRPr="001F35C9">
        <w:rPr>
          <w:sz w:val="20"/>
          <w:szCs w:val="20"/>
          <w:lang w:val="es-ES_tradnl"/>
        </w:rPr>
        <w:t xml:space="preserve"> parte peticionaria alega </w:t>
      </w:r>
      <w:r w:rsidR="00B11816" w:rsidRPr="001F35C9">
        <w:rPr>
          <w:sz w:val="20"/>
          <w:szCs w:val="20"/>
          <w:lang w:val="es-ES_tradnl"/>
        </w:rPr>
        <w:t xml:space="preserve">que </w:t>
      </w:r>
      <w:r w:rsidRPr="001F35C9">
        <w:rPr>
          <w:sz w:val="20"/>
          <w:szCs w:val="20"/>
          <w:lang w:val="es-ES_tradnl"/>
        </w:rPr>
        <w:t xml:space="preserve">presentó </w:t>
      </w:r>
      <w:r w:rsidR="00F56C21" w:rsidRPr="001F35C9">
        <w:rPr>
          <w:sz w:val="20"/>
          <w:szCs w:val="20"/>
          <w:lang w:val="es-ES_tradnl"/>
        </w:rPr>
        <w:t xml:space="preserve">solicitudes </w:t>
      </w:r>
      <w:r w:rsidR="00BD4467" w:rsidRPr="001F35C9">
        <w:rPr>
          <w:sz w:val="20"/>
          <w:szCs w:val="20"/>
          <w:lang w:val="es-ES_tradnl"/>
        </w:rPr>
        <w:t xml:space="preserve">colectivas </w:t>
      </w:r>
      <w:r w:rsidR="00F56C21" w:rsidRPr="001F35C9">
        <w:rPr>
          <w:sz w:val="20"/>
          <w:szCs w:val="20"/>
          <w:lang w:val="es-ES_tradnl"/>
        </w:rPr>
        <w:t>ante diversas entidades</w:t>
      </w:r>
      <w:r w:rsidR="000D1318" w:rsidRPr="001F35C9">
        <w:rPr>
          <w:sz w:val="20"/>
          <w:szCs w:val="20"/>
          <w:lang w:val="es-ES_tradnl"/>
        </w:rPr>
        <w:t xml:space="preserve"> </w:t>
      </w:r>
      <w:r w:rsidR="00052FF2" w:rsidRPr="001F35C9">
        <w:rPr>
          <w:sz w:val="20"/>
          <w:szCs w:val="20"/>
          <w:lang w:val="es-ES_tradnl"/>
        </w:rPr>
        <w:t xml:space="preserve">administrativas </w:t>
      </w:r>
      <w:r w:rsidR="000D1318" w:rsidRPr="001F35C9">
        <w:rPr>
          <w:sz w:val="20"/>
          <w:szCs w:val="20"/>
          <w:lang w:val="es-ES_tradnl"/>
        </w:rPr>
        <w:t>e interpuso</w:t>
      </w:r>
      <w:r w:rsidR="000D1318" w:rsidRPr="001F35C9">
        <w:rPr>
          <w:rFonts w:cs="GillSansMT"/>
          <w:sz w:val="20"/>
          <w:szCs w:val="20"/>
          <w:lang w:val="es-ES_tradnl"/>
        </w:rPr>
        <w:t xml:space="preserve"> </w:t>
      </w:r>
      <w:r w:rsidR="00F56C21" w:rsidRPr="001F35C9">
        <w:rPr>
          <w:rFonts w:cs="GillSansMT"/>
          <w:color w:val="auto"/>
          <w:sz w:val="20"/>
          <w:szCs w:val="20"/>
          <w:lang w:val="es-ES_tradnl"/>
        </w:rPr>
        <w:t xml:space="preserve">acción de tutela contra el Ministerio </w:t>
      </w:r>
      <w:r w:rsidR="00F56C21" w:rsidRPr="001F35C9">
        <w:rPr>
          <w:color w:val="auto"/>
          <w:sz w:val="20"/>
          <w:szCs w:val="20"/>
          <w:lang w:val="es-ES_tradnl"/>
        </w:rPr>
        <w:t>del Interior y de Justicia y la DNE</w:t>
      </w:r>
      <w:r w:rsidR="000D1318" w:rsidRPr="001F35C9">
        <w:rPr>
          <w:color w:val="auto"/>
          <w:sz w:val="20"/>
          <w:szCs w:val="20"/>
          <w:lang w:val="es-ES_tradnl"/>
        </w:rPr>
        <w:t xml:space="preserve">, </w:t>
      </w:r>
      <w:r w:rsidR="00F56C21" w:rsidRPr="001F35C9">
        <w:rPr>
          <w:color w:val="auto"/>
          <w:sz w:val="20"/>
          <w:szCs w:val="20"/>
          <w:lang w:val="es-ES_tradnl"/>
        </w:rPr>
        <w:t xml:space="preserve">un recurso de apelación </w:t>
      </w:r>
      <w:r w:rsidR="000D1318" w:rsidRPr="001F35C9">
        <w:rPr>
          <w:color w:val="auto"/>
          <w:sz w:val="20"/>
          <w:szCs w:val="20"/>
          <w:lang w:val="es-ES_tradnl"/>
        </w:rPr>
        <w:t xml:space="preserve">y finalmente </w:t>
      </w:r>
      <w:r w:rsidR="00F56C21" w:rsidRPr="001F35C9">
        <w:rPr>
          <w:color w:val="auto"/>
          <w:sz w:val="20"/>
          <w:szCs w:val="20"/>
          <w:lang w:val="es-ES_tradnl"/>
        </w:rPr>
        <w:t>un recurso de revisión ante la Corte Constitucional</w:t>
      </w:r>
      <w:r w:rsidR="000D1318" w:rsidRPr="001F35C9">
        <w:rPr>
          <w:color w:val="auto"/>
          <w:sz w:val="20"/>
          <w:szCs w:val="20"/>
          <w:lang w:val="es-ES_tradnl"/>
        </w:rPr>
        <w:t xml:space="preserve">, </w:t>
      </w:r>
      <w:r w:rsidR="00052FF2" w:rsidRPr="001F35C9">
        <w:rPr>
          <w:color w:val="auto"/>
          <w:sz w:val="20"/>
          <w:szCs w:val="20"/>
          <w:lang w:val="es-ES_tradnl"/>
        </w:rPr>
        <w:t xml:space="preserve">todas </w:t>
      </w:r>
      <w:r w:rsidRPr="001F35C9">
        <w:rPr>
          <w:color w:val="auto"/>
          <w:sz w:val="20"/>
          <w:szCs w:val="20"/>
          <w:lang w:val="es-ES_tradnl"/>
        </w:rPr>
        <w:t>en las que planteó</w:t>
      </w:r>
      <w:r w:rsidR="000D1318" w:rsidRPr="001F35C9">
        <w:rPr>
          <w:color w:val="auto"/>
          <w:sz w:val="20"/>
          <w:szCs w:val="20"/>
          <w:lang w:val="es-ES_tradnl"/>
        </w:rPr>
        <w:t xml:space="preserve"> la violación del derecho de igualdad y la falta de una indemnización </w:t>
      </w:r>
      <w:r w:rsidR="00BD4467" w:rsidRPr="001F35C9">
        <w:rPr>
          <w:color w:val="auto"/>
          <w:sz w:val="20"/>
          <w:szCs w:val="20"/>
          <w:lang w:val="es-ES_tradnl"/>
        </w:rPr>
        <w:t xml:space="preserve">adicional </w:t>
      </w:r>
      <w:r w:rsidR="000D1318" w:rsidRPr="001F35C9">
        <w:rPr>
          <w:color w:val="auto"/>
          <w:sz w:val="20"/>
          <w:szCs w:val="20"/>
          <w:lang w:val="es-ES_tradnl"/>
        </w:rPr>
        <w:t xml:space="preserve">para las presuntas </w:t>
      </w:r>
      <w:r w:rsidR="00905EF6" w:rsidRPr="001F35C9">
        <w:rPr>
          <w:color w:val="auto"/>
          <w:sz w:val="20"/>
          <w:szCs w:val="20"/>
          <w:lang w:val="es-ES_tradnl"/>
        </w:rPr>
        <w:t>víctimas.</w:t>
      </w:r>
      <w:r w:rsidR="00F56C21" w:rsidRPr="001F35C9">
        <w:rPr>
          <w:rFonts w:cs="GillSansMT"/>
          <w:color w:val="auto"/>
          <w:sz w:val="20"/>
          <w:szCs w:val="20"/>
          <w:lang w:val="es-ES_tradnl"/>
        </w:rPr>
        <w:t xml:space="preserve"> </w:t>
      </w:r>
      <w:r w:rsidR="00B11816" w:rsidRPr="001F35C9">
        <w:rPr>
          <w:rFonts w:cs="GillSansMT"/>
          <w:color w:val="auto"/>
          <w:sz w:val="20"/>
          <w:szCs w:val="20"/>
          <w:lang w:val="es-ES_tradnl"/>
        </w:rPr>
        <w:t>F</w:t>
      </w:r>
      <w:r w:rsidR="00F56C21" w:rsidRPr="001F35C9">
        <w:rPr>
          <w:rFonts w:cs="GillSansMT"/>
          <w:color w:val="auto"/>
          <w:sz w:val="20"/>
          <w:szCs w:val="20"/>
          <w:lang w:val="es-ES_tradnl"/>
        </w:rPr>
        <w:t xml:space="preserve">rente al </w:t>
      </w:r>
      <w:r w:rsidR="00FF6897" w:rsidRPr="001F35C9">
        <w:rPr>
          <w:rFonts w:cs="Century Gothic"/>
          <w:color w:val="auto"/>
          <w:sz w:val="20"/>
          <w:szCs w:val="20"/>
          <w:lang w:val="es-ES_tradnl"/>
        </w:rPr>
        <w:t xml:space="preserve">argumento </w:t>
      </w:r>
      <w:r w:rsidR="00B11816" w:rsidRPr="001F35C9">
        <w:rPr>
          <w:rFonts w:cs="Century Gothic"/>
          <w:color w:val="auto"/>
          <w:sz w:val="20"/>
          <w:szCs w:val="20"/>
          <w:lang w:val="es-ES_tradnl"/>
        </w:rPr>
        <w:t xml:space="preserve">del Estado </w:t>
      </w:r>
      <w:r w:rsidR="00FF6897" w:rsidRPr="001F35C9">
        <w:rPr>
          <w:rFonts w:cs="Century Gothic"/>
          <w:color w:val="auto"/>
          <w:sz w:val="20"/>
          <w:szCs w:val="20"/>
          <w:lang w:val="es-ES_tradnl"/>
        </w:rPr>
        <w:t>sobre la falta de agotamiento d</w:t>
      </w:r>
      <w:r w:rsidR="00EC6D03" w:rsidRPr="001F35C9">
        <w:rPr>
          <w:rFonts w:cs="Century Gothic"/>
          <w:color w:val="auto"/>
          <w:sz w:val="20"/>
          <w:szCs w:val="20"/>
          <w:lang w:val="es-ES_tradnl"/>
        </w:rPr>
        <w:t>e la acción de reparación directa</w:t>
      </w:r>
      <w:r w:rsidR="00FF6897" w:rsidRPr="001F35C9">
        <w:rPr>
          <w:rFonts w:cs="Century Gothic"/>
          <w:color w:val="auto"/>
          <w:sz w:val="20"/>
          <w:szCs w:val="20"/>
          <w:lang w:val="es-ES_tradnl"/>
        </w:rPr>
        <w:t xml:space="preserve">, </w:t>
      </w:r>
      <w:r w:rsidRPr="001F35C9">
        <w:rPr>
          <w:rFonts w:cs="Century Gothic"/>
          <w:color w:val="auto"/>
          <w:sz w:val="20"/>
          <w:szCs w:val="20"/>
          <w:lang w:val="es-ES_tradnl"/>
        </w:rPr>
        <w:t xml:space="preserve">la parte peticionaria alega que </w:t>
      </w:r>
      <w:r w:rsidR="00FF6897" w:rsidRPr="001F35C9">
        <w:rPr>
          <w:rFonts w:cs="Century Gothic"/>
          <w:color w:val="auto"/>
          <w:sz w:val="20"/>
          <w:szCs w:val="20"/>
          <w:lang w:val="es-ES_tradnl"/>
        </w:rPr>
        <w:t xml:space="preserve">el estado de debilidad manifiesta y fuerza mayor imposibilitó a </w:t>
      </w:r>
      <w:r w:rsidR="00905EF6" w:rsidRPr="001F35C9">
        <w:rPr>
          <w:rFonts w:cs="Century Gothic"/>
          <w:color w:val="auto"/>
          <w:sz w:val="20"/>
          <w:szCs w:val="20"/>
          <w:lang w:val="es-ES_tradnl"/>
        </w:rPr>
        <w:t xml:space="preserve">los familiares </w:t>
      </w:r>
      <w:r w:rsidR="00FF6897" w:rsidRPr="001F35C9">
        <w:rPr>
          <w:rFonts w:cs="Century Gothic"/>
          <w:color w:val="auto"/>
          <w:sz w:val="20"/>
          <w:szCs w:val="20"/>
          <w:lang w:val="es-ES_tradnl"/>
        </w:rPr>
        <w:t>adelantar cualquier acción de reparación directa</w:t>
      </w:r>
      <w:r w:rsidR="00905EF6" w:rsidRPr="001F35C9">
        <w:rPr>
          <w:rFonts w:cs="Century Gothic"/>
          <w:color w:val="auto"/>
          <w:sz w:val="20"/>
          <w:szCs w:val="20"/>
          <w:lang w:val="es-ES_tradnl"/>
        </w:rPr>
        <w:t xml:space="preserve">, </w:t>
      </w:r>
      <w:r w:rsidRPr="001F35C9">
        <w:rPr>
          <w:rFonts w:cs="Century Gothic"/>
          <w:color w:val="auto"/>
          <w:sz w:val="20"/>
          <w:szCs w:val="20"/>
          <w:lang w:val="es-ES_tradnl"/>
        </w:rPr>
        <w:t>que</w:t>
      </w:r>
      <w:r w:rsidR="00905EF6" w:rsidRPr="001F35C9">
        <w:rPr>
          <w:rFonts w:cs="Century Gothic"/>
          <w:color w:val="auto"/>
          <w:sz w:val="20"/>
          <w:szCs w:val="20"/>
          <w:lang w:val="es-ES_tradnl"/>
        </w:rPr>
        <w:t xml:space="preserve"> </w:t>
      </w:r>
      <w:r w:rsidR="00905EF6" w:rsidRPr="001F35C9">
        <w:rPr>
          <w:rFonts w:cs="GillSansMT"/>
          <w:color w:val="auto"/>
          <w:sz w:val="20"/>
          <w:szCs w:val="20"/>
          <w:lang w:val="es-ES_tradnl"/>
        </w:rPr>
        <w:t>tiene un término perentorio</w:t>
      </w:r>
      <w:r w:rsidR="00EC6D03" w:rsidRPr="001F35C9">
        <w:rPr>
          <w:rFonts w:cs="GillSansMT"/>
          <w:color w:val="auto"/>
          <w:sz w:val="20"/>
          <w:szCs w:val="20"/>
          <w:lang w:val="es-ES_tradnl"/>
        </w:rPr>
        <w:t xml:space="preserve">, y </w:t>
      </w:r>
      <w:r w:rsidR="00EC6D03" w:rsidRPr="001F35C9">
        <w:rPr>
          <w:color w:val="auto"/>
          <w:sz w:val="20"/>
          <w:szCs w:val="20"/>
          <w:lang w:val="es-ES_tradnl"/>
        </w:rPr>
        <w:t>considera que el sometimiento de los familiares de l</w:t>
      </w:r>
      <w:r w:rsidR="00552096" w:rsidRPr="001F35C9">
        <w:rPr>
          <w:color w:val="auto"/>
          <w:sz w:val="20"/>
          <w:szCs w:val="20"/>
          <w:lang w:val="es-ES_tradnl"/>
        </w:rPr>
        <w:t>o</w:t>
      </w:r>
      <w:r w:rsidR="00EC6D03" w:rsidRPr="001F35C9">
        <w:rPr>
          <w:color w:val="auto"/>
          <w:sz w:val="20"/>
          <w:szCs w:val="20"/>
          <w:lang w:val="es-ES_tradnl"/>
        </w:rPr>
        <w:t xml:space="preserve">s </w:t>
      </w:r>
      <w:r w:rsidR="00552096" w:rsidRPr="001F35C9">
        <w:rPr>
          <w:color w:val="auto"/>
          <w:sz w:val="20"/>
          <w:szCs w:val="20"/>
          <w:lang w:val="es-ES_tradnl"/>
        </w:rPr>
        <w:t xml:space="preserve">policías asesinados </w:t>
      </w:r>
      <w:r w:rsidR="00EC6D03" w:rsidRPr="001F35C9">
        <w:rPr>
          <w:color w:val="auto"/>
          <w:sz w:val="20"/>
          <w:szCs w:val="20"/>
          <w:lang w:val="es-ES_tradnl"/>
        </w:rPr>
        <w:t>a un proceso ordinario constituye una grave vulneración de sus derechos fundamentales</w:t>
      </w:r>
      <w:r w:rsidRPr="001F35C9">
        <w:rPr>
          <w:rFonts w:cs="GillSansMT"/>
          <w:color w:val="auto"/>
          <w:sz w:val="20"/>
          <w:szCs w:val="20"/>
          <w:lang w:val="es-ES_tradnl"/>
        </w:rPr>
        <w:t xml:space="preserve">. </w:t>
      </w:r>
      <w:r w:rsidR="00F56C21" w:rsidRPr="001F35C9">
        <w:rPr>
          <w:rFonts w:cs="GillSansMT"/>
          <w:color w:val="auto"/>
          <w:sz w:val="20"/>
          <w:szCs w:val="20"/>
          <w:lang w:val="es-ES_tradnl"/>
        </w:rPr>
        <w:t>Por su parte</w:t>
      </w:r>
      <w:r w:rsidR="00411C68" w:rsidRPr="001F35C9">
        <w:rPr>
          <w:rFonts w:cs="GillSansMT"/>
          <w:color w:val="auto"/>
          <w:sz w:val="20"/>
          <w:szCs w:val="20"/>
          <w:lang w:val="es-ES_tradnl"/>
        </w:rPr>
        <w:t>,</w:t>
      </w:r>
      <w:r w:rsidR="00F56C21" w:rsidRPr="001F35C9">
        <w:rPr>
          <w:rFonts w:cs="GillSansMT"/>
          <w:color w:val="auto"/>
          <w:sz w:val="20"/>
          <w:szCs w:val="20"/>
          <w:lang w:val="es-ES_tradnl"/>
        </w:rPr>
        <w:t xml:space="preserve"> el Estado </w:t>
      </w:r>
      <w:r w:rsidR="00C41C9D" w:rsidRPr="001F35C9">
        <w:rPr>
          <w:rFonts w:cs="GillSansMT"/>
          <w:color w:val="auto"/>
          <w:sz w:val="20"/>
          <w:szCs w:val="20"/>
          <w:lang w:val="es-ES_tradnl"/>
        </w:rPr>
        <w:t xml:space="preserve">sostiene que no fue agotada </w:t>
      </w:r>
      <w:r w:rsidR="00C03352" w:rsidRPr="001F35C9">
        <w:rPr>
          <w:color w:val="auto"/>
          <w:sz w:val="20"/>
          <w:szCs w:val="20"/>
          <w:lang w:val="es-ES_tradnl"/>
        </w:rPr>
        <w:t xml:space="preserve">la </w:t>
      </w:r>
      <w:r w:rsidR="00F56C21" w:rsidRPr="001F35C9">
        <w:rPr>
          <w:color w:val="auto"/>
          <w:sz w:val="20"/>
          <w:szCs w:val="20"/>
          <w:lang w:val="es-ES_tradnl"/>
        </w:rPr>
        <w:t>acción de reparación directa</w:t>
      </w:r>
      <w:r w:rsidRPr="001F35C9">
        <w:rPr>
          <w:color w:val="auto"/>
          <w:sz w:val="20"/>
          <w:szCs w:val="20"/>
          <w:lang w:val="es-ES_tradnl"/>
        </w:rPr>
        <w:t>,</w:t>
      </w:r>
      <w:r w:rsidR="00C03352" w:rsidRPr="001F35C9">
        <w:rPr>
          <w:color w:val="auto"/>
          <w:sz w:val="20"/>
          <w:szCs w:val="20"/>
          <w:lang w:val="es-ES_tradnl"/>
        </w:rPr>
        <w:t xml:space="preserve"> </w:t>
      </w:r>
      <w:r w:rsidRPr="001F35C9">
        <w:rPr>
          <w:color w:val="auto"/>
          <w:sz w:val="20"/>
          <w:szCs w:val="20"/>
          <w:lang w:val="es-ES_tradnl"/>
        </w:rPr>
        <w:t xml:space="preserve">como </w:t>
      </w:r>
      <w:r w:rsidR="00C41C9D" w:rsidRPr="001F35C9">
        <w:rPr>
          <w:color w:val="auto"/>
          <w:sz w:val="20"/>
          <w:szCs w:val="20"/>
          <w:lang w:val="es-ES_tradnl"/>
        </w:rPr>
        <w:t xml:space="preserve">el </w:t>
      </w:r>
      <w:r w:rsidR="00C03352" w:rsidRPr="001F35C9">
        <w:rPr>
          <w:color w:val="auto"/>
          <w:sz w:val="20"/>
          <w:szCs w:val="20"/>
          <w:lang w:val="es-ES_tradnl"/>
        </w:rPr>
        <w:t>recurso adecuado y efectivo</w:t>
      </w:r>
      <w:r w:rsidR="00F56C21" w:rsidRPr="001F35C9">
        <w:rPr>
          <w:color w:val="auto"/>
          <w:sz w:val="20"/>
          <w:szCs w:val="20"/>
          <w:lang w:val="es-ES_tradnl"/>
        </w:rPr>
        <w:t xml:space="preserve"> para </w:t>
      </w:r>
      <w:r w:rsidR="00C03352" w:rsidRPr="001F35C9">
        <w:rPr>
          <w:color w:val="auto"/>
          <w:sz w:val="20"/>
          <w:szCs w:val="20"/>
          <w:lang w:val="es-ES_tradnl"/>
        </w:rPr>
        <w:t xml:space="preserve">el reconocimiento de </w:t>
      </w:r>
      <w:r w:rsidR="00F56C21" w:rsidRPr="001F35C9">
        <w:rPr>
          <w:color w:val="auto"/>
          <w:sz w:val="20"/>
          <w:szCs w:val="20"/>
          <w:lang w:val="es-ES_tradnl"/>
        </w:rPr>
        <w:t>una indemnización adicional, en caso de que se estableciera que los hechos en cuestión resultaban atribuibles a la administración</w:t>
      </w:r>
      <w:r w:rsidR="00EC6D03" w:rsidRPr="001F35C9">
        <w:rPr>
          <w:color w:val="auto"/>
          <w:sz w:val="20"/>
          <w:szCs w:val="20"/>
          <w:lang w:val="es-ES_tradnl"/>
        </w:rPr>
        <w:t xml:space="preserve">. Asimismo, alega que </w:t>
      </w:r>
      <w:r w:rsidRPr="001F35C9">
        <w:rPr>
          <w:color w:val="auto"/>
          <w:sz w:val="20"/>
          <w:szCs w:val="20"/>
          <w:lang w:val="es-ES_tradnl"/>
        </w:rPr>
        <w:t xml:space="preserve">no </w:t>
      </w:r>
      <w:r w:rsidR="00F56C21" w:rsidRPr="001F35C9">
        <w:rPr>
          <w:color w:val="auto"/>
          <w:sz w:val="20"/>
          <w:szCs w:val="20"/>
          <w:lang w:val="es-ES_tradnl"/>
        </w:rPr>
        <w:t>se verifica alguna de las excepciones convencionales al cumplimiento de dicho requisito</w:t>
      </w:r>
      <w:r w:rsidR="00C41C9D" w:rsidRPr="001F35C9">
        <w:rPr>
          <w:color w:val="auto"/>
          <w:sz w:val="20"/>
          <w:szCs w:val="20"/>
          <w:lang w:val="es-ES_tradnl"/>
        </w:rPr>
        <w:t>.</w:t>
      </w:r>
    </w:p>
    <w:p w14:paraId="67B9641C"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GillSansMT"/>
          <w:color w:val="auto"/>
          <w:sz w:val="20"/>
          <w:szCs w:val="20"/>
          <w:lang w:val="es-ES_tradnl"/>
        </w:rPr>
      </w:pPr>
    </w:p>
    <w:p w14:paraId="60FA94F6" w14:textId="6C328B79" w:rsidR="00052FF2" w:rsidRPr="001F35C9" w:rsidRDefault="00052FF2"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1F35C9">
        <w:rPr>
          <w:color w:val="auto"/>
          <w:sz w:val="20"/>
          <w:szCs w:val="20"/>
          <w:lang w:val="es-ES_tradnl"/>
        </w:rPr>
        <w:t>L</w:t>
      </w:r>
      <w:r w:rsidR="00B877F5" w:rsidRPr="001F35C9">
        <w:rPr>
          <w:color w:val="auto"/>
          <w:sz w:val="20"/>
          <w:szCs w:val="20"/>
          <w:lang w:val="es-ES_tradnl"/>
        </w:rPr>
        <w:t xml:space="preserve">a Comisión observa que el objeto principal de la presente petición se circunscribe a la falta de </w:t>
      </w:r>
      <w:r w:rsidR="00F05180" w:rsidRPr="001F35C9">
        <w:rPr>
          <w:color w:val="auto"/>
          <w:sz w:val="20"/>
          <w:szCs w:val="20"/>
          <w:lang w:val="es-ES_tradnl"/>
        </w:rPr>
        <w:t xml:space="preserve">la llamada </w:t>
      </w:r>
      <w:r w:rsidR="00B877F5" w:rsidRPr="001F35C9">
        <w:rPr>
          <w:color w:val="auto"/>
          <w:sz w:val="20"/>
          <w:szCs w:val="20"/>
          <w:lang w:val="es-ES_tradnl"/>
        </w:rPr>
        <w:t>indemnización adicional</w:t>
      </w:r>
      <w:r w:rsidR="00F05180" w:rsidRPr="001F35C9">
        <w:rPr>
          <w:color w:val="auto"/>
          <w:sz w:val="20"/>
          <w:szCs w:val="20"/>
          <w:lang w:val="es-ES_tradnl"/>
        </w:rPr>
        <w:t xml:space="preserve"> </w:t>
      </w:r>
      <w:r w:rsidR="00B877F5" w:rsidRPr="001F35C9">
        <w:rPr>
          <w:color w:val="auto"/>
          <w:sz w:val="20"/>
          <w:szCs w:val="20"/>
          <w:lang w:val="es-ES_tradnl"/>
        </w:rPr>
        <w:t xml:space="preserve">a las familias de </w:t>
      </w:r>
      <w:r w:rsidR="00552096" w:rsidRPr="001F35C9">
        <w:rPr>
          <w:color w:val="auto"/>
          <w:sz w:val="20"/>
          <w:szCs w:val="20"/>
          <w:lang w:val="es-ES_tradnl"/>
        </w:rPr>
        <w:t xml:space="preserve">los sesenta y </w:t>
      </w:r>
      <w:r w:rsidR="004144FD" w:rsidRPr="001F35C9">
        <w:rPr>
          <w:color w:val="auto"/>
          <w:sz w:val="20"/>
          <w:szCs w:val="20"/>
          <w:lang w:val="es-ES_tradnl"/>
        </w:rPr>
        <w:t>tres</w:t>
      </w:r>
      <w:r w:rsidR="00552096" w:rsidRPr="001F35C9">
        <w:rPr>
          <w:color w:val="auto"/>
          <w:sz w:val="20"/>
          <w:szCs w:val="20"/>
          <w:lang w:val="es-ES_tradnl"/>
        </w:rPr>
        <w:t xml:space="preserve"> policías fallecidos en manos del narcotráfico</w:t>
      </w:r>
      <w:r w:rsidR="00F05180" w:rsidRPr="001F35C9">
        <w:rPr>
          <w:color w:val="auto"/>
          <w:sz w:val="20"/>
          <w:szCs w:val="20"/>
          <w:lang w:val="es-ES_tradnl"/>
        </w:rPr>
        <w:t xml:space="preserve"> en atención a los bienes incautados</w:t>
      </w:r>
      <w:r w:rsidR="007457AD" w:rsidRPr="001F35C9">
        <w:rPr>
          <w:color w:val="auto"/>
          <w:sz w:val="20"/>
          <w:szCs w:val="20"/>
          <w:lang w:val="es-ES_tradnl"/>
        </w:rPr>
        <w:t xml:space="preserve"> por el Estado</w:t>
      </w:r>
      <w:r w:rsidR="00F05180" w:rsidRPr="001F35C9">
        <w:rPr>
          <w:color w:val="auto"/>
          <w:sz w:val="20"/>
          <w:szCs w:val="20"/>
          <w:lang w:val="es-ES_tradnl"/>
        </w:rPr>
        <w:t xml:space="preserve"> del </w:t>
      </w:r>
      <w:r w:rsidR="007457AD" w:rsidRPr="001F35C9">
        <w:rPr>
          <w:color w:val="auto"/>
          <w:sz w:val="20"/>
          <w:szCs w:val="20"/>
          <w:lang w:val="es-ES_tradnl"/>
        </w:rPr>
        <w:t>presunto autor intelectual</w:t>
      </w:r>
      <w:r w:rsidR="00B877F5" w:rsidRPr="001F35C9">
        <w:rPr>
          <w:color w:val="auto"/>
          <w:sz w:val="20"/>
          <w:szCs w:val="20"/>
          <w:lang w:val="es-ES_tradnl"/>
        </w:rPr>
        <w:t xml:space="preserve">. </w:t>
      </w:r>
      <w:r w:rsidRPr="001F35C9">
        <w:rPr>
          <w:color w:val="auto"/>
          <w:sz w:val="20"/>
          <w:szCs w:val="20"/>
          <w:lang w:val="es-ES_tradnl"/>
        </w:rPr>
        <w:t>Ante los hechos alegados, l</w:t>
      </w:r>
      <w:r w:rsidR="00B57D37" w:rsidRPr="001F35C9">
        <w:rPr>
          <w:color w:val="auto"/>
          <w:sz w:val="20"/>
          <w:szCs w:val="20"/>
          <w:lang w:val="es-ES_tradnl"/>
        </w:rPr>
        <w:t>a Comisión recuerda que,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 como la interposición del recurso de amparo sin el previo agotamiento de las vías pertinentes</w:t>
      </w:r>
      <w:r w:rsidR="00B57D37" w:rsidRPr="001F35C9">
        <w:rPr>
          <w:rStyle w:val="FootnoteReference"/>
          <w:color w:val="auto"/>
          <w:sz w:val="20"/>
          <w:szCs w:val="20"/>
          <w:lang w:val="es-ES_tradnl"/>
        </w:rPr>
        <w:footnoteReference w:id="4"/>
      </w:r>
      <w:r w:rsidR="00B57D37" w:rsidRPr="001F35C9">
        <w:rPr>
          <w:color w:val="auto"/>
          <w:sz w:val="20"/>
          <w:szCs w:val="20"/>
          <w:lang w:val="es-ES_tradnl"/>
        </w:rPr>
        <w:t xml:space="preserve">. </w:t>
      </w:r>
      <w:r w:rsidR="00BD7556" w:rsidRPr="001F35C9">
        <w:rPr>
          <w:color w:val="auto"/>
          <w:sz w:val="20"/>
          <w:szCs w:val="20"/>
          <w:lang w:val="es-ES_tradnl"/>
        </w:rPr>
        <w:t>En atención a la documentación presentada por las partes</w:t>
      </w:r>
      <w:r w:rsidR="008F484D" w:rsidRPr="001F35C9">
        <w:rPr>
          <w:color w:val="auto"/>
          <w:sz w:val="20"/>
          <w:szCs w:val="20"/>
          <w:lang w:val="es-ES_tradnl"/>
        </w:rPr>
        <w:t>, la Comisión n</w:t>
      </w:r>
      <w:r w:rsidR="007457AD" w:rsidRPr="001F35C9">
        <w:rPr>
          <w:color w:val="auto"/>
          <w:sz w:val="20"/>
          <w:szCs w:val="20"/>
          <w:lang w:val="es-ES_tradnl"/>
        </w:rPr>
        <w:t>ota que</w:t>
      </w:r>
      <w:r w:rsidR="006A7AF7" w:rsidRPr="001F35C9">
        <w:rPr>
          <w:color w:val="auto"/>
          <w:sz w:val="20"/>
          <w:szCs w:val="20"/>
          <w:lang w:val="es-ES_tradnl"/>
        </w:rPr>
        <w:t xml:space="preserve"> </w:t>
      </w:r>
      <w:r w:rsidR="00C01BFA" w:rsidRPr="001F35C9">
        <w:rPr>
          <w:color w:val="auto"/>
          <w:sz w:val="20"/>
          <w:szCs w:val="20"/>
          <w:lang w:val="es-ES_tradnl"/>
        </w:rPr>
        <w:t xml:space="preserve">las autoridades administrativas </w:t>
      </w:r>
      <w:r w:rsidR="000A31B5" w:rsidRPr="001F35C9">
        <w:rPr>
          <w:color w:val="auto"/>
          <w:sz w:val="20"/>
          <w:szCs w:val="20"/>
          <w:lang w:val="es-ES_tradnl"/>
        </w:rPr>
        <w:t xml:space="preserve">de manera oportuna </w:t>
      </w:r>
      <w:r w:rsidR="006D50B8" w:rsidRPr="001F35C9">
        <w:rPr>
          <w:color w:val="auto"/>
          <w:sz w:val="20"/>
          <w:szCs w:val="20"/>
          <w:lang w:val="es-ES_tradnl"/>
        </w:rPr>
        <w:t xml:space="preserve">refirieron a la parte peticionaria </w:t>
      </w:r>
      <w:r w:rsidR="00C01BFA" w:rsidRPr="001F35C9">
        <w:rPr>
          <w:color w:val="auto"/>
          <w:sz w:val="20"/>
          <w:szCs w:val="20"/>
          <w:lang w:val="es-ES_tradnl"/>
        </w:rPr>
        <w:t xml:space="preserve">a acudir a instancias judiciales, específicamente a la justicia ordinaria para reclamar la indemnización pretendida. </w:t>
      </w:r>
      <w:r w:rsidR="006D50B8" w:rsidRPr="001F35C9">
        <w:rPr>
          <w:color w:val="auto"/>
          <w:sz w:val="20"/>
          <w:szCs w:val="20"/>
          <w:lang w:val="es-ES_tradnl"/>
        </w:rPr>
        <w:t>Asimismo</w:t>
      </w:r>
      <w:r w:rsidR="00C01BFA" w:rsidRPr="001F35C9">
        <w:rPr>
          <w:color w:val="auto"/>
          <w:sz w:val="20"/>
          <w:szCs w:val="20"/>
          <w:lang w:val="es-ES_tradnl"/>
        </w:rPr>
        <w:t xml:space="preserve">, la Comisión observa que, </w:t>
      </w:r>
      <w:r w:rsidR="006D50B8" w:rsidRPr="001F35C9">
        <w:rPr>
          <w:color w:val="auto"/>
          <w:sz w:val="20"/>
          <w:szCs w:val="20"/>
          <w:lang w:val="es-ES_tradnl"/>
        </w:rPr>
        <w:t xml:space="preserve">de acuerdo con la información </w:t>
      </w:r>
      <w:r w:rsidRPr="001F35C9">
        <w:rPr>
          <w:color w:val="auto"/>
          <w:sz w:val="20"/>
          <w:szCs w:val="20"/>
          <w:lang w:val="es-ES_tradnl"/>
        </w:rPr>
        <w:t>disponible</w:t>
      </w:r>
      <w:r w:rsidR="006D50B8" w:rsidRPr="001F35C9">
        <w:rPr>
          <w:color w:val="auto"/>
          <w:sz w:val="20"/>
          <w:szCs w:val="20"/>
          <w:lang w:val="es-ES_tradnl"/>
        </w:rPr>
        <w:t xml:space="preserve"> en el expediente, la Sala Jurisdiccional Disciplinaria del Consejo Superior de la Judicatura declaró improcedente </w:t>
      </w:r>
      <w:r w:rsidR="003D79DD" w:rsidRPr="001F35C9">
        <w:rPr>
          <w:color w:val="auto"/>
          <w:sz w:val="20"/>
          <w:szCs w:val="20"/>
          <w:lang w:val="es-ES_tradnl"/>
        </w:rPr>
        <w:t xml:space="preserve">la acción de tutela </w:t>
      </w:r>
      <w:r w:rsidR="006D50B8" w:rsidRPr="001F35C9">
        <w:rPr>
          <w:color w:val="auto"/>
          <w:sz w:val="20"/>
          <w:szCs w:val="20"/>
          <w:lang w:val="es-ES_tradnl"/>
        </w:rPr>
        <w:t xml:space="preserve">mediante sentencia del 14 de octubre de 2008 </w:t>
      </w:r>
      <w:r w:rsidR="003D79DD" w:rsidRPr="001F35C9">
        <w:rPr>
          <w:color w:val="auto"/>
          <w:sz w:val="20"/>
          <w:szCs w:val="20"/>
          <w:lang w:val="es-ES_tradnl"/>
        </w:rPr>
        <w:t>–contrario a lo alegado por la parte peticionaria</w:t>
      </w:r>
      <w:r w:rsidR="00B24CA8" w:rsidRPr="001F35C9">
        <w:rPr>
          <w:color w:val="auto"/>
          <w:sz w:val="20"/>
          <w:szCs w:val="20"/>
          <w:lang w:val="es-ES_tradnl"/>
        </w:rPr>
        <w:t>–</w:t>
      </w:r>
      <w:r w:rsidR="003D79DD" w:rsidRPr="001F35C9">
        <w:rPr>
          <w:color w:val="auto"/>
          <w:sz w:val="20"/>
          <w:szCs w:val="20"/>
          <w:lang w:val="es-ES_tradnl"/>
        </w:rPr>
        <w:t xml:space="preserve"> ante</w:t>
      </w:r>
      <w:r w:rsidR="006D50B8" w:rsidRPr="001F35C9">
        <w:rPr>
          <w:color w:val="auto"/>
          <w:sz w:val="20"/>
          <w:szCs w:val="20"/>
          <w:lang w:val="es-ES_tradnl"/>
        </w:rPr>
        <w:t xml:space="preserve"> la disponibilidad de otros medios de defensa judicial, como la acción de reparación directa, que permitiría acceder a la eventual protección de los derechos que considerase vulnerados. </w:t>
      </w:r>
      <w:r w:rsidR="00B57D37" w:rsidRPr="001F35C9">
        <w:rPr>
          <w:color w:val="auto"/>
          <w:sz w:val="20"/>
          <w:szCs w:val="20"/>
          <w:lang w:val="es-ES_tradnl"/>
        </w:rPr>
        <w:t xml:space="preserve">En atención a lo anterior, la parte peticionaria no ha aportado pruebas o argumentos que permitan deducir que tales decisiones hubieran sido arbitrarias o irrazonables. </w:t>
      </w:r>
    </w:p>
    <w:p w14:paraId="6478589A"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GillSansMT"/>
          <w:color w:val="auto"/>
          <w:sz w:val="20"/>
          <w:szCs w:val="20"/>
          <w:lang w:val="es-ES_tradnl"/>
        </w:rPr>
      </w:pPr>
    </w:p>
    <w:p w14:paraId="03B2719B" w14:textId="25C7A94C" w:rsidR="00030513" w:rsidRPr="001F35C9" w:rsidRDefault="003D79DD"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1F35C9">
        <w:rPr>
          <w:color w:val="auto"/>
          <w:sz w:val="20"/>
          <w:szCs w:val="20"/>
          <w:lang w:val="es-ES_tradnl"/>
        </w:rPr>
        <w:t xml:space="preserve">La Comisión toma nota sobre el presunto </w:t>
      </w:r>
      <w:r w:rsidRPr="001F35C9">
        <w:rPr>
          <w:rFonts w:cs="Century Gothic"/>
          <w:color w:val="auto"/>
          <w:sz w:val="20"/>
          <w:szCs w:val="20"/>
          <w:lang w:val="es-ES_tradnl"/>
        </w:rPr>
        <w:t xml:space="preserve">estado de debilidad manifiesta y fuerza mayor que </w:t>
      </w:r>
      <w:r w:rsidR="001147F8" w:rsidRPr="001F35C9">
        <w:rPr>
          <w:rFonts w:cs="Century Gothic"/>
          <w:color w:val="auto"/>
          <w:sz w:val="20"/>
          <w:szCs w:val="20"/>
          <w:lang w:val="es-ES_tradnl"/>
        </w:rPr>
        <w:t xml:space="preserve">habría </w:t>
      </w:r>
      <w:r w:rsidRPr="001F35C9">
        <w:rPr>
          <w:rFonts w:cs="Century Gothic"/>
          <w:color w:val="auto"/>
          <w:sz w:val="20"/>
          <w:szCs w:val="20"/>
          <w:lang w:val="es-ES_tradnl"/>
        </w:rPr>
        <w:t>imposibilit</w:t>
      </w:r>
      <w:r w:rsidR="001147F8" w:rsidRPr="001F35C9">
        <w:rPr>
          <w:rFonts w:cs="Century Gothic"/>
          <w:color w:val="auto"/>
          <w:sz w:val="20"/>
          <w:szCs w:val="20"/>
          <w:lang w:val="es-ES_tradnl"/>
        </w:rPr>
        <w:t xml:space="preserve">ado </w:t>
      </w:r>
      <w:r w:rsidRPr="001F35C9">
        <w:rPr>
          <w:rFonts w:cs="Century Gothic"/>
          <w:color w:val="auto"/>
          <w:sz w:val="20"/>
          <w:szCs w:val="20"/>
          <w:lang w:val="es-ES_tradnl"/>
        </w:rPr>
        <w:t xml:space="preserve">a los familiares adelantar cualquier acción de reparación directa antes de su caducidad, así como el argumento de la parte peticionaria sobre como </w:t>
      </w:r>
      <w:r w:rsidRPr="001F35C9">
        <w:rPr>
          <w:color w:val="auto"/>
          <w:sz w:val="20"/>
          <w:szCs w:val="20"/>
          <w:lang w:val="es-ES_tradnl"/>
        </w:rPr>
        <w:t xml:space="preserve">el someterse a un proceso ordinario </w:t>
      </w:r>
      <w:r w:rsidR="001147F8" w:rsidRPr="001F35C9">
        <w:rPr>
          <w:color w:val="auto"/>
          <w:sz w:val="20"/>
          <w:szCs w:val="20"/>
          <w:lang w:val="es-ES_tradnl"/>
        </w:rPr>
        <w:t>constituiría</w:t>
      </w:r>
      <w:r w:rsidRPr="001F35C9">
        <w:rPr>
          <w:color w:val="auto"/>
          <w:sz w:val="20"/>
          <w:szCs w:val="20"/>
          <w:lang w:val="es-ES_tradnl"/>
        </w:rPr>
        <w:t xml:space="preserve"> una grave vulneración de sus derechos fundamentales</w:t>
      </w:r>
      <w:r w:rsidRPr="001F35C9">
        <w:rPr>
          <w:rFonts w:cs="GillSansMT"/>
          <w:color w:val="auto"/>
          <w:sz w:val="20"/>
          <w:szCs w:val="20"/>
          <w:lang w:val="es-ES_tradnl"/>
        </w:rPr>
        <w:t>.</w:t>
      </w:r>
      <w:r w:rsidR="001147F8" w:rsidRPr="001F35C9">
        <w:rPr>
          <w:rFonts w:cs="GillSansMT"/>
          <w:color w:val="auto"/>
          <w:sz w:val="20"/>
          <w:szCs w:val="20"/>
          <w:lang w:val="es-ES_tradnl"/>
        </w:rPr>
        <w:t xml:space="preserve"> En atención al primer argumento, la Comisión toma en cuenta el temor fundado </w:t>
      </w:r>
      <w:r w:rsidR="00052FF2" w:rsidRPr="001F35C9">
        <w:rPr>
          <w:rFonts w:cs="GillSansMT"/>
          <w:color w:val="auto"/>
          <w:sz w:val="20"/>
          <w:szCs w:val="20"/>
          <w:lang w:val="es-ES_tradnl"/>
        </w:rPr>
        <w:t xml:space="preserve">que sufrieron </w:t>
      </w:r>
      <w:r w:rsidR="001147F8" w:rsidRPr="001F35C9">
        <w:rPr>
          <w:rFonts w:cs="GillSansMT"/>
          <w:color w:val="auto"/>
          <w:sz w:val="20"/>
          <w:szCs w:val="20"/>
          <w:lang w:val="es-ES_tradnl"/>
        </w:rPr>
        <w:t xml:space="preserve">las familias de </w:t>
      </w:r>
      <w:r w:rsidR="00C41E9E" w:rsidRPr="001F35C9">
        <w:rPr>
          <w:rFonts w:cs="GillSansMT"/>
          <w:color w:val="auto"/>
          <w:sz w:val="20"/>
          <w:szCs w:val="20"/>
          <w:lang w:val="es-ES_tradnl"/>
        </w:rPr>
        <w:t xml:space="preserve">los sesenta y </w:t>
      </w:r>
      <w:r w:rsidR="004144FD" w:rsidRPr="001F35C9">
        <w:rPr>
          <w:rFonts w:cs="GillSansMT"/>
          <w:color w:val="auto"/>
          <w:sz w:val="20"/>
          <w:szCs w:val="20"/>
          <w:lang w:val="es-ES_tradnl"/>
        </w:rPr>
        <w:t>tres</w:t>
      </w:r>
      <w:r w:rsidR="00C41E9E" w:rsidRPr="001F35C9">
        <w:rPr>
          <w:rFonts w:cs="GillSansMT"/>
          <w:color w:val="auto"/>
          <w:sz w:val="20"/>
          <w:szCs w:val="20"/>
          <w:lang w:val="es-ES_tradnl"/>
        </w:rPr>
        <w:t xml:space="preserve"> policías asesinados </w:t>
      </w:r>
      <w:r w:rsidR="001147F8" w:rsidRPr="001F35C9">
        <w:rPr>
          <w:rFonts w:cs="GillSansMT"/>
          <w:color w:val="auto"/>
          <w:sz w:val="20"/>
          <w:szCs w:val="20"/>
          <w:lang w:val="es-ES_tradnl"/>
        </w:rPr>
        <w:t xml:space="preserve">en el contexto posterior a sus muertes violentas </w:t>
      </w:r>
      <w:r w:rsidR="00052FF2" w:rsidRPr="001F35C9">
        <w:rPr>
          <w:rFonts w:cs="GillSansMT"/>
          <w:color w:val="auto"/>
          <w:sz w:val="20"/>
          <w:szCs w:val="20"/>
          <w:lang w:val="es-ES_tradnl"/>
        </w:rPr>
        <w:t xml:space="preserve">de </w:t>
      </w:r>
      <w:r w:rsidR="001147F8" w:rsidRPr="001F35C9">
        <w:rPr>
          <w:rFonts w:cs="GillSansMT"/>
          <w:color w:val="auto"/>
          <w:sz w:val="20"/>
          <w:szCs w:val="20"/>
          <w:lang w:val="es-ES_tradnl"/>
        </w:rPr>
        <w:t>interpone</w:t>
      </w:r>
      <w:r w:rsidR="00052FF2" w:rsidRPr="001F35C9">
        <w:rPr>
          <w:rFonts w:cs="GillSansMT"/>
          <w:color w:val="auto"/>
          <w:sz w:val="20"/>
          <w:szCs w:val="20"/>
          <w:lang w:val="es-ES_tradnl"/>
        </w:rPr>
        <w:t xml:space="preserve">r cualquier acción judicial inclusive </w:t>
      </w:r>
      <w:r w:rsidR="001147F8" w:rsidRPr="001F35C9">
        <w:rPr>
          <w:rFonts w:cs="GillSansMT"/>
          <w:color w:val="auto"/>
          <w:sz w:val="20"/>
          <w:szCs w:val="20"/>
          <w:lang w:val="es-ES_tradnl"/>
        </w:rPr>
        <w:t>la acción de reparación directa</w:t>
      </w:r>
      <w:r w:rsidR="00052FF2" w:rsidRPr="001F35C9">
        <w:rPr>
          <w:rFonts w:cs="GillSansMT"/>
          <w:color w:val="auto"/>
          <w:sz w:val="20"/>
          <w:szCs w:val="20"/>
          <w:lang w:val="es-ES_tradnl"/>
        </w:rPr>
        <w:t>. No obstante</w:t>
      </w:r>
      <w:r w:rsidR="001147F8" w:rsidRPr="001F35C9">
        <w:rPr>
          <w:rFonts w:cs="GillSansMT"/>
          <w:color w:val="auto"/>
          <w:sz w:val="20"/>
          <w:szCs w:val="20"/>
          <w:lang w:val="es-ES_tradnl"/>
        </w:rPr>
        <w:t xml:space="preserve">, en atención a las características del presente caso, considera importante recalcar lo establecido por la Corte Constitucional mediante sentencia T-301 de 2019 </w:t>
      </w:r>
      <w:r w:rsidR="00030513" w:rsidRPr="001F35C9">
        <w:rPr>
          <w:rFonts w:cs="GillSansMT"/>
          <w:color w:val="auto"/>
          <w:sz w:val="20"/>
          <w:szCs w:val="20"/>
          <w:lang w:val="es-ES_tradnl"/>
        </w:rPr>
        <w:t>en relación con el</w:t>
      </w:r>
      <w:r w:rsidR="001147F8" w:rsidRPr="001F35C9">
        <w:rPr>
          <w:rFonts w:cs="GillSansMT"/>
          <w:color w:val="auto"/>
          <w:sz w:val="20"/>
          <w:szCs w:val="20"/>
          <w:lang w:val="es-ES_tradnl"/>
        </w:rPr>
        <w:t xml:space="preserve"> término de caducidad de</w:t>
      </w:r>
      <w:r w:rsidR="00030513" w:rsidRPr="001F35C9">
        <w:rPr>
          <w:rFonts w:cs="GillSansMT"/>
          <w:color w:val="auto"/>
          <w:sz w:val="20"/>
          <w:szCs w:val="20"/>
          <w:lang w:val="es-ES_tradnl"/>
        </w:rPr>
        <w:t xml:space="preserve"> la mencionada </w:t>
      </w:r>
      <w:r w:rsidR="001147F8" w:rsidRPr="001F35C9">
        <w:rPr>
          <w:rFonts w:cs="GillSansMT"/>
          <w:color w:val="auto"/>
          <w:sz w:val="20"/>
          <w:szCs w:val="20"/>
          <w:lang w:val="es-ES_tradnl"/>
        </w:rPr>
        <w:t xml:space="preserve">acción. </w:t>
      </w:r>
      <w:r w:rsidR="00030513" w:rsidRPr="001F35C9">
        <w:rPr>
          <w:rFonts w:cs="GillSansMT"/>
          <w:color w:val="auto"/>
          <w:sz w:val="20"/>
          <w:szCs w:val="20"/>
          <w:lang w:val="es-ES_tradnl"/>
        </w:rPr>
        <w:t xml:space="preserve">En la mencionada sentencia, la Corte Constitucional concluyó como: </w:t>
      </w:r>
    </w:p>
    <w:p w14:paraId="34F9E6B8" w14:textId="77777777" w:rsidR="00E5299A" w:rsidRPr="001F35C9" w:rsidRDefault="00E5299A" w:rsidP="00E5299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lang w:val="es-ES_tradnl"/>
        </w:rPr>
      </w:pPr>
    </w:p>
    <w:p w14:paraId="1E34D8F6" w14:textId="1BB0F2BF" w:rsidR="003D79DD" w:rsidRPr="001F35C9" w:rsidRDefault="00030513"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right="720"/>
        <w:jc w:val="both"/>
        <w:rPr>
          <w:rFonts w:cs="GillSansMT"/>
          <w:color w:val="auto"/>
          <w:sz w:val="20"/>
          <w:szCs w:val="20"/>
          <w:lang w:val="es-ES_tradnl"/>
        </w:rPr>
      </w:pPr>
      <w:r w:rsidRPr="001F35C9">
        <w:rPr>
          <w:rFonts w:cs="GillSansMT"/>
          <w:color w:val="auto"/>
          <w:sz w:val="20"/>
          <w:szCs w:val="20"/>
          <w:lang w:val="es-ES_tradnl"/>
        </w:rPr>
        <w:t>En virtud del principio de seguridad jurídica y de la prevalencia del interés general el término de caducidad del medio de control de reparación directa es de 2 años. Por regla general, el momento en que inicia la contabilización de dicho término es el de la ocurrencia del hecho dañoso, pues se presume que ahí se tiene conocimiento del daño. Sin embargo, en aplicación de reglas y principios constitucionales, se ha comprendido que dicho conteo no puede aplicarse de manera inflexible o rígida, pues en ocasiones, dadas las circunstancias particulares del caso, pueden admitirse ciertas flexibilizaciones, necesarias para garantizar el acceso efectivo a la administración de justicia y la reparación integral de las víctimas.</w:t>
      </w:r>
    </w:p>
    <w:p w14:paraId="6E5D3BE3"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right="720"/>
        <w:jc w:val="both"/>
        <w:rPr>
          <w:rFonts w:cs="GillSansMT"/>
          <w:color w:val="auto"/>
          <w:sz w:val="20"/>
          <w:szCs w:val="20"/>
          <w:lang w:val="es-ES_tradnl"/>
        </w:rPr>
      </w:pPr>
    </w:p>
    <w:p w14:paraId="7F502D73" w14:textId="108BF4BB" w:rsidR="00A94AE6" w:rsidRPr="001F35C9" w:rsidRDefault="000A31B5" w:rsidP="00E5299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1F35C9">
        <w:rPr>
          <w:rFonts w:cs="Calibri"/>
          <w:color w:val="auto"/>
          <w:sz w:val="20"/>
          <w:szCs w:val="20"/>
          <w:lang w:val="es-ES_tradnl"/>
        </w:rPr>
        <w:lastRenderedPageBreak/>
        <w:t>L</w:t>
      </w:r>
      <w:r w:rsidR="00B57D37" w:rsidRPr="001F35C9">
        <w:rPr>
          <w:rFonts w:cs="Calibri"/>
          <w:color w:val="auto"/>
          <w:sz w:val="20"/>
          <w:szCs w:val="20"/>
          <w:lang w:val="es-ES_tradnl"/>
        </w:rPr>
        <w:t xml:space="preserve">a Comisión recalca </w:t>
      </w:r>
      <w:r w:rsidRPr="001F35C9">
        <w:rPr>
          <w:rFonts w:cs="Calibri"/>
          <w:color w:val="auto"/>
          <w:sz w:val="20"/>
          <w:szCs w:val="20"/>
          <w:lang w:val="es-ES_tradnl"/>
        </w:rPr>
        <w:t xml:space="preserve">igualmente </w:t>
      </w:r>
      <w:r w:rsidR="00B57D37" w:rsidRPr="001F35C9">
        <w:rPr>
          <w:rFonts w:cs="Calibri"/>
          <w:color w:val="auto"/>
          <w:sz w:val="20"/>
          <w:szCs w:val="20"/>
          <w:lang w:val="es-ES_tradnl"/>
        </w:rPr>
        <w:t>que</w:t>
      </w:r>
      <w:r w:rsidR="00A94AE6" w:rsidRPr="001F35C9">
        <w:rPr>
          <w:rFonts w:cs="Calibri"/>
          <w:color w:val="auto"/>
          <w:sz w:val="20"/>
          <w:szCs w:val="20"/>
          <w:lang w:val="es-ES_tradnl"/>
        </w:rPr>
        <w:t xml:space="preserve"> </w:t>
      </w:r>
      <w:r w:rsidR="00A94AE6" w:rsidRPr="001F35C9">
        <w:rPr>
          <w:color w:val="auto"/>
          <w:sz w:val="20"/>
          <w:szCs w:val="20"/>
          <w:lang w:val="es-ES_tradnl"/>
        </w:rPr>
        <w:t>la Sala Jurisdiccional Disciplinaria del Consejo Superior de la Judicatura</w:t>
      </w:r>
      <w:r w:rsidRPr="001F35C9">
        <w:rPr>
          <w:color w:val="auto"/>
          <w:sz w:val="20"/>
          <w:szCs w:val="20"/>
          <w:lang w:val="es-ES_tradnl"/>
        </w:rPr>
        <w:t xml:space="preserve"> mediante sentencia d</w:t>
      </w:r>
      <w:r w:rsidR="00A94AE6" w:rsidRPr="001F35C9">
        <w:rPr>
          <w:color w:val="auto"/>
          <w:sz w:val="20"/>
          <w:szCs w:val="20"/>
          <w:lang w:val="es-ES_tradnl"/>
        </w:rPr>
        <w:t>el 2008</w:t>
      </w:r>
      <w:r w:rsidR="00030513" w:rsidRPr="001F35C9">
        <w:rPr>
          <w:rFonts w:cs="Calibri"/>
          <w:color w:val="auto"/>
          <w:sz w:val="20"/>
          <w:szCs w:val="20"/>
          <w:lang w:val="es-ES_tradnl"/>
        </w:rPr>
        <w:t xml:space="preserve"> </w:t>
      </w:r>
      <w:r w:rsidR="00A94AE6" w:rsidRPr="001F35C9">
        <w:rPr>
          <w:rFonts w:cs="Calibri"/>
          <w:color w:val="auto"/>
          <w:sz w:val="20"/>
          <w:szCs w:val="20"/>
          <w:lang w:val="es-ES_tradnl"/>
        </w:rPr>
        <w:t>consideró y fue clara en concluir que las presuntas víctimas tendrían la acción de reparación directa disponible como medio de defensa judicial. F</w:t>
      </w:r>
      <w:r w:rsidR="00030513" w:rsidRPr="001F35C9">
        <w:rPr>
          <w:rFonts w:cs="Calibri"/>
          <w:color w:val="auto"/>
          <w:sz w:val="20"/>
          <w:szCs w:val="20"/>
          <w:lang w:val="es-ES_tradnl"/>
        </w:rPr>
        <w:t xml:space="preserve">rente al alegato relativo a la </w:t>
      </w:r>
      <w:r w:rsidR="00B57D37" w:rsidRPr="001F35C9">
        <w:rPr>
          <w:rFonts w:cs="Calibri"/>
          <w:color w:val="auto"/>
          <w:sz w:val="20"/>
          <w:szCs w:val="20"/>
          <w:lang w:val="es-ES_tradnl"/>
        </w:rPr>
        <w:t>vulneración</w:t>
      </w:r>
      <w:r w:rsidR="00030513" w:rsidRPr="001F35C9">
        <w:rPr>
          <w:rFonts w:cs="Calibri"/>
          <w:color w:val="auto"/>
          <w:sz w:val="20"/>
          <w:szCs w:val="20"/>
          <w:lang w:val="es-ES_tradnl"/>
        </w:rPr>
        <w:t xml:space="preserve"> que ocasionaría someterse a un proceso judicial ordinario, la Comisión</w:t>
      </w:r>
      <w:r w:rsidR="00B57D37" w:rsidRPr="001F35C9">
        <w:rPr>
          <w:rFonts w:cs="Calibri"/>
          <w:color w:val="auto"/>
          <w:sz w:val="20"/>
          <w:szCs w:val="20"/>
          <w:lang w:val="es-ES_tradnl"/>
        </w:rPr>
        <w:t xml:space="preserve"> considera que</w:t>
      </w:r>
      <w:r w:rsidR="00030513" w:rsidRPr="001F35C9">
        <w:rPr>
          <w:rFonts w:cs="Calibri"/>
          <w:color w:val="auto"/>
          <w:sz w:val="20"/>
          <w:szCs w:val="20"/>
          <w:lang w:val="es-ES_tradnl"/>
        </w:rPr>
        <w:t xml:space="preserve"> </w:t>
      </w:r>
      <w:r w:rsidR="00B57D37" w:rsidRPr="001F35C9">
        <w:rPr>
          <w:color w:val="auto"/>
          <w:sz w:val="20"/>
          <w:szCs w:val="20"/>
          <w:lang w:val="es-ES_tradnl"/>
        </w:rPr>
        <w:t xml:space="preserve">la parte peticionaria, </w:t>
      </w:r>
      <w:r w:rsidR="00A94AE6" w:rsidRPr="001F35C9">
        <w:rPr>
          <w:color w:val="auto"/>
          <w:sz w:val="20"/>
          <w:szCs w:val="20"/>
          <w:lang w:val="es-ES_tradnl"/>
        </w:rPr>
        <w:t>en relación con</w:t>
      </w:r>
      <w:r w:rsidR="00B57D37" w:rsidRPr="001F35C9">
        <w:rPr>
          <w:color w:val="auto"/>
          <w:sz w:val="20"/>
          <w:szCs w:val="20"/>
          <w:lang w:val="es-ES_tradnl"/>
        </w:rPr>
        <w:t xml:space="preserve"> la presente petición, no ha aportado pruebas o información detallada que permita concluir que los derechos de </w:t>
      </w:r>
      <w:r w:rsidR="00C41E9E" w:rsidRPr="001F35C9">
        <w:rPr>
          <w:color w:val="auto"/>
          <w:sz w:val="20"/>
          <w:szCs w:val="20"/>
          <w:lang w:val="es-ES_tradnl"/>
        </w:rPr>
        <w:t xml:space="preserve">las presuntas víctimas </w:t>
      </w:r>
      <w:r w:rsidR="00B57D37" w:rsidRPr="001F35C9">
        <w:rPr>
          <w:color w:val="auto"/>
          <w:sz w:val="20"/>
          <w:szCs w:val="20"/>
          <w:lang w:val="es-ES_tradnl"/>
        </w:rPr>
        <w:t>podrían verse vulnerados</w:t>
      </w:r>
      <w:r w:rsidRPr="001F35C9">
        <w:rPr>
          <w:color w:val="auto"/>
          <w:sz w:val="20"/>
          <w:szCs w:val="20"/>
          <w:lang w:val="es-ES_tradnl"/>
        </w:rPr>
        <w:t xml:space="preserve"> o se encuentran en riesgo en el marco de un proceso judicial ante la justicia ordinaria. Al respecto, recalca que la simple duda acerca de las perspectivas de éxito de una acción judicial no basta para eximir al peticionario de agotar los recursos internos</w:t>
      </w:r>
      <w:r w:rsidRPr="001F35C9">
        <w:rPr>
          <w:rStyle w:val="FootnoteReference"/>
          <w:color w:val="auto"/>
          <w:sz w:val="20"/>
          <w:szCs w:val="20"/>
          <w:lang w:val="es-ES_tradnl"/>
        </w:rPr>
        <w:footnoteReference w:id="5"/>
      </w:r>
      <w:r w:rsidR="00E5299A" w:rsidRPr="001F35C9">
        <w:rPr>
          <w:color w:val="auto"/>
          <w:sz w:val="20"/>
          <w:szCs w:val="20"/>
          <w:lang w:val="es-ES_tradnl"/>
        </w:rPr>
        <w:t>.</w:t>
      </w:r>
    </w:p>
    <w:p w14:paraId="30D5E127" w14:textId="77777777" w:rsidR="00E5299A" w:rsidRPr="001F35C9" w:rsidRDefault="00E5299A" w:rsidP="00E529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GillSansMT"/>
          <w:color w:val="auto"/>
          <w:sz w:val="20"/>
          <w:szCs w:val="20"/>
          <w:lang w:val="es-ES_tradnl"/>
        </w:rPr>
      </w:pPr>
    </w:p>
    <w:p w14:paraId="6078DC6F" w14:textId="75E77782" w:rsidR="00D87DEA" w:rsidRPr="001F35C9" w:rsidRDefault="00A94AE6" w:rsidP="00B7017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1F35C9">
        <w:rPr>
          <w:color w:val="auto"/>
          <w:sz w:val="20"/>
          <w:szCs w:val="20"/>
          <w:lang w:val="es-ES_tradnl"/>
        </w:rPr>
        <w:t xml:space="preserve">A partir de la información brindada, </w:t>
      </w:r>
      <w:r w:rsidR="00030513" w:rsidRPr="001F35C9">
        <w:rPr>
          <w:rFonts w:cs="Calibri"/>
          <w:color w:val="auto"/>
          <w:sz w:val="20"/>
          <w:szCs w:val="20"/>
          <w:lang w:val="es-ES_tradnl"/>
        </w:rPr>
        <w:t xml:space="preserve">la Comisión nota que no se activó el recurso señalado por las autoridades judiciales, ni otros procesos judiciales para </w:t>
      </w:r>
      <w:r w:rsidR="00030513" w:rsidRPr="001F35C9">
        <w:rPr>
          <w:color w:val="auto"/>
          <w:sz w:val="20"/>
          <w:szCs w:val="20"/>
          <w:lang w:val="es-ES_tradnl"/>
        </w:rPr>
        <w:t>cuestionar la legalidad de la normativa y su aplicación. En este sentido, la Comisión considera que, de acuerdo con la información proporcionada, no se han agotado los recursos internos en relación con estos extremos</w:t>
      </w:r>
      <w:r w:rsidRPr="001F35C9">
        <w:rPr>
          <w:color w:val="auto"/>
          <w:sz w:val="20"/>
          <w:szCs w:val="20"/>
          <w:lang w:val="es-ES_tradnl"/>
        </w:rPr>
        <w:t xml:space="preserve"> </w:t>
      </w:r>
      <w:r w:rsidR="002E6A70" w:rsidRPr="001F35C9">
        <w:rPr>
          <w:color w:val="auto"/>
          <w:sz w:val="20"/>
          <w:szCs w:val="20"/>
          <w:lang w:val="es-ES_tradnl"/>
        </w:rPr>
        <w:t>por lo que no puede dar por acreditado el requisito de admisibilidad previsto en el artículo 46.1.a</w:t>
      </w:r>
      <w:r w:rsidR="002316F1" w:rsidRPr="001F35C9">
        <w:rPr>
          <w:color w:val="auto"/>
          <w:sz w:val="20"/>
          <w:szCs w:val="20"/>
          <w:lang w:val="es-ES_tradnl"/>
        </w:rPr>
        <w:t>)</w:t>
      </w:r>
      <w:r w:rsidR="002E6A70" w:rsidRPr="001F35C9">
        <w:rPr>
          <w:color w:val="auto"/>
          <w:sz w:val="20"/>
          <w:szCs w:val="20"/>
          <w:lang w:val="es-ES_tradnl"/>
        </w:rPr>
        <w:t xml:space="preserve"> de la Convención Americana respecto de esto. </w:t>
      </w:r>
      <w:r w:rsidR="00D87DEA" w:rsidRPr="001F35C9">
        <w:rPr>
          <w:rFonts w:cs="GillSansMT"/>
          <w:color w:val="auto"/>
          <w:sz w:val="20"/>
          <w:szCs w:val="20"/>
          <w:lang w:val="es-ES_tradnl"/>
        </w:rPr>
        <w:t>Dadas las conclusiones de la presente sección, la Comisión Interamericana no realizará un análisis de los hechos expuestos en la petición a fin de determinar si caracterizan posibles violaciones de los instrumentos respecto a los que tiene competencia.</w:t>
      </w:r>
    </w:p>
    <w:p w14:paraId="53B08405" w14:textId="77777777" w:rsidR="00E5299A" w:rsidRPr="001F35C9" w:rsidRDefault="00E5299A" w:rsidP="00E5299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lang w:val="es-ES_tradnl"/>
        </w:rPr>
      </w:pPr>
    </w:p>
    <w:p w14:paraId="38303FD9" w14:textId="02B14EE1" w:rsidR="00E10040" w:rsidRPr="001F35C9" w:rsidRDefault="00E10040" w:rsidP="00E5299A">
      <w:pPr>
        <w:pStyle w:val="ListParagraph"/>
        <w:ind w:left="0" w:firstLine="720"/>
        <w:jc w:val="both"/>
        <w:rPr>
          <w:b/>
          <w:bCs/>
          <w:color w:val="auto"/>
          <w:sz w:val="20"/>
          <w:szCs w:val="20"/>
          <w:lang w:val="es-ES_tradnl"/>
        </w:rPr>
      </w:pPr>
      <w:r w:rsidRPr="001F35C9">
        <w:rPr>
          <w:b/>
          <w:bCs/>
          <w:color w:val="auto"/>
          <w:sz w:val="20"/>
          <w:szCs w:val="20"/>
          <w:lang w:val="es-ES_tradnl"/>
        </w:rPr>
        <w:t xml:space="preserve">VIII. </w:t>
      </w:r>
      <w:r w:rsidRPr="001F35C9">
        <w:rPr>
          <w:b/>
          <w:bCs/>
          <w:color w:val="auto"/>
          <w:sz w:val="20"/>
          <w:szCs w:val="20"/>
          <w:lang w:val="es-ES_tradnl"/>
        </w:rPr>
        <w:tab/>
        <w:t>DECISIÓN</w:t>
      </w:r>
    </w:p>
    <w:p w14:paraId="672BB0BA" w14:textId="77777777" w:rsidR="00E5299A" w:rsidRPr="001F35C9" w:rsidRDefault="00E5299A" w:rsidP="00E5299A">
      <w:pPr>
        <w:pStyle w:val="ListParagraph"/>
        <w:ind w:left="0" w:firstLine="720"/>
        <w:jc w:val="both"/>
        <w:rPr>
          <w:b/>
          <w:bCs/>
          <w:color w:val="auto"/>
          <w:sz w:val="20"/>
          <w:szCs w:val="20"/>
          <w:lang w:val="es-ES_tradnl"/>
        </w:rPr>
      </w:pPr>
    </w:p>
    <w:p w14:paraId="009A9A1F" w14:textId="1227C91C" w:rsidR="00E10040" w:rsidRPr="001F35C9" w:rsidRDefault="00E10040" w:rsidP="00E529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F35C9">
        <w:rPr>
          <w:rFonts w:ascii="Cambria" w:hAnsi="Cambria"/>
          <w:sz w:val="20"/>
          <w:szCs w:val="20"/>
          <w:lang w:val="es-ES_tradnl"/>
        </w:rPr>
        <w:t xml:space="preserve">Declarar </w:t>
      </w:r>
      <w:r w:rsidR="003F3DF9" w:rsidRPr="001F35C9">
        <w:rPr>
          <w:rFonts w:ascii="Cambria" w:hAnsi="Cambria"/>
          <w:sz w:val="20"/>
          <w:szCs w:val="20"/>
          <w:lang w:val="es-ES_tradnl"/>
        </w:rPr>
        <w:t>ina</w:t>
      </w:r>
      <w:r w:rsidRPr="001F35C9">
        <w:rPr>
          <w:rFonts w:ascii="Cambria" w:hAnsi="Cambria"/>
          <w:sz w:val="20"/>
          <w:szCs w:val="20"/>
          <w:lang w:val="es-ES_tradnl"/>
        </w:rPr>
        <w:t>dmisible la presente petición</w:t>
      </w:r>
      <w:r w:rsidR="003F3DF9" w:rsidRPr="001F35C9">
        <w:rPr>
          <w:rFonts w:ascii="Cambria" w:hAnsi="Cambria"/>
          <w:sz w:val="20"/>
          <w:szCs w:val="20"/>
          <w:lang w:val="es-ES_tradnl"/>
        </w:rPr>
        <w:t>; y</w:t>
      </w:r>
    </w:p>
    <w:p w14:paraId="1B5AF31E" w14:textId="77777777" w:rsidR="00E5299A" w:rsidRPr="001F35C9" w:rsidRDefault="00E5299A" w:rsidP="00E5299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894EF93" w14:textId="310DBB52" w:rsidR="00E10040" w:rsidRDefault="00E10040" w:rsidP="00E5299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F35C9">
        <w:rPr>
          <w:rFonts w:ascii="Cambria" w:hAnsi="Cambria"/>
          <w:sz w:val="20"/>
          <w:szCs w:val="20"/>
          <w:lang w:val="es-ES_tradnl"/>
        </w:rPr>
        <w:t>Notificar a las partes la presente decisión; y publicar esta decisión e incluirla en su Informe Anual a la Asamblea General de la Organización de los Estados Americanos.</w:t>
      </w:r>
    </w:p>
    <w:p w14:paraId="7A764BC3" w14:textId="77777777" w:rsidR="00A10C50" w:rsidRDefault="00A10C50" w:rsidP="00A10C50">
      <w:pPr>
        <w:pStyle w:val="ListParagraph"/>
        <w:rPr>
          <w:sz w:val="20"/>
          <w:szCs w:val="20"/>
          <w:lang w:val="es-ES_tradnl"/>
        </w:rPr>
      </w:pPr>
    </w:p>
    <w:p w14:paraId="103068F3" w14:textId="5F6535AC" w:rsidR="007F2A4E" w:rsidRPr="007F2A4E" w:rsidRDefault="007F2A4E" w:rsidP="007F2A4E">
      <w:pPr>
        <w:ind w:firstLine="720"/>
        <w:jc w:val="both"/>
        <w:rPr>
          <w:rFonts w:ascii="Cambria" w:hAnsi="Cambria" w:cs="Arial"/>
          <w:noProof/>
          <w:sz w:val="20"/>
          <w:szCs w:val="20"/>
          <w:lang w:val="es-CL"/>
        </w:rPr>
      </w:pPr>
      <w:bookmarkStart w:id="2" w:name="_Hlk95209781"/>
      <w:bookmarkStart w:id="3" w:name="_Hlk89320357"/>
      <w:r w:rsidRPr="007F2A4E">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13</w:t>
      </w:r>
      <w:r w:rsidRPr="007F2A4E">
        <w:rPr>
          <w:rFonts w:ascii="Cambria" w:hAnsi="Cambria" w:cs="Arial"/>
          <w:noProof/>
          <w:sz w:val="20"/>
          <w:szCs w:val="20"/>
          <w:lang w:val="es-CL"/>
        </w:rPr>
        <w:t xml:space="preserve"> días del mes de </w:t>
      </w:r>
      <w:r w:rsidR="00847BA8">
        <w:rPr>
          <w:rFonts w:ascii="Cambria" w:hAnsi="Cambria" w:cs="Arial"/>
          <w:noProof/>
          <w:sz w:val="20"/>
          <w:szCs w:val="20"/>
          <w:lang w:val="es-CL"/>
        </w:rPr>
        <w:t>agosto</w:t>
      </w:r>
      <w:r w:rsidRPr="007F2A4E">
        <w:rPr>
          <w:rFonts w:ascii="Cambria" w:hAnsi="Cambria" w:cs="Arial"/>
          <w:noProof/>
          <w:sz w:val="20"/>
          <w:szCs w:val="20"/>
          <w:lang w:val="es-CL"/>
        </w:rPr>
        <w:t xml:space="preserve"> de 2022. (Firmado): Julissa Mantilla Falcón, Presidenta; Stuardo Ralón Orellana, Primer Vicepresidente; Esmeralda E. Arosemena Bernal de Troitiño</w:t>
      </w:r>
      <w:r w:rsidR="00847BA8">
        <w:rPr>
          <w:rFonts w:ascii="Cambria" w:hAnsi="Cambria" w:cs="Arial"/>
          <w:noProof/>
          <w:sz w:val="20"/>
          <w:szCs w:val="20"/>
          <w:lang w:val="es-CL"/>
        </w:rPr>
        <w:t xml:space="preserve"> y</w:t>
      </w:r>
      <w:r w:rsidRPr="007F2A4E">
        <w:rPr>
          <w:rFonts w:ascii="Cambria" w:hAnsi="Cambria" w:cs="Arial"/>
          <w:noProof/>
          <w:sz w:val="20"/>
          <w:szCs w:val="20"/>
          <w:lang w:val="es-CL"/>
        </w:rPr>
        <w:t xml:space="preserve"> Joel Hernández, </w:t>
      </w:r>
      <w:r w:rsidR="00246395">
        <w:rPr>
          <w:rFonts w:ascii="Cambria" w:hAnsi="Cambria" w:cs="Arial"/>
          <w:noProof/>
          <w:sz w:val="20"/>
          <w:szCs w:val="20"/>
          <w:lang w:val="es-CL"/>
        </w:rPr>
        <w:t>m</w:t>
      </w:r>
      <w:r w:rsidRPr="007F2A4E">
        <w:rPr>
          <w:rFonts w:ascii="Cambria" w:hAnsi="Cambria" w:cs="Arial"/>
          <w:noProof/>
          <w:sz w:val="20"/>
          <w:szCs w:val="20"/>
          <w:lang w:val="es-CL"/>
        </w:rPr>
        <w:t xml:space="preserve">iembros de la Comisión. </w:t>
      </w:r>
      <w:bookmarkEnd w:id="2"/>
    </w:p>
    <w:bookmarkEnd w:id="3"/>
    <w:p w14:paraId="34E619BE" w14:textId="77777777" w:rsidR="00A10C50" w:rsidRDefault="00A10C50" w:rsidP="00A10C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70034954" w14:textId="77777777" w:rsidR="00A5205B" w:rsidRDefault="00A5205B" w:rsidP="00A5205B">
      <w:pPr>
        <w:pStyle w:val="ListParagraph"/>
        <w:rPr>
          <w:sz w:val="20"/>
          <w:szCs w:val="20"/>
          <w:lang w:val="es-ES_tradnl"/>
        </w:rPr>
      </w:pPr>
    </w:p>
    <w:p w14:paraId="3052B555" w14:textId="49211859" w:rsidR="00A5205B" w:rsidRDefault="00A520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sz w:val="20"/>
          <w:szCs w:val="20"/>
          <w:lang w:val="es-ES_tradnl"/>
        </w:rPr>
      </w:pPr>
      <w:r>
        <w:rPr>
          <w:rFonts w:ascii="Cambria" w:hAnsi="Cambria"/>
          <w:sz w:val="20"/>
          <w:szCs w:val="20"/>
          <w:lang w:val="es-ES_tradnl"/>
        </w:rPr>
        <w:br w:type="page"/>
      </w:r>
    </w:p>
    <w:p w14:paraId="33383E40" w14:textId="0FB8F3CC" w:rsidR="00E0074B" w:rsidRDefault="00E0074B" w:rsidP="00E5299A">
      <w:pPr>
        <w:rPr>
          <w:rFonts w:ascii="Cambria" w:hAnsi="Cambria"/>
          <w:sz w:val="20"/>
          <w:szCs w:val="20"/>
          <w:lang w:val="es-ES_tradnl"/>
        </w:rPr>
      </w:pPr>
    </w:p>
    <w:p w14:paraId="181C196B" w14:textId="713ED51E" w:rsidR="00E0074B" w:rsidRDefault="00E0074B" w:rsidP="00A10C50">
      <w:pPr>
        <w:spacing w:after="120"/>
        <w:jc w:val="center"/>
        <w:rPr>
          <w:rFonts w:ascii="Cambria" w:hAnsi="Cambria"/>
          <w:b/>
          <w:bCs/>
          <w:sz w:val="20"/>
          <w:szCs w:val="20"/>
          <w:lang w:val="es-419"/>
        </w:rPr>
      </w:pPr>
      <w:r>
        <w:rPr>
          <w:rFonts w:ascii="Cambria" w:hAnsi="Cambria"/>
          <w:b/>
          <w:bCs/>
          <w:sz w:val="20"/>
          <w:szCs w:val="20"/>
          <w:lang w:val="es-419"/>
        </w:rPr>
        <w:t>ANEXO</w:t>
      </w:r>
      <w:r w:rsidR="00B25E8C">
        <w:rPr>
          <w:rFonts w:ascii="Cambria" w:hAnsi="Cambria"/>
          <w:b/>
          <w:bCs/>
          <w:sz w:val="20"/>
          <w:szCs w:val="20"/>
          <w:lang w:val="es-419"/>
        </w:rPr>
        <w:t xml:space="preserve">: </w:t>
      </w:r>
      <w:r w:rsidRPr="0011009E">
        <w:rPr>
          <w:rFonts w:ascii="Cambria" w:hAnsi="Cambria"/>
          <w:b/>
          <w:bCs/>
          <w:sz w:val="20"/>
          <w:szCs w:val="20"/>
          <w:lang w:val="es-419"/>
        </w:rPr>
        <w:t>Listado de presuntas víctimas</w:t>
      </w:r>
    </w:p>
    <w:p w14:paraId="0B978E1F" w14:textId="77777777" w:rsidR="00A10C50" w:rsidRPr="0011009E" w:rsidRDefault="00A10C50" w:rsidP="00A10C50">
      <w:pPr>
        <w:spacing w:after="120"/>
        <w:jc w:val="center"/>
        <w:rPr>
          <w:rFonts w:ascii="Cambria" w:hAnsi="Cambria"/>
          <w:b/>
          <w:bCs/>
          <w:sz w:val="20"/>
          <w:szCs w:val="20"/>
          <w:lang w:val="es-419"/>
        </w:rPr>
      </w:pPr>
    </w:p>
    <w:p w14:paraId="0907D2B3" w14:textId="77777777" w:rsidR="00E0074B" w:rsidRPr="0011009E" w:rsidRDefault="00E0074B" w:rsidP="00E007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Familiares de Humberto Javier (también referido como Javier Humberto) Ramírez Sánchez, asesinado el 6 de diciembre de 1992</w:t>
      </w:r>
    </w:p>
    <w:p w14:paraId="0C2AD2A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María Roselia Sánchez de Ramírez, cónyuge</w:t>
      </w:r>
    </w:p>
    <w:p w14:paraId="61E112C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Lida Magally Ramírez Sánchez, hija</w:t>
      </w:r>
    </w:p>
    <w:p w14:paraId="129A7DF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Lina Marcela Ramírez Sánchez, hija</w:t>
      </w:r>
    </w:p>
    <w:p w14:paraId="4BE02C00"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David Andrés Ramírez Sánchez, hijo</w:t>
      </w:r>
    </w:p>
    <w:p w14:paraId="7204D4B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Jazmín Andrea Ramírez Sánchez, hija</w:t>
      </w:r>
    </w:p>
    <w:p w14:paraId="3E614CB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sz w:val="20"/>
          <w:szCs w:val="20"/>
          <w:lang w:val="es-419"/>
        </w:rPr>
      </w:pPr>
      <w:r w:rsidRPr="0011009E">
        <w:rPr>
          <w:sz w:val="20"/>
          <w:szCs w:val="20"/>
          <w:lang w:val="es-419"/>
        </w:rPr>
        <w:t>Javier Fernando Ramírez Sánchez, hijo</w:t>
      </w:r>
    </w:p>
    <w:p w14:paraId="35C8F966" w14:textId="77777777" w:rsidR="00E0074B" w:rsidRPr="0011009E" w:rsidRDefault="00E0074B" w:rsidP="00E0074B">
      <w:pPr>
        <w:pStyle w:val="ListParagraph"/>
        <w:spacing w:after="120"/>
        <w:ind w:left="1440" w:firstLine="720"/>
        <w:jc w:val="both"/>
        <w:rPr>
          <w:sz w:val="20"/>
          <w:szCs w:val="20"/>
          <w:lang w:val="es-419"/>
        </w:rPr>
      </w:pPr>
    </w:p>
    <w:p w14:paraId="7A148DA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Gildardo de Jesús Durango Cardona, asesinado el 2 de diciembre de 1992</w:t>
      </w:r>
    </w:p>
    <w:p w14:paraId="018A2F9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Marleny Quintero Vinasco, cónyuge</w:t>
      </w:r>
    </w:p>
    <w:p w14:paraId="2D5035BB"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Estefanía Durango Quintero, hija</w:t>
      </w:r>
    </w:p>
    <w:p w14:paraId="792A0F2A"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Diana Carolina Durango Quintero, hija</w:t>
      </w:r>
    </w:p>
    <w:p w14:paraId="5D94A77E"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Johnny Eduardo Durango Quintero, hijo</w:t>
      </w:r>
    </w:p>
    <w:p w14:paraId="2AEA7E4B"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00FBBDD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Oscar Iván Arango Betancur, asesinado el 13 de julio de 1990</w:t>
      </w:r>
    </w:p>
    <w:p w14:paraId="54AEBC9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Lucy Bedoya Cardona, cónyuge</w:t>
      </w:r>
    </w:p>
    <w:p w14:paraId="4E85E4BE"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Oscar Iván Arango Bedoya, hijo</w:t>
      </w:r>
    </w:p>
    <w:p w14:paraId="01A523F2"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3760A30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Uriel Ángel Cruz Cruz, asesinado el 15 de junio de 1990</w:t>
      </w:r>
    </w:p>
    <w:p w14:paraId="115A17A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Elena Patiño Cardona, cónyuge</w:t>
      </w:r>
    </w:p>
    <w:p w14:paraId="484A7979"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Leidy Johana Cruz Patiño, hija</w:t>
      </w:r>
    </w:p>
    <w:p w14:paraId="6C22F0F2"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Julián Eduardo Cruz Patiño, hijo</w:t>
      </w:r>
    </w:p>
    <w:p w14:paraId="13825387"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09CB0CD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Nomes Hernán Gutiérrez Rematoso, asesinado el 18 de noviembre de 1992</w:t>
      </w:r>
    </w:p>
    <w:p w14:paraId="4DB7EFF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Alba Ledy Ríos, cónyuge</w:t>
      </w:r>
    </w:p>
    <w:p w14:paraId="247EA7FC"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Natalia Gutiérrez Ríos, hija</w:t>
      </w:r>
    </w:p>
    <w:p w14:paraId="29FF37AE"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3F07CC7A"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Héctor Darío Henao Cadavid, asesinado el 23 de marzo de 1988</w:t>
      </w:r>
    </w:p>
    <w:p w14:paraId="293C3BF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Ana Ruth Duque García, cónyuge</w:t>
      </w:r>
    </w:p>
    <w:p w14:paraId="06D62052"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María Paola Henao Duque, hija</w:t>
      </w:r>
    </w:p>
    <w:p w14:paraId="5FA2A13C"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Danny Andrés Henao Duque, hijo</w:t>
      </w:r>
    </w:p>
    <w:p w14:paraId="7D106484"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78ED2777"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lastRenderedPageBreak/>
        <w:t xml:space="preserve">Familiares de </w:t>
      </w:r>
      <w:r w:rsidRPr="007A5ABD">
        <w:rPr>
          <w:rFonts w:ascii="Cambria" w:eastAsia="Times New Roman" w:hAnsi="Cambria"/>
          <w:sz w:val="20"/>
          <w:szCs w:val="20"/>
          <w:lang w:val="es-419"/>
        </w:rPr>
        <w:t>Jorge Eliecer Montoya Montoya, asesinado el 10 de julio de 1990</w:t>
      </w:r>
    </w:p>
    <w:p w14:paraId="3D1008D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Yaneth Yepes Yepes, pareja</w:t>
      </w:r>
    </w:p>
    <w:p w14:paraId="2B2F6597"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Lluvin Ciliana Montoya Yepes, hija</w:t>
      </w:r>
    </w:p>
    <w:p w14:paraId="54590AA6"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76FA765E"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Nicolás Hernando Ospina Bedoya, asesinado 11 de junio de 1990</w:t>
      </w:r>
    </w:p>
    <w:p w14:paraId="019BDBDA"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Mireya Claudia (también referida como Claudia Mireya o Claudia Mirella) Vélez Bermúdez, cónyuge</w:t>
      </w:r>
    </w:p>
    <w:p w14:paraId="534DFCA8"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Leidy Yohanna Ospina Vélez, hija</w:t>
      </w:r>
    </w:p>
    <w:p w14:paraId="71E2974A"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Milton Arley Ospina Vélez, hijo</w:t>
      </w:r>
    </w:p>
    <w:p w14:paraId="1CD2EA85"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627BB4E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Jesús Antonio Álvarez Velásquez, asesinado el 20 de mayo de 1990</w:t>
      </w:r>
    </w:p>
    <w:p w14:paraId="3ED6D6E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Fabiola Tobón Ortiz, cónyuge</w:t>
      </w:r>
    </w:p>
    <w:p w14:paraId="53005555"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Alba Yaneth Álvarez Tobón, hija</w:t>
      </w:r>
    </w:p>
    <w:p w14:paraId="4ED674CC"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Francia Elena Álvarez Tobón, hija</w:t>
      </w:r>
    </w:p>
    <w:p w14:paraId="144B8490"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Jaime Alberto Álvarez Tobón, hijo</w:t>
      </w:r>
    </w:p>
    <w:p w14:paraId="3029429C"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39ED1A49"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Luis Santos</w:t>
      </w:r>
      <w:r w:rsidRPr="0011009E">
        <w:rPr>
          <w:rFonts w:ascii="Cambria" w:eastAsia="Times New Roman" w:hAnsi="Cambria"/>
          <w:sz w:val="20"/>
          <w:szCs w:val="20"/>
          <w:lang w:val="es-419"/>
        </w:rPr>
        <w:t xml:space="preserve"> (también referido como Luis Carlos)</w:t>
      </w:r>
      <w:r w:rsidRPr="007A5ABD">
        <w:rPr>
          <w:rFonts w:ascii="Cambria" w:eastAsia="Times New Roman" w:hAnsi="Cambria"/>
          <w:sz w:val="20"/>
          <w:szCs w:val="20"/>
          <w:lang w:val="es-419"/>
        </w:rPr>
        <w:t xml:space="preserve"> Ruiz Suárez, asesinado el 3 de julio de 1990</w:t>
      </w:r>
    </w:p>
    <w:p w14:paraId="5816448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Elvia Isaza Carmona, pareja</w:t>
      </w:r>
    </w:p>
    <w:p w14:paraId="694FB8FF"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Jorge Andrés Ruiz Isaza, hijo</w:t>
      </w:r>
    </w:p>
    <w:p w14:paraId="3278F331"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65166F7F"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Familiares de</w:t>
      </w:r>
      <w:r w:rsidRPr="007A5ABD">
        <w:rPr>
          <w:rFonts w:ascii="Cambria" w:eastAsia="Times New Roman" w:hAnsi="Cambria"/>
          <w:sz w:val="20"/>
          <w:szCs w:val="20"/>
          <w:lang w:val="es-419"/>
        </w:rPr>
        <w:t xml:space="preserve"> Antonio Ortiz Botello, asesinado el 28 de enero de 1991</w:t>
      </w:r>
    </w:p>
    <w:p w14:paraId="28C04D0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Marleny León Quiceno, cónyuge</w:t>
      </w:r>
    </w:p>
    <w:p w14:paraId="7457E2FA"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Daniela Ortiz León, hija</w:t>
      </w:r>
    </w:p>
    <w:p w14:paraId="6AAB7E10"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501025B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Javier de Jesús Sánchez Bedoya, asesinado el 25 de enero de 1991</w:t>
      </w:r>
    </w:p>
    <w:p w14:paraId="1683F1F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Claudia Patricia Rincón Santana, cónyuge</w:t>
      </w:r>
    </w:p>
    <w:p w14:paraId="5EE7513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Cindy Tatiana Sánchez Rincón, hija</w:t>
      </w:r>
    </w:p>
    <w:p w14:paraId="6B22E6A5"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Liseth Johana Sánchez Rincón, hija</w:t>
      </w:r>
    </w:p>
    <w:p w14:paraId="34F72EF8"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09D1B0A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Didier Guevara Caicedo, asesinado el 26 de diciembre de 1992</w:t>
      </w:r>
    </w:p>
    <w:p w14:paraId="4C72678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Marisol del Pilar Gómez, cónyuge</w:t>
      </w:r>
    </w:p>
    <w:p w14:paraId="5BFAB215"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Didier</w:t>
      </w:r>
      <w:r w:rsidRPr="007A5ABD">
        <w:rPr>
          <w:rFonts w:ascii="Cambria" w:eastAsia="Times New Roman" w:hAnsi="Cambria"/>
          <w:sz w:val="20"/>
          <w:szCs w:val="20"/>
          <w:lang w:val="es-419"/>
        </w:rPr>
        <w:t xml:space="preserve"> Esneider Guevara Gómez, hijo</w:t>
      </w:r>
    </w:p>
    <w:p w14:paraId="3B8EBC20"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Deninson Smith Guevara Gómez, hijo</w:t>
      </w:r>
    </w:p>
    <w:p w14:paraId="6DD3F210"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76FA32D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Oscar Eli Granada Hincapié, sufrió lesiones resultando en discapacidad total permanente el 3 de diciembre de 1992 y falleció en febrero de 2014</w:t>
      </w:r>
    </w:p>
    <w:p w14:paraId="777E4D9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lastRenderedPageBreak/>
        <w:t>Sandra Milena Granada, hija</w:t>
      </w:r>
    </w:p>
    <w:p w14:paraId="43732C5D"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John Byron Granada, hijo</w:t>
      </w:r>
    </w:p>
    <w:p w14:paraId="3479C088"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Mónica María Granada, hija</w:t>
      </w:r>
    </w:p>
    <w:p w14:paraId="3DDBE597"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3803B6EF"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Edgar de Jesús Sánchez, asesinado el 22 de octubre de 1992</w:t>
      </w:r>
    </w:p>
    <w:p w14:paraId="018DC9F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Martha Lucia Franco de Sánchez, cónyuge</w:t>
      </w:r>
    </w:p>
    <w:p w14:paraId="3788D13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Yudy Erley Sánchez Franco, hija</w:t>
      </w:r>
    </w:p>
    <w:p w14:paraId="16CFA47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José Andrés Sánchez Franco, hijo</w:t>
      </w:r>
    </w:p>
    <w:p w14:paraId="36E655D5"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D77A0F9"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Miguel Ángel Chalarca Arias, asesinado el 16 de mayo de 1990</w:t>
      </w:r>
    </w:p>
    <w:p w14:paraId="31674D1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Judith de Jesús Muñoz de Chalarca, cónyuge</w:t>
      </w:r>
    </w:p>
    <w:p w14:paraId="6304727F"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Miguel Ángel Chalarca Muñoz, hijo</w:t>
      </w:r>
    </w:p>
    <w:p w14:paraId="3CA94C80"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 xml:space="preserve">Ángela </w:t>
      </w:r>
      <w:r w:rsidRPr="0011009E">
        <w:rPr>
          <w:rFonts w:ascii="Cambria" w:eastAsia="Times New Roman" w:hAnsi="Cambria"/>
          <w:sz w:val="20"/>
          <w:szCs w:val="20"/>
          <w:lang w:val="es-419"/>
        </w:rPr>
        <w:t xml:space="preserve">María </w:t>
      </w:r>
      <w:r w:rsidRPr="007A5ABD">
        <w:rPr>
          <w:rFonts w:ascii="Cambria" w:eastAsia="Times New Roman" w:hAnsi="Cambria"/>
          <w:sz w:val="20"/>
          <w:szCs w:val="20"/>
          <w:lang w:val="es-419"/>
        </w:rPr>
        <w:t>Chalarca Muñoz, hija</w:t>
      </w:r>
    </w:p>
    <w:p w14:paraId="45E8A696"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094BAB67"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Alberto Gallego Duque</w:t>
      </w:r>
      <w:r w:rsidRPr="0011009E">
        <w:rPr>
          <w:rFonts w:ascii="Cambria" w:eastAsia="Times New Roman" w:hAnsi="Cambria"/>
          <w:sz w:val="20"/>
          <w:szCs w:val="20"/>
          <w:lang w:val="es-419"/>
        </w:rPr>
        <w:t xml:space="preserve"> (también referido como Alberto Gallego Duque)</w:t>
      </w:r>
      <w:r w:rsidRPr="007A5ABD">
        <w:rPr>
          <w:rFonts w:ascii="Cambria" w:eastAsia="Times New Roman" w:hAnsi="Cambria"/>
          <w:sz w:val="20"/>
          <w:szCs w:val="20"/>
          <w:lang w:val="es-419"/>
        </w:rPr>
        <w:t>, asesinado el 11 de mayo de 1990</w:t>
      </w:r>
    </w:p>
    <w:p w14:paraId="36FB38E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Olga Estella Madrid Carmona, cónyuge</w:t>
      </w:r>
    </w:p>
    <w:p w14:paraId="5EC2CF61"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Diana Estella Gallego Madrid, hija</w:t>
      </w:r>
    </w:p>
    <w:p w14:paraId="729AB7CB"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Mónica Bibiana Gallego Madrid, hija</w:t>
      </w:r>
    </w:p>
    <w:p w14:paraId="3489D4BE"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Luz Adriana Gallego Madrid, hija</w:t>
      </w:r>
    </w:p>
    <w:p w14:paraId="26B34961"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Sandra Milena Gallego Madrid, hija</w:t>
      </w:r>
    </w:p>
    <w:p w14:paraId="4712C53C"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36257513"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Plinio Manuel Coronado Mejía, asesinado el 6 de abril de 1990</w:t>
      </w:r>
    </w:p>
    <w:p w14:paraId="5609316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Edith Rivera Cañas, cónyuge</w:t>
      </w:r>
    </w:p>
    <w:p w14:paraId="39B9B5B5"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Carlos Alberto Coronado Rivera, hijo</w:t>
      </w:r>
    </w:p>
    <w:p w14:paraId="247CA072"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C23F806"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Luis Arnulfo </w:t>
      </w:r>
      <w:r w:rsidRPr="0011009E">
        <w:rPr>
          <w:rFonts w:ascii="Cambria" w:eastAsia="Times New Roman" w:hAnsi="Cambria"/>
          <w:sz w:val="20"/>
          <w:szCs w:val="20"/>
          <w:lang w:val="es-419"/>
        </w:rPr>
        <w:t xml:space="preserve">(también referido como Luis Andulfo) </w:t>
      </w:r>
      <w:r w:rsidRPr="007A5ABD">
        <w:rPr>
          <w:rFonts w:ascii="Cambria" w:eastAsia="Times New Roman" w:hAnsi="Cambria"/>
          <w:sz w:val="20"/>
          <w:szCs w:val="20"/>
          <w:lang w:val="es-419"/>
        </w:rPr>
        <w:t>Ortega Pab</w:t>
      </w:r>
      <w:r w:rsidRPr="0011009E">
        <w:rPr>
          <w:rFonts w:ascii="Cambria" w:eastAsia="Times New Roman" w:hAnsi="Cambria"/>
          <w:sz w:val="20"/>
          <w:szCs w:val="20"/>
          <w:lang w:val="es-419"/>
        </w:rPr>
        <w:t>ó</w:t>
      </w:r>
      <w:r w:rsidRPr="007A5ABD">
        <w:rPr>
          <w:rFonts w:ascii="Cambria" w:eastAsia="Times New Roman" w:hAnsi="Cambria"/>
          <w:sz w:val="20"/>
          <w:szCs w:val="20"/>
          <w:lang w:val="es-419"/>
        </w:rPr>
        <w:t>n, asesinado el 3 de diciembre de 19</w:t>
      </w:r>
      <w:r w:rsidRPr="0011009E">
        <w:rPr>
          <w:rFonts w:ascii="Cambria" w:eastAsia="Times New Roman" w:hAnsi="Cambria"/>
          <w:sz w:val="20"/>
          <w:szCs w:val="20"/>
          <w:lang w:val="es-419"/>
        </w:rPr>
        <w:t>92</w:t>
      </w:r>
    </w:p>
    <w:p w14:paraId="6AEEEA60"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Francy Lucía Ruiz Gaviria, cónyuge</w:t>
      </w:r>
    </w:p>
    <w:p w14:paraId="6AA249CD"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Jes</w:t>
      </w:r>
      <w:r w:rsidRPr="0011009E">
        <w:rPr>
          <w:rFonts w:ascii="Cambria" w:eastAsia="Times New Roman" w:hAnsi="Cambria"/>
          <w:sz w:val="20"/>
          <w:szCs w:val="20"/>
          <w:lang w:val="es-419"/>
        </w:rPr>
        <w:t>s</w:t>
      </w:r>
      <w:r w:rsidRPr="007A5ABD">
        <w:rPr>
          <w:rFonts w:ascii="Cambria" w:eastAsia="Times New Roman" w:hAnsi="Cambria"/>
          <w:sz w:val="20"/>
          <w:szCs w:val="20"/>
          <w:lang w:val="es-419"/>
        </w:rPr>
        <w:t>ica Paola Ortega Ruiz, hija</w:t>
      </w:r>
    </w:p>
    <w:p w14:paraId="6EF63116"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75C5FD3E"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Oscar Hernando Jaramillo, asesinado el 9 de junio de 1990</w:t>
      </w:r>
    </w:p>
    <w:p w14:paraId="4791353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Juan Camilo Jaramillo López, hijo</w:t>
      </w:r>
    </w:p>
    <w:p w14:paraId="28B3B5BB"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114FA19A"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Murillo Mosquera, asesinado el 6 de abril de 1990</w:t>
      </w:r>
    </w:p>
    <w:p w14:paraId="36F73C2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Deici Mosquera, pareja</w:t>
      </w:r>
    </w:p>
    <w:p w14:paraId="45CC832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Ceider Alonso Murillo Mosquera, hijo</w:t>
      </w:r>
    </w:p>
    <w:p w14:paraId="51CF81B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lastRenderedPageBreak/>
        <w:t>John Fredy Murillo Mosquera, hijo</w:t>
      </w:r>
    </w:p>
    <w:p w14:paraId="20AF7B6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Estiven Murillo Mosquera, hijo</w:t>
      </w:r>
    </w:p>
    <w:p w14:paraId="071E1449"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7FCDD4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Jesús Humberto Gómez Lugo, asesinado el </w:t>
      </w:r>
      <w:r w:rsidRPr="0011009E">
        <w:rPr>
          <w:rFonts w:ascii="Cambria" w:eastAsia="Times New Roman" w:hAnsi="Cambria"/>
          <w:sz w:val="20"/>
          <w:szCs w:val="20"/>
          <w:lang w:val="es-419"/>
        </w:rPr>
        <w:t>5</w:t>
      </w:r>
      <w:r w:rsidRPr="007A5ABD">
        <w:rPr>
          <w:rFonts w:ascii="Cambria" w:eastAsia="Times New Roman" w:hAnsi="Cambria"/>
          <w:sz w:val="20"/>
          <w:szCs w:val="20"/>
          <w:lang w:val="es-419"/>
        </w:rPr>
        <w:t xml:space="preserve"> de junio de 1990</w:t>
      </w:r>
    </w:p>
    <w:p w14:paraId="2AC1E5C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Deicy Amparo Álvarez Valderrama, cónyuge</w:t>
      </w:r>
    </w:p>
    <w:p w14:paraId="6B99D0B9"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Claudia Milena Gómez Álvarez, hija</w:t>
      </w:r>
    </w:p>
    <w:p w14:paraId="06E92E97"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Renso de Jesús Gómez Álvarez, hijo</w:t>
      </w:r>
    </w:p>
    <w:p w14:paraId="3AAD0131"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Jhonathan Humberto Gómez Álvarez, hijo</w:t>
      </w:r>
    </w:p>
    <w:p w14:paraId="1A138055"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792EF3F3"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Gonzalo Orozco Orozco, asesinado el 28 de diciembre de 1992</w:t>
      </w:r>
    </w:p>
    <w:p w14:paraId="19519E8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Yaned Posada Puerta, cónyuge</w:t>
      </w:r>
    </w:p>
    <w:p w14:paraId="6B3B4E39"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D34CEDA"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Fernando de Jesús Castrillón Gómez, asesinado el 24 de junio de 1990</w:t>
      </w:r>
    </w:p>
    <w:p w14:paraId="4DF05BA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Damaris Montoya Urrego, cónyuge</w:t>
      </w:r>
    </w:p>
    <w:p w14:paraId="18F838E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Juan Fernando Castrillón Montoya, hijo</w:t>
      </w:r>
    </w:p>
    <w:p w14:paraId="05ABFB1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Leidy Johana Castrillón Montoya, hija</w:t>
      </w:r>
    </w:p>
    <w:p w14:paraId="31CB8C66"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8D5FAFF"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Alonso de Jesús Barrientos Londoño, asesinado el 31 de enero de 1990</w:t>
      </w:r>
    </w:p>
    <w:p w14:paraId="740AEF9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Olga Lucía Rueda Agudelo, cónyuge</w:t>
      </w:r>
    </w:p>
    <w:p w14:paraId="62963D5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Juan Camilo Barrientos Rueda, hijo</w:t>
      </w:r>
    </w:p>
    <w:p w14:paraId="38BCD39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Julieth Catalina Barrientos Rueda, hija</w:t>
      </w:r>
    </w:p>
    <w:p w14:paraId="3F0EAB57"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0CFEDC4"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Orlando Antonio Henao Córdoba, asesinado el 13 de junio de 1990</w:t>
      </w:r>
    </w:p>
    <w:p w14:paraId="33E144C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Ángela Mejía Cárdenas, cónyuge</w:t>
      </w:r>
    </w:p>
    <w:p w14:paraId="6418788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Yesica Milena Henao Córdoba, hija</w:t>
      </w:r>
    </w:p>
    <w:p w14:paraId="19D5DFD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Orlando Antonio Henao Mejía, hijo</w:t>
      </w:r>
    </w:p>
    <w:p w14:paraId="3CF9F9ED"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CF5CE5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Jesús Antonio Rodríguez Lugo, asesinado el 2 de diciembre de 1992</w:t>
      </w:r>
    </w:p>
    <w:p w14:paraId="5CFABAB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Alba Doris Rave Gutiérrez, cónyuge</w:t>
      </w:r>
    </w:p>
    <w:p w14:paraId="19DB1FF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Hugo Herney Rave Gutiérrez, hijo</w:t>
      </w:r>
    </w:p>
    <w:p w14:paraId="0666BDE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Cristian Camilo Rodríguez Rave, hijo</w:t>
      </w:r>
    </w:p>
    <w:p w14:paraId="2E90C32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Jhon Alexander Rodríguez Rave, hijo</w:t>
      </w:r>
    </w:p>
    <w:p w14:paraId="029A8BE7"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7DF5D842"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William Mesa Ocampo, asesinado el 11 de mayo de 1990</w:t>
      </w:r>
    </w:p>
    <w:p w14:paraId="5B7656C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Bertha Dolly Higuita Usuga, cónyuge</w:t>
      </w:r>
    </w:p>
    <w:p w14:paraId="65EC42B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Juan Camilo Mesa Higuita, hijo</w:t>
      </w:r>
    </w:p>
    <w:p w14:paraId="33C79329"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0A656656"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Leonel Tascón Gordillo, asesinado el 2 de octubre de 1992</w:t>
      </w:r>
    </w:p>
    <w:p w14:paraId="6F13ADE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Alba Nora Agudelo Castrillón, cónyuge</w:t>
      </w:r>
    </w:p>
    <w:p w14:paraId="6104889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Diana Catalina Tascón Agudelo, hija</w:t>
      </w:r>
    </w:p>
    <w:p w14:paraId="05F999F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Jhon Edison Tascón Agudelo, hijo</w:t>
      </w:r>
    </w:p>
    <w:p w14:paraId="53949C0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Wbeimar León Tascón Agudelo, hijo</w:t>
      </w:r>
    </w:p>
    <w:p w14:paraId="0731B53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Erika Jhoanna Tascón, hija</w:t>
      </w:r>
    </w:p>
    <w:p w14:paraId="1901090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7C4C89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Luis Álvaro Duque Herrera, asesinado el 15 de diciembre de 1992</w:t>
      </w:r>
    </w:p>
    <w:p w14:paraId="334FD0F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Estella Saraza López, cónyuge</w:t>
      </w:r>
    </w:p>
    <w:p w14:paraId="180FC56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Yuli Yaneth Duque Saraza, hija</w:t>
      </w:r>
    </w:p>
    <w:p w14:paraId="3015EDE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Shirley Andrea Duque Saraza, hija</w:t>
      </w:r>
    </w:p>
    <w:p w14:paraId="54552BD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2806871"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Jhon Mario García García, asesinado el 26 de julio de 1990</w:t>
      </w:r>
    </w:p>
    <w:p w14:paraId="7333A8D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Beatriz Arcila Cano, cónyuge</w:t>
      </w:r>
    </w:p>
    <w:p w14:paraId="1FE2231E"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416A010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Héctor Darío Galeano Muñoz, asesinado el 6 de junio de 1990</w:t>
      </w:r>
    </w:p>
    <w:p w14:paraId="1AB730A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Beatriz Eugenia Ortiz Mejía, cónyuge</w:t>
      </w:r>
    </w:p>
    <w:p w14:paraId="00D35EB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Andrés Julián Galeano Ortiz, hijo</w:t>
      </w:r>
    </w:p>
    <w:p w14:paraId="47E4CA8D"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F3B4EAE"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Familiares de</w:t>
      </w:r>
      <w:r w:rsidRPr="007A5ABD">
        <w:rPr>
          <w:rFonts w:ascii="Cambria" w:eastAsia="Times New Roman" w:hAnsi="Cambria"/>
          <w:sz w:val="20"/>
          <w:szCs w:val="20"/>
          <w:lang w:val="es-419"/>
        </w:rPr>
        <w:t xml:space="preserve"> Luis Carlos Villegas Balvin, asesinado el 21 de junio de 1990</w:t>
      </w:r>
    </w:p>
    <w:p w14:paraId="114624C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Yaned Madrigal Herrera, cónyuge</w:t>
      </w:r>
    </w:p>
    <w:p w14:paraId="4AFDCFA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Jonathan Alexander Villegas Madrigal, hijo</w:t>
      </w:r>
    </w:p>
    <w:p w14:paraId="0613AF42"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C3720F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Armando Prado, asesinado el 15 de febrero de 1993</w:t>
      </w:r>
    </w:p>
    <w:p w14:paraId="29F7663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Marta Cecilia Ortiz Upegui, cónyuge</w:t>
      </w:r>
    </w:p>
    <w:p w14:paraId="1319FDD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Carlos Andrés Prado Ortiz, hijo</w:t>
      </w:r>
    </w:p>
    <w:p w14:paraId="672BE61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Yuly Andrea Prado Ortiz, hija</w:t>
      </w:r>
    </w:p>
    <w:p w14:paraId="1A27CB8B"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03B8414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Uriel de Jesús Escobar López, asesinado el 7 de diciembre de 1992</w:t>
      </w:r>
    </w:p>
    <w:p w14:paraId="4EAD19F5"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Aracelly Velásquez Duque, cónyuge</w:t>
      </w:r>
    </w:p>
    <w:p w14:paraId="61C9ABB0"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Alexander Escobar Velásquez, hijo</w:t>
      </w:r>
    </w:p>
    <w:p w14:paraId="10CC570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Yuly Milena Escobar Velásquez, hija</w:t>
      </w:r>
    </w:p>
    <w:p w14:paraId="0A347EF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Uriel Eduardo Escobar Velásquez, hijo</w:t>
      </w:r>
    </w:p>
    <w:p w14:paraId="1AF6A8A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Maritza Escobar Velásquez, hija</w:t>
      </w:r>
    </w:p>
    <w:p w14:paraId="03B03AD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Diana María Escobar Velásquez, hija</w:t>
      </w:r>
    </w:p>
    <w:p w14:paraId="1ACD80AE"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8CE4663"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Hernán de Jesús Urrego Zapata, asesinado el 28 de agosto de 1990</w:t>
      </w:r>
    </w:p>
    <w:p w14:paraId="7C6F2020"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Lorena López Carrión, cónyuge</w:t>
      </w:r>
    </w:p>
    <w:p w14:paraId="4E305580"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F4CDC4E"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Edward Fernando Sisa Collazos, asesinado el 11 de mayo de 1990</w:t>
      </w:r>
    </w:p>
    <w:p w14:paraId="32AC56C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Mery Gómez Serna, cónyuge</w:t>
      </w:r>
    </w:p>
    <w:p w14:paraId="188A043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 xml:space="preserve">Paola Andrea Sisa Gómez, hija </w:t>
      </w:r>
    </w:p>
    <w:p w14:paraId="01D03F06"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D0E6D8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Milciades Bermúdez Rincón, asesinado el 6 de noviembre de 1992</w:t>
      </w:r>
    </w:p>
    <w:p w14:paraId="1D8C64D5"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Dalis Liliana Galeano López, cónyuge</w:t>
      </w:r>
    </w:p>
    <w:p w14:paraId="2E04FDD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Katherine Bermúdez Galeano, hija</w:t>
      </w:r>
    </w:p>
    <w:p w14:paraId="108C1A39"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9D6B7C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 xml:space="preserve"> </w:t>
      </w: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Gabriel Ospina, asesinado el 13 de septiembre de 1992</w:t>
      </w:r>
    </w:p>
    <w:p w14:paraId="6D541FA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Rocío Maya Roldán, cónyuge</w:t>
      </w:r>
    </w:p>
    <w:p w14:paraId="4F505BB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58DC092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Jesús Antonio Córdoba Moreno, asesinado el 27 de noviembre de 1992</w:t>
      </w:r>
    </w:p>
    <w:p w14:paraId="0C57C615"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Cleotilde Mena Moya, cónyuge</w:t>
      </w:r>
    </w:p>
    <w:p w14:paraId="1E56CDDA"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Sandra Milena Córdoba Mena, hija</w:t>
      </w:r>
    </w:p>
    <w:p w14:paraId="0323DCD8"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 xml:space="preserve">Gilber </w:t>
      </w:r>
      <w:r w:rsidRPr="0011009E">
        <w:rPr>
          <w:rFonts w:ascii="Cambria" w:eastAsia="Times New Roman" w:hAnsi="Cambria"/>
          <w:sz w:val="20"/>
          <w:szCs w:val="20"/>
          <w:lang w:val="es-419"/>
        </w:rPr>
        <w:t xml:space="preserve">(también referido como Gilberto) </w:t>
      </w:r>
      <w:r w:rsidRPr="007A5ABD">
        <w:rPr>
          <w:rFonts w:ascii="Cambria" w:eastAsia="Times New Roman" w:hAnsi="Cambria"/>
          <w:sz w:val="20"/>
          <w:szCs w:val="20"/>
          <w:lang w:val="es-419"/>
        </w:rPr>
        <w:t>Antonio Córdoba Mena, hijo</w:t>
      </w:r>
    </w:p>
    <w:p w14:paraId="11DC0A3C"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Elizabeth Córdoba Mena, hija</w:t>
      </w:r>
    </w:p>
    <w:p w14:paraId="41816961"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Yadira Córdoba Mena, hija</w:t>
      </w:r>
    </w:p>
    <w:p w14:paraId="1CB486F5" w14:textId="77777777" w:rsidR="00E0074B" w:rsidRPr="007A5ABD" w:rsidRDefault="00E0074B" w:rsidP="00E0074B">
      <w:pPr>
        <w:spacing w:after="120"/>
        <w:ind w:left="1440" w:firstLine="720"/>
        <w:jc w:val="both"/>
        <w:rPr>
          <w:rFonts w:ascii="Cambria" w:eastAsia="Times New Roman" w:hAnsi="Cambria"/>
          <w:sz w:val="20"/>
          <w:szCs w:val="20"/>
          <w:lang w:val="es-419"/>
        </w:rPr>
      </w:pPr>
    </w:p>
    <w:p w14:paraId="54AA1AE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Gilberto Giraldo López, asesinado el 17 de febrero de 1991</w:t>
      </w:r>
    </w:p>
    <w:p w14:paraId="1CD5F43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María Luzdary Ospina Diosa, cónyuge</w:t>
      </w:r>
    </w:p>
    <w:p w14:paraId="5706D0F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Alexander Giraldo Ospina, hijo</w:t>
      </w:r>
    </w:p>
    <w:p w14:paraId="3B8AD47E"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Lina María Giraldo Ospina, hija</w:t>
      </w:r>
    </w:p>
    <w:p w14:paraId="5806B3E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14314FE3"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Jhon Jairo Arango Maya, asesinado el 19 de agosto de 1991</w:t>
      </w:r>
    </w:p>
    <w:p w14:paraId="42D2613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Cruz Lorenza Garzón Restrepo, cónyuge</w:t>
      </w:r>
    </w:p>
    <w:p w14:paraId="1BE7C20A"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Cindy Nataly Arango Garzón, hija</w:t>
      </w:r>
    </w:p>
    <w:p w14:paraId="250BAB50"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Juliana Arango Garzón, hija</w:t>
      </w:r>
    </w:p>
    <w:p w14:paraId="4BB7DFF2"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817367B"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Eduardo Santos Joaqui Burbano, asesinado el 25 de agosto de 1991</w:t>
      </w:r>
    </w:p>
    <w:p w14:paraId="5D91F84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Patricia Mona Mona, cónyuge</w:t>
      </w:r>
    </w:p>
    <w:p w14:paraId="43EEB5B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Juan Camilo Joaqui Mona, hijo</w:t>
      </w:r>
    </w:p>
    <w:p w14:paraId="37BD822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7C37AC4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lastRenderedPageBreak/>
        <w:t xml:space="preserve">Familiares de </w:t>
      </w:r>
      <w:r w:rsidRPr="007A5ABD">
        <w:rPr>
          <w:rFonts w:ascii="Cambria" w:eastAsia="Times New Roman" w:hAnsi="Cambria"/>
          <w:sz w:val="20"/>
          <w:szCs w:val="20"/>
          <w:lang w:val="es-419"/>
        </w:rPr>
        <w:t>Armando de Jesús Bermúdez Naranjo, asesinado el 16 de mayo de 1990</w:t>
      </w:r>
    </w:p>
    <w:p w14:paraId="7ED8CE8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Alba Noemí Betancur Tamayo, cónyuge</w:t>
      </w:r>
    </w:p>
    <w:p w14:paraId="5E78B7E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Diego Armando Bermúdez Betancur, hijo</w:t>
      </w:r>
    </w:p>
    <w:p w14:paraId="5833500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Elider Alexander Bermúdez Betancur, hijo</w:t>
      </w:r>
    </w:p>
    <w:p w14:paraId="4391670B"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C2AF6A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Alberto Londoño Gaviria, asesinado el 21 de febrero de 1991</w:t>
      </w:r>
    </w:p>
    <w:p w14:paraId="574610F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Tulia Rosa Cadavid Rendón, cónyuge</w:t>
      </w:r>
    </w:p>
    <w:p w14:paraId="3606479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Luceira Londoño Cadavid, hija</w:t>
      </w:r>
    </w:p>
    <w:p w14:paraId="29F681D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Guiomar Londoño Cadavid, hijo</w:t>
      </w:r>
    </w:p>
    <w:p w14:paraId="70DF0DB5"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81DD057"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Gerardo Antonio Loaiza Montes, asesinado el 10 de noviembre de 1989</w:t>
      </w:r>
    </w:p>
    <w:p w14:paraId="6ACE6F8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Martha Inés Muñoz, pareja</w:t>
      </w:r>
    </w:p>
    <w:p w14:paraId="0C9A34D0"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12E8D93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Oscar Alberto Soto Vinasco, asesinado el 22 de febrero de 1992</w:t>
      </w:r>
    </w:p>
    <w:p w14:paraId="09E2020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Ana Gisela Cano Giraldo, cónyuge</w:t>
      </w:r>
    </w:p>
    <w:p w14:paraId="3E74815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Bibiana Patricia Soto Cano, hija</w:t>
      </w:r>
    </w:p>
    <w:p w14:paraId="169396D1"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370D9516"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José Eliecer Quintero</w:t>
      </w:r>
      <w:r w:rsidRPr="0011009E">
        <w:rPr>
          <w:rFonts w:ascii="Cambria" w:eastAsia="Times New Roman" w:hAnsi="Cambria"/>
          <w:sz w:val="20"/>
          <w:szCs w:val="20"/>
          <w:lang w:val="es-419"/>
        </w:rPr>
        <w:t xml:space="preserve"> (también referido como José Eliecer Mejía Quintero)</w:t>
      </w:r>
      <w:r w:rsidRPr="007A5ABD">
        <w:rPr>
          <w:rFonts w:ascii="Cambria" w:eastAsia="Times New Roman" w:hAnsi="Cambria"/>
          <w:sz w:val="20"/>
          <w:szCs w:val="20"/>
          <w:lang w:val="es-419"/>
        </w:rPr>
        <w:t>, asesinado el 27 de Julio de 1990</w:t>
      </w:r>
    </w:p>
    <w:p w14:paraId="1F1D399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Luz Dary Atehortúa Henao, cónyuge</w:t>
      </w:r>
    </w:p>
    <w:p w14:paraId="3F3661F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Jorge Eliecer Mejía Atehortúa, hijo</w:t>
      </w:r>
    </w:p>
    <w:p w14:paraId="24583477"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6E191DE"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Luis Evert </w:t>
      </w:r>
      <w:r w:rsidRPr="0011009E">
        <w:rPr>
          <w:rFonts w:ascii="Cambria" w:eastAsia="Times New Roman" w:hAnsi="Cambria"/>
          <w:sz w:val="20"/>
          <w:szCs w:val="20"/>
          <w:lang w:val="es-419"/>
        </w:rPr>
        <w:t xml:space="preserve">(también referido como Luis Hever) </w:t>
      </w:r>
      <w:r w:rsidRPr="007A5ABD">
        <w:rPr>
          <w:rFonts w:ascii="Cambria" w:eastAsia="Times New Roman" w:hAnsi="Cambria"/>
          <w:sz w:val="20"/>
          <w:szCs w:val="20"/>
          <w:lang w:val="es-419"/>
        </w:rPr>
        <w:t>Ruiz Gómez, asesinado el 28 de diciembre de 1992</w:t>
      </w:r>
    </w:p>
    <w:p w14:paraId="76A5ED4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Sandra Margarita Gómez Restrepo, cónyuge</w:t>
      </w:r>
    </w:p>
    <w:p w14:paraId="568CB1C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Emanuel Ruiz Gómez, hijo</w:t>
      </w:r>
    </w:p>
    <w:p w14:paraId="6E8C27C8"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11DF085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Hergirio de Jesús (también referido como </w:t>
      </w:r>
      <w:r w:rsidRPr="007A5ABD">
        <w:rPr>
          <w:rFonts w:ascii="Cambria" w:eastAsia="Times New Roman" w:hAnsi="Cambria"/>
          <w:sz w:val="20"/>
          <w:szCs w:val="20"/>
          <w:lang w:val="es-419"/>
        </w:rPr>
        <w:t>Egidio Algiro</w:t>
      </w:r>
      <w:r w:rsidRPr="0011009E">
        <w:rPr>
          <w:rFonts w:ascii="Cambria" w:eastAsia="Times New Roman" w:hAnsi="Cambria"/>
          <w:sz w:val="20"/>
          <w:szCs w:val="20"/>
          <w:lang w:val="es-419"/>
        </w:rPr>
        <w:t>)</w:t>
      </w:r>
      <w:r w:rsidRPr="007A5ABD">
        <w:rPr>
          <w:rFonts w:ascii="Cambria" w:eastAsia="Times New Roman" w:hAnsi="Cambria"/>
          <w:sz w:val="20"/>
          <w:szCs w:val="20"/>
          <w:lang w:val="es-419"/>
        </w:rPr>
        <w:t xml:space="preserve"> Mejía Galeano, asesinado el 11 de julio de 1990</w:t>
      </w:r>
    </w:p>
    <w:p w14:paraId="3450900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Alba de Jesús Soto de Mejía, cónyuge</w:t>
      </w:r>
    </w:p>
    <w:p w14:paraId="11B352B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Diana Edith Mejía Soto, hija</w:t>
      </w:r>
    </w:p>
    <w:p w14:paraId="2779D47C"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Rosenberg Fredy Mejía Soto, hijo</w:t>
      </w:r>
    </w:p>
    <w:p w14:paraId="07D958E4"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Yuly Nancy Mejía Soto, hija</w:t>
      </w:r>
    </w:p>
    <w:p w14:paraId="3833CD03" w14:textId="77777777" w:rsidR="00E0074B" w:rsidRPr="007A5ABD"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Liliana Lucia Mejía Soto, hija</w:t>
      </w:r>
    </w:p>
    <w:p w14:paraId="364CD00C" w14:textId="77777777" w:rsidR="00E0074B" w:rsidRPr="0011009E" w:rsidRDefault="00E0074B" w:rsidP="00E0074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7A5ABD">
        <w:rPr>
          <w:rFonts w:ascii="Cambria" w:eastAsia="Times New Roman" w:hAnsi="Cambria"/>
          <w:sz w:val="20"/>
          <w:szCs w:val="20"/>
          <w:lang w:val="es-419"/>
        </w:rPr>
        <w:t>Deicy Mejía Soto, hija</w:t>
      </w:r>
    </w:p>
    <w:p w14:paraId="3BD61BAD" w14:textId="77777777" w:rsidR="00E0074B" w:rsidRPr="007A5ABD" w:rsidRDefault="00E0074B" w:rsidP="00E0074B">
      <w:pPr>
        <w:autoSpaceDE w:val="0"/>
        <w:autoSpaceDN w:val="0"/>
        <w:adjustRightInd w:val="0"/>
        <w:spacing w:after="120"/>
        <w:ind w:left="1440" w:firstLine="720"/>
        <w:jc w:val="both"/>
        <w:rPr>
          <w:rFonts w:ascii="Cambria" w:eastAsia="Times New Roman" w:hAnsi="Cambria"/>
          <w:sz w:val="20"/>
          <w:szCs w:val="20"/>
          <w:lang w:val="es-419"/>
        </w:rPr>
      </w:pPr>
    </w:p>
    <w:p w14:paraId="1FF081FC"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Miguel Ángel Pulgarín Monsalve, asesinado el 15 de noviembre de 1992</w:t>
      </w:r>
    </w:p>
    <w:p w14:paraId="68B7549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lastRenderedPageBreak/>
        <w:t>Betty YuIly Durango Arias, cónyuge</w:t>
      </w:r>
    </w:p>
    <w:p w14:paraId="5C363AD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Miguel Ángel Pulgarín Durango, hijo</w:t>
      </w:r>
    </w:p>
    <w:p w14:paraId="277B42B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Cristian Dubian Pulgarín Durango, hijo</w:t>
      </w:r>
    </w:p>
    <w:p w14:paraId="3EBB1157"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29950C8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Nelson Javier Peña Betancur, asesinado el 22 de septiembre de 1992 </w:t>
      </w:r>
    </w:p>
    <w:p w14:paraId="560F3DCF"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Claudia Patricia Suarez, cónyuge</w:t>
      </w:r>
    </w:p>
    <w:p w14:paraId="21C31E1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Fernelly Peña Suarez, hija</w:t>
      </w:r>
    </w:p>
    <w:p w14:paraId="55655348"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2B38DA9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Hermenegildo Moreno Palacios, asesinado el 12 de diciembre de 1990</w:t>
      </w:r>
    </w:p>
    <w:p w14:paraId="3F264F6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Carmen Idelisa Becerra Córdoba, cónyuge</w:t>
      </w:r>
    </w:p>
    <w:p w14:paraId="3BC13B5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Nicolaza Moreno Becerra, hija</w:t>
      </w:r>
    </w:p>
    <w:p w14:paraId="7F0E94C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 xml:space="preserve">Sandra Milena Moreno Becerra, hija </w:t>
      </w:r>
    </w:p>
    <w:p w14:paraId="6D6D9EA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Wilfer Alonso Moreno Becerra, hijo</w:t>
      </w:r>
    </w:p>
    <w:p w14:paraId="216B83B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Hernán Dario Moreno Becerra, hijo</w:t>
      </w:r>
    </w:p>
    <w:p w14:paraId="34A80B39"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2DC34F1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Darío Alberto Cadavid Lopera, asesinado el 16 de mayo de 1990</w:t>
      </w:r>
    </w:p>
    <w:p w14:paraId="38BE06D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Nelly Amparo Valencia Arango, cónyuge</w:t>
      </w:r>
    </w:p>
    <w:p w14:paraId="6D1925A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Sebastián Alberto Cadavid Valencia, hijo</w:t>
      </w:r>
    </w:p>
    <w:p w14:paraId="78C605FA"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5FE03C55"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Luis Humberto Cano Chaguala, asesinado el 12 de noviembre de 1992</w:t>
      </w:r>
    </w:p>
    <w:p w14:paraId="3877741A"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Gudiela Astrid Sossa Villegas, cónyuge</w:t>
      </w:r>
    </w:p>
    <w:p w14:paraId="59ADE083"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Camilo Humberto Cano Sossa, hijo</w:t>
      </w:r>
    </w:p>
    <w:p w14:paraId="7E8ADDF9"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3072983D"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Criserio Martínez Becerra, asesinado el 12 de diciembre de 1990</w:t>
      </w:r>
    </w:p>
    <w:p w14:paraId="37471C8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Amparo Hinestroza Hinestroza, cónyuge</w:t>
      </w:r>
    </w:p>
    <w:p w14:paraId="3E1E1BA5"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Cristian David Martínez Hinestroza, hijo</w:t>
      </w:r>
    </w:p>
    <w:p w14:paraId="2417500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Jhon Leyder Martínez Hinestroza, hijo</w:t>
      </w:r>
    </w:p>
    <w:p w14:paraId="2D66C4A9"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Yorleidis Martínez Hinestroza, hija</w:t>
      </w:r>
    </w:p>
    <w:p w14:paraId="5A935B3D"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22016D0"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Silverio Pérez Urrutia, el 24 de noviembre de 1992</w:t>
      </w:r>
    </w:p>
    <w:p w14:paraId="041819B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Amanda Lucia Grajales Correo, cónyuge</w:t>
      </w:r>
    </w:p>
    <w:p w14:paraId="2B9FF18D"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Cristian David Pérez Grajales, hijo</w:t>
      </w:r>
    </w:p>
    <w:p w14:paraId="3202872A"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2608210A"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Walter Fernando Bernal Ramírez, asesinado el 23 de enero de 1993</w:t>
      </w:r>
    </w:p>
    <w:p w14:paraId="20E83AC0"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Gisela del Socorro Londoño Saldarriaga, cónyuge</w:t>
      </w:r>
    </w:p>
    <w:p w14:paraId="0822A17C"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Samanta Gisela Bernal Londoño, hija</w:t>
      </w:r>
    </w:p>
    <w:p w14:paraId="3399BB55" w14:textId="77777777" w:rsidR="00E0074B" w:rsidRPr="0011009E" w:rsidRDefault="00E0074B" w:rsidP="00E0074B">
      <w:pPr>
        <w:pStyle w:val="ListParagraph"/>
        <w:autoSpaceDE w:val="0"/>
        <w:autoSpaceDN w:val="0"/>
        <w:adjustRightInd w:val="0"/>
        <w:spacing w:after="120"/>
        <w:ind w:left="1440" w:firstLine="720"/>
        <w:jc w:val="both"/>
        <w:rPr>
          <w:rFonts w:eastAsia="Times New Roman" w:cs="Times New Roman"/>
          <w:sz w:val="20"/>
          <w:szCs w:val="20"/>
          <w:lang w:val="es-419"/>
        </w:rPr>
      </w:pPr>
    </w:p>
    <w:p w14:paraId="2BB488F1"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Héctor Emilio Quiroz Velásquez, asesinado el 2 de junio de 1990</w:t>
      </w:r>
    </w:p>
    <w:p w14:paraId="47F64FF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Bertha Jael Tangarife de Quiroz, cónyuge</w:t>
      </w:r>
    </w:p>
    <w:p w14:paraId="4F662BA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Héctor Mauricio Quiroz, hijo</w:t>
      </w:r>
    </w:p>
    <w:p w14:paraId="1DA510EA"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6086AEC8"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Francisco Javier Betancur Álvarez, desaparecido el 20 de abril de 1992 presuntamente por órdenes de Pablo Escobar. Su familia tuvo que realizar el proceso de muerte presunta por desaparecimiento, </w:t>
      </w:r>
    </w:p>
    <w:p w14:paraId="29EC1D5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Aracelly Orozco Salazar, cónyuge</w:t>
      </w:r>
    </w:p>
    <w:p w14:paraId="622DDDD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Jerson Jeinis Betancur Orozco, hijo</w:t>
      </w:r>
    </w:p>
    <w:p w14:paraId="14A4F93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Darlin Yujana Betancur Orozco, hija</w:t>
      </w:r>
    </w:p>
    <w:p w14:paraId="17F8B674"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Keli Yurani Betancur Orozco, hija</w:t>
      </w:r>
    </w:p>
    <w:p w14:paraId="3B7C37F6"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77BBE92"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 xml:space="preserve">Julio José </w:t>
      </w:r>
      <w:r w:rsidRPr="0011009E">
        <w:rPr>
          <w:rFonts w:ascii="Cambria" w:eastAsia="Times New Roman" w:hAnsi="Cambria"/>
          <w:sz w:val="20"/>
          <w:szCs w:val="20"/>
          <w:lang w:val="es-419"/>
        </w:rPr>
        <w:t xml:space="preserve">(también referido como José Julio) </w:t>
      </w:r>
      <w:r w:rsidRPr="007A5ABD">
        <w:rPr>
          <w:rFonts w:ascii="Cambria" w:eastAsia="Times New Roman" w:hAnsi="Cambria"/>
          <w:sz w:val="20"/>
          <w:szCs w:val="20"/>
          <w:lang w:val="es-419"/>
        </w:rPr>
        <w:t>Pedraza Cadena, asesinado el 13</w:t>
      </w:r>
      <w:r w:rsidRPr="0011009E">
        <w:rPr>
          <w:rFonts w:ascii="Cambria" w:eastAsia="Times New Roman" w:hAnsi="Cambria"/>
          <w:sz w:val="20"/>
          <w:szCs w:val="20"/>
          <w:lang w:val="es-419"/>
        </w:rPr>
        <w:t xml:space="preserve"> o 15</w:t>
      </w:r>
      <w:r w:rsidRPr="007A5ABD">
        <w:rPr>
          <w:rFonts w:ascii="Cambria" w:eastAsia="Times New Roman" w:hAnsi="Cambria"/>
          <w:sz w:val="20"/>
          <w:szCs w:val="20"/>
          <w:lang w:val="es-419"/>
        </w:rPr>
        <w:t xml:space="preserve"> de septiembre de 1992 </w:t>
      </w:r>
    </w:p>
    <w:p w14:paraId="514AB796"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Carmelina Guevara Ríos, cónyuge</w:t>
      </w:r>
    </w:p>
    <w:p w14:paraId="3A71D972"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Carolina Yaneth Pedraza Guevara, hija</w:t>
      </w:r>
    </w:p>
    <w:p w14:paraId="3CAFD018"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Julio César Pedraza Guevara, hijo</w:t>
      </w:r>
    </w:p>
    <w:p w14:paraId="3FCEEEDA"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Yamid Alonso Pedraza Guevara, hijo</w:t>
      </w:r>
    </w:p>
    <w:p w14:paraId="00ADFBA3"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2D9B58E9" w14:textId="77777777" w:rsidR="00E0074B" w:rsidRPr="007A5ABD" w:rsidRDefault="00E0074B" w:rsidP="00E0074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eastAsia="Times New Roman" w:hAnsi="Cambria"/>
          <w:sz w:val="20"/>
          <w:szCs w:val="20"/>
          <w:lang w:val="es-419"/>
        </w:rPr>
      </w:pPr>
      <w:r w:rsidRPr="0011009E">
        <w:rPr>
          <w:rFonts w:ascii="Cambria" w:eastAsia="Times New Roman" w:hAnsi="Cambria"/>
          <w:sz w:val="20"/>
          <w:szCs w:val="20"/>
          <w:lang w:val="es-419"/>
        </w:rPr>
        <w:t xml:space="preserve">Familiares de </w:t>
      </w:r>
      <w:r w:rsidRPr="007A5ABD">
        <w:rPr>
          <w:rFonts w:ascii="Cambria" w:eastAsia="Times New Roman" w:hAnsi="Cambria"/>
          <w:sz w:val="20"/>
          <w:szCs w:val="20"/>
          <w:lang w:val="es-419"/>
        </w:rPr>
        <w:t>Helio Antonio Robledo Rodríguez, asesinado el 28 de junio de 1990</w:t>
      </w:r>
    </w:p>
    <w:p w14:paraId="3BAE9B11"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Norfelina Zúñiga Mosquera, pareja</w:t>
      </w:r>
    </w:p>
    <w:p w14:paraId="347FB7E7"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Rocben Robledo Zúñiga, hijo</w:t>
      </w:r>
    </w:p>
    <w:p w14:paraId="22BED71C" w14:textId="77777777" w:rsidR="00E0074B" w:rsidRPr="0011009E" w:rsidRDefault="00E0074B" w:rsidP="00E0074B">
      <w:pPr>
        <w:pStyle w:val="ListParagraph"/>
        <w:spacing w:after="120"/>
        <w:ind w:left="1440" w:firstLine="720"/>
        <w:jc w:val="both"/>
        <w:rPr>
          <w:rFonts w:eastAsia="Times New Roman" w:cs="Times New Roman"/>
          <w:sz w:val="20"/>
          <w:szCs w:val="20"/>
          <w:lang w:val="es-419"/>
        </w:rPr>
      </w:pPr>
    </w:p>
    <w:p w14:paraId="0E4F1DDF" w14:textId="77777777" w:rsidR="00E0074B" w:rsidRPr="0011009E" w:rsidRDefault="00E0074B" w:rsidP="00E0074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Familiares de Edgar Bravo, herido en combate el 2 de diciembre de 1992</w:t>
      </w:r>
    </w:p>
    <w:p w14:paraId="0C39BF8B" w14:textId="77777777" w:rsidR="00E0074B" w:rsidRPr="0011009E" w:rsidRDefault="00E0074B" w:rsidP="00E007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cs="Times New Roman"/>
          <w:sz w:val="20"/>
          <w:szCs w:val="20"/>
          <w:lang w:val="es-419"/>
        </w:rPr>
      </w:pPr>
      <w:r w:rsidRPr="0011009E">
        <w:rPr>
          <w:rFonts w:eastAsia="Times New Roman" w:cs="Times New Roman"/>
          <w:sz w:val="20"/>
          <w:szCs w:val="20"/>
          <w:lang w:val="es-419"/>
        </w:rPr>
        <w:t>Lucia García Herrera, cónyuge</w:t>
      </w:r>
    </w:p>
    <w:p w14:paraId="456D84B8" w14:textId="77777777" w:rsidR="00E0074B" w:rsidRPr="001F35C9" w:rsidRDefault="00E0074B" w:rsidP="00E5299A">
      <w:pPr>
        <w:rPr>
          <w:rFonts w:ascii="Cambria" w:hAnsi="Cambria"/>
          <w:sz w:val="20"/>
          <w:szCs w:val="20"/>
          <w:lang w:val="es-ES_tradnl"/>
        </w:rPr>
      </w:pPr>
    </w:p>
    <w:sectPr w:rsidR="00E0074B" w:rsidRPr="001F35C9" w:rsidSect="00C92AAA">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FD5" w14:textId="77777777" w:rsidR="00664629" w:rsidRDefault="00664629" w:rsidP="00E10040">
      <w:r>
        <w:separator/>
      </w:r>
    </w:p>
  </w:endnote>
  <w:endnote w:type="continuationSeparator" w:id="0">
    <w:p w14:paraId="497CB7F5" w14:textId="77777777" w:rsidR="00664629" w:rsidRDefault="00664629"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2E67B4C7" w:rsidR="00663A3D" w:rsidRPr="00934A2C" w:rsidRDefault="00663A3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5435">
          <w:rPr>
            <w:noProof/>
            <w:sz w:val="16"/>
            <w:szCs w:val="22"/>
          </w:rPr>
          <w:t>6</w:t>
        </w:r>
        <w:r w:rsidRPr="00934A2C">
          <w:rPr>
            <w:noProof/>
            <w:sz w:val="16"/>
            <w:szCs w:val="22"/>
          </w:rPr>
          <w:fldChar w:fldCharType="end"/>
        </w:r>
      </w:p>
    </w:sdtContent>
  </w:sdt>
  <w:p w14:paraId="54CF4771" w14:textId="77777777" w:rsidR="00663A3D" w:rsidRDefault="00663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663A3D" w:rsidRPr="00934A2C" w:rsidRDefault="00663A3D">
    <w:pPr>
      <w:pStyle w:val="Footer"/>
      <w:jc w:val="center"/>
      <w:rPr>
        <w:sz w:val="16"/>
        <w:szCs w:val="22"/>
      </w:rPr>
    </w:pPr>
  </w:p>
  <w:p w14:paraId="6CF30CE2" w14:textId="77777777" w:rsidR="00663A3D" w:rsidRDefault="0066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1F16" w14:textId="77777777" w:rsidR="00664629" w:rsidRDefault="00664629" w:rsidP="00E10040">
      <w:r>
        <w:separator/>
      </w:r>
    </w:p>
  </w:footnote>
  <w:footnote w:type="continuationSeparator" w:id="0">
    <w:p w14:paraId="7B36850C" w14:textId="77777777" w:rsidR="00664629" w:rsidRDefault="00664629" w:rsidP="00E10040">
      <w:r>
        <w:continuationSeparator/>
      </w:r>
    </w:p>
  </w:footnote>
  <w:footnote w:id="1">
    <w:p w14:paraId="323F3617" w14:textId="5B1DD0CD" w:rsidR="00663A3D" w:rsidRPr="0041482C" w:rsidRDefault="00663A3D" w:rsidP="006C3852">
      <w:pPr>
        <w:pStyle w:val="FootnoteText"/>
        <w:ind w:firstLine="720"/>
        <w:jc w:val="both"/>
        <w:rPr>
          <w:rFonts w:ascii="Cambria" w:hAnsi="Cambria"/>
          <w:sz w:val="16"/>
          <w:szCs w:val="16"/>
          <w:lang w:val="es-VE"/>
        </w:rPr>
      </w:pPr>
      <w:r w:rsidRPr="006C3852">
        <w:rPr>
          <w:rStyle w:val="FootnoteReference"/>
          <w:rFonts w:ascii="Cambria" w:hAnsi="Cambria"/>
          <w:sz w:val="16"/>
          <w:szCs w:val="16"/>
          <w:lang w:val="es-VE"/>
        </w:rPr>
        <w:footnoteRef/>
      </w:r>
      <w:r w:rsidRPr="006C3852">
        <w:rPr>
          <w:rFonts w:ascii="Cambria" w:hAnsi="Cambria"/>
          <w:sz w:val="16"/>
          <w:szCs w:val="16"/>
          <w:lang w:val="es-VE"/>
        </w:rPr>
        <w:t xml:space="preserve"> </w:t>
      </w:r>
      <w:r w:rsidRPr="0041482C">
        <w:rPr>
          <w:rFonts w:ascii="Cambria" w:hAnsi="Cambria"/>
          <w:sz w:val="16"/>
          <w:szCs w:val="16"/>
          <w:lang w:val="es-ES"/>
        </w:rPr>
        <w:t>La petición se refiere a</w:t>
      </w:r>
      <w:r w:rsidR="00B73032" w:rsidRPr="0041482C">
        <w:rPr>
          <w:rFonts w:ascii="Cambria" w:hAnsi="Cambria"/>
          <w:sz w:val="16"/>
          <w:szCs w:val="16"/>
          <w:lang w:val="es-ES"/>
        </w:rPr>
        <w:t xml:space="preserve"> </w:t>
      </w:r>
      <w:r w:rsidR="004144FD" w:rsidRPr="0041482C">
        <w:rPr>
          <w:rFonts w:ascii="Cambria" w:hAnsi="Cambria"/>
          <w:sz w:val="16"/>
          <w:szCs w:val="16"/>
          <w:lang w:val="es-ES"/>
        </w:rPr>
        <w:t>177</w:t>
      </w:r>
      <w:r w:rsidRPr="0041482C">
        <w:rPr>
          <w:rFonts w:ascii="Cambria" w:hAnsi="Cambria"/>
          <w:sz w:val="16"/>
          <w:szCs w:val="16"/>
          <w:lang w:val="es-ES"/>
        </w:rPr>
        <w:t xml:space="preserve"> </w:t>
      </w:r>
      <w:r w:rsidR="00B73032" w:rsidRPr="0041482C">
        <w:rPr>
          <w:rFonts w:ascii="Cambria" w:hAnsi="Cambria"/>
          <w:sz w:val="16"/>
          <w:szCs w:val="16"/>
          <w:lang w:val="es-ES"/>
        </w:rPr>
        <w:t xml:space="preserve">presuntas víctimas como familiares de los </w:t>
      </w:r>
      <w:r w:rsidR="0043498D" w:rsidRPr="0041482C">
        <w:rPr>
          <w:rFonts w:ascii="Cambria" w:hAnsi="Cambria"/>
          <w:sz w:val="16"/>
          <w:szCs w:val="16"/>
          <w:lang w:val="es-ES"/>
        </w:rPr>
        <w:t xml:space="preserve">sesenta y </w:t>
      </w:r>
      <w:r w:rsidR="004144FD" w:rsidRPr="0041482C">
        <w:rPr>
          <w:rFonts w:ascii="Cambria" w:hAnsi="Cambria"/>
          <w:sz w:val="16"/>
          <w:szCs w:val="16"/>
          <w:lang w:val="es-ES"/>
        </w:rPr>
        <w:t>tres</w:t>
      </w:r>
      <w:r w:rsidRPr="0041482C">
        <w:rPr>
          <w:rFonts w:ascii="Cambria" w:hAnsi="Cambria"/>
          <w:sz w:val="16"/>
          <w:szCs w:val="16"/>
          <w:lang w:val="es-ES"/>
        </w:rPr>
        <w:t xml:space="preserve"> </w:t>
      </w:r>
      <w:r w:rsidR="00B73032" w:rsidRPr="0041482C">
        <w:rPr>
          <w:rFonts w:ascii="Cambria" w:hAnsi="Cambria"/>
          <w:sz w:val="16"/>
          <w:szCs w:val="16"/>
          <w:lang w:val="es-ES"/>
        </w:rPr>
        <w:t xml:space="preserve">policías asesinados, a quienes individualiza </w:t>
      </w:r>
      <w:r w:rsidR="00C25E60" w:rsidRPr="0041482C">
        <w:rPr>
          <w:rFonts w:ascii="Cambria" w:hAnsi="Cambria"/>
          <w:sz w:val="16"/>
          <w:szCs w:val="16"/>
          <w:lang w:val="es-ES"/>
        </w:rPr>
        <w:t xml:space="preserve">en </w:t>
      </w:r>
      <w:r w:rsidRPr="0041482C">
        <w:rPr>
          <w:rFonts w:ascii="Cambria" w:hAnsi="Cambria"/>
          <w:sz w:val="16"/>
          <w:szCs w:val="16"/>
          <w:lang w:val="es-ES"/>
        </w:rPr>
        <w:t>documento anexo.</w:t>
      </w:r>
    </w:p>
  </w:footnote>
  <w:footnote w:id="2">
    <w:p w14:paraId="288D7751" w14:textId="3DF6E5EF" w:rsidR="006C3852" w:rsidRPr="0041482C" w:rsidRDefault="006C3852" w:rsidP="006C3852">
      <w:pPr>
        <w:pStyle w:val="FootnoteText"/>
        <w:ind w:firstLine="720"/>
        <w:jc w:val="both"/>
        <w:rPr>
          <w:rFonts w:ascii="Cambria" w:hAnsi="Cambria"/>
          <w:sz w:val="16"/>
          <w:szCs w:val="16"/>
          <w:lang w:val="es-419"/>
        </w:rPr>
      </w:pPr>
      <w:r w:rsidRPr="0041482C">
        <w:rPr>
          <w:rStyle w:val="FootnoteReference"/>
          <w:rFonts w:ascii="Cambria" w:hAnsi="Cambria"/>
          <w:sz w:val="16"/>
          <w:szCs w:val="16"/>
        </w:rPr>
        <w:footnoteRef/>
      </w:r>
      <w:r w:rsidRPr="0041482C">
        <w:rPr>
          <w:rFonts w:ascii="Cambria" w:hAnsi="Cambria"/>
          <w:sz w:val="16"/>
          <w:szCs w:val="16"/>
          <w:lang w:val="es-419"/>
        </w:rPr>
        <w:t xml:space="preserve"> Conforme a lo dispuesto en el artículo 17.2.a del Reglamento de la Comisión, el Comisionado Carlos Bernal Pulido, de nacionalidad colombiana, no participó en el debate ni en la decisión del presente asunto.</w:t>
      </w:r>
    </w:p>
  </w:footnote>
  <w:footnote w:id="3">
    <w:p w14:paraId="64CFC33C" w14:textId="5190BFDE" w:rsidR="00663A3D" w:rsidRPr="001512C7" w:rsidRDefault="00663A3D" w:rsidP="006C3852">
      <w:pPr>
        <w:pStyle w:val="FootnoteText"/>
        <w:ind w:firstLine="720"/>
        <w:jc w:val="both"/>
        <w:rPr>
          <w:rFonts w:ascii="Cambria" w:hAnsi="Cambria"/>
          <w:sz w:val="16"/>
          <w:szCs w:val="16"/>
          <w:lang w:val="es-VE"/>
        </w:rPr>
      </w:pPr>
      <w:r w:rsidRPr="0041482C">
        <w:rPr>
          <w:rStyle w:val="FootnoteReference"/>
          <w:rFonts w:ascii="Cambria" w:hAnsi="Cambria"/>
          <w:sz w:val="16"/>
          <w:szCs w:val="16"/>
          <w:lang w:val="es-VE"/>
        </w:rPr>
        <w:footnoteRef/>
      </w:r>
      <w:r w:rsidRPr="0041482C">
        <w:rPr>
          <w:rFonts w:ascii="Cambria" w:hAnsi="Cambria"/>
          <w:sz w:val="16"/>
          <w:szCs w:val="16"/>
          <w:lang w:val="es-VE"/>
        </w:rPr>
        <w:t xml:space="preserve"> Las observaciones de cada parte fueron debidamente trasladadas a la </w:t>
      </w:r>
      <w:r w:rsidR="00C25E60" w:rsidRPr="0041482C">
        <w:rPr>
          <w:rFonts w:ascii="Cambria" w:hAnsi="Cambria"/>
          <w:sz w:val="16"/>
          <w:szCs w:val="16"/>
          <w:lang w:val="es-VE"/>
        </w:rPr>
        <w:t>otra</w:t>
      </w:r>
      <w:r w:rsidRPr="0041482C">
        <w:rPr>
          <w:rFonts w:ascii="Cambria" w:hAnsi="Cambria"/>
          <w:sz w:val="16"/>
          <w:szCs w:val="16"/>
          <w:lang w:val="es-VE"/>
        </w:rPr>
        <w:t>.</w:t>
      </w:r>
    </w:p>
  </w:footnote>
  <w:footnote w:id="4">
    <w:p w14:paraId="65B58DF3" w14:textId="77777777" w:rsidR="00B57D37" w:rsidRPr="001512C7" w:rsidRDefault="00B57D37" w:rsidP="00B57D37">
      <w:pPr>
        <w:pStyle w:val="FootnoteText"/>
        <w:ind w:firstLine="720"/>
        <w:jc w:val="both"/>
        <w:rPr>
          <w:rFonts w:ascii="Cambria" w:hAnsi="Cambria"/>
          <w:lang w:val="es-VE"/>
        </w:rPr>
      </w:pPr>
      <w:r w:rsidRPr="001512C7">
        <w:rPr>
          <w:rStyle w:val="FootnoteReference"/>
          <w:rFonts w:ascii="Cambria" w:hAnsi="Cambria"/>
          <w:sz w:val="16"/>
          <w:szCs w:val="16"/>
          <w:lang w:val="es-VE"/>
        </w:rPr>
        <w:footnoteRef/>
      </w:r>
      <w:r w:rsidRPr="001512C7">
        <w:rPr>
          <w:rFonts w:ascii="Cambria" w:hAnsi="Cambria"/>
          <w:sz w:val="16"/>
          <w:szCs w:val="16"/>
          <w:lang w:val="es-VE"/>
        </w:rPr>
        <w:t xml:space="preserve"> CIDH, Informe No. 182/20. Petición 1609-10. Inadmisibilidad. Guillermo Fino Serrano. Colombia. 6 de julio de 2020, párr. 17. </w:t>
      </w:r>
    </w:p>
  </w:footnote>
  <w:footnote w:id="5">
    <w:p w14:paraId="24829CA4" w14:textId="565F3F44" w:rsidR="000A31B5" w:rsidRPr="000A31B5" w:rsidRDefault="000A31B5" w:rsidP="000A31B5">
      <w:pPr>
        <w:pStyle w:val="FootnoteText"/>
        <w:ind w:firstLine="720"/>
        <w:jc w:val="both"/>
        <w:rPr>
          <w:rFonts w:ascii="Cambria" w:hAnsi="Cambria"/>
          <w:lang w:val="es-419"/>
        </w:rPr>
      </w:pPr>
      <w:r w:rsidRPr="000A31B5">
        <w:rPr>
          <w:rStyle w:val="FootnoteReference"/>
          <w:rFonts w:ascii="Cambria" w:hAnsi="Cambria"/>
          <w:sz w:val="16"/>
          <w:szCs w:val="16"/>
        </w:rPr>
        <w:footnoteRef/>
      </w:r>
      <w:r w:rsidRPr="000A31B5">
        <w:rPr>
          <w:rFonts w:ascii="Cambria" w:hAnsi="Cambria"/>
          <w:sz w:val="16"/>
          <w:szCs w:val="16"/>
          <w:lang w:val="es-419"/>
        </w:rPr>
        <w:t xml:space="preserve"> CIDH, Informe No. 104/05, Petición 65-99. Inadmisibilidad. Víctor Nicolás Sánchez y otros (“Operación Gatekeeper”). </w:t>
      </w:r>
      <w:r w:rsidRPr="000A31B5">
        <w:rPr>
          <w:rFonts w:ascii="Cambria" w:hAnsi="Cambria"/>
          <w:sz w:val="16"/>
          <w:szCs w:val="16"/>
        </w:rPr>
        <w:t>Estados Unidos. 27 de octubre de 2005, párr.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663A3D" w:rsidRDefault="00663A3D" w:rsidP="00A3074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663A3D" w:rsidRDefault="0066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663A3D" w:rsidRDefault="00663A3D" w:rsidP="00A30742">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663A3D" w:rsidRPr="00EC7D62" w:rsidRDefault="002A0DEF" w:rsidP="00A30742">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4D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D2261"/>
    <w:multiLevelType w:val="hybridMultilevel"/>
    <w:tmpl w:val="A106CB54"/>
    <w:lvl w:ilvl="0" w:tplc="E46EF81C">
      <w:start w:val="1"/>
      <w:numFmt w:val="decimal"/>
      <w:lvlText w:val="%1."/>
      <w:lvlJc w:val="left"/>
      <w:pPr>
        <w:tabs>
          <w:tab w:val="num" w:pos="720"/>
        </w:tabs>
        <w:ind w:left="0" w:firstLine="720"/>
      </w:pPr>
      <w:rPr>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5236268"/>
    <w:multiLevelType w:val="hybridMultilevel"/>
    <w:tmpl w:val="7430B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CCF4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53BA"/>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15CA"/>
    <w:multiLevelType w:val="hybridMultilevel"/>
    <w:tmpl w:val="CA8A9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CCF4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57C5B"/>
    <w:multiLevelType w:val="hybridMultilevel"/>
    <w:tmpl w:val="B0F6581E"/>
    <w:lvl w:ilvl="0" w:tplc="580A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64A2E"/>
    <w:multiLevelType w:val="hybridMultilevel"/>
    <w:tmpl w:val="8ACA12E8"/>
    <w:lvl w:ilvl="0" w:tplc="A5E4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CF75AD"/>
    <w:multiLevelType w:val="hybridMultilevel"/>
    <w:tmpl w:val="EA707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CCF4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912027">
    <w:abstractNumId w:val="12"/>
  </w:num>
  <w:num w:numId="2" w16cid:durableId="1270039770">
    <w:abstractNumId w:val="7"/>
  </w:num>
  <w:num w:numId="3" w16cid:durableId="1018435586">
    <w:abstractNumId w:val="6"/>
  </w:num>
  <w:num w:numId="4" w16cid:durableId="2005356086">
    <w:abstractNumId w:val="10"/>
  </w:num>
  <w:num w:numId="5" w16cid:durableId="1972394147">
    <w:abstractNumId w:val="13"/>
  </w:num>
  <w:num w:numId="6" w16cid:durableId="523322927">
    <w:abstractNumId w:val="1"/>
  </w:num>
  <w:num w:numId="7" w16cid:durableId="572353642">
    <w:abstractNumId w:val="9"/>
  </w:num>
  <w:num w:numId="8" w16cid:durableId="1773163054">
    <w:abstractNumId w:val="0"/>
  </w:num>
  <w:num w:numId="9" w16cid:durableId="717555669">
    <w:abstractNumId w:val="4"/>
  </w:num>
  <w:num w:numId="10" w16cid:durableId="1834947757">
    <w:abstractNumId w:val="5"/>
  </w:num>
  <w:num w:numId="11" w16cid:durableId="974724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031761">
    <w:abstractNumId w:val="3"/>
  </w:num>
  <w:num w:numId="13" w16cid:durableId="377512653">
    <w:abstractNumId w:val="11"/>
  </w:num>
  <w:num w:numId="14" w16cid:durableId="1967613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0001E"/>
    <w:rsid w:val="00006AA6"/>
    <w:rsid w:val="00010C86"/>
    <w:rsid w:val="0001381E"/>
    <w:rsid w:val="0001479D"/>
    <w:rsid w:val="00017076"/>
    <w:rsid w:val="0002108E"/>
    <w:rsid w:val="000275C8"/>
    <w:rsid w:val="00030513"/>
    <w:rsid w:val="00052FF2"/>
    <w:rsid w:val="000630F3"/>
    <w:rsid w:val="00065375"/>
    <w:rsid w:val="00081823"/>
    <w:rsid w:val="00091341"/>
    <w:rsid w:val="000A193D"/>
    <w:rsid w:val="000A31B5"/>
    <w:rsid w:val="000B101F"/>
    <w:rsid w:val="000C1358"/>
    <w:rsid w:val="000D1318"/>
    <w:rsid w:val="000E08CA"/>
    <w:rsid w:val="000E4086"/>
    <w:rsid w:val="000F15FC"/>
    <w:rsid w:val="000F2DAA"/>
    <w:rsid w:val="000F4B0D"/>
    <w:rsid w:val="0010018C"/>
    <w:rsid w:val="00111269"/>
    <w:rsid w:val="001120D7"/>
    <w:rsid w:val="001147F8"/>
    <w:rsid w:val="0011555C"/>
    <w:rsid w:val="00124133"/>
    <w:rsid w:val="00142479"/>
    <w:rsid w:val="00143730"/>
    <w:rsid w:val="00146C82"/>
    <w:rsid w:val="001470D2"/>
    <w:rsid w:val="001512C7"/>
    <w:rsid w:val="00154BB5"/>
    <w:rsid w:val="00171081"/>
    <w:rsid w:val="00172E1E"/>
    <w:rsid w:val="001909A5"/>
    <w:rsid w:val="00193793"/>
    <w:rsid w:val="00195DBD"/>
    <w:rsid w:val="00197F66"/>
    <w:rsid w:val="001A06A1"/>
    <w:rsid w:val="001B20D0"/>
    <w:rsid w:val="001D0C1D"/>
    <w:rsid w:val="001D1A45"/>
    <w:rsid w:val="001E680C"/>
    <w:rsid w:val="001E706A"/>
    <w:rsid w:val="001F35C9"/>
    <w:rsid w:val="001F69B9"/>
    <w:rsid w:val="00205CEA"/>
    <w:rsid w:val="00206D6D"/>
    <w:rsid w:val="00213031"/>
    <w:rsid w:val="0021765B"/>
    <w:rsid w:val="002316F1"/>
    <w:rsid w:val="00233673"/>
    <w:rsid w:val="00236B13"/>
    <w:rsid w:val="002378B2"/>
    <w:rsid w:val="00246395"/>
    <w:rsid w:val="00246DE9"/>
    <w:rsid w:val="002523E8"/>
    <w:rsid w:val="00254C2C"/>
    <w:rsid w:val="0027704D"/>
    <w:rsid w:val="00290701"/>
    <w:rsid w:val="002A0DEF"/>
    <w:rsid w:val="002B1163"/>
    <w:rsid w:val="002B30E8"/>
    <w:rsid w:val="002B4CA5"/>
    <w:rsid w:val="002B5D62"/>
    <w:rsid w:val="002C4BE4"/>
    <w:rsid w:val="002C71AD"/>
    <w:rsid w:val="002D6940"/>
    <w:rsid w:val="002E04ED"/>
    <w:rsid w:val="002E6A70"/>
    <w:rsid w:val="002F33A1"/>
    <w:rsid w:val="0033121D"/>
    <w:rsid w:val="00331816"/>
    <w:rsid w:val="0034289D"/>
    <w:rsid w:val="00352F22"/>
    <w:rsid w:val="00382048"/>
    <w:rsid w:val="003822DE"/>
    <w:rsid w:val="003823BA"/>
    <w:rsid w:val="003851E5"/>
    <w:rsid w:val="003A4146"/>
    <w:rsid w:val="003B4AC3"/>
    <w:rsid w:val="003B59C7"/>
    <w:rsid w:val="003B749A"/>
    <w:rsid w:val="003C0375"/>
    <w:rsid w:val="003D35E7"/>
    <w:rsid w:val="003D6A1F"/>
    <w:rsid w:val="003D79DD"/>
    <w:rsid w:val="003E6463"/>
    <w:rsid w:val="003F3DF9"/>
    <w:rsid w:val="003F49AF"/>
    <w:rsid w:val="003F51F8"/>
    <w:rsid w:val="00411C68"/>
    <w:rsid w:val="00412DCD"/>
    <w:rsid w:val="004144FD"/>
    <w:rsid w:val="0041482C"/>
    <w:rsid w:val="00415B1D"/>
    <w:rsid w:val="00417FB5"/>
    <w:rsid w:val="00433C82"/>
    <w:rsid w:val="0043498D"/>
    <w:rsid w:val="00436F4A"/>
    <w:rsid w:val="00442A88"/>
    <w:rsid w:val="004452B0"/>
    <w:rsid w:val="00471B4D"/>
    <w:rsid w:val="00475889"/>
    <w:rsid w:val="00496C56"/>
    <w:rsid w:val="004A7676"/>
    <w:rsid w:val="004B49B1"/>
    <w:rsid w:val="004C2C7D"/>
    <w:rsid w:val="004D41AD"/>
    <w:rsid w:val="004E3A3B"/>
    <w:rsid w:val="004E4EC4"/>
    <w:rsid w:val="004F06B1"/>
    <w:rsid w:val="004F3539"/>
    <w:rsid w:val="00503312"/>
    <w:rsid w:val="0050388B"/>
    <w:rsid w:val="00544A38"/>
    <w:rsid w:val="005450C9"/>
    <w:rsid w:val="00552096"/>
    <w:rsid w:val="005716B6"/>
    <w:rsid w:val="00573849"/>
    <w:rsid w:val="005757BE"/>
    <w:rsid w:val="00587284"/>
    <w:rsid w:val="00590EBF"/>
    <w:rsid w:val="00593485"/>
    <w:rsid w:val="00596573"/>
    <w:rsid w:val="005A4E0E"/>
    <w:rsid w:val="005B2E06"/>
    <w:rsid w:val="005B44F5"/>
    <w:rsid w:val="005C43D1"/>
    <w:rsid w:val="005D1A18"/>
    <w:rsid w:val="005F6FE7"/>
    <w:rsid w:val="00604FC0"/>
    <w:rsid w:val="0061006E"/>
    <w:rsid w:val="00615698"/>
    <w:rsid w:val="00630EC5"/>
    <w:rsid w:val="00632BAA"/>
    <w:rsid w:val="0065583B"/>
    <w:rsid w:val="00663A3D"/>
    <w:rsid w:val="00664629"/>
    <w:rsid w:val="00666B6A"/>
    <w:rsid w:val="00667D16"/>
    <w:rsid w:val="00670240"/>
    <w:rsid w:val="00680707"/>
    <w:rsid w:val="006859AA"/>
    <w:rsid w:val="006A6B4D"/>
    <w:rsid w:val="006A7AF7"/>
    <w:rsid w:val="006B30A8"/>
    <w:rsid w:val="006B5097"/>
    <w:rsid w:val="006C3852"/>
    <w:rsid w:val="006C5E18"/>
    <w:rsid w:val="006D50B8"/>
    <w:rsid w:val="007121D3"/>
    <w:rsid w:val="007215AB"/>
    <w:rsid w:val="007277BB"/>
    <w:rsid w:val="0073379A"/>
    <w:rsid w:val="007455D4"/>
    <w:rsid w:val="007457AD"/>
    <w:rsid w:val="00761C50"/>
    <w:rsid w:val="00774A42"/>
    <w:rsid w:val="00780E16"/>
    <w:rsid w:val="00781E6F"/>
    <w:rsid w:val="00793D72"/>
    <w:rsid w:val="00796637"/>
    <w:rsid w:val="00797D00"/>
    <w:rsid w:val="007B6D25"/>
    <w:rsid w:val="007C567D"/>
    <w:rsid w:val="007C7D24"/>
    <w:rsid w:val="007D60DC"/>
    <w:rsid w:val="007D6B05"/>
    <w:rsid w:val="007E3830"/>
    <w:rsid w:val="007E446E"/>
    <w:rsid w:val="007F23B4"/>
    <w:rsid w:val="007F2A4E"/>
    <w:rsid w:val="007F6797"/>
    <w:rsid w:val="008202C1"/>
    <w:rsid w:val="00824505"/>
    <w:rsid w:val="008324BC"/>
    <w:rsid w:val="00834B04"/>
    <w:rsid w:val="008358D3"/>
    <w:rsid w:val="00842563"/>
    <w:rsid w:val="00844AF5"/>
    <w:rsid w:val="008460CC"/>
    <w:rsid w:val="00847BA8"/>
    <w:rsid w:val="00855D82"/>
    <w:rsid w:val="00855DF2"/>
    <w:rsid w:val="008560E8"/>
    <w:rsid w:val="00867BDC"/>
    <w:rsid w:val="008752B7"/>
    <w:rsid w:val="0088387B"/>
    <w:rsid w:val="008B5183"/>
    <w:rsid w:val="008C6E8D"/>
    <w:rsid w:val="008D5952"/>
    <w:rsid w:val="008D6DB9"/>
    <w:rsid w:val="008E1422"/>
    <w:rsid w:val="008E2202"/>
    <w:rsid w:val="008F0434"/>
    <w:rsid w:val="008F07DC"/>
    <w:rsid w:val="008F484D"/>
    <w:rsid w:val="008F56E8"/>
    <w:rsid w:val="008F7BA1"/>
    <w:rsid w:val="009003DF"/>
    <w:rsid w:val="00905EF6"/>
    <w:rsid w:val="009126AC"/>
    <w:rsid w:val="00915BCF"/>
    <w:rsid w:val="009206A7"/>
    <w:rsid w:val="00932755"/>
    <w:rsid w:val="00932DEB"/>
    <w:rsid w:val="0095224E"/>
    <w:rsid w:val="00955D1A"/>
    <w:rsid w:val="00956B26"/>
    <w:rsid w:val="00961BBA"/>
    <w:rsid w:val="00962BBE"/>
    <w:rsid w:val="00963445"/>
    <w:rsid w:val="0097183F"/>
    <w:rsid w:val="00971AE8"/>
    <w:rsid w:val="0098250F"/>
    <w:rsid w:val="009B4379"/>
    <w:rsid w:val="009B512C"/>
    <w:rsid w:val="009B6A0C"/>
    <w:rsid w:val="009C4A3E"/>
    <w:rsid w:val="009E2D91"/>
    <w:rsid w:val="009F26E2"/>
    <w:rsid w:val="00A10C50"/>
    <w:rsid w:val="00A127A5"/>
    <w:rsid w:val="00A12E32"/>
    <w:rsid w:val="00A14393"/>
    <w:rsid w:val="00A17300"/>
    <w:rsid w:val="00A30742"/>
    <w:rsid w:val="00A3127A"/>
    <w:rsid w:val="00A32775"/>
    <w:rsid w:val="00A37D3D"/>
    <w:rsid w:val="00A5205B"/>
    <w:rsid w:val="00A55C79"/>
    <w:rsid w:val="00A6600A"/>
    <w:rsid w:val="00A66E7C"/>
    <w:rsid w:val="00A864FE"/>
    <w:rsid w:val="00A92E46"/>
    <w:rsid w:val="00A94AE6"/>
    <w:rsid w:val="00AA18B0"/>
    <w:rsid w:val="00AA35C2"/>
    <w:rsid w:val="00AA7803"/>
    <w:rsid w:val="00AB1484"/>
    <w:rsid w:val="00AB3F51"/>
    <w:rsid w:val="00AB5C04"/>
    <w:rsid w:val="00AC61B6"/>
    <w:rsid w:val="00AD1899"/>
    <w:rsid w:val="00AD2295"/>
    <w:rsid w:val="00AD39D6"/>
    <w:rsid w:val="00AE5690"/>
    <w:rsid w:val="00B00C8E"/>
    <w:rsid w:val="00B11816"/>
    <w:rsid w:val="00B170C0"/>
    <w:rsid w:val="00B20705"/>
    <w:rsid w:val="00B24186"/>
    <w:rsid w:val="00B24CA8"/>
    <w:rsid w:val="00B25E8C"/>
    <w:rsid w:val="00B302B4"/>
    <w:rsid w:val="00B33D42"/>
    <w:rsid w:val="00B57D37"/>
    <w:rsid w:val="00B639F6"/>
    <w:rsid w:val="00B724DD"/>
    <w:rsid w:val="00B73032"/>
    <w:rsid w:val="00B77D5F"/>
    <w:rsid w:val="00B804AF"/>
    <w:rsid w:val="00B83F18"/>
    <w:rsid w:val="00B877F5"/>
    <w:rsid w:val="00B97F04"/>
    <w:rsid w:val="00BA3B29"/>
    <w:rsid w:val="00BA7CA0"/>
    <w:rsid w:val="00BC5D5C"/>
    <w:rsid w:val="00BD4467"/>
    <w:rsid w:val="00BD4A30"/>
    <w:rsid w:val="00BD6692"/>
    <w:rsid w:val="00BD7556"/>
    <w:rsid w:val="00BE7534"/>
    <w:rsid w:val="00BF1B27"/>
    <w:rsid w:val="00C01BFA"/>
    <w:rsid w:val="00C03352"/>
    <w:rsid w:val="00C03C5F"/>
    <w:rsid w:val="00C117D5"/>
    <w:rsid w:val="00C21508"/>
    <w:rsid w:val="00C24BCE"/>
    <w:rsid w:val="00C25E60"/>
    <w:rsid w:val="00C41C9D"/>
    <w:rsid w:val="00C41E9E"/>
    <w:rsid w:val="00C51FEC"/>
    <w:rsid w:val="00C52214"/>
    <w:rsid w:val="00C53A3E"/>
    <w:rsid w:val="00C67BEB"/>
    <w:rsid w:val="00C77118"/>
    <w:rsid w:val="00C81D61"/>
    <w:rsid w:val="00C85435"/>
    <w:rsid w:val="00C8791D"/>
    <w:rsid w:val="00C91003"/>
    <w:rsid w:val="00C92AAA"/>
    <w:rsid w:val="00CA265E"/>
    <w:rsid w:val="00CB74F9"/>
    <w:rsid w:val="00CC1E7F"/>
    <w:rsid w:val="00CD1150"/>
    <w:rsid w:val="00CE4E7D"/>
    <w:rsid w:val="00CF15C0"/>
    <w:rsid w:val="00D00729"/>
    <w:rsid w:val="00D010F4"/>
    <w:rsid w:val="00D056F9"/>
    <w:rsid w:val="00D063E4"/>
    <w:rsid w:val="00D24BCE"/>
    <w:rsid w:val="00D266AE"/>
    <w:rsid w:val="00D30B4A"/>
    <w:rsid w:val="00D348AA"/>
    <w:rsid w:val="00D35FC8"/>
    <w:rsid w:val="00D421CC"/>
    <w:rsid w:val="00D45F45"/>
    <w:rsid w:val="00D7768A"/>
    <w:rsid w:val="00D87DEA"/>
    <w:rsid w:val="00D95167"/>
    <w:rsid w:val="00DA327D"/>
    <w:rsid w:val="00DB07D6"/>
    <w:rsid w:val="00DC66BF"/>
    <w:rsid w:val="00DD0644"/>
    <w:rsid w:val="00DD116F"/>
    <w:rsid w:val="00DF0B4A"/>
    <w:rsid w:val="00E0074B"/>
    <w:rsid w:val="00E0203F"/>
    <w:rsid w:val="00E033E9"/>
    <w:rsid w:val="00E10040"/>
    <w:rsid w:val="00E26277"/>
    <w:rsid w:val="00E40CF4"/>
    <w:rsid w:val="00E40D9F"/>
    <w:rsid w:val="00E41013"/>
    <w:rsid w:val="00E42108"/>
    <w:rsid w:val="00E42B6A"/>
    <w:rsid w:val="00E45A07"/>
    <w:rsid w:val="00E51A20"/>
    <w:rsid w:val="00E5299A"/>
    <w:rsid w:val="00E55639"/>
    <w:rsid w:val="00E7763C"/>
    <w:rsid w:val="00E77829"/>
    <w:rsid w:val="00E80047"/>
    <w:rsid w:val="00E81F79"/>
    <w:rsid w:val="00E911EC"/>
    <w:rsid w:val="00EC0B97"/>
    <w:rsid w:val="00EC6D03"/>
    <w:rsid w:val="00ED4B60"/>
    <w:rsid w:val="00F05180"/>
    <w:rsid w:val="00F15A56"/>
    <w:rsid w:val="00F167A5"/>
    <w:rsid w:val="00F25288"/>
    <w:rsid w:val="00F3606B"/>
    <w:rsid w:val="00F41AFB"/>
    <w:rsid w:val="00F478B5"/>
    <w:rsid w:val="00F56C21"/>
    <w:rsid w:val="00F61FE5"/>
    <w:rsid w:val="00F63052"/>
    <w:rsid w:val="00F63430"/>
    <w:rsid w:val="00F679B0"/>
    <w:rsid w:val="00F9318E"/>
    <w:rsid w:val="00FA70CD"/>
    <w:rsid w:val="00FA72E1"/>
    <w:rsid w:val="00FA7475"/>
    <w:rsid w:val="00FB44B4"/>
    <w:rsid w:val="00FC31EC"/>
    <w:rsid w:val="00FC6E50"/>
    <w:rsid w:val="00FD11E8"/>
    <w:rsid w:val="00FD6E93"/>
    <w:rsid w:val="00FD6F93"/>
    <w:rsid w:val="00FE1365"/>
    <w:rsid w:val="00FE48AD"/>
    <w:rsid w:val="00FE7442"/>
    <w:rsid w:val="00FF2730"/>
    <w:rsid w:val="00FF49AF"/>
    <w:rsid w:val="00FF6897"/>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74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85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AA"/>
    <w:rPr>
      <w:rFonts w:ascii="Segoe UI" w:eastAsia="Arial Unicode MS" w:hAnsi="Segoe UI" w:cs="Segoe UI"/>
      <w:sz w:val="18"/>
      <w:szCs w:val="18"/>
      <w:bdr w:val="nil"/>
    </w:rPr>
  </w:style>
  <w:style w:type="character" w:styleId="Hyperlink">
    <w:name w:val="Hyperlink"/>
    <w:basedOn w:val="DefaultParagraphFont"/>
    <w:uiPriority w:val="99"/>
    <w:semiHidden/>
    <w:unhideWhenUsed/>
    <w:rsid w:val="00824505"/>
    <w:rPr>
      <w:color w:val="0000FF"/>
      <w:u w:val="single"/>
    </w:rPr>
  </w:style>
  <w:style w:type="character" w:styleId="CommentReference">
    <w:name w:val="annotation reference"/>
    <w:basedOn w:val="DefaultParagraphFont"/>
    <w:uiPriority w:val="99"/>
    <w:semiHidden/>
    <w:unhideWhenUsed/>
    <w:rsid w:val="00C85435"/>
    <w:rPr>
      <w:sz w:val="16"/>
      <w:szCs w:val="16"/>
    </w:rPr>
  </w:style>
  <w:style w:type="paragraph" w:styleId="CommentText">
    <w:name w:val="annotation text"/>
    <w:basedOn w:val="Normal"/>
    <w:link w:val="CommentTextChar"/>
    <w:uiPriority w:val="99"/>
    <w:unhideWhenUsed/>
    <w:rsid w:val="00C85435"/>
    <w:rPr>
      <w:sz w:val="20"/>
      <w:szCs w:val="20"/>
    </w:rPr>
  </w:style>
  <w:style w:type="character" w:customStyle="1" w:styleId="CommentTextChar">
    <w:name w:val="Comment Text Char"/>
    <w:basedOn w:val="DefaultParagraphFont"/>
    <w:link w:val="CommentText"/>
    <w:uiPriority w:val="99"/>
    <w:rsid w:val="00C8543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85435"/>
    <w:rPr>
      <w:b/>
      <w:bCs/>
    </w:rPr>
  </w:style>
  <w:style w:type="character" w:customStyle="1" w:styleId="CommentSubjectChar">
    <w:name w:val="Comment Subject Char"/>
    <w:basedOn w:val="CommentTextChar"/>
    <w:link w:val="CommentSubject"/>
    <w:uiPriority w:val="99"/>
    <w:semiHidden/>
    <w:rsid w:val="00C85435"/>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280">
      <w:bodyDiv w:val="1"/>
      <w:marLeft w:val="0"/>
      <w:marRight w:val="0"/>
      <w:marTop w:val="0"/>
      <w:marBottom w:val="0"/>
      <w:divBdr>
        <w:top w:val="none" w:sz="0" w:space="0" w:color="auto"/>
        <w:left w:val="none" w:sz="0" w:space="0" w:color="auto"/>
        <w:bottom w:val="none" w:sz="0" w:space="0" w:color="auto"/>
        <w:right w:val="none" w:sz="0" w:space="0" w:color="auto"/>
      </w:divBdr>
    </w:div>
    <w:div w:id="7384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914D7"/>
    <w:rsid w:val="001F46AF"/>
    <w:rsid w:val="002A1682"/>
    <w:rsid w:val="00340968"/>
    <w:rsid w:val="003E1EB8"/>
    <w:rsid w:val="005204F7"/>
    <w:rsid w:val="005836E5"/>
    <w:rsid w:val="006D4825"/>
    <w:rsid w:val="007F65B2"/>
    <w:rsid w:val="00815B4E"/>
    <w:rsid w:val="008172DB"/>
    <w:rsid w:val="008611BE"/>
    <w:rsid w:val="00970908"/>
    <w:rsid w:val="00A7542A"/>
    <w:rsid w:val="00AD3636"/>
    <w:rsid w:val="00AD6088"/>
    <w:rsid w:val="00BA37A0"/>
    <w:rsid w:val="00BB0A2A"/>
    <w:rsid w:val="00C2771D"/>
    <w:rsid w:val="00D50249"/>
    <w:rsid w:val="00D634E0"/>
    <w:rsid w:val="00E65BA0"/>
    <w:rsid w:val="00E8632B"/>
    <w:rsid w:val="00E95ADD"/>
    <w:rsid w:val="00EE3887"/>
    <w:rsid w:val="00F17CB5"/>
    <w:rsid w:val="00F317E9"/>
    <w:rsid w:val="00F6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E417-CD9F-40D2-A99C-3F40CAF4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5401</Words>
  <Characters>30790</Characters>
  <Application>Microsoft Office Word</Application>
  <DocSecurity>0</DocSecurity>
  <Lines>256</Lines>
  <Paragraphs>72</Paragraphs>
  <ScaleCrop>false</ScaleCrop>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2022-10-28T19:10:00Z</dcterms:created>
  <dcterms:modified xsi:type="dcterms:W3CDTF">2022-10-28T19:10:00Z</dcterms:modified>
</cp:coreProperties>
</file>