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5D6206" w:rsidRDefault="000673D0" w:rsidP="000673D0">
      <w:pPr>
        <w:jc w:val="both"/>
        <w:rPr>
          <w:rFonts w:asciiTheme="majorHAnsi" w:hAnsiTheme="majorHAnsi" w:cs="Univers"/>
          <w:b/>
          <w:bCs/>
          <w:noProof w:val="0"/>
          <w:sz w:val="22"/>
          <w:szCs w:val="22"/>
        </w:rPr>
      </w:pPr>
      <w:r w:rsidRPr="005D6206">
        <w:rPr>
          <w:rFonts w:asciiTheme="majorHAnsi" w:hAnsiTheme="majorHAnsi"/>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F3D1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5D6206">
        <w:rPr>
          <w:rFonts w:asciiTheme="majorHAnsi" w:hAnsiTheme="majorHAnsi"/>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74464F" w:rsidRDefault="0074464F" w:rsidP="000673D0">
                            <w:r>
                              <w:drawing>
                                <wp:inline distT="0" distB="0" distL="0" distR="0" wp14:anchorId="7B23956B" wp14:editId="1F282641">
                                  <wp:extent cx="2647666" cy="509676"/>
                                  <wp:effectExtent l="0" t="0" r="635" b="5080"/>
                                  <wp:docPr id="18" name="Picture 18"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74464F" w:rsidRDefault="0074464F" w:rsidP="000673D0">
                      <w:r>
                        <w:drawing>
                          <wp:inline distT="0" distB="0" distL="0" distR="0" wp14:anchorId="7B23956B" wp14:editId="1F282641">
                            <wp:extent cx="2647666" cy="509676"/>
                            <wp:effectExtent l="0" t="0" r="635" b="5080"/>
                            <wp:docPr id="18" name="Picture 18"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5D6206">
        <w:rPr>
          <w:rFonts w:asciiTheme="majorHAnsi" w:hAnsiTheme="majorHAnsi" w:cs="Univers"/>
          <w:b/>
          <w:bCs/>
          <w:noProof w:val="0"/>
          <w:sz w:val="22"/>
          <w:szCs w:val="22"/>
        </w:rPr>
        <w:t xml:space="preserve"> </w:t>
      </w:r>
    </w:p>
    <w:p w14:paraId="397534B4" w14:textId="77777777" w:rsidR="000673D0" w:rsidRPr="005D6206" w:rsidRDefault="000673D0" w:rsidP="000673D0">
      <w:pPr>
        <w:tabs>
          <w:tab w:val="center" w:pos="5400"/>
        </w:tabs>
        <w:suppressAutoHyphens/>
        <w:jc w:val="both"/>
        <w:rPr>
          <w:rFonts w:asciiTheme="majorHAnsi" w:hAnsiTheme="majorHAnsi"/>
          <w:noProof w:val="0"/>
          <w:sz w:val="22"/>
          <w:szCs w:val="22"/>
        </w:rPr>
      </w:pPr>
    </w:p>
    <w:p w14:paraId="6073C012" w14:textId="77777777" w:rsidR="000673D0" w:rsidRPr="005D6206" w:rsidRDefault="000673D0" w:rsidP="000673D0">
      <w:pPr>
        <w:tabs>
          <w:tab w:val="center" w:pos="5400"/>
        </w:tabs>
        <w:suppressAutoHyphens/>
        <w:jc w:val="both"/>
        <w:rPr>
          <w:rFonts w:asciiTheme="majorHAnsi" w:hAnsiTheme="majorHAnsi"/>
          <w:noProof w:val="0"/>
          <w:sz w:val="22"/>
          <w:szCs w:val="22"/>
        </w:rPr>
      </w:pPr>
    </w:p>
    <w:p w14:paraId="539C54D8" w14:textId="77777777" w:rsidR="000673D0" w:rsidRPr="005D6206" w:rsidRDefault="000673D0" w:rsidP="000673D0">
      <w:pPr>
        <w:tabs>
          <w:tab w:val="center" w:pos="5400"/>
        </w:tabs>
        <w:suppressAutoHyphens/>
        <w:rPr>
          <w:rFonts w:asciiTheme="majorHAnsi" w:hAnsiTheme="majorHAnsi"/>
          <w:noProof w:val="0"/>
          <w:sz w:val="22"/>
          <w:szCs w:val="22"/>
        </w:rPr>
      </w:pPr>
    </w:p>
    <w:p w14:paraId="2F6FC84C" w14:textId="77777777" w:rsidR="000673D0" w:rsidRPr="005D6206" w:rsidRDefault="000673D0" w:rsidP="000673D0">
      <w:pPr>
        <w:tabs>
          <w:tab w:val="center" w:pos="5400"/>
        </w:tabs>
        <w:suppressAutoHyphens/>
        <w:rPr>
          <w:rFonts w:asciiTheme="majorHAnsi" w:hAnsiTheme="majorHAnsi"/>
          <w:noProof w:val="0"/>
          <w:sz w:val="22"/>
          <w:szCs w:val="22"/>
        </w:rPr>
      </w:pPr>
    </w:p>
    <w:p w14:paraId="6E63DFAD" w14:textId="77777777" w:rsidR="000673D0" w:rsidRPr="005D6206" w:rsidRDefault="000673D0" w:rsidP="000673D0">
      <w:pPr>
        <w:tabs>
          <w:tab w:val="center" w:pos="5400"/>
        </w:tabs>
        <w:suppressAutoHyphens/>
        <w:rPr>
          <w:rFonts w:asciiTheme="majorHAnsi" w:hAnsiTheme="majorHAnsi"/>
          <w:noProof w:val="0"/>
          <w:sz w:val="22"/>
          <w:szCs w:val="22"/>
        </w:rPr>
      </w:pPr>
    </w:p>
    <w:p w14:paraId="0888E869"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0748C1AA"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0D3A4F1B"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10F98911"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500C04E0"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7823EBF3"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151FBCAB"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7D95BB77" w14:textId="004F42DF" w:rsidR="000673D0" w:rsidRPr="005D6206" w:rsidRDefault="00BA7B4F" w:rsidP="000673D0">
      <w:pPr>
        <w:tabs>
          <w:tab w:val="center" w:pos="5400"/>
        </w:tabs>
        <w:suppressAutoHyphens/>
        <w:jc w:val="center"/>
        <w:rPr>
          <w:rFonts w:asciiTheme="majorHAnsi" w:hAnsiTheme="majorHAnsi"/>
          <w:noProof w:val="0"/>
          <w:sz w:val="22"/>
          <w:szCs w:val="22"/>
        </w:rPr>
      </w:pPr>
      <w:r w:rsidRPr="0090270B">
        <w:rPr>
          <w:rFonts w:asciiTheme="majorHAnsi" w:hAnsiTheme="majorHAnsi"/>
          <w:sz w:val="22"/>
          <w:szCs w:val="22"/>
        </w:rPr>
        <mc:AlternateContent>
          <mc:Choice Requires="wps">
            <w:drawing>
              <wp:anchor distT="0" distB="0" distL="114300" distR="114300" simplePos="0" relativeHeight="251672576" behindDoc="0" locked="0" layoutInCell="1" allowOverlap="1" wp14:anchorId="63353F05" wp14:editId="0D2A994F">
                <wp:simplePos x="0" y="0"/>
                <wp:positionH relativeFrom="column">
                  <wp:posOffset>-343877</wp:posOffset>
                </wp:positionH>
                <wp:positionV relativeFrom="paragraph">
                  <wp:posOffset>223276</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973EA" w14:textId="506CE788" w:rsidR="00BA7B4F" w:rsidRPr="00A23F00" w:rsidRDefault="00BA7B4F" w:rsidP="00BA7B4F">
                            <w:pPr>
                              <w:spacing w:line="276" w:lineRule="auto"/>
                              <w:jc w:val="right"/>
                              <w:rPr>
                                <w:rFonts w:asciiTheme="minorHAnsi" w:hAnsiTheme="minorHAnsi"/>
                                <w:color w:val="FFFFFF" w:themeColor="background1"/>
                                <w:sz w:val="22"/>
                                <w:lang w:val="es-419"/>
                              </w:rPr>
                            </w:pPr>
                            <w:r w:rsidRPr="00A23F00">
                              <w:rPr>
                                <w:rFonts w:asciiTheme="minorHAnsi" w:hAnsiTheme="minorHAnsi"/>
                                <w:color w:val="FFFFFF" w:themeColor="background1"/>
                                <w:sz w:val="22"/>
                                <w:lang w:val="es-419"/>
                              </w:rPr>
                              <w:t>OEA/Ser.L/V/II</w:t>
                            </w:r>
                          </w:p>
                          <w:p w14:paraId="46E0BB5D" w14:textId="0CBEEC78" w:rsidR="00BA7B4F" w:rsidRPr="00A23F00" w:rsidRDefault="00BA7B4F" w:rsidP="00BA7B4F">
                            <w:pPr>
                              <w:spacing w:line="276" w:lineRule="auto"/>
                              <w:jc w:val="right"/>
                              <w:rPr>
                                <w:rFonts w:asciiTheme="minorHAnsi" w:hAnsiTheme="minorHAnsi"/>
                                <w:color w:val="FFFFFF" w:themeColor="background1"/>
                                <w:sz w:val="22"/>
                                <w:lang w:val="es-419"/>
                              </w:rPr>
                            </w:pPr>
                            <w:r w:rsidRPr="00A23F00">
                              <w:rPr>
                                <w:rFonts w:asciiTheme="minorHAnsi" w:hAnsiTheme="minorHAnsi"/>
                                <w:color w:val="FFFFFF" w:themeColor="background1"/>
                                <w:sz w:val="22"/>
                                <w:lang w:val="es-419"/>
                              </w:rPr>
                              <w:t xml:space="preserve">Doc. </w:t>
                            </w:r>
                            <w:r w:rsidR="00BA13F0" w:rsidRPr="00A23F00">
                              <w:rPr>
                                <w:rFonts w:asciiTheme="minorHAnsi" w:hAnsiTheme="minorHAnsi"/>
                                <w:color w:val="FFFFFF" w:themeColor="background1"/>
                                <w:sz w:val="22"/>
                                <w:lang w:val="es-419"/>
                              </w:rPr>
                              <w:t>9</w:t>
                            </w:r>
                            <w:r w:rsidR="00A42818">
                              <w:rPr>
                                <w:rFonts w:asciiTheme="minorHAnsi" w:hAnsiTheme="minorHAnsi"/>
                                <w:color w:val="FFFFFF" w:themeColor="background1"/>
                                <w:sz w:val="22"/>
                                <w:lang w:val="es-419"/>
                              </w:rPr>
                              <w:t>8</w:t>
                            </w:r>
                          </w:p>
                          <w:p w14:paraId="3680B315" w14:textId="08FF4497" w:rsidR="00BA7B4F" w:rsidRPr="00C25ADB" w:rsidRDefault="00DA3646" w:rsidP="00BA7B4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BA7B4F" w:rsidRPr="00C25ADB">
                              <w:rPr>
                                <w:rFonts w:asciiTheme="minorHAnsi" w:hAnsiTheme="minorHAnsi"/>
                                <w:color w:val="FFFFFF" w:themeColor="background1"/>
                                <w:sz w:val="22"/>
                                <w:lang w:val="es-PA"/>
                              </w:rPr>
                              <w:t xml:space="preserve"> 202</w:t>
                            </w:r>
                            <w:r w:rsidR="003A6EE5">
                              <w:rPr>
                                <w:rFonts w:asciiTheme="minorHAnsi" w:hAnsiTheme="minorHAnsi"/>
                                <w:color w:val="FFFFFF" w:themeColor="background1"/>
                                <w:sz w:val="22"/>
                                <w:lang w:val="es-PA"/>
                              </w:rPr>
                              <w:t>2</w:t>
                            </w:r>
                          </w:p>
                          <w:p w14:paraId="0262ED5F" w14:textId="77777777" w:rsidR="00BA7B4F" w:rsidRPr="00C25ADB" w:rsidRDefault="00BA7B4F" w:rsidP="00BA7B4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3F05" id="Text Box 8" o:spid="_x0000_s1027" type="#_x0000_t202" style="position:absolute;left:0;text-align:left;margin-left:-27.1pt;margin-top:17.6pt;width:109.5pt;height:10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" filled="f" stroked="f" strokeweight=".5pt">
                <v:textbox>
                  <w:txbxContent>
                    <w:p w14:paraId="52F973EA" w14:textId="506CE788" w:rsidR="00BA7B4F" w:rsidRPr="00A23F00" w:rsidRDefault="00BA7B4F" w:rsidP="00BA7B4F">
                      <w:pPr>
                        <w:spacing w:line="276" w:lineRule="auto"/>
                        <w:jc w:val="right"/>
                        <w:rPr>
                          <w:rFonts w:asciiTheme="minorHAnsi" w:hAnsiTheme="minorHAnsi"/>
                          <w:color w:val="FFFFFF" w:themeColor="background1"/>
                          <w:sz w:val="22"/>
                          <w:lang w:val="es-419"/>
                        </w:rPr>
                      </w:pPr>
                      <w:r w:rsidRPr="00A23F00">
                        <w:rPr>
                          <w:rFonts w:asciiTheme="minorHAnsi" w:hAnsiTheme="minorHAnsi"/>
                          <w:color w:val="FFFFFF" w:themeColor="background1"/>
                          <w:sz w:val="22"/>
                          <w:lang w:val="es-419"/>
                        </w:rPr>
                        <w:t>OEA/Ser.L/V/II</w:t>
                      </w:r>
                    </w:p>
                    <w:p w14:paraId="46E0BB5D" w14:textId="0CBEEC78" w:rsidR="00BA7B4F" w:rsidRPr="00A23F00" w:rsidRDefault="00BA7B4F" w:rsidP="00BA7B4F">
                      <w:pPr>
                        <w:spacing w:line="276" w:lineRule="auto"/>
                        <w:jc w:val="right"/>
                        <w:rPr>
                          <w:rFonts w:asciiTheme="minorHAnsi" w:hAnsiTheme="minorHAnsi"/>
                          <w:color w:val="FFFFFF" w:themeColor="background1"/>
                          <w:sz w:val="22"/>
                          <w:lang w:val="es-419"/>
                        </w:rPr>
                      </w:pPr>
                      <w:r w:rsidRPr="00A23F00">
                        <w:rPr>
                          <w:rFonts w:asciiTheme="minorHAnsi" w:hAnsiTheme="minorHAnsi"/>
                          <w:color w:val="FFFFFF" w:themeColor="background1"/>
                          <w:sz w:val="22"/>
                          <w:lang w:val="es-419"/>
                        </w:rPr>
                        <w:t xml:space="preserve">Doc. </w:t>
                      </w:r>
                      <w:r w:rsidR="00BA13F0" w:rsidRPr="00A23F00">
                        <w:rPr>
                          <w:rFonts w:asciiTheme="minorHAnsi" w:hAnsiTheme="minorHAnsi"/>
                          <w:color w:val="FFFFFF" w:themeColor="background1"/>
                          <w:sz w:val="22"/>
                          <w:lang w:val="es-419"/>
                        </w:rPr>
                        <w:t>9</w:t>
                      </w:r>
                      <w:r w:rsidR="00A42818">
                        <w:rPr>
                          <w:rFonts w:asciiTheme="minorHAnsi" w:hAnsiTheme="minorHAnsi"/>
                          <w:color w:val="FFFFFF" w:themeColor="background1"/>
                          <w:sz w:val="22"/>
                          <w:lang w:val="es-419"/>
                        </w:rPr>
                        <w:t>8</w:t>
                      </w:r>
                    </w:p>
                    <w:p w14:paraId="3680B315" w14:textId="08FF4497" w:rsidR="00BA7B4F" w:rsidRPr="00C25ADB" w:rsidRDefault="00DA3646" w:rsidP="00BA7B4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BA7B4F" w:rsidRPr="00C25ADB">
                        <w:rPr>
                          <w:rFonts w:asciiTheme="minorHAnsi" w:hAnsiTheme="minorHAnsi"/>
                          <w:color w:val="FFFFFF" w:themeColor="background1"/>
                          <w:sz w:val="22"/>
                          <w:lang w:val="es-PA"/>
                        </w:rPr>
                        <w:t xml:space="preserve"> 202</w:t>
                      </w:r>
                      <w:r w:rsidR="003A6EE5">
                        <w:rPr>
                          <w:rFonts w:asciiTheme="minorHAnsi" w:hAnsiTheme="minorHAnsi"/>
                          <w:color w:val="FFFFFF" w:themeColor="background1"/>
                          <w:sz w:val="22"/>
                          <w:lang w:val="es-PA"/>
                        </w:rPr>
                        <w:t>2</w:t>
                      </w:r>
                    </w:p>
                    <w:p w14:paraId="0262ED5F" w14:textId="77777777" w:rsidR="00BA7B4F" w:rsidRPr="00C25ADB" w:rsidRDefault="00BA7B4F" w:rsidP="00BA7B4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52FAA1ED" w:rsidR="000673D0" w:rsidRPr="005D6206" w:rsidRDefault="00BA7B4F" w:rsidP="000673D0">
      <w:pPr>
        <w:tabs>
          <w:tab w:val="center" w:pos="5400"/>
        </w:tabs>
        <w:suppressAutoHyphens/>
        <w:jc w:val="center"/>
        <w:rPr>
          <w:rFonts w:asciiTheme="majorHAnsi" w:hAnsiTheme="majorHAnsi"/>
          <w:noProof w:val="0"/>
          <w:sz w:val="22"/>
          <w:szCs w:val="22"/>
        </w:rPr>
      </w:pPr>
      <w:r w:rsidRPr="005D6206">
        <w:rPr>
          <w:rFonts w:asciiTheme="majorHAnsi" w:hAnsiTheme="majorHAnsi"/>
          <w:sz w:val="22"/>
          <w:szCs w:val="22"/>
        </w:rPr>
        <mc:AlternateContent>
          <mc:Choice Requires="wps">
            <w:drawing>
              <wp:anchor distT="0" distB="0" distL="114300" distR="114300" simplePos="0" relativeHeight="251660288" behindDoc="0" locked="0" layoutInCell="1" allowOverlap="1" wp14:anchorId="6683F5A4" wp14:editId="0A5EF650">
                <wp:simplePos x="0" y="0"/>
                <wp:positionH relativeFrom="column">
                  <wp:posOffset>1352550</wp:posOffset>
                </wp:positionH>
                <wp:positionV relativeFrom="paragraph">
                  <wp:posOffset>4445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6F4A0E09" w:rsidR="0074464F" w:rsidRPr="004E2649" w:rsidRDefault="0074464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6951AC" w:rsidRPr="00DC7023">
                              <w:rPr>
                                <w:rFonts w:asciiTheme="majorHAnsi" w:hAnsiTheme="majorHAnsi" w:cs="Arial"/>
                                <w:b/>
                                <w:bCs/>
                                <w:color w:val="0D0D0D" w:themeColor="text1" w:themeTint="F2"/>
                                <w:sz w:val="36"/>
                                <w:szCs w:val="40"/>
                                <w:lang w:val="es-ES_tradnl"/>
                              </w:rPr>
                              <w:t>No.</w:t>
                            </w:r>
                            <w:r w:rsidR="006951AC">
                              <w:rPr>
                                <w:rFonts w:asciiTheme="majorHAnsi" w:hAnsiTheme="majorHAnsi" w:cs="Arial"/>
                                <w:b/>
                                <w:bCs/>
                                <w:color w:val="0D0D0D" w:themeColor="text1" w:themeTint="F2"/>
                                <w:sz w:val="36"/>
                                <w:szCs w:val="22"/>
                                <w:lang w:val="es-ES_tradnl"/>
                              </w:rPr>
                              <w:t xml:space="preserve"> </w:t>
                            </w:r>
                            <w:r w:rsidR="00BA13F0">
                              <w:rPr>
                                <w:rFonts w:asciiTheme="majorHAnsi" w:hAnsiTheme="majorHAnsi" w:cs="Arial"/>
                                <w:b/>
                                <w:bCs/>
                                <w:color w:val="0D0D0D" w:themeColor="text1" w:themeTint="F2"/>
                                <w:sz w:val="36"/>
                                <w:szCs w:val="22"/>
                                <w:lang w:val="es-ES_tradnl"/>
                              </w:rPr>
                              <w:t>9</w:t>
                            </w:r>
                            <w:r w:rsidR="00A42818">
                              <w:rPr>
                                <w:rFonts w:asciiTheme="majorHAnsi" w:hAnsiTheme="majorHAnsi" w:cs="Arial"/>
                                <w:b/>
                                <w:bCs/>
                                <w:color w:val="0D0D0D" w:themeColor="text1" w:themeTint="F2"/>
                                <w:sz w:val="36"/>
                                <w:szCs w:val="22"/>
                                <w:lang w:val="es-ES_tradnl"/>
                              </w:rPr>
                              <w:t>5</w:t>
                            </w:r>
                            <w:r w:rsidR="006951AC">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3A6EE5">
                              <w:rPr>
                                <w:rFonts w:asciiTheme="majorHAnsi" w:hAnsiTheme="majorHAnsi" w:cs="Arial"/>
                                <w:b/>
                                <w:bCs/>
                                <w:color w:val="0D0D0D" w:themeColor="text1" w:themeTint="F2"/>
                                <w:sz w:val="36"/>
                                <w:szCs w:val="22"/>
                                <w:lang w:val="es-ES_tradnl"/>
                              </w:rPr>
                              <w:t>2</w:t>
                            </w:r>
                          </w:p>
                          <w:p w14:paraId="3E93845E" w14:textId="66CF1090" w:rsidR="0074464F" w:rsidRPr="003C646E" w:rsidRDefault="0074464F"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51AC">
                              <w:rPr>
                                <w:rFonts w:asciiTheme="majorHAnsi" w:hAnsiTheme="majorHAnsi" w:cs="Arial"/>
                                <w:b/>
                                <w:color w:val="0D0D0D" w:themeColor="text1" w:themeTint="F2"/>
                                <w:sz w:val="36"/>
                                <w:szCs w:val="22"/>
                                <w:lang w:val="es-ES_tradnl"/>
                              </w:rPr>
                              <w:t>2215</w:t>
                            </w:r>
                            <w:r w:rsidRPr="004E2649">
                              <w:rPr>
                                <w:rFonts w:asciiTheme="majorHAnsi" w:hAnsiTheme="majorHAnsi" w:cs="Arial"/>
                                <w:b/>
                                <w:color w:val="0D0D0D" w:themeColor="text1" w:themeTint="F2"/>
                                <w:sz w:val="36"/>
                                <w:szCs w:val="22"/>
                                <w:lang w:val="es-ES_tradnl"/>
                              </w:rPr>
                              <w:t>-</w:t>
                            </w:r>
                            <w:r w:rsidR="00B705FC">
                              <w:rPr>
                                <w:rFonts w:asciiTheme="majorHAnsi" w:hAnsiTheme="majorHAnsi" w:cs="Arial"/>
                                <w:b/>
                                <w:color w:val="0D0D0D" w:themeColor="text1" w:themeTint="F2"/>
                                <w:sz w:val="36"/>
                                <w:szCs w:val="22"/>
                                <w:lang w:val="es-ES_tradnl"/>
                              </w:rPr>
                              <w:t>12</w:t>
                            </w:r>
                            <w:r w:rsidRPr="003C646E">
                              <w:rPr>
                                <w:rFonts w:asciiTheme="majorHAnsi" w:hAnsiTheme="majorHAnsi" w:cs="Arial"/>
                                <w:b/>
                                <w:color w:val="0D0D0D" w:themeColor="text1" w:themeTint="F2"/>
                                <w:sz w:val="36"/>
                                <w:szCs w:val="22"/>
                                <w:lang w:val="es-ES_tradnl"/>
                              </w:rPr>
                              <w:t xml:space="preserve"> </w:t>
                            </w:r>
                          </w:p>
                          <w:p w14:paraId="3C49EBA1" w14:textId="41255567" w:rsidR="0074464F" w:rsidRPr="0010736F" w:rsidRDefault="00A24179" w:rsidP="000673D0">
                            <w:pPr>
                              <w:spacing w:line="276" w:lineRule="auto"/>
                              <w:rPr>
                                <w:rFonts w:asciiTheme="majorHAnsi" w:hAnsiTheme="majorHAnsi" w:cs="Arial"/>
                                <w:color w:val="0D0D0D" w:themeColor="text1" w:themeTint="F2"/>
                                <w:szCs w:val="22"/>
                                <w:lang w:val="es-ES_tradnl"/>
                              </w:rPr>
                            </w:pPr>
                            <w:r w:rsidRPr="003C646E">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w:t>
                            </w:r>
                            <w:r w:rsidR="00F55691">
                              <w:rPr>
                                <w:rFonts w:asciiTheme="majorHAnsi" w:hAnsiTheme="majorHAnsi" w:cs="Arial"/>
                                <w:color w:val="0D0D0D" w:themeColor="text1" w:themeTint="F2"/>
                                <w:szCs w:val="22"/>
                                <w:lang w:val="es-ES_tradnl"/>
                              </w:rPr>
                              <w:t>INADMISIBILIDAD</w:t>
                            </w:r>
                            <w:r w:rsidR="0074464F" w:rsidRPr="0010736F">
                              <w:rPr>
                                <w:rFonts w:asciiTheme="majorHAnsi" w:hAnsiTheme="majorHAnsi" w:cs="Arial"/>
                                <w:color w:val="0D0D0D" w:themeColor="text1" w:themeTint="F2"/>
                                <w:szCs w:val="22"/>
                                <w:lang w:val="es-ES_tradnl"/>
                              </w:rPr>
                              <w:t xml:space="preserve"> </w:t>
                            </w:r>
                          </w:p>
                          <w:p w14:paraId="7AE16563" w14:textId="77777777" w:rsidR="0074464F" w:rsidRPr="0010736F" w:rsidRDefault="0074464F" w:rsidP="000673D0">
                            <w:pPr>
                              <w:spacing w:line="276" w:lineRule="auto"/>
                              <w:rPr>
                                <w:rFonts w:asciiTheme="majorHAnsi" w:hAnsiTheme="majorHAnsi" w:cs="Arial"/>
                                <w:color w:val="0D0D0D" w:themeColor="text1" w:themeTint="F2"/>
                                <w:szCs w:val="22"/>
                                <w:lang w:val="es-ES_tradnl"/>
                              </w:rPr>
                            </w:pPr>
                            <w:bookmarkStart w:id="0" w:name="_ftnref1"/>
                          </w:p>
                          <w:bookmarkEnd w:id="0"/>
                          <w:p w14:paraId="213AA93C" w14:textId="1D7A74DF" w:rsidR="00A24179" w:rsidRDefault="00E10E28"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 xml:space="preserve">NOVENTA </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SIETE</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w:t>
                            </w:r>
                            <w:r w:rsidR="007C5A3E">
                              <w:rPr>
                                <w:rFonts w:asciiTheme="majorHAnsi" w:hAnsiTheme="majorHAnsi" w:cs="Arial"/>
                                <w:color w:val="0D0D0D" w:themeColor="text1" w:themeTint="F2"/>
                                <w:szCs w:val="22"/>
                                <w:lang w:val="es-ES_tradnl"/>
                              </w:rPr>
                              <w:t>INTEGRANTES</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DEL </w:t>
                            </w:r>
                            <w:r w:rsidR="00A24179">
                              <w:rPr>
                                <w:rFonts w:asciiTheme="majorHAnsi" w:hAnsiTheme="majorHAnsi" w:cs="Arial"/>
                                <w:color w:val="0D0D0D" w:themeColor="text1" w:themeTint="F2"/>
                                <w:szCs w:val="22"/>
                                <w:lang w:val="es-ES_tradnl"/>
                              </w:rPr>
                              <w:t>SINDICAT</w:t>
                            </w:r>
                            <w:r w:rsidR="006951AC">
                              <w:rPr>
                                <w:rFonts w:asciiTheme="majorHAnsi" w:hAnsiTheme="majorHAnsi" w:cs="Arial"/>
                                <w:color w:val="0D0D0D" w:themeColor="text1" w:themeTint="F2"/>
                                <w:szCs w:val="22"/>
                                <w:lang w:val="es-ES_tradnl"/>
                              </w:rPr>
                              <w:t>O</w:t>
                            </w:r>
                            <w:r w:rsidR="005611B5">
                              <w:rPr>
                                <w:rFonts w:asciiTheme="majorHAnsi" w:hAnsiTheme="majorHAnsi" w:cs="Arial"/>
                                <w:color w:val="0D0D0D" w:themeColor="text1" w:themeTint="F2"/>
                                <w:szCs w:val="22"/>
                                <w:lang w:val="es-ES_tradnl"/>
                              </w:rPr>
                              <w:t xml:space="preserve"> DE TRABAJADORES </w:t>
                            </w:r>
                            <w:r w:rsidR="00473F08">
                              <w:rPr>
                                <w:rFonts w:asciiTheme="majorHAnsi" w:hAnsiTheme="majorHAnsi" w:cs="Arial"/>
                                <w:color w:val="0D0D0D" w:themeColor="text1" w:themeTint="F2"/>
                                <w:szCs w:val="22"/>
                                <w:lang w:val="es-ES_tradnl"/>
                              </w:rPr>
                              <w:t xml:space="preserve"> </w:t>
                            </w:r>
                            <w:r w:rsidR="00A24179">
                              <w:rPr>
                                <w:rFonts w:asciiTheme="majorHAnsi" w:hAnsiTheme="majorHAnsi" w:cs="Arial"/>
                                <w:color w:val="0D0D0D" w:themeColor="text1" w:themeTint="F2"/>
                                <w:szCs w:val="22"/>
                                <w:lang w:val="es-ES_tradnl"/>
                              </w:rPr>
                              <w:t>ADUAN</w:t>
                            </w:r>
                            <w:r w:rsidR="006951AC">
                              <w:rPr>
                                <w:rFonts w:asciiTheme="majorHAnsi" w:hAnsiTheme="majorHAnsi" w:cs="Arial"/>
                                <w:color w:val="0D0D0D" w:themeColor="text1" w:themeTint="F2"/>
                                <w:szCs w:val="22"/>
                                <w:lang w:val="es-ES_tradnl"/>
                              </w:rPr>
                              <w:t xml:space="preserve">EROS </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DEL</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 xml:space="preserve"> SUR </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w:t>
                            </w:r>
                            <w:r w:rsidR="00A24179">
                              <w:rPr>
                                <w:rFonts w:asciiTheme="majorHAnsi" w:hAnsiTheme="majorHAnsi" w:cs="Arial"/>
                                <w:color w:val="0D0D0D" w:themeColor="text1" w:themeTint="F2"/>
                                <w:szCs w:val="22"/>
                                <w:lang w:val="es-ES_tradnl"/>
                              </w:rPr>
                              <w:t>SINTR</w:t>
                            </w:r>
                            <w:r w:rsidR="006951AC">
                              <w:rPr>
                                <w:rFonts w:asciiTheme="majorHAnsi" w:hAnsiTheme="majorHAnsi" w:cs="Arial"/>
                                <w:color w:val="0D0D0D" w:themeColor="text1" w:themeTint="F2"/>
                                <w:szCs w:val="22"/>
                                <w:lang w:val="es-ES_tradnl"/>
                              </w:rPr>
                              <w:t>ASUR</w:t>
                            </w:r>
                            <w:r w:rsidR="00381F8A">
                              <w:rPr>
                                <w:rFonts w:asciiTheme="majorHAnsi" w:hAnsiTheme="majorHAnsi" w:cs="Arial"/>
                                <w:color w:val="0D0D0D" w:themeColor="text1" w:themeTint="F2"/>
                                <w:szCs w:val="22"/>
                                <w:lang w:val="es-ES_tradnl"/>
                              </w:rPr>
                              <w:t>)</w:t>
                            </w:r>
                          </w:p>
                          <w:p w14:paraId="627B2D33" w14:textId="77777777" w:rsidR="00A24179" w:rsidRPr="005E3EF7"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74464F" w:rsidRPr="00AE5488" w:rsidRDefault="0074464F"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8" type="#_x0000_t202" style="position:absolute;left:0;text-align:left;margin-left:106.5pt;margin-top:.3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" filled="f" stroked="f" strokeweight=".5pt">
                <v:textbox>
                  <w:txbxContent>
                    <w:p w14:paraId="6250532B" w14:textId="6F4A0E09" w:rsidR="0074464F" w:rsidRPr="004E2649" w:rsidRDefault="0074464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6951AC" w:rsidRPr="00DC7023">
                        <w:rPr>
                          <w:rFonts w:asciiTheme="majorHAnsi" w:hAnsiTheme="majorHAnsi" w:cs="Arial"/>
                          <w:b/>
                          <w:bCs/>
                          <w:color w:val="0D0D0D" w:themeColor="text1" w:themeTint="F2"/>
                          <w:sz w:val="36"/>
                          <w:szCs w:val="40"/>
                          <w:lang w:val="es-ES_tradnl"/>
                        </w:rPr>
                        <w:t>No.</w:t>
                      </w:r>
                      <w:r w:rsidR="006951AC">
                        <w:rPr>
                          <w:rFonts w:asciiTheme="majorHAnsi" w:hAnsiTheme="majorHAnsi" w:cs="Arial"/>
                          <w:b/>
                          <w:bCs/>
                          <w:color w:val="0D0D0D" w:themeColor="text1" w:themeTint="F2"/>
                          <w:sz w:val="36"/>
                          <w:szCs w:val="22"/>
                          <w:lang w:val="es-ES_tradnl"/>
                        </w:rPr>
                        <w:t xml:space="preserve"> </w:t>
                      </w:r>
                      <w:r w:rsidR="00BA13F0">
                        <w:rPr>
                          <w:rFonts w:asciiTheme="majorHAnsi" w:hAnsiTheme="majorHAnsi" w:cs="Arial"/>
                          <w:b/>
                          <w:bCs/>
                          <w:color w:val="0D0D0D" w:themeColor="text1" w:themeTint="F2"/>
                          <w:sz w:val="36"/>
                          <w:szCs w:val="22"/>
                          <w:lang w:val="es-ES_tradnl"/>
                        </w:rPr>
                        <w:t>9</w:t>
                      </w:r>
                      <w:r w:rsidR="00A42818">
                        <w:rPr>
                          <w:rFonts w:asciiTheme="majorHAnsi" w:hAnsiTheme="majorHAnsi" w:cs="Arial"/>
                          <w:b/>
                          <w:bCs/>
                          <w:color w:val="0D0D0D" w:themeColor="text1" w:themeTint="F2"/>
                          <w:sz w:val="36"/>
                          <w:szCs w:val="22"/>
                          <w:lang w:val="es-ES_tradnl"/>
                        </w:rPr>
                        <w:t>5</w:t>
                      </w:r>
                      <w:r w:rsidR="006951AC">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3A6EE5">
                        <w:rPr>
                          <w:rFonts w:asciiTheme="majorHAnsi" w:hAnsiTheme="majorHAnsi" w:cs="Arial"/>
                          <w:b/>
                          <w:bCs/>
                          <w:color w:val="0D0D0D" w:themeColor="text1" w:themeTint="F2"/>
                          <w:sz w:val="36"/>
                          <w:szCs w:val="22"/>
                          <w:lang w:val="es-ES_tradnl"/>
                        </w:rPr>
                        <w:t>2</w:t>
                      </w:r>
                    </w:p>
                    <w:p w14:paraId="3E93845E" w14:textId="66CF1090" w:rsidR="0074464F" w:rsidRPr="003C646E" w:rsidRDefault="0074464F"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51AC">
                        <w:rPr>
                          <w:rFonts w:asciiTheme="majorHAnsi" w:hAnsiTheme="majorHAnsi" w:cs="Arial"/>
                          <w:b/>
                          <w:color w:val="0D0D0D" w:themeColor="text1" w:themeTint="F2"/>
                          <w:sz w:val="36"/>
                          <w:szCs w:val="22"/>
                          <w:lang w:val="es-ES_tradnl"/>
                        </w:rPr>
                        <w:t>2215</w:t>
                      </w:r>
                      <w:r w:rsidRPr="004E2649">
                        <w:rPr>
                          <w:rFonts w:asciiTheme="majorHAnsi" w:hAnsiTheme="majorHAnsi" w:cs="Arial"/>
                          <w:b/>
                          <w:color w:val="0D0D0D" w:themeColor="text1" w:themeTint="F2"/>
                          <w:sz w:val="36"/>
                          <w:szCs w:val="22"/>
                          <w:lang w:val="es-ES_tradnl"/>
                        </w:rPr>
                        <w:t>-</w:t>
                      </w:r>
                      <w:r w:rsidR="00B705FC">
                        <w:rPr>
                          <w:rFonts w:asciiTheme="majorHAnsi" w:hAnsiTheme="majorHAnsi" w:cs="Arial"/>
                          <w:b/>
                          <w:color w:val="0D0D0D" w:themeColor="text1" w:themeTint="F2"/>
                          <w:sz w:val="36"/>
                          <w:szCs w:val="22"/>
                          <w:lang w:val="es-ES_tradnl"/>
                        </w:rPr>
                        <w:t>12</w:t>
                      </w:r>
                      <w:r w:rsidRPr="003C646E">
                        <w:rPr>
                          <w:rFonts w:asciiTheme="majorHAnsi" w:hAnsiTheme="majorHAnsi" w:cs="Arial"/>
                          <w:b/>
                          <w:color w:val="0D0D0D" w:themeColor="text1" w:themeTint="F2"/>
                          <w:sz w:val="36"/>
                          <w:szCs w:val="22"/>
                          <w:lang w:val="es-ES_tradnl"/>
                        </w:rPr>
                        <w:t xml:space="preserve"> </w:t>
                      </w:r>
                    </w:p>
                    <w:p w14:paraId="3C49EBA1" w14:textId="41255567" w:rsidR="0074464F" w:rsidRPr="0010736F" w:rsidRDefault="00A24179" w:rsidP="000673D0">
                      <w:pPr>
                        <w:spacing w:line="276" w:lineRule="auto"/>
                        <w:rPr>
                          <w:rFonts w:asciiTheme="majorHAnsi" w:hAnsiTheme="majorHAnsi" w:cs="Arial"/>
                          <w:color w:val="0D0D0D" w:themeColor="text1" w:themeTint="F2"/>
                          <w:szCs w:val="22"/>
                          <w:lang w:val="es-ES_tradnl"/>
                        </w:rPr>
                      </w:pPr>
                      <w:r w:rsidRPr="003C646E">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w:t>
                      </w:r>
                      <w:r w:rsidR="00F55691">
                        <w:rPr>
                          <w:rFonts w:asciiTheme="majorHAnsi" w:hAnsiTheme="majorHAnsi" w:cs="Arial"/>
                          <w:color w:val="0D0D0D" w:themeColor="text1" w:themeTint="F2"/>
                          <w:szCs w:val="22"/>
                          <w:lang w:val="es-ES_tradnl"/>
                        </w:rPr>
                        <w:t>INADMISIBILIDAD</w:t>
                      </w:r>
                      <w:r w:rsidR="0074464F" w:rsidRPr="0010736F">
                        <w:rPr>
                          <w:rFonts w:asciiTheme="majorHAnsi" w:hAnsiTheme="majorHAnsi" w:cs="Arial"/>
                          <w:color w:val="0D0D0D" w:themeColor="text1" w:themeTint="F2"/>
                          <w:szCs w:val="22"/>
                          <w:lang w:val="es-ES_tradnl"/>
                        </w:rPr>
                        <w:t xml:space="preserve"> </w:t>
                      </w:r>
                    </w:p>
                    <w:p w14:paraId="7AE16563" w14:textId="77777777" w:rsidR="0074464F" w:rsidRPr="0010736F" w:rsidRDefault="0074464F" w:rsidP="000673D0">
                      <w:pPr>
                        <w:spacing w:line="276" w:lineRule="auto"/>
                        <w:rPr>
                          <w:rFonts w:asciiTheme="majorHAnsi" w:hAnsiTheme="majorHAnsi" w:cs="Arial"/>
                          <w:color w:val="0D0D0D" w:themeColor="text1" w:themeTint="F2"/>
                          <w:szCs w:val="22"/>
                          <w:lang w:val="es-ES_tradnl"/>
                        </w:rPr>
                      </w:pPr>
                      <w:bookmarkStart w:id="1" w:name="_ftnref1"/>
                    </w:p>
                    <w:bookmarkEnd w:id="1"/>
                    <w:p w14:paraId="213AA93C" w14:textId="1D7A74DF" w:rsidR="00A24179" w:rsidRDefault="00E10E28"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 xml:space="preserve">NOVENTA </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SIETE</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w:t>
                      </w:r>
                      <w:r w:rsidR="007C5A3E">
                        <w:rPr>
                          <w:rFonts w:asciiTheme="majorHAnsi" w:hAnsiTheme="majorHAnsi" w:cs="Arial"/>
                          <w:color w:val="0D0D0D" w:themeColor="text1" w:themeTint="F2"/>
                          <w:szCs w:val="22"/>
                          <w:lang w:val="es-ES_tradnl"/>
                        </w:rPr>
                        <w:t>INTEGRANTES</w:t>
                      </w:r>
                      <w:r w:rsidR="00BD4400">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DEL </w:t>
                      </w:r>
                      <w:r w:rsidR="00A24179">
                        <w:rPr>
                          <w:rFonts w:asciiTheme="majorHAnsi" w:hAnsiTheme="majorHAnsi" w:cs="Arial"/>
                          <w:color w:val="0D0D0D" w:themeColor="text1" w:themeTint="F2"/>
                          <w:szCs w:val="22"/>
                          <w:lang w:val="es-ES_tradnl"/>
                        </w:rPr>
                        <w:t>SINDICAT</w:t>
                      </w:r>
                      <w:r w:rsidR="006951AC">
                        <w:rPr>
                          <w:rFonts w:asciiTheme="majorHAnsi" w:hAnsiTheme="majorHAnsi" w:cs="Arial"/>
                          <w:color w:val="0D0D0D" w:themeColor="text1" w:themeTint="F2"/>
                          <w:szCs w:val="22"/>
                          <w:lang w:val="es-ES_tradnl"/>
                        </w:rPr>
                        <w:t>O</w:t>
                      </w:r>
                      <w:r w:rsidR="005611B5">
                        <w:rPr>
                          <w:rFonts w:asciiTheme="majorHAnsi" w:hAnsiTheme="majorHAnsi" w:cs="Arial"/>
                          <w:color w:val="0D0D0D" w:themeColor="text1" w:themeTint="F2"/>
                          <w:szCs w:val="22"/>
                          <w:lang w:val="es-ES_tradnl"/>
                        </w:rPr>
                        <w:t xml:space="preserve"> DE TRABAJADORES </w:t>
                      </w:r>
                      <w:r w:rsidR="00473F08">
                        <w:rPr>
                          <w:rFonts w:asciiTheme="majorHAnsi" w:hAnsiTheme="majorHAnsi" w:cs="Arial"/>
                          <w:color w:val="0D0D0D" w:themeColor="text1" w:themeTint="F2"/>
                          <w:szCs w:val="22"/>
                          <w:lang w:val="es-ES_tradnl"/>
                        </w:rPr>
                        <w:t xml:space="preserve"> </w:t>
                      </w:r>
                      <w:r w:rsidR="00A24179">
                        <w:rPr>
                          <w:rFonts w:asciiTheme="majorHAnsi" w:hAnsiTheme="majorHAnsi" w:cs="Arial"/>
                          <w:color w:val="0D0D0D" w:themeColor="text1" w:themeTint="F2"/>
                          <w:szCs w:val="22"/>
                          <w:lang w:val="es-ES_tradnl"/>
                        </w:rPr>
                        <w:t>ADUAN</w:t>
                      </w:r>
                      <w:r w:rsidR="006951AC">
                        <w:rPr>
                          <w:rFonts w:asciiTheme="majorHAnsi" w:hAnsiTheme="majorHAnsi" w:cs="Arial"/>
                          <w:color w:val="0D0D0D" w:themeColor="text1" w:themeTint="F2"/>
                          <w:szCs w:val="22"/>
                          <w:lang w:val="es-ES_tradnl"/>
                        </w:rPr>
                        <w:t xml:space="preserve">EROS </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DEL</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 xml:space="preserve"> SUR </w:t>
                      </w:r>
                      <w:r w:rsidR="00473F08">
                        <w:rPr>
                          <w:rFonts w:asciiTheme="majorHAnsi" w:hAnsiTheme="majorHAnsi" w:cs="Arial"/>
                          <w:color w:val="0D0D0D" w:themeColor="text1" w:themeTint="F2"/>
                          <w:szCs w:val="22"/>
                          <w:lang w:val="es-ES_tradnl"/>
                        </w:rPr>
                        <w:t xml:space="preserve"> </w:t>
                      </w:r>
                      <w:r w:rsidR="006951AC">
                        <w:rPr>
                          <w:rFonts w:asciiTheme="majorHAnsi" w:hAnsiTheme="majorHAnsi" w:cs="Arial"/>
                          <w:color w:val="0D0D0D" w:themeColor="text1" w:themeTint="F2"/>
                          <w:szCs w:val="22"/>
                          <w:lang w:val="es-ES_tradnl"/>
                        </w:rPr>
                        <w:t>(</w:t>
                      </w:r>
                      <w:r w:rsidR="00A24179">
                        <w:rPr>
                          <w:rFonts w:asciiTheme="majorHAnsi" w:hAnsiTheme="majorHAnsi" w:cs="Arial"/>
                          <w:color w:val="0D0D0D" w:themeColor="text1" w:themeTint="F2"/>
                          <w:szCs w:val="22"/>
                          <w:lang w:val="es-ES_tradnl"/>
                        </w:rPr>
                        <w:t>SINTR</w:t>
                      </w:r>
                      <w:r w:rsidR="006951AC">
                        <w:rPr>
                          <w:rFonts w:asciiTheme="majorHAnsi" w:hAnsiTheme="majorHAnsi" w:cs="Arial"/>
                          <w:color w:val="0D0D0D" w:themeColor="text1" w:themeTint="F2"/>
                          <w:szCs w:val="22"/>
                          <w:lang w:val="es-ES_tradnl"/>
                        </w:rPr>
                        <w:t>ASUR</w:t>
                      </w:r>
                      <w:r w:rsidR="00381F8A">
                        <w:rPr>
                          <w:rFonts w:asciiTheme="majorHAnsi" w:hAnsiTheme="majorHAnsi" w:cs="Arial"/>
                          <w:color w:val="0D0D0D" w:themeColor="text1" w:themeTint="F2"/>
                          <w:szCs w:val="22"/>
                          <w:lang w:val="es-ES_tradnl"/>
                        </w:rPr>
                        <w:t>)</w:t>
                      </w:r>
                    </w:p>
                    <w:p w14:paraId="627B2D33" w14:textId="77777777" w:rsidR="00A24179" w:rsidRPr="005E3EF7"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74464F" w:rsidRPr="00AE5488" w:rsidRDefault="0074464F" w:rsidP="000673D0">
                      <w:pPr>
                        <w:rPr>
                          <w:color w:val="0D0D0D" w:themeColor="text1" w:themeTint="F2"/>
                          <w:lang w:val="es-ES_tradnl"/>
                        </w:rPr>
                      </w:pPr>
                    </w:p>
                  </w:txbxContent>
                </v:textbox>
              </v:shape>
            </w:pict>
          </mc:Fallback>
        </mc:AlternateContent>
      </w:r>
    </w:p>
    <w:p w14:paraId="359BB07B" w14:textId="343D2F8C" w:rsidR="000673D0" w:rsidRPr="005D6206" w:rsidRDefault="000673D0" w:rsidP="000673D0">
      <w:pPr>
        <w:tabs>
          <w:tab w:val="center" w:pos="5400"/>
        </w:tabs>
        <w:suppressAutoHyphens/>
        <w:jc w:val="center"/>
        <w:rPr>
          <w:rFonts w:asciiTheme="majorHAnsi" w:hAnsiTheme="majorHAnsi"/>
          <w:noProof w:val="0"/>
          <w:sz w:val="22"/>
          <w:szCs w:val="22"/>
        </w:rPr>
      </w:pPr>
    </w:p>
    <w:p w14:paraId="30CE2CD6" w14:textId="4A9A0EBA" w:rsidR="000673D0" w:rsidRPr="005D6206" w:rsidRDefault="000673D0" w:rsidP="000673D0">
      <w:pPr>
        <w:tabs>
          <w:tab w:val="center" w:pos="5400"/>
        </w:tabs>
        <w:suppressAutoHyphens/>
        <w:jc w:val="center"/>
        <w:rPr>
          <w:rFonts w:asciiTheme="majorHAnsi" w:hAnsiTheme="majorHAnsi" w:cs="Arial"/>
          <w:noProof w:val="0"/>
          <w:sz w:val="22"/>
          <w:szCs w:val="22"/>
        </w:rPr>
      </w:pPr>
    </w:p>
    <w:p w14:paraId="709AD286" w14:textId="60A17B42" w:rsidR="000673D0" w:rsidRPr="005D6206" w:rsidRDefault="000673D0" w:rsidP="000673D0">
      <w:pPr>
        <w:tabs>
          <w:tab w:val="center" w:pos="5400"/>
        </w:tabs>
        <w:suppressAutoHyphens/>
        <w:jc w:val="center"/>
        <w:rPr>
          <w:rFonts w:asciiTheme="majorHAnsi" w:hAnsiTheme="majorHAnsi"/>
          <w:noProof w:val="0"/>
          <w:sz w:val="22"/>
          <w:szCs w:val="22"/>
        </w:rPr>
      </w:pPr>
    </w:p>
    <w:p w14:paraId="7E8B5523"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424E26A9" w14:textId="751220BB" w:rsidR="000673D0" w:rsidRPr="005D6206" w:rsidRDefault="000673D0" w:rsidP="000673D0">
      <w:pPr>
        <w:tabs>
          <w:tab w:val="center" w:pos="5400"/>
        </w:tabs>
        <w:suppressAutoHyphens/>
        <w:jc w:val="center"/>
        <w:rPr>
          <w:rFonts w:asciiTheme="majorHAnsi" w:hAnsiTheme="majorHAnsi"/>
          <w:noProof w:val="0"/>
          <w:sz w:val="22"/>
          <w:szCs w:val="22"/>
        </w:rPr>
      </w:pPr>
    </w:p>
    <w:p w14:paraId="4B2E007A" w14:textId="394B4BA5" w:rsidR="000673D0" w:rsidRPr="005D6206" w:rsidRDefault="000673D0" w:rsidP="000673D0">
      <w:pPr>
        <w:tabs>
          <w:tab w:val="center" w:pos="5400"/>
        </w:tabs>
        <w:suppressAutoHyphens/>
        <w:jc w:val="center"/>
        <w:rPr>
          <w:rFonts w:asciiTheme="majorHAnsi" w:hAnsiTheme="majorHAnsi"/>
          <w:noProof w:val="0"/>
          <w:sz w:val="22"/>
          <w:szCs w:val="22"/>
        </w:rPr>
      </w:pPr>
    </w:p>
    <w:p w14:paraId="3ED5356B"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146F0F55" w14:textId="24BF68A7" w:rsidR="000673D0" w:rsidRPr="005D6206" w:rsidRDefault="000673D0" w:rsidP="000673D0">
      <w:pPr>
        <w:tabs>
          <w:tab w:val="center" w:pos="5400"/>
        </w:tabs>
        <w:suppressAutoHyphens/>
        <w:jc w:val="center"/>
        <w:rPr>
          <w:rFonts w:asciiTheme="majorHAnsi" w:hAnsiTheme="majorHAnsi"/>
          <w:noProof w:val="0"/>
          <w:sz w:val="22"/>
          <w:szCs w:val="22"/>
        </w:rPr>
      </w:pPr>
    </w:p>
    <w:p w14:paraId="03ABF1F8" w14:textId="7EA39AD4" w:rsidR="000673D0" w:rsidRPr="005D6206" w:rsidRDefault="000673D0" w:rsidP="000673D0">
      <w:pPr>
        <w:tabs>
          <w:tab w:val="center" w:pos="5400"/>
        </w:tabs>
        <w:suppressAutoHyphens/>
        <w:jc w:val="center"/>
        <w:rPr>
          <w:rFonts w:asciiTheme="majorHAnsi" w:hAnsiTheme="majorHAnsi"/>
          <w:noProof w:val="0"/>
          <w:sz w:val="22"/>
          <w:szCs w:val="22"/>
        </w:rPr>
      </w:pPr>
    </w:p>
    <w:p w14:paraId="766E7282" w14:textId="589EC2DC" w:rsidR="000673D0" w:rsidRPr="005D6206" w:rsidRDefault="000673D0" w:rsidP="000673D0">
      <w:pPr>
        <w:tabs>
          <w:tab w:val="center" w:pos="5400"/>
        </w:tabs>
        <w:suppressAutoHyphens/>
        <w:jc w:val="center"/>
        <w:rPr>
          <w:rFonts w:asciiTheme="majorHAnsi" w:hAnsiTheme="majorHAnsi"/>
          <w:noProof w:val="0"/>
          <w:sz w:val="22"/>
          <w:szCs w:val="22"/>
        </w:rPr>
      </w:pPr>
    </w:p>
    <w:p w14:paraId="062BE702" w14:textId="3C90F40A" w:rsidR="000673D0" w:rsidRPr="005D6206" w:rsidRDefault="000673D0" w:rsidP="000673D0">
      <w:pPr>
        <w:tabs>
          <w:tab w:val="center" w:pos="5400"/>
        </w:tabs>
        <w:suppressAutoHyphens/>
        <w:jc w:val="center"/>
        <w:rPr>
          <w:rFonts w:asciiTheme="majorHAnsi" w:hAnsiTheme="majorHAnsi"/>
          <w:noProof w:val="0"/>
          <w:sz w:val="22"/>
          <w:szCs w:val="22"/>
        </w:rPr>
      </w:pPr>
    </w:p>
    <w:p w14:paraId="5D49DBEA" w14:textId="3B927BB7" w:rsidR="000673D0" w:rsidRPr="005D6206" w:rsidRDefault="000673D0" w:rsidP="000673D0">
      <w:pPr>
        <w:tabs>
          <w:tab w:val="center" w:pos="5400"/>
        </w:tabs>
        <w:suppressAutoHyphens/>
        <w:jc w:val="center"/>
        <w:rPr>
          <w:rFonts w:asciiTheme="majorHAnsi" w:hAnsiTheme="majorHAnsi"/>
          <w:noProof w:val="0"/>
          <w:sz w:val="22"/>
          <w:szCs w:val="22"/>
        </w:rPr>
      </w:pPr>
    </w:p>
    <w:p w14:paraId="758695F1" w14:textId="77777777" w:rsidR="000673D0" w:rsidRPr="005D6206" w:rsidRDefault="000673D0" w:rsidP="000673D0">
      <w:pPr>
        <w:tabs>
          <w:tab w:val="center" w:pos="5400"/>
        </w:tabs>
        <w:suppressAutoHyphens/>
        <w:jc w:val="center"/>
        <w:rPr>
          <w:rFonts w:asciiTheme="majorHAnsi" w:hAnsiTheme="majorHAnsi"/>
          <w:noProof w:val="0"/>
          <w:sz w:val="22"/>
          <w:szCs w:val="22"/>
        </w:rPr>
      </w:pPr>
    </w:p>
    <w:p w14:paraId="47333B02" w14:textId="485CF2BF" w:rsidR="000673D0" w:rsidRPr="005D6206" w:rsidRDefault="000673D0" w:rsidP="000673D0">
      <w:pPr>
        <w:tabs>
          <w:tab w:val="center" w:pos="5400"/>
        </w:tabs>
        <w:suppressAutoHyphens/>
        <w:jc w:val="center"/>
        <w:rPr>
          <w:rFonts w:asciiTheme="majorHAnsi" w:hAnsiTheme="majorHAnsi"/>
          <w:noProof w:val="0"/>
          <w:sz w:val="18"/>
          <w:szCs w:val="22"/>
        </w:rPr>
      </w:pPr>
    </w:p>
    <w:p w14:paraId="136B8A54" w14:textId="77777777" w:rsidR="000673D0" w:rsidRPr="005D6206" w:rsidRDefault="000673D0" w:rsidP="000673D0">
      <w:pPr>
        <w:tabs>
          <w:tab w:val="center" w:pos="5400"/>
        </w:tabs>
        <w:suppressAutoHyphens/>
        <w:jc w:val="center"/>
        <w:rPr>
          <w:rFonts w:asciiTheme="majorHAnsi" w:hAnsiTheme="majorHAnsi"/>
          <w:noProof w:val="0"/>
          <w:sz w:val="18"/>
          <w:szCs w:val="22"/>
        </w:rPr>
      </w:pPr>
    </w:p>
    <w:p w14:paraId="1FA680C0" w14:textId="5E213E4D" w:rsidR="000673D0" w:rsidRPr="005D6206" w:rsidRDefault="000673D0" w:rsidP="000673D0">
      <w:pPr>
        <w:tabs>
          <w:tab w:val="center" w:pos="5400"/>
        </w:tabs>
        <w:suppressAutoHyphens/>
        <w:jc w:val="center"/>
        <w:rPr>
          <w:rFonts w:asciiTheme="majorHAnsi" w:hAnsiTheme="majorHAnsi"/>
          <w:noProof w:val="0"/>
          <w:sz w:val="18"/>
          <w:szCs w:val="22"/>
        </w:rPr>
      </w:pPr>
    </w:p>
    <w:p w14:paraId="51A5FD1F" w14:textId="57B7438C" w:rsidR="000673D0" w:rsidRPr="005D6206" w:rsidRDefault="000673D0" w:rsidP="000673D0">
      <w:pPr>
        <w:tabs>
          <w:tab w:val="center" w:pos="5400"/>
        </w:tabs>
        <w:suppressAutoHyphens/>
        <w:jc w:val="center"/>
        <w:rPr>
          <w:rFonts w:asciiTheme="majorHAnsi" w:hAnsiTheme="majorHAnsi"/>
          <w:noProof w:val="0"/>
          <w:sz w:val="18"/>
          <w:szCs w:val="22"/>
        </w:rPr>
      </w:pPr>
    </w:p>
    <w:p w14:paraId="67EC7104" w14:textId="77777777" w:rsidR="000673D0" w:rsidRPr="005D6206" w:rsidRDefault="000673D0" w:rsidP="000673D0">
      <w:pPr>
        <w:tabs>
          <w:tab w:val="center" w:pos="5400"/>
        </w:tabs>
        <w:suppressAutoHyphens/>
        <w:jc w:val="center"/>
        <w:rPr>
          <w:rFonts w:asciiTheme="majorHAnsi" w:hAnsiTheme="majorHAnsi"/>
          <w:noProof w:val="0"/>
          <w:sz w:val="18"/>
          <w:szCs w:val="22"/>
        </w:rPr>
      </w:pPr>
    </w:p>
    <w:p w14:paraId="74B88FB9" w14:textId="7322C5A8" w:rsidR="000673D0" w:rsidRPr="005D6206" w:rsidRDefault="000673D0" w:rsidP="000673D0">
      <w:pPr>
        <w:tabs>
          <w:tab w:val="center" w:pos="5400"/>
        </w:tabs>
        <w:suppressAutoHyphens/>
        <w:jc w:val="center"/>
        <w:rPr>
          <w:rFonts w:asciiTheme="majorHAnsi" w:hAnsiTheme="majorHAnsi"/>
          <w:noProof w:val="0"/>
          <w:sz w:val="18"/>
          <w:szCs w:val="22"/>
        </w:rPr>
      </w:pPr>
    </w:p>
    <w:p w14:paraId="676EB446" w14:textId="2AD0E2D1" w:rsidR="000673D0" w:rsidRPr="005D6206" w:rsidRDefault="000673D0" w:rsidP="000673D0">
      <w:pPr>
        <w:tabs>
          <w:tab w:val="center" w:pos="5400"/>
        </w:tabs>
        <w:suppressAutoHyphens/>
        <w:jc w:val="center"/>
        <w:rPr>
          <w:rFonts w:asciiTheme="majorHAnsi" w:hAnsiTheme="majorHAnsi"/>
          <w:noProof w:val="0"/>
          <w:sz w:val="18"/>
          <w:szCs w:val="22"/>
        </w:rPr>
      </w:pPr>
    </w:p>
    <w:p w14:paraId="1D06DC3D" w14:textId="381DA38A" w:rsidR="000673D0" w:rsidRPr="005D6206" w:rsidRDefault="000673D0" w:rsidP="000673D0">
      <w:pPr>
        <w:tabs>
          <w:tab w:val="center" w:pos="5400"/>
        </w:tabs>
        <w:suppressAutoHyphens/>
        <w:jc w:val="center"/>
        <w:rPr>
          <w:rFonts w:asciiTheme="majorHAnsi" w:hAnsiTheme="majorHAnsi"/>
          <w:noProof w:val="0"/>
          <w:sz w:val="18"/>
          <w:szCs w:val="22"/>
        </w:rPr>
      </w:pPr>
    </w:p>
    <w:p w14:paraId="2B3BDED6" w14:textId="1ADE1265" w:rsidR="000673D0" w:rsidRPr="005D6206" w:rsidRDefault="000673D0" w:rsidP="000673D0">
      <w:pPr>
        <w:tabs>
          <w:tab w:val="center" w:pos="5400"/>
        </w:tabs>
        <w:suppressAutoHyphens/>
        <w:jc w:val="center"/>
        <w:rPr>
          <w:rFonts w:asciiTheme="majorHAnsi" w:hAnsiTheme="majorHAnsi"/>
          <w:noProof w:val="0"/>
          <w:sz w:val="18"/>
          <w:szCs w:val="22"/>
        </w:rPr>
      </w:pPr>
    </w:p>
    <w:p w14:paraId="32E086F1" w14:textId="73F9E107" w:rsidR="000673D0" w:rsidRPr="005D6206" w:rsidRDefault="00BA7B4F" w:rsidP="000673D0">
      <w:pPr>
        <w:tabs>
          <w:tab w:val="center" w:pos="5400"/>
        </w:tabs>
        <w:suppressAutoHyphens/>
        <w:jc w:val="center"/>
        <w:rPr>
          <w:rFonts w:asciiTheme="majorHAnsi" w:hAnsiTheme="majorHAnsi"/>
          <w:noProof w:val="0"/>
          <w:sz w:val="18"/>
          <w:szCs w:val="22"/>
        </w:rPr>
      </w:pPr>
      <w:r w:rsidRPr="0090270B">
        <w:rPr>
          <w:rFonts w:asciiTheme="majorHAnsi" w:hAnsiTheme="majorHAnsi"/>
          <w:sz w:val="22"/>
          <w:szCs w:val="22"/>
        </w:rPr>
        <mc:AlternateContent>
          <mc:Choice Requires="wps">
            <w:drawing>
              <wp:anchor distT="0" distB="0" distL="114300" distR="114300" simplePos="0" relativeHeight="251668480" behindDoc="0" locked="0" layoutInCell="1" allowOverlap="1" wp14:anchorId="22B81519" wp14:editId="7A3B7449">
                <wp:simplePos x="0" y="0"/>
                <wp:positionH relativeFrom="column">
                  <wp:posOffset>1375117</wp:posOffset>
                </wp:positionH>
                <wp:positionV relativeFrom="paragraph">
                  <wp:posOffset>69068</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13EF6" w14:textId="120789FE" w:rsidR="00BA7B4F" w:rsidRPr="00890650" w:rsidRDefault="00BA7B4F" w:rsidP="00BA7B4F">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DA3646">
                              <w:rPr>
                                <w:rFonts w:asciiTheme="majorHAnsi" w:hAnsiTheme="majorHAnsi"/>
                                <w:color w:val="0D0D0D" w:themeColor="text1" w:themeTint="F2"/>
                                <w:sz w:val="18"/>
                                <w:szCs w:val="22"/>
                              </w:rPr>
                              <w:t>28</w:t>
                            </w:r>
                            <w:r w:rsidRPr="00890650">
                              <w:rPr>
                                <w:rFonts w:asciiTheme="majorHAnsi" w:hAnsiTheme="majorHAnsi"/>
                                <w:color w:val="0D0D0D" w:themeColor="text1" w:themeTint="F2"/>
                                <w:sz w:val="18"/>
                                <w:szCs w:val="22"/>
                              </w:rPr>
                              <w:t xml:space="preserve"> de </w:t>
                            </w:r>
                            <w:r w:rsidR="00DA3646">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3A6EE5">
                              <w:rPr>
                                <w:rFonts w:asciiTheme="majorHAnsi" w:hAnsiTheme="majorHAnsi"/>
                                <w:color w:val="0D0D0D" w:themeColor="text1" w:themeTint="F2"/>
                                <w:sz w:val="18"/>
                                <w:szCs w:val="22"/>
                              </w:rPr>
                              <w:t>2</w:t>
                            </w:r>
                            <w:r w:rsidR="00DA3646">
                              <w:rPr>
                                <w:rFonts w:asciiTheme="majorHAnsi" w:hAnsiTheme="majorHAnsi"/>
                                <w:color w:val="0D0D0D" w:themeColor="text1" w:themeTint="F2"/>
                                <w:sz w:val="18"/>
                                <w:szCs w:val="22"/>
                              </w:rPr>
                              <w:t>.</w:t>
                            </w:r>
                          </w:p>
                          <w:p w14:paraId="6839679D" w14:textId="77777777" w:rsidR="00BA7B4F" w:rsidRPr="007A5817" w:rsidRDefault="00BA7B4F" w:rsidP="00BA7B4F">
                            <w:pPr>
                              <w:tabs>
                                <w:tab w:val="center" w:pos="5400"/>
                              </w:tabs>
                              <w:suppressAutoHyphens/>
                              <w:spacing w:before="60"/>
                              <w:rPr>
                                <w:rFonts w:asciiTheme="minorHAnsi" w:hAnsiTheme="minorHAnsi" w:cs="Univers"/>
                                <w:color w:val="0D0D0D" w:themeColor="text1" w:themeTint="F2"/>
                                <w:sz w:val="20"/>
                                <w:szCs w:val="20"/>
                              </w:rPr>
                            </w:pPr>
                          </w:p>
                          <w:p w14:paraId="7D48E2CC" w14:textId="77777777" w:rsidR="00BA7B4F" w:rsidRPr="00167A34" w:rsidRDefault="00BA7B4F" w:rsidP="00BA7B4F">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1519" id="Text Box 7" o:spid="_x0000_s1029" type="#_x0000_t202" style="position:absolute;left:0;text-align:left;margin-left:108.3pt;margin-top:5.45pt;width:388.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" filled="f" stroked="f" strokeweight=".5pt">
                <v:textbox>
                  <w:txbxContent>
                    <w:p w14:paraId="7CE13EF6" w14:textId="120789FE" w:rsidR="00BA7B4F" w:rsidRPr="00890650" w:rsidRDefault="00BA7B4F" w:rsidP="00BA7B4F">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DA3646">
                        <w:rPr>
                          <w:rFonts w:asciiTheme="majorHAnsi" w:hAnsiTheme="majorHAnsi"/>
                          <w:color w:val="0D0D0D" w:themeColor="text1" w:themeTint="F2"/>
                          <w:sz w:val="18"/>
                          <w:szCs w:val="22"/>
                        </w:rPr>
                        <w:t>28</w:t>
                      </w:r>
                      <w:r w:rsidRPr="00890650">
                        <w:rPr>
                          <w:rFonts w:asciiTheme="majorHAnsi" w:hAnsiTheme="majorHAnsi"/>
                          <w:color w:val="0D0D0D" w:themeColor="text1" w:themeTint="F2"/>
                          <w:sz w:val="18"/>
                          <w:szCs w:val="22"/>
                        </w:rPr>
                        <w:t xml:space="preserve"> de </w:t>
                      </w:r>
                      <w:r w:rsidR="00DA3646">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3A6EE5">
                        <w:rPr>
                          <w:rFonts w:asciiTheme="majorHAnsi" w:hAnsiTheme="majorHAnsi"/>
                          <w:color w:val="0D0D0D" w:themeColor="text1" w:themeTint="F2"/>
                          <w:sz w:val="18"/>
                          <w:szCs w:val="22"/>
                        </w:rPr>
                        <w:t>2</w:t>
                      </w:r>
                      <w:r w:rsidR="00DA3646">
                        <w:rPr>
                          <w:rFonts w:asciiTheme="majorHAnsi" w:hAnsiTheme="majorHAnsi"/>
                          <w:color w:val="0D0D0D" w:themeColor="text1" w:themeTint="F2"/>
                          <w:sz w:val="18"/>
                          <w:szCs w:val="22"/>
                        </w:rPr>
                        <w:t>.</w:t>
                      </w:r>
                    </w:p>
                    <w:p w14:paraId="6839679D" w14:textId="77777777" w:rsidR="00BA7B4F" w:rsidRPr="007A5817" w:rsidRDefault="00BA7B4F" w:rsidP="00BA7B4F">
                      <w:pPr>
                        <w:tabs>
                          <w:tab w:val="center" w:pos="5400"/>
                        </w:tabs>
                        <w:suppressAutoHyphens/>
                        <w:spacing w:before="60"/>
                        <w:rPr>
                          <w:rFonts w:asciiTheme="minorHAnsi" w:hAnsiTheme="minorHAnsi" w:cs="Univers"/>
                          <w:color w:val="0D0D0D" w:themeColor="text1" w:themeTint="F2"/>
                          <w:sz w:val="20"/>
                          <w:szCs w:val="20"/>
                        </w:rPr>
                      </w:pPr>
                    </w:p>
                    <w:p w14:paraId="7D48E2CC" w14:textId="77777777" w:rsidR="00BA7B4F" w:rsidRPr="00167A34" w:rsidRDefault="00BA7B4F" w:rsidP="00BA7B4F">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AA5A52A" w14:textId="1B4BDD74" w:rsidR="000673D0" w:rsidRPr="005D6206" w:rsidRDefault="000673D0" w:rsidP="000673D0">
      <w:pPr>
        <w:tabs>
          <w:tab w:val="center" w:pos="5400"/>
        </w:tabs>
        <w:suppressAutoHyphens/>
        <w:jc w:val="center"/>
        <w:rPr>
          <w:rFonts w:asciiTheme="majorHAnsi" w:hAnsiTheme="majorHAnsi"/>
          <w:noProof w:val="0"/>
          <w:sz w:val="18"/>
          <w:szCs w:val="22"/>
        </w:rPr>
      </w:pPr>
    </w:p>
    <w:p w14:paraId="6FBE1F63" w14:textId="32C80077" w:rsidR="000673D0" w:rsidRPr="005D6206" w:rsidRDefault="000673D0" w:rsidP="000673D0">
      <w:pPr>
        <w:tabs>
          <w:tab w:val="center" w:pos="5400"/>
        </w:tabs>
        <w:suppressAutoHyphens/>
        <w:jc w:val="center"/>
        <w:rPr>
          <w:rFonts w:asciiTheme="majorHAnsi" w:hAnsiTheme="majorHAnsi"/>
          <w:noProof w:val="0"/>
          <w:sz w:val="18"/>
          <w:szCs w:val="22"/>
        </w:rPr>
      </w:pPr>
    </w:p>
    <w:p w14:paraId="6BC6FEB7" w14:textId="276CB708" w:rsidR="000673D0" w:rsidRPr="005D6206" w:rsidRDefault="000673D0" w:rsidP="000673D0">
      <w:pPr>
        <w:tabs>
          <w:tab w:val="center" w:pos="5400"/>
        </w:tabs>
        <w:suppressAutoHyphens/>
        <w:jc w:val="center"/>
        <w:rPr>
          <w:rFonts w:asciiTheme="majorHAnsi" w:hAnsiTheme="majorHAnsi"/>
          <w:noProof w:val="0"/>
          <w:sz w:val="18"/>
          <w:szCs w:val="22"/>
        </w:rPr>
      </w:pPr>
    </w:p>
    <w:p w14:paraId="4C26A618" w14:textId="5AA608AE" w:rsidR="000673D0" w:rsidRPr="005D6206" w:rsidRDefault="000673D0" w:rsidP="000673D0">
      <w:pPr>
        <w:tabs>
          <w:tab w:val="center" w:pos="5400"/>
        </w:tabs>
        <w:suppressAutoHyphens/>
        <w:jc w:val="center"/>
        <w:rPr>
          <w:rFonts w:asciiTheme="majorHAnsi" w:hAnsiTheme="majorHAnsi"/>
          <w:noProof w:val="0"/>
          <w:sz w:val="18"/>
          <w:szCs w:val="22"/>
        </w:rPr>
      </w:pPr>
    </w:p>
    <w:p w14:paraId="01BECB0D" w14:textId="7C531DDF" w:rsidR="000673D0" w:rsidRPr="005D6206" w:rsidRDefault="000673D0" w:rsidP="000673D0">
      <w:pPr>
        <w:tabs>
          <w:tab w:val="center" w:pos="5400"/>
        </w:tabs>
        <w:suppressAutoHyphens/>
        <w:jc w:val="center"/>
        <w:rPr>
          <w:rFonts w:asciiTheme="majorHAnsi" w:hAnsiTheme="majorHAnsi"/>
          <w:noProof w:val="0"/>
          <w:sz w:val="18"/>
          <w:szCs w:val="22"/>
        </w:rPr>
      </w:pPr>
    </w:p>
    <w:p w14:paraId="0F806D85" w14:textId="15A61EB6" w:rsidR="000673D0" w:rsidRPr="005D6206" w:rsidRDefault="000673D0" w:rsidP="000673D0">
      <w:pPr>
        <w:tabs>
          <w:tab w:val="center" w:pos="5400"/>
        </w:tabs>
        <w:suppressAutoHyphens/>
        <w:jc w:val="center"/>
        <w:rPr>
          <w:rFonts w:asciiTheme="majorHAnsi" w:hAnsiTheme="majorHAnsi"/>
          <w:noProof w:val="0"/>
          <w:sz w:val="18"/>
          <w:szCs w:val="22"/>
        </w:rPr>
      </w:pPr>
    </w:p>
    <w:p w14:paraId="4CF638D9" w14:textId="07E498EE" w:rsidR="000673D0" w:rsidRPr="005D6206" w:rsidRDefault="00BA7B4F" w:rsidP="000673D0">
      <w:pPr>
        <w:tabs>
          <w:tab w:val="center" w:pos="5400"/>
        </w:tabs>
        <w:suppressAutoHyphens/>
        <w:jc w:val="center"/>
        <w:rPr>
          <w:rFonts w:asciiTheme="majorHAnsi" w:hAnsiTheme="majorHAnsi"/>
          <w:noProof w:val="0"/>
          <w:sz w:val="18"/>
          <w:szCs w:val="22"/>
        </w:rPr>
      </w:pPr>
      <w:r w:rsidRPr="0090270B">
        <w:rPr>
          <w:rFonts w:asciiTheme="majorHAnsi" w:hAnsiTheme="majorHAnsi"/>
          <w:sz w:val="18"/>
          <w:szCs w:val="22"/>
        </w:rPr>
        <mc:AlternateContent>
          <mc:Choice Requires="wps">
            <w:drawing>
              <wp:anchor distT="0" distB="0" distL="114300" distR="114300" simplePos="0" relativeHeight="251670528" behindDoc="0" locked="0" layoutInCell="1" allowOverlap="1" wp14:anchorId="0137BB6C" wp14:editId="565D88F7">
                <wp:simplePos x="0" y="0"/>
                <wp:positionH relativeFrom="column">
                  <wp:posOffset>1327785</wp:posOffset>
                </wp:positionH>
                <wp:positionV relativeFrom="paragraph">
                  <wp:posOffset>24765</wp:posOffset>
                </wp:positionV>
                <wp:extent cx="53340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40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AC09C" w14:textId="1068DFA6" w:rsidR="00B6003F" w:rsidRDefault="00BA7B4F" w:rsidP="00BA7B4F">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4400" w:rsidRPr="00BD4400">
                              <w:rPr>
                                <w:rFonts w:asciiTheme="majorHAnsi" w:hAnsiTheme="majorHAnsi"/>
                                <w:color w:val="595959" w:themeColor="text1" w:themeTint="A6"/>
                                <w:sz w:val="18"/>
                                <w:szCs w:val="18"/>
                                <w:lang w:val="pt-BR"/>
                              </w:rPr>
                              <w:t>9</w:t>
                            </w:r>
                            <w:r w:rsidR="00A42818">
                              <w:rPr>
                                <w:rFonts w:asciiTheme="majorHAnsi" w:hAnsiTheme="majorHAnsi"/>
                                <w:color w:val="595959" w:themeColor="text1" w:themeTint="A6"/>
                                <w:sz w:val="18"/>
                                <w:szCs w:val="18"/>
                                <w:lang w:val="pt-BR"/>
                              </w:rPr>
                              <w:t>5</w:t>
                            </w:r>
                            <w:r w:rsidRPr="00BD4400">
                              <w:rPr>
                                <w:rFonts w:asciiTheme="majorHAnsi" w:hAnsiTheme="majorHAnsi"/>
                                <w:color w:val="595959" w:themeColor="text1" w:themeTint="A6"/>
                                <w:sz w:val="18"/>
                                <w:szCs w:val="18"/>
                                <w:lang w:val="pt-BR"/>
                              </w:rPr>
                              <w:t>/</w:t>
                            </w:r>
                            <w:r w:rsidR="00BD4400" w:rsidRPr="00BD4400">
                              <w:rPr>
                                <w:rFonts w:asciiTheme="majorHAnsi" w:hAnsiTheme="majorHAnsi"/>
                                <w:color w:val="595959" w:themeColor="text1" w:themeTint="A6"/>
                                <w:sz w:val="18"/>
                                <w:szCs w:val="18"/>
                                <w:lang w:val="pt-BR"/>
                              </w:rPr>
                              <w:t>22</w:t>
                            </w:r>
                            <w:r w:rsidRPr="00BD440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3A6EE5">
                              <w:rPr>
                                <w:rFonts w:asciiTheme="majorHAnsi" w:hAnsiTheme="majorHAnsi"/>
                                <w:color w:val="595959" w:themeColor="text1" w:themeTint="A6"/>
                                <w:sz w:val="18"/>
                                <w:szCs w:val="18"/>
                              </w:rPr>
                              <w:t>2215</w:t>
                            </w:r>
                            <w:r>
                              <w:rPr>
                                <w:rFonts w:asciiTheme="majorHAnsi" w:hAnsiTheme="majorHAnsi"/>
                                <w:color w:val="595959" w:themeColor="text1" w:themeTint="A6"/>
                                <w:sz w:val="18"/>
                                <w:szCs w:val="18"/>
                              </w:rPr>
                              <w:t>-</w:t>
                            </w:r>
                            <w:r w:rsidR="00C60021">
                              <w:rPr>
                                <w:rFonts w:asciiTheme="majorHAnsi" w:hAnsiTheme="majorHAnsi"/>
                                <w:color w:val="595959" w:themeColor="text1" w:themeTint="A6"/>
                                <w:sz w:val="18"/>
                                <w:szCs w:val="18"/>
                              </w:rPr>
                              <w:t>12</w:t>
                            </w:r>
                            <w:r>
                              <w:rPr>
                                <w:rFonts w:asciiTheme="majorHAnsi" w:hAnsiTheme="majorHAnsi"/>
                                <w:color w:val="595959" w:themeColor="text1" w:themeTint="A6"/>
                                <w:sz w:val="18"/>
                                <w:szCs w:val="18"/>
                              </w:rPr>
                              <w:t xml:space="preserve">. </w:t>
                            </w:r>
                            <w:r w:rsidR="00CF34A3">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A3646">
                              <w:rPr>
                                <w:rFonts w:asciiTheme="majorHAnsi" w:hAnsiTheme="majorHAnsi"/>
                                <w:color w:val="595959" w:themeColor="text1" w:themeTint="A6"/>
                                <w:sz w:val="18"/>
                                <w:szCs w:val="18"/>
                                <w:lang w:val="es-ES_tradnl"/>
                              </w:rPr>
                              <w:t xml:space="preserve">Noventa y siete </w:t>
                            </w:r>
                            <w:r w:rsidR="00E24462">
                              <w:rPr>
                                <w:rFonts w:asciiTheme="majorHAnsi" w:hAnsiTheme="majorHAnsi"/>
                                <w:color w:val="595959" w:themeColor="text1" w:themeTint="A6"/>
                                <w:sz w:val="18"/>
                                <w:szCs w:val="18"/>
                                <w:lang w:val="es-ES_tradnl"/>
                              </w:rPr>
                              <w:t>integrantes</w:t>
                            </w:r>
                            <w:r w:rsidR="00DA3646">
                              <w:rPr>
                                <w:rFonts w:asciiTheme="majorHAnsi" w:hAnsiTheme="majorHAnsi"/>
                                <w:color w:val="595959" w:themeColor="text1" w:themeTint="A6"/>
                                <w:sz w:val="18"/>
                                <w:szCs w:val="18"/>
                                <w:lang w:val="es-ES_tradnl"/>
                              </w:rPr>
                              <w:t xml:space="preserve"> </w:t>
                            </w:r>
                          </w:p>
                          <w:p w14:paraId="467DF508" w14:textId="5D5C475E" w:rsidR="00BA7B4F" w:rsidRPr="007B05C4" w:rsidRDefault="00DA3646" w:rsidP="00BA7B4F">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s-ES_tradnl"/>
                              </w:rPr>
                              <w:t xml:space="preserve">del </w:t>
                            </w:r>
                            <w:r w:rsidR="003A6EE5">
                              <w:rPr>
                                <w:rFonts w:asciiTheme="majorHAnsi" w:hAnsiTheme="majorHAnsi"/>
                                <w:color w:val="595959" w:themeColor="text1" w:themeTint="A6"/>
                                <w:sz w:val="18"/>
                                <w:szCs w:val="18"/>
                                <w:lang w:val="es-ES_tradnl"/>
                              </w:rPr>
                              <w:t>Sindicato de Trabajadores Aduaneros del Sur (SINTRASUR)</w:t>
                            </w:r>
                            <w:r w:rsidR="00BA7B4F" w:rsidRPr="00890650">
                              <w:rPr>
                                <w:rFonts w:asciiTheme="majorHAnsi" w:hAnsiTheme="majorHAnsi"/>
                                <w:color w:val="595959" w:themeColor="text1" w:themeTint="A6"/>
                                <w:sz w:val="18"/>
                                <w:szCs w:val="18"/>
                                <w:lang w:val="es-ES_tradnl"/>
                              </w:rPr>
                              <w:t xml:space="preserve">. </w:t>
                            </w:r>
                            <w:r w:rsidR="003A6EE5">
                              <w:rPr>
                                <w:rFonts w:asciiTheme="majorHAnsi" w:hAnsiTheme="majorHAnsi"/>
                                <w:color w:val="595959" w:themeColor="text1" w:themeTint="A6"/>
                                <w:sz w:val="18"/>
                                <w:szCs w:val="18"/>
                                <w:lang w:val="es-ES_tradnl"/>
                              </w:rPr>
                              <w:t>Per</w:t>
                            </w:r>
                            <w:r w:rsidR="003A6EE5">
                              <w:rPr>
                                <w:rFonts w:asciiTheme="majorHAnsi" w:hAnsiTheme="majorHAnsi"/>
                                <w:color w:val="595959" w:themeColor="text1" w:themeTint="A6"/>
                                <w:sz w:val="18"/>
                                <w:szCs w:val="18"/>
                              </w:rPr>
                              <w:t>ú</w:t>
                            </w:r>
                            <w:r w:rsidR="00BA7B4F"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rPr>
                              <w:t>28 de marzo de 2022</w:t>
                            </w:r>
                            <w:r w:rsidR="00BA7B4F"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BB6C" id="Text Box 10" o:spid="_x0000_s1030" type="#_x0000_t202" style="position:absolute;left:0;text-align:left;margin-left:104.55pt;margin-top:1.95pt;width:420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" filled="f" stroked="f" strokeweight=".5pt">
                <v:textbox>
                  <w:txbxContent>
                    <w:p w14:paraId="382AC09C" w14:textId="1068DFA6" w:rsidR="00B6003F" w:rsidRDefault="00BA7B4F" w:rsidP="00BA7B4F">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4400" w:rsidRPr="00BD4400">
                        <w:rPr>
                          <w:rFonts w:asciiTheme="majorHAnsi" w:hAnsiTheme="majorHAnsi"/>
                          <w:color w:val="595959" w:themeColor="text1" w:themeTint="A6"/>
                          <w:sz w:val="18"/>
                          <w:szCs w:val="18"/>
                          <w:lang w:val="pt-BR"/>
                        </w:rPr>
                        <w:t>9</w:t>
                      </w:r>
                      <w:r w:rsidR="00A42818">
                        <w:rPr>
                          <w:rFonts w:asciiTheme="majorHAnsi" w:hAnsiTheme="majorHAnsi"/>
                          <w:color w:val="595959" w:themeColor="text1" w:themeTint="A6"/>
                          <w:sz w:val="18"/>
                          <w:szCs w:val="18"/>
                          <w:lang w:val="pt-BR"/>
                        </w:rPr>
                        <w:t>5</w:t>
                      </w:r>
                      <w:r w:rsidRPr="00BD4400">
                        <w:rPr>
                          <w:rFonts w:asciiTheme="majorHAnsi" w:hAnsiTheme="majorHAnsi"/>
                          <w:color w:val="595959" w:themeColor="text1" w:themeTint="A6"/>
                          <w:sz w:val="18"/>
                          <w:szCs w:val="18"/>
                          <w:lang w:val="pt-BR"/>
                        </w:rPr>
                        <w:t>/</w:t>
                      </w:r>
                      <w:r w:rsidR="00BD4400" w:rsidRPr="00BD4400">
                        <w:rPr>
                          <w:rFonts w:asciiTheme="majorHAnsi" w:hAnsiTheme="majorHAnsi"/>
                          <w:color w:val="595959" w:themeColor="text1" w:themeTint="A6"/>
                          <w:sz w:val="18"/>
                          <w:szCs w:val="18"/>
                          <w:lang w:val="pt-BR"/>
                        </w:rPr>
                        <w:t>22</w:t>
                      </w:r>
                      <w:r w:rsidRPr="00BD440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3A6EE5">
                        <w:rPr>
                          <w:rFonts w:asciiTheme="majorHAnsi" w:hAnsiTheme="majorHAnsi"/>
                          <w:color w:val="595959" w:themeColor="text1" w:themeTint="A6"/>
                          <w:sz w:val="18"/>
                          <w:szCs w:val="18"/>
                        </w:rPr>
                        <w:t>2215</w:t>
                      </w:r>
                      <w:r>
                        <w:rPr>
                          <w:rFonts w:asciiTheme="majorHAnsi" w:hAnsiTheme="majorHAnsi"/>
                          <w:color w:val="595959" w:themeColor="text1" w:themeTint="A6"/>
                          <w:sz w:val="18"/>
                          <w:szCs w:val="18"/>
                        </w:rPr>
                        <w:t>-</w:t>
                      </w:r>
                      <w:r w:rsidR="00C60021">
                        <w:rPr>
                          <w:rFonts w:asciiTheme="majorHAnsi" w:hAnsiTheme="majorHAnsi"/>
                          <w:color w:val="595959" w:themeColor="text1" w:themeTint="A6"/>
                          <w:sz w:val="18"/>
                          <w:szCs w:val="18"/>
                        </w:rPr>
                        <w:t>12</w:t>
                      </w:r>
                      <w:r>
                        <w:rPr>
                          <w:rFonts w:asciiTheme="majorHAnsi" w:hAnsiTheme="majorHAnsi"/>
                          <w:color w:val="595959" w:themeColor="text1" w:themeTint="A6"/>
                          <w:sz w:val="18"/>
                          <w:szCs w:val="18"/>
                        </w:rPr>
                        <w:t xml:space="preserve">. </w:t>
                      </w:r>
                      <w:r w:rsidR="00CF34A3">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A3646">
                        <w:rPr>
                          <w:rFonts w:asciiTheme="majorHAnsi" w:hAnsiTheme="majorHAnsi"/>
                          <w:color w:val="595959" w:themeColor="text1" w:themeTint="A6"/>
                          <w:sz w:val="18"/>
                          <w:szCs w:val="18"/>
                          <w:lang w:val="es-ES_tradnl"/>
                        </w:rPr>
                        <w:t xml:space="preserve">Noventa y siete </w:t>
                      </w:r>
                      <w:r w:rsidR="00E24462">
                        <w:rPr>
                          <w:rFonts w:asciiTheme="majorHAnsi" w:hAnsiTheme="majorHAnsi"/>
                          <w:color w:val="595959" w:themeColor="text1" w:themeTint="A6"/>
                          <w:sz w:val="18"/>
                          <w:szCs w:val="18"/>
                          <w:lang w:val="es-ES_tradnl"/>
                        </w:rPr>
                        <w:t>integrantes</w:t>
                      </w:r>
                      <w:r w:rsidR="00DA3646">
                        <w:rPr>
                          <w:rFonts w:asciiTheme="majorHAnsi" w:hAnsiTheme="majorHAnsi"/>
                          <w:color w:val="595959" w:themeColor="text1" w:themeTint="A6"/>
                          <w:sz w:val="18"/>
                          <w:szCs w:val="18"/>
                          <w:lang w:val="es-ES_tradnl"/>
                        </w:rPr>
                        <w:t xml:space="preserve"> </w:t>
                      </w:r>
                    </w:p>
                    <w:p w14:paraId="467DF508" w14:textId="5D5C475E" w:rsidR="00BA7B4F" w:rsidRPr="007B05C4" w:rsidRDefault="00DA3646" w:rsidP="00BA7B4F">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s-ES_tradnl"/>
                        </w:rPr>
                        <w:t xml:space="preserve">del </w:t>
                      </w:r>
                      <w:r w:rsidR="003A6EE5">
                        <w:rPr>
                          <w:rFonts w:asciiTheme="majorHAnsi" w:hAnsiTheme="majorHAnsi"/>
                          <w:color w:val="595959" w:themeColor="text1" w:themeTint="A6"/>
                          <w:sz w:val="18"/>
                          <w:szCs w:val="18"/>
                          <w:lang w:val="es-ES_tradnl"/>
                        </w:rPr>
                        <w:t>Sindicato de Trabajadores Aduaneros del Sur (SINTRASUR)</w:t>
                      </w:r>
                      <w:r w:rsidR="00BA7B4F" w:rsidRPr="00890650">
                        <w:rPr>
                          <w:rFonts w:asciiTheme="majorHAnsi" w:hAnsiTheme="majorHAnsi"/>
                          <w:color w:val="595959" w:themeColor="text1" w:themeTint="A6"/>
                          <w:sz w:val="18"/>
                          <w:szCs w:val="18"/>
                          <w:lang w:val="es-ES_tradnl"/>
                        </w:rPr>
                        <w:t xml:space="preserve">. </w:t>
                      </w:r>
                      <w:r w:rsidR="003A6EE5">
                        <w:rPr>
                          <w:rFonts w:asciiTheme="majorHAnsi" w:hAnsiTheme="majorHAnsi"/>
                          <w:color w:val="595959" w:themeColor="text1" w:themeTint="A6"/>
                          <w:sz w:val="18"/>
                          <w:szCs w:val="18"/>
                          <w:lang w:val="es-ES_tradnl"/>
                        </w:rPr>
                        <w:t>Per</w:t>
                      </w:r>
                      <w:r w:rsidR="003A6EE5">
                        <w:rPr>
                          <w:rFonts w:asciiTheme="majorHAnsi" w:hAnsiTheme="majorHAnsi"/>
                          <w:color w:val="595959" w:themeColor="text1" w:themeTint="A6"/>
                          <w:sz w:val="18"/>
                          <w:szCs w:val="18"/>
                        </w:rPr>
                        <w:t>ú</w:t>
                      </w:r>
                      <w:r w:rsidR="00BA7B4F"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rPr>
                        <w:t>28 de marzo de 2022</w:t>
                      </w:r>
                      <w:r w:rsidR="00BA7B4F" w:rsidRPr="007B05C4">
                        <w:rPr>
                          <w:rFonts w:asciiTheme="majorHAnsi" w:hAnsiTheme="majorHAnsi"/>
                          <w:color w:val="595959" w:themeColor="text1" w:themeTint="A6"/>
                          <w:sz w:val="18"/>
                          <w:szCs w:val="18"/>
                        </w:rPr>
                        <w:t>.</w:t>
                      </w:r>
                    </w:p>
                  </w:txbxContent>
                </v:textbox>
              </v:shape>
            </w:pict>
          </mc:Fallback>
        </mc:AlternateContent>
      </w:r>
    </w:p>
    <w:p w14:paraId="1CEFA9C9" w14:textId="77777777" w:rsidR="000673D0" w:rsidRPr="005D6206" w:rsidRDefault="000673D0" w:rsidP="000673D0">
      <w:pPr>
        <w:tabs>
          <w:tab w:val="center" w:pos="5400"/>
        </w:tabs>
        <w:suppressAutoHyphens/>
        <w:jc w:val="center"/>
        <w:rPr>
          <w:rFonts w:asciiTheme="majorHAnsi" w:hAnsiTheme="majorHAnsi"/>
          <w:noProof w:val="0"/>
          <w:sz w:val="18"/>
          <w:szCs w:val="22"/>
        </w:rPr>
      </w:pPr>
    </w:p>
    <w:p w14:paraId="31514C67" w14:textId="77777777" w:rsidR="000673D0" w:rsidRPr="005D6206" w:rsidRDefault="000673D0" w:rsidP="000673D0">
      <w:pPr>
        <w:tabs>
          <w:tab w:val="center" w:pos="5400"/>
        </w:tabs>
        <w:suppressAutoHyphens/>
        <w:jc w:val="center"/>
        <w:rPr>
          <w:rFonts w:asciiTheme="majorHAnsi" w:hAnsiTheme="majorHAnsi"/>
          <w:noProof w:val="0"/>
          <w:sz w:val="18"/>
          <w:szCs w:val="22"/>
        </w:rPr>
      </w:pPr>
    </w:p>
    <w:p w14:paraId="16ECD0BB" w14:textId="23315308" w:rsidR="000673D0" w:rsidRPr="005D6206" w:rsidRDefault="000673D0" w:rsidP="000673D0">
      <w:pPr>
        <w:tabs>
          <w:tab w:val="center" w:pos="5400"/>
        </w:tabs>
        <w:suppressAutoHyphens/>
        <w:jc w:val="center"/>
        <w:rPr>
          <w:rFonts w:asciiTheme="majorHAnsi" w:hAnsiTheme="majorHAnsi"/>
          <w:noProof w:val="0"/>
          <w:sz w:val="18"/>
          <w:szCs w:val="22"/>
        </w:rPr>
      </w:pPr>
    </w:p>
    <w:p w14:paraId="16104A16" w14:textId="77777777" w:rsidR="000673D0" w:rsidRPr="005D6206" w:rsidRDefault="000673D0" w:rsidP="000673D0">
      <w:pPr>
        <w:tabs>
          <w:tab w:val="center" w:pos="5400"/>
        </w:tabs>
        <w:suppressAutoHyphens/>
        <w:jc w:val="center"/>
        <w:rPr>
          <w:rFonts w:asciiTheme="majorHAnsi" w:hAnsiTheme="majorHAnsi"/>
          <w:noProof w:val="0"/>
          <w:sz w:val="18"/>
          <w:szCs w:val="22"/>
        </w:rPr>
      </w:pPr>
    </w:p>
    <w:p w14:paraId="09F6F1A8" w14:textId="485B23D2" w:rsidR="000673D0" w:rsidRPr="005D6206" w:rsidRDefault="000673D0" w:rsidP="000673D0">
      <w:pPr>
        <w:tabs>
          <w:tab w:val="center" w:pos="5400"/>
        </w:tabs>
        <w:suppressAutoHyphens/>
        <w:jc w:val="center"/>
        <w:rPr>
          <w:rFonts w:asciiTheme="majorHAnsi" w:hAnsiTheme="majorHAnsi"/>
          <w:b/>
          <w:noProof w:val="0"/>
          <w:sz w:val="20"/>
        </w:rPr>
      </w:pPr>
      <w:r w:rsidRPr="005D6206">
        <w:rPr>
          <w:rFonts w:asciiTheme="majorHAnsi" w:hAnsiTheme="majorHAnsi"/>
          <w:sz w:val="22"/>
          <w:szCs w:val="22"/>
        </w:rPr>
        <mc:AlternateContent>
          <mc:Choice Requires="wps">
            <w:drawing>
              <wp:anchor distT="0" distB="0" distL="114300" distR="114300" simplePos="0" relativeHeight="251666432" behindDoc="0" locked="0" layoutInCell="1" allowOverlap="1" wp14:anchorId="39E975DD" wp14:editId="2E6817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74464F" w:rsidRPr="004B7EB6" w:rsidRDefault="0074464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74464F" w:rsidRPr="004B7EB6" w:rsidRDefault="0074464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27F2F32F" w:rsidR="000673D0" w:rsidRPr="005D6206" w:rsidRDefault="00EC3149" w:rsidP="000673D0">
      <w:pPr>
        <w:tabs>
          <w:tab w:val="center" w:pos="5400"/>
        </w:tabs>
        <w:suppressAutoHyphens/>
        <w:jc w:val="center"/>
        <w:rPr>
          <w:rFonts w:asciiTheme="majorHAnsi" w:hAnsiTheme="majorHAnsi"/>
          <w:b/>
          <w:noProof w:val="0"/>
          <w:sz w:val="20"/>
        </w:rPr>
        <w:sectPr w:rsidR="000673D0" w:rsidRPr="005D620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D6206">
        <w:rPr>
          <w:rFonts w:asciiTheme="majorHAnsi" w:hAnsiTheme="majorHAnsi"/>
          <w:sz w:val="18"/>
          <w:szCs w:val="22"/>
        </w:rPr>
        <mc:AlternateContent>
          <mc:Choice Requires="wps">
            <w:drawing>
              <wp:anchor distT="0" distB="0" distL="114300" distR="114300" simplePos="0" relativeHeight="251665408" behindDoc="0" locked="0" layoutInCell="1" allowOverlap="1" wp14:anchorId="2BF9F72E" wp14:editId="5FD55CAE">
                <wp:simplePos x="0" y="0"/>
                <wp:positionH relativeFrom="column">
                  <wp:posOffset>1329690</wp:posOffset>
                </wp:positionH>
                <wp:positionV relativeFrom="paragraph">
                  <wp:posOffset>557893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FAD5D19" w:rsidR="0074464F" w:rsidRPr="00D72DC6" w:rsidRDefault="00F44881" w:rsidP="000673D0">
                            <w:pPr>
                              <w:rPr>
                                <w:color w:val="FFFFFF" w:themeColor="background1"/>
                                <w14:textFill>
                                  <w14:noFill/>
                                </w14:textFill>
                              </w:rPr>
                            </w:pPr>
                            <w:r>
                              <w:rPr>
                                <w:color w:val="FFFFFF" w:themeColor="background1"/>
                              </w:rPr>
                              <w:drawing>
                                <wp:inline distT="0" distB="0" distL="0" distR="0" wp14:anchorId="18D9697E" wp14:editId="0D45690C">
                                  <wp:extent cx="1824355" cy="469265"/>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3.9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" fillcolor="white [3201]" stroked="f" strokeweight=".5pt">
                <v:textbox>
                  <w:txbxContent>
                    <w:p w14:paraId="561CB564" w14:textId="5FAD5D19" w:rsidR="0074464F" w:rsidRPr="00D72DC6" w:rsidRDefault="00F44881" w:rsidP="000673D0">
                      <w:pPr>
                        <w:rPr>
                          <w:color w:val="FFFFFF" w:themeColor="background1"/>
                          <w14:textFill>
                            <w14:noFill/>
                          </w14:textFill>
                        </w:rPr>
                      </w:pPr>
                      <w:r>
                        <w:rPr>
                          <w:color w:val="FFFFFF" w:themeColor="background1"/>
                        </w:rPr>
                        <w:drawing>
                          <wp:inline distT="0" distB="0" distL="0" distR="0" wp14:anchorId="18D9697E" wp14:editId="0D45690C">
                            <wp:extent cx="1824355" cy="469265"/>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5D6206">
        <w:rPr>
          <w:rFonts w:asciiTheme="majorHAnsi" w:hAnsiTheme="majorHAnsi"/>
          <w:b/>
          <w:noProof w:val="0"/>
          <w:sz w:val="20"/>
        </w:rPr>
        <w:tab/>
      </w:r>
    </w:p>
    <w:p w14:paraId="0912847B" w14:textId="77777777" w:rsidR="000673D0" w:rsidRPr="009234B7" w:rsidRDefault="000673D0" w:rsidP="000673D0">
      <w:pPr>
        <w:spacing w:after="240"/>
        <w:ind w:firstLine="720"/>
        <w:jc w:val="both"/>
        <w:rPr>
          <w:rFonts w:asciiTheme="majorHAnsi" w:hAnsiTheme="majorHAnsi"/>
          <w:b/>
          <w:bCs/>
          <w:noProof w:val="0"/>
          <w:sz w:val="20"/>
          <w:szCs w:val="20"/>
        </w:rPr>
      </w:pPr>
      <w:r w:rsidRPr="005D6206">
        <w:rPr>
          <w:rFonts w:asciiTheme="majorHAnsi" w:hAnsiTheme="majorHAnsi"/>
          <w:b/>
          <w:bCs/>
          <w:noProof w:val="0"/>
          <w:sz w:val="20"/>
          <w:szCs w:val="20"/>
        </w:rPr>
        <w:lastRenderedPageBreak/>
        <w:t>I.</w:t>
      </w:r>
      <w:r w:rsidRPr="005D6206">
        <w:rPr>
          <w:rFonts w:asciiTheme="majorHAnsi" w:hAnsiTheme="majorHAnsi"/>
          <w:b/>
          <w:bCs/>
          <w:noProof w:val="0"/>
          <w:sz w:val="20"/>
          <w:szCs w:val="20"/>
        </w:rPr>
        <w:tab/>
      </w:r>
      <w:r w:rsidRPr="009234B7">
        <w:rPr>
          <w:rFonts w:asciiTheme="majorHAnsi" w:hAnsiTheme="majorHAnsi"/>
          <w:b/>
          <w:bCs/>
          <w:noProof w:val="0"/>
          <w:sz w:val="20"/>
          <w:szCs w:val="20"/>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234B7" w14:paraId="325744E4" w14:textId="77777777" w:rsidTr="0074464F">
        <w:tc>
          <w:tcPr>
            <w:tcW w:w="3600" w:type="dxa"/>
            <w:tcBorders>
              <w:top w:val="single" w:sz="4" w:space="0" w:color="auto"/>
              <w:bottom w:val="single" w:sz="6" w:space="0" w:color="auto"/>
            </w:tcBorders>
            <w:shd w:val="clear" w:color="auto" w:fill="386294"/>
            <w:vAlign w:val="center"/>
          </w:tcPr>
          <w:p w14:paraId="26710EBE"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Parte peticionaria:</w:t>
            </w:r>
          </w:p>
        </w:tc>
        <w:tc>
          <w:tcPr>
            <w:tcW w:w="5760" w:type="dxa"/>
            <w:vAlign w:val="center"/>
          </w:tcPr>
          <w:p w14:paraId="5A4F615E" w14:textId="5FCE8C6C" w:rsidR="000673D0" w:rsidRPr="009234B7" w:rsidRDefault="00A24179" w:rsidP="0074464F">
            <w:pPr>
              <w:jc w:val="both"/>
              <w:rPr>
                <w:rFonts w:asciiTheme="majorHAnsi" w:hAnsiTheme="majorHAnsi"/>
                <w:bCs/>
                <w:noProof w:val="0"/>
                <w:sz w:val="20"/>
                <w:szCs w:val="20"/>
              </w:rPr>
            </w:pPr>
            <w:r w:rsidRPr="009234B7">
              <w:rPr>
                <w:rFonts w:asciiTheme="majorHAnsi" w:hAnsiTheme="majorHAnsi"/>
                <w:bCs/>
                <w:noProof w:val="0"/>
                <w:sz w:val="20"/>
                <w:szCs w:val="20"/>
                <w:lang w:eastAsia="es-ES"/>
              </w:rPr>
              <w:t>Sindicato de Trabajadores Aduan</w:t>
            </w:r>
            <w:r w:rsidR="006951AC" w:rsidRPr="009234B7">
              <w:rPr>
                <w:rFonts w:asciiTheme="majorHAnsi" w:hAnsiTheme="majorHAnsi"/>
                <w:bCs/>
                <w:noProof w:val="0"/>
                <w:sz w:val="20"/>
                <w:szCs w:val="20"/>
                <w:lang w:eastAsia="es-ES"/>
              </w:rPr>
              <w:t>ero</w:t>
            </w:r>
            <w:r w:rsidRPr="009234B7">
              <w:rPr>
                <w:rFonts w:asciiTheme="majorHAnsi" w:hAnsiTheme="majorHAnsi"/>
                <w:bCs/>
                <w:noProof w:val="0"/>
                <w:sz w:val="20"/>
                <w:szCs w:val="20"/>
                <w:lang w:eastAsia="es-ES"/>
              </w:rPr>
              <w:t xml:space="preserve">s </w:t>
            </w:r>
            <w:r w:rsidR="006951AC" w:rsidRPr="009234B7">
              <w:rPr>
                <w:rFonts w:asciiTheme="majorHAnsi" w:hAnsiTheme="majorHAnsi"/>
                <w:bCs/>
                <w:noProof w:val="0"/>
                <w:sz w:val="20"/>
                <w:szCs w:val="20"/>
                <w:lang w:eastAsia="es-ES"/>
              </w:rPr>
              <w:t xml:space="preserve">del Sur </w:t>
            </w:r>
            <w:r w:rsidRPr="009234B7">
              <w:rPr>
                <w:rFonts w:asciiTheme="majorHAnsi" w:hAnsiTheme="majorHAnsi"/>
                <w:bCs/>
                <w:noProof w:val="0"/>
                <w:sz w:val="20"/>
                <w:szCs w:val="20"/>
                <w:lang w:eastAsia="es-ES"/>
              </w:rPr>
              <w:t>(SINTRA</w:t>
            </w:r>
            <w:r w:rsidR="006951AC" w:rsidRPr="009234B7">
              <w:rPr>
                <w:rFonts w:asciiTheme="majorHAnsi" w:hAnsiTheme="majorHAnsi"/>
                <w:bCs/>
                <w:noProof w:val="0"/>
                <w:sz w:val="20"/>
                <w:szCs w:val="20"/>
                <w:lang w:eastAsia="es-ES"/>
              </w:rPr>
              <w:t>SUR</w:t>
            </w:r>
            <w:r w:rsidRPr="009234B7">
              <w:rPr>
                <w:rFonts w:asciiTheme="majorHAnsi" w:hAnsiTheme="majorHAnsi"/>
                <w:bCs/>
                <w:noProof w:val="0"/>
                <w:sz w:val="20"/>
                <w:szCs w:val="20"/>
                <w:lang w:eastAsia="es-ES"/>
              </w:rPr>
              <w:t>)</w:t>
            </w:r>
          </w:p>
        </w:tc>
      </w:tr>
      <w:tr w:rsidR="00A24179" w:rsidRPr="009234B7" w14:paraId="79A5B539" w14:textId="77777777" w:rsidTr="0074464F">
        <w:tc>
          <w:tcPr>
            <w:tcW w:w="3600" w:type="dxa"/>
            <w:tcBorders>
              <w:top w:val="single" w:sz="6" w:space="0" w:color="auto"/>
              <w:bottom w:val="single" w:sz="6" w:space="0" w:color="auto"/>
            </w:tcBorders>
            <w:shd w:val="clear" w:color="auto" w:fill="386294"/>
            <w:vAlign w:val="center"/>
          </w:tcPr>
          <w:p w14:paraId="58FAAE53" w14:textId="77777777" w:rsidR="00A24179" w:rsidRPr="009234B7" w:rsidRDefault="00541079" w:rsidP="00A24179">
            <w:pPr>
              <w:jc w:val="center"/>
              <w:rPr>
                <w:rFonts w:asciiTheme="majorHAnsi" w:hAnsiTheme="majorHAnsi"/>
                <w:b/>
                <w:bCs/>
                <w:noProof w:val="0"/>
                <w:color w:val="FFFFFF" w:themeColor="background1"/>
                <w:sz w:val="20"/>
                <w:szCs w:val="20"/>
              </w:rPr>
            </w:pPr>
            <w:sdt>
              <w:sdtPr>
                <w:rPr>
                  <w:rFonts w:asciiTheme="majorHAnsi" w:hAnsiTheme="majorHAnsi"/>
                  <w:b/>
                  <w:bCs/>
                  <w:noProof w:val="0"/>
                  <w:color w:val="FFFFFF" w:themeColor="background1"/>
                  <w:sz w:val="20"/>
                  <w:szCs w:val="20"/>
                </w:rPr>
                <w:alias w:val="Elegir una opción"/>
                <w:tag w:val="Elegir una opción"/>
                <w:id w:val="931095713"/>
                <w:placeholder>
                  <w:docPart w:val="5657627907CB4FF2B74FE239B14B7826"/>
                </w:placeholder>
                <w:dropDownList>
                  <w:listItem w:value="Choose an item."/>
                  <w:listItem w:displayText="Presunta víctima" w:value="Presunta víctima"/>
                  <w:listItem w:displayText="Presuntas víctimas" w:value="Presuntas víctimas"/>
                </w:dropDownList>
              </w:sdtPr>
              <w:sdtEndPr/>
              <w:sdtContent>
                <w:r w:rsidR="00A24179" w:rsidRPr="009234B7">
                  <w:rPr>
                    <w:rFonts w:asciiTheme="majorHAnsi" w:hAnsiTheme="majorHAnsi"/>
                    <w:b/>
                    <w:bCs/>
                    <w:noProof w:val="0"/>
                    <w:color w:val="FFFFFF" w:themeColor="background1"/>
                    <w:sz w:val="20"/>
                    <w:szCs w:val="20"/>
                  </w:rPr>
                  <w:t>Presunta víctima</w:t>
                </w:r>
              </w:sdtContent>
            </w:sdt>
            <w:r w:rsidR="00A24179" w:rsidRPr="009234B7">
              <w:rPr>
                <w:rFonts w:asciiTheme="majorHAnsi" w:hAnsiTheme="majorHAnsi"/>
                <w:b/>
                <w:bCs/>
                <w:noProof w:val="0"/>
                <w:color w:val="FFFFFF" w:themeColor="background1"/>
                <w:sz w:val="20"/>
                <w:szCs w:val="20"/>
              </w:rPr>
              <w:t>:</w:t>
            </w:r>
          </w:p>
        </w:tc>
        <w:tc>
          <w:tcPr>
            <w:tcW w:w="5760" w:type="dxa"/>
            <w:vAlign w:val="center"/>
          </w:tcPr>
          <w:p w14:paraId="23FE9BA4" w14:textId="5FC7A11D" w:rsidR="00A24179" w:rsidRPr="009234B7" w:rsidRDefault="00E10E28" w:rsidP="00A24179">
            <w:pPr>
              <w:jc w:val="both"/>
              <w:rPr>
                <w:rFonts w:asciiTheme="majorHAnsi" w:hAnsiTheme="majorHAnsi"/>
                <w:bCs/>
                <w:noProof w:val="0"/>
                <w:sz w:val="20"/>
                <w:szCs w:val="20"/>
              </w:rPr>
            </w:pPr>
            <w:r>
              <w:rPr>
                <w:rFonts w:asciiTheme="majorHAnsi" w:hAnsiTheme="majorHAnsi"/>
                <w:bCs/>
                <w:noProof w:val="0"/>
                <w:sz w:val="20"/>
                <w:szCs w:val="20"/>
                <w:lang w:eastAsia="es-ES"/>
              </w:rPr>
              <w:t>Noventa y siete</w:t>
            </w:r>
            <w:r w:rsidR="00A24179" w:rsidRPr="009234B7">
              <w:rPr>
                <w:rFonts w:asciiTheme="majorHAnsi" w:hAnsiTheme="majorHAnsi"/>
                <w:bCs/>
                <w:noProof w:val="0"/>
                <w:sz w:val="20"/>
                <w:szCs w:val="20"/>
                <w:lang w:eastAsia="es-ES"/>
              </w:rPr>
              <w:t xml:space="preserve"> </w:t>
            </w:r>
            <w:r w:rsidR="009344C2" w:rsidRPr="009234B7">
              <w:rPr>
                <w:rFonts w:asciiTheme="majorHAnsi" w:hAnsiTheme="majorHAnsi"/>
                <w:bCs/>
                <w:noProof w:val="0"/>
                <w:sz w:val="20"/>
                <w:szCs w:val="20"/>
                <w:lang w:eastAsia="es-ES"/>
              </w:rPr>
              <w:t>integrantes</w:t>
            </w:r>
            <w:r w:rsidR="00A24179" w:rsidRPr="009234B7">
              <w:rPr>
                <w:rFonts w:asciiTheme="majorHAnsi" w:hAnsiTheme="majorHAnsi"/>
                <w:bCs/>
                <w:noProof w:val="0"/>
                <w:sz w:val="20"/>
                <w:szCs w:val="20"/>
                <w:lang w:eastAsia="es-ES"/>
              </w:rPr>
              <w:t xml:space="preserve"> </w:t>
            </w:r>
            <w:r w:rsidR="009C7CDB" w:rsidRPr="009234B7">
              <w:rPr>
                <w:rFonts w:asciiTheme="majorHAnsi" w:hAnsiTheme="majorHAnsi"/>
                <w:bCs/>
                <w:noProof w:val="0"/>
                <w:sz w:val="20"/>
                <w:szCs w:val="20"/>
                <w:lang w:eastAsia="es-ES"/>
              </w:rPr>
              <w:t xml:space="preserve">de </w:t>
            </w:r>
            <w:r w:rsidR="009344C2" w:rsidRPr="009234B7">
              <w:rPr>
                <w:rFonts w:asciiTheme="majorHAnsi" w:hAnsiTheme="majorHAnsi"/>
                <w:bCs/>
                <w:noProof w:val="0"/>
                <w:sz w:val="20"/>
                <w:szCs w:val="20"/>
                <w:lang w:eastAsia="es-ES"/>
              </w:rPr>
              <w:t>SINTRASUR</w:t>
            </w:r>
            <w:r w:rsidR="00A24179" w:rsidRPr="009234B7">
              <w:rPr>
                <w:rStyle w:val="FootnoteReference"/>
                <w:rFonts w:asciiTheme="majorHAnsi" w:hAnsiTheme="majorHAnsi"/>
                <w:bCs/>
                <w:noProof w:val="0"/>
                <w:sz w:val="20"/>
                <w:szCs w:val="20"/>
                <w:lang w:eastAsia="es-ES"/>
              </w:rPr>
              <w:footnoteReference w:id="2"/>
            </w:r>
          </w:p>
        </w:tc>
      </w:tr>
      <w:tr w:rsidR="00A24179" w:rsidRPr="009234B7" w14:paraId="45362DF7" w14:textId="77777777" w:rsidTr="0074464F">
        <w:tc>
          <w:tcPr>
            <w:tcW w:w="3600" w:type="dxa"/>
            <w:tcBorders>
              <w:top w:val="single" w:sz="6" w:space="0" w:color="auto"/>
              <w:bottom w:val="single" w:sz="6" w:space="0" w:color="auto"/>
            </w:tcBorders>
            <w:shd w:val="clear" w:color="auto" w:fill="386294"/>
            <w:vAlign w:val="center"/>
          </w:tcPr>
          <w:p w14:paraId="652632F5" w14:textId="77777777" w:rsidR="00A24179" w:rsidRPr="009234B7" w:rsidRDefault="00A24179" w:rsidP="00A24179">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Estado denunciado:</w:t>
            </w:r>
          </w:p>
        </w:tc>
        <w:tc>
          <w:tcPr>
            <w:tcW w:w="5760" w:type="dxa"/>
            <w:vAlign w:val="center"/>
          </w:tcPr>
          <w:p w14:paraId="057DC689" w14:textId="5FC63727" w:rsidR="00A24179" w:rsidRPr="009234B7" w:rsidRDefault="00A24179" w:rsidP="00A24179">
            <w:pPr>
              <w:jc w:val="both"/>
              <w:rPr>
                <w:rFonts w:asciiTheme="majorHAnsi" w:hAnsiTheme="majorHAnsi"/>
                <w:bCs/>
                <w:noProof w:val="0"/>
                <w:sz w:val="20"/>
                <w:szCs w:val="20"/>
              </w:rPr>
            </w:pPr>
            <w:r w:rsidRPr="009234B7">
              <w:rPr>
                <w:rFonts w:asciiTheme="majorHAnsi" w:hAnsiTheme="majorHAnsi"/>
                <w:bCs/>
                <w:noProof w:val="0"/>
                <w:sz w:val="20"/>
                <w:szCs w:val="20"/>
              </w:rPr>
              <w:t>Perú</w:t>
            </w:r>
            <w:r w:rsidRPr="009234B7">
              <w:rPr>
                <w:rStyle w:val="FootnoteReference"/>
                <w:rFonts w:asciiTheme="majorHAnsi" w:hAnsiTheme="majorHAnsi"/>
                <w:bCs/>
                <w:noProof w:val="0"/>
                <w:sz w:val="20"/>
                <w:szCs w:val="20"/>
              </w:rPr>
              <w:footnoteReference w:id="3"/>
            </w:r>
          </w:p>
        </w:tc>
      </w:tr>
      <w:tr w:rsidR="00A24179" w:rsidRPr="009234B7" w14:paraId="4329FE9B" w14:textId="77777777" w:rsidTr="0074464F">
        <w:tc>
          <w:tcPr>
            <w:tcW w:w="3600" w:type="dxa"/>
            <w:tcBorders>
              <w:top w:val="single" w:sz="6" w:space="0" w:color="auto"/>
              <w:bottom w:val="single" w:sz="6" w:space="0" w:color="auto"/>
            </w:tcBorders>
            <w:shd w:val="clear" w:color="auto" w:fill="386294"/>
            <w:vAlign w:val="center"/>
          </w:tcPr>
          <w:p w14:paraId="4A8E3F69" w14:textId="77777777" w:rsidR="00A24179" w:rsidRPr="009234B7" w:rsidRDefault="00A24179" w:rsidP="00A24179">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Derechos invocados:</w:t>
            </w:r>
          </w:p>
        </w:tc>
        <w:tc>
          <w:tcPr>
            <w:tcW w:w="5760" w:type="dxa"/>
            <w:vAlign w:val="center"/>
          </w:tcPr>
          <w:p w14:paraId="4E238173" w14:textId="3F8C98B3" w:rsidR="00A24179" w:rsidRPr="009234B7" w:rsidRDefault="009344C2" w:rsidP="00D84565">
            <w:pPr>
              <w:jc w:val="both"/>
              <w:rPr>
                <w:rFonts w:asciiTheme="majorHAnsi" w:hAnsiTheme="majorHAnsi"/>
                <w:bCs/>
                <w:noProof w:val="0"/>
                <w:sz w:val="20"/>
                <w:szCs w:val="20"/>
              </w:rPr>
            </w:pPr>
            <w:r w:rsidRPr="009234B7">
              <w:rPr>
                <w:rFonts w:asciiTheme="majorHAnsi" w:hAnsiTheme="majorHAnsi"/>
                <w:bCs/>
                <w:noProof w:val="0"/>
                <w:sz w:val="20"/>
                <w:szCs w:val="20"/>
              </w:rPr>
              <w:t xml:space="preserve">Artículos 8 (garantías judiciales), 21 (propiedad privada), </w:t>
            </w:r>
            <w:r w:rsidR="00D84565" w:rsidRPr="009234B7">
              <w:rPr>
                <w:rFonts w:asciiTheme="majorHAnsi" w:hAnsiTheme="majorHAnsi"/>
                <w:bCs/>
                <w:noProof w:val="0"/>
                <w:sz w:val="20"/>
                <w:szCs w:val="20"/>
              </w:rPr>
              <w:t xml:space="preserve">24 (igualdad ante la ley) y 25 (protección judicial) de la </w:t>
            </w:r>
            <w:r w:rsidR="00A24179" w:rsidRPr="009234B7">
              <w:rPr>
                <w:rFonts w:asciiTheme="majorHAnsi" w:hAnsiTheme="majorHAnsi"/>
                <w:bCs/>
                <w:noProof w:val="0"/>
                <w:sz w:val="20"/>
                <w:szCs w:val="20"/>
              </w:rPr>
              <w:t>Convención Americana sobre Derechos Humanos</w:t>
            </w:r>
            <w:r w:rsidR="00A24179" w:rsidRPr="009234B7">
              <w:rPr>
                <w:rStyle w:val="FootnoteReference"/>
                <w:rFonts w:asciiTheme="majorHAnsi" w:hAnsiTheme="majorHAnsi"/>
                <w:bCs/>
                <w:noProof w:val="0"/>
                <w:sz w:val="20"/>
                <w:szCs w:val="20"/>
              </w:rPr>
              <w:footnoteReference w:id="4"/>
            </w:r>
            <w:r w:rsidR="00D84565" w:rsidRPr="009234B7">
              <w:rPr>
                <w:rFonts w:asciiTheme="majorHAnsi" w:hAnsiTheme="majorHAnsi"/>
                <w:bCs/>
                <w:noProof w:val="0"/>
                <w:sz w:val="20"/>
                <w:szCs w:val="20"/>
              </w:rPr>
              <w:t xml:space="preserve"> </w:t>
            </w:r>
            <w:r w:rsidR="0099433A" w:rsidRPr="009234B7">
              <w:rPr>
                <w:rFonts w:asciiTheme="majorHAnsi" w:hAnsiTheme="majorHAnsi"/>
                <w:bCs/>
                <w:noProof w:val="0"/>
                <w:sz w:val="20"/>
                <w:szCs w:val="20"/>
              </w:rPr>
              <w:t>en relación con su artículo 1.1. (obligación de respetar los derechos)</w:t>
            </w:r>
            <w:r w:rsidR="006704A5" w:rsidRPr="009234B7">
              <w:rPr>
                <w:rFonts w:asciiTheme="majorHAnsi" w:hAnsiTheme="majorHAnsi"/>
                <w:bCs/>
                <w:noProof w:val="0"/>
                <w:sz w:val="20"/>
                <w:szCs w:val="20"/>
              </w:rPr>
              <w:t xml:space="preserve"> y 2 (deber de adoptar disposiciones de derecho interno)</w:t>
            </w:r>
            <w:r w:rsidR="00267E65" w:rsidRPr="009234B7">
              <w:rPr>
                <w:rFonts w:asciiTheme="majorHAnsi" w:hAnsiTheme="majorHAnsi"/>
                <w:bCs/>
                <w:noProof w:val="0"/>
                <w:sz w:val="20"/>
                <w:szCs w:val="20"/>
              </w:rPr>
              <w:t xml:space="preserve">; y </w:t>
            </w:r>
            <w:r w:rsidR="002F51AD">
              <w:rPr>
                <w:rFonts w:asciiTheme="majorHAnsi" w:hAnsiTheme="majorHAnsi"/>
                <w:bCs/>
                <w:noProof w:val="0"/>
                <w:sz w:val="20"/>
                <w:szCs w:val="20"/>
              </w:rPr>
              <w:t>otros tratados internacionales</w:t>
            </w:r>
            <w:r w:rsidR="002F51AD">
              <w:rPr>
                <w:rStyle w:val="FootnoteReference"/>
                <w:rFonts w:asciiTheme="majorHAnsi" w:hAnsiTheme="majorHAnsi"/>
                <w:bCs/>
                <w:noProof w:val="0"/>
                <w:sz w:val="20"/>
                <w:szCs w:val="20"/>
              </w:rPr>
              <w:footnoteReference w:id="5"/>
            </w:r>
            <w:r w:rsidR="00EA4419" w:rsidRPr="009234B7">
              <w:rPr>
                <w:rFonts w:asciiTheme="majorHAnsi" w:hAnsiTheme="majorHAnsi"/>
                <w:bCs/>
                <w:noProof w:val="0"/>
                <w:sz w:val="20"/>
                <w:szCs w:val="20"/>
              </w:rPr>
              <w:t xml:space="preserve"> </w:t>
            </w:r>
          </w:p>
        </w:tc>
      </w:tr>
    </w:tbl>
    <w:p w14:paraId="3D195461" w14:textId="77777777" w:rsidR="000673D0" w:rsidRPr="009234B7" w:rsidRDefault="000673D0" w:rsidP="000673D0">
      <w:pPr>
        <w:spacing w:before="240" w:after="240"/>
        <w:ind w:firstLine="720"/>
        <w:jc w:val="both"/>
        <w:rPr>
          <w:rFonts w:asciiTheme="majorHAnsi" w:hAnsiTheme="majorHAnsi"/>
          <w:b/>
          <w:bCs/>
          <w:noProof w:val="0"/>
          <w:sz w:val="20"/>
          <w:szCs w:val="20"/>
        </w:rPr>
      </w:pPr>
      <w:r w:rsidRPr="009234B7">
        <w:rPr>
          <w:rFonts w:asciiTheme="majorHAnsi" w:hAnsiTheme="majorHAnsi"/>
          <w:b/>
          <w:bCs/>
          <w:noProof w:val="0"/>
          <w:sz w:val="20"/>
          <w:szCs w:val="20"/>
        </w:rPr>
        <w:t>II.</w:t>
      </w:r>
      <w:r w:rsidRPr="009234B7">
        <w:rPr>
          <w:rFonts w:asciiTheme="majorHAnsi" w:hAnsiTheme="majorHAnsi"/>
          <w:b/>
          <w:bCs/>
          <w:noProof w:val="0"/>
          <w:sz w:val="20"/>
          <w:szCs w:val="20"/>
        </w:rPr>
        <w:tab/>
        <w:t>TRÁMITE ANTE LA CIDH</w:t>
      </w:r>
      <w:r w:rsidRPr="009234B7">
        <w:rPr>
          <w:rStyle w:val="FootnoteReference"/>
          <w:rFonts w:asciiTheme="majorHAnsi" w:hAnsiTheme="majorHAnsi"/>
          <w:b/>
          <w:noProof w:val="0"/>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234B7" w14:paraId="6D778EBA" w14:textId="77777777" w:rsidTr="0074464F">
        <w:tc>
          <w:tcPr>
            <w:tcW w:w="3600" w:type="dxa"/>
            <w:tcBorders>
              <w:top w:val="single" w:sz="6" w:space="0" w:color="auto"/>
              <w:bottom w:val="single" w:sz="6" w:space="0" w:color="auto"/>
            </w:tcBorders>
            <w:shd w:val="clear" w:color="auto" w:fill="386294"/>
            <w:vAlign w:val="center"/>
          </w:tcPr>
          <w:p w14:paraId="0FC6DF70"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Presentación de la petición:</w:t>
            </w:r>
          </w:p>
        </w:tc>
        <w:tc>
          <w:tcPr>
            <w:tcW w:w="5760" w:type="dxa"/>
            <w:vAlign w:val="center"/>
          </w:tcPr>
          <w:p w14:paraId="5B768921" w14:textId="18549BB3" w:rsidR="000673D0" w:rsidRPr="009234B7" w:rsidRDefault="003F4411" w:rsidP="00D84565">
            <w:pPr>
              <w:jc w:val="both"/>
              <w:rPr>
                <w:rFonts w:asciiTheme="majorHAnsi" w:hAnsiTheme="majorHAnsi"/>
                <w:bCs/>
                <w:noProof w:val="0"/>
                <w:sz w:val="20"/>
                <w:szCs w:val="20"/>
              </w:rPr>
            </w:pPr>
            <w:r w:rsidRPr="009234B7">
              <w:rPr>
                <w:rFonts w:asciiTheme="majorHAnsi" w:hAnsiTheme="majorHAnsi"/>
                <w:bCs/>
                <w:noProof w:val="0"/>
                <w:sz w:val="20"/>
                <w:szCs w:val="20"/>
              </w:rPr>
              <w:t>5</w:t>
            </w:r>
            <w:r w:rsidR="003E77F5" w:rsidRPr="009234B7">
              <w:rPr>
                <w:rFonts w:asciiTheme="majorHAnsi" w:hAnsiTheme="majorHAnsi"/>
                <w:bCs/>
                <w:noProof w:val="0"/>
                <w:sz w:val="20"/>
                <w:szCs w:val="20"/>
              </w:rPr>
              <w:t xml:space="preserve"> de diciembre de 2012</w:t>
            </w:r>
          </w:p>
        </w:tc>
      </w:tr>
      <w:tr w:rsidR="00A87C67" w:rsidRPr="009234B7" w14:paraId="416D9840" w14:textId="77777777" w:rsidTr="0074464F">
        <w:tc>
          <w:tcPr>
            <w:tcW w:w="3600" w:type="dxa"/>
            <w:tcBorders>
              <w:top w:val="single" w:sz="6" w:space="0" w:color="auto"/>
              <w:bottom w:val="single" w:sz="6" w:space="0" w:color="auto"/>
            </w:tcBorders>
            <w:shd w:val="clear" w:color="auto" w:fill="386294"/>
            <w:vAlign w:val="center"/>
          </w:tcPr>
          <w:p w14:paraId="39131047" w14:textId="7B5F9890" w:rsidR="00A87C67" w:rsidRPr="009234B7" w:rsidRDefault="00A87C67" w:rsidP="00A87C67">
            <w:pPr>
              <w:jc w:val="center"/>
              <w:rPr>
                <w:rFonts w:asciiTheme="majorHAnsi" w:hAnsiTheme="majorHAnsi"/>
                <w:b/>
                <w:bCs/>
                <w:noProof w:val="0"/>
                <w:color w:val="FFFFFF" w:themeColor="background1"/>
                <w:sz w:val="20"/>
                <w:szCs w:val="20"/>
              </w:rPr>
            </w:pPr>
            <w:r w:rsidRPr="009234B7">
              <w:rPr>
                <w:rFonts w:asciiTheme="majorHAnsi" w:hAnsiTheme="majorHAnsi"/>
                <w:b/>
                <w:noProof w:val="0"/>
                <w:color w:val="FFFFFF" w:themeColor="background1"/>
                <w:sz w:val="20"/>
                <w:szCs w:val="20"/>
              </w:rPr>
              <w:t>Notificación de la petición al Estado:</w:t>
            </w:r>
          </w:p>
        </w:tc>
        <w:tc>
          <w:tcPr>
            <w:tcW w:w="5760" w:type="dxa"/>
            <w:vAlign w:val="center"/>
          </w:tcPr>
          <w:p w14:paraId="2B6449BD" w14:textId="4535EDFD" w:rsidR="00A87C67" w:rsidRPr="009234B7" w:rsidRDefault="00A87C67" w:rsidP="00A87C67">
            <w:pPr>
              <w:jc w:val="both"/>
              <w:rPr>
                <w:rFonts w:asciiTheme="majorHAnsi" w:hAnsiTheme="majorHAnsi"/>
                <w:bCs/>
                <w:noProof w:val="0"/>
                <w:sz w:val="20"/>
                <w:szCs w:val="20"/>
              </w:rPr>
            </w:pPr>
            <w:r w:rsidRPr="009234B7">
              <w:rPr>
                <w:rFonts w:asciiTheme="majorHAnsi" w:hAnsiTheme="majorHAnsi"/>
                <w:bCs/>
                <w:noProof w:val="0"/>
                <w:sz w:val="20"/>
                <w:szCs w:val="20"/>
              </w:rPr>
              <w:t>28 de diciembre de 2017</w:t>
            </w:r>
          </w:p>
        </w:tc>
      </w:tr>
      <w:tr w:rsidR="00A87C67" w:rsidRPr="009234B7" w14:paraId="5511A9CE" w14:textId="77777777" w:rsidTr="0074464F">
        <w:tc>
          <w:tcPr>
            <w:tcW w:w="3600" w:type="dxa"/>
            <w:tcBorders>
              <w:top w:val="single" w:sz="6" w:space="0" w:color="auto"/>
              <w:bottom w:val="single" w:sz="6" w:space="0" w:color="auto"/>
            </w:tcBorders>
            <w:shd w:val="clear" w:color="auto" w:fill="386294"/>
            <w:vAlign w:val="center"/>
          </w:tcPr>
          <w:p w14:paraId="1EAB6A50" w14:textId="013ABA73" w:rsidR="00A87C67" w:rsidRPr="009234B7" w:rsidRDefault="00A87C67" w:rsidP="00A87C67">
            <w:pPr>
              <w:jc w:val="center"/>
              <w:rPr>
                <w:rFonts w:asciiTheme="majorHAnsi" w:hAnsiTheme="majorHAnsi"/>
                <w:b/>
                <w:noProof w:val="0"/>
                <w:color w:val="FFFFFF" w:themeColor="background1"/>
                <w:sz w:val="20"/>
                <w:szCs w:val="20"/>
              </w:rPr>
            </w:pPr>
            <w:r w:rsidRPr="009234B7">
              <w:rPr>
                <w:rFonts w:asciiTheme="majorHAnsi" w:hAnsiTheme="majorHAnsi"/>
                <w:b/>
                <w:noProof w:val="0"/>
                <w:color w:val="FFFFFF" w:themeColor="background1"/>
                <w:sz w:val="20"/>
                <w:szCs w:val="20"/>
              </w:rPr>
              <w:t>Primera respuesta del Estado:</w:t>
            </w:r>
          </w:p>
        </w:tc>
        <w:tc>
          <w:tcPr>
            <w:tcW w:w="5760" w:type="dxa"/>
            <w:vAlign w:val="center"/>
          </w:tcPr>
          <w:p w14:paraId="311A328A" w14:textId="43765BDD" w:rsidR="00A87C67" w:rsidRPr="009234B7" w:rsidRDefault="00F40F91" w:rsidP="00A87C67">
            <w:pPr>
              <w:jc w:val="both"/>
              <w:rPr>
                <w:rFonts w:asciiTheme="majorHAnsi" w:hAnsiTheme="majorHAnsi"/>
                <w:bCs/>
                <w:noProof w:val="0"/>
                <w:sz w:val="20"/>
                <w:szCs w:val="20"/>
              </w:rPr>
            </w:pPr>
            <w:r w:rsidRPr="009234B7">
              <w:rPr>
                <w:rFonts w:asciiTheme="majorHAnsi" w:hAnsiTheme="majorHAnsi"/>
                <w:bCs/>
                <w:noProof w:val="0"/>
                <w:sz w:val="20"/>
                <w:szCs w:val="20"/>
              </w:rPr>
              <w:t>2 de abril de 2018</w:t>
            </w:r>
          </w:p>
        </w:tc>
      </w:tr>
      <w:tr w:rsidR="00A87C67" w:rsidRPr="009234B7" w14:paraId="474D175D" w14:textId="77777777" w:rsidTr="0074464F">
        <w:tc>
          <w:tcPr>
            <w:tcW w:w="3600" w:type="dxa"/>
            <w:tcBorders>
              <w:top w:val="single" w:sz="6" w:space="0" w:color="auto"/>
              <w:bottom w:val="single" w:sz="6" w:space="0" w:color="auto"/>
            </w:tcBorders>
            <w:shd w:val="clear" w:color="auto" w:fill="386294"/>
            <w:vAlign w:val="center"/>
          </w:tcPr>
          <w:p w14:paraId="21AC1D3A" w14:textId="7C0DA0B3" w:rsidR="00A87C67" w:rsidRPr="009234B7" w:rsidRDefault="00A87C67" w:rsidP="00A87C67">
            <w:pPr>
              <w:jc w:val="center"/>
              <w:rPr>
                <w:rFonts w:asciiTheme="majorHAnsi" w:hAnsiTheme="majorHAnsi"/>
                <w:b/>
                <w:noProof w:val="0"/>
                <w:color w:val="FFFFFF" w:themeColor="background1"/>
                <w:sz w:val="20"/>
                <w:szCs w:val="20"/>
              </w:rPr>
            </w:pPr>
            <w:r w:rsidRPr="009234B7">
              <w:rPr>
                <w:rFonts w:asciiTheme="majorHAnsi" w:hAnsiTheme="majorHAnsi"/>
                <w:b/>
                <w:noProof w:val="0"/>
                <w:color w:val="FFFFFF" w:themeColor="background1"/>
                <w:sz w:val="20"/>
                <w:szCs w:val="20"/>
              </w:rPr>
              <w:t>Observaciones adicionales de la parte peticionaria:</w:t>
            </w:r>
          </w:p>
        </w:tc>
        <w:tc>
          <w:tcPr>
            <w:tcW w:w="5760" w:type="dxa"/>
            <w:vAlign w:val="center"/>
          </w:tcPr>
          <w:p w14:paraId="62EA084B" w14:textId="0DB03682" w:rsidR="00A87C67" w:rsidRPr="009234B7" w:rsidRDefault="00F40F91" w:rsidP="00A87C67">
            <w:pPr>
              <w:jc w:val="both"/>
              <w:rPr>
                <w:rFonts w:asciiTheme="majorHAnsi" w:hAnsiTheme="majorHAnsi"/>
                <w:bCs/>
                <w:noProof w:val="0"/>
                <w:sz w:val="20"/>
                <w:szCs w:val="20"/>
              </w:rPr>
            </w:pPr>
            <w:r w:rsidRPr="009234B7">
              <w:rPr>
                <w:rFonts w:asciiTheme="majorHAnsi" w:hAnsiTheme="majorHAnsi"/>
                <w:bCs/>
                <w:noProof w:val="0"/>
                <w:sz w:val="20"/>
                <w:szCs w:val="20"/>
              </w:rPr>
              <w:t>9 de enero de 2019</w:t>
            </w:r>
            <w:r w:rsidR="00716E5F" w:rsidRPr="009234B7">
              <w:rPr>
                <w:rFonts w:asciiTheme="majorHAnsi" w:hAnsiTheme="majorHAnsi"/>
                <w:bCs/>
                <w:noProof w:val="0"/>
                <w:sz w:val="20"/>
                <w:szCs w:val="20"/>
              </w:rPr>
              <w:t xml:space="preserve"> </w:t>
            </w:r>
            <w:r w:rsidRPr="009234B7">
              <w:rPr>
                <w:rFonts w:asciiTheme="majorHAnsi" w:hAnsiTheme="majorHAnsi"/>
                <w:bCs/>
                <w:noProof w:val="0"/>
                <w:sz w:val="20"/>
                <w:szCs w:val="20"/>
              </w:rPr>
              <w:t>y 31 de enero de 2021</w:t>
            </w:r>
          </w:p>
        </w:tc>
      </w:tr>
      <w:tr w:rsidR="00A87C67" w:rsidRPr="009234B7" w14:paraId="58B337BF" w14:textId="77777777" w:rsidTr="00514859">
        <w:tc>
          <w:tcPr>
            <w:tcW w:w="3600" w:type="dxa"/>
            <w:tcBorders>
              <w:top w:val="single" w:sz="6" w:space="0" w:color="auto"/>
              <w:bottom w:val="single" w:sz="6" w:space="0" w:color="auto"/>
            </w:tcBorders>
            <w:shd w:val="clear" w:color="auto" w:fill="386294"/>
          </w:tcPr>
          <w:p w14:paraId="1278269A" w14:textId="3158F554" w:rsidR="00A87C67" w:rsidRPr="009234B7" w:rsidRDefault="00A87C67" w:rsidP="00A87C67">
            <w:pPr>
              <w:jc w:val="center"/>
              <w:rPr>
                <w:rFonts w:asciiTheme="majorHAnsi" w:hAnsiTheme="majorHAnsi"/>
                <w:b/>
                <w:noProof w:val="0"/>
                <w:color w:val="FFFFFF" w:themeColor="background1"/>
                <w:sz w:val="20"/>
                <w:szCs w:val="20"/>
              </w:rPr>
            </w:pPr>
            <w:r w:rsidRPr="009234B7">
              <w:rPr>
                <w:rFonts w:asciiTheme="majorHAnsi" w:hAnsiTheme="majorHAnsi"/>
                <w:b/>
                <w:noProof w:val="0"/>
                <w:color w:val="FFFFFF" w:themeColor="background1"/>
                <w:sz w:val="20"/>
                <w:szCs w:val="20"/>
              </w:rPr>
              <w:t>Observaciones adicionales del Estado:</w:t>
            </w:r>
          </w:p>
        </w:tc>
        <w:tc>
          <w:tcPr>
            <w:tcW w:w="5760" w:type="dxa"/>
            <w:vAlign w:val="center"/>
          </w:tcPr>
          <w:p w14:paraId="266DADD9" w14:textId="4DCBA18B" w:rsidR="00A87C67" w:rsidRPr="009234B7" w:rsidRDefault="00F40F91" w:rsidP="00A87C67">
            <w:pPr>
              <w:jc w:val="both"/>
              <w:rPr>
                <w:rFonts w:asciiTheme="majorHAnsi" w:hAnsiTheme="majorHAnsi"/>
                <w:bCs/>
                <w:noProof w:val="0"/>
                <w:sz w:val="20"/>
                <w:szCs w:val="20"/>
              </w:rPr>
            </w:pPr>
            <w:r w:rsidRPr="009234B7">
              <w:rPr>
                <w:rFonts w:asciiTheme="majorHAnsi" w:hAnsiTheme="majorHAnsi"/>
                <w:bCs/>
                <w:noProof w:val="0"/>
                <w:sz w:val="20"/>
                <w:szCs w:val="20"/>
              </w:rPr>
              <w:t>10 de octubre de 2019</w:t>
            </w:r>
            <w:r w:rsidR="000C36BA" w:rsidRPr="009234B7">
              <w:rPr>
                <w:rStyle w:val="FootnoteReference"/>
                <w:rFonts w:asciiTheme="majorHAnsi" w:hAnsiTheme="majorHAnsi"/>
                <w:bCs/>
                <w:noProof w:val="0"/>
                <w:sz w:val="20"/>
                <w:szCs w:val="20"/>
              </w:rPr>
              <w:footnoteReference w:id="7"/>
            </w:r>
            <w:r w:rsidR="000C36BA" w:rsidRPr="009234B7">
              <w:rPr>
                <w:rFonts w:asciiTheme="majorHAnsi" w:hAnsiTheme="majorHAnsi"/>
                <w:bCs/>
                <w:noProof w:val="0"/>
                <w:sz w:val="20"/>
                <w:szCs w:val="20"/>
              </w:rPr>
              <w:t xml:space="preserve"> </w:t>
            </w:r>
            <w:r w:rsidRPr="009234B7">
              <w:rPr>
                <w:rFonts w:asciiTheme="majorHAnsi" w:hAnsiTheme="majorHAnsi"/>
                <w:bCs/>
                <w:noProof w:val="0"/>
                <w:sz w:val="20"/>
                <w:szCs w:val="20"/>
              </w:rPr>
              <w:t xml:space="preserve"> y 11 de noviembre de 2020</w:t>
            </w:r>
          </w:p>
        </w:tc>
      </w:tr>
    </w:tbl>
    <w:p w14:paraId="738616C2" w14:textId="77777777" w:rsidR="000673D0" w:rsidRPr="009234B7" w:rsidRDefault="000673D0" w:rsidP="000673D0">
      <w:pPr>
        <w:spacing w:before="240" w:after="240"/>
        <w:ind w:firstLine="720"/>
        <w:jc w:val="both"/>
        <w:rPr>
          <w:rFonts w:asciiTheme="majorHAnsi" w:hAnsiTheme="majorHAnsi"/>
          <w:b/>
          <w:bCs/>
          <w:noProof w:val="0"/>
          <w:sz w:val="20"/>
          <w:szCs w:val="20"/>
        </w:rPr>
      </w:pPr>
      <w:r w:rsidRPr="009234B7">
        <w:rPr>
          <w:rFonts w:asciiTheme="majorHAnsi" w:hAnsiTheme="majorHAnsi"/>
          <w:b/>
          <w:bCs/>
          <w:noProof w:val="0"/>
          <w:sz w:val="20"/>
          <w:szCs w:val="20"/>
        </w:rPr>
        <w:t xml:space="preserve">III. </w:t>
      </w:r>
      <w:r w:rsidRPr="009234B7">
        <w:rPr>
          <w:rFonts w:asciiTheme="majorHAnsi" w:hAnsiTheme="majorHAnsi"/>
          <w:b/>
          <w:bCs/>
          <w:noProof w:val="0"/>
          <w:sz w:val="20"/>
          <w:szCs w:val="20"/>
        </w:rPr>
        <w:tab/>
        <w:t xml:space="preserve">COMPETENCIA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2"/>
        <w:gridCol w:w="5865"/>
      </w:tblGrid>
      <w:tr w:rsidR="000673D0" w:rsidRPr="009234B7" w14:paraId="3225DD29" w14:textId="77777777" w:rsidTr="00FA7195">
        <w:trPr>
          <w:cantSplit/>
        </w:trPr>
        <w:tc>
          <w:tcPr>
            <w:tcW w:w="3562" w:type="dxa"/>
            <w:tcBorders>
              <w:top w:val="single" w:sz="4" w:space="0" w:color="auto"/>
              <w:bottom w:val="single" w:sz="6" w:space="0" w:color="auto"/>
            </w:tcBorders>
            <w:shd w:val="clear" w:color="auto" w:fill="386294"/>
            <w:vAlign w:val="center"/>
          </w:tcPr>
          <w:p w14:paraId="7A2417B8" w14:textId="77777777" w:rsidR="000673D0" w:rsidRPr="009234B7" w:rsidRDefault="000673D0" w:rsidP="0074464F">
            <w:pPr>
              <w:jc w:val="center"/>
              <w:rPr>
                <w:rFonts w:asciiTheme="majorHAnsi" w:hAnsiTheme="majorHAnsi"/>
                <w:b/>
                <w:bCs/>
                <w:i/>
                <w:noProof w:val="0"/>
                <w:color w:val="FFFFFF" w:themeColor="background1"/>
                <w:sz w:val="20"/>
                <w:szCs w:val="20"/>
              </w:rPr>
            </w:pPr>
            <w:r w:rsidRPr="009234B7">
              <w:rPr>
                <w:rFonts w:asciiTheme="majorHAnsi" w:hAnsiTheme="majorHAnsi"/>
                <w:b/>
                <w:bCs/>
                <w:noProof w:val="0"/>
                <w:color w:val="FFFFFF" w:themeColor="background1"/>
                <w:sz w:val="20"/>
                <w:szCs w:val="20"/>
              </w:rPr>
              <w:t>Competencia</w:t>
            </w:r>
            <w:r w:rsidRPr="009234B7">
              <w:rPr>
                <w:rFonts w:asciiTheme="majorHAnsi" w:hAnsiTheme="majorHAnsi"/>
                <w:b/>
                <w:bCs/>
                <w:i/>
                <w:noProof w:val="0"/>
                <w:color w:val="FFFFFF" w:themeColor="background1"/>
                <w:sz w:val="20"/>
                <w:szCs w:val="20"/>
              </w:rPr>
              <w:t xml:space="preserve"> Ratione personae:</w:t>
            </w:r>
          </w:p>
        </w:tc>
        <w:tc>
          <w:tcPr>
            <w:tcW w:w="5865" w:type="dxa"/>
            <w:vAlign w:val="center"/>
          </w:tcPr>
          <w:p w14:paraId="55AEE8CD" w14:textId="77777777" w:rsidR="000673D0" w:rsidRPr="009234B7" w:rsidRDefault="000673D0" w:rsidP="0074464F">
            <w:pPr>
              <w:rPr>
                <w:rFonts w:asciiTheme="majorHAnsi" w:hAnsiTheme="majorHAnsi"/>
                <w:bCs/>
                <w:noProof w:val="0"/>
                <w:sz w:val="20"/>
                <w:szCs w:val="20"/>
              </w:rPr>
            </w:pPr>
            <w:r w:rsidRPr="009234B7">
              <w:rPr>
                <w:rFonts w:asciiTheme="majorHAnsi" w:hAnsiTheme="majorHAnsi"/>
                <w:bCs/>
                <w:noProof w:val="0"/>
                <w:sz w:val="20"/>
                <w:szCs w:val="20"/>
              </w:rPr>
              <w:t>Sí</w:t>
            </w:r>
          </w:p>
        </w:tc>
      </w:tr>
      <w:tr w:rsidR="000673D0" w:rsidRPr="009234B7" w14:paraId="10BCE6F2" w14:textId="77777777" w:rsidTr="00FA7195">
        <w:trPr>
          <w:cantSplit/>
        </w:trPr>
        <w:tc>
          <w:tcPr>
            <w:tcW w:w="3562" w:type="dxa"/>
            <w:tcBorders>
              <w:top w:val="single" w:sz="6" w:space="0" w:color="auto"/>
              <w:bottom w:val="single" w:sz="6" w:space="0" w:color="auto"/>
            </w:tcBorders>
            <w:shd w:val="clear" w:color="auto" w:fill="386294"/>
            <w:vAlign w:val="center"/>
          </w:tcPr>
          <w:p w14:paraId="71A23BD1"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Competencia</w:t>
            </w:r>
            <w:r w:rsidRPr="009234B7">
              <w:rPr>
                <w:rFonts w:asciiTheme="majorHAnsi" w:hAnsiTheme="majorHAnsi"/>
                <w:b/>
                <w:bCs/>
                <w:i/>
                <w:noProof w:val="0"/>
                <w:color w:val="FFFFFF" w:themeColor="background1"/>
                <w:sz w:val="20"/>
                <w:szCs w:val="20"/>
              </w:rPr>
              <w:t xml:space="preserve"> Ratione loci</w:t>
            </w:r>
            <w:r w:rsidRPr="009234B7">
              <w:rPr>
                <w:rFonts w:asciiTheme="majorHAnsi" w:hAnsiTheme="majorHAnsi"/>
                <w:b/>
                <w:bCs/>
                <w:noProof w:val="0"/>
                <w:color w:val="FFFFFF" w:themeColor="background1"/>
                <w:sz w:val="20"/>
                <w:szCs w:val="20"/>
              </w:rPr>
              <w:t>:</w:t>
            </w:r>
          </w:p>
        </w:tc>
        <w:tc>
          <w:tcPr>
            <w:tcW w:w="5865" w:type="dxa"/>
            <w:vAlign w:val="center"/>
          </w:tcPr>
          <w:p w14:paraId="77DDBD87" w14:textId="77777777" w:rsidR="000673D0" w:rsidRPr="009234B7" w:rsidRDefault="000673D0" w:rsidP="0074464F">
            <w:pPr>
              <w:rPr>
                <w:rFonts w:asciiTheme="majorHAnsi" w:hAnsiTheme="majorHAnsi"/>
                <w:bCs/>
                <w:noProof w:val="0"/>
                <w:sz w:val="20"/>
                <w:szCs w:val="20"/>
              </w:rPr>
            </w:pPr>
            <w:r w:rsidRPr="009234B7">
              <w:rPr>
                <w:rFonts w:asciiTheme="majorHAnsi" w:hAnsiTheme="majorHAnsi"/>
                <w:bCs/>
                <w:noProof w:val="0"/>
                <w:sz w:val="20"/>
                <w:szCs w:val="20"/>
              </w:rPr>
              <w:t>Sí</w:t>
            </w:r>
          </w:p>
        </w:tc>
      </w:tr>
      <w:tr w:rsidR="000673D0" w:rsidRPr="009234B7" w14:paraId="351D9A06" w14:textId="77777777" w:rsidTr="00FA7195">
        <w:trPr>
          <w:cantSplit/>
        </w:trPr>
        <w:tc>
          <w:tcPr>
            <w:tcW w:w="3562" w:type="dxa"/>
            <w:tcBorders>
              <w:top w:val="single" w:sz="6" w:space="0" w:color="auto"/>
              <w:bottom w:val="single" w:sz="6" w:space="0" w:color="auto"/>
            </w:tcBorders>
            <w:shd w:val="clear" w:color="auto" w:fill="386294"/>
            <w:vAlign w:val="center"/>
          </w:tcPr>
          <w:p w14:paraId="39F491FA"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Competencia</w:t>
            </w:r>
            <w:r w:rsidRPr="009234B7">
              <w:rPr>
                <w:rFonts w:asciiTheme="majorHAnsi" w:hAnsiTheme="majorHAnsi"/>
                <w:b/>
                <w:bCs/>
                <w:i/>
                <w:noProof w:val="0"/>
                <w:color w:val="FFFFFF" w:themeColor="background1"/>
                <w:sz w:val="20"/>
                <w:szCs w:val="20"/>
              </w:rPr>
              <w:t xml:space="preserve"> Ratione temporis</w:t>
            </w:r>
            <w:r w:rsidRPr="009234B7">
              <w:rPr>
                <w:rFonts w:asciiTheme="majorHAnsi" w:hAnsiTheme="majorHAnsi"/>
                <w:b/>
                <w:bCs/>
                <w:noProof w:val="0"/>
                <w:color w:val="FFFFFF" w:themeColor="background1"/>
                <w:sz w:val="20"/>
                <w:szCs w:val="20"/>
              </w:rPr>
              <w:t>:</w:t>
            </w:r>
          </w:p>
        </w:tc>
        <w:tc>
          <w:tcPr>
            <w:tcW w:w="5865" w:type="dxa"/>
            <w:vAlign w:val="center"/>
          </w:tcPr>
          <w:p w14:paraId="76910945" w14:textId="77777777" w:rsidR="000673D0" w:rsidRPr="009234B7" w:rsidRDefault="000673D0" w:rsidP="0074464F">
            <w:pPr>
              <w:rPr>
                <w:rFonts w:asciiTheme="majorHAnsi" w:hAnsiTheme="majorHAnsi"/>
                <w:bCs/>
                <w:noProof w:val="0"/>
                <w:sz w:val="20"/>
                <w:szCs w:val="20"/>
              </w:rPr>
            </w:pPr>
            <w:r w:rsidRPr="009234B7">
              <w:rPr>
                <w:rFonts w:asciiTheme="majorHAnsi" w:hAnsiTheme="majorHAnsi"/>
                <w:bCs/>
                <w:noProof w:val="0"/>
                <w:sz w:val="20"/>
                <w:szCs w:val="20"/>
              </w:rPr>
              <w:t>Sí</w:t>
            </w:r>
          </w:p>
        </w:tc>
      </w:tr>
      <w:tr w:rsidR="000673D0" w:rsidRPr="009234B7" w14:paraId="160B34C2" w14:textId="77777777" w:rsidTr="00FA7195">
        <w:trPr>
          <w:cantSplit/>
        </w:trPr>
        <w:tc>
          <w:tcPr>
            <w:tcW w:w="3562" w:type="dxa"/>
            <w:tcBorders>
              <w:top w:val="single" w:sz="6" w:space="0" w:color="auto"/>
              <w:bottom w:val="single" w:sz="6" w:space="0" w:color="auto"/>
            </w:tcBorders>
            <w:shd w:val="clear" w:color="auto" w:fill="386294"/>
            <w:vAlign w:val="center"/>
          </w:tcPr>
          <w:p w14:paraId="4BAA98B1"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Competencia</w:t>
            </w:r>
            <w:r w:rsidRPr="009234B7">
              <w:rPr>
                <w:rFonts w:asciiTheme="majorHAnsi" w:hAnsiTheme="majorHAnsi"/>
                <w:b/>
                <w:bCs/>
                <w:i/>
                <w:noProof w:val="0"/>
                <w:color w:val="FFFFFF" w:themeColor="background1"/>
                <w:sz w:val="20"/>
                <w:szCs w:val="20"/>
              </w:rPr>
              <w:t xml:space="preserve"> Ratione materiae</w:t>
            </w:r>
            <w:r w:rsidRPr="009234B7">
              <w:rPr>
                <w:rFonts w:asciiTheme="majorHAnsi" w:hAnsiTheme="majorHAnsi"/>
                <w:b/>
                <w:bCs/>
                <w:noProof w:val="0"/>
                <w:color w:val="FFFFFF" w:themeColor="background1"/>
                <w:sz w:val="20"/>
                <w:szCs w:val="20"/>
              </w:rPr>
              <w:t>:</w:t>
            </w:r>
          </w:p>
        </w:tc>
        <w:tc>
          <w:tcPr>
            <w:tcW w:w="5865" w:type="dxa"/>
            <w:vAlign w:val="center"/>
          </w:tcPr>
          <w:p w14:paraId="6AB0A733" w14:textId="4A18C56C" w:rsidR="000673D0" w:rsidRPr="009234B7" w:rsidRDefault="006E0D53" w:rsidP="0074464F">
            <w:pPr>
              <w:jc w:val="both"/>
              <w:rPr>
                <w:rFonts w:asciiTheme="majorHAnsi" w:hAnsiTheme="majorHAnsi"/>
                <w:bCs/>
                <w:noProof w:val="0"/>
                <w:sz w:val="20"/>
                <w:szCs w:val="20"/>
              </w:rPr>
            </w:pPr>
            <w:r w:rsidRPr="009234B7">
              <w:rPr>
                <w:rFonts w:asciiTheme="majorHAnsi" w:hAnsiTheme="majorHAnsi"/>
                <w:bCs/>
                <w:noProof w:val="0"/>
                <w:sz w:val="20"/>
                <w:szCs w:val="20"/>
              </w:rPr>
              <w:t xml:space="preserve">Sí, Convención Americana (depósito del instrumento </w:t>
            </w:r>
            <w:r w:rsidR="001A30E7" w:rsidRPr="009234B7">
              <w:rPr>
                <w:rFonts w:asciiTheme="majorHAnsi" w:hAnsiTheme="majorHAnsi"/>
                <w:bCs/>
                <w:noProof w:val="0"/>
                <w:sz w:val="20"/>
                <w:szCs w:val="20"/>
              </w:rPr>
              <w:t xml:space="preserve">de ratificación </w:t>
            </w:r>
            <w:r w:rsidRPr="009234B7">
              <w:rPr>
                <w:rFonts w:asciiTheme="majorHAnsi" w:hAnsiTheme="majorHAnsi"/>
                <w:bCs/>
                <w:noProof w:val="0"/>
                <w:sz w:val="20"/>
                <w:szCs w:val="20"/>
              </w:rPr>
              <w:t>realizado el 28 de julio de 1978)</w:t>
            </w:r>
          </w:p>
        </w:tc>
      </w:tr>
    </w:tbl>
    <w:p w14:paraId="46F3B92A" w14:textId="44E990E7" w:rsidR="000673D0" w:rsidRPr="009234B7" w:rsidRDefault="000673D0" w:rsidP="000673D0">
      <w:pPr>
        <w:spacing w:before="240" w:after="240"/>
        <w:ind w:firstLine="720"/>
        <w:jc w:val="both"/>
        <w:rPr>
          <w:rFonts w:asciiTheme="majorHAnsi" w:hAnsiTheme="majorHAnsi"/>
          <w:b/>
          <w:bCs/>
          <w:noProof w:val="0"/>
          <w:sz w:val="20"/>
          <w:szCs w:val="20"/>
        </w:rPr>
      </w:pPr>
      <w:r w:rsidRPr="009234B7">
        <w:rPr>
          <w:rFonts w:asciiTheme="majorHAnsi" w:hAnsiTheme="majorHAnsi"/>
          <w:b/>
          <w:bCs/>
          <w:noProof w:val="0"/>
          <w:sz w:val="20"/>
          <w:szCs w:val="20"/>
        </w:rPr>
        <w:t xml:space="preserve">IV. </w:t>
      </w:r>
      <w:r w:rsidRPr="009234B7">
        <w:rPr>
          <w:rFonts w:asciiTheme="majorHAnsi" w:hAnsiTheme="majorHAnsi"/>
          <w:b/>
          <w:bCs/>
          <w:noProof w:val="0"/>
          <w:sz w:val="20"/>
          <w:szCs w:val="20"/>
        </w:rPr>
        <w:tab/>
        <w:t>DUPLICACIÓN</w:t>
      </w:r>
      <w:r w:rsidRPr="009234B7">
        <w:rPr>
          <w:rFonts w:asciiTheme="majorHAnsi" w:hAnsiTheme="majorHAnsi"/>
          <w:b/>
          <w:bCs/>
          <w:noProof w:val="0"/>
          <w:color w:val="FFFFFF" w:themeColor="background1"/>
          <w:sz w:val="20"/>
          <w:szCs w:val="20"/>
        </w:rPr>
        <w:t xml:space="preserve"> </w:t>
      </w:r>
      <w:r w:rsidRPr="009234B7">
        <w:rPr>
          <w:rFonts w:asciiTheme="majorHAnsi" w:hAnsiTheme="majorHAnsi"/>
          <w:b/>
          <w:bCs/>
          <w:noProof w:val="0"/>
          <w:sz w:val="20"/>
          <w:szCs w:val="20"/>
        </w:rPr>
        <w:t>DE PROCEDIMIENTOS Y COSA JUZGADA</w:t>
      </w:r>
      <w:r w:rsidRPr="009234B7">
        <w:rPr>
          <w:rFonts w:asciiTheme="majorHAnsi" w:hAnsiTheme="majorHAnsi"/>
          <w:b/>
          <w:bCs/>
          <w:i/>
          <w:noProof w:val="0"/>
          <w:sz w:val="20"/>
          <w:szCs w:val="20"/>
        </w:rPr>
        <w:t xml:space="preserve"> </w:t>
      </w:r>
      <w:r w:rsidR="00CB7301" w:rsidRPr="009234B7">
        <w:rPr>
          <w:rFonts w:asciiTheme="majorHAnsi" w:hAnsiTheme="majorHAnsi"/>
          <w:b/>
          <w:bCs/>
          <w:noProof w:val="0"/>
          <w:sz w:val="20"/>
          <w:szCs w:val="20"/>
        </w:rPr>
        <w:t>INTERNACIONAL, CARACTERIZACIÓN</w:t>
      </w:r>
      <w:r w:rsidRPr="009234B7">
        <w:rPr>
          <w:rFonts w:asciiTheme="majorHAnsi" w:hAnsiTheme="majorHAnsi"/>
          <w:b/>
          <w:bCs/>
          <w:noProof w:val="0"/>
          <w:sz w:val="20"/>
          <w:szCs w:val="20"/>
        </w:rPr>
        <w:t xml:space="preserve">, </w:t>
      </w:r>
      <w:r w:rsidRPr="009234B7">
        <w:rPr>
          <w:rFonts w:asciiTheme="majorHAnsi" w:hAnsiTheme="majorHAnsi"/>
          <w:b/>
          <w:noProof w:val="0"/>
          <w:sz w:val="20"/>
          <w:szCs w:val="20"/>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5"/>
        <w:gridCol w:w="5862"/>
      </w:tblGrid>
      <w:tr w:rsidR="000673D0" w:rsidRPr="009234B7" w14:paraId="3755C687" w14:textId="77777777" w:rsidTr="00153541">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Duplicación de procedimientos y cosa juzgada internacional:</w:t>
            </w:r>
          </w:p>
        </w:tc>
        <w:tc>
          <w:tcPr>
            <w:tcW w:w="5862" w:type="dxa"/>
            <w:vAlign w:val="center"/>
          </w:tcPr>
          <w:p w14:paraId="72801941" w14:textId="77777777" w:rsidR="000673D0" w:rsidRPr="009234B7" w:rsidRDefault="000673D0" w:rsidP="0074464F">
            <w:pPr>
              <w:jc w:val="both"/>
              <w:rPr>
                <w:rFonts w:asciiTheme="majorHAnsi" w:hAnsiTheme="majorHAnsi"/>
                <w:bCs/>
                <w:noProof w:val="0"/>
                <w:sz w:val="20"/>
                <w:szCs w:val="20"/>
              </w:rPr>
            </w:pPr>
            <w:r w:rsidRPr="009234B7">
              <w:rPr>
                <w:rFonts w:asciiTheme="majorHAnsi" w:hAnsiTheme="majorHAnsi"/>
                <w:bCs/>
                <w:noProof w:val="0"/>
                <w:sz w:val="20"/>
                <w:szCs w:val="20"/>
              </w:rPr>
              <w:t>No</w:t>
            </w:r>
          </w:p>
        </w:tc>
      </w:tr>
      <w:tr w:rsidR="000673D0" w:rsidRPr="009234B7" w14:paraId="5733AA78" w14:textId="77777777" w:rsidTr="00153541">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9234B7" w:rsidRDefault="000673D0" w:rsidP="0074464F">
            <w:pPr>
              <w:jc w:val="center"/>
              <w:rPr>
                <w:rFonts w:asciiTheme="majorHAnsi" w:hAnsiTheme="majorHAnsi"/>
                <w:b/>
                <w:bCs/>
                <w:i/>
                <w:noProof w:val="0"/>
                <w:color w:val="FFFFFF" w:themeColor="background1"/>
                <w:sz w:val="20"/>
                <w:szCs w:val="20"/>
              </w:rPr>
            </w:pPr>
            <w:r w:rsidRPr="009234B7">
              <w:rPr>
                <w:rFonts w:asciiTheme="majorHAnsi" w:hAnsiTheme="majorHAnsi"/>
                <w:b/>
                <w:bCs/>
                <w:noProof w:val="0"/>
                <w:color w:val="FFFFFF" w:themeColor="background1"/>
                <w:sz w:val="20"/>
                <w:szCs w:val="20"/>
              </w:rPr>
              <w:t>Derechos declarados admisibles</w:t>
            </w:r>
            <w:r w:rsidRPr="009234B7">
              <w:rPr>
                <w:rFonts w:asciiTheme="majorHAnsi" w:hAnsiTheme="majorHAnsi"/>
                <w:b/>
                <w:bCs/>
                <w:i/>
                <w:noProof w:val="0"/>
                <w:color w:val="FFFFFF" w:themeColor="background1"/>
                <w:sz w:val="20"/>
                <w:szCs w:val="20"/>
              </w:rPr>
              <w:t>:</w:t>
            </w:r>
          </w:p>
        </w:tc>
        <w:tc>
          <w:tcPr>
            <w:tcW w:w="5862" w:type="dxa"/>
            <w:vAlign w:val="center"/>
          </w:tcPr>
          <w:p w14:paraId="5EB169C6" w14:textId="73C34FFC" w:rsidR="000673D0" w:rsidRPr="009234B7" w:rsidRDefault="00CF34A3" w:rsidP="0074464F">
            <w:pPr>
              <w:jc w:val="both"/>
              <w:rPr>
                <w:rFonts w:asciiTheme="majorHAnsi" w:hAnsiTheme="majorHAnsi"/>
                <w:bCs/>
                <w:noProof w:val="0"/>
                <w:sz w:val="20"/>
                <w:szCs w:val="20"/>
              </w:rPr>
            </w:pPr>
            <w:r>
              <w:rPr>
                <w:rFonts w:asciiTheme="majorHAnsi" w:hAnsiTheme="majorHAnsi"/>
                <w:bCs/>
                <w:noProof w:val="0"/>
                <w:sz w:val="20"/>
                <w:szCs w:val="20"/>
              </w:rPr>
              <w:t>Ninguno</w:t>
            </w:r>
          </w:p>
        </w:tc>
      </w:tr>
      <w:tr w:rsidR="000673D0" w:rsidRPr="009234B7" w14:paraId="56C738B6" w14:textId="77777777" w:rsidTr="00153541">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Agotamiento de recursos internos o procedencia de una excepción:</w:t>
            </w:r>
          </w:p>
        </w:tc>
        <w:tc>
          <w:tcPr>
            <w:tcW w:w="5862" w:type="dxa"/>
            <w:vAlign w:val="center"/>
          </w:tcPr>
          <w:p w14:paraId="7B5A6AFC" w14:textId="5D791AFC" w:rsidR="000673D0" w:rsidRPr="009234B7" w:rsidRDefault="0027522A" w:rsidP="0074464F">
            <w:pPr>
              <w:rPr>
                <w:rFonts w:asciiTheme="majorHAnsi" w:hAnsiTheme="majorHAnsi"/>
                <w:bCs/>
                <w:noProof w:val="0"/>
                <w:sz w:val="20"/>
                <w:szCs w:val="20"/>
              </w:rPr>
            </w:pPr>
            <w:r w:rsidRPr="009234B7">
              <w:rPr>
                <w:rFonts w:asciiTheme="majorHAnsi" w:hAnsiTheme="majorHAnsi"/>
                <w:bCs/>
                <w:noProof w:val="0"/>
                <w:sz w:val="20"/>
                <w:szCs w:val="20"/>
              </w:rPr>
              <w:t>Sí</w:t>
            </w:r>
            <w:r w:rsidR="006E0D53" w:rsidRPr="009234B7">
              <w:rPr>
                <w:rFonts w:asciiTheme="majorHAnsi" w:hAnsiTheme="majorHAnsi"/>
                <w:bCs/>
                <w:noProof w:val="0"/>
                <w:sz w:val="20"/>
                <w:szCs w:val="20"/>
              </w:rPr>
              <w:t>, en los términos de la Sección VI</w:t>
            </w:r>
          </w:p>
        </w:tc>
      </w:tr>
      <w:tr w:rsidR="000673D0" w:rsidRPr="009234B7" w14:paraId="64377EF5" w14:textId="77777777" w:rsidTr="00153541">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9234B7" w:rsidRDefault="000673D0" w:rsidP="0074464F">
            <w:pPr>
              <w:jc w:val="center"/>
              <w:rPr>
                <w:rFonts w:asciiTheme="majorHAnsi" w:hAnsiTheme="majorHAnsi"/>
                <w:b/>
                <w:bCs/>
                <w:noProof w:val="0"/>
                <w:color w:val="FFFFFF" w:themeColor="background1"/>
                <w:sz w:val="20"/>
                <w:szCs w:val="20"/>
              </w:rPr>
            </w:pPr>
            <w:r w:rsidRPr="009234B7">
              <w:rPr>
                <w:rFonts w:asciiTheme="majorHAnsi" w:hAnsiTheme="majorHAnsi"/>
                <w:b/>
                <w:bCs/>
                <w:noProof w:val="0"/>
                <w:color w:val="FFFFFF" w:themeColor="background1"/>
                <w:sz w:val="20"/>
                <w:szCs w:val="20"/>
              </w:rPr>
              <w:t>Presentación dentro de plazo:</w:t>
            </w:r>
          </w:p>
        </w:tc>
        <w:tc>
          <w:tcPr>
            <w:tcW w:w="5862" w:type="dxa"/>
            <w:vAlign w:val="center"/>
          </w:tcPr>
          <w:p w14:paraId="6D2FF784" w14:textId="6C954EC1" w:rsidR="000673D0" w:rsidRPr="009234B7" w:rsidRDefault="0027522A" w:rsidP="0074464F">
            <w:pPr>
              <w:rPr>
                <w:rFonts w:asciiTheme="majorHAnsi" w:hAnsiTheme="majorHAnsi"/>
                <w:bCs/>
                <w:noProof w:val="0"/>
                <w:sz w:val="20"/>
                <w:szCs w:val="20"/>
              </w:rPr>
            </w:pPr>
            <w:r w:rsidRPr="009234B7">
              <w:rPr>
                <w:rFonts w:asciiTheme="majorHAnsi" w:hAnsiTheme="majorHAnsi"/>
                <w:bCs/>
                <w:noProof w:val="0"/>
                <w:sz w:val="20"/>
                <w:szCs w:val="20"/>
              </w:rPr>
              <w:t>Sí</w:t>
            </w:r>
            <w:r w:rsidR="006E0D53" w:rsidRPr="009234B7">
              <w:rPr>
                <w:rFonts w:asciiTheme="majorHAnsi" w:hAnsiTheme="majorHAnsi"/>
                <w:bCs/>
                <w:noProof w:val="0"/>
                <w:sz w:val="20"/>
                <w:szCs w:val="20"/>
              </w:rPr>
              <w:t>, en los términos de la Sección VI</w:t>
            </w:r>
          </w:p>
        </w:tc>
      </w:tr>
    </w:tbl>
    <w:p w14:paraId="18E6423B" w14:textId="77777777" w:rsidR="003239B8" w:rsidRPr="001F2F1A" w:rsidRDefault="00223A29" w:rsidP="003239B8">
      <w:pPr>
        <w:spacing w:before="240" w:after="240"/>
        <w:ind w:firstLine="720"/>
        <w:jc w:val="both"/>
        <w:rPr>
          <w:rFonts w:asciiTheme="majorHAnsi" w:hAnsiTheme="majorHAnsi"/>
          <w:b/>
          <w:noProof w:val="0"/>
          <w:sz w:val="20"/>
          <w:szCs w:val="20"/>
          <w:lang w:val="es-ES_tradnl"/>
        </w:rPr>
      </w:pPr>
      <w:r w:rsidRPr="001F2F1A">
        <w:rPr>
          <w:rFonts w:asciiTheme="majorHAnsi" w:hAnsiTheme="majorHAnsi"/>
          <w:b/>
          <w:noProof w:val="0"/>
          <w:sz w:val="20"/>
          <w:szCs w:val="20"/>
          <w:lang w:val="es-ES_tradnl"/>
        </w:rPr>
        <w:t xml:space="preserve">V. </w:t>
      </w:r>
      <w:r w:rsidRPr="001F2F1A">
        <w:rPr>
          <w:rFonts w:asciiTheme="majorHAnsi" w:hAnsiTheme="majorHAnsi"/>
          <w:b/>
          <w:noProof w:val="0"/>
          <w:sz w:val="20"/>
          <w:szCs w:val="20"/>
          <w:lang w:val="es-ES_tradnl"/>
        </w:rPr>
        <w:tab/>
      </w:r>
      <w:r w:rsidR="003239B8" w:rsidRPr="001F2F1A">
        <w:rPr>
          <w:rFonts w:asciiTheme="majorHAnsi" w:hAnsiTheme="majorHAnsi"/>
          <w:b/>
          <w:noProof w:val="0"/>
          <w:sz w:val="20"/>
          <w:szCs w:val="20"/>
          <w:lang w:val="es-ES_tradnl"/>
        </w:rPr>
        <w:t xml:space="preserve">HECHOS ALEGADOS </w:t>
      </w:r>
    </w:p>
    <w:p w14:paraId="6604C3CC" w14:textId="50B204DE" w:rsidR="00D26E66" w:rsidRPr="001F2F1A" w:rsidRDefault="00A96C5E" w:rsidP="00F412C1">
      <w:pPr>
        <w:pStyle w:val="ListParagraph"/>
        <w:numPr>
          <w:ilvl w:val="0"/>
          <w:numId w:val="55"/>
        </w:numPr>
        <w:jc w:val="both"/>
        <w:rPr>
          <w:rFonts w:asciiTheme="majorHAnsi" w:hAnsiTheme="majorHAnsi"/>
          <w:bCs/>
          <w:sz w:val="20"/>
          <w:szCs w:val="20"/>
          <w:lang w:val="es-ES_tradnl"/>
        </w:rPr>
      </w:pPr>
      <w:r w:rsidRPr="001F2F1A">
        <w:rPr>
          <w:rFonts w:asciiTheme="majorHAnsi" w:hAnsiTheme="majorHAnsi"/>
          <w:sz w:val="20"/>
          <w:szCs w:val="20"/>
          <w:lang w:val="es-ES_tradnl"/>
        </w:rPr>
        <w:t xml:space="preserve">La parte peticionaria denuncia que el Estado </w:t>
      </w:r>
      <w:r w:rsidR="00FB3EC9" w:rsidRPr="001F2F1A">
        <w:rPr>
          <w:rFonts w:asciiTheme="majorHAnsi" w:hAnsiTheme="majorHAnsi"/>
          <w:sz w:val="20"/>
          <w:szCs w:val="20"/>
          <w:lang w:val="es-ES_tradnl"/>
        </w:rPr>
        <w:t>violó</w:t>
      </w:r>
      <w:r w:rsidRPr="001F2F1A">
        <w:rPr>
          <w:rFonts w:asciiTheme="majorHAnsi" w:hAnsiTheme="majorHAnsi"/>
          <w:sz w:val="20"/>
          <w:szCs w:val="20"/>
          <w:lang w:val="es-ES_tradnl"/>
        </w:rPr>
        <w:t xml:space="preserve"> los derechos </w:t>
      </w:r>
      <w:r w:rsidR="00113D1B" w:rsidRPr="001F2F1A">
        <w:rPr>
          <w:rFonts w:asciiTheme="majorHAnsi" w:hAnsiTheme="majorHAnsi"/>
          <w:sz w:val="20"/>
          <w:szCs w:val="20"/>
          <w:lang w:val="es-ES_tradnl"/>
        </w:rPr>
        <w:t>humanos</w:t>
      </w:r>
      <w:r w:rsidR="000F4A1A" w:rsidRPr="001F2F1A">
        <w:rPr>
          <w:rFonts w:asciiTheme="majorHAnsi" w:hAnsiTheme="majorHAnsi"/>
          <w:sz w:val="20"/>
          <w:szCs w:val="20"/>
          <w:lang w:val="es-ES_tradnl"/>
        </w:rPr>
        <w:t xml:space="preserve"> </w:t>
      </w:r>
      <w:r w:rsidRPr="001F2F1A">
        <w:rPr>
          <w:rFonts w:asciiTheme="majorHAnsi" w:hAnsiTheme="majorHAnsi"/>
          <w:sz w:val="20"/>
          <w:szCs w:val="20"/>
          <w:lang w:val="es-ES_tradnl"/>
        </w:rPr>
        <w:t xml:space="preserve">de </w:t>
      </w:r>
      <w:r w:rsidR="00356971" w:rsidRPr="001F2F1A">
        <w:rPr>
          <w:rFonts w:asciiTheme="majorHAnsi" w:hAnsiTheme="majorHAnsi"/>
          <w:sz w:val="20"/>
          <w:szCs w:val="20"/>
          <w:lang w:val="es-ES_tradnl"/>
        </w:rPr>
        <w:t>noventa y siete</w:t>
      </w:r>
      <w:r w:rsidRPr="001F2F1A">
        <w:rPr>
          <w:rFonts w:asciiTheme="majorHAnsi" w:hAnsiTheme="majorHAnsi"/>
          <w:sz w:val="20"/>
          <w:szCs w:val="20"/>
          <w:lang w:val="es-ES_tradnl"/>
        </w:rPr>
        <w:t xml:space="preserve"> integrantes del </w:t>
      </w:r>
      <w:r w:rsidRPr="001F2F1A">
        <w:rPr>
          <w:rFonts w:asciiTheme="majorHAnsi" w:hAnsiTheme="majorHAnsi"/>
          <w:bCs/>
          <w:sz w:val="20"/>
          <w:szCs w:val="20"/>
          <w:lang w:val="es-ES_tradnl"/>
        </w:rPr>
        <w:t>Sindicato de Trabajadores Aduaneros del Sur (en adelante “SINTRASUR”)</w:t>
      </w:r>
      <w:r w:rsidR="007E31D8" w:rsidRPr="001F2F1A">
        <w:rPr>
          <w:rFonts w:asciiTheme="majorHAnsi" w:hAnsiTheme="majorHAnsi"/>
          <w:sz w:val="20"/>
          <w:szCs w:val="20"/>
          <w:lang w:val="es-ES_tradnl"/>
        </w:rPr>
        <w:t xml:space="preserve">, </w:t>
      </w:r>
      <w:r w:rsidR="000F274A" w:rsidRPr="001F2F1A">
        <w:rPr>
          <w:rFonts w:asciiTheme="majorHAnsi" w:hAnsiTheme="majorHAnsi"/>
          <w:sz w:val="20"/>
          <w:szCs w:val="20"/>
          <w:lang w:val="es-ES_tradnl"/>
        </w:rPr>
        <w:t>pues</w:t>
      </w:r>
      <w:r w:rsidR="00757DD4" w:rsidRPr="001F2F1A">
        <w:rPr>
          <w:rFonts w:asciiTheme="majorHAnsi" w:hAnsiTheme="majorHAnsi"/>
          <w:sz w:val="20"/>
          <w:szCs w:val="20"/>
          <w:lang w:val="es-ES_tradnl"/>
        </w:rPr>
        <w:t xml:space="preserve"> el Tribunal Constitucional</w:t>
      </w:r>
      <w:r w:rsidR="007E31D8" w:rsidRPr="001F2F1A">
        <w:rPr>
          <w:rFonts w:asciiTheme="majorHAnsi" w:hAnsiTheme="majorHAnsi"/>
          <w:sz w:val="20"/>
          <w:szCs w:val="20"/>
          <w:lang w:val="es-ES_tradnl"/>
        </w:rPr>
        <w:t xml:space="preserve"> </w:t>
      </w:r>
      <w:r w:rsidR="00F95AF3" w:rsidRPr="001F2F1A">
        <w:rPr>
          <w:rFonts w:asciiTheme="majorHAnsi" w:hAnsiTheme="majorHAnsi"/>
          <w:sz w:val="20"/>
          <w:szCs w:val="20"/>
          <w:lang w:val="es-ES_tradnl"/>
        </w:rPr>
        <w:t>modificó</w:t>
      </w:r>
      <w:r w:rsidR="00757DD4" w:rsidRPr="001F2F1A">
        <w:rPr>
          <w:rFonts w:asciiTheme="majorHAnsi" w:hAnsiTheme="majorHAnsi"/>
          <w:sz w:val="20"/>
          <w:szCs w:val="20"/>
          <w:lang w:val="es-ES_tradnl"/>
        </w:rPr>
        <w:t xml:space="preserve">, en su perjuicio y de manera indebida, </w:t>
      </w:r>
      <w:r w:rsidR="007E31D8" w:rsidRPr="001F2F1A">
        <w:rPr>
          <w:rFonts w:asciiTheme="majorHAnsi" w:hAnsiTheme="majorHAnsi"/>
          <w:sz w:val="20"/>
          <w:szCs w:val="20"/>
          <w:lang w:val="es-ES_tradnl"/>
        </w:rPr>
        <w:t xml:space="preserve">la </w:t>
      </w:r>
      <w:r w:rsidR="00FB3EC9" w:rsidRPr="001F2F1A">
        <w:rPr>
          <w:rFonts w:asciiTheme="majorHAnsi" w:hAnsiTheme="majorHAnsi"/>
          <w:sz w:val="20"/>
          <w:szCs w:val="20"/>
          <w:lang w:val="es-ES_tradnl"/>
        </w:rPr>
        <w:t xml:space="preserve">sentencia judicial definitiva que </w:t>
      </w:r>
      <w:r w:rsidR="000F4A1A" w:rsidRPr="001F2F1A">
        <w:rPr>
          <w:rFonts w:asciiTheme="majorHAnsi" w:hAnsiTheme="majorHAnsi"/>
          <w:sz w:val="20"/>
          <w:szCs w:val="20"/>
          <w:lang w:val="es-ES_tradnl"/>
        </w:rPr>
        <w:t xml:space="preserve">ordenó que </w:t>
      </w:r>
      <w:r w:rsidR="003C1333" w:rsidRPr="001F2F1A">
        <w:rPr>
          <w:rFonts w:asciiTheme="majorHAnsi" w:hAnsiTheme="majorHAnsi"/>
          <w:sz w:val="20"/>
          <w:szCs w:val="20"/>
          <w:lang w:val="es-ES_tradnl"/>
        </w:rPr>
        <w:t xml:space="preserve">sus </w:t>
      </w:r>
      <w:r w:rsidR="000F4A1A" w:rsidRPr="001F2F1A">
        <w:rPr>
          <w:rFonts w:asciiTheme="majorHAnsi" w:hAnsiTheme="majorHAnsi"/>
          <w:sz w:val="20"/>
          <w:szCs w:val="20"/>
          <w:lang w:val="es-ES_tradnl"/>
        </w:rPr>
        <w:t>remuneraciones fueran homologadas a l</w:t>
      </w:r>
      <w:r w:rsidR="00742C48" w:rsidRPr="001F2F1A">
        <w:rPr>
          <w:rFonts w:asciiTheme="majorHAnsi" w:hAnsiTheme="majorHAnsi"/>
          <w:sz w:val="20"/>
          <w:szCs w:val="20"/>
          <w:lang w:val="es-ES_tradnl"/>
        </w:rPr>
        <w:t xml:space="preserve">os salarios </w:t>
      </w:r>
      <w:r w:rsidR="000F4A1A" w:rsidRPr="001F2F1A">
        <w:rPr>
          <w:rFonts w:asciiTheme="majorHAnsi" w:hAnsiTheme="majorHAnsi"/>
          <w:sz w:val="20"/>
          <w:szCs w:val="20"/>
          <w:lang w:val="es-ES_tradnl"/>
        </w:rPr>
        <w:t>de</w:t>
      </w:r>
      <w:r w:rsidR="00FB3EC9" w:rsidRPr="001F2F1A">
        <w:rPr>
          <w:rFonts w:asciiTheme="majorHAnsi" w:hAnsiTheme="majorHAnsi"/>
          <w:sz w:val="20"/>
          <w:szCs w:val="20"/>
          <w:lang w:val="es-ES_tradnl"/>
        </w:rPr>
        <w:t xml:space="preserve"> los servidores de la</w:t>
      </w:r>
      <w:r w:rsidR="00773BFC" w:rsidRPr="001F2F1A">
        <w:rPr>
          <w:rFonts w:asciiTheme="majorHAnsi" w:hAnsiTheme="majorHAnsi"/>
          <w:sz w:val="20"/>
          <w:szCs w:val="20"/>
          <w:lang w:val="es-ES_tradnl"/>
        </w:rPr>
        <w:t xml:space="preserve"> Superintendencia Nacional de Administración Tributaria (en adelante “SUNAT”),</w:t>
      </w:r>
      <w:r w:rsidR="00FB3EC9" w:rsidRPr="001F2F1A">
        <w:rPr>
          <w:rFonts w:asciiTheme="majorHAnsi" w:hAnsiTheme="majorHAnsi"/>
          <w:sz w:val="20"/>
          <w:szCs w:val="20"/>
          <w:lang w:val="es-ES_tradnl"/>
        </w:rPr>
        <w:t xml:space="preserve"> institución pública </w:t>
      </w:r>
      <w:r w:rsidR="00773BFC" w:rsidRPr="001F2F1A">
        <w:rPr>
          <w:rFonts w:asciiTheme="majorHAnsi" w:hAnsiTheme="majorHAnsi"/>
          <w:sz w:val="20"/>
          <w:szCs w:val="20"/>
          <w:lang w:val="es-ES_tradnl"/>
        </w:rPr>
        <w:t xml:space="preserve">en la </w:t>
      </w:r>
      <w:r w:rsidR="00FB3EC9" w:rsidRPr="001F2F1A">
        <w:rPr>
          <w:rFonts w:asciiTheme="majorHAnsi" w:hAnsiTheme="majorHAnsi"/>
          <w:sz w:val="20"/>
          <w:szCs w:val="20"/>
          <w:lang w:val="es-ES_tradnl"/>
        </w:rPr>
        <w:t>que se les incorporó</w:t>
      </w:r>
      <w:r w:rsidR="00D97F0A" w:rsidRPr="001F2F1A">
        <w:rPr>
          <w:rFonts w:asciiTheme="majorHAnsi" w:hAnsiTheme="majorHAnsi"/>
          <w:sz w:val="20"/>
          <w:szCs w:val="20"/>
          <w:lang w:val="es-ES_tradnl"/>
        </w:rPr>
        <w:t>.</w:t>
      </w:r>
      <w:r w:rsidR="001E67A8" w:rsidRPr="001F2F1A">
        <w:rPr>
          <w:rFonts w:asciiTheme="majorHAnsi" w:hAnsiTheme="majorHAnsi"/>
          <w:sz w:val="20"/>
          <w:szCs w:val="20"/>
          <w:lang w:val="es-ES_tradnl"/>
        </w:rPr>
        <w:t xml:space="preserve"> </w:t>
      </w:r>
    </w:p>
    <w:p w14:paraId="58718B12" w14:textId="77777777" w:rsidR="001E67A8" w:rsidRPr="001F2F1A" w:rsidRDefault="001E67A8" w:rsidP="001E67A8">
      <w:pPr>
        <w:pStyle w:val="ListParagraph"/>
        <w:jc w:val="both"/>
        <w:rPr>
          <w:rFonts w:asciiTheme="majorHAnsi" w:hAnsiTheme="majorHAnsi"/>
          <w:bCs/>
          <w:sz w:val="20"/>
          <w:szCs w:val="20"/>
          <w:lang w:val="es-ES_tradnl"/>
        </w:rPr>
      </w:pPr>
    </w:p>
    <w:p w14:paraId="7AE6BBBD" w14:textId="0DBE74AC" w:rsidR="00D26E66" w:rsidRPr="001F2F1A" w:rsidRDefault="00D26E66" w:rsidP="00D26E66">
      <w:pPr>
        <w:ind w:firstLine="720"/>
        <w:jc w:val="both"/>
        <w:rPr>
          <w:rFonts w:asciiTheme="majorHAnsi" w:hAnsiTheme="majorHAnsi"/>
          <w:bCs/>
          <w:i/>
          <w:iCs/>
          <w:sz w:val="20"/>
          <w:szCs w:val="20"/>
          <w:lang w:val="es-ES_tradnl"/>
        </w:rPr>
      </w:pPr>
      <w:r w:rsidRPr="001F2F1A">
        <w:rPr>
          <w:rFonts w:asciiTheme="majorHAnsi" w:hAnsiTheme="majorHAnsi"/>
          <w:bCs/>
          <w:i/>
          <w:iCs/>
          <w:sz w:val="20"/>
          <w:szCs w:val="20"/>
          <w:lang w:val="es-ES_tradnl"/>
        </w:rPr>
        <w:t>Situación de los trabajadores de la SUNAT y SUNAD</w:t>
      </w:r>
    </w:p>
    <w:p w14:paraId="7266DBA2" w14:textId="77777777" w:rsidR="006704A5" w:rsidRPr="001F2F1A" w:rsidRDefault="006704A5" w:rsidP="006704A5">
      <w:pPr>
        <w:jc w:val="both"/>
        <w:rPr>
          <w:rFonts w:asciiTheme="majorHAnsi" w:hAnsiTheme="majorHAnsi"/>
          <w:bCs/>
          <w:noProof w:val="0"/>
          <w:sz w:val="20"/>
          <w:szCs w:val="20"/>
          <w:lang w:val="es-ES_tradnl"/>
        </w:rPr>
      </w:pPr>
    </w:p>
    <w:p w14:paraId="72F7F043" w14:textId="1D5D9ED6" w:rsidR="00C309FA" w:rsidRPr="001F2F1A" w:rsidRDefault="002A4B7D" w:rsidP="008216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w:t>
      </w:r>
      <w:r w:rsidR="003A6EE5" w:rsidRPr="001F2F1A">
        <w:rPr>
          <w:rFonts w:asciiTheme="majorHAnsi" w:hAnsiTheme="majorHAnsi"/>
          <w:noProof w:val="0"/>
          <w:sz w:val="20"/>
          <w:szCs w:val="20"/>
          <w:lang w:val="es-ES_tradnl"/>
        </w:rPr>
        <w:t>l 12 de junio de 20</w:t>
      </w:r>
      <w:r w:rsidR="00015EE3" w:rsidRPr="001F2F1A">
        <w:rPr>
          <w:rFonts w:asciiTheme="majorHAnsi" w:hAnsiTheme="majorHAnsi"/>
          <w:noProof w:val="0"/>
          <w:sz w:val="20"/>
          <w:szCs w:val="20"/>
          <w:lang w:val="es-ES_tradnl"/>
        </w:rPr>
        <w:t>0</w:t>
      </w:r>
      <w:r w:rsidR="003A6EE5" w:rsidRPr="001F2F1A">
        <w:rPr>
          <w:rFonts w:asciiTheme="majorHAnsi" w:hAnsiTheme="majorHAnsi"/>
          <w:noProof w:val="0"/>
          <w:sz w:val="20"/>
          <w:szCs w:val="20"/>
          <w:lang w:val="es-ES_tradnl"/>
        </w:rPr>
        <w:t>2</w:t>
      </w:r>
      <w:r w:rsidR="002F5874" w:rsidRPr="001F2F1A">
        <w:rPr>
          <w:rFonts w:asciiTheme="majorHAnsi" w:hAnsiTheme="majorHAnsi"/>
          <w:noProof w:val="0"/>
          <w:sz w:val="20"/>
          <w:szCs w:val="20"/>
          <w:lang w:val="es-ES_tradnl"/>
        </w:rPr>
        <w:t xml:space="preserve"> </w:t>
      </w:r>
      <w:r w:rsidR="00C309FA" w:rsidRPr="001F2F1A">
        <w:rPr>
          <w:rFonts w:asciiTheme="majorHAnsi" w:hAnsiTheme="majorHAnsi"/>
          <w:noProof w:val="0"/>
          <w:sz w:val="20"/>
          <w:szCs w:val="20"/>
          <w:lang w:val="es-ES_tradnl"/>
        </w:rPr>
        <w:t xml:space="preserve">el Ministerio de </w:t>
      </w:r>
      <w:r w:rsidR="00356971" w:rsidRPr="001F2F1A">
        <w:rPr>
          <w:rFonts w:asciiTheme="majorHAnsi" w:hAnsiTheme="majorHAnsi"/>
          <w:noProof w:val="0"/>
          <w:sz w:val="20"/>
          <w:szCs w:val="20"/>
          <w:lang w:val="es-ES_tradnl"/>
        </w:rPr>
        <w:t>Economía</w:t>
      </w:r>
      <w:r w:rsidR="00C309FA" w:rsidRPr="001F2F1A">
        <w:rPr>
          <w:rFonts w:asciiTheme="majorHAnsi" w:hAnsiTheme="majorHAnsi"/>
          <w:noProof w:val="0"/>
          <w:sz w:val="20"/>
          <w:szCs w:val="20"/>
          <w:lang w:val="es-ES_tradnl"/>
        </w:rPr>
        <w:t xml:space="preserve"> y Finanzas emitió </w:t>
      </w:r>
      <w:r w:rsidR="003A6EE5" w:rsidRPr="001F2F1A">
        <w:rPr>
          <w:rFonts w:asciiTheme="majorHAnsi" w:hAnsiTheme="majorHAnsi"/>
          <w:noProof w:val="0"/>
          <w:sz w:val="20"/>
          <w:szCs w:val="20"/>
          <w:lang w:val="es-ES_tradnl"/>
        </w:rPr>
        <w:t>el</w:t>
      </w:r>
      <w:r w:rsidR="00C309FA" w:rsidRPr="001F2F1A">
        <w:rPr>
          <w:rFonts w:asciiTheme="majorHAnsi" w:hAnsiTheme="majorHAnsi"/>
          <w:noProof w:val="0"/>
          <w:sz w:val="20"/>
          <w:szCs w:val="20"/>
          <w:lang w:val="es-ES_tradnl"/>
        </w:rPr>
        <w:t xml:space="preserve"> Decreto Supremo </w:t>
      </w:r>
      <w:r w:rsidR="0031577F" w:rsidRPr="001F2F1A">
        <w:rPr>
          <w:rFonts w:asciiTheme="majorHAnsi" w:hAnsiTheme="majorHAnsi"/>
          <w:noProof w:val="0"/>
          <w:sz w:val="20"/>
          <w:szCs w:val="20"/>
          <w:lang w:val="es-ES_tradnl"/>
        </w:rPr>
        <w:t>Nº</w:t>
      </w:r>
      <w:r w:rsidR="007E31D8" w:rsidRPr="001F2F1A">
        <w:rPr>
          <w:rFonts w:asciiTheme="majorHAnsi" w:hAnsiTheme="majorHAnsi"/>
          <w:noProof w:val="0"/>
          <w:sz w:val="20"/>
          <w:szCs w:val="20"/>
          <w:lang w:val="es-ES_tradnl"/>
        </w:rPr>
        <w:t xml:space="preserve"> </w:t>
      </w:r>
      <w:r w:rsidR="00C309FA" w:rsidRPr="001F2F1A">
        <w:rPr>
          <w:rFonts w:asciiTheme="majorHAnsi" w:hAnsiTheme="majorHAnsi"/>
          <w:noProof w:val="0"/>
          <w:sz w:val="20"/>
          <w:szCs w:val="20"/>
          <w:lang w:val="es-ES_tradnl"/>
        </w:rPr>
        <w:t>095-2002-EF</w:t>
      </w:r>
      <w:r w:rsidR="003A6EE5" w:rsidRPr="001F2F1A">
        <w:rPr>
          <w:rFonts w:asciiTheme="majorHAnsi" w:hAnsiTheme="majorHAnsi"/>
          <w:noProof w:val="0"/>
          <w:sz w:val="20"/>
          <w:szCs w:val="20"/>
          <w:lang w:val="es-ES_tradnl"/>
        </w:rPr>
        <w:t xml:space="preserve"> </w:t>
      </w:r>
      <w:r w:rsidR="001C5FEE" w:rsidRPr="001F2F1A">
        <w:rPr>
          <w:rFonts w:asciiTheme="majorHAnsi" w:hAnsiTheme="majorHAnsi"/>
          <w:noProof w:val="0"/>
          <w:sz w:val="20"/>
          <w:szCs w:val="20"/>
          <w:lang w:val="es-ES_tradnl"/>
        </w:rPr>
        <w:t>que</w:t>
      </w:r>
      <w:r w:rsidR="00C309FA" w:rsidRPr="001F2F1A">
        <w:rPr>
          <w:rFonts w:asciiTheme="majorHAnsi" w:hAnsiTheme="majorHAnsi"/>
          <w:noProof w:val="0"/>
          <w:sz w:val="20"/>
          <w:szCs w:val="20"/>
          <w:lang w:val="es-ES_tradnl"/>
        </w:rPr>
        <w:t xml:space="preserve"> dispuso que los ingresos remunerativos de los cargos de superintendente nacional</w:t>
      </w:r>
      <w:r w:rsidR="0058073A" w:rsidRPr="001F2F1A">
        <w:rPr>
          <w:rFonts w:asciiTheme="majorHAnsi" w:hAnsiTheme="majorHAnsi"/>
          <w:noProof w:val="0"/>
          <w:sz w:val="20"/>
          <w:szCs w:val="20"/>
          <w:lang w:val="es-ES_tradnl"/>
        </w:rPr>
        <w:t xml:space="preserve"> y </w:t>
      </w:r>
      <w:r w:rsidR="00C309FA" w:rsidRPr="001F2F1A">
        <w:rPr>
          <w:rFonts w:asciiTheme="majorHAnsi" w:hAnsiTheme="majorHAnsi"/>
          <w:noProof w:val="0"/>
          <w:sz w:val="20"/>
          <w:szCs w:val="20"/>
          <w:lang w:val="es-ES_tradnl"/>
        </w:rPr>
        <w:t>ejecutivo</w:t>
      </w:r>
      <w:r w:rsidR="003B62D0" w:rsidRPr="001F2F1A">
        <w:rPr>
          <w:rFonts w:asciiTheme="majorHAnsi" w:hAnsiTheme="majorHAnsi"/>
          <w:noProof w:val="0"/>
          <w:sz w:val="20"/>
          <w:szCs w:val="20"/>
          <w:lang w:val="es-ES_tradnl"/>
        </w:rPr>
        <w:t xml:space="preserve">, asesor de despacho, secretario general, intendente nacional </w:t>
      </w:r>
      <w:r w:rsidR="0058073A" w:rsidRPr="001F2F1A">
        <w:rPr>
          <w:rFonts w:asciiTheme="majorHAnsi" w:hAnsiTheme="majorHAnsi"/>
          <w:noProof w:val="0"/>
          <w:sz w:val="20"/>
          <w:szCs w:val="20"/>
          <w:lang w:val="es-ES_tradnl"/>
        </w:rPr>
        <w:t xml:space="preserve">y </w:t>
      </w:r>
      <w:r w:rsidR="003B62D0" w:rsidRPr="001F2F1A">
        <w:rPr>
          <w:rFonts w:asciiTheme="majorHAnsi" w:hAnsiTheme="majorHAnsi"/>
          <w:noProof w:val="0"/>
          <w:sz w:val="20"/>
          <w:szCs w:val="20"/>
          <w:lang w:val="es-ES_tradnl"/>
        </w:rPr>
        <w:t>adu</w:t>
      </w:r>
      <w:r w:rsidR="003A6EE5" w:rsidRPr="001F2F1A">
        <w:rPr>
          <w:rFonts w:asciiTheme="majorHAnsi" w:hAnsiTheme="majorHAnsi"/>
          <w:noProof w:val="0"/>
          <w:sz w:val="20"/>
          <w:szCs w:val="20"/>
          <w:lang w:val="es-ES_tradnl"/>
        </w:rPr>
        <w:t>a</w:t>
      </w:r>
      <w:r w:rsidR="003B62D0" w:rsidRPr="001F2F1A">
        <w:rPr>
          <w:rFonts w:asciiTheme="majorHAnsi" w:hAnsiTheme="majorHAnsi"/>
          <w:noProof w:val="0"/>
          <w:sz w:val="20"/>
          <w:szCs w:val="20"/>
          <w:lang w:val="es-ES_tradnl"/>
        </w:rPr>
        <w:t xml:space="preserve">nas </w:t>
      </w:r>
      <w:r w:rsidR="00C309FA" w:rsidRPr="001F2F1A">
        <w:rPr>
          <w:rFonts w:asciiTheme="majorHAnsi" w:hAnsiTheme="majorHAnsi"/>
          <w:noProof w:val="0"/>
          <w:sz w:val="20"/>
          <w:szCs w:val="20"/>
          <w:lang w:val="es-ES_tradnl"/>
        </w:rPr>
        <w:t xml:space="preserve">de la Superintendencia Nacional de Aduanas (en adelante “SUNAD”) sean iguales a los percibidos por sus categorías homólogas </w:t>
      </w:r>
      <w:r w:rsidR="00793D8F" w:rsidRPr="001F2F1A">
        <w:rPr>
          <w:rFonts w:asciiTheme="majorHAnsi" w:hAnsiTheme="majorHAnsi"/>
          <w:noProof w:val="0"/>
          <w:sz w:val="20"/>
          <w:szCs w:val="20"/>
          <w:lang w:val="es-ES_tradnl"/>
        </w:rPr>
        <w:t>de</w:t>
      </w:r>
      <w:r w:rsidR="00C309FA" w:rsidRPr="001F2F1A">
        <w:rPr>
          <w:rFonts w:asciiTheme="majorHAnsi" w:hAnsiTheme="majorHAnsi"/>
          <w:noProof w:val="0"/>
          <w:sz w:val="20"/>
          <w:szCs w:val="20"/>
          <w:lang w:val="es-ES_tradnl"/>
        </w:rPr>
        <w:t xml:space="preserve"> la SUNAT. </w:t>
      </w:r>
    </w:p>
    <w:p w14:paraId="1CE4D670" w14:textId="653AF706" w:rsidR="00B0550E" w:rsidRPr="001F2F1A" w:rsidRDefault="00C309FA" w:rsidP="00E65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Posteriormente, </w:t>
      </w:r>
      <w:r w:rsidR="00E659E9" w:rsidRPr="001F2F1A">
        <w:rPr>
          <w:rFonts w:asciiTheme="majorHAnsi" w:hAnsiTheme="majorHAnsi"/>
          <w:noProof w:val="0"/>
          <w:sz w:val="20"/>
          <w:szCs w:val="20"/>
          <w:lang w:val="es-ES_tradnl"/>
        </w:rPr>
        <w:t>el 11 de julio de 2002 la Presidencia del Consejo de Ministros, mediante</w:t>
      </w:r>
      <w:r w:rsidR="003E77F5" w:rsidRPr="001F2F1A">
        <w:rPr>
          <w:rFonts w:asciiTheme="majorHAnsi" w:hAnsiTheme="majorHAnsi"/>
          <w:noProof w:val="0"/>
          <w:sz w:val="20"/>
          <w:szCs w:val="20"/>
          <w:lang w:val="es-ES_tradnl"/>
        </w:rPr>
        <w:t xml:space="preserve"> Decreto Supremo </w:t>
      </w:r>
      <w:r w:rsidR="0031577F" w:rsidRPr="001F2F1A">
        <w:rPr>
          <w:rFonts w:asciiTheme="majorHAnsi" w:hAnsiTheme="majorHAnsi"/>
          <w:noProof w:val="0"/>
          <w:sz w:val="20"/>
          <w:szCs w:val="20"/>
          <w:lang w:val="es-ES_tradnl"/>
        </w:rPr>
        <w:t>Nº</w:t>
      </w:r>
      <w:r w:rsidR="00673874" w:rsidRPr="001F2F1A">
        <w:rPr>
          <w:rFonts w:asciiTheme="majorHAnsi" w:hAnsiTheme="majorHAnsi"/>
          <w:noProof w:val="0"/>
          <w:sz w:val="20"/>
          <w:szCs w:val="20"/>
          <w:lang w:val="es-ES_tradnl"/>
        </w:rPr>
        <w:t xml:space="preserve"> </w:t>
      </w:r>
      <w:r w:rsidR="005E4305" w:rsidRPr="001F2F1A">
        <w:rPr>
          <w:rFonts w:asciiTheme="majorHAnsi" w:hAnsiTheme="majorHAnsi"/>
          <w:noProof w:val="0"/>
          <w:sz w:val="20"/>
          <w:szCs w:val="20"/>
          <w:lang w:val="es-ES_tradnl"/>
        </w:rPr>
        <w:t>061-2002-PCM</w:t>
      </w:r>
      <w:r w:rsidR="00EF48F6" w:rsidRPr="001F2F1A">
        <w:rPr>
          <w:rFonts w:asciiTheme="majorHAnsi" w:hAnsiTheme="majorHAnsi"/>
          <w:noProof w:val="0"/>
          <w:sz w:val="20"/>
          <w:szCs w:val="20"/>
          <w:lang w:val="es-ES_tradnl"/>
        </w:rPr>
        <w:t>,</w:t>
      </w:r>
      <w:r w:rsidR="003E77F5"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dispuso</w:t>
      </w:r>
      <w:r w:rsidR="005A45DC" w:rsidRPr="001F2F1A">
        <w:rPr>
          <w:rFonts w:asciiTheme="majorHAnsi" w:hAnsiTheme="majorHAnsi"/>
          <w:noProof w:val="0"/>
          <w:sz w:val="20"/>
          <w:szCs w:val="20"/>
          <w:lang w:val="es-ES_tradnl"/>
        </w:rPr>
        <w:t xml:space="preserve"> la fusión </w:t>
      </w:r>
      <w:r w:rsidRPr="001F2F1A">
        <w:rPr>
          <w:rFonts w:asciiTheme="majorHAnsi" w:hAnsiTheme="majorHAnsi"/>
          <w:noProof w:val="0"/>
          <w:sz w:val="20"/>
          <w:szCs w:val="20"/>
          <w:lang w:val="es-ES_tradnl"/>
        </w:rPr>
        <w:t xml:space="preserve">por absorción </w:t>
      </w:r>
      <w:r w:rsidR="00EC7E97" w:rsidRPr="001F2F1A">
        <w:rPr>
          <w:rFonts w:asciiTheme="majorHAnsi" w:hAnsiTheme="majorHAnsi"/>
          <w:noProof w:val="0"/>
          <w:sz w:val="20"/>
          <w:szCs w:val="20"/>
          <w:lang w:val="es-ES_tradnl"/>
        </w:rPr>
        <w:t xml:space="preserve">de </w:t>
      </w:r>
      <w:r w:rsidR="00A00483" w:rsidRPr="001F2F1A">
        <w:rPr>
          <w:rFonts w:asciiTheme="majorHAnsi" w:hAnsiTheme="majorHAnsi"/>
          <w:noProof w:val="0"/>
          <w:sz w:val="20"/>
          <w:szCs w:val="20"/>
          <w:lang w:val="es-ES_tradnl"/>
        </w:rPr>
        <w:t xml:space="preserve">la </w:t>
      </w:r>
      <w:r w:rsidR="0065778B" w:rsidRPr="001F2F1A">
        <w:rPr>
          <w:rFonts w:asciiTheme="majorHAnsi" w:hAnsiTheme="majorHAnsi"/>
          <w:noProof w:val="0"/>
          <w:sz w:val="20"/>
          <w:szCs w:val="20"/>
          <w:lang w:val="es-ES_tradnl"/>
        </w:rPr>
        <w:t xml:space="preserve">SUNAT </w:t>
      </w:r>
      <w:r w:rsidRPr="001F2F1A">
        <w:rPr>
          <w:rFonts w:asciiTheme="majorHAnsi" w:hAnsiTheme="majorHAnsi"/>
          <w:noProof w:val="0"/>
          <w:sz w:val="20"/>
          <w:szCs w:val="20"/>
          <w:lang w:val="es-ES_tradnl"/>
        </w:rPr>
        <w:t>con</w:t>
      </w:r>
      <w:r w:rsidR="00A00483" w:rsidRPr="001F2F1A">
        <w:rPr>
          <w:rFonts w:asciiTheme="majorHAnsi" w:hAnsiTheme="majorHAnsi"/>
          <w:noProof w:val="0"/>
          <w:sz w:val="20"/>
          <w:szCs w:val="20"/>
          <w:lang w:val="es-ES_tradnl"/>
        </w:rPr>
        <w:t xml:space="preserve"> </w:t>
      </w:r>
      <w:r w:rsidR="0065778B" w:rsidRPr="001F2F1A">
        <w:rPr>
          <w:rFonts w:asciiTheme="majorHAnsi" w:hAnsiTheme="majorHAnsi"/>
          <w:noProof w:val="0"/>
          <w:sz w:val="20"/>
          <w:szCs w:val="20"/>
          <w:lang w:val="es-ES_tradnl"/>
        </w:rPr>
        <w:t>la SUNAD</w:t>
      </w:r>
      <w:r w:rsidR="00E659E9" w:rsidRPr="001F2F1A">
        <w:rPr>
          <w:rFonts w:asciiTheme="majorHAnsi" w:hAnsiTheme="majorHAnsi"/>
          <w:noProof w:val="0"/>
          <w:sz w:val="20"/>
          <w:szCs w:val="20"/>
          <w:lang w:val="es-ES_tradnl"/>
        </w:rPr>
        <w:t>,</w:t>
      </w:r>
      <w:r w:rsidR="0065778B" w:rsidRPr="001F2F1A">
        <w:rPr>
          <w:rFonts w:asciiTheme="majorHAnsi" w:hAnsiTheme="majorHAnsi"/>
          <w:noProof w:val="0"/>
          <w:sz w:val="20"/>
          <w:szCs w:val="20"/>
          <w:lang w:val="es-ES_tradnl"/>
        </w:rPr>
        <w:t xml:space="preserve"> </w:t>
      </w:r>
      <w:r w:rsidR="00A11590" w:rsidRPr="001F2F1A">
        <w:rPr>
          <w:rFonts w:asciiTheme="majorHAnsi" w:hAnsiTheme="majorHAnsi"/>
          <w:noProof w:val="0"/>
          <w:sz w:val="20"/>
          <w:szCs w:val="20"/>
          <w:lang w:val="es-ES_tradnl"/>
        </w:rPr>
        <w:t>por lo que</w:t>
      </w:r>
      <w:r w:rsidR="00E659E9" w:rsidRPr="001F2F1A">
        <w:rPr>
          <w:rFonts w:asciiTheme="majorHAnsi" w:hAnsiTheme="majorHAnsi"/>
          <w:noProof w:val="0"/>
          <w:sz w:val="20"/>
          <w:szCs w:val="20"/>
          <w:lang w:val="es-ES_tradnl"/>
        </w:rPr>
        <w:t xml:space="preserve"> </w:t>
      </w:r>
      <w:r w:rsidR="007A22D1" w:rsidRPr="001F2F1A">
        <w:rPr>
          <w:rFonts w:asciiTheme="majorHAnsi" w:hAnsiTheme="majorHAnsi"/>
          <w:noProof w:val="0"/>
          <w:sz w:val="20"/>
          <w:szCs w:val="20"/>
          <w:lang w:val="es-ES_tradnl"/>
        </w:rPr>
        <w:t xml:space="preserve">los trabajadores de SUNAD pasaron </w:t>
      </w:r>
      <w:r w:rsidR="00EF48F6" w:rsidRPr="001F2F1A">
        <w:rPr>
          <w:rFonts w:asciiTheme="majorHAnsi" w:hAnsiTheme="majorHAnsi"/>
          <w:noProof w:val="0"/>
          <w:sz w:val="20"/>
          <w:szCs w:val="20"/>
          <w:lang w:val="es-ES_tradnl"/>
        </w:rPr>
        <w:t xml:space="preserve">a </w:t>
      </w:r>
      <w:r w:rsidR="007A22D1" w:rsidRPr="001F2F1A">
        <w:rPr>
          <w:rFonts w:asciiTheme="majorHAnsi" w:hAnsiTheme="majorHAnsi"/>
          <w:noProof w:val="0"/>
          <w:sz w:val="20"/>
          <w:szCs w:val="20"/>
          <w:lang w:val="es-ES_tradnl"/>
        </w:rPr>
        <w:t xml:space="preserve">depender laboralmente de </w:t>
      </w:r>
      <w:r w:rsidR="00EF48F6" w:rsidRPr="001F2F1A">
        <w:rPr>
          <w:rFonts w:asciiTheme="majorHAnsi" w:hAnsiTheme="majorHAnsi"/>
          <w:noProof w:val="0"/>
          <w:sz w:val="20"/>
          <w:szCs w:val="20"/>
          <w:lang w:val="es-ES_tradnl"/>
        </w:rPr>
        <w:t xml:space="preserve">la </w:t>
      </w:r>
      <w:r w:rsidR="005F1955" w:rsidRPr="001F2F1A">
        <w:rPr>
          <w:rFonts w:asciiTheme="majorHAnsi" w:hAnsiTheme="majorHAnsi"/>
          <w:noProof w:val="0"/>
          <w:sz w:val="20"/>
          <w:szCs w:val="20"/>
          <w:lang w:val="es-ES_tradnl"/>
        </w:rPr>
        <w:t>SUNAT</w:t>
      </w:r>
      <w:r w:rsidR="005E4305" w:rsidRPr="001F2F1A">
        <w:rPr>
          <w:rFonts w:asciiTheme="majorHAnsi" w:hAnsiTheme="majorHAnsi"/>
          <w:noProof w:val="0"/>
          <w:sz w:val="20"/>
          <w:szCs w:val="20"/>
          <w:lang w:val="es-ES_tradnl"/>
        </w:rPr>
        <w:t xml:space="preserve">. </w:t>
      </w:r>
      <w:r w:rsidR="00AA24D6" w:rsidRPr="001F2F1A">
        <w:rPr>
          <w:rFonts w:asciiTheme="majorHAnsi" w:hAnsiTheme="majorHAnsi"/>
          <w:noProof w:val="0"/>
          <w:sz w:val="20"/>
          <w:szCs w:val="20"/>
          <w:lang w:val="es-ES_tradnl"/>
        </w:rPr>
        <w:t>Asimismo,</w:t>
      </w:r>
      <w:r w:rsidR="005F758E" w:rsidRPr="001F2F1A">
        <w:rPr>
          <w:rFonts w:asciiTheme="majorHAnsi" w:hAnsiTheme="majorHAnsi"/>
          <w:noProof w:val="0"/>
          <w:sz w:val="20"/>
          <w:szCs w:val="20"/>
          <w:lang w:val="es-ES_tradnl"/>
        </w:rPr>
        <w:t xml:space="preserve"> </w:t>
      </w:r>
      <w:r w:rsidR="00AA24D6" w:rsidRPr="001F2F1A">
        <w:rPr>
          <w:rFonts w:asciiTheme="majorHAnsi" w:hAnsiTheme="majorHAnsi"/>
          <w:noProof w:val="0"/>
          <w:sz w:val="20"/>
          <w:szCs w:val="20"/>
          <w:lang w:val="es-ES_tradnl"/>
        </w:rPr>
        <w:t>el</w:t>
      </w:r>
      <w:r w:rsidR="00E659E9" w:rsidRPr="001F2F1A">
        <w:rPr>
          <w:rFonts w:asciiTheme="majorHAnsi" w:hAnsiTheme="majorHAnsi"/>
          <w:noProof w:val="0"/>
          <w:sz w:val="20"/>
          <w:szCs w:val="20"/>
          <w:lang w:val="es-ES_tradnl"/>
        </w:rPr>
        <w:t xml:space="preserve"> 7 de febrero de 2003 el</w:t>
      </w:r>
      <w:r w:rsidR="00AA24D6" w:rsidRPr="001F2F1A">
        <w:rPr>
          <w:rFonts w:asciiTheme="majorHAnsi" w:hAnsiTheme="majorHAnsi"/>
          <w:noProof w:val="0"/>
          <w:sz w:val="20"/>
          <w:szCs w:val="20"/>
          <w:lang w:val="es-ES_tradnl"/>
        </w:rPr>
        <w:t xml:space="preserve"> Ministerio de Economía y Finanzas</w:t>
      </w:r>
      <w:r w:rsidR="00E659E9" w:rsidRPr="001F2F1A">
        <w:rPr>
          <w:rFonts w:asciiTheme="majorHAnsi" w:hAnsiTheme="majorHAnsi"/>
          <w:noProof w:val="0"/>
          <w:sz w:val="20"/>
          <w:szCs w:val="20"/>
          <w:lang w:val="es-ES_tradnl"/>
        </w:rPr>
        <w:t>,</w:t>
      </w:r>
      <w:r w:rsidR="00AA24D6" w:rsidRPr="001F2F1A">
        <w:rPr>
          <w:rFonts w:asciiTheme="majorHAnsi" w:hAnsiTheme="majorHAnsi"/>
          <w:noProof w:val="0"/>
          <w:sz w:val="20"/>
          <w:szCs w:val="20"/>
          <w:lang w:val="es-ES_tradnl"/>
        </w:rPr>
        <w:t xml:space="preserve"> mediante Decreto Supremo </w:t>
      </w:r>
      <w:r w:rsidR="0031577F" w:rsidRPr="001F2F1A">
        <w:rPr>
          <w:rFonts w:asciiTheme="majorHAnsi" w:hAnsiTheme="majorHAnsi"/>
          <w:noProof w:val="0"/>
          <w:sz w:val="20"/>
          <w:szCs w:val="20"/>
          <w:lang w:val="es-ES_tradnl"/>
        </w:rPr>
        <w:t>Nº</w:t>
      </w:r>
      <w:r w:rsidR="00673874" w:rsidRPr="001F2F1A">
        <w:rPr>
          <w:rFonts w:asciiTheme="majorHAnsi" w:hAnsiTheme="majorHAnsi"/>
          <w:noProof w:val="0"/>
          <w:sz w:val="20"/>
          <w:szCs w:val="20"/>
          <w:lang w:val="es-ES_tradnl"/>
        </w:rPr>
        <w:t xml:space="preserve"> </w:t>
      </w:r>
      <w:r w:rsidR="00AA24D6" w:rsidRPr="001F2F1A">
        <w:rPr>
          <w:rFonts w:asciiTheme="majorHAnsi" w:hAnsiTheme="majorHAnsi"/>
          <w:noProof w:val="0"/>
          <w:sz w:val="20"/>
          <w:szCs w:val="20"/>
          <w:lang w:val="es-ES_tradnl"/>
        </w:rPr>
        <w:t>016-2003-EF</w:t>
      </w:r>
      <w:r w:rsidR="00E659E9" w:rsidRPr="001F2F1A">
        <w:rPr>
          <w:rFonts w:asciiTheme="majorHAnsi" w:hAnsiTheme="majorHAnsi"/>
          <w:noProof w:val="0"/>
          <w:sz w:val="20"/>
          <w:szCs w:val="20"/>
          <w:lang w:val="es-ES_tradnl"/>
        </w:rPr>
        <w:t xml:space="preserve">, </w:t>
      </w:r>
      <w:r w:rsidR="00AA24D6" w:rsidRPr="001F2F1A">
        <w:rPr>
          <w:rFonts w:asciiTheme="majorHAnsi" w:hAnsiTheme="majorHAnsi"/>
          <w:noProof w:val="0"/>
          <w:sz w:val="20"/>
          <w:szCs w:val="20"/>
          <w:lang w:val="es-ES_tradnl"/>
        </w:rPr>
        <w:t>estableció</w:t>
      </w:r>
      <w:r w:rsidR="00E659E9" w:rsidRPr="001F2F1A">
        <w:rPr>
          <w:rFonts w:asciiTheme="majorHAnsi" w:hAnsiTheme="majorHAnsi"/>
          <w:noProof w:val="0"/>
          <w:sz w:val="20"/>
          <w:szCs w:val="20"/>
          <w:lang w:val="es-ES_tradnl"/>
        </w:rPr>
        <w:t xml:space="preserve"> el</w:t>
      </w:r>
      <w:r w:rsidR="00AA24D6" w:rsidRPr="001F2F1A">
        <w:rPr>
          <w:rFonts w:asciiTheme="majorHAnsi" w:hAnsiTheme="majorHAnsi"/>
          <w:noProof w:val="0"/>
          <w:sz w:val="20"/>
          <w:szCs w:val="20"/>
          <w:lang w:val="es-ES_tradnl"/>
        </w:rPr>
        <w:t xml:space="preserve"> número de remuneraciones y beneficios </w:t>
      </w:r>
      <w:r w:rsidR="001E5275" w:rsidRPr="001F2F1A">
        <w:rPr>
          <w:rFonts w:asciiTheme="majorHAnsi" w:hAnsiTheme="majorHAnsi"/>
          <w:noProof w:val="0"/>
          <w:sz w:val="20"/>
          <w:szCs w:val="20"/>
          <w:lang w:val="es-ES_tradnl"/>
        </w:rPr>
        <w:t xml:space="preserve">que recibiría </w:t>
      </w:r>
      <w:r w:rsidR="00AA24D6" w:rsidRPr="001F2F1A">
        <w:rPr>
          <w:rFonts w:asciiTheme="majorHAnsi" w:hAnsiTheme="majorHAnsi"/>
          <w:noProof w:val="0"/>
          <w:sz w:val="20"/>
          <w:szCs w:val="20"/>
          <w:lang w:val="es-ES_tradnl"/>
        </w:rPr>
        <w:t>el personal de la SUNAD integrado a la SUNAT</w:t>
      </w:r>
      <w:r w:rsidR="002D11A6" w:rsidRPr="001F2F1A">
        <w:rPr>
          <w:rFonts w:asciiTheme="majorHAnsi" w:hAnsiTheme="majorHAnsi"/>
          <w:noProof w:val="0"/>
          <w:sz w:val="20"/>
          <w:szCs w:val="20"/>
          <w:lang w:val="es-ES_tradnl"/>
        </w:rPr>
        <w:t>;</w:t>
      </w:r>
      <w:r w:rsidR="00E659E9" w:rsidRPr="001F2F1A">
        <w:rPr>
          <w:rFonts w:asciiTheme="majorHAnsi" w:hAnsiTheme="majorHAnsi"/>
          <w:noProof w:val="0"/>
          <w:sz w:val="20"/>
          <w:szCs w:val="20"/>
          <w:lang w:val="es-ES_tradnl"/>
        </w:rPr>
        <w:t xml:space="preserve"> y dispuso que en razón </w:t>
      </w:r>
      <w:r w:rsidR="00AA24D6" w:rsidRPr="001F2F1A">
        <w:rPr>
          <w:rFonts w:asciiTheme="majorHAnsi" w:hAnsiTheme="majorHAnsi"/>
          <w:noProof w:val="0"/>
          <w:sz w:val="20"/>
          <w:szCs w:val="20"/>
          <w:lang w:val="es-ES_tradnl"/>
        </w:rPr>
        <w:t xml:space="preserve">a la fusión </w:t>
      </w:r>
      <w:r w:rsidR="00E659E9" w:rsidRPr="001F2F1A">
        <w:rPr>
          <w:rFonts w:asciiTheme="majorHAnsi" w:hAnsiTheme="majorHAnsi"/>
          <w:noProof w:val="0"/>
          <w:sz w:val="20"/>
          <w:szCs w:val="20"/>
          <w:lang w:val="es-ES_tradnl"/>
        </w:rPr>
        <w:t>percibiría</w:t>
      </w:r>
      <w:r w:rsidR="00AA24D6" w:rsidRPr="001F2F1A">
        <w:rPr>
          <w:rFonts w:asciiTheme="majorHAnsi" w:hAnsiTheme="majorHAnsi"/>
          <w:noProof w:val="0"/>
          <w:sz w:val="20"/>
          <w:szCs w:val="20"/>
          <w:lang w:val="es-ES_tradnl"/>
        </w:rPr>
        <w:t xml:space="preserve"> s</w:t>
      </w:r>
      <w:r w:rsidR="00673874" w:rsidRPr="001F2F1A">
        <w:rPr>
          <w:rFonts w:asciiTheme="majorHAnsi" w:hAnsiTheme="majorHAnsi"/>
          <w:noProof w:val="0"/>
          <w:sz w:val="20"/>
          <w:szCs w:val="20"/>
          <w:lang w:val="es-ES_tradnl"/>
        </w:rPr>
        <w:t>ó</w:t>
      </w:r>
      <w:r w:rsidR="00AA24D6" w:rsidRPr="001F2F1A">
        <w:rPr>
          <w:rFonts w:asciiTheme="majorHAnsi" w:hAnsiTheme="majorHAnsi"/>
          <w:noProof w:val="0"/>
          <w:sz w:val="20"/>
          <w:szCs w:val="20"/>
          <w:lang w:val="es-ES_tradnl"/>
        </w:rPr>
        <w:t xml:space="preserve">lo </w:t>
      </w:r>
      <w:r w:rsidR="00E10E28" w:rsidRPr="001F2F1A">
        <w:rPr>
          <w:rFonts w:asciiTheme="majorHAnsi" w:hAnsiTheme="majorHAnsi"/>
          <w:noProof w:val="0"/>
          <w:sz w:val="20"/>
          <w:szCs w:val="20"/>
          <w:lang w:val="es-ES_tradnl"/>
        </w:rPr>
        <w:t>catorce</w:t>
      </w:r>
      <w:r w:rsidR="00AA24D6" w:rsidRPr="001F2F1A">
        <w:rPr>
          <w:rFonts w:asciiTheme="majorHAnsi" w:hAnsiTheme="majorHAnsi"/>
          <w:noProof w:val="0"/>
          <w:sz w:val="20"/>
          <w:szCs w:val="20"/>
          <w:lang w:val="es-ES_tradnl"/>
        </w:rPr>
        <w:t xml:space="preserve"> remuneraciones anuales de las </w:t>
      </w:r>
      <w:r w:rsidR="003509DF" w:rsidRPr="001F2F1A">
        <w:rPr>
          <w:rFonts w:asciiTheme="majorHAnsi" w:hAnsiTheme="majorHAnsi"/>
          <w:noProof w:val="0"/>
          <w:sz w:val="20"/>
          <w:szCs w:val="20"/>
          <w:lang w:val="es-ES_tradnl"/>
        </w:rPr>
        <w:t>dieciséis</w:t>
      </w:r>
      <w:r w:rsidR="00AA24D6" w:rsidRPr="001F2F1A">
        <w:rPr>
          <w:rFonts w:asciiTheme="majorHAnsi" w:hAnsiTheme="majorHAnsi"/>
          <w:noProof w:val="0"/>
          <w:sz w:val="20"/>
          <w:szCs w:val="20"/>
          <w:lang w:val="es-ES_tradnl"/>
        </w:rPr>
        <w:t xml:space="preserve"> que habían venido</w:t>
      </w:r>
      <w:r w:rsidR="00E659E9" w:rsidRPr="001F2F1A">
        <w:rPr>
          <w:rFonts w:asciiTheme="majorHAnsi" w:hAnsiTheme="majorHAnsi"/>
          <w:noProof w:val="0"/>
          <w:sz w:val="20"/>
          <w:szCs w:val="20"/>
          <w:lang w:val="es-ES_tradnl"/>
        </w:rPr>
        <w:t xml:space="preserve"> recibiendo</w:t>
      </w:r>
      <w:r w:rsidR="00313A21" w:rsidRPr="001F2F1A">
        <w:rPr>
          <w:rStyle w:val="FootnoteReference"/>
          <w:rFonts w:asciiTheme="majorHAnsi" w:hAnsiTheme="majorHAnsi"/>
          <w:noProof w:val="0"/>
          <w:sz w:val="20"/>
          <w:szCs w:val="20"/>
          <w:lang w:val="es-ES_tradnl"/>
        </w:rPr>
        <w:footnoteReference w:id="8"/>
      </w:r>
      <w:r w:rsidR="00AA24D6" w:rsidRPr="001F2F1A">
        <w:rPr>
          <w:rFonts w:asciiTheme="majorHAnsi" w:hAnsiTheme="majorHAnsi"/>
          <w:noProof w:val="0"/>
          <w:sz w:val="20"/>
          <w:szCs w:val="20"/>
          <w:lang w:val="es-ES_tradnl"/>
        </w:rPr>
        <w:t>.</w:t>
      </w:r>
    </w:p>
    <w:p w14:paraId="22AA5CE2" w14:textId="6DDEDF47" w:rsidR="00D26E66" w:rsidRPr="001F2F1A" w:rsidRDefault="00D26E66" w:rsidP="00D26E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rPr>
          <w:rFonts w:asciiTheme="majorHAnsi" w:hAnsiTheme="majorHAnsi"/>
          <w:i/>
          <w:iCs/>
          <w:noProof w:val="0"/>
          <w:sz w:val="20"/>
          <w:szCs w:val="20"/>
          <w:lang w:val="es-ES_tradnl"/>
        </w:rPr>
      </w:pPr>
      <w:r w:rsidRPr="001F2F1A">
        <w:rPr>
          <w:rFonts w:asciiTheme="majorHAnsi" w:hAnsiTheme="majorHAnsi"/>
          <w:i/>
          <w:iCs/>
          <w:noProof w:val="0"/>
          <w:sz w:val="20"/>
          <w:szCs w:val="20"/>
          <w:lang w:val="es-ES_tradnl"/>
        </w:rPr>
        <w:t>Presentación del proceso de amparo por SINTRADUANAS y posterior inclusión de SINTRASUR</w:t>
      </w:r>
    </w:p>
    <w:p w14:paraId="2A9FC483" w14:textId="747E7EFD" w:rsidR="00CB7EAF" w:rsidRPr="001F2F1A" w:rsidRDefault="003509DF" w:rsidP="005F75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El peticionario i</w:t>
      </w:r>
      <w:r w:rsidR="005F758E" w:rsidRPr="001F2F1A">
        <w:rPr>
          <w:rFonts w:asciiTheme="majorHAnsi" w:hAnsiTheme="majorHAnsi"/>
          <w:noProof w:val="0"/>
          <w:sz w:val="20"/>
          <w:szCs w:val="20"/>
          <w:lang w:val="es-ES_tradnl"/>
        </w:rPr>
        <w:t>ndica que</w:t>
      </w:r>
      <w:r w:rsidR="001E67A8" w:rsidRPr="001F2F1A">
        <w:rPr>
          <w:rFonts w:asciiTheme="majorHAnsi" w:hAnsiTheme="majorHAnsi"/>
          <w:noProof w:val="0"/>
          <w:sz w:val="20"/>
          <w:szCs w:val="20"/>
          <w:lang w:val="es-ES_tradnl"/>
        </w:rPr>
        <w:t xml:space="preserve">, </w:t>
      </w:r>
      <w:r w:rsidR="005F758E" w:rsidRPr="001F2F1A">
        <w:rPr>
          <w:rFonts w:asciiTheme="majorHAnsi" w:hAnsiTheme="majorHAnsi"/>
          <w:noProof w:val="0"/>
          <w:sz w:val="20"/>
          <w:szCs w:val="20"/>
          <w:lang w:val="es-ES_tradnl"/>
        </w:rPr>
        <w:t>t</w:t>
      </w:r>
      <w:r w:rsidR="00742C48" w:rsidRPr="001F2F1A">
        <w:rPr>
          <w:rFonts w:asciiTheme="majorHAnsi" w:hAnsiTheme="majorHAnsi"/>
          <w:noProof w:val="0"/>
          <w:sz w:val="20"/>
          <w:szCs w:val="20"/>
          <w:lang w:val="es-ES_tradnl"/>
        </w:rPr>
        <w:t xml:space="preserve">ras cuatro años sin que la referida homologación </w:t>
      </w:r>
      <w:r w:rsidR="005F758E" w:rsidRPr="001F2F1A">
        <w:rPr>
          <w:rFonts w:asciiTheme="majorHAnsi" w:hAnsiTheme="majorHAnsi"/>
          <w:noProof w:val="0"/>
          <w:sz w:val="20"/>
          <w:szCs w:val="20"/>
          <w:lang w:val="es-ES_tradnl"/>
        </w:rPr>
        <w:t>de remuneraciones entre los trabajadores de la SUNAD y SUNAT se realizará,</w:t>
      </w:r>
      <w:r w:rsidR="00673874" w:rsidRPr="001F2F1A">
        <w:rPr>
          <w:rFonts w:asciiTheme="majorHAnsi" w:hAnsiTheme="majorHAnsi"/>
          <w:noProof w:val="0"/>
          <w:sz w:val="20"/>
          <w:szCs w:val="20"/>
          <w:lang w:val="es-ES_tradnl"/>
        </w:rPr>
        <w:t xml:space="preserve"> </w:t>
      </w:r>
      <w:r w:rsidR="00AA24D6" w:rsidRPr="001F2F1A">
        <w:rPr>
          <w:rFonts w:asciiTheme="majorHAnsi" w:hAnsiTheme="majorHAnsi"/>
          <w:noProof w:val="0"/>
          <w:sz w:val="20"/>
          <w:szCs w:val="20"/>
          <w:lang w:val="es-ES_tradnl"/>
        </w:rPr>
        <w:t>el</w:t>
      </w:r>
      <w:r w:rsidR="00CB7EAF" w:rsidRPr="001F2F1A">
        <w:rPr>
          <w:rFonts w:asciiTheme="majorHAnsi" w:hAnsiTheme="majorHAnsi"/>
          <w:noProof w:val="0"/>
          <w:sz w:val="20"/>
          <w:szCs w:val="20"/>
          <w:lang w:val="es-ES_tradnl"/>
        </w:rPr>
        <w:t xml:space="preserve"> </w:t>
      </w:r>
      <w:r w:rsidR="001E5275" w:rsidRPr="001F2F1A">
        <w:rPr>
          <w:rFonts w:asciiTheme="majorHAnsi" w:hAnsiTheme="majorHAnsi"/>
          <w:noProof w:val="0"/>
          <w:sz w:val="20"/>
          <w:szCs w:val="20"/>
          <w:lang w:val="es-ES_tradnl"/>
        </w:rPr>
        <w:t xml:space="preserve">28 de junio de 2006 el </w:t>
      </w:r>
      <w:r w:rsidR="00AA24D6" w:rsidRPr="001F2F1A">
        <w:rPr>
          <w:rFonts w:asciiTheme="majorHAnsi" w:hAnsiTheme="majorHAnsi"/>
          <w:noProof w:val="0"/>
          <w:sz w:val="20"/>
          <w:szCs w:val="20"/>
          <w:lang w:val="es-ES_tradnl"/>
        </w:rPr>
        <w:t xml:space="preserve">Sindicato </w:t>
      </w:r>
      <w:r w:rsidR="00DB6928" w:rsidRPr="001F2F1A">
        <w:rPr>
          <w:rFonts w:asciiTheme="majorHAnsi" w:hAnsiTheme="majorHAnsi"/>
          <w:noProof w:val="0"/>
          <w:sz w:val="20"/>
          <w:szCs w:val="20"/>
          <w:lang w:val="es-ES_tradnl"/>
        </w:rPr>
        <w:t>Nacional de</w:t>
      </w:r>
      <w:r w:rsidR="00AA24D6" w:rsidRPr="001F2F1A">
        <w:rPr>
          <w:rFonts w:asciiTheme="majorHAnsi" w:hAnsiTheme="majorHAnsi"/>
          <w:noProof w:val="0"/>
          <w:sz w:val="20"/>
          <w:szCs w:val="20"/>
          <w:lang w:val="es-ES_tradnl"/>
        </w:rPr>
        <w:t xml:space="preserve"> Trabajadores de la</w:t>
      </w:r>
      <w:r w:rsidR="008D6DF3" w:rsidRPr="001F2F1A">
        <w:rPr>
          <w:rFonts w:asciiTheme="majorHAnsi" w:hAnsiTheme="majorHAnsi"/>
          <w:noProof w:val="0"/>
          <w:sz w:val="20"/>
          <w:szCs w:val="20"/>
          <w:lang w:val="es-ES_tradnl"/>
        </w:rPr>
        <w:t xml:space="preserve"> SUNAT</w:t>
      </w:r>
      <w:r w:rsidR="000D59A1" w:rsidRPr="001F2F1A">
        <w:rPr>
          <w:rFonts w:asciiTheme="majorHAnsi" w:hAnsiTheme="majorHAnsi"/>
          <w:noProof w:val="0"/>
          <w:sz w:val="20"/>
          <w:szCs w:val="20"/>
          <w:lang w:val="es-ES_tradnl"/>
        </w:rPr>
        <w:t>-</w:t>
      </w:r>
      <w:r w:rsidR="00A143FF" w:rsidRPr="001F2F1A">
        <w:rPr>
          <w:rFonts w:asciiTheme="majorHAnsi" w:hAnsiTheme="majorHAnsi"/>
          <w:noProof w:val="0"/>
          <w:sz w:val="20"/>
          <w:szCs w:val="20"/>
          <w:lang w:val="es-ES_tradnl"/>
        </w:rPr>
        <w:t>Superintendencia Nacional Adjunta de Aduanas</w:t>
      </w:r>
      <w:r w:rsidR="00A379BB" w:rsidRPr="001F2F1A">
        <w:rPr>
          <w:rFonts w:asciiTheme="majorHAnsi" w:hAnsiTheme="majorHAnsi"/>
          <w:noProof w:val="0"/>
          <w:sz w:val="20"/>
          <w:szCs w:val="20"/>
          <w:lang w:val="es-ES_tradnl"/>
        </w:rPr>
        <w:t xml:space="preserve"> </w:t>
      </w:r>
      <w:r w:rsidR="000C7990" w:rsidRPr="001F2F1A">
        <w:rPr>
          <w:rFonts w:asciiTheme="majorHAnsi" w:hAnsiTheme="majorHAnsi"/>
          <w:noProof w:val="0"/>
          <w:sz w:val="20"/>
          <w:szCs w:val="20"/>
          <w:lang w:val="es-ES_tradnl"/>
        </w:rPr>
        <w:t>(en adelante</w:t>
      </w:r>
      <w:r w:rsidR="0031577F" w:rsidRPr="001F2F1A">
        <w:rPr>
          <w:rFonts w:asciiTheme="majorHAnsi" w:hAnsiTheme="majorHAnsi"/>
          <w:noProof w:val="0"/>
          <w:sz w:val="20"/>
          <w:szCs w:val="20"/>
          <w:lang w:val="es-ES_tradnl"/>
        </w:rPr>
        <w:t>,</w:t>
      </w:r>
      <w:r w:rsidR="000C7990" w:rsidRPr="001F2F1A">
        <w:rPr>
          <w:rFonts w:asciiTheme="majorHAnsi" w:hAnsiTheme="majorHAnsi"/>
          <w:noProof w:val="0"/>
          <w:sz w:val="20"/>
          <w:szCs w:val="20"/>
          <w:lang w:val="es-ES_tradnl"/>
        </w:rPr>
        <w:t xml:space="preserve"> “SINTRADUANAS”)</w:t>
      </w:r>
      <w:r w:rsidR="00435B3A" w:rsidRPr="001F2F1A">
        <w:rPr>
          <w:rFonts w:asciiTheme="majorHAnsi" w:hAnsiTheme="majorHAnsi"/>
          <w:noProof w:val="0"/>
          <w:sz w:val="20"/>
          <w:szCs w:val="20"/>
          <w:lang w:val="es-ES_tradnl"/>
        </w:rPr>
        <w:t xml:space="preserve"> </w:t>
      </w:r>
      <w:r w:rsidR="00630487" w:rsidRPr="001F2F1A">
        <w:rPr>
          <w:rFonts w:asciiTheme="majorHAnsi" w:hAnsiTheme="majorHAnsi"/>
          <w:noProof w:val="0"/>
          <w:sz w:val="20"/>
          <w:szCs w:val="20"/>
          <w:lang w:val="es-ES_tradnl"/>
        </w:rPr>
        <w:t>interpus</w:t>
      </w:r>
      <w:r w:rsidR="001E5275" w:rsidRPr="001F2F1A">
        <w:rPr>
          <w:rFonts w:asciiTheme="majorHAnsi" w:hAnsiTheme="majorHAnsi"/>
          <w:noProof w:val="0"/>
          <w:sz w:val="20"/>
          <w:szCs w:val="20"/>
          <w:lang w:val="es-ES_tradnl"/>
        </w:rPr>
        <w:t>o</w:t>
      </w:r>
      <w:r w:rsidR="00435B3A" w:rsidRPr="001F2F1A">
        <w:rPr>
          <w:rFonts w:asciiTheme="majorHAnsi" w:hAnsiTheme="majorHAnsi"/>
          <w:noProof w:val="0"/>
          <w:sz w:val="20"/>
          <w:szCs w:val="20"/>
          <w:lang w:val="es-ES_tradnl"/>
        </w:rPr>
        <w:t xml:space="preserve"> una </w:t>
      </w:r>
      <w:r w:rsidR="00630487" w:rsidRPr="001F2F1A">
        <w:rPr>
          <w:rFonts w:asciiTheme="majorHAnsi" w:hAnsiTheme="majorHAnsi"/>
          <w:noProof w:val="0"/>
          <w:sz w:val="20"/>
          <w:szCs w:val="20"/>
          <w:lang w:val="es-ES_tradnl"/>
        </w:rPr>
        <w:t xml:space="preserve">demanda de amparo </w:t>
      </w:r>
      <w:r w:rsidR="004A5ECF" w:rsidRPr="001F2F1A">
        <w:rPr>
          <w:rFonts w:asciiTheme="majorHAnsi" w:hAnsiTheme="majorHAnsi"/>
          <w:noProof w:val="0"/>
          <w:sz w:val="20"/>
          <w:szCs w:val="20"/>
          <w:lang w:val="es-ES_tradnl"/>
        </w:rPr>
        <w:t xml:space="preserve">en </w:t>
      </w:r>
      <w:r w:rsidR="00630487" w:rsidRPr="001F2F1A">
        <w:rPr>
          <w:rFonts w:asciiTheme="majorHAnsi" w:hAnsiTheme="majorHAnsi"/>
          <w:noProof w:val="0"/>
          <w:sz w:val="20"/>
          <w:szCs w:val="20"/>
          <w:lang w:val="es-ES_tradnl"/>
        </w:rPr>
        <w:t xml:space="preserve">contra </w:t>
      </w:r>
      <w:r w:rsidR="001E5275" w:rsidRPr="001F2F1A">
        <w:rPr>
          <w:rFonts w:asciiTheme="majorHAnsi" w:hAnsiTheme="majorHAnsi"/>
          <w:noProof w:val="0"/>
          <w:sz w:val="20"/>
          <w:szCs w:val="20"/>
          <w:lang w:val="es-ES_tradnl"/>
        </w:rPr>
        <w:t xml:space="preserve">de </w:t>
      </w:r>
      <w:r w:rsidR="004A5ECF" w:rsidRPr="001F2F1A">
        <w:rPr>
          <w:rFonts w:asciiTheme="majorHAnsi" w:hAnsiTheme="majorHAnsi"/>
          <w:noProof w:val="0"/>
          <w:sz w:val="20"/>
          <w:szCs w:val="20"/>
          <w:lang w:val="es-ES_tradnl"/>
        </w:rPr>
        <w:t xml:space="preserve">la </w:t>
      </w:r>
      <w:r w:rsidR="00630487" w:rsidRPr="001F2F1A">
        <w:rPr>
          <w:rFonts w:asciiTheme="majorHAnsi" w:hAnsiTheme="majorHAnsi"/>
          <w:noProof w:val="0"/>
          <w:sz w:val="20"/>
          <w:szCs w:val="20"/>
          <w:lang w:val="es-ES_tradnl"/>
        </w:rPr>
        <w:t>SUNAT</w:t>
      </w:r>
      <w:r w:rsidR="00A63454" w:rsidRPr="001F2F1A">
        <w:rPr>
          <w:rFonts w:asciiTheme="majorHAnsi" w:hAnsiTheme="majorHAnsi"/>
          <w:noProof w:val="0"/>
          <w:sz w:val="20"/>
          <w:szCs w:val="20"/>
          <w:lang w:val="es-ES_tradnl"/>
        </w:rPr>
        <w:t xml:space="preserve"> ante el Primer Juzgado </w:t>
      </w:r>
      <w:r w:rsidR="00CB7EAF" w:rsidRPr="001F2F1A">
        <w:rPr>
          <w:rFonts w:asciiTheme="majorHAnsi" w:hAnsiTheme="majorHAnsi"/>
          <w:noProof w:val="0"/>
          <w:sz w:val="20"/>
          <w:szCs w:val="20"/>
          <w:lang w:val="es-ES_tradnl"/>
        </w:rPr>
        <w:t xml:space="preserve">Especializado </w:t>
      </w:r>
      <w:r w:rsidR="00A63454" w:rsidRPr="001F2F1A">
        <w:rPr>
          <w:rFonts w:asciiTheme="majorHAnsi" w:hAnsiTheme="majorHAnsi"/>
          <w:noProof w:val="0"/>
          <w:sz w:val="20"/>
          <w:szCs w:val="20"/>
          <w:lang w:val="es-ES_tradnl"/>
        </w:rPr>
        <w:t xml:space="preserve">Civil de Lima </w:t>
      </w:r>
      <w:r w:rsidR="00630487" w:rsidRPr="001F2F1A">
        <w:rPr>
          <w:rFonts w:asciiTheme="majorHAnsi" w:hAnsiTheme="majorHAnsi"/>
          <w:noProof w:val="0"/>
          <w:sz w:val="20"/>
          <w:szCs w:val="20"/>
          <w:lang w:val="es-ES_tradnl"/>
        </w:rPr>
        <w:t>solicitando</w:t>
      </w:r>
      <w:r w:rsidR="004A5ECF" w:rsidRPr="001F2F1A">
        <w:rPr>
          <w:rFonts w:asciiTheme="majorHAnsi" w:hAnsiTheme="majorHAnsi"/>
          <w:noProof w:val="0"/>
          <w:sz w:val="20"/>
          <w:szCs w:val="20"/>
          <w:lang w:val="es-ES_tradnl"/>
        </w:rPr>
        <w:t xml:space="preserve">: </w:t>
      </w:r>
      <w:r w:rsidR="00435B3A" w:rsidRPr="001F2F1A">
        <w:rPr>
          <w:rFonts w:asciiTheme="majorHAnsi" w:hAnsiTheme="majorHAnsi"/>
          <w:noProof w:val="0"/>
          <w:sz w:val="20"/>
          <w:szCs w:val="20"/>
          <w:lang w:val="es-ES_tradnl"/>
        </w:rPr>
        <w:t>(i)</w:t>
      </w:r>
      <w:r w:rsidR="00F7587C" w:rsidRPr="001F2F1A">
        <w:rPr>
          <w:rFonts w:asciiTheme="majorHAnsi" w:hAnsiTheme="majorHAnsi"/>
          <w:noProof w:val="0"/>
          <w:sz w:val="20"/>
          <w:szCs w:val="20"/>
          <w:lang w:val="es-ES_tradnl"/>
        </w:rPr>
        <w:t xml:space="preserve"> se ordene la</w:t>
      </w:r>
      <w:r w:rsidR="00435B3A" w:rsidRPr="001F2F1A">
        <w:rPr>
          <w:rFonts w:asciiTheme="majorHAnsi" w:hAnsiTheme="majorHAnsi"/>
          <w:noProof w:val="0"/>
          <w:sz w:val="20"/>
          <w:szCs w:val="20"/>
          <w:lang w:val="es-ES_tradnl"/>
        </w:rPr>
        <w:t xml:space="preserve"> homologación de las remuneraciones percibidas por </w:t>
      </w:r>
      <w:r w:rsidR="00F7587C" w:rsidRPr="001F2F1A">
        <w:rPr>
          <w:rFonts w:asciiTheme="majorHAnsi" w:hAnsiTheme="majorHAnsi"/>
          <w:noProof w:val="0"/>
          <w:sz w:val="20"/>
          <w:szCs w:val="20"/>
          <w:lang w:val="es-ES_tradnl"/>
        </w:rPr>
        <w:t>los trabajadores</w:t>
      </w:r>
      <w:r w:rsidR="00435B3A" w:rsidRPr="001F2F1A">
        <w:rPr>
          <w:rFonts w:asciiTheme="majorHAnsi" w:hAnsiTheme="majorHAnsi"/>
          <w:noProof w:val="0"/>
          <w:sz w:val="20"/>
          <w:szCs w:val="20"/>
          <w:lang w:val="es-ES_tradnl"/>
        </w:rPr>
        <w:t xml:space="preserve"> provenientes de </w:t>
      </w:r>
      <w:r w:rsidR="00A379BB" w:rsidRPr="001F2F1A">
        <w:rPr>
          <w:rFonts w:asciiTheme="majorHAnsi" w:hAnsiTheme="majorHAnsi"/>
          <w:noProof w:val="0"/>
          <w:sz w:val="20"/>
          <w:szCs w:val="20"/>
          <w:lang w:val="es-ES_tradnl"/>
        </w:rPr>
        <w:t>la SUNAD,</w:t>
      </w:r>
      <w:r w:rsidR="00435B3A" w:rsidRPr="001F2F1A">
        <w:rPr>
          <w:rFonts w:asciiTheme="majorHAnsi" w:hAnsiTheme="majorHAnsi"/>
          <w:noProof w:val="0"/>
          <w:sz w:val="20"/>
          <w:szCs w:val="20"/>
          <w:lang w:val="es-ES_tradnl"/>
        </w:rPr>
        <w:t xml:space="preserve"> </w:t>
      </w:r>
      <w:r w:rsidR="00F7587C" w:rsidRPr="001F2F1A">
        <w:rPr>
          <w:rFonts w:asciiTheme="majorHAnsi" w:hAnsiTheme="majorHAnsi"/>
          <w:noProof w:val="0"/>
          <w:sz w:val="20"/>
          <w:szCs w:val="20"/>
          <w:lang w:val="es-ES_tradnl"/>
        </w:rPr>
        <w:t xml:space="preserve">con los </w:t>
      </w:r>
      <w:r w:rsidR="00435B3A" w:rsidRPr="001F2F1A">
        <w:rPr>
          <w:rFonts w:asciiTheme="majorHAnsi" w:hAnsiTheme="majorHAnsi"/>
          <w:noProof w:val="0"/>
          <w:sz w:val="20"/>
          <w:szCs w:val="20"/>
          <w:lang w:val="es-ES_tradnl"/>
        </w:rPr>
        <w:t xml:space="preserve">que ocupaban cargos de igual nivel y categoría </w:t>
      </w:r>
      <w:r w:rsidR="00F7587C" w:rsidRPr="001F2F1A">
        <w:rPr>
          <w:rFonts w:asciiTheme="majorHAnsi" w:hAnsiTheme="majorHAnsi"/>
          <w:noProof w:val="0"/>
          <w:sz w:val="20"/>
          <w:szCs w:val="20"/>
          <w:lang w:val="es-ES_tradnl"/>
        </w:rPr>
        <w:t>en la SUNAT</w:t>
      </w:r>
      <w:r w:rsidR="00435B3A" w:rsidRPr="001F2F1A">
        <w:rPr>
          <w:rFonts w:asciiTheme="majorHAnsi" w:hAnsiTheme="majorHAnsi"/>
          <w:noProof w:val="0"/>
          <w:sz w:val="20"/>
          <w:szCs w:val="20"/>
          <w:lang w:val="es-ES_tradnl"/>
        </w:rPr>
        <w:t xml:space="preserve">; (ii) se </w:t>
      </w:r>
      <w:r w:rsidR="004A5ECF" w:rsidRPr="001F2F1A">
        <w:rPr>
          <w:rFonts w:asciiTheme="majorHAnsi" w:hAnsiTheme="majorHAnsi"/>
          <w:noProof w:val="0"/>
          <w:sz w:val="20"/>
          <w:szCs w:val="20"/>
          <w:lang w:val="es-ES_tradnl"/>
        </w:rPr>
        <w:t>declar</w:t>
      </w:r>
      <w:r w:rsidR="006A4394" w:rsidRPr="001F2F1A">
        <w:rPr>
          <w:rFonts w:asciiTheme="majorHAnsi" w:hAnsiTheme="majorHAnsi"/>
          <w:noProof w:val="0"/>
          <w:sz w:val="20"/>
          <w:szCs w:val="20"/>
          <w:lang w:val="es-ES_tradnl"/>
        </w:rPr>
        <w:t>e</w:t>
      </w:r>
      <w:r w:rsidR="00435B3A" w:rsidRPr="001F2F1A">
        <w:rPr>
          <w:rFonts w:asciiTheme="majorHAnsi" w:hAnsiTheme="majorHAnsi"/>
          <w:noProof w:val="0"/>
          <w:sz w:val="20"/>
          <w:szCs w:val="20"/>
          <w:lang w:val="es-ES_tradnl"/>
        </w:rPr>
        <w:t xml:space="preserve"> inaplicable el artículo 1 del Decreto Supremo </w:t>
      </w:r>
      <w:r w:rsidR="00673874" w:rsidRPr="001F2F1A">
        <w:rPr>
          <w:rFonts w:asciiTheme="majorHAnsi" w:hAnsiTheme="majorHAnsi"/>
          <w:noProof w:val="0"/>
          <w:sz w:val="20"/>
          <w:szCs w:val="20"/>
          <w:lang w:val="es-ES_tradnl"/>
        </w:rPr>
        <w:t xml:space="preserve">No. </w:t>
      </w:r>
      <w:r w:rsidR="00972031" w:rsidRPr="001F2F1A">
        <w:rPr>
          <w:rFonts w:asciiTheme="majorHAnsi" w:hAnsiTheme="majorHAnsi"/>
          <w:noProof w:val="0"/>
          <w:sz w:val="20"/>
          <w:szCs w:val="20"/>
          <w:lang w:val="es-ES_tradnl"/>
        </w:rPr>
        <w:t>1</w:t>
      </w:r>
      <w:r w:rsidR="00435B3A" w:rsidRPr="001F2F1A">
        <w:rPr>
          <w:rFonts w:asciiTheme="majorHAnsi" w:hAnsiTheme="majorHAnsi"/>
          <w:noProof w:val="0"/>
          <w:sz w:val="20"/>
          <w:szCs w:val="20"/>
          <w:lang w:val="es-ES_tradnl"/>
        </w:rPr>
        <w:t xml:space="preserve">16-2003-EF de </w:t>
      </w:r>
      <w:r w:rsidR="00AA24D6" w:rsidRPr="001F2F1A">
        <w:rPr>
          <w:rFonts w:asciiTheme="majorHAnsi" w:hAnsiTheme="majorHAnsi"/>
          <w:noProof w:val="0"/>
          <w:sz w:val="20"/>
          <w:szCs w:val="20"/>
          <w:lang w:val="es-ES_tradnl"/>
        </w:rPr>
        <w:t>7</w:t>
      </w:r>
      <w:r w:rsidR="00435B3A" w:rsidRPr="001F2F1A">
        <w:rPr>
          <w:rFonts w:asciiTheme="majorHAnsi" w:hAnsiTheme="majorHAnsi"/>
          <w:noProof w:val="0"/>
          <w:sz w:val="20"/>
          <w:szCs w:val="20"/>
          <w:lang w:val="es-ES_tradnl"/>
        </w:rPr>
        <w:t xml:space="preserve"> de febrero de 2003</w:t>
      </w:r>
      <w:r w:rsidR="00A379BB" w:rsidRPr="001F2F1A">
        <w:rPr>
          <w:rFonts w:asciiTheme="majorHAnsi" w:hAnsiTheme="majorHAnsi"/>
          <w:noProof w:val="0"/>
          <w:sz w:val="20"/>
          <w:szCs w:val="20"/>
          <w:lang w:val="es-ES_tradnl"/>
        </w:rPr>
        <w:t>,</w:t>
      </w:r>
      <w:r w:rsidR="00FC6AE8" w:rsidRPr="001F2F1A">
        <w:rPr>
          <w:rFonts w:asciiTheme="majorHAnsi" w:hAnsiTheme="majorHAnsi"/>
          <w:noProof w:val="0"/>
          <w:sz w:val="20"/>
          <w:szCs w:val="20"/>
          <w:lang w:val="es-ES_tradnl"/>
        </w:rPr>
        <w:t xml:space="preserve"> </w:t>
      </w:r>
      <w:r w:rsidR="00053999" w:rsidRPr="001F2F1A">
        <w:rPr>
          <w:rFonts w:asciiTheme="majorHAnsi" w:hAnsiTheme="majorHAnsi"/>
          <w:noProof w:val="0"/>
          <w:sz w:val="20"/>
          <w:szCs w:val="20"/>
          <w:lang w:val="es-ES_tradnl"/>
        </w:rPr>
        <w:t xml:space="preserve">que dispone la </w:t>
      </w:r>
      <w:r w:rsidR="003D1835" w:rsidRPr="001F2F1A">
        <w:rPr>
          <w:rFonts w:asciiTheme="majorHAnsi" w:hAnsiTheme="majorHAnsi"/>
          <w:noProof w:val="0"/>
          <w:sz w:val="20"/>
          <w:szCs w:val="20"/>
          <w:lang w:val="es-ES_tradnl"/>
        </w:rPr>
        <w:t>reducción</w:t>
      </w:r>
      <w:r w:rsidR="00053999" w:rsidRPr="001F2F1A">
        <w:rPr>
          <w:rFonts w:asciiTheme="majorHAnsi" w:hAnsiTheme="majorHAnsi"/>
          <w:noProof w:val="0"/>
          <w:sz w:val="20"/>
          <w:szCs w:val="20"/>
          <w:lang w:val="es-ES_tradnl"/>
        </w:rPr>
        <w:t xml:space="preserve"> de 16 a 14 el </w:t>
      </w:r>
      <w:r w:rsidR="00361142" w:rsidRPr="001F2F1A">
        <w:rPr>
          <w:rFonts w:asciiTheme="majorHAnsi" w:hAnsiTheme="majorHAnsi"/>
          <w:noProof w:val="0"/>
          <w:sz w:val="20"/>
          <w:szCs w:val="20"/>
          <w:lang w:val="es-ES_tradnl"/>
        </w:rPr>
        <w:t>número</w:t>
      </w:r>
      <w:r w:rsidR="00053999" w:rsidRPr="001F2F1A">
        <w:rPr>
          <w:rFonts w:asciiTheme="majorHAnsi" w:hAnsiTheme="majorHAnsi"/>
          <w:noProof w:val="0"/>
          <w:sz w:val="20"/>
          <w:szCs w:val="20"/>
          <w:lang w:val="es-ES_tradnl"/>
        </w:rPr>
        <w:t xml:space="preserve"> de remuneraciones anuales percibidas por los </w:t>
      </w:r>
      <w:r w:rsidR="00B86A63" w:rsidRPr="001F2F1A">
        <w:rPr>
          <w:rFonts w:asciiTheme="majorHAnsi" w:hAnsiTheme="majorHAnsi"/>
          <w:noProof w:val="0"/>
          <w:sz w:val="20"/>
          <w:szCs w:val="20"/>
          <w:lang w:val="es-ES_tradnl"/>
        </w:rPr>
        <w:t>trabajadores</w:t>
      </w:r>
      <w:r w:rsidR="00053999" w:rsidRPr="001F2F1A">
        <w:rPr>
          <w:rFonts w:asciiTheme="majorHAnsi" w:hAnsiTheme="majorHAnsi"/>
          <w:noProof w:val="0"/>
          <w:sz w:val="20"/>
          <w:szCs w:val="20"/>
          <w:lang w:val="es-ES_tradnl"/>
        </w:rPr>
        <w:t xml:space="preserve"> </w:t>
      </w:r>
      <w:r w:rsidR="00B86A63" w:rsidRPr="001F2F1A">
        <w:rPr>
          <w:rFonts w:asciiTheme="majorHAnsi" w:hAnsiTheme="majorHAnsi"/>
          <w:noProof w:val="0"/>
          <w:sz w:val="20"/>
          <w:szCs w:val="20"/>
          <w:lang w:val="es-ES_tradnl"/>
        </w:rPr>
        <w:t>de</w:t>
      </w:r>
      <w:r w:rsidR="00053999" w:rsidRPr="001F2F1A">
        <w:rPr>
          <w:rFonts w:asciiTheme="majorHAnsi" w:hAnsiTheme="majorHAnsi"/>
          <w:noProof w:val="0"/>
          <w:sz w:val="20"/>
          <w:szCs w:val="20"/>
          <w:lang w:val="es-ES_tradnl"/>
        </w:rPr>
        <w:t xml:space="preserve"> la </w:t>
      </w:r>
      <w:r w:rsidR="00A379BB" w:rsidRPr="001F2F1A">
        <w:rPr>
          <w:rFonts w:asciiTheme="majorHAnsi" w:hAnsiTheme="majorHAnsi"/>
          <w:noProof w:val="0"/>
          <w:sz w:val="20"/>
          <w:szCs w:val="20"/>
          <w:lang w:val="es-ES_tradnl"/>
        </w:rPr>
        <w:t>SUNAD</w:t>
      </w:r>
      <w:r w:rsidR="00053999" w:rsidRPr="001F2F1A">
        <w:rPr>
          <w:rFonts w:asciiTheme="majorHAnsi" w:hAnsiTheme="majorHAnsi"/>
          <w:noProof w:val="0"/>
          <w:sz w:val="20"/>
          <w:szCs w:val="20"/>
          <w:lang w:val="es-ES_tradnl"/>
        </w:rPr>
        <w:t>, especialmente las boni</w:t>
      </w:r>
      <w:r w:rsidR="00B86A63" w:rsidRPr="001F2F1A">
        <w:rPr>
          <w:rFonts w:asciiTheme="majorHAnsi" w:hAnsiTheme="majorHAnsi"/>
          <w:noProof w:val="0"/>
          <w:sz w:val="20"/>
          <w:szCs w:val="20"/>
          <w:lang w:val="es-ES_tradnl"/>
        </w:rPr>
        <w:t>fi</w:t>
      </w:r>
      <w:r w:rsidR="00053999" w:rsidRPr="001F2F1A">
        <w:rPr>
          <w:rFonts w:asciiTheme="majorHAnsi" w:hAnsiTheme="majorHAnsi"/>
          <w:noProof w:val="0"/>
          <w:sz w:val="20"/>
          <w:szCs w:val="20"/>
          <w:lang w:val="es-ES_tradnl"/>
        </w:rPr>
        <w:t xml:space="preserve">caciones de escolaridad y vacaciones; y (iii) </w:t>
      </w:r>
      <w:r w:rsidR="00972031" w:rsidRPr="001F2F1A">
        <w:rPr>
          <w:rFonts w:asciiTheme="majorHAnsi" w:hAnsiTheme="majorHAnsi"/>
          <w:noProof w:val="0"/>
          <w:sz w:val="20"/>
          <w:szCs w:val="20"/>
          <w:lang w:val="es-ES_tradnl"/>
        </w:rPr>
        <w:t xml:space="preserve">se reconozca </w:t>
      </w:r>
      <w:r w:rsidR="00053999" w:rsidRPr="001F2F1A">
        <w:rPr>
          <w:rFonts w:asciiTheme="majorHAnsi" w:hAnsiTheme="majorHAnsi"/>
          <w:noProof w:val="0"/>
          <w:sz w:val="20"/>
          <w:szCs w:val="20"/>
          <w:lang w:val="es-ES_tradnl"/>
        </w:rPr>
        <w:t>el pago de</w:t>
      </w:r>
      <w:r w:rsidR="00B86A63" w:rsidRPr="001F2F1A">
        <w:rPr>
          <w:rFonts w:asciiTheme="majorHAnsi" w:hAnsiTheme="majorHAnsi"/>
          <w:noProof w:val="0"/>
          <w:sz w:val="20"/>
          <w:szCs w:val="20"/>
          <w:lang w:val="es-ES_tradnl"/>
        </w:rPr>
        <w:t xml:space="preserve"> </w:t>
      </w:r>
      <w:r w:rsidR="00972031" w:rsidRPr="001F2F1A">
        <w:rPr>
          <w:rFonts w:asciiTheme="majorHAnsi" w:hAnsiTheme="majorHAnsi"/>
          <w:noProof w:val="0"/>
          <w:sz w:val="20"/>
          <w:szCs w:val="20"/>
          <w:lang w:val="es-ES_tradnl"/>
        </w:rPr>
        <w:t xml:space="preserve">sumas </w:t>
      </w:r>
      <w:r w:rsidR="00053999" w:rsidRPr="001F2F1A">
        <w:rPr>
          <w:rFonts w:asciiTheme="majorHAnsi" w:hAnsiTheme="majorHAnsi"/>
          <w:noProof w:val="0"/>
          <w:sz w:val="20"/>
          <w:szCs w:val="20"/>
          <w:lang w:val="es-ES_tradnl"/>
        </w:rPr>
        <w:t>deveng</w:t>
      </w:r>
      <w:r w:rsidR="00B86A63" w:rsidRPr="001F2F1A">
        <w:rPr>
          <w:rFonts w:asciiTheme="majorHAnsi" w:hAnsiTheme="majorHAnsi"/>
          <w:noProof w:val="0"/>
          <w:sz w:val="20"/>
          <w:szCs w:val="20"/>
          <w:lang w:val="es-ES_tradnl"/>
        </w:rPr>
        <w:t>a</w:t>
      </w:r>
      <w:r w:rsidR="00053999" w:rsidRPr="001F2F1A">
        <w:rPr>
          <w:rFonts w:asciiTheme="majorHAnsi" w:hAnsiTheme="majorHAnsi"/>
          <w:noProof w:val="0"/>
          <w:sz w:val="20"/>
          <w:szCs w:val="20"/>
          <w:lang w:val="es-ES_tradnl"/>
        </w:rPr>
        <w:t>das</w:t>
      </w:r>
      <w:r w:rsidR="00972031" w:rsidRPr="001F2F1A">
        <w:rPr>
          <w:rFonts w:asciiTheme="majorHAnsi" w:hAnsiTheme="majorHAnsi"/>
          <w:noProof w:val="0"/>
          <w:sz w:val="20"/>
          <w:szCs w:val="20"/>
          <w:lang w:val="es-ES_tradnl"/>
        </w:rPr>
        <w:t xml:space="preserve"> y por devenga</w:t>
      </w:r>
      <w:r w:rsidR="00AE58A6" w:rsidRPr="001F2F1A">
        <w:rPr>
          <w:rFonts w:asciiTheme="majorHAnsi" w:hAnsiTheme="majorHAnsi"/>
          <w:noProof w:val="0"/>
          <w:sz w:val="20"/>
          <w:szCs w:val="20"/>
          <w:lang w:val="es-ES_tradnl"/>
        </w:rPr>
        <w:t>r</w:t>
      </w:r>
      <w:r w:rsidR="00053999" w:rsidRPr="001F2F1A">
        <w:rPr>
          <w:rFonts w:asciiTheme="majorHAnsi" w:hAnsiTheme="majorHAnsi"/>
          <w:noProof w:val="0"/>
          <w:sz w:val="20"/>
          <w:szCs w:val="20"/>
          <w:lang w:val="es-ES_tradnl"/>
        </w:rPr>
        <w:t xml:space="preserve"> </w:t>
      </w:r>
      <w:r w:rsidR="00361142" w:rsidRPr="001F2F1A">
        <w:rPr>
          <w:rFonts w:asciiTheme="majorHAnsi" w:hAnsiTheme="majorHAnsi"/>
          <w:noProof w:val="0"/>
          <w:sz w:val="20"/>
          <w:szCs w:val="20"/>
          <w:lang w:val="es-ES_tradnl"/>
        </w:rPr>
        <w:t>más</w:t>
      </w:r>
      <w:r w:rsidR="00053999" w:rsidRPr="001F2F1A">
        <w:rPr>
          <w:rFonts w:asciiTheme="majorHAnsi" w:hAnsiTheme="majorHAnsi"/>
          <w:noProof w:val="0"/>
          <w:sz w:val="20"/>
          <w:szCs w:val="20"/>
          <w:lang w:val="es-ES_tradnl"/>
        </w:rPr>
        <w:t xml:space="preserve"> los intereses legales</w:t>
      </w:r>
      <w:r w:rsidR="001E5275" w:rsidRPr="001F2F1A">
        <w:rPr>
          <w:rFonts w:asciiTheme="majorHAnsi" w:hAnsiTheme="majorHAnsi"/>
          <w:noProof w:val="0"/>
          <w:sz w:val="20"/>
          <w:szCs w:val="20"/>
          <w:lang w:val="es-ES_tradnl"/>
        </w:rPr>
        <w:t>.</w:t>
      </w:r>
      <w:r w:rsidR="00A63454" w:rsidRPr="001F2F1A">
        <w:rPr>
          <w:rFonts w:asciiTheme="majorHAnsi" w:hAnsiTheme="majorHAnsi"/>
          <w:noProof w:val="0"/>
          <w:sz w:val="20"/>
          <w:szCs w:val="20"/>
          <w:lang w:val="es-ES_tradnl"/>
        </w:rPr>
        <w:t xml:space="preserve"> </w:t>
      </w:r>
      <w:r w:rsidR="00A11590" w:rsidRPr="001F2F1A">
        <w:rPr>
          <w:rFonts w:asciiTheme="majorHAnsi" w:hAnsiTheme="majorHAnsi"/>
          <w:noProof w:val="0"/>
          <w:sz w:val="20"/>
          <w:szCs w:val="20"/>
          <w:lang w:val="es-ES_tradnl"/>
        </w:rPr>
        <w:t xml:space="preserve">En </w:t>
      </w:r>
      <w:r w:rsidR="00C238F2" w:rsidRPr="001F2F1A">
        <w:rPr>
          <w:rFonts w:asciiTheme="majorHAnsi" w:hAnsiTheme="majorHAnsi"/>
          <w:noProof w:val="0"/>
          <w:sz w:val="20"/>
          <w:szCs w:val="20"/>
          <w:lang w:val="es-ES_tradnl"/>
        </w:rPr>
        <w:t>razón</w:t>
      </w:r>
      <w:r w:rsidR="00C86EB3" w:rsidRPr="001F2F1A">
        <w:rPr>
          <w:rFonts w:asciiTheme="majorHAnsi" w:hAnsiTheme="majorHAnsi"/>
          <w:noProof w:val="0"/>
          <w:sz w:val="20"/>
          <w:szCs w:val="20"/>
          <w:lang w:val="es-ES_tradnl"/>
        </w:rPr>
        <w:t xml:space="preserve"> a</w:t>
      </w:r>
      <w:r w:rsidR="00A11590" w:rsidRPr="001F2F1A">
        <w:rPr>
          <w:rFonts w:asciiTheme="majorHAnsi" w:hAnsiTheme="majorHAnsi"/>
          <w:noProof w:val="0"/>
          <w:sz w:val="20"/>
          <w:szCs w:val="20"/>
          <w:lang w:val="es-ES_tradnl"/>
        </w:rPr>
        <w:t xml:space="preserve"> ello</w:t>
      </w:r>
      <w:r w:rsidR="004A5ECF" w:rsidRPr="001F2F1A">
        <w:rPr>
          <w:rFonts w:asciiTheme="majorHAnsi" w:hAnsiTheme="majorHAnsi"/>
          <w:noProof w:val="0"/>
          <w:sz w:val="20"/>
          <w:szCs w:val="20"/>
          <w:lang w:val="es-ES_tradnl"/>
        </w:rPr>
        <w:t xml:space="preserve">, </w:t>
      </w:r>
      <w:r w:rsidR="008F79C2" w:rsidRPr="001F2F1A">
        <w:rPr>
          <w:rFonts w:asciiTheme="majorHAnsi" w:hAnsiTheme="majorHAnsi"/>
          <w:noProof w:val="0"/>
          <w:sz w:val="20"/>
          <w:szCs w:val="20"/>
          <w:lang w:val="es-ES_tradnl"/>
        </w:rPr>
        <w:t xml:space="preserve">el 18 de </w:t>
      </w:r>
      <w:r w:rsidR="00A11590" w:rsidRPr="001F2F1A">
        <w:rPr>
          <w:rFonts w:asciiTheme="majorHAnsi" w:hAnsiTheme="majorHAnsi"/>
          <w:noProof w:val="0"/>
          <w:sz w:val="20"/>
          <w:szCs w:val="20"/>
          <w:lang w:val="es-ES_tradnl"/>
        </w:rPr>
        <w:t>abril</w:t>
      </w:r>
      <w:r w:rsidR="008F79C2" w:rsidRPr="001F2F1A">
        <w:rPr>
          <w:rFonts w:asciiTheme="majorHAnsi" w:hAnsiTheme="majorHAnsi"/>
          <w:noProof w:val="0"/>
          <w:sz w:val="20"/>
          <w:szCs w:val="20"/>
          <w:lang w:val="es-ES_tradnl"/>
        </w:rPr>
        <w:t xml:space="preserve"> de 2007 el </w:t>
      </w:r>
      <w:r w:rsidR="000F274A" w:rsidRPr="001F2F1A">
        <w:rPr>
          <w:rFonts w:asciiTheme="majorHAnsi" w:hAnsiTheme="majorHAnsi"/>
          <w:noProof w:val="0"/>
          <w:sz w:val="20"/>
          <w:szCs w:val="20"/>
          <w:lang w:val="es-ES_tradnl"/>
        </w:rPr>
        <w:t xml:space="preserve">citado </w:t>
      </w:r>
      <w:r w:rsidR="00D15D2E" w:rsidRPr="001F2F1A">
        <w:rPr>
          <w:rFonts w:asciiTheme="majorHAnsi" w:hAnsiTheme="majorHAnsi"/>
          <w:noProof w:val="0"/>
          <w:sz w:val="20"/>
          <w:szCs w:val="20"/>
          <w:lang w:val="es-ES_tradnl"/>
        </w:rPr>
        <w:t>j</w:t>
      </w:r>
      <w:r w:rsidR="00821C9A" w:rsidRPr="001F2F1A">
        <w:rPr>
          <w:rFonts w:asciiTheme="majorHAnsi" w:hAnsiTheme="majorHAnsi"/>
          <w:noProof w:val="0"/>
          <w:sz w:val="20"/>
          <w:szCs w:val="20"/>
          <w:lang w:val="es-ES_tradnl"/>
        </w:rPr>
        <w:t xml:space="preserve">uzgado </w:t>
      </w:r>
      <w:r w:rsidR="0012079F" w:rsidRPr="001F2F1A">
        <w:rPr>
          <w:rFonts w:asciiTheme="majorHAnsi" w:hAnsiTheme="majorHAnsi"/>
          <w:noProof w:val="0"/>
          <w:sz w:val="20"/>
          <w:szCs w:val="20"/>
          <w:lang w:val="es-ES_tradnl"/>
        </w:rPr>
        <w:t>declaró fundada en parte la demanda</w:t>
      </w:r>
      <w:r w:rsidR="00E5617D" w:rsidRPr="001F2F1A">
        <w:rPr>
          <w:rFonts w:asciiTheme="majorHAnsi" w:hAnsiTheme="majorHAnsi"/>
          <w:noProof w:val="0"/>
          <w:sz w:val="20"/>
          <w:szCs w:val="20"/>
          <w:lang w:val="es-ES_tradnl"/>
        </w:rPr>
        <w:t>,</w:t>
      </w:r>
      <w:r w:rsidR="0012079F" w:rsidRPr="001F2F1A">
        <w:rPr>
          <w:rFonts w:asciiTheme="majorHAnsi" w:hAnsiTheme="majorHAnsi"/>
          <w:noProof w:val="0"/>
          <w:sz w:val="20"/>
          <w:szCs w:val="20"/>
          <w:lang w:val="es-ES_tradnl"/>
        </w:rPr>
        <w:t xml:space="preserve"> </w:t>
      </w:r>
      <w:r w:rsidR="00CB7EAF" w:rsidRPr="001F2F1A">
        <w:rPr>
          <w:rFonts w:asciiTheme="majorHAnsi" w:hAnsiTheme="majorHAnsi"/>
          <w:noProof w:val="0"/>
          <w:sz w:val="20"/>
          <w:szCs w:val="20"/>
          <w:lang w:val="es-ES_tradnl"/>
        </w:rPr>
        <w:t xml:space="preserve">ordenando a la SUNAT </w:t>
      </w:r>
      <w:r w:rsidR="00D15D2E" w:rsidRPr="001F2F1A">
        <w:rPr>
          <w:rFonts w:asciiTheme="majorHAnsi" w:hAnsiTheme="majorHAnsi"/>
          <w:noProof w:val="0"/>
          <w:sz w:val="20"/>
          <w:szCs w:val="20"/>
          <w:lang w:val="es-ES_tradnl"/>
        </w:rPr>
        <w:t xml:space="preserve">que </w:t>
      </w:r>
      <w:r w:rsidR="00CB7EAF" w:rsidRPr="001F2F1A">
        <w:rPr>
          <w:rFonts w:asciiTheme="majorHAnsi" w:hAnsiTheme="majorHAnsi"/>
          <w:noProof w:val="0"/>
          <w:sz w:val="20"/>
          <w:szCs w:val="20"/>
          <w:lang w:val="es-ES_tradnl"/>
        </w:rPr>
        <w:t>homologue las remuneraciones que perciben los afiliados al sindicato de trabajadores con los servidores de igual nivel</w:t>
      </w:r>
      <w:r w:rsidR="002671D8" w:rsidRPr="001F2F1A">
        <w:rPr>
          <w:rFonts w:asciiTheme="majorHAnsi" w:hAnsiTheme="majorHAnsi"/>
          <w:noProof w:val="0"/>
          <w:sz w:val="20"/>
          <w:szCs w:val="20"/>
          <w:lang w:val="es-ES_tradnl"/>
        </w:rPr>
        <w:t xml:space="preserve"> y </w:t>
      </w:r>
      <w:r w:rsidR="00CB7EAF" w:rsidRPr="001F2F1A">
        <w:rPr>
          <w:rFonts w:asciiTheme="majorHAnsi" w:hAnsiTheme="majorHAnsi"/>
          <w:noProof w:val="0"/>
          <w:sz w:val="20"/>
          <w:szCs w:val="20"/>
          <w:lang w:val="es-ES_tradnl"/>
        </w:rPr>
        <w:t>categoría que</w:t>
      </w:r>
      <w:r w:rsidR="002671D8" w:rsidRPr="001F2F1A">
        <w:rPr>
          <w:rFonts w:asciiTheme="majorHAnsi" w:hAnsiTheme="majorHAnsi"/>
          <w:noProof w:val="0"/>
          <w:sz w:val="20"/>
          <w:szCs w:val="20"/>
          <w:lang w:val="es-ES_tradnl"/>
        </w:rPr>
        <w:t xml:space="preserve"> trabajan</w:t>
      </w:r>
      <w:r w:rsidR="00CB7EAF" w:rsidRPr="001F2F1A">
        <w:rPr>
          <w:rFonts w:asciiTheme="majorHAnsi" w:hAnsiTheme="majorHAnsi"/>
          <w:noProof w:val="0"/>
          <w:sz w:val="20"/>
          <w:szCs w:val="20"/>
          <w:lang w:val="es-ES_tradnl"/>
        </w:rPr>
        <w:t xml:space="preserve"> en </w:t>
      </w:r>
      <w:r w:rsidR="00F42C1D" w:rsidRPr="001F2F1A">
        <w:rPr>
          <w:rFonts w:asciiTheme="majorHAnsi" w:hAnsiTheme="majorHAnsi"/>
          <w:noProof w:val="0"/>
          <w:sz w:val="20"/>
          <w:szCs w:val="20"/>
          <w:lang w:val="es-ES_tradnl"/>
        </w:rPr>
        <w:t>la</w:t>
      </w:r>
      <w:r w:rsidR="00CB7EAF" w:rsidRPr="001F2F1A">
        <w:rPr>
          <w:rFonts w:asciiTheme="majorHAnsi" w:hAnsiTheme="majorHAnsi"/>
          <w:noProof w:val="0"/>
          <w:sz w:val="20"/>
          <w:szCs w:val="20"/>
          <w:lang w:val="es-ES_tradnl"/>
        </w:rPr>
        <w:t xml:space="preserve"> SUNAT</w:t>
      </w:r>
      <w:r w:rsidR="0012079F" w:rsidRPr="001F2F1A">
        <w:rPr>
          <w:rFonts w:asciiTheme="majorHAnsi" w:hAnsiTheme="majorHAnsi"/>
          <w:noProof w:val="0"/>
          <w:sz w:val="20"/>
          <w:szCs w:val="20"/>
          <w:lang w:val="es-ES_tradnl"/>
        </w:rPr>
        <w:t xml:space="preserve">. </w:t>
      </w:r>
    </w:p>
    <w:p w14:paraId="371E2901" w14:textId="24F5C12E" w:rsidR="00AD4153" w:rsidRPr="001F2F1A" w:rsidRDefault="00CB7EAF" w:rsidP="002D11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Explica que </w:t>
      </w:r>
      <w:r w:rsidR="002D116E" w:rsidRPr="001F2F1A">
        <w:rPr>
          <w:rFonts w:asciiTheme="majorHAnsi" w:hAnsiTheme="majorHAnsi"/>
          <w:noProof w:val="0"/>
          <w:sz w:val="20"/>
          <w:szCs w:val="20"/>
          <w:lang w:val="es-ES_tradnl"/>
        </w:rPr>
        <w:t xml:space="preserve">la SUNAD y SUNAT apelaron tal decisión </w:t>
      </w:r>
      <w:r w:rsidRPr="001F2F1A">
        <w:rPr>
          <w:rFonts w:asciiTheme="majorHAnsi" w:hAnsiTheme="majorHAnsi"/>
          <w:noProof w:val="0"/>
          <w:sz w:val="20"/>
          <w:szCs w:val="20"/>
          <w:lang w:val="es-ES_tradnl"/>
        </w:rPr>
        <w:t xml:space="preserve">ante la </w:t>
      </w:r>
      <w:r w:rsidR="00B65DEB" w:rsidRPr="001F2F1A">
        <w:rPr>
          <w:rFonts w:asciiTheme="majorHAnsi" w:hAnsiTheme="majorHAnsi"/>
          <w:noProof w:val="0"/>
          <w:sz w:val="20"/>
          <w:szCs w:val="20"/>
          <w:lang w:val="es-ES_tradnl"/>
        </w:rPr>
        <w:t xml:space="preserve">Sexta </w:t>
      </w:r>
      <w:r w:rsidR="0012079F" w:rsidRPr="001F2F1A">
        <w:rPr>
          <w:rFonts w:asciiTheme="majorHAnsi" w:hAnsiTheme="majorHAnsi"/>
          <w:noProof w:val="0"/>
          <w:sz w:val="20"/>
          <w:szCs w:val="20"/>
          <w:lang w:val="es-ES_tradnl"/>
        </w:rPr>
        <w:t xml:space="preserve">Sala </w:t>
      </w:r>
      <w:r w:rsidR="00D34557" w:rsidRPr="001F2F1A">
        <w:rPr>
          <w:rFonts w:asciiTheme="majorHAnsi" w:hAnsiTheme="majorHAnsi"/>
          <w:noProof w:val="0"/>
          <w:sz w:val="20"/>
          <w:szCs w:val="20"/>
          <w:lang w:val="es-ES_tradnl"/>
        </w:rPr>
        <w:t>Civil</w:t>
      </w:r>
      <w:r w:rsidR="0012079F"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de la Corte Superior de Justicia, la cual</w:t>
      </w:r>
      <w:r w:rsidR="0012079F" w:rsidRPr="001F2F1A">
        <w:rPr>
          <w:rFonts w:asciiTheme="majorHAnsi" w:hAnsiTheme="majorHAnsi"/>
          <w:noProof w:val="0"/>
          <w:sz w:val="20"/>
          <w:szCs w:val="20"/>
          <w:lang w:val="es-ES_tradnl"/>
        </w:rPr>
        <w:t xml:space="preserve"> </w:t>
      </w:r>
      <w:r w:rsidR="00E62614" w:rsidRPr="001F2F1A">
        <w:rPr>
          <w:rFonts w:asciiTheme="majorHAnsi" w:hAnsiTheme="majorHAnsi"/>
          <w:noProof w:val="0"/>
          <w:sz w:val="20"/>
          <w:szCs w:val="20"/>
          <w:lang w:val="es-ES_tradnl"/>
        </w:rPr>
        <w:t>revoc</w:t>
      </w:r>
      <w:r w:rsidR="00D34557" w:rsidRPr="001F2F1A">
        <w:rPr>
          <w:rFonts w:asciiTheme="majorHAnsi" w:hAnsiTheme="majorHAnsi"/>
          <w:noProof w:val="0"/>
          <w:sz w:val="20"/>
          <w:szCs w:val="20"/>
          <w:lang w:val="es-ES_tradnl"/>
        </w:rPr>
        <w:t>ó</w:t>
      </w:r>
      <w:r w:rsidR="0012079F" w:rsidRPr="001F2F1A">
        <w:rPr>
          <w:rFonts w:asciiTheme="majorHAnsi" w:hAnsiTheme="majorHAnsi"/>
          <w:noProof w:val="0"/>
          <w:sz w:val="20"/>
          <w:szCs w:val="20"/>
          <w:lang w:val="es-ES_tradnl"/>
        </w:rPr>
        <w:t xml:space="preserve"> la </w:t>
      </w:r>
      <w:r w:rsidRPr="001F2F1A">
        <w:rPr>
          <w:rFonts w:asciiTheme="majorHAnsi" w:hAnsiTheme="majorHAnsi"/>
          <w:noProof w:val="0"/>
          <w:sz w:val="20"/>
          <w:szCs w:val="20"/>
          <w:lang w:val="es-ES_tradnl"/>
        </w:rPr>
        <w:t>sentencia de primera instancia</w:t>
      </w:r>
      <w:r w:rsidR="00A379BB"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declar</w:t>
      </w:r>
      <w:r w:rsidR="00A379BB" w:rsidRPr="001F2F1A">
        <w:rPr>
          <w:rFonts w:asciiTheme="majorHAnsi" w:hAnsiTheme="majorHAnsi"/>
          <w:noProof w:val="0"/>
          <w:sz w:val="20"/>
          <w:szCs w:val="20"/>
          <w:lang w:val="es-ES_tradnl"/>
        </w:rPr>
        <w:t>ando</w:t>
      </w:r>
      <w:r w:rsidRPr="001F2F1A">
        <w:rPr>
          <w:rFonts w:asciiTheme="majorHAnsi" w:hAnsiTheme="majorHAnsi"/>
          <w:noProof w:val="0"/>
          <w:sz w:val="20"/>
          <w:szCs w:val="20"/>
          <w:lang w:val="es-ES_tradnl"/>
        </w:rPr>
        <w:t xml:space="preserve"> improcedente l</w:t>
      </w:r>
      <w:r w:rsidR="0012079F" w:rsidRPr="001F2F1A">
        <w:rPr>
          <w:rFonts w:asciiTheme="majorHAnsi" w:hAnsiTheme="majorHAnsi"/>
          <w:noProof w:val="0"/>
          <w:sz w:val="20"/>
          <w:szCs w:val="20"/>
          <w:lang w:val="es-ES_tradnl"/>
        </w:rPr>
        <w:t>a homologación</w:t>
      </w:r>
      <w:r w:rsidR="00A379BB" w:rsidRPr="001F2F1A">
        <w:rPr>
          <w:rFonts w:asciiTheme="majorHAnsi" w:hAnsiTheme="majorHAnsi"/>
          <w:noProof w:val="0"/>
          <w:sz w:val="20"/>
          <w:szCs w:val="20"/>
          <w:lang w:val="es-ES_tradnl"/>
        </w:rPr>
        <w:t xml:space="preserve">, pero </w:t>
      </w:r>
      <w:r w:rsidR="00CC7350" w:rsidRPr="001F2F1A">
        <w:rPr>
          <w:rFonts w:asciiTheme="majorHAnsi" w:hAnsiTheme="majorHAnsi"/>
          <w:noProof w:val="0"/>
          <w:sz w:val="20"/>
          <w:szCs w:val="20"/>
          <w:lang w:val="es-ES_tradnl"/>
        </w:rPr>
        <w:t>con</w:t>
      </w:r>
      <w:r w:rsidR="00A379BB" w:rsidRPr="001F2F1A">
        <w:rPr>
          <w:rFonts w:asciiTheme="majorHAnsi" w:hAnsiTheme="majorHAnsi"/>
          <w:noProof w:val="0"/>
          <w:sz w:val="20"/>
          <w:szCs w:val="20"/>
          <w:lang w:val="es-ES_tradnl"/>
        </w:rPr>
        <w:t xml:space="preserve">firmando </w:t>
      </w:r>
      <w:r w:rsidR="00CC7350" w:rsidRPr="001F2F1A">
        <w:rPr>
          <w:rFonts w:asciiTheme="majorHAnsi" w:hAnsiTheme="majorHAnsi"/>
          <w:noProof w:val="0"/>
          <w:sz w:val="20"/>
          <w:szCs w:val="20"/>
          <w:lang w:val="es-ES_tradnl"/>
        </w:rPr>
        <w:t xml:space="preserve">el extremo que </w:t>
      </w:r>
      <w:r w:rsidR="00FB634C" w:rsidRPr="001F2F1A">
        <w:rPr>
          <w:rFonts w:asciiTheme="majorHAnsi" w:hAnsiTheme="majorHAnsi"/>
          <w:noProof w:val="0"/>
          <w:sz w:val="20"/>
          <w:szCs w:val="20"/>
          <w:lang w:val="es-ES_tradnl"/>
        </w:rPr>
        <w:t>declaró</w:t>
      </w:r>
      <w:r w:rsidR="00CC7350" w:rsidRPr="001F2F1A">
        <w:rPr>
          <w:rFonts w:asciiTheme="majorHAnsi" w:hAnsiTheme="majorHAnsi"/>
          <w:noProof w:val="0"/>
          <w:sz w:val="20"/>
          <w:szCs w:val="20"/>
          <w:lang w:val="es-ES_tradnl"/>
        </w:rPr>
        <w:t xml:space="preserve"> infundada la demanda </w:t>
      </w:r>
      <w:r w:rsidR="00DB4376" w:rsidRPr="001F2F1A">
        <w:rPr>
          <w:rFonts w:asciiTheme="majorHAnsi" w:hAnsiTheme="majorHAnsi"/>
          <w:noProof w:val="0"/>
          <w:sz w:val="20"/>
          <w:szCs w:val="20"/>
          <w:lang w:val="es-ES_tradnl"/>
        </w:rPr>
        <w:t>sobre</w:t>
      </w:r>
      <w:r w:rsidR="00B65DEB" w:rsidRPr="001F2F1A">
        <w:rPr>
          <w:rFonts w:asciiTheme="majorHAnsi" w:hAnsiTheme="majorHAnsi"/>
          <w:noProof w:val="0"/>
          <w:sz w:val="20"/>
          <w:szCs w:val="20"/>
          <w:lang w:val="es-ES_tradnl"/>
        </w:rPr>
        <w:t xml:space="preserve"> la inaplicación del </w:t>
      </w:r>
      <w:r w:rsidR="00914741" w:rsidRPr="001F2F1A">
        <w:rPr>
          <w:rFonts w:asciiTheme="majorHAnsi" w:hAnsiTheme="majorHAnsi"/>
          <w:noProof w:val="0"/>
          <w:sz w:val="20"/>
          <w:szCs w:val="20"/>
          <w:lang w:val="es-ES_tradnl"/>
        </w:rPr>
        <w:t xml:space="preserve">citado </w:t>
      </w:r>
      <w:r w:rsidR="00B65DEB" w:rsidRPr="001F2F1A">
        <w:rPr>
          <w:rFonts w:asciiTheme="majorHAnsi" w:hAnsiTheme="majorHAnsi"/>
          <w:noProof w:val="0"/>
          <w:sz w:val="20"/>
          <w:szCs w:val="20"/>
          <w:lang w:val="es-ES_tradnl"/>
        </w:rPr>
        <w:t xml:space="preserve">artículo 1 del Decreto Supremo </w:t>
      </w:r>
      <w:r w:rsidR="00FC6AE8" w:rsidRPr="001F2F1A">
        <w:rPr>
          <w:rFonts w:asciiTheme="majorHAnsi" w:hAnsiTheme="majorHAnsi"/>
          <w:noProof w:val="0"/>
          <w:sz w:val="20"/>
          <w:szCs w:val="20"/>
          <w:lang w:val="es-ES_tradnl"/>
        </w:rPr>
        <w:t>Nº 0</w:t>
      </w:r>
      <w:r w:rsidR="00B65DEB" w:rsidRPr="001F2F1A">
        <w:rPr>
          <w:rFonts w:asciiTheme="majorHAnsi" w:hAnsiTheme="majorHAnsi"/>
          <w:noProof w:val="0"/>
          <w:sz w:val="20"/>
          <w:szCs w:val="20"/>
          <w:lang w:val="es-ES_tradnl"/>
        </w:rPr>
        <w:t>16-2003-EF</w:t>
      </w:r>
      <w:r w:rsidRPr="001F2F1A">
        <w:rPr>
          <w:rFonts w:asciiTheme="majorHAnsi" w:hAnsiTheme="majorHAnsi"/>
          <w:noProof w:val="0"/>
          <w:sz w:val="20"/>
          <w:szCs w:val="20"/>
          <w:lang w:val="es-ES_tradnl"/>
        </w:rPr>
        <w:t>.</w:t>
      </w:r>
      <w:r w:rsidR="00F42C1D"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 xml:space="preserve">En </w:t>
      </w:r>
      <w:r w:rsidR="00AC0F5D" w:rsidRPr="001F2F1A">
        <w:rPr>
          <w:rFonts w:asciiTheme="majorHAnsi" w:hAnsiTheme="majorHAnsi"/>
          <w:noProof w:val="0"/>
          <w:sz w:val="20"/>
          <w:szCs w:val="20"/>
          <w:lang w:val="es-ES_tradnl"/>
        </w:rPr>
        <w:t>consecuencia</w:t>
      </w:r>
      <w:r w:rsidRPr="001F2F1A">
        <w:rPr>
          <w:rFonts w:asciiTheme="majorHAnsi" w:hAnsiTheme="majorHAnsi"/>
          <w:noProof w:val="0"/>
          <w:sz w:val="20"/>
          <w:szCs w:val="20"/>
          <w:lang w:val="es-ES_tradnl"/>
        </w:rPr>
        <w:t xml:space="preserve">, </w:t>
      </w:r>
      <w:r w:rsidR="008D6DF3" w:rsidRPr="001F2F1A">
        <w:rPr>
          <w:rFonts w:asciiTheme="majorHAnsi" w:hAnsiTheme="majorHAnsi"/>
          <w:noProof w:val="0"/>
          <w:sz w:val="20"/>
          <w:szCs w:val="20"/>
          <w:lang w:val="es-ES_tradnl"/>
        </w:rPr>
        <w:t xml:space="preserve">SINTRADUANAS </w:t>
      </w:r>
      <w:r w:rsidR="002671D8" w:rsidRPr="001F2F1A">
        <w:rPr>
          <w:rFonts w:asciiTheme="majorHAnsi" w:hAnsiTheme="majorHAnsi"/>
          <w:noProof w:val="0"/>
          <w:sz w:val="20"/>
          <w:szCs w:val="20"/>
          <w:lang w:val="es-ES_tradnl"/>
        </w:rPr>
        <w:t>presentó</w:t>
      </w:r>
      <w:r w:rsidRPr="001F2F1A">
        <w:rPr>
          <w:rFonts w:asciiTheme="majorHAnsi" w:hAnsiTheme="majorHAnsi"/>
          <w:noProof w:val="0"/>
          <w:sz w:val="20"/>
          <w:szCs w:val="20"/>
          <w:lang w:val="es-ES_tradnl"/>
        </w:rPr>
        <w:t xml:space="preserve"> recurso de agravio constitucional</w:t>
      </w:r>
      <w:r w:rsidR="002D116E" w:rsidRPr="001F2F1A">
        <w:rPr>
          <w:rFonts w:asciiTheme="majorHAnsi" w:hAnsiTheme="majorHAnsi"/>
          <w:noProof w:val="0"/>
          <w:sz w:val="20"/>
          <w:szCs w:val="20"/>
          <w:lang w:val="es-ES_tradnl"/>
        </w:rPr>
        <w:t xml:space="preserve"> y el 18 de octubre de 2007 </w:t>
      </w:r>
      <w:r w:rsidRPr="001F2F1A">
        <w:rPr>
          <w:rFonts w:asciiTheme="majorHAnsi" w:hAnsiTheme="majorHAnsi"/>
          <w:noProof w:val="0"/>
          <w:sz w:val="20"/>
          <w:szCs w:val="20"/>
          <w:lang w:val="es-ES_tradnl"/>
        </w:rPr>
        <w:t>el Tribunal Constitucional</w:t>
      </w:r>
      <w:r w:rsidR="00C704F4" w:rsidRPr="001F2F1A">
        <w:rPr>
          <w:rFonts w:asciiTheme="majorHAnsi" w:hAnsiTheme="majorHAnsi"/>
          <w:noProof w:val="0"/>
          <w:sz w:val="20"/>
          <w:szCs w:val="20"/>
          <w:lang w:val="es-ES_tradnl"/>
        </w:rPr>
        <w:t>,</w:t>
      </w:r>
      <w:r w:rsidR="002D116E" w:rsidRPr="001F2F1A">
        <w:rPr>
          <w:rFonts w:asciiTheme="majorHAnsi" w:hAnsiTheme="majorHAnsi"/>
          <w:noProof w:val="0"/>
          <w:sz w:val="20"/>
          <w:szCs w:val="20"/>
          <w:lang w:val="es-ES_tradnl"/>
        </w:rPr>
        <w:t xml:space="preserve"> </w:t>
      </w:r>
      <w:r w:rsidR="00336A24" w:rsidRPr="001F2F1A">
        <w:rPr>
          <w:rFonts w:asciiTheme="majorHAnsi" w:hAnsiTheme="majorHAnsi"/>
          <w:noProof w:val="0"/>
          <w:sz w:val="20"/>
          <w:szCs w:val="20"/>
          <w:lang w:val="es-ES_tradnl"/>
        </w:rPr>
        <w:t>mediante sentencia</w:t>
      </w:r>
      <w:r w:rsidR="005F758E" w:rsidRPr="001F2F1A">
        <w:rPr>
          <w:rFonts w:asciiTheme="majorHAnsi" w:hAnsiTheme="majorHAnsi"/>
          <w:noProof w:val="0"/>
          <w:sz w:val="20"/>
          <w:szCs w:val="20"/>
          <w:lang w:val="es-ES_tradnl"/>
        </w:rPr>
        <w:t xml:space="preserve"> recaída en el </w:t>
      </w:r>
      <w:r w:rsidR="00336A24" w:rsidRPr="001F2F1A">
        <w:rPr>
          <w:rFonts w:asciiTheme="majorHAnsi" w:hAnsiTheme="majorHAnsi"/>
          <w:noProof w:val="0"/>
          <w:sz w:val="20"/>
          <w:szCs w:val="20"/>
          <w:lang w:val="es-ES_tradnl"/>
        </w:rPr>
        <w:t>expediente 04922-2007-PAC/TC</w:t>
      </w:r>
      <w:r w:rsidR="00C704F4" w:rsidRPr="001F2F1A">
        <w:rPr>
          <w:rFonts w:asciiTheme="majorHAnsi" w:hAnsiTheme="majorHAnsi"/>
          <w:noProof w:val="0"/>
          <w:sz w:val="20"/>
          <w:szCs w:val="20"/>
          <w:lang w:val="es-ES_tradnl"/>
        </w:rPr>
        <w:t>,</w:t>
      </w:r>
      <w:r w:rsidR="00336A24" w:rsidRPr="001F2F1A">
        <w:rPr>
          <w:rFonts w:asciiTheme="majorHAnsi" w:hAnsiTheme="majorHAnsi"/>
          <w:noProof w:val="0"/>
          <w:sz w:val="20"/>
          <w:szCs w:val="20"/>
          <w:lang w:val="es-ES_tradnl"/>
        </w:rPr>
        <w:t xml:space="preserve"> </w:t>
      </w:r>
      <w:r w:rsidR="004A5ECF" w:rsidRPr="001F2F1A">
        <w:rPr>
          <w:rFonts w:asciiTheme="majorHAnsi" w:hAnsiTheme="majorHAnsi"/>
          <w:noProof w:val="0"/>
          <w:sz w:val="20"/>
          <w:szCs w:val="20"/>
          <w:lang w:val="es-ES_tradnl"/>
        </w:rPr>
        <w:t>declaró</w:t>
      </w:r>
      <w:r w:rsidR="008F79C2" w:rsidRPr="001F2F1A">
        <w:rPr>
          <w:rFonts w:asciiTheme="majorHAnsi" w:hAnsiTheme="majorHAnsi"/>
          <w:noProof w:val="0"/>
          <w:sz w:val="20"/>
          <w:szCs w:val="20"/>
          <w:lang w:val="es-ES_tradnl"/>
        </w:rPr>
        <w:t xml:space="preserve"> fundada </w:t>
      </w:r>
      <w:r w:rsidR="004A5ECF" w:rsidRPr="001F2F1A">
        <w:rPr>
          <w:rFonts w:asciiTheme="majorHAnsi" w:hAnsiTheme="majorHAnsi"/>
          <w:noProof w:val="0"/>
          <w:sz w:val="20"/>
          <w:szCs w:val="20"/>
          <w:lang w:val="es-ES_tradnl"/>
        </w:rPr>
        <w:t xml:space="preserve">en parte </w:t>
      </w:r>
      <w:r w:rsidR="008F79C2" w:rsidRPr="001F2F1A">
        <w:rPr>
          <w:rFonts w:asciiTheme="majorHAnsi" w:hAnsiTheme="majorHAnsi"/>
          <w:noProof w:val="0"/>
          <w:sz w:val="20"/>
          <w:szCs w:val="20"/>
          <w:lang w:val="es-ES_tradnl"/>
        </w:rPr>
        <w:t xml:space="preserve">la demanda </w:t>
      </w:r>
      <w:r w:rsidR="00F42C1D" w:rsidRPr="001F2F1A">
        <w:rPr>
          <w:rFonts w:asciiTheme="majorHAnsi" w:hAnsiTheme="majorHAnsi"/>
          <w:noProof w:val="0"/>
          <w:sz w:val="20"/>
          <w:szCs w:val="20"/>
          <w:lang w:val="es-ES_tradnl"/>
        </w:rPr>
        <w:t>sobre</w:t>
      </w:r>
      <w:r w:rsidR="00A70D5C" w:rsidRPr="001F2F1A">
        <w:rPr>
          <w:rFonts w:asciiTheme="majorHAnsi" w:hAnsiTheme="majorHAnsi"/>
          <w:noProof w:val="0"/>
          <w:sz w:val="20"/>
          <w:szCs w:val="20"/>
          <w:lang w:val="es-ES_tradnl"/>
        </w:rPr>
        <w:t xml:space="preserve"> la solicitud de homologación </w:t>
      </w:r>
      <w:r w:rsidR="00760879" w:rsidRPr="001F2F1A">
        <w:rPr>
          <w:rFonts w:asciiTheme="majorHAnsi" w:hAnsiTheme="majorHAnsi"/>
          <w:noProof w:val="0"/>
          <w:sz w:val="20"/>
          <w:szCs w:val="20"/>
          <w:lang w:val="es-ES_tradnl"/>
        </w:rPr>
        <w:t xml:space="preserve">y ordenó </w:t>
      </w:r>
      <w:r w:rsidR="00546001" w:rsidRPr="001F2F1A">
        <w:rPr>
          <w:rFonts w:asciiTheme="majorHAnsi" w:hAnsiTheme="majorHAnsi"/>
          <w:noProof w:val="0"/>
          <w:sz w:val="20"/>
          <w:szCs w:val="20"/>
          <w:lang w:val="es-ES_tradnl"/>
        </w:rPr>
        <w:t>a</w:t>
      </w:r>
      <w:r w:rsidR="00F42C1D" w:rsidRPr="001F2F1A">
        <w:rPr>
          <w:rFonts w:asciiTheme="majorHAnsi" w:hAnsiTheme="majorHAnsi"/>
          <w:noProof w:val="0"/>
          <w:sz w:val="20"/>
          <w:szCs w:val="20"/>
          <w:lang w:val="es-ES_tradnl"/>
        </w:rPr>
        <w:t xml:space="preserve"> </w:t>
      </w:r>
      <w:r w:rsidR="00546001" w:rsidRPr="001F2F1A">
        <w:rPr>
          <w:rFonts w:asciiTheme="majorHAnsi" w:hAnsiTheme="majorHAnsi"/>
          <w:noProof w:val="0"/>
          <w:sz w:val="20"/>
          <w:szCs w:val="20"/>
          <w:lang w:val="es-ES_tradnl"/>
        </w:rPr>
        <w:t>l</w:t>
      </w:r>
      <w:r w:rsidR="00F42C1D" w:rsidRPr="001F2F1A">
        <w:rPr>
          <w:rFonts w:asciiTheme="majorHAnsi" w:hAnsiTheme="majorHAnsi"/>
          <w:noProof w:val="0"/>
          <w:sz w:val="20"/>
          <w:szCs w:val="20"/>
          <w:lang w:val="es-ES_tradnl"/>
        </w:rPr>
        <w:t>a</w:t>
      </w:r>
      <w:r w:rsidR="00546001" w:rsidRPr="001F2F1A">
        <w:rPr>
          <w:rFonts w:asciiTheme="majorHAnsi" w:hAnsiTheme="majorHAnsi"/>
          <w:noProof w:val="0"/>
          <w:sz w:val="20"/>
          <w:szCs w:val="20"/>
          <w:lang w:val="es-ES_tradnl"/>
        </w:rPr>
        <w:t xml:space="preserve"> SUNA</w:t>
      </w:r>
      <w:r w:rsidR="00A70D5C" w:rsidRPr="001F2F1A">
        <w:rPr>
          <w:rFonts w:asciiTheme="majorHAnsi" w:hAnsiTheme="majorHAnsi"/>
          <w:noProof w:val="0"/>
          <w:sz w:val="20"/>
          <w:szCs w:val="20"/>
          <w:lang w:val="es-ES_tradnl"/>
        </w:rPr>
        <w:t>T</w:t>
      </w:r>
      <w:r w:rsidR="00546001" w:rsidRPr="001F2F1A">
        <w:rPr>
          <w:rFonts w:asciiTheme="majorHAnsi" w:hAnsiTheme="majorHAnsi"/>
          <w:noProof w:val="0"/>
          <w:sz w:val="20"/>
          <w:szCs w:val="20"/>
          <w:lang w:val="es-ES_tradnl"/>
        </w:rPr>
        <w:t xml:space="preserve"> homologar a los demandantes su remuneración </w:t>
      </w:r>
      <w:r w:rsidR="00A70D5C" w:rsidRPr="001F2F1A">
        <w:rPr>
          <w:rFonts w:asciiTheme="majorHAnsi" w:hAnsiTheme="majorHAnsi"/>
          <w:noProof w:val="0"/>
          <w:sz w:val="20"/>
          <w:szCs w:val="20"/>
          <w:lang w:val="es-ES_tradnl"/>
        </w:rPr>
        <w:t>“</w:t>
      </w:r>
      <w:r w:rsidR="00546001" w:rsidRPr="001F2F1A">
        <w:rPr>
          <w:rFonts w:asciiTheme="majorHAnsi" w:hAnsiTheme="majorHAnsi"/>
          <w:i/>
          <w:iCs/>
          <w:noProof w:val="0"/>
          <w:sz w:val="20"/>
          <w:szCs w:val="20"/>
          <w:lang w:val="es-ES_tradnl"/>
        </w:rPr>
        <w:t>en igual nivel, cargos y categorías respectivas con los trabajadores de la SUNAT</w:t>
      </w:r>
      <w:r w:rsidR="00A70D5C" w:rsidRPr="001F2F1A">
        <w:rPr>
          <w:rFonts w:asciiTheme="majorHAnsi" w:hAnsiTheme="majorHAnsi"/>
          <w:noProof w:val="0"/>
          <w:sz w:val="20"/>
          <w:szCs w:val="20"/>
          <w:lang w:val="es-ES_tradnl"/>
        </w:rPr>
        <w:t>”</w:t>
      </w:r>
      <w:r w:rsidR="003F7988" w:rsidRPr="001F2F1A">
        <w:rPr>
          <w:rFonts w:asciiTheme="majorHAnsi" w:hAnsiTheme="majorHAnsi"/>
          <w:noProof w:val="0"/>
          <w:sz w:val="20"/>
          <w:szCs w:val="20"/>
          <w:lang w:val="es-ES_tradnl"/>
        </w:rPr>
        <w:t>.</w:t>
      </w:r>
      <w:r w:rsidR="008F79C2" w:rsidRPr="001F2F1A">
        <w:rPr>
          <w:rFonts w:asciiTheme="majorHAnsi" w:hAnsiTheme="majorHAnsi"/>
          <w:noProof w:val="0"/>
          <w:sz w:val="20"/>
          <w:szCs w:val="20"/>
          <w:lang w:val="es-ES_tradnl"/>
        </w:rPr>
        <w:t xml:space="preserve"> </w:t>
      </w:r>
      <w:r w:rsidR="00117A2F" w:rsidRPr="001F2F1A">
        <w:rPr>
          <w:rFonts w:asciiTheme="majorHAnsi" w:hAnsiTheme="majorHAnsi"/>
          <w:noProof w:val="0"/>
          <w:sz w:val="20"/>
          <w:szCs w:val="20"/>
          <w:lang w:val="es-ES_tradnl"/>
        </w:rPr>
        <w:t>Resalta que el Tribunal Constitucional</w:t>
      </w:r>
      <w:r w:rsidR="003F7988" w:rsidRPr="001F2F1A">
        <w:rPr>
          <w:rFonts w:asciiTheme="majorHAnsi" w:hAnsiTheme="majorHAnsi"/>
          <w:noProof w:val="0"/>
          <w:sz w:val="20"/>
          <w:szCs w:val="20"/>
          <w:lang w:val="es-ES_tradnl"/>
        </w:rPr>
        <w:t xml:space="preserve"> </w:t>
      </w:r>
      <w:r w:rsidR="00117A2F" w:rsidRPr="001F2F1A">
        <w:rPr>
          <w:rFonts w:asciiTheme="majorHAnsi" w:hAnsiTheme="majorHAnsi"/>
          <w:noProof w:val="0"/>
          <w:sz w:val="20"/>
          <w:szCs w:val="20"/>
          <w:lang w:val="es-ES_tradnl"/>
        </w:rPr>
        <w:t xml:space="preserve">reconoció que la omisión de la demandada </w:t>
      </w:r>
      <w:r w:rsidR="00313A21" w:rsidRPr="001F2F1A">
        <w:rPr>
          <w:rFonts w:asciiTheme="majorHAnsi" w:hAnsiTheme="majorHAnsi"/>
          <w:noProof w:val="0"/>
          <w:sz w:val="20"/>
          <w:szCs w:val="20"/>
          <w:lang w:val="es-ES_tradnl"/>
        </w:rPr>
        <w:t>de</w:t>
      </w:r>
      <w:r w:rsidR="00117A2F" w:rsidRPr="001F2F1A">
        <w:rPr>
          <w:rFonts w:asciiTheme="majorHAnsi" w:hAnsiTheme="majorHAnsi"/>
          <w:noProof w:val="0"/>
          <w:sz w:val="20"/>
          <w:szCs w:val="20"/>
          <w:lang w:val="es-ES_tradnl"/>
        </w:rPr>
        <w:t xml:space="preserve"> no homologar las remuneraciones resultó discriminatoria e irrazonable, </w:t>
      </w:r>
      <w:r w:rsidR="00760879" w:rsidRPr="001F2F1A">
        <w:rPr>
          <w:rFonts w:asciiTheme="majorHAnsi" w:hAnsiTheme="majorHAnsi"/>
          <w:noProof w:val="0"/>
          <w:sz w:val="20"/>
          <w:szCs w:val="20"/>
          <w:lang w:val="es-ES_tradnl"/>
        </w:rPr>
        <w:t xml:space="preserve">pues </w:t>
      </w:r>
      <w:r w:rsidR="00E02CD1" w:rsidRPr="001F2F1A">
        <w:rPr>
          <w:rFonts w:asciiTheme="majorHAnsi" w:hAnsiTheme="majorHAnsi"/>
          <w:noProof w:val="0"/>
          <w:sz w:val="20"/>
          <w:szCs w:val="20"/>
          <w:lang w:val="es-ES_tradnl"/>
        </w:rPr>
        <w:t xml:space="preserve">no permitió a </w:t>
      </w:r>
      <w:r w:rsidR="00117A2F" w:rsidRPr="001F2F1A">
        <w:rPr>
          <w:rFonts w:asciiTheme="majorHAnsi" w:hAnsiTheme="majorHAnsi"/>
          <w:noProof w:val="0"/>
          <w:sz w:val="20"/>
          <w:szCs w:val="20"/>
          <w:lang w:val="es-ES_tradnl"/>
        </w:rPr>
        <w:t>los demandantes percibir u</w:t>
      </w:r>
      <w:r w:rsidR="00313A21" w:rsidRPr="001F2F1A">
        <w:rPr>
          <w:rFonts w:asciiTheme="majorHAnsi" w:hAnsiTheme="majorHAnsi"/>
          <w:noProof w:val="0"/>
          <w:sz w:val="20"/>
          <w:szCs w:val="20"/>
          <w:lang w:val="es-ES_tradnl"/>
        </w:rPr>
        <w:t>n salario</w:t>
      </w:r>
      <w:r w:rsidR="00117A2F" w:rsidRPr="001F2F1A">
        <w:rPr>
          <w:rFonts w:asciiTheme="majorHAnsi" w:hAnsiTheme="majorHAnsi"/>
          <w:noProof w:val="0"/>
          <w:sz w:val="20"/>
          <w:szCs w:val="20"/>
          <w:lang w:val="es-ES_tradnl"/>
        </w:rPr>
        <w:t xml:space="preserve"> por igual valor y categoría que </w:t>
      </w:r>
      <w:r w:rsidR="00313A21" w:rsidRPr="001F2F1A">
        <w:rPr>
          <w:rFonts w:asciiTheme="majorHAnsi" w:hAnsiTheme="majorHAnsi"/>
          <w:noProof w:val="0"/>
          <w:sz w:val="20"/>
          <w:szCs w:val="20"/>
          <w:lang w:val="es-ES_tradnl"/>
        </w:rPr>
        <w:t>el</w:t>
      </w:r>
      <w:r w:rsidR="00117A2F" w:rsidRPr="001F2F1A">
        <w:rPr>
          <w:rFonts w:asciiTheme="majorHAnsi" w:hAnsiTheme="majorHAnsi"/>
          <w:noProof w:val="0"/>
          <w:sz w:val="20"/>
          <w:szCs w:val="20"/>
          <w:lang w:val="es-ES_tradnl"/>
        </w:rPr>
        <w:t xml:space="preserve"> que </w:t>
      </w:r>
      <w:r w:rsidR="00760879" w:rsidRPr="001F2F1A">
        <w:rPr>
          <w:rFonts w:asciiTheme="majorHAnsi" w:hAnsiTheme="majorHAnsi"/>
          <w:noProof w:val="0"/>
          <w:sz w:val="20"/>
          <w:szCs w:val="20"/>
          <w:lang w:val="es-ES_tradnl"/>
        </w:rPr>
        <w:t>percibían</w:t>
      </w:r>
      <w:r w:rsidR="00117A2F" w:rsidRPr="001F2F1A">
        <w:rPr>
          <w:rFonts w:asciiTheme="majorHAnsi" w:hAnsiTheme="majorHAnsi"/>
          <w:noProof w:val="0"/>
          <w:sz w:val="20"/>
          <w:szCs w:val="20"/>
          <w:lang w:val="es-ES_tradnl"/>
        </w:rPr>
        <w:t xml:space="preserve"> los trabajadores origin</w:t>
      </w:r>
      <w:r w:rsidR="005333DB" w:rsidRPr="001F2F1A">
        <w:rPr>
          <w:rFonts w:asciiTheme="majorHAnsi" w:hAnsiTheme="majorHAnsi"/>
          <w:noProof w:val="0"/>
          <w:sz w:val="20"/>
          <w:szCs w:val="20"/>
          <w:lang w:val="es-ES_tradnl"/>
        </w:rPr>
        <w:t>arios</w:t>
      </w:r>
      <w:r w:rsidR="00117A2F" w:rsidRPr="001F2F1A">
        <w:rPr>
          <w:rFonts w:asciiTheme="majorHAnsi" w:hAnsiTheme="majorHAnsi"/>
          <w:noProof w:val="0"/>
          <w:sz w:val="20"/>
          <w:szCs w:val="20"/>
          <w:lang w:val="es-ES_tradnl"/>
        </w:rPr>
        <w:t xml:space="preserve"> </w:t>
      </w:r>
      <w:r w:rsidR="00F9404F" w:rsidRPr="001F2F1A">
        <w:rPr>
          <w:rFonts w:asciiTheme="majorHAnsi" w:hAnsiTheme="majorHAnsi"/>
          <w:noProof w:val="0"/>
          <w:sz w:val="20"/>
          <w:szCs w:val="20"/>
          <w:lang w:val="es-ES_tradnl"/>
        </w:rPr>
        <w:t>de</w:t>
      </w:r>
      <w:r w:rsidR="00673874" w:rsidRPr="001F2F1A">
        <w:rPr>
          <w:rFonts w:asciiTheme="majorHAnsi" w:hAnsiTheme="majorHAnsi"/>
          <w:noProof w:val="0"/>
          <w:sz w:val="20"/>
          <w:szCs w:val="20"/>
          <w:lang w:val="es-ES_tradnl"/>
        </w:rPr>
        <w:t xml:space="preserve"> </w:t>
      </w:r>
      <w:r w:rsidR="00760879" w:rsidRPr="001F2F1A">
        <w:rPr>
          <w:rFonts w:asciiTheme="majorHAnsi" w:hAnsiTheme="majorHAnsi"/>
          <w:noProof w:val="0"/>
          <w:sz w:val="20"/>
          <w:szCs w:val="20"/>
          <w:lang w:val="es-ES_tradnl"/>
        </w:rPr>
        <w:t>l</w:t>
      </w:r>
      <w:r w:rsidR="00673874" w:rsidRPr="001F2F1A">
        <w:rPr>
          <w:rFonts w:asciiTheme="majorHAnsi" w:hAnsiTheme="majorHAnsi"/>
          <w:noProof w:val="0"/>
          <w:sz w:val="20"/>
          <w:szCs w:val="20"/>
          <w:lang w:val="es-ES_tradnl"/>
        </w:rPr>
        <w:t>a</w:t>
      </w:r>
      <w:r w:rsidR="00F9404F" w:rsidRPr="001F2F1A">
        <w:rPr>
          <w:rFonts w:asciiTheme="majorHAnsi" w:hAnsiTheme="majorHAnsi"/>
          <w:noProof w:val="0"/>
          <w:sz w:val="20"/>
          <w:szCs w:val="20"/>
          <w:lang w:val="es-ES_tradnl"/>
        </w:rPr>
        <w:t xml:space="preserve"> SUNAT.</w:t>
      </w:r>
    </w:p>
    <w:p w14:paraId="26C26C2A" w14:textId="38494337" w:rsidR="00D82997" w:rsidRPr="001F2F1A" w:rsidRDefault="007B09A9" w:rsidP="008216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Ante este resultado, </w:t>
      </w:r>
      <w:r w:rsidR="00117A2F" w:rsidRPr="001F2F1A">
        <w:rPr>
          <w:rFonts w:asciiTheme="majorHAnsi" w:hAnsiTheme="majorHAnsi"/>
          <w:noProof w:val="0"/>
          <w:sz w:val="20"/>
          <w:szCs w:val="20"/>
          <w:lang w:val="es-ES_tradnl"/>
        </w:rPr>
        <w:t xml:space="preserve">indica que </w:t>
      </w:r>
      <w:r w:rsidR="004B167A" w:rsidRPr="001F2F1A">
        <w:rPr>
          <w:rFonts w:asciiTheme="majorHAnsi" w:hAnsiTheme="majorHAnsi"/>
          <w:noProof w:val="0"/>
          <w:sz w:val="20"/>
          <w:szCs w:val="20"/>
          <w:lang w:val="es-ES_tradnl"/>
        </w:rPr>
        <w:t>la SUNAT solicitó a</w:t>
      </w:r>
      <w:r w:rsidR="0023428F" w:rsidRPr="001F2F1A">
        <w:rPr>
          <w:rFonts w:asciiTheme="majorHAnsi" w:hAnsiTheme="majorHAnsi"/>
          <w:noProof w:val="0"/>
          <w:sz w:val="20"/>
          <w:szCs w:val="20"/>
          <w:lang w:val="es-ES_tradnl"/>
        </w:rPr>
        <w:t>l Tribunal</w:t>
      </w:r>
      <w:r w:rsidR="004B167A" w:rsidRPr="001F2F1A">
        <w:rPr>
          <w:rFonts w:asciiTheme="majorHAnsi" w:hAnsiTheme="majorHAnsi"/>
          <w:noProof w:val="0"/>
          <w:sz w:val="20"/>
          <w:szCs w:val="20"/>
          <w:lang w:val="es-ES_tradnl"/>
        </w:rPr>
        <w:t xml:space="preserve"> Constitucional </w:t>
      </w:r>
      <w:r w:rsidR="00F9404F" w:rsidRPr="001F2F1A">
        <w:rPr>
          <w:rFonts w:asciiTheme="majorHAnsi" w:hAnsiTheme="majorHAnsi"/>
          <w:noProof w:val="0"/>
          <w:sz w:val="20"/>
          <w:szCs w:val="20"/>
          <w:lang w:val="es-ES_tradnl"/>
        </w:rPr>
        <w:t>aclaración</w:t>
      </w:r>
      <w:r w:rsidRPr="001F2F1A">
        <w:rPr>
          <w:rFonts w:asciiTheme="majorHAnsi" w:hAnsiTheme="majorHAnsi"/>
          <w:noProof w:val="0"/>
          <w:sz w:val="20"/>
          <w:szCs w:val="20"/>
          <w:lang w:val="es-ES_tradnl"/>
        </w:rPr>
        <w:t xml:space="preserve"> de la sentencia</w:t>
      </w:r>
      <w:r w:rsidR="003F7988" w:rsidRPr="001F2F1A">
        <w:rPr>
          <w:rFonts w:asciiTheme="majorHAnsi" w:hAnsiTheme="majorHAnsi"/>
          <w:noProof w:val="0"/>
          <w:sz w:val="20"/>
          <w:szCs w:val="20"/>
          <w:lang w:val="es-ES_tradnl"/>
        </w:rPr>
        <w:t>;</w:t>
      </w:r>
      <w:r w:rsidR="00313A21" w:rsidRPr="001F2F1A">
        <w:rPr>
          <w:rFonts w:asciiTheme="majorHAnsi" w:hAnsiTheme="majorHAnsi"/>
          <w:noProof w:val="0"/>
          <w:sz w:val="20"/>
          <w:szCs w:val="20"/>
          <w:lang w:val="es-ES_tradnl"/>
        </w:rPr>
        <w:t xml:space="preserve"> </w:t>
      </w:r>
      <w:r w:rsidR="003F7988" w:rsidRPr="001F2F1A">
        <w:rPr>
          <w:rFonts w:asciiTheme="majorHAnsi" w:hAnsiTheme="majorHAnsi"/>
          <w:noProof w:val="0"/>
          <w:sz w:val="20"/>
          <w:szCs w:val="20"/>
          <w:lang w:val="es-ES_tradnl"/>
        </w:rPr>
        <w:t>por lo que</w:t>
      </w:r>
      <w:r w:rsidR="00D82997" w:rsidRPr="001F2F1A">
        <w:rPr>
          <w:rFonts w:asciiTheme="majorHAnsi" w:hAnsiTheme="majorHAnsi"/>
          <w:noProof w:val="0"/>
          <w:sz w:val="20"/>
          <w:szCs w:val="20"/>
          <w:lang w:val="es-ES_tradnl"/>
        </w:rPr>
        <w:t xml:space="preserve"> </w:t>
      </w:r>
      <w:r w:rsidR="00B84777" w:rsidRPr="001F2F1A">
        <w:rPr>
          <w:rFonts w:asciiTheme="majorHAnsi" w:hAnsiTheme="majorHAnsi"/>
          <w:noProof w:val="0"/>
          <w:sz w:val="20"/>
          <w:szCs w:val="20"/>
          <w:lang w:val="es-ES_tradnl"/>
        </w:rPr>
        <w:t>el</w:t>
      </w:r>
      <w:r w:rsidR="004B167A" w:rsidRPr="001F2F1A">
        <w:rPr>
          <w:rFonts w:asciiTheme="majorHAnsi" w:hAnsiTheme="majorHAnsi"/>
          <w:noProof w:val="0"/>
          <w:sz w:val="20"/>
          <w:szCs w:val="20"/>
          <w:lang w:val="es-ES_tradnl"/>
        </w:rPr>
        <w:t xml:space="preserve"> </w:t>
      </w:r>
      <w:r w:rsidR="00F1020B" w:rsidRPr="001F2F1A">
        <w:rPr>
          <w:rFonts w:asciiTheme="majorHAnsi" w:hAnsiTheme="majorHAnsi"/>
          <w:noProof w:val="0"/>
          <w:sz w:val="20"/>
          <w:szCs w:val="20"/>
          <w:lang w:val="es-ES_tradnl"/>
        </w:rPr>
        <w:t xml:space="preserve">18 de junio de 2008 </w:t>
      </w:r>
      <w:r w:rsidR="003F7988" w:rsidRPr="001F2F1A">
        <w:rPr>
          <w:rFonts w:asciiTheme="majorHAnsi" w:hAnsiTheme="majorHAnsi"/>
          <w:noProof w:val="0"/>
          <w:sz w:val="20"/>
          <w:szCs w:val="20"/>
          <w:lang w:val="es-ES_tradnl"/>
        </w:rPr>
        <w:t>este</w:t>
      </w:r>
      <w:r w:rsidR="00D82997" w:rsidRPr="001F2F1A">
        <w:rPr>
          <w:rFonts w:asciiTheme="majorHAnsi" w:hAnsiTheme="majorHAnsi"/>
          <w:noProof w:val="0"/>
          <w:sz w:val="20"/>
          <w:szCs w:val="20"/>
          <w:lang w:val="es-ES_tradnl"/>
        </w:rPr>
        <w:t xml:space="preserve"> </w:t>
      </w:r>
      <w:r w:rsidR="00F1020B" w:rsidRPr="001F2F1A">
        <w:rPr>
          <w:rFonts w:asciiTheme="majorHAnsi" w:hAnsiTheme="majorHAnsi"/>
          <w:noProof w:val="0"/>
          <w:sz w:val="20"/>
          <w:szCs w:val="20"/>
          <w:lang w:val="es-ES_tradnl"/>
        </w:rPr>
        <w:t>emitió</w:t>
      </w:r>
      <w:r w:rsidR="004B167A" w:rsidRPr="001F2F1A">
        <w:rPr>
          <w:rFonts w:asciiTheme="majorHAnsi" w:hAnsiTheme="majorHAnsi"/>
          <w:noProof w:val="0"/>
          <w:sz w:val="20"/>
          <w:szCs w:val="20"/>
          <w:lang w:val="es-ES_tradnl"/>
        </w:rPr>
        <w:t xml:space="preserve"> </w:t>
      </w:r>
      <w:r w:rsidR="003F7988" w:rsidRPr="001F2F1A">
        <w:rPr>
          <w:rFonts w:asciiTheme="majorHAnsi" w:hAnsiTheme="majorHAnsi"/>
          <w:noProof w:val="0"/>
          <w:sz w:val="20"/>
          <w:szCs w:val="20"/>
          <w:lang w:val="es-ES_tradnl"/>
        </w:rPr>
        <w:t xml:space="preserve">una </w:t>
      </w:r>
      <w:r w:rsidR="004B167A" w:rsidRPr="001F2F1A">
        <w:rPr>
          <w:rFonts w:asciiTheme="majorHAnsi" w:hAnsiTheme="majorHAnsi"/>
          <w:noProof w:val="0"/>
          <w:sz w:val="20"/>
          <w:szCs w:val="20"/>
          <w:lang w:val="es-ES_tradnl"/>
        </w:rPr>
        <w:t>aclaratoria</w:t>
      </w:r>
      <w:r w:rsidRPr="001F2F1A">
        <w:rPr>
          <w:rFonts w:asciiTheme="majorHAnsi" w:hAnsiTheme="majorHAnsi"/>
          <w:noProof w:val="0"/>
          <w:sz w:val="20"/>
          <w:szCs w:val="20"/>
          <w:lang w:val="es-ES_tradnl"/>
        </w:rPr>
        <w:t>,</w:t>
      </w:r>
      <w:r w:rsidR="004B167A" w:rsidRPr="001F2F1A">
        <w:rPr>
          <w:rFonts w:asciiTheme="majorHAnsi" w:hAnsiTheme="majorHAnsi"/>
          <w:noProof w:val="0"/>
          <w:sz w:val="20"/>
          <w:szCs w:val="20"/>
          <w:lang w:val="es-ES_tradnl"/>
        </w:rPr>
        <w:t xml:space="preserve"> indicando que “</w:t>
      </w:r>
      <w:r w:rsidR="004B167A" w:rsidRPr="001F2F1A">
        <w:rPr>
          <w:rFonts w:asciiTheme="majorHAnsi" w:hAnsiTheme="majorHAnsi"/>
          <w:i/>
          <w:iCs/>
          <w:noProof w:val="0"/>
          <w:sz w:val="20"/>
          <w:szCs w:val="20"/>
          <w:lang w:val="es-ES_tradnl"/>
        </w:rPr>
        <w:t>la homologación de remuneraciones ordenada en la sentencia debe realizarse en base a la estructura de categorías de carrera de los trabajadores de la SUNAT</w:t>
      </w:r>
      <w:r w:rsidR="00E80667" w:rsidRPr="001F2F1A">
        <w:rPr>
          <w:rFonts w:asciiTheme="majorHAnsi" w:hAnsiTheme="majorHAnsi"/>
          <w:i/>
          <w:iCs/>
          <w:noProof w:val="0"/>
          <w:sz w:val="20"/>
          <w:szCs w:val="20"/>
          <w:lang w:val="es-ES_tradnl"/>
        </w:rPr>
        <w:t xml:space="preserve">, aprobada por la </w:t>
      </w:r>
      <w:r w:rsidR="00F1020B" w:rsidRPr="001F2F1A">
        <w:rPr>
          <w:rFonts w:asciiTheme="majorHAnsi" w:hAnsiTheme="majorHAnsi"/>
          <w:i/>
          <w:iCs/>
          <w:noProof w:val="0"/>
          <w:sz w:val="20"/>
          <w:szCs w:val="20"/>
          <w:lang w:val="es-ES_tradnl"/>
        </w:rPr>
        <w:t>R</w:t>
      </w:r>
      <w:r w:rsidR="00E80667" w:rsidRPr="001F2F1A">
        <w:rPr>
          <w:rFonts w:asciiTheme="majorHAnsi" w:hAnsiTheme="majorHAnsi"/>
          <w:i/>
          <w:iCs/>
          <w:noProof w:val="0"/>
          <w:sz w:val="20"/>
          <w:szCs w:val="20"/>
          <w:lang w:val="es-ES_tradnl"/>
        </w:rPr>
        <w:t xml:space="preserve">esolución de Superintendencia No. 224-2006/SUNAT </w:t>
      </w:r>
      <w:r w:rsidR="00F1020B" w:rsidRPr="001F2F1A">
        <w:rPr>
          <w:rFonts w:asciiTheme="majorHAnsi" w:hAnsiTheme="majorHAnsi"/>
          <w:i/>
          <w:iCs/>
          <w:noProof w:val="0"/>
          <w:sz w:val="20"/>
          <w:szCs w:val="20"/>
          <w:lang w:val="es-ES_tradnl"/>
        </w:rPr>
        <w:t>tomando</w:t>
      </w:r>
      <w:r w:rsidR="004B167A" w:rsidRPr="001F2F1A">
        <w:rPr>
          <w:rFonts w:asciiTheme="majorHAnsi" w:hAnsiTheme="majorHAnsi"/>
          <w:i/>
          <w:iCs/>
          <w:noProof w:val="0"/>
          <w:sz w:val="20"/>
          <w:szCs w:val="20"/>
          <w:lang w:val="es-ES_tradnl"/>
        </w:rPr>
        <w:t xml:space="preserve"> en cuenta</w:t>
      </w:r>
      <w:r w:rsidR="00F1020B" w:rsidRPr="001F2F1A">
        <w:rPr>
          <w:rFonts w:asciiTheme="majorHAnsi" w:hAnsiTheme="majorHAnsi"/>
          <w:i/>
          <w:iCs/>
          <w:noProof w:val="0"/>
          <w:sz w:val="20"/>
          <w:szCs w:val="20"/>
          <w:lang w:val="es-ES_tradnl"/>
        </w:rPr>
        <w:t xml:space="preserve"> las</w:t>
      </w:r>
      <w:r w:rsidR="004B167A" w:rsidRPr="001F2F1A">
        <w:rPr>
          <w:rFonts w:asciiTheme="majorHAnsi" w:hAnsiTheme="majorHAnsi"/>
          <w:i/>
          <w:iCs/>
          <w:noProof w:val="0"/>
          <w:sz w:val="20"/>
          <w:szCs w:val="20"/>
          <w:lang w:val="es-ES_tradnl"/>
        </w:rPr>
        <w:t xml:space="preserve"> categorías y niveles de los trabajadores provenientes de la ex ADUANAS</w:t>
      </w:r>
      <w:r w:rsidR="00D82997" w:rsidRPr="001F2F1A">
        <w:rPr>
          <w:rFonts w:asciiTheme="majorHAnsi" w:hAnsiTheme="majorHAnsi"/>
          <w:i/>
          <w:iCs/>
          <w:noProof w:val="0"/>
          <w:sz w:val="20"/>
          <w:szCs w:val="20"/>
          <w:lang w:val="es-ES_tradnl"/>
        </w:rPr>
        <w:t xml:space="preserve"> en cada caso</w:t>
      </w:r>
      <w:r w:rsidR="00DC441B" w:rsidRPr="001F2F1A">
        <w:rPr>
          <w:rFonts w:asciiTheme="majorHAnsi" w:hAnsiTheme="majorHAnsi"/>
          <w:noProof w:val="0"/>
          <w:sz w:val="20"/>
          <w:szCs w:val="20"/>
          <w:lang w:val="es-ES_tradnl"/>
        </w:rPr>
        <w:t>”</w:t>
      </w:r>
      <w:r w:rsidR="00E02CD1" w:rsidRPr="001F2F1A">
        <w:rPr>
          <w:rFonts w:asciiTheme="majorHAnsi" w:hAnsiTheme="majorHAnsi"/>
          <w:noProof w:val="0"/>
          <w:sz w:val="20"/>
          <w:szCs w:val="20"/>
          <w:lang w:val="es-ES_tradnl"/>
        </w:rPr>
        <w:t>. Asimismo, destacó que tal homologación</w:t>
      </w:r>
      <w:r w:rsidR="00DC441B" w:rsidRPr="001F2F1A">
        <w:rPr>
          <w:rFonts w:asciiTheme="majorHAnsi" w:hAnsiTheme="majorHAnsi"/>
          <w:noProof w:val="0"/>
          <w:sz w:val="20"/>
          <w:szCs w:val="20"/>
          <w:lang w:val="es-ES_tradnl"/>
        </w:rPr>
        <w:t xml:space="preserve"> “</w:t>
      </w:r>
      <w:r w:rsidR="00DC441B" w:rsidRPr="001F2F1A">
        <w:rPr>
          <w:rFonts w:asciiTheme="majorHAnsi" w:hAnsiTheme="majorHAnsi"/>
          <w:i/>
          <w:iCs/>
          <w:noProof w:val="0"/>
          <w:sz w:val="20"/>
          <w:szCs w:val="20"/>
          <w:lang w:val="es-ES_tradnl"/>
        </w:rPr>
        <w:t>deb</w:t>
      </w:r>
      <w:r w:rsidRPr="001F2F1A">
        <w:rPr>
          <w:rFonts w:asciiTheme="majorHAnsi" w:hAnsiTheme="majorHAnsi"/>
          <w:i/>
          <w:iCs/>
          <w:noProof w:val="0"/>
          <w:sz w:val="20"/>
          <w:szCs w:val="20"/>
          <w:lang w:val="es-ES_tradnl"/>
        </w:rPr>
        <w:t>e</w:t>
      </w:r>
      <w:r w:rsidR="00E80667" w:rsidRPr="001F2F1A">
        <w:rPr>
          <w:rFonts w:asciiTheme="majorHAnsi" w:hAnsiTheme="majorHAnsi"/>
          <w:i/>
          <w:iCs/>
          <w:noProof w:val="0"/>
          <w:sz w:val="20"/>
          <w:szCs w:val="20"/>
          <w:lang w:val="es-ES_tradnl"/>
        </w:rPr>
        <w:t xml:space="preserve"> realizarse tomando como parámetro la remuneración </w:t>
      </w:r>
      <w:r w:rsidR="00DC441B" w:rsidRPr="001F2F1A">
        <w:rPr>
          <w:rFonts w:asciiTheme="majorHAnsi" w:hAnsiTheme="majorHAnsi"/>
          <w:i/>
          <w:iCs/>
          <w:noProof w:val="0"/>
          <w:sz w:val="20"/>
          <w:szCs w:val="20"/>
          <w:lang w:val="es-ES_tradnl"/>
        </w:rPr>
        <w:t>p</w:t>
      </w:r>
      <w:r w:rsidR="00E80667" w:rsidRPr="001F2F1A">
        <w:rPr>
          <w:rFonts w:asciiTheme="majorHAnsi" w:hAnsiTheme="majorHAnsi"/>
          <w:i/>
          <w:iCs/>
          <w:noProof w:val="0"/>
          <w:sz w:val="20"/>
          <w:szCs w:val="20"/>
          <w:lang w:val="es-ES_tradnl"/>
        </w:rPr>
        <w:t xml:space="preserve">romedio </w:t>
      </w:r>
      <w:r w:rsidR="00DC441B" w:rsidRPr="001F2F1A">
        <w:rPr>
          <w:rFonts w:asciiTheme="majorHAnsi" w:hAnsiTheme="majorHAnsi"/>
          <w:i/>
          <w:iCs/>
          <w:noProof w:val="0"/>
          <w:sz w:val="20"/>
          <w:szCs w:val="20"/>
          <w:lang w:val="es-ES_tradnl"/>
        </w:rPr>
        <w:t>p</w:t>
      </w:r>
      <w:r w:rsidR="00E80667" w:rsidRPr="001F2F1A">
        <w:rPr>
          <w:rFonts w:asciiTheme="majorHAnsi" w:hAnsiTheme="majorHAnsi"/>
          <w:i/>
          <w:iCs/>
          <w:noProof w:val="0"/>
          <w:sz w:val="20"/>
          <w:szCs w:val="20"/>
          <w:lang w:val="es-ES_tradnl"/>
        </w:rPr>
        <w:t xml:space="preserve">onderada por cada categoría y nivel, </w:t>
      </w:r>
      <w:r w:rsidR="00C31014" w:rsidRPr="001F2F1A">
        <w:rPr>
          <w:rFonts w:asciiTheme="majorHAnsi" w:hAnsiTheme="majorHAnsi"/>
          <w:i/>
          <w:iCs/>
          <w:noProof w:val="0"/>
          <w:sz w:val="20"/>
          <w:szCs w:val="20"/>
          <w:lang w:val="es-ES_tradnl"/>
        </w:rPr>
        <w:t>de acuerdo con</w:t>
      </w:r>
      <w:r w:rsidR="00E80667" w:rsidRPr="001F2F1A">
        <w:rPr>
          <w:rFonts w:asciiTheme="majorHAnsi" w:hAnsiTheme="majorHAnsi"/>
          <w:i/>
          <w:iCs/>
          <w:noProof w:val="0"/>
          <w:sz w:val="20"/>
          <w:szCs w:val="20"/>
          <w:lang w:val="es-ES_tradnl"/>
        </w:rPr>
        <w:t xml:space="preserve"> la estructura prevista por la Resolución de Superintendencia No. 224-</w:t>
      </w:r>
      <w:r w:rsidR="00E80667" w:rsidRPr="001F2F1A">
        <w:rPr>
          <w:rFonts w:asciiTheme="majorHAnsi" w:hAnsiTheme="majorHAnsi"/>
          <w:i/>
          <w:iCs/>
          <w:noProof w:val="0"/>
          <w:sz w:val="20"/>
          <w:szCs w:val="20"/>
          <w:lang w:val="es-ES_tradnl"/>
        </w:rPr>
        <w:lastRenderedPageBreak/>
        <w:t xml:space="preserve">2006/SUNAT y </w:t>
      </w:r>
      <w:r w:rsidR="00EA156B" w:rsidRPr="001F2F1A">
        <w:rPr>
          <w:rFonts w:asciiTheme="majorHAnsi" w:hAnsiTheme="majorHAnsi"/>
          <w:i/>
          <w:iCs/>
          <w:noProof w:val="0"/>
          <w:sz w:val="20"/>
          <w:szCs w:val="20"/>
          <w:lang w:val="es-ES_tradnl"/>
        </w:rPr>
        <w:t>la Resolución de Intendencia Nacional de Recursos Humanos No. 215-2007/SUNAT</w:t>
      </w:r>
      <w:r w:rsidR="00E80667" w:rsidRPr="001F2F1A">
        <w:rPr>
          <w:rFonts w:asciiTheme="majorHAnsi" w:hAnsiTheme="majorHAnsi"/>
          <w:noProof w:val="0"/>
          <w:sz w:val="20"/>
          <w:szCs w:val="20"/>
          <w:lang w:val="es-ES_tradnl"/>
        </w:rPr>
        <w:t>”</w:t>
      </w:r>
      <w:r w:rsidR="00313A21" w:rsidRPr="001F2F1A">
        <w:rPr>
          <w:rFonts w:asciiTheme="majorHAnsi" w:hAnsiTheme="majorHAnsi"/>
          <w:noProof w:val="0"/>
          <w:sz w:val="20"/>
          <w:szCs w:val="20"/>
          <w:lang w:val="es-ES_tradnl"/>
        </w:rPr>
        <w:t>. Precisa que esta última resolución</w:t>
      </w:r>
      <w:r w:rsidR="00B1250C" w:rsidRPr="001F2F1A">
        <w:rPr>
          <w:rFonts w:asciiTheme="majorHAnsi" w:hAnsiTheme="majorHAnsi"/>
          <w:noProof w:val="0"/>
          <w:sz w:val="20"/>
          <w:szCs w:val="20"/>
          <w:lang w:val="es-ES_tradnl"/>
        </w:rPr>
        <w:t xml:space="preserve"> </w:t>
      </w:r>
      <w:r w:rsidR="00313A21" w:rsidRPr="001F2F1A">
        <w:rPr>
          <w:rFonts w:asciiTheme="majorHAnsi" w:hAnsiTheme="majorHAnsi"/>
          <w:noProof w:val="0"/>
          <w:sz w:val="20"/>
          <w:szCs w:val="20"/>
          <w:lang w:val="es-ES_tradnl"/>
        </w:rPr>
        <w:t>regulaba los</w:t>
      </w:r>
      <w:r w:rsidR="00B1250C" w:rsidRPr="001F2F1A">
        <w:rPr>
          <w:rFonts w:asciiTheme="majorHAnsi" w:hAnsiTheme="majorHAnsi"/>
          <w:noProof w:val="0"/>
          <w:sz w:val="20"/>
          <w:szCs w:val="20"/>
          <w:lang w:val="es-ES_tradnl"/>
        </w:rPr>
        <w:t xml:space="preserve"> requisitos para determinar los nuevos puestos </w:t>
      </w:r>
      <w:r w:rsidR="000F4A1A" w:rsidRPr="001F2F1A">
        <w:rPr>
          <w:rFonts w:asciiTheme="majorHAnsi" w:hAnsiTheme="majorHAnsi"/>
          <w:noProof w:val="0"/>
          <w:sz w:val="20"/>
          <w:szCs w:val="20"/>
          <w:lang w:val="es-ES_tradnl"/>
        </w:rPr>
        <w:t>en</w:t>
      </w:r>
      <w:r w:rsidR="00B1250C" w:rsidRPr="001F2F1A">
        <w:rPr>
          <w:rFonts w:asciiTheme="majorHAnsi" w:hAnsiTheme="majorHAnsi"/>
          <w:noProof w:val="0"/>
          <w:sz w:val="20"/>
          <w:szCs w:val="20"/>
          <w:lang w:val="es-ES_tradnl"/>
        </w:rPr>
        <w:t xml:space="preserve"> la institución producto de la fusión</w:t>
      </w:r>
      <w:r w:rsidR="00D82997" w:rsidRPr="001F2F1A">
        <w:rPr>
          <w:rFonts w:asciiTheme="majorHAnsi" w:hAnsiTheme="majorHAnsi"/>
          <w:noProof w:val="0"/>
          <w:sz w:val="20"/>
          <w:szCs w:val="20"/>
          <w:lang w:val="es-ES_tradnl"/>
        </w:rPr>
        <w:t>, a partir de la fecha de la sentencia</w:t>
      </w:r>
      <w:r w:rsidR="004B167A" w:rsidRPr="001F2F1A">
        <w:rPr>
          <w:rFonts w:asciiTheme="majorHAnsi" w:hAnsiTheme="majorHAnsi"/>
          <w:noProof w:val="0"/>
          <w:sz w:val="20"/>
          <w:szCs w:val="20"/>
          <w:lang w:val="es-ES_tradnl"/>
        </w:rPr>
        <w:t xml:space="preserve">. </w:t>
      </w:r>
    </w:p>
    <w:p w14:paraId="2628E0C4" w14:textId="7B33509A" w:rsidR="00276AD6" w:rsidRPr="001F2F1A" w:rsidRDefault="003A29C7" w:rsidP="000E4C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Así</w:t>
      </w:r>
      <w:r w:rsidR="005F758E" w:rsidRPr="001F2F1A">
        <w:rPr>
          <w:rFonts w:asciiTheme="majorHAnsi" w:hAnsiTheme="majorHAnsi"/>
          <w:noProof w:val="0"/>
          <w:sz w:val="20"/>
          <w:szCs w:val="20"/>
          <w:lang w:val="es-ES_tradnl"/>
        </w:rPr>
        <w:t>,</w:t>
      </w:r>
      <w:r w:rsidR="00276AD6" w:rsidRPr="001F2F1A">
        <w:rPr>
          <w:rFonts w:asciiTheme="majorHAnsi" w:hAnsiTheme="majorHAnsi"/>
          <w:noProof w:val="0"/>
          <w:sz w:val="20"/>
          <w:szCs w:val="20"/>
          <w:lang w:val="es-ES_tradnl"/>
        </w:rPr>
        <w:t xml:space="preserve"> el 31 de julio de 2008 el Tribunal Constitucional subsanó la </w:t>
      </w:r>
      <w:r w:rsidR="005F758E" w:rsidRPr="001F2F1A">
        <w:rPr>
          <w:rFonts w:asciiTheme="majorHAnsi" w:hAnsiTheme="majorHAnsi"/>
          <w:noProof w:val="0"/>
          <w:sz w:val="20"/>
          <w:szCs w:val="20"/>
          <w:lang w:val="es-ES_tradnl"/>
        </w:rPr>
        <w:t xml:space="preserve">parte resolutiva de la </w:t>
      </w:r>
      <w:r w:rsidR="00276AD6" w:rsidRPr="001F2F1A">
        <w:rPr>
          <w:rFonts w:asciiTheme="majorHAnsi" w:hAnsiTheme="majorHAnsi"/>
          <w:noProof w:val="0"/>
          <w:sz w:val="20"/>
          <w:szCs w:val="20"/>
          <w:lang w:val="es-ES_tradnl"/>
        </w:rPr>
        <w:t>citada resolución</w:t>
      </w:r>
      <w:r w:rsidR="005F758E" w:rsidRPr="001F2F1A">
        <w:rPr>
          <w:rFonts w:asciiTheme="majorHAnsi" w:hAnsiTheme="majorHAnsi"/>
          <w:noProof w:val="0"/>
          <w:sz w:val="20"/>
          <w:szCs w:val="20"/>
          <w:lang w:val="es-ES_tradnl"/>
        </w:rPr>
        <w:t>,</w:t>
      </w:r>
      <w:r w:rsidR="00276AD6" w:rsidRPr="001F2F1A">
        <w:rPr>
          <w:rFonts w:asciiTheme="majorHAnsi" w:hAnsiTheme="majorHAnsi"/>
          <w:noProof w:val="0"/>
          <w:sz w:val="20"/>
          <w:szCs w:val="20"/>
          <w:lang w:val="es-ES_tradnl"/>
        </w:rPr>
        <w:t xml:space="preserve"> señalando que </w:t>
      </w:r>
      <w:r w:rsidR="000E4C00" w:rsidRPr="001F2F1A">
        <w:rPr>
          <w:rFonts w:asciiTheme="majorHAnsi" w:hAnsiTheme="majorHAnsi"/>
          <w:noProof w:val="0"/>
          <w:sz w:val="20"/>
          <w:szCs w:val="20"/>
          <w:lang w:val="es-ES_tradnl"/>
        </w:rPr>
        <w:t>en</w:t>
      </w:r>
      <w:r w:rsidR="00313A21" w:rsidRPr="001F2F1A">
        <w:rPr>
          <w:rFonts w:asciiTheme="majorHAnsi" w:hAnsiTheme="majorHAnsi"/>
          <w:noProof w:val="0"/>
          <w:sz w:val="20"/>
          <w:szCs w:val="20"/>
          <w:lang w:val="es-ES_tradnl"/>
        </w:rPr>
        <w:t xml:space="preserve"> </w:t>
      </w:r>
      <w:r w:rsidR="000E4C00" w:rsidRPr="001F2F1A">
        <w:rPr>
          <w:rFonts w:asciiTheme="majorHAnsi" w:hAnsiTheme="majorHAnsi"/>
          <w:noProof w:val="0"/>
          <w:sz w:val="20"/>
          <w:szCs w:val="20"/>
          <w:lang w:val="es-ES_tradnl"/>
        </w:rPr>
        <w:t>lugar de indicar que “</w:t>
      </w:r>
      <w:r w:rsidR="000E4C00" w:rsidRPr="001F2F1A">
        <w:rPr>
          <w:rFonts w:asciiTheme="majorHAnsi" w:hAnsiTheme="majorHAnsi"/>
          <w:i/>
          <w:iCs/>
          <w:noProof w:val="0"/>
          <w:sz w:val="20"/>
          <w:szCs w:val="20"/>
          <w:lang w:val="es-ES_tradnl"/>
        </w:rPr>
        <w:t>la homologación de remuneraciones solamente es aplicable a los trabajadores demandantes”</w:t>
      </w:r>
      <w:r w:rsidR="000E4C00" w:rsidRPr="001F2F1A">
        <w:rPr>
          <w:rFonts w:asciiTheme="majorHAnsi" w:hAnsiTheme="majorHAnsi"/>
          <w:noProof w:val="0"/>
          <w:sz w:val="20"/>
          <w:szCs w:val="20"/>
          <w:lang w:val="es-ES_tradnl"/>
        </w:rPr>
        <w:t xml:space="preserve">, dicha sección debe decir </w:t>
      </w:r>
      <w:r w:rsidR="00276AD6" w:rsidRPr="001F2F1A">
        <w:rPr>
          <w:rFonts w:asciiTheme="majorHAnsi" w:hAnsiTheme="majorHAnsi"/>
          <w:noProof w:val="0"/>
          <w:sz w:val="20"/>
          <w:szCs w:val="20"/>
          <w:lang w:val="es-ES_tradnl"/>
        </w:rPr>
        <w:t>que “</w:t>
      </w:r>
      <w:r w:rsidR="00276AD6" w:rsidRPr="001F2F1A">
        <w:rPr>
          <w:rFonts w:asciiTheme="majorHAnsi" w:hAnsiTheme="majorHAnsi"/>
          <w:i/>
          <w:iCs/>
          <w:noProof w:val="0"/>
          <w:sz w:val="20"/>
          <w:szCs w:val="20"/>
          <w:lang w:val="es-ES_tradnl"/>
        </w:rPr>
        <w:t>la homologación de remuneraciones es aplicable a todos los trabajadores de la SUNAT”</w:t>
      </w:r>
      <w:r w:rsidR="000E4C00" w:rsidRPr="001F2F1A">
        <w:rPr>
          <w:rFonts w:asciiTheme="majorHAnsi" w:hAnsiTheme="majorHAnsi"/>
          <w:noProof w:val="0"/>
          <w:sz w:val="20"/>
          <w:szCs w:val="20"/>
          <w:lang w:val="es-ES_tradnl"/>
        </w:rPr>
        <w:t>.</w:t>
      </w:r>
      <w:r w:rsidR="000E4C00" w:rsidRPr="001F2F1A">
        <w:rPr>
          <w:rFonts w:asciiTheme="majorHAnsi" w:hAnsiTheme="majorHAnsi"/>
          <w:i/>
          <w:iCs/>
          <w:noProof w:val="0"/>
          <w:sz w:val="20"/>
          <w:szCs w:val="20"/>
          <w:lang w:val="es-ES_tradnl"/>
        </w:rPr>
        <w:t xml:space="preserve"> </w:t>
      </w:r>
      <w:r w:rsidR="00276AD6" w:rsidRPr="001F2F1A">
        <w:rPr>
          <w:rFonts w:asciiTheme="majorHAnsi" w:hAnsiTheme="majorHAnsi"/>
          <w:noProof w:val="0"/>
          <w:sz w:val="20"/>
          <w:szCs w:val="20"/>
          <w:lang w:val="es-ES_tradnl"/>
        </w:rPr>
        <w:t xml:space="preserve">La parte peticionaria manifiesta que, recién a partir de este fallo, </w:t>
      </w:r>
      <w:r w:rsidR="00313A21" w:rsidRPr="001F2F1A">
        <w:rPr>
          <w:rFonts w:asciiTheme="majorHAnsi" w:hAnsiTheme="majorHAnsi"/>
          <w:noProof w:val="0"/>
          <w:sz w:val="20"/>
          <w:szCs w:val="20"/>
          <w:lang w:val="es-ES_tradnl"/>
        </w:rPr>
        <w:t xml:space="preserve">los trabajadores de </w:t>
      </w:r>
      <w:r w:rsidR="00276AD6" w:rsidRPr="001F2F1A">
        <w:rPr>
          <w:rFonts w:asciiTheme="majorHAnsi" w:hAnsiTheme="majorHAnsi"/>
          <w:noProof w:val="0"/>
          <w:sz w:val="20"/>
          <w:szCs w:val="20"/>
          <w:lang w:val="es-ES_tradnl"/>
        </w:rPr>
        <w:t>SINTRASUR</w:t>
      </w:r>
      <w:r w:rsidR="00313A21" w:rsidRPr="001F2F1A">
        <w:rPr>
          <w:rFonts w:asciiTheme="majorHAnsi" w:hAnsiTheme="majorHAnsi"/>
          <w:noProof w:val="0"/>
          <w:sz w:val="20"/>
          <w:szCs w:val="20"/>
          <w:lang w:val="es-ES_tradnl"/>
        </w:rPr>
        <w:t xml:space="preserve"> </w:t>
      </w:r>
      <w:r w:rsidR="000E4C00" w:rsidRPr="001F2F1A">
        <w:rPr>
          <w:rFonts w:asciiTheme="majorHAnsi" w:hAnsiTheme="majorHAnsi"/>
          <w:noProof w:val="0"/>
          <w:sz w:val="20"/>
          <w:szCs w:val="20"/>
          <w:lang w:val="es-ES_tradnl"/>
        </w:rPr>
        <w:t>se encont</w:t>
      </w:r>
      <w:r w:rsidR="00313A21" w:rsidRPr="001F2F1A">
        <w:rPr>
          <w:rFonts w:asciiTheme="majorHAnsi" w:hAnsiTheme="majorHAnsi"/>
          <w:noProof w:val="0"/>
          <w:sz w:val="20"/>
          <w:szCs w:val="20"/>
          <w:lang w:val="es-ES_tradnl"/>
        </w:rPr>
        <w:t>raron</w:t>
      </w:r>
      <w:r w:rsidR="000E4C00" w:rsidRPr="001F2F1A">
        <w:rPr>
          <w:rFonts w:asciiTheme="majorHAnsi" w:hAnsiTheme="majorHAnsi"/>
          <w:noProof w:val="0"/>
          <w:sz w:val="20"/>
          <w:szCs w:val="20"/>
          <w:lang w:val="es-ES_tradnl"/>
        </w:rPr>
        <w:t xml:space="preserve"> representado</w:t>
      </w:r>
      <w:r w:rsidR="00313A21" w:rsidRPr="001F2F1A">
        <w:rPr>
          <w:rFonts w:asciiTheme="majorHAnsi" w:hAnsiTheme="majorHAnsi"/>
          <w:noProof w:val="0"/>
          <w:sz w:val="20"/>
          <w:szCs w:val="20"/>
          <w:lang w:val="es-ES_tradnl"/>
        </w:rPr>
        <w:t>s</w:t>
      </w:r>
      <w:r w:rsidR="000E4C00" w:rsidRPr="001F2F1A">
        <w:rPr>
          <w:rFonts w:asciiTheme="majorHAnsi" w:hAnsiTheme="majorHAnsi"/>
          <w:noProof w:val="0"/>
          <w:sz w:val="20"/>
          <w:szCs w:val="20"/>
          <w:lang w:val="es-ES_tradnl"/>
        </w:rPr>
        <w:t xml:space="preserve"> por tal fallo. </w:t>
      </w:r>
      <w:r w:rsidR="00276AD6" w:rsidRPr="001F2F1A">
        <w:rPr>
          <w:rFonts w:asciiTheme="majorHAnsi" w:hAnsiTheme="majorHAnsi"/>
          <w:noProof w:val="0"/>
          <w:sz w:val="20"/>
          <w:szCs w:val="20"/>
          <w:lang w:val="es-ES_tradnl"/>
        </w:rPr>
        <w:t xml:space="preserve"> </w:t>
      </w:r>
    </w:p>
    <w:p w14:paraId="246D5874" w14:textId="5B505EA1" w:rsidR="00D26E66" w:rsidRPr="001F2F1A" w:rsidRDefault="00D26E66" w:rsidP="00D26E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noProof w:val="0"/>
          <w:sz w:val="20"/>
          <w:szCs w:val="20"/>
          <w:lang w:val="es-ES_tradnl"/>
        </w:rPr>
      </w:pPr>
      <w:r w:rsidRPr="001F2F1A">
        <w:rPr>
          <w:rFonts w:asciiTheme="majorHAnsi" w:hAnsiTheme="majorHAnsi"/>
          <w:i/>
          <w:iCs/>
          <w:noProof w:val="0"/>
          <w:sz w:val="20"/>
          <w:szCs w:val="20"/>
          <w:lang w:val="es-ES_tradnl"/>
        </w:rPr>
        <w:t>Fase de ejecución del proceso de amparo y nuevas resoluciones del Tribunal Constitucional</w:t>
      </w:r>
    </w:p>
    <w:p w14:paraId="319A836F" w14:textId="4F644C70" w:rsidR="00D26E66" w:rsidRPr="001F2F1A" w:rsidRDefault="003A29C7" w:rsidP="009D7A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El peticionario i</w:t>
      </w:r>
      <w:r w:rsidR="00D82997" w:rsidRPr="001F2F1A">
        <w:rPr>
          <w:rFonts w:asciiTheme="majorHAnsi" w:hAnsiTheme="majorHAnsi"/>
          <w:noProof w:val="0"/>
          <w:sz w:val="20"/>
          <w:szCs w:val="20"/>
          <w:lang w:val="es-ES_tradnl"/>
        </w:rPr>
        <w:t xml:space="preserve">ndica </w:t>
      </w:r>
      <w:r w:rsidR="00226356" w:rsidRPr="001F2F1A">
        <w:rPr>
          <w:rFonts w:asciiTheme="majorHAnsi" w:hAnsiTheme="majorHAnsi"/>
          <w:noProof w:val="0"/>
          <w:sz w:val="20"/>
          <w:szCs w:val="20"/>
          <w:lang w:val="es-ES_tradnl"/>
        </w:rPr>
        <w:t>que,</w:t>
      </w:r>
      <w:r w:rsidR="00373582" w:rsidRPr="001F2F1A">
        <w:rPr>
          <w:rFonts w:asciiTheme="majorHAnsi" w:hAnsiTheme="majorHAnsi"/>
          <w:noProof w:val="0"/>
          <w:sz w:val="20"/>
          <w:szCs w:val="20"/>
          <w:lang w:val="es-ES_tradnl"/>
        </w:rPr>
        <w:t xml:space="preserve"> </w:t>
      </w:r>
      <w:r w:rsidR="00A579D4" w:rsidRPr="001F2F1A">
        <w:rPr>
          <w:rFonts w:asciiTheme="majorHAnsi" w:hAnsiTheme="majorHAnsi"/>
          <w:noProof w:val="0"/>
          <w:sz w:val="20"/>
          <w:szCs w:val="20"/>
          <w:lang w:val="es-ES_tradnl"/>
        </w:rPr>
        <w:t xml:space="preserve">estando la sentencia en su </w:t>
      </w:r>
      <w:r w:rsidR="000E4C00" w:rsidRPr="001F2F1A">
        <w:rPr>
          <w:rFonts w:asciiTheme="majorHAnsi" w:hAnsiTheme="majorHAnsi"/>
          <w:noProof w:val="0"/>
          <w:sz w:val="20"/>
          <w:szCs w:val="20"/>
          <w:lang w:val="es-ES_tradnl"/>
        </w:rPr>
        <w:t>etapa</w:t>
      </w:r>
      <w:r w:rsidR="00A579D4" w:rsidRPr="001F2F1A">
        <w:rPr>
          <w:rFonts w:asciiTheme="majorHAnsi" w:hAnsiTheme="majorHAnsi"/>
          <w:noProof w:val="0"/>
          <w:sz w:val="20"/>
          <w:szCs w:val="20"/>
          <w:lang w:val="es-ES_tradnl"/>
        </w:rPr>
        <w:t xml:space="preserve"> de ejecución, </w:t>
      </w:r>
      <w:r w:rsidR="000E4C00" w:rsidRPr="001F2F1A">
        <w:rPr>
          <w:rFonts w:asciiTheme="majorHAnsi" w:hAnsiTheme="majorHAnsi"/>
          <w:noProof w:val="0"/>
          <w:sz w:val="20"/>
          <w:szCs w:val="20"/>
          <w:lang w:val="es-ES_tradnl"/>
        </w:rPr>
        <w:t xml:space="preserve">el 7 de junio de 2010 </w:t>
      </w:r>
      <w:r w:rsidR="00A579D4" w:rsidRPr="001F2F1A">
        <w:rPr>
          <w:rFonts w:asciiTheme="majorHAnsi" w:hAnsiTheme="majorHAnsi"/>
          <w:noProof w:val="0"/>
          <w:sz w:val="20"/>
          <w:szCs w:val="20"/>
          <w:lang w:val="es-ES_tradnl"/>
        </w:rPr>
        <w:t>el Primer Juzgado Especializado en lo Constitucional</w:t>
      </w:r>
      <w:r w:rsidR="00182339" w:rsidRPr="001F2F1A">
        <w:rPr>
          <w:rFonts w:asciiTheme="majorHAnsi" w:hAnsiTheme="majorHAnsi"/>
          <w:noProof w:val="0"/>
          <w:sz w:val="20"/>
          <w:szCs w:val="20"/>
          <w:lang w:val="es-ES_tradnl"/>
        </w:rPr>
        <w:t>,</w:t>
      </w:r>
      <w:r w:rsidR="00A579D4" w:rsidRPr="001F2F1A">
        <w:rPr>
          <w:rFonts w:asciiTheme="majorHAnsi" w:hAnsiTheme="majorHAnsi"/>
          <w:noProof w:val="0"/>
          <w:sz w:val="20"/>
          <w:szCs w:val="20"/>
          <w:lang w:val="es-ES_tradnl"/>
        </w:rPr>
        <w:t xml:space="preserve"> mediante resolución</w:t>
      </w:r>
      <w:r w:rsidR="007210FF" w:rsidRPr="001F2F1A">
        <w:rPr>
          <w:rFonts w:asciiTheme="majorHAnsi" w:hAnsiTheme="majorHAnsi"/>
          <w:noProof w:val="0"/>
          <w:sz w:val="20"/>
          <w:szCs w:val="20"/>
          <w:lang w:val="es-ES_tradnl"/>
        </w:rPr>
        <w:t xml:space="preserve"> Nº </w:t>
      </w:r>
      <w:r w:rsidR="00A579D4" w:rsidRPr="001F2F1A">
        <w:rPr>
          <w:rFonts w:asciiTheme="majorHAnsi" w:hAnsiTheme="majorHAnsi"/>
          <w:noProof w:val="0"/>
          <w:sz w:val="20"/>
          <w:szCs w:val="20"/>
          <w:lang w:val="es-ES_tradnl"/>
        </w:rPr>
        <w:t>96</w:t>
      </w:r>
      <w:r w:rsidR="000E4C00" w:rsidRPr="001F2F1A">
        <w:rPr>
          <w:rFonts w:asciiTheme="majorHAnsi" w:hAnsiTheme="majorHAnsi"/>
          <w:noProof w:val="0"/>
          <w:sz w:val="20"/>
          <w:szCs w:val="20"/>
          <w:lang w:val="es-ES_tradnl"/>
        </w:rPr>
        <w:t xml:space="preserve">, </w:t>
      </w:r>
      <w:r w:rsidR="00A752F4" w:rsidRPr="001F2F1A">
        <w:rPr>
          <w:rFonts w:asciiTheme="majorHAnsi" w:hAnsiTheme="majorHAnsi"/>
          <w:noProof w:val="0"/>
          <w:sz w:val="20"/>
          <w:szCs w:val="20"/>
          <w:lang w:val="es-ES_tradnl"/>
        </w:rPr>
        <w:t xml:space="preserve">dispuso </w:t>
      </w:r>
      <w:r w:rsidR="00226356" w:rsidRPr="001F2F1A">
        <w:rPr>
          <w:rFonts w:asciiTheme="majorHAnsi" w:hAnsiTheme="majorHAnsi"/>
          <w:noProof w:val="0"/>
          <w:sz w:val="20"/>
          <w:szCs w:val="20"/>
          <w:lang w:val="es-ES_tradnl"/>
        </w:rPr>
        <w:t xml:space="preserve">de oficio </w:t>
      </w:r>
      <w:r w:rsidR="00A752F4" w:rsidRPr="001F2F1A">
        <w:rPr>
          <w:rFonts w:asciiTheme="majorHAnsi" w:hAnsiTheme="majorHAnsi"/>
          <w:noProof w:val="0"/>
          <w:sz w:val="20"/>
          <w:szCs w:val="20"/>
          <w:lang w:val="es-ES_tradnl"/>
        </w:rPr>
        <w:t xml:space="preserve">la elaboración de </w:t>
      </w:r>
      <w:r w:rsidR="00A664CD" w:rsidRPr="001F2F1A">
        <w:rPr>
          <w:rFonts w:asciiTheme="majorHAnsi" w:hAnsiTheme="majorHAnsi"/>
          <w:noProof w:val="0"/>
          <w:sz w:val="20"/>
          <w:szCs w:val="20"/>
          <w:lang w:val="es-ES_tradnl"/>
        </w:rPr>
        <w:t xml:space="preserve">un informe pericial sobre </w:t>
      </w:r>
      <w:r w:rsidR="005B6C96" w:rsidRPr="001F2F1A">
        <w:rPr>
          <w:rFonts w:asciiTheme="majorHAnsi" w:hAnsiTheme="majorHAnsi"/>
          <w:noProof w:val="0"/>
          <w:sz w:val="20"/>
          <w:szCs w:val="20"/>
          <w:lang w:val="es-ES_tradnl"/>
        </w:rPr>
        <w:t xml:space="preserve">la </w:t>
      </w:r>
      <w:r w:rsidR="00A664CD" w:rsidRPr="001F2F1A">
        <w:rPr>
          <w:rFonts w:asciiTheme="majorHAnsi" w:hAnsiTheme="majorHAnsi"/>
          <w:noProof w:val="0"/>
          <w:sz w:val="20"/>
          <w:szCs w:val="20"/>
          <w:lang w:val="es-ES_tradnl"/>
        </w:rPr>
        <w:t xml:space="preserve">remuneración promedio ponderada </w:t>
      </w:r>
      <w:r w:rsidR="002274F2" w:rsidRPr="001F2F1A">
        <w:rPr>
          <w:rFonts w:asciiTheme="majorHAnsi" w:hAnsiTheme="majorHAnsi"/>
          <w:noProof w:val="0"/>
          <w:sz w:val="20"/>
          <w:szCs w:val="20"/>
          <w:lang w:val="es-ES_tradnl"/>
        </w:rPr>
        <w:t xml:space="preserve">por cada categoría y nivel </w:t>
      </w:r>
      <w:r w:rsidR="00A664CD" w:rsidRPr="001F2F1A">
        <w:rPr>
          <w:rFonts w:asciiTheme="majorHAnsi" w:hAnsiTheme="majorHAnsi"/>
          <w:noProof w:val="0"/>
          <w:sz w:val="20"/>
          <w:szCs w:val="20"/>
          <w:lang w:val="es-ES_tradnl"/>
        </w:rPr>
        <w:t xml:space="preserve">de </w:t>
      </w:r>
      <w:r w:rsidR="00987F81" w:rsidRPr="001F2F1A">
        <w:rPr>
          <w:rFonts w:asciiTheme="majorHAnsi" w:hAnsiTheme="majorHAnsi"/>
          <w:noProof w:val="0"/>
          <w:sz w:val="20"/>
          <w:szCs w:val="20"/>
          <w:lang w:val="es-ES_tradnl"/>
        </w:rPr>
        <w:t xml:space="preserve">los </w:t>
      </w:r>
      <w:r w:rsidR="00A664CD" w:rsidRPr="001F2F1A">
        <w:rPr>
          <w:rFonts w:asciiTheme="majorHAnsi" w:hAnsiTheme="majorHAnsi"/>
          <w:noProof w:val="0"/>
          <w:sz w:val="20"/>
          <w:szCs w:val="20"/>
          <w:lang w:val="es-ES_tradnl"/>
        </w:rPr>
        <w:t>trabajadores de la SUNAT</w:t>
      </w:r>
      <w:r w:rsidR="00987F81" w:rsidRPr="001F2F1A">
        <w:rPr>
          <w:rFonts w:asciiTheme="majorHAnsi" w:hAnsiTheme="majorHAnsi"/>
          <w:noProof w:val="0"/>
          <w:sz w:val="20"/>
          <w:szCs w:val="20"/>
          <w:lang w:val="es-ES_tradnl"/>
        </w:rPr>
        <w:t>.</w:t>
      </w:r>
      <w:r w:rsidR="002E34E2" w:rsidRPr="001F2F1A">
        <w:rPr>
          <w:rFonts w:asciiTheme="majorHAnsi" w:hAnsiTheme="majorHAnsi"/>
          <w:noProof w:val="0"/>
          <w:sz w:val="20"/>
          <w:szCs w:val="20"/>
          <w:lang w:val="es-ES_tradnl"/>
        </w:rPr>
        <w:t xml:space="preserve"> </w:t>
      </w:r>
      <w:r w:rsidR="00987F81" w:rsidRPr="001F2F1A">
        <w:rPr>
          <w:rFonts w:asciiTheme="majorHAnsi" w:hAnsiTheme="majorHAnsi"/>
          <w:noProof w:val="0"/>
          <w:sz w:val="20"/>
          <w:szCs w:val="20"/>
          <w:lang w:val="es-ES_tradnl"/>
        </w:rPr>
        <w:t xml:space="preserve">En razón a ello, </w:t>
      </w:r>
      <w:r w:rsidR="00B84777" w:rsidRPr="001F2F1A">
        <w:rPr>
          <w:rFonts w:asciiTheme="majorHAnsi" w:hAnsiTheme="majorHAnsi"/>
          <w:noProof w:val="0"/>
          <w:sz w:val="20"/>
          <w:szCs w:val="20"/>
          <w:lang w:val="es-ES_tradnl"/>
        </w:rPr>
        <w:t xml:space="preserve">la SUNAT </w:t>
      </w:r>
      <w:r w:rsidR="00B81813" w:rsidRPr="001F2F1A">
        <w:rPr>
          <w:rFonts w:asciiTheme="majorHAnsi" w:hAnsiTheme="majorHAnsi"/>
          <w:noProof w:val="0"/>
          <w:sz w:val="20"/>
          <w:szCs w:val="20"/>
          <w:lang w:val="es-ES_tradnl"/>
        </w:rPr>
        <w:t xml:space="preserve">presentó un recurso de apelación por </w:t>
      </w:r>
      <w:r w:rsidR="00987F81" w:rsidRPr="001F2F1A">
        <w:rPr>
          <w:rFonts w:asciiTheme="majorHAnsi" w:hAnsiTheme="majorHAnsi"/>
          <w:noProof w:val="0"/>
          <w:sz w:val="20"/>
          <w:szCs w:val="20"/>
          <w:lang w:val="es-ES_tradnl"/>
        </w:rPr>
        <w:t>salto</w:t>
      </w:r>
      <w:r w:rsidR="00B81813" w:rsidRPr="001F2F1A">
        <w:rPr>
          <w:rFonts w:asciiTheme="majorHAnsi" w:hAnsiTheme="majorHAnsi"/>
          <w:noProof w:val="0"/>
          <w:sz w:val="20"/>
          <w:szCs w:val="20"/>
          <w:lang w:val="es-ES_tradnl"/>
        </w:rPr>
        <w:t xml:space="preserve">, </w:t>
      </w:r>
      <w:r w:rsidR="00373167" w:rsidRPr="001F2F1A">
        <w:rPr>
          <w:rFonts w:asciiTheme="majorHAnsi" w:hAnsiTheme="majorHAnsi"/>
          <w:noProof w:val="0"/>
          <w:sz w:val="20"/>
          <w:szCs w:val="20"/>
          <w:lang w:val="es-ES_tradnl"/>
        </w:rPr>
        <w:t xml:space="preserve">argumentando </w:t>
      </w:r>
      <w:r w:rsidR="00D4413D" w:rsidRPr="001F2F1A">
        <w:rPr>
          <w:rFonts w:asciiTheme="majorHAnsi" w:hAnsiTheme="majorHAnsi"/>
          <w:noProof w:val="0"/>
          <w:sz w:val="20"/>
          <w:szCs w:val="20"/>
          <w:lang w:val="es-ES_tradnl"/>
        </w:rPr>
        <w:t xml:space="preserve">que </w:t>
      </w:r>
      <w:r w:rsidR="002E34E2" w:rsidRPr="001F2F1A">
        <w:rPr>
          <w:rFonts w:asciiTheme="majorHAnsi" w:hAnsiTheme="majorHAnsi"/>
          <w:noProof w:val="0"/>
          <w:sz w:val="20"/>
          <w:szCs w:val="20"/>
          <w:lang w:val="es-ES_tradnl"/>
        </w:rPr>
        <w:t xml:space="preserve">la citada decisión no se encontraba acorde a lo dispuesto por el Tribunal Constitucional y su resolución aclaratoria, pues pretendía desconocer que la homologación de remuneraciones de los trabajadores de la SUNAT debía realizarse </w:t>
      </w:r>
      <w:r w:rsidR="001A6372" w:rsidRPr="001F2F1A">
        <w:rPr>
          <w:rFonts w:asciiTheme="majorHAnsi" w:hAnsiTheme="majorHAnsi"/>
          <w:noProof w:val="0"/>
          <w:sz w:val="20"/>
          <w:szCs w:val="20"/>
          <w:lang w:val="es-ES_tradnl"/>
        </w:rPr>
        <w:t>de acuerdo con</w:t>
      </w:r>
      <w:r w:rsidR="002E34E2" w:rsidRPr="001F2F1A">
        <w:rPr>
          <w:rFonts w:asciiTheme="majorHAnsi" w:hAnsiTheme="majorHAnsi"/>
          <w:noProof w:val="0"/>
          <w:sz w:val="20"/>
          <w:szCs w:val="20"/>
          <w:lang w:val="es-ES_tradnl"/>
        </w:rPr>
        <w:t xml:space="preserve"> lo previsto por la Resolución de Superintendencia </w:t>
      </w:r>
      <w:r w:rsidR="009D7A09" w:rsidRPr="001F2F1A">
        <w:rPr>
          <w:rFonts w:asciiTheme="majorHAnsi" w:hAnsiTheme="majorHAnsi"/>
          <w:noProof w:val="0"/>
          <w:sz w:val="20"/>
          <w:szCs w:val="20"/>
          <w:lang w:val="es-ES_tradnl"/>
        </w:rPr>
        <w:t xml:space="preserve">Nº 224-2006/SUNAT, la cual </w:t>
      </w:r>
      <w:r w:rsidR="003916F7" w:rsidRPr="001F2F1A">
        <w:rPr>
          <w:rFonts w:asciiTheme="majorHAnsi" w:hAnsiTheme="majorHAnsi"/>
          <w:noProof w:val="0"/>
          <w:sz w:val="20"/>
          <w:szCs w:val="20"/>
          <w:lang w:val="es-ES_tradnl"/>
        </w:rPr>
        <w:t xml:space="preserve">estableció la nueva estructura de categorías de carrera de los trabajadores de la SUNAT. </w:t>
      </w:r>
    </w:p>
    <w:p w14:paraId="6DF5172C" w14:textId="3383D303" w:rsidR="002A61E8" w:rsidRPr="001F2F1A" w:rsidRDefault="00F027A6" w:rsidP="007210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Indica que, en razón a ello, </w:t>
      </w:r>
      <w:r w:rsidR="00B81813" w:rsidRPr="001F2F1A">
        <w:rPr>
          <w:rFonts w:asciiTheme="majorHAnsi" w:hAnsiTheme="majorHAnsi"/>
          <w:noProof w:val="0"/>
          <w:sz w:val="20"/>
          <w:szCs w:val="20"/>
          <w:lang w:val="es-ES_tradnl"/>
        </w:rPr>
        <w:t xml:space="preserve">el Tribunal Constitucional </w:t>
      </w:r>
      <w:r w:rsidRPr="001F2F1A">
        <w:rPr>
          <w:rFonts w:asciiTheme="majorHAnsi" w:hAnsiTheme="majorHAnsi"/>
          <w:noProof w:val="0"/>
          <w:sz w:val="20"/>
          <w:szCs w:val="20"/>
          <w:lang w:val="es-ES_tradnl"/>
        </w:rPr>
        <w:t>conoció</w:t>
      </w:r>
      <w:r w:rsidR="00B81813" w:rsidRPr="001F2F1A">
        <w:rPr>
          <w:rFonts w:asciiTheme="majorHAnsi" w:hAnsiTheme="majorHAnsi"/>
          <w:noProof w:val="0"/>
          <w:sz w:val="20"/>
          <w:szCs w:val="20"/>
          <w:lang w:val="es-ES_tradnl"/>
        </w:rPr>
        <w:t xml:space="preserve"> dicha acción</w:t>
      </w:r>
      <w:r w:rsidRPr="001F2F1A">
        <w:rPr>
          <w:rFonts w:asciiTheme="majorHAnsi" w:hAnsiTheme="majorHAnsi"/>
          <w:noProof w:val="0"/>
          <w:sz w:val="20"/>
          <w:szCs w:val="20"/>
          <w:lang w:val="es-ES_tradnl"/>
        </w:rPr>
        <w:t xml:space="preserve"> y</w:t>
      </w:r>
      <w:r w:rsidR="007D2B93" w:rsidRPr="001F2F1A">
        <w:rPr>
          <w:rFonts w:asciiTheme="majorHAnsi" w:hAnsiTheme="majorHAnsi"/>
          <w:noProof w:val="0"/>
          <w:sz w:val="20"/>
          <w:szCs w:val="20"/>
          <w:lang w:val="es-ES_tradnl"/>
        </w:rPr>
        <w:t xml:space="preserve"> el 11 de mayo de 2012</w:t>
      </w:r>
      <w:r w:rsidR="007210FF"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 xml:space="preserve">declaró nula </w:t>
      </w:r>
      <w:r w:rsidR="007210FF" w:rsidRPr="001F2F1A">
        <w:rPr>
          <w:rFonts w:asciiTheme="majorHAnsi" w:hAnsiTheme="majorHAnsi"/>
          <w:noProof w:val="0"/>
          <w:sz w:val="20"/>
          <w:szCs w:val="20"/>
          <w:lang w:val="es-ES_tradnl"/>
        </w:rPr>
        <w:t>la resolución Nº 96 emitida por el Primer Juzgado Especializado en lo Constitucional</w:t>
      </w:r>
      <w:r w:rsidR="007D2B93" w:rsidRPr="001F2F1A">
        <w:rPr>
          <w:rFonts w:asciiTheme="majorHAnsi" w:hAnsiTheme="majorHAnsi"/>
          <w:noProof w:val="0"/>
          <w:sz w:val="20"/>
          <w:szCs w:val="20"/>
          <w:lang w:val="es-ES_tradnl"/>
        </w:rPr>
        <w:t>;</w:t>
      </w:r>
      <w:r w:rsidR="007210FF" w:rsidRPr="001F2F1A">
        <w:rPr>
          <w:rFonts w:asciiTheme="majorHAnsi" w:hAnsiTheme="majorHAnsi"/>
          <w:noProof w:val="0"/>
          <w:sz w:val="20"/>
          <w:szCs w:val="20"/>
          <w:lang w:val="es-ES_tradnl"/>
        </w:rPr>
        <w:t xml:space="preserve"> al considerar que la elaboración pericial para determinar el promedio ponderado de las remuneraciones desconocía el parámetro especificado en </w:t>
      </w:r>
      <w:r w:rsidR="007D2B93" w:rsidRPr="001F2F1A">
        <w:rPr>
          <w:rFonts w:asciiTheme="majorHAnsi" w:hAnsiTheme="majorHAnsi"/>
          <w:noProof w:val="0"/>
          <w:sz w:val="20"/>
          <w:szCs w:val="20"/>
          <w:lang w:val="es-ES_tradnl"/>
        </w:rPr>
        <w:t>su</w:t>
      </w:r>
      <w:r w:rsidR="007210FF" w:rsidRPr="001F2F1A">
        <w:rPr>
          <w:rFonts w:asciiTheme="majorHAnsi" w:hAnsiTheme="majorHAnsi"/>
          <w:noProof w:val="0"/>
          <w:sz w:val="20"/>
          <w:szCs w:val="20"/>
          <w:lang w:val="es-ES_tradnl"/>
        </w:rPr>
        <w:t xml:space="preserve"> Resolución de Superintendencia Nº 224-2006/SUNAT. </w:t>
      </w:r>
      <w:r w:rsidR="00D26E66" w:rsidRPr="001F2F1A">
        <w:rPr>
          <w:rFonts w:asciiTheme="majorHAnsi" w:hAnsiTheme="majorHAnsi"/>
          <w:sz w:val="20"/>
          <w:szCs w:val="20"/>
          <w:lang w:val="es-ES_tradnl"/>
        </w:rPr>
        <w:t>Asimismo, el Tribunal Constitucional</w:t>
      </w:r>
      <w:r w:rsidR="007210FF" w:rsidRPr="001F2F1A">
        <w:rPr>
          <w:rFonts w:asciiTheme="majorHAnsi" w:hAnsiTheme="majorHAnsi"/>
          <w:sz w:val="20"/>
          <w:szCs w:val="20"/>
          <w:lang w:val="es-ES_tradnl"/>
        </w:rPr>
        <w:t xml:space="preserve"> habría ordenado </w:t>
      </w:r>
      <w:r w:rsidR="00D26E66" w:rsidRPr="001F2F1A">
        <w:rPr>
          <w:rFonts w:asciiTheme="majorHAnsi" w:hAnsiTheme="majorHAnsi"/>
          <w:sz w:val="20"/>
          <w:szCs w:val="20"/>
          <w:lang w:val="es-ES_tradnl"/>
        </w:rPr>
        <w:t xml:space="preserve">al </w:t>
      </w:r>
      <w:r w:rsidR="007210FF" w:rsidRPr="001F2F1A">
        <w:rPr>
          <w:rFonts w:asciiTheme="majorHAnsi" w:hAnsiTheme="majorHAnsi"/>
          <w:sz w:val="20"/>
          <w:szCs w:val="20"/>
          <w:lang w:val="es-ES_tradnl"/>
        </w:rPr>
        <w:t xml:space="preserve">referido </w:t>
      </w:r>
      <w:r w:rsidR="007D2B93" w:rsidRPr="001F2F1A">
        <w:rPr>
          <w:rFonts w:asciiTheme="majorHAnsi" w:hAnsiTheme="majorHAnsi"/>
          <w:sz w:val="20"/>
          <w:szCs w:val="20"/>
          <w:lang w:val="es-ES_tradnl"/>
        </w:rPr>
        <w:t>juzgado</w:t>
      </w:r>
      <w:r w:rsidR="00D26E66" w:rsidRPr="001F2F1A">
        <w:rPr>
          <w:rFonts w:asciiTheme="majorHAnsi" w:hAnsiTheme="majorHAnsi"/>
          <w:sz w:val="20"/>
          <w:szCs w:val="20"/>
          <w:lang w:val="es-ES_tradnl"/>
        </w:rPr>
        <w:t xml:space="preserve"> que dentro de un plazo no mayor a cuatro meses, revise el proceso de homologación de remuneraciones realizado por la SUNAT</w:t>
      </w:r>
      <w:r w:rsidR="00D95CDD" w:rsidRPr="001F2F1A">
        <w:rPr>
          <w:rFonts w:asciiTheme="majorHAnsi" w:hAnsiTheme="majorHAnsi"/>
          <w:sz w:val="20"/>
          <w:szCs w:val="20"/>
          <w:lang w:val="es-ES_tradnl"/>
        </w:rPr>
        <w:t>;</w:t>
      </w:r>
      <w:r w:rsidR="00D26E66" w:rsidRPr="001F2F1A">
        <w:rPr>
          <w:rFonts w:asciiTheme="majorHAnsi" w:hAnsiTheme="majorHAnsi"/>
          <w:sz w:val="20"/>
          <w:szCs w:val="20"/>
          <w:lang w:val="es-ES_tradnl"/>
        </w:rPr>
        <w:t xml:space="preserve"> y cumpla con ejecutar lo ordenado en </w:t>
      </w:r>
      <w:r w:rsidR="00D95CDD" w:rsidRPr="001F2F1A">
        <w:rPr>
          <w:rFonts w:asciiTheme="majorHAnsi" w:hAnsiTheme="majorHAnsi"/>
          <w:sz w:val="20"/>
          <w:szCs w:val="20"/>
          <w:lang w:val="es-ES_tradnl"/>
        </w:rPr>
        <w:t>su</w:t>
      </w:r>
      <w:r w:rsidR="00D26E66" w:rsidRPr="001F2F1A">
        <w:rPr>
          <w:rFonts w:asciiTheme="majorHAnsi" w:hAnsiTheme="majorHAnsi"/>
          <w:sz w:val="20"/>
          <w:szCs w:val="20"/>
          <w:lang w:val="es-ES_tradnl"/>
        </w:rPr>
        <w:t xml:space="preserve"> sentencia y sus resoluciones complementarias.</w:t>
      </w:r>
      <w:r w:rsidR="00D26E66" w:rsidRPr="001F2F1A">
        <w:rPr>
          <w:rFonts w:asciiTheme="majorHAnsi" w:hAnsiTheme="majorHAnsi"/>
          <w:noProof w:val="0"/>
          <w:sz w:val="20"/>
          <w:szCs w:val="20"/>
          <w:lang w:val="es-ES_tradnl"/>
        </w:rPr>
        <w:t xml:space="preserve"> Detalla que esta</w:t>
      </w:r>
      <w:r w:rsidR="006858EF" w:rsidRPr="001F2F1A">
        <w:rPr>
          <w:rFonts w:asciiTheme="majorHAnsi" w:hAnsiTheme="majorHAnsi"/>
          <w:noProof w:val="0"/>
          <w:sz w:val="20"/>
          <w:szCs w:val="20"/>
          <w:lang w:val="es-ES_tradnl"/>
        </w:rPr>
        <w:t xml:space="preserve"> decisión </w:t>
      </w:r>
      <w:r w:rsidR="0076659F" w:rsidRPr="001F2F1A">
        <w:rPr>
          <w:rFonts w:asciiTheme="majorHAnsi" w:hAnsiTheme="majorHAnsi"/>
          <w:noProof w:val="0"/>
          <w:sz w:val="20"/>
          <w:szCs w:val="20"/>
          <w:lang w:val="es-ES_tradnl"/>
        </w:rPr>
        <w:t>les fue</w:t>
      </w:r>
      <w:r w:rsidR="008152DE" w:rsidRPr="001F2F1A">
        <w:rPr>
          <w:rFonts w:asciiTheme="majorHAnsi" w:hAnsiTheme="majorHAnsi"/>
          <w:noProof w:val="0"/>
          <w:sz w:val="20"/>
          <w:szCs w:val="20"/>
          <w:lang w:val="es-ES_tradnl"/>
        </w:rPr>
        <w:t xml:space="preserve"> </w:t>
      </w:r>
      <w:r w:rsidR="00254358" w:rsidRPr="001F2F1A">
        <w:rPr>
          <w:rFonts w:asciiTheme="majorHAnsi" w:hAnsiTheme="majorHAnsi"/>
          <w:noProof w:val="0"/>
          <w:sz w:val="20"/>
          <w:szCs w:val="20"/>
          <w:lang w:val="es-ES_tradnl"/>
        </w:rPr>
        <w:t xml:space="preserve">notificada </w:t>
      </w:r>
      <w:r w:rsidR="006858EF" w:rsidRPr="001F2F1A">
        <w:rPr>
          <w:rFonts w:asciiTheme="majorHAnsi" w:hAnsiTheme="majorHAnsi"/>
          <w:noProof w:val="0"/>
          <w:sz w:val="20"/>
          <w:szCs w:val="20"/>
          <w:lang w:val="es-ES_tradnl"/>
        </w:rPr>
        <w:t xml:space="preserve">el </w:t>
      </w:r>
      <w:r w:rsidR="005B4A4F" w:rsidRPr="001F2F1A">
        <w:rPr>
          <w:rFonts w:asciiTheme="majorHAnsi" w:hAnsiTheme="majorHAnsi"/>
          <w:noProof w:val="0"/>
          <w:sz w:val="20"/>
          <w:szCs w:val="20"/>
          <w:lang w:val="es-ES_tradnl"/>
        </w:rPr>
        <w:t>6 de junio</w:t>
      </w:r>
      <w:r w:rsidR="006858EF" w:rsidRPr="001F2F1A">
        <w:rPr>
          <w:rFonts w:asciiTheme="majorHAnsi" w:hAnsiTheme="majorHAnsi"/>
          <w:noProof w:val="0"/>
          <w:sz w:val="20"/>
          <w:szCs w:val="20"/>
          <w:lang w:val="es-ES_tradnl"/>
        </w:rPr>
        <w:t xml:space="preserve"> de 201</w:t>
      </w:r>
      <w:r w:rsidR="001A6372" w:rsidRPr="001F2F1A">
        <w:rPr>
          <w:rFonts w:asciiTheme="majorHAnsi" w:hAnsiTheme="majorHAnsi"/>
          <w:noProof w:val="0"/>
          <w:sz w:val="20"/>
          <w:szCs w:val="20"/>
          <w:lang w:val="es-ES_tradnl"/>
        </w:rPr>
        <w:t>2</w:t>
      </w:r>
      <w:r w:rsidR="006858EF" w:rsidRPr="001F2F1A">
        <w:rPr>
          <w:rFonts w:asciiTheme="majorHAnsi" w:hAnsiTheme="majorHAnsi"/>
          <w:noProof w:val="0"/>
          <w:sz w:val="20"/>
          <w:szCs w:val="20"/>
          <w:lang w:val="es-ES_tradnl"/>
        </w:rPr>
        <w:t>.</w:t>
      </w:r>
      <w:r w:rsidR="002A61E8" w:rsidRPr="001F2F1A">
        <w:rPr>
          <w:rFonts w:asciiTheme="majorHAnsi" w:hAnsiTheme="majorHAnsi"/>
          <w:noProof w:val="0"/>
          <w:sz w:val="20"/>
          <w:szCs w:val="20"/>
          <w:lang w:val="es-ES_tradnl"/>
        </w:rPr>
        <w:t xml:space="preserve"> </w:t>
      </w:r>
    </w:p>
    <w:p w14:paraId="692933EB" w14:textId="05FF9403" w:rsidR="00197498" w:rsidRPr="001F2F1A" w:rsidRDefault="00D95CDD" w:rsidP="00D93C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t>E</w:t>
      </w:r>
      <w:r w:rsidR="00B66810" w:rsidRPr="001F2F1A">
        <w:rPr>
          <w:rFonts w:asciiTheme="majorHAnsi" w:hAnsiTheme="majorHAnsi"/>
          <w:noProof w:val="0"/>
          <w:sz w:val="20"/>
          <w:szCs w:val="20"/>
          <w:lang w:val="es-ES_tradnl"/>
        </w:rPr>
        <w:t xml:space="preserve">l 9 de octubre de 2012 </w:t>
      </w:r>
      <w:r w:rsidR="00B4007F" w:rsidRPr="001F2F1A">
        <w:rPr>
          <w:rFonts w:asciiTheme="majorHAnsi" w:hAnsiTheme="majorHAnsi"/>
          <w:noProof w:val="0"/>
          <w:sz w:val="20"/>
          <w:szCs w:val="20"/>
          <w:lang w:val="es-ES_tradnl"/>
        </w:rPr>
        <w:t>la SUNAT presentó</w:t>
      </w:r>
      <w:r w:rsidR="00365178" w:rsidRPr="001F2F1A">
        <w:rPr>
          <w:rFonts w:asciiTheme="majorHAnsi" w:hAnsiTheme="majorHAnsi"/>
          <w:noProof w:val="0"/>
          <w:sz w:val="20"/>
          <w:szCs w:val="20"/>
          <w:lang w:val="es-ES_tradnl"/>
        </w:rPr>
        <w:t xml:space="preserve"> </w:t>
      </w:r>
      <w:r w:rsidR="00373582" w:rsidRPr="001F2F1A">
        <w:rPr>
          <w:rFonts w:asciiTheme="majorHAnsi" w:hAnsiTheme="majorHAnsi"/>
          <w:noProof w:val="0"/>
          <w:sz w:val="20"/>
          <w:szCs w:val="20"/>
          <w:lang w:val="es-ES_tradnl"/>
        </w:rPr>
        <w:t xml:space="preserve">un </w:t>
      </w:r>
      <w:r w:rsidR="00EC2856" w:rsidRPr="001F2F1A">
        <w:rPr>
          <w:rFonts w:asciiTheme="majorHAnsi" w:hAnsiTheme="majorHAnsi"/>
          <w:noProof w:val="0"/>
          <w:sz w:val="20"/>
          <w:szCs w:val="20"/>
          <w:lang w:val="es-ES_tradnl"/>
        </w:rPr>
        <w:t>nuev</w:t>
      </w:r>
      <w:r w:rsidR="00AF543A" w:rsidRPr="001F2F1A">
        <w:rPr>
          <w:rFonts w:asciiTheme="majorHAnsi" w:hAnsiTheme="majorHAnsi"/>
          <w:noProof w:val="0"/>
          <w:sz w:val="20"/>
          <w:szCs w:val="20"/>
          <w:lang w:val="es-ES_tradnl"/>
        </w:rPr>
        <w:t>o pedido</w:t>
      </w:r>
      <w:r w:rsidR="00365178" w:rsidRPr="001F2F1A">
        <w:rPr>
          <w:rFonts w:asciiTheme="majorHAnsi" w:hAnsiTheme="majorHAnsi"/>
          <w:noProof w:val="0"/>
          <w:sz w:val="20"/>
          <w:szCs w:val="20"/>
          <w:lang w:val="es-ES_tradnl"/>
        </w:rPr>
        <w:t xml:space="preserve"> de aclaración</w:t>
      </w:r>
      <w:r w:rsidR="00373582" w:rsidRPr="001F2F1A">
        <w:rPr>
          <w:rFonts w:asciiTheme="majorHAnsi" w:hAnsiTheme="majorHAnsi"/>
          <w:noProof w:val="0"/>
          <w:sz w:val="20"/>
          <w:szCs w:val="20"/>
          <w:lang w:val="es-ES_tradnl"/>
        </w:rPr>
        <w:t xml:space="preserve"> ante el Tribunal Constitucional, respecto</w:t>
      </w:r>
      <w:r w:rsidR="00AD64F7" w:rsidRPr="001F2F1A">
        <w:rPr>
          <w:rFonts w:asciiTheme="majorHAnsi" w:hAnsiTheme="majorHAnsi"/>
          <w:noProof w:val="0"/>
          <w:sz w:val="20"/>
          <w:szCs w:val="20"/>
          <w:lang w:val="es-ES_tradnl"/>
        </w:rPr>
        <w:t xml:space="preserve"> de</w:t>
      </w:r>
      <w:r w:rsidR="00373582" w:rsidRPr="001F2F1A">
        <w:rPr>
          <w:rFonts w:asciiTheme="majorHAnsi" w:hAnsiTheme="majorHAnsi"/>
          <w:noProof w:val="0"/>
          <w:sz w:val="20"/>
          <w:szCs w:val="20"/>
          <w:lang w:val="es-ES_tradnl"/>
        </w:rPr>
        <w:t xml:space="preserve"> </w:t>
      </w:r>
      <w:r w:rsidR="00275ED3" w:rsidRPr="001F2F1A">
        <w:rPr>
          <w:rFonts w:asciiTheme="majorHAnsi" w:hAnsiTheme="majorHAnsi"/>
          <w:noProof w:val="0"/>
          <w:sz w:val="20"/>
          <w:szCs w:val="20"/>
          <w:lang w:val="es-ES_tradnl"/>
        </w:rPr>
        <w:t>la</w:t>
      </w:r>
      <w:r w:rsidR="00373582" w:rsidRPr="001F2F1A">
        <w:rPr>
          <w:rFonts w:asciiTheme="majorHAnsi" w:hAnsiTheme="majorHAnsi"/>
          <w:noProof w:val="0"/>
          <w:sz w:val="20"/>
          <w:szCs w:val="20"/>
          <w:lang w:val="es-ES_tradnl"/>
        </w:rPr>
        <w:t xml:space="preserve"> citada</w:t>
      </w:r>
      <w:r w:rsidR="00275ED3" w:rsidRPr="001F2F1A">
        <w:rPr>
          <w:rFonts w:asciiTheme="majorHAnsi" w:hAnsiTheme="majorHAnsi"/>
          <w:noProof w:val="0"/>
          <w:sz w:val="20"/>
          <w:szCs w:val="20"/>
          <w:lang w:val="es-ES_tradnl"/>
        </w:rPr>
        <w:t xml:space="preserve"> resolución de 11 de mayo de 2012</w:t>
      </w:r>
      <w:r w:rsidR="00373582" w:rsidRPr="001F2F1A">
        <w:rPr>
          <w:rFonts w:asciiTheme="majorHAnsi" w:hAnsiTheme="majorHAnsi"/>
          <w:noProof w:val="0"/>
          <w:sz w:val="20"/>
          <w:szCs w:val="20"/>
          <w:lang w:val="es-ES_tradnl"/>
        </w:rPr>
        <w:t>,</w:t>
      </w:r>
      <w:r w:rsidR="00275ED3" w:rsidRPr="001F2F1A">
        <w:rPr>
          <w:rFonts w:asciiTheme="majorHAnsi" w:hAnsiTheme="majorHAnsi"/>
          <w:noProof w:val="0"/>
          <w:sz w:val="20"/>
          <w:szCs w:val="20"/>
          <w:lang w:val="es-ES_tradnl"/>
        </w:rPr>
        <w:t xml:space="preserve"> con la finalidad</w:t>
      </w:r>
      <w:r w:rsidR="00373582" w:rsidRPr="001F2F1A">
        <w:rPr>
          <w:rFonts w:asciiTheme="majorHAnsi" w:hAnsiTheme="majorHAnsi"/>
          <w:noProof w:val="0"/>
          <w:sz w:val="20"/>
          <w:szCs w:val="20"/>
          <w:lang w:val="es-ES_tradnl"/>
        </w:rPr>
        <w:t xml:space="preserve"> de </w:t>
      </w:r>
      <w:r w:rsidR="004B3514" w:rsidRPr="001F2F1A">
        <w:rPr>
          <w:rFonts w:asciiTheme="majorHAnsi" w:hAnsiTheme="majorHAnsi"/>
          <w:noProof w:val="0"/>
          <w:sz w:val="20"/>
          <w:szCs w:val="20"/>
          <w:lang w:val="es-ES_tradnl"/>
        </w:rPr>
        <w:t>que</w:t>
      </w:r>
      <w:r w:rsidR="00D93C5E" w:rsidRPr="001F2F1A">
        <w:rPr>
          <w:rFonts w:asciiTheme="majorHAnsi" w:hAnsiTheme="majorHAnsi"/>
          <w:noProof w:val="0"/>
          <w:sz w:val="20"/>
          <w:szCs w:val="20"/>
          <w:lang w:val="es-ES_tradnl"/>
        </w:rPr>
        <w:t>, entre otros puntos, se precise si se “</w:t>
      </w:r>
      <w:r w:rsidR="00D93C5E" w:rsidRPr="001F2F1A">
        <w:rPr>
          <w:rStyle w:val="Emphasis"/>
          <w:rFonts w:asciiTheme="majorHAnsi" w:hAnsiTheme="majorHAnsi" w:cs="Calibri"/>
          <w:color w:val="000000"/>
          <w:sz w:val="20"/>
          <w:szCs w:val="20"/>
          <w:lang w:val="es-ES_tradnl"/>
        </w:rPr>
        <w:t>contempla la posibilidad de que la SUNAT, para cumplir con lo ordenado por el Tribunal Constitucional, pudiera emitir ‘normas complementarias’ para el proceso de adecuación a las categorías y niveles de la Resolución de Superintendencia Nº 224-2006/SUNAT”</w:t>
      </w:r>
      <w:r w:rsidR="00FC62D5" w:rsidRPr="001F2F1A">
        <w:rPr>
          <w:rFonts w:asciiTheme="majorHAnsi" w:hAnsiTheme="majorHAnsi"/>
          <w:noProof w:val="0"/>
          <w:sz w:val="20"/>
          <w:szCs w:val="20"/>
          <w:lang w:val="es-ES_tradnl"/>
        </w:rPr>
        <w:t>.</w:t>
      </w:r>
      <w:r w:rsidR="000F4A1A" w:rsidRPr="001F2F1A">
        <w:rPr>
          <w:rFonts w:asciiTheme="majorHAnsi" w:hAnsiTheme="majorHAnsi"/>
          <w:noProof w:val="0"/>
          <w:sz w:val="20"/>
          <w:szCs w:val="20"/>
          <w:lang w:val="es-ES_tradnl"/>
        </w:rPr>
        <w:t xml:space="preserve"> </w:t>
      </w:r>
      <w:r w:rsidR="00197498" w:rsidRPr="001F2F1A">
        <w:rPr>
          <w:rFonts w:asciiTheme="majorHAnsi" w:hAnsiTheme="majorHAnsi"/>
          <w:noProof w:val="0"/>
          <w:sz w:val="20"/>
          <w:szCs w:val="20"/>
          <w:lang w:val="es-ES_tradnl"/>
        </w:rPr>
        <w:t xml:space="preserve">A juicio de la parte peticionaria, con esta acción se buscó que el Tribunal Constitucional disponga que la norma complementaria para el proceso de homologación sea el Informe </w:t>
      </w:r>
      <w:r w:rsidR="00197498" w:rsidRPr="001F2F1A">
        <w:rPr>
          <w:rFonts w:asciiTheme="majorHAnsi" w:hAnsiTheme="majorHAnsi"/>
          <w:sz w:val="20"/>
          <w:szCs w:val="20"/>
          <w:lang w:val="es-ES_tradnl"/>
        </w:rPr>
        <w:t>N° 019-2008-2F</w:t>
      </w:r>
      <w:r w:rsidR="000471CB" w:rsidRPr="001F2F1A">
        <w:rPr>
          <w:rFonts w:asciiTheme="majorHAnsi" w:hAnsiTheme="majorHAnsi"/>
          <w:sz w:val="20"/>
          <w:szCs w:val="20"/>
          <w:lang w:val="es-ES_tradnl"/>
        </w:rPr>
        <w:t xml:space="preserve">43400, </w:t>
      </w:r>
      <w:r w:rsidR="005A7F94" w:rsidRPr="001F2F1A">
        <w:rPr>
          <w:rFonts w:asciiTheme="majorHAnsi" w:hAnsiTheme="majorHAnsi"/>
          <w:noProof w:val="0"/>
          <w:sz w:val="20"/>
          <w:szCs w:val="20"/>
          <w:lang w:val="es-ES_tradnl"/>
        </w:rPr>
        <w:t xml:space="preserve">que establece una menor escala remunerativa a los trabajadores que provenían de la extinta SUNAD, en comparación </w:t>
      </w:r>
      <w:r w:rsidR="000471CB" w:rsidRPr="001F2F1A">
        <w:rPr>
          <w:rFonts w:asciiTheme="majorHAnsi" w:hAnsiTheme="majorHAnsi"/>
          <w:sz w:val="20"/>
          <w:szCs w:val="20"/>
          <w:lang w:val="es-ES_tradnl"/>
        </w:rPr>
        <w:t xml:space="preserve">la </w:t>
      </w:r>
      <w:r w:rsidR="000471CB" w:rsidRPr="001F2F1A">
        <w:rPr>
          <w:rFonts w:asciiTheme="majorHAnsi" w:hAnsiTheme="majorHAnsi"/>
          <w:noProof w:val="0"/>
          <w:sz w:val="20"/>
          <w:szCs w:val="20"/>
          <w:lang w:val="es-ES_tradnl"/>
        </w:rPr>
        <w:t xml:space="preserve">Resolución de Intendencia Nacional de Recursos Humanos </w:t>
      </w:r>
      <w:r w:rsidR="000471CB" w:rsidRPr="001F2F1A">
        <w:rPr>
          <w:rFonts w:asciiTheme="majorHAnsi" w:hAnsiTheme="majorHAnsi"/>
          <w:sz w:val="20"/>
          <w:szCs w:val="20"/>
          <w:lang w:val="es-ES_tradnl"/>
        </w:rPr>
        <w:t>N° 215-2007-2F0000</w:t>
      </w:r>
      <w:r w:rsidR="00CF5839" w:rsidRPr="001F2F1A">
        <w:rPr>
          <w:rFonts w:asciiTheme="majorHAnsi" w:hAnsiTheme="majorHAnsi"/>
          <w:sz w:val="20"/>
          <w:szCs w:val="20"/>
          <w:lang w:val="es-ES_tradnl"/>
        </w:rPr>
        <w:t xml:space="preserve">, la cual ya había sido reconocida en la sentencia principal del </w:t>
      </w:r>
      <w:r w:rsidR="00CF5839" w:rsidRPr="001F2F1A">
        <w:rPr>
          <w:rFonts w:asciiTheme="majorHAnsi" w:hAnsiTheme="majorHAnsi"/>
          <w:noProof w:val="0"/>
          <w:sz w:val="20"/>
          <w:szCs w:val="20"/>
          <w:lang w:val="es-ES_tradnl"/>
        </w:rPr>
        <w:t>18 de octubre de 2007.</w:t>
      </w:r>
    </w:p>
    <w:p w14:paraId="722DB2DD" w14:textId="09A8FB12" w:rsidR="005A7F94" w:rsidRPr="001F2F1A" w:rsidRDefault="00DF22B0" w:rsidP="005A7F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t>E</w:t>
      </w:r>
      <w:r w:rsidR="00362BAC" w:rsidRPr="001F2F1A">
        <w:rPr>
          <w:rFonts w:asciiTheme="majorHAnsi" w:hAnsiTheme="majorHAnsi"/>
          <w:noProof w:val="0"/>
          <w:sz w:val="20"/>
          <w:szCs w:val="20"/>
          <w:lang w:val="es-ES_tradnl"/>
        </w:rPr>
        <w:t>l 9 de octubre de 2012 e</w:t>
      </w:r>
      <w:r w:rsidR="00A472D3" w:rsidRPr="001F2F1A">
        <w:rPr>
          <w:rFonts w:asciiTheme="majorHAnsi" w:hAnsiTheme="majorHAnsi"/>
          <w:noProof w:val="0"/>
          <w:sz w:val="20"/>
          <w:szCs w:val="20"/>
          <w:lang w:val="es-ES_tradnl"/>
        </w:rPr>
        <w:t xml:space="preserve">l </w:t>
      </w:r>
      <w:r w:rsidR="00EC2856" w:rsidRPr="001F2F1A">
        <w:rPr>
          <w:rFonts w:asciiTheme="majorHAnsi" w:hAnsiTheme="majorHAnsi"/>
          <w:noProof w:val="0"/>
          <w:sz w:val="20"/>
          <w:szCs w:val="20"/>
          <w:lang w:val="es-ES_tradnl"/>
        </w:rPr>
        <w:t xml:space="preserve">Tribunal </w:t>
      </w:r>
      <w:r w:rsidR="00365178" w:rsidRPr="001F2F1A">
        <w:rPr>
          <w:rFonts w:asciiTheme="majorHAnsi" w:hAnsiTheme="majorHAnsi"/>
          <w:noProof w:val="0"/>
          <w:sz w:val="20"/>
          <w:szCs w:val="20"/>
          <w:lang w:val="es-ES_tradnl"/>
        </w:rPr>
        <w:t xml:space="preserve">Constitucional declaró </w:t>
      </w:r>
      <w:r w:rsidR="00EC2856" w:rsidRPr="001F2F1A">
        <w:rPr>
          <w:rFonts w:asciiTheme="majorHAnsi" w:hAnsiTheme="majorHAnsi"/>
          <w:noProof w:val="0"/>
          <w:sz w:val="20"/>
          <w:szCs w:val="20"/>
          <w:lang w:val="es-ES_tradnl"/>
        </w:rPr>
        <w:t>fundad</w:t>
      </w:r>
      <w:r w:rsidR="00B1250C" w:rsidRPr="001F2F1A">
        <w:rPr>
          <w:rFonts w:asciiTheme="majorHAnsi" w:hAnsiTheme="majorHAnsi"/>
          <w:noProof w:val="0"/>
          <w:sz w:val="20"/>
          <w:szCs w:val="20"/>
          <w:lang w:val="es-ES_tradnl"/>
        </w:rPr>
        <w:t>a</w:t>
      </w:r>
      <w:r w:rsidR="003A2662" w:rsidRPr="001F2F1A">
        <w:rPr>
          <w:rFonts w:asciiTheme="majorHAnsi" w:hAnsiTheme="majorHAnsi"/>
          <w:noProof w:val="0"/>
          <w:sz w:val="20"/>
          <w:szCs w:val="20"/>
          <w:lang w:val="es-ES_tradnl"/>
        </w:rPr>
        <w:t xml:space="preserve"> </w:t>
      </w:r>
      <w:r w:rsidR="00C86343" w:rsidRPr="001F2F1A">
        <w:rPr>
          <w:rFonts w:asciiTheme="majorHAnsi" w:hAnsiTheme="majorHAnsi"/>
          <w:noProof w:val="0"/>
          <w:sz w:val="20"/>
          <w:szCs w:val="20"/>
          <w:lang w:val="es-ES_tradnl"/>
        </w:rPr>
        <w:t>la solicitud de aclaración</w:t>
      </w:r>
      <w:r w:rsidR="002C6060" w:rsidRPr="001F2F1A">
        <w:rPr>
          <w:rFonts w:asciiTheme="majorHAnsi" w:hAnsiTheme="majorHAnsi"/>
          <w:noProof w:val="0"/>
          <w:sz w:val="20"/>
          <w:szCs w:val="20"/>
          <w:lang w:val="es-ES_tradnl"/>
        </w:rPr>
        <w:t>;</w:t>
      </w:r>
      <w:r w:rsidR="00C86343" w:rsidRPr="001F2F1A">
        <w:rPr>
          <w:rFonts w:asciiTheme="majorHAnsi" w:hAnsiTheme="majorHAnsi"/>
          <w:noProof w:val="0"/>
          <w:sz w:val="20"/>
          <w:szCs w:val="20"/>
          <w:lang w:val="es-ES_tradnl"/>
        </w:rPr>
        <w:t xml:space="preserve"> </w:t>
      </w:r>
      <w:r w:rsidR="002C6060" w:rsidRPr="001F2F1A">
        <w:rPr>
          <w:rFonts w:asciiTheme="majorHAnsi" w:hAnsiTheme="majorHAnsi"/>
          <w:noProof w:val="0"/>
          <w:sz w:val="20"/>
          <w:szCs w:val="20"/>
          <w:lang w:val="es-ES_tradnl"/>
        </w:rPr>
        <w:t xml:space="preserve">y </w:t>
      </w:r>
      <w:r w:rsidR="0044664D" w:rsidRPr="001F2F1A">
        <w:rPr>
          <w:rFonts w:asciiTheme="majorHAnsi" w:hAnsiTheme="majorHAnsi"/>
          <w:noProof w:val="0"/>
          <w:sz w:val="20"/>
          <w:szCs w:val="20"/>
          <w:lang w:val="es-ES_tradnl"/>
        </w:rPr>
        <w:t>modificó</w:t>
      </w:r>
      <w:r w:rsidR="00A70FAD" w:rsidRPr="001F2F1A">
        <w:rPr>
          <w:rFonts w:asciiTheme="majorHAnsi" w:hAnsiTheme="majorHAnsi"/>
          <w:noProof w:val="0"/>
          <w:sz w:val="20"/>
          <w:szCs w:val="20"/>
          <w:lang w:val="es-ES_tradnl"/>
        </w:rPr>
        <w:t xml:space="preserve"> su propia sentencia</w:t>
      </w:r>
      <w:r w:rsidR="00F90B29" w:rsidRPr="001F2F1A">
        <w:rPr>
          <w:rFonts w:asciiTheme="majorHAnsi" w:hAnsiTheme="majorHAnsi"/>
          <w:noProof w:val="0"/>
          <w:sz w:val="20"/>
          <w:szCs w:val="20"/>
          <w:lang w:val="es-ES_tradnl"/>
        </w:rPr>
        <w:t xml:space="preserve">, </w:t>
      </w:r>
      <w:r w:rsidR="00A70FAD" w:rsidRPr="001F2F1A">
        <w:rPr>
          <w:rFonts w:asciiTheme="majorHAnsi" w:hAnsiTheme="majorHAnsi"/>
          <w:noProof w:val="0"/>
          <w:sz w:val="20"/>
          <w:szCs w:val="20"/>
          <w:lang w:val="es-ES_tradnl"/>
        </w:rPr>
        <w:t xml:space="preserve">señalando que </w:t>
      </w:r>
      <w:r w:rsidR="002C6060" w:rsidRPr="001F2F1A">
        <w:rPr>
          <w:rFonts w:asciiTheme="majorHAnsi" w:hAnsiTheme="majorHAnsi"/>
          <w:noProof w:val="0"/>
          <w:sz w:val="20"/>
          <w:szCs w:val="20"/>
          <w:lang w:val="es-ES_tradnl"/>
        </w:rPr>
        <w:t>el</w:t>
      </w:r>
      <w:r w:rsidR="00A70FAD" w:rsidRPr="001F2F1A">
        <w:rPr>
          <w:rFonts w:asciiTheme="majorHAnsi" w:hAnsiTheme="majorHAnsi"/>
          <w:noProof w:val="0"/>
          <w:sz w:val="20"/>
          <w:szCs w:val="20"/>
          <w:lang w:val="es-ES_tradnl"/>
        </w:rPr>
        <w:t xml:space="preserve"> </w:t>
      </w:r>
      <w:r w:rsidR="00CF5839" w:rsidRPr="001F2F1A">
        <w:rPr>
          <w:rFonts w:asciiTheme="majorHAnsi" w:hAnsiTheme="majorHAnsi"/>
          <w:noProof w:val="0"/>
          <w:sz w:val="20"/>
          <w:szCs w:val="20"/>
          <w:lang w:val="es-ES_tradnl"/>
        </w:rPr>
        <w:t xml:space="preserve">referido procedimiento de </w:t>
      </w:r>
      <w:r w:rsidR="00A70FAD" w:rsidRPr="001F2F1A">
        <w:rPr>
          <w:rFonts w:asciiTheme="majorHAnsi" w:hAnsiTheme="majorHAnsi"/>
          <w:noProof w:val="0"/>
          <w:sz w:val="20"/>
          <w:szCs w:val="20"/>
          <w:lang w:val="es-ES_tradnl"/>
        </w:rPr>
        <w:t>homologación</w:t>
      </w:r>
      <w:r w:rsidR="00CF5839" w:rsidRPr="001F2F1A">
        <w:rPr>
          <w:rFonts w:asciiTheme="majorHAnsi" w:hAnsiTheme="majorHAnsi"/>
          <w:noProof w:val="0"/>
          <w:sz w:val="20"/>
          <w:szCs w:val="20"/>
          <w:lang w:val="es-ES_tradnl"/>
        </w:rPr>
        <w:t xml:space="preserve"> </w:t>
      </w:r>
      <w:r w:rsidR="00A70FAD" w:rsidRPr="001F2F1A">
        <w:rPr>
          <w:rFonts w:asciiTheme="majorHAnsi" w:hAnsiTheme="majorHAnsi"/>
          <w:noProof w:val="0"/>
          <w:sz w:val="20"/>
          <w:szCs w:val="20"/>
          <w:lang w:val="es-ES_tradnl"/>
        </w:rPr>
        <w:t xml:space="preserve">se </w:t>
      </w:r>
      <w:r w:rsidR="00D93C5E" w:rsidRPr="001F2F1A">
        <w:rPr>
          <w:rFonts w:asciiTheme="majorHAnsi" w:hAnsiTheme="majorHAnsi"/>
          <w:noProof w:val="0"/>
          <w:sz w:val="20"/>
          <w:szCs w:val="20"/>
          <w:lang w:val="es-ES_tradnl"/>
        </w:rPr>
        <w:t>deb</w:t>
      </w:r>
      <w:r w:rsidR="00CF5839" w:rsidRPr="001F2F1A">
        <w:rPr>
          <w:rFonts w:asciiTheme="majorHAnsi" w:hAnsiTheme="majorHAnsi"/>
          <w:noProof w:val="0"/>
          <w:sz w:val="20"/>
          <w:szCs w:val="20"/>
          <w:lang w:val="es-ES_tradnl"/>
        </w:rPr>
        <w:t>e</w:t>
      </w:r>
      <w:r w:rsidR="00D93C5E" w:rsidRPr="001F2F1A">
        <w:rPr>
          <w:rFonts w:asciiTheme="majorHAnsi" w:hAnsiTheme="majorHAnsi"/>
          <w:noProof w:val="0"/>
          <w:sz w:val="20"/>
          <w:szCs w:val="20"/>
          <w:lang w:val="es-ES_tradnl"/>
        </w:rPr>
        <w:t xml:space="preserve"> realizar</w:t>
      </w:r>
      <w:r w:rsidR="00A70FAD" w:rsidRPr="001F2F1A">
        <w:rPr>
          <w:rFonts w:asciiTheme="majorHAnsi" w:hAnsiTheme="majorHAnsi"/>
          <w:noProof w:val="0"/>
          <w:sz w:val="20"/>
          <w:szCs w:val="20"/>
          <w:lang w:val="es-ES_tradnl"/>
        </w:rPr>
        <w:t xml:space="preserve"> conforme a</w:t>
      </w:r>
      <w:r w:rsidR="00C86343" w:rsidRPr="001F2F1A">
        <w:rPr>
          <w:rFonts w:asciiTheme="majorHAnsi" w:hAnsiTheme="majorHAnsi"/>
          <w:noProof w:val="0"/>
          <w:sz w:val="20"/>
          <w:szCs w:val="20"/>
          <w:lang w:val="es-ES_tradnl"/>
        </w:rPr>
        <w:t xml:space="preserve"> </w:t>
      </w:r>
      <w:r w:rsidR="00A70FAD" w:rsidRPr="001F2F1A">
        <w:rPr>
          <w:rFonts w:asciiTheme="majorHAnsi" w:hAnsiTheme="majorHAnsi"/>
          <w:noProof w:val="0"/>
          <w:sz w:val="20"/>
          <w:szCs w:val="20"/>
          <w:lang w:val="es-ES_tradnl"/>
        </w:rPr>
        <w:t>l</w:t>
      </w:r>
      <w:r w:rsidR="00C86343" w:rsidRPr="001F2F1A">
        <w:rPr>
          <w:rFonts w:asciiTheme="majorHAnsi" w:hAnsiTheme="majorHAnsi"/>
          <w:noProof w:val="0"/>
          <w:sz w:val="20"/>
          <w:szCs w:val="20"/>
          <w:lang w:val="es-ES_tradnl"/>
        </w:rPr>
        <w:t xml:space="preserve">os lineamientos aprobados por </w:t>
      </w:r>
      <w:r w:rsidR="00D93C5E" w:rsidRPr="001F2F1A">
        <w:rPr>
          <w:rFonts w:asciiTheme="majorHAnsi" w:hAnsiTheme="majorHAnsi"/>
          <w:noProof w:val="0"/>
          <w:sz w:val="20"/>
          <w:szCs w:val="20"/>
          <w:lang w:val="es-ES_tradnl"/>
        </w:rPr>
        <w:t xml:space="preserve">la </w:t>
      </w:r>
      <w:r w:rsidR="0058073A" w:rsidRPr="001F2F1A">
        <w:rPr>
          <w:rFonts w:asciiTheme="majorHAnsi" w:hAnsiTheme="majorHAnsi"/>
          <w:noProof w:val="0"/>
          <w:sz w:val="20"/>
          <w:szCs w:val="20"/>
          <w:lang w:val="es-ES_tradnl"/>
        </w:rPr>
        <w:t>propi</w:t>
      </w:r>
      <w:r w:rsidR="00D93C5E" w:rsidRPr="001F2F1A">
        <w:rPr>
          <w:rFonts w:asciiTheme="majorHAnsi" w:hAnsiTheme="majorHAnsi"/>
          <w:noProof w:val="0"/>
          <w:sz w:val="20"/>
          <w:szCs w:val="20"/>
          <w:lang w:val="es-ES_tradnl"/>
        </w:rPr>
        <w:t>a</w:t>
      </w:r>
      <w:r w:rsidR="0058073A" w:rsidRPr="001F2F1A">
        <w:rPr>
          <w:rFonts w:asciiTheme="majorHAnsi" w:hAnsiTheme="majorHAnsi"/>
          <w:noProof w:val="0"/>
          <w:sz w:val="20"/>
          <w:szCs w:val="20"/>
          <w:lang w:val="es-ES_tradnl"/>
        </w:rPr>
        <w:t xml:space="preserve"> </w:t>
      </w:r>
      <w:r w:rsidR="00C86343" w:rsidRPr="001F2F1A">
        <w:rPr>
          <w:rFonts w:asciiTheme="majorHAnsi" w:hAnsiTheme="majorHAnsi"/>
          <w:noProof w:val="0"/>
          <w:sz w:val="20"/>
          <w:szCs w:val="20"/>
          <w:lang w:val="es-ES_tradnl"/>
        </w:rPr>
        <w:t>SUN</w:t>
      </w:r>
      <w:r w:rsidR="00F83DFB" w:rsidRPr="001F2F1A">
        <w:rPr>
          <w:rFonts w:asciiTheme="majorHAnsi" w:hAnsiTheme="majorHAnsi"/>
          <w:noProof w:val="0"/>
          <w:sz w:val="20"/>
          <w:szCs w:val="20"/>
          <w:lang w:val="es-ES_tradnl"/>
        </w:rPr>
        <w:t>A</w:t>
      </w:r>
      <w:r w:rsidR="00C86343" w:rsidRPr="001F2F1A">
        <w:rPr>
          <w:rFonts w:asciiTheme="majorHAnsi" w:hAnsiTheme="majorHAnsi"/>
          <w:noProof w:val="0"/>
          <w:sz w:val="20"/>
          <w:szCs w:val="20"/>
          <w:lang w:val="es-ES_tradnl"/>
        </w:rPr>
        <w:t>T en el</w:t>
      </w:r>
      <w:r w:rsidR="00A70FAD" w:rsidRPr="001F2F1A">
        <w:rPr>
          <w:rFonts w:asciiTheme="majorHAnsi" w:hAnsiTheme="majorHAnsi"/>
          <w:noProof w:val="0"/>
          <w:sz w:val="20"/>
          <w:szCs w:val="20"/>
          <w:lang w:val="es-ES_tradnl"/>
        </w:rPr>
        <w:t xml:space="preserve"> informe </w:t>
      </w:r>
      <w:r w:rsidR="0026743E" w:rsidRPr="001F2F1A">
        <w:rPr>
          <w:rFonts w:asciiTheme="majorHAnsi" w:hAnsiTheme="majorHAnsi"/>
          <w:noProof w:val="0"/>
          <w:sz w:val="20"/>
          <w:szCs w:val="20"/>
          <w:lang w:val="es-ES_tradnl"/>
        </w:rPr>
        <w:t>No.</w:t>
      </w:r>
      <w:r w:rsidR="00A70FAD" w:rsidRPr="001F2F1A">
        <w:rPr>
          <w:rFonts w:asciiTheme="majorHAnsi" w:hAnsiTheme="majorHAnsi"/>
          <w:noProof w:val="0"/>
          <w:sz w:val="20"/>
          <w:szCs w:val="20"/>
          <w:lang w:val="es-ES_tradnl"/>
        </w:rPr>
        <w:t>019-2008-</w:t>
      </w:r>
      <w:r w:rsidR="00C86343" w:rsidRPr="001F2F1A">
        <w:rPr>
          <w:rFonts w:asciiTheme="majorHAnsi" w:hAnsiTheme="majorHAnsi"/>
          <w:noProof w:val="0"/>
          <w:sz w:val="20"/>
          <w:szCs w:val="20"/>
          <w:lang w:val="es-ES_tradnl"/>
        </w:rPr>
        <w:t>SUNAT/</w:t>
      </w:r>
      <w:r w:rsidR="00A70FAD" w:rsidRPr="001F2F1A">
        <w:rPr>
          <w:rFonts w:asciiTheme="majorHAnsi" w:hAnsiTheme="majorHAnsi"/>
          <w:noProof w:val="0"/>
          <w:sz w:val="20"/>
          <w:szCs w:val="20"/>
          <w:lang w:val="es-ES_tradnl"/>
        </w:rPr>
        <w:t xml:space="preserve">2F4300 </w:t>
      </w:r>
      <w:r w:rsidR="007D2C68" w:rsidRPr="001F2F1A">
        <w:rPr>
          <w:rFonts w:asciiTheme="majorHAnsi" w:hAnsiTheme="majorHAnsi"/>
          <w:noProof w:val="0"/>
          <w:sz w:val="20"/>
          <w:szCs w:val="20"/>
          <w:lang w:val="es-ES_tradnl"/>
        </w:rPr>
        <w:t>d</w:t>
      </w:r>
      <w:r w:rsidR="0026743E" w:rsidRPr="001F2F1A">
        <w:rPr>
          <w:rFonts w:asciiTheme="majorHAnsi" w:hAnsiTheme="majorHAnsi"/>
          <w:noProof w:val="0"/>
          <w:sz w:val="20"/>
          <w:szCs w:val="20"/>
          <w:lang w:val="es-ES_tradnl"/>
        </w:rPr>
        <w:t>e</w:t>
      </w:r>
      <w:r w:rsidR="00BE0B3B" w:rsidRPr="001F2F1A">
        <w:rPr>
          <w:rFonts w:asciiTheme="majorHAnsi" w:hAnsiTheme="majorHAnsi"/>
          <w:noProof w:val="0"/>
          <w:sz w:val="20"/>
          <w:szCs w:val="20"/>
          <w:lang w:val="es-ES_tradnl"/>
        </w:rPr>
        <w:t xml:space="preserve"> </w:t>
      </w:r>
      <w:r w:rsidR="003569B2" w:rsidRPr="001F2F1A">
        <w:rPr>
          <w:rFonts w:asciiTheme="majorHAnsi" w:hAnsiTheme="majorHAnsi"/>
          <w:noProof w:val="0"/>
          <w:sz w:val="20"/>
          <w:szCs w:val="20"/>
          <w:lang w:val="es-ES_tradnl"/>
        </w:rPr>
        <w:t>22 de se</w:t>
      </w:r>
      <w:r w:rsidR="006E118B" w:rsidRPr="001F2F1A">
        <w:rPr>
          <w:rFonts w:asciiTheme="majorHAnsi" w:hAnsiTheme="majorHAnsi"/>
          <w:noProof w:val="0"/>
          <w:sz w:val="20"/>
          <w:szCs w:val="20"/>
          <w:lang w:val="es-ES_tradnl"/>
        </w:rPr>
        <w:t>p</w:t>
      </w:r>
      <w:r w:rsidR="003569B2" w:rsidRPr="001F2F1A">
        <w:rPr>
          <w:rFonts w:asciiTheme="majorHAnsi" w:hAnsiTheme="majorHAnsi"/>
          <w:noProof w:val="0"/>
          <w:sz w:val="20"/>
          <w:szCs w:val="20"/>
          <w:lang w:val="es-ES_tradnl"/>
        </w:rPr>
        <w:t>tiembre de 2010</w:t>
      </w:r>
      <w:r w:rsidR="005A7F94" w:rsidRPr="001F2F1A">
        <w:rPr>
          <w:rFonts w:asciiTheme="majorHAnsi" w:hAnsiTheme="majorHAnsi"/>
          <w:noProof w:val="0"/>
          <w:sz w:val="20"/>
          <w:szCs w:val="20"/>
          <w:lang w:val="es-ES_tradnl"/>
        </w:rPr>
        <w:t>.</w:t>
      </w:r>
      <w:r w:rsidR="00D93C5E" w:rsidRPr="001F2F1A">
        <w:rPr>
          <w:rFonts w:asciiTheme="majorHAnsi" w:hAnsiTheme="majorHAnsi"/>
          <w:noProof w:val="0"/>
          <w:sz w:val="20"/>
          <w:szCs w:val="20"/>
          <w:lang w:val="es-ES_tradnl"/>
        </w:rPr>
        <w:t xml:space="preserve"> </w:t>
      </w:r>
      <w:r w:rsidR="002C6060" w:rsidRPr="001F2F1A">
        <w:rPr>
          <w:rFonts w:asciiTheme="majorHAnsi" w:hAnsiTheme="majorHAnsi"/>
          <w:noProof w:val="0"/>
          <w:sz w:val="20"/>
          <w:szCs w:val="20"/>
          <w:lang w:val="es-ES_tradnl"/>
        </w:rPr>
        <w:t>T</w:t>
      </w:r>
      <w:r w:rsidR="00957D0C" w:rsidRPr="001F2F1A">
        <w:rPr>
          <w:rFonts w:asciiTheme="majorHAnsi" w:hAnsiTheme="majorHAnsi"/>
          <w:noProof w:val="0"/>
          <w:sz w:val="20"/>
          <w:szCs w:val="20"/>
          <w:lang w:val="es-ES_tradnl"/>
        </w:rPr>
        <w:t>al resolución, habría sido notificada a la parte peticionaria el 15 de octubre de 2012</w:t>
      </w:r>
      <w:r w:rsidR="00BB7714" w:rsidRPr="001F2F1A">
        <w:rPr>
          <w:rFonts w:asciiTheme="majorHAnsi" w:hAnsiTheme="majorHAnsi"/>
          <w:noProof w:val="0"/>
          <w:sz w:val="20"/>
          <w:szCs w:val="20"/>
          <w:lang w:val="es-ES_tradnl"/>
        </w:rPr>
        <w:t>.</w:t>
      </w:r>
      <w:r w:rsidR="00C30570" w:rsidRPr="001F2F1A">
        <w:rPr>
          <w:rFonts w:asciiTheme="majorHAnsi" w:hAnsiTheme="majorHAnsi"/>
          <w:noProof w:val="0"/>
          <w:sz w:val="20"/>
          <w:szCs w:val="20"/>
          <w:lang w:val="es-ES_tradnl"/>
        </w:rPr>
        <w:t xml:space="preserve"> </w:t>
      </w:r>
    </w:p>
    <w:p w14:paraId="424B42C6" w14:textId="54287B56" w:rsidR="00841FCA" w:rsidRPr="001F2F1A" w:rsidRDefault="00C30570" w:rsidP="00CF58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t>A juicio de la parte peticionaria, dicha decisión violó el carácter inimpugnable de las sentencias,</w:t>
      </w:r>
      <w:r w:rsidR="001A6372" w:rsidRPr="001F2F1A">
        <w:rPr>
          <w:rFonts w:asciiTheme="majorHAnsi" w:hAnsiTheme="majorHAnsi"/>
          <w:noProof w:val="0"/>
          <w:sz w:val="20"/>
          <w:szCs w:val="20"/>
          <w:lang w:val="es-ES_tradnl"/>
        </w:rPr>
        <w:t xml:space="preserve"> </w:t>
      </w:r>
      <w:r w:rsidR="00CF5839" w:rsidRPr="001F2F1A">
        <w:rPr>
          <w:rFonts w:asciiTheme="majorHAnsi" w:hAnsiTheme="majorHAnsi"/>
          <w:noProof w:val="0"/>
          <w:sz w:val="20"/>
          <w:szCs w:val="20"/>
          <w:lang w:val="es-ES_tradnl"/>
        </w:rPr>
        <w:t xml:space="preserve">toda vez que mediante una resolución de aclaración el Tribunal Constitucional modificó su </w:t>
      </w:r>
      <w:r w:rsidR="00841FCA" w:rsidRPr="001F2F1A">
        <w:rPr>
          <w:rFonts w:asciiTheme="majorHAnsi" w:hAnsiTheme="majorHAnsi"/>
          <w:noProof w:val="0"/>
          <w:sz w:val="20"/>
          <w:szCs w:val="20"/>
          <w:lang w:val="es-ES_tradnl"/>
        </w:rPr>
        <w:t xml:space="preserve">decisión principal </w:t>
      </w:r>
      <w:r w:rsidR="00CF5839" w:rsidRPr="001F2F1A">
        <w:rPr>
          <w:rFonts w:asciiTheme="majorHAnsi" w:hAnsiTheme="majorHAnsi"/>
          <w:noProof w:val="0"/>
          <w:sz w:val="20"/>
          <w:szCs w:val="20"/>
          <w:lang w:val="es-ES_tradnl"/>
        </w:rPr>
        <w:t xml:space="preserve">del 18 de octubre de 2007, a efectos de excluir del procedimiento de homologación </w:t>
      </w:r>
      <w:r w:rsidR="00CF5839" w:rsidRPr="001F2F1A">
        <w:rPr>
          <w:rFonts w:asciiTheme="majorHAnsi" w:hAnsiTheme="majorHAnsi"/>
          <w:sz w:val="20"/>
          <w:szCs w:val="20"/>
          <w:lang w:val="es-ES_tradnl"/>
        </w:rPr>
        <w:t xml:space="preserve">la </w:t>
      </w:r>
      <w:r w:rsidR="00CF5839" w:rsidRPr="001F2F1A">
        <w:rPr>
          <w:rFonts w:asciiTheme="majorHAnsi" w:hAnsiTheme="majorHAnsi"/>
          <w:noProof w:val="0"/>
          <w:sz w:val="20"/>
          <w:szCs w:val="20"/>
          <w:lang w:val="es-ES_tradnl"/>
        </w:rPr>
        <w:t xml:space="preserve">Resolución de </w:t>
      </w:r>
      <w:r w:rsidR="00362F12" w:rsidRPr="001F2F1A">
        <w:rPr>
          <w:rFonts w:asciiTheme="majorHAnsi" w:hAnsiTheme="majorHAnsi"/>
          <w:noProof w:val="0"/>
          <w:sz w:val="20"/>
          <w:szCs w:val="20"/>
          <w:lang w:val="es-ES_tradnl"/>
        </w:rPr>
        <w:t xml:space="preserve">la </w:t>
      </w:r>
      <w:r w:rsidR="00CF5839" w:rsidRPr="001F2F1A">
        <w:rPr>
          <w:rFonts w:asciiTheme="majorHAnsi" w:hAnsiTheme="majorHAnsi"/>
          <w:noProof w:val="0"/>
          <w:sz w:val="20"/>
          <w:szCs w:val="20"/>
          <w:lang w:val="es-ES_tradnl"/>
        </w:rPr>
        <w:t xml:space="preserve">Intendencia Nacional de Recursos Humanos </w:t>
      </w:r>
      <w:r w:rsidR="00CF5839" w:rsidRPr="001F2F1A">
        <w:rPr>
          <w:rFonts w:asciiTheme="majorHAnsi" w:hAnsiTheme="majorHAnsi"/>
          <w:sz w:val="20"/>
          <w:szCs w:val="20"/>
          <w:lang w:val="es-ES_tradnl"/>
        </w:rPr>
        <w:t xml:space="preserve">N° 215-2007-2F0000. Al respecto, resalta </w:t>
      </w:r>
      <w:r w:rsidR="00CF5839" w:rsidRPr="001F2F1A">
        <w:rPr>
          <w:rFonts w:asciiTheme="majorHAnsi" w:hAnsiTheme="majorHAnsi"/>
          <w:noProof w:val="0"/>
          <w:sz w:val="20"/>
          <w:szCs w:val="20"/>
          <w:lang w:val="es-ES_tradnl"/>
        </w:rPr>
        <w:t>que</w:t>
      </w:r>
      <w:r w:rsidRPr="001F2F1A">
        <w:rPr>
          <w:rFonts w:asciiTheme="majorHAnsi" w:hAnsiTheme="majorHAnsi"/>
          <w:noProof w:val="0"/>
          <w:sz w:val="20"/>
          <w:szCs w:val="20"/>
          <w:lang w:val="es-ES_tradnl"/>
        </w:rPr>
        <w:t xml:space="preserve"> uno de los magistrados </w:t>
      </w:r>
      <w:r w:rsidR="00CF5839" w:rsidRPr="001F2F1A">
        <w:rPr>
          <w:rFonts w:asciiTheme="majorHAnsi" w:hAnsiTheme="majorHAnsi"/>
          <w:noProof w:val="0"/>
          <w:sz w:val="20"/>
          <w:szCs w:val="20"/>
          <w:lang w:val="es-ES_tradnl"/>
        </w:rPr>
        <w:t>reconoció esta situación</w:t>
      </w:r>
      <w:r w:rsidR="00CF5839" w:rsidRPr="001F2F1A">
        <w:rPr>
          <w:rFonts w:asciiTheme="majorHAnsi" w:hAnsiTheme="majorHAnsi"/>
          <w:i/>
          <w:iCs/>
          <w:noProof w:val="0"/>
          <w:sz w:val="20"/>
          <w:szCs w:val="20"/>
          <w:lang w:val="es-ES_tradnl"/>
        </w:rPr>
        <w:t xml:space="preserve"> </w:t>
      </w:r>
      <w:r w:rsidRPr="001F2F1A">
        <w:rPr>
          <w:rFonts w:asciiTheme="majorHAnsi" w:hAnsiTheme="majorHAnsi"/>
          <w:noProof w:val="0"/>
          <w:sz w:val="20"/>
          <w:szCs w:val="20"/>
          <w:lang w:val="es-ES_tradnl"/>
        </w:rPr>
        <w:t>en su voto singular</w:t>
      </w:r>
      <w:r w:rsidR="00CF5839"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 xml:space="preserve">al resolver que en la aclaración </w:t>
      </w:r>
      <w:r w:rsidRPr="001F2F1A">
        <w:rPr>
          <w:rFonts w:asciiTheme="majorHAnsi" w:hAnsiTheme="majorHAnsi"/>
          <w:i/>
          <w:iCs/>
          <w:noProof w:val="0"/>
          <w:sz w:val="20"/>
          <w:szCs w:val="20"/>
          <w:lang w:val="es-ES_tradnl"/>
        </w:rPr>
        <w:t xml:space="preserve">“la SUNAT pretende que se reconsidere lo ya resuelto por el propio Tribunal Constitucional, lo que es manifiestamente improcedente dado el carácter </w:t>
      </w:r>
      <w:r w:rsidR="00CF5839" w:rsidRPr="001F2F1A">
        <w:rPr>
          <w:rFonts w:asciiTheme="majorHAnsi" w:hAnsiTheme="majorHAnsi"/>
          <w:i/>
          <w:iCs/>
          <w:noProof w:val="0"/>
          <w:sz w:val="20"/>
          <w:szCs w:val="20"/>
          <w:lang w:val="es-ES_tradnl"/>
        </w:rPr>
        <w:t>inimpugnable</w:t>
      </w:r>
      <w:r w:rsidRPr="001F2F1A">
        <w:rPr>
          <w:rFonts w:asciiTheme="majorHAnsi" w:hAnsiTheme="majorHAnsi"/>
          <w:i/>
          <w:iCs/>
          <w:noProof w:val="0"/>
          <w:sz w:val="20"/>
          <w:szCs w:val="20"/>
          <w:lang w:val="es-ES_tradnl"/>
        </w:rPr>
        <w:t xml:space="preserve"> de las decisiones de este Tribunal”. </w:t>
      </w:r>
    </w:p>
    <w:p w14:paraId="0FEB9240" w14:textId="1359619A" w:rsidR="00B84777" w:rsidRPr="001F2F1A" w:rsidRDefault="00841FCA" w:rsidP="00CF58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lastRenderedPageBreak/>
        <w:t>A</w:t>
      </w:r>
      <w:r w:rsidR="00F83DFB" w:rsidRPr="001F2F1A">
        <w:rPr>
          <w:rFonts w:asciiTheme="majorHAnsi" w:hAnsiTheme="majorHAnsi"/>
          <w:noProof w:val="0"/>
          <w:sz w:val="20"/>
          <w:szCs w:val="20"/>
          <w:lang w:val="es-ES_tradnl"/>
        </w:rPr>
        <w:t xml:space="preserve">nte </w:t>
      </w:r>
      <w:r w:rsidR="003A2662" w:rsidRPr="001F2F1A">
        <w:rPr>
          <w:rFonts w:asciiTheme="majorHAnsi" w:hAnsiTheme="majorHAnsi"/>
          <w:noProof w:val="0"/>
          <w:sz w:val="20"/>
          <w:szCs w:val="20"/>
          <w:lang w:val="es-ES_tradnl"/>
        </w:rPr>
        <w:t>esta decisión</w:t>
      </w:r>
      <w:r w:rsidR="00816E4F" w:rsidRPr="001F2F1A">
        <w:rPr>
          <w:rFonts w:asciiTheme="majorHAnsi" w:hAnsiTheme="majorHAnsi"/>
          <w:noProof w:val="0"/>
          <w:sz w:val="20"/>
          <w:szCs w:val="20"/>
          <w:lang w:val="es-ES_tradnl"/>
        </w:rPr>
        <w:t xml:space="preserve">, </w:t>
      </w:r>
      <w:r w:rsidR="00003E4D" w:rsidRPr="001F2F1A">
        <w:rPr>
          <w:rFonts w:asciiTheme="majorHAnsi" w:hAnsiTheme="majorHAnsi"/>
          <w:noProof w:val="0"/>
          <w:sz w:val="20"/>
          <w:szCs w:val="20"/>
          <w:lang w:val="es-ES_tradnl"/>
        </w:rPr>
        <w:t xml:space="preserve">la parte </w:t>
      </w:r>
      <w:r w:rsidR="00A85EFC" w:rsidRPr="001F2F1A">
        <w:rPr>
          <w:rFonts w:asciiTheme="majorHAnsi" w:hAnsiTheme="majorHAnsi"/>
          <w:noProof w:val="0"/>
          <w:sz w:val="20"/>
          <w:szCs w:val="20"/>
          <w:lang w:val="es-ES_tradnl"/>
        </w:rPr>
        <w:t>peticionaria</w:t>
      </w:r>
      <w:r w:rsidR="00003E4D" w:rsidRPr="001F2F1A">
        <w:rPr>
          <w:rFonts w:asciiTheme="majorHAnsi" w:hAnsiTheme="majorHAnsi"/>
          <w:noProof w:val="0"/>
          <w:sz w:val="20"/>
          <w:szCs w:val="20"/>
          <w:lang w:val="es-ES_tradnl"/>
        </w:rPr>
        <w:t xml:space="preserve"> indica que </w:t>
      </w:r>
      <w:r w:rsidR="00A733FD" w:rsidRPr="001F2F1A">
        <w:rPr>
          <w:rFonts w:asciiTheme="majorHAnsi" w:hAnsiTheme="majorHAnsi"/>
          <w:noProof w:val="0"/>
          <w:sz w:val="20"/>
          <w:szCs w:val="20"/>
          <w:lang w:val="es-ES_tradnl"/>
        </w:rPr>
        <w:t xml:space="preserve">un grupo de sindicatos, entre ellos, </w:t>
      </w:r>
      <w:r w:rsidR="00F83DFB" w:rsidRPr="001F2F1A">
        <w:rPr>
          <w:rFonts w:asciiTheme="majorHAnsi" w:hAnsiTheme="majorHAnsi"/>
          <w:noProof w:val="0"/>
          <w:sz w:val="20"/>
          <w:szCs w:val="20"/>
          <w:lang w:val="es-ES_tradnl"/>
        </w:rPr>
        <w:t>SINTRASUR</w:t>
      </w:r>
      <w:r w:rsidR="000C4254" w:rsidRPr="001F2F1A">
        <w:rPr>
          <w:rFonts w:asciiTheme="majorHAnsi" w:hAnsiTheme="majorHAnsi"/>
          <w:noProof w:val="0"/>
          <w:sz w:val="20"/>
          <w:szCs w:val="20"/>
          <w:lang w:val="es-ES_tradnl"/>
        </w:rPr>
        <w:t>,</w:t>
      </w:r>
      <w:r w:rsidR="00A733FD" w:rsidRPr="001F2F1A">
        <w:rPr>
          <w:rFonts w:asciiTheme="majorHAnsi" w:hAnsiTheme="majorHAnsi"/>
          <w:noProof w:val="0"/>
          <w:sz w:val="20"/>
          <w:szCs w:val="20"/>
          <w:lang w:val="es-ES_tradnl"/>
        </w:rPr>
        <w:t xml:space="preserve"> </w:t>
      </w:r>
      <w:r w:rsidR="000C4254" w:rsidRPr="001F2F1A">
        <w:rPr>
          <w:rFonts w:asciiTheme="majorHAnsi" w:hAnsiTheme="majorHAnsi"/>
          <w:noProof w:val="0"/>
          <w:sz w:val="20"/>
          <w:szCs w:val="20"/>
          <w:lang w:val="es-ES_tradnl"/>
        </w:rPr>
        <w:t>el Sindicato Nacional de Unidad de Trabajadores de la SUNAT</w:t>
      </w:r>
      <w:r w:rsidR="00BB39E3" w:rsidRPr="001F2F1A">
        <w:rPr>
          <w:rFonts w:asciiTheme="majorHAnsi" w:hAnsiTheme="majorHAnsi"/>
          <w:noProof w:val="0"/>
          <w:sz w:val="20"/>
          <w:szCs w:val="20"/>
          <w:lang w:val="es-ES_tradnl"/>
        </w:rPr>
        <w:t xml:space="preserve"> </w:t>
      </w:r>
      <w:r w:rsidR="0047104A" w:rsidRPr="001F2F1A">
        <w:rPr>
          <w:rFonts w:asciiTheme="majorHAnsi" w:hAnsiTheme="majorHAnsi"/>
          <w:noProof w:val="0"/>
          <w:sz w:val="20"/>
          <w:szCs w:val="20"/>
          <w:lang w:val="es-ES_tradnl"/>
        </w:rPr>
        <w:t>(en</w:t>
      </w:r>
      <w:r w:rsidR="004E6A1A" w:rsidRPr="001F2F1A">
        <w:rPr>
          <w:rFonts w:asciiTheme="majorHAnsi" w:hAnsiTheme="majorHAnsi"/>
          <w:noProof w:val="0"/>
          <w:sz w:val="20"/>
          <w:szCs w:val="20"/>
          <w:lang w:val="es-ES_tradnl"/>
        </w:rPr>
        <w:t xml:space="preserve"> adelante la “</w:t>
      </w:r>
      <w:r w:rsidR="00BB39E3" w:rsidRPr="001F2F1A">
        <w:rPr>
          <w:rFonts w:asciiTheme="majorHAnsi" w:hAnsiTheme="majorHAnsi"/>
          <w:noProof w:val="0"/>
          <w:sz w:val="20"/>
          <w:szCs w:val="20"/>
          <w:lang w:val="es-ES_tradnl"/>
        </w:rPr>
        <w:t>SINAUT</w:t>
      </w:r>
      <w:r w:rsidR="004E6A1A" w:rsidRPr="001F2F1A">
        <w:rPr>
          <w:rFonts w:asciiTheme="majorHAnsi" w:hAnsiTheme="majorHAnsi"/>
          <w:noProof w:val="0"/>
          <w:sz w:val="20"/>
          <w:szCs w:val="20"/>
          <w:lang w:val="es-ES_tradnl"/>
        </w:rPr>
        <w:t>”)</w:t>
      </w:r>
      <w:r w:rsidR="00BB39E3" w:rsidRPr="001F2F1A">
        <w:rPr>
          <w:rFonts w:asciiTheme="majorHAnsi" w:hAnsiTheme="majorHAnsi"/>
          <w:noProof w:val="0"/>
          <w:sz w:val="20"/>
          <w:szCs w:val="20"/>
          <w:lang w:val="es-ES_tradnl"/>
        </w:rPr>
        <w:t xml:space="preserve"> </w:t>
      </w:r>
      <w:r w:rsidR="003A3AB5" w:rsidRPr="001F2F1A">
        <w:rPr>
          <w:rFonts w:asciiTheme="majorHAnsi" w:hAnsiTheme="majorHAnsi"/>
          <w:noProof w:val="0"/>
          <w:sz w:val="20"/>
          <w:szCs w:val="20"/>
          <w:lang w:val="es-ES_tradnl"/>
        </w:rPr>
        <w:t>y SINTRADUANAS</w:t>
      </w:r>
      <w:r w:rsidR="00BB39E3" w:rsidRPr="001F2F1A">
        <w:rPr>
          <w:rFonts w:asciiTheme="majorHAnsi" w:hAnsiTheme="majorHAnsi"/>
          <w:noProof w:val="0"/>
          <w:sz w:val="20"/>
          <w:szCs w:val="20"/>
          <w:lang w:val="es-ES_tradnl"/>
        </w:rPr>
        <w:t xml:space="preserve"> </w:t>
      </w:r>
      <w:r w:rsidR="00E82FA7" w:rsidRPr="001F2F1A">
        <w:rPr>
          <w:rFonts w:asciiTheme="majorHAnsi" w:hAnsiTheme="majorHAnsi"/>
          <w:noProof w:val="0"/>
          <w:sz w:val="20"/>
          <w:szCs w:val="20"/>
          <w:lang w:val="es-ES_tradnl"/>
        </w:rPr>
        <w:t>solicitaron la nulidad de la referida resolución</w:t>
      </w:r>
      <w:r w:rsidR="00C30570" w:rsidRPr="001F2F1A">
        <w:rPr>
          <w:rFonts w:asciiTheme="majorHAnsi" w:hAnsiTheme="majorHAnsi"/>
          <w:noProof w:val="0"/>
          <w:sz w:val="20"/>
          <w:szCs w:val="20"/>
          <w:lang w:val="es-ES_tradnl"/>
        </w:rPr>
        <w:t>. Sin embargo,</w:t>
      </w:r>
      <w:r w:rsidR="00F90B29" w:rsidRPr="001F2F1A">
        <w:rPr>
          <w:rFonts w:asciiTheme="majorHAnsi" w:hAnsiTheme="majorHAnsi"/>
          <w:noProof w:val="0"/>
          <w:sz w:val="20"/>
          <w:szCs w:val="20"/>
          <w:lang w:val="es-ES_tradnl"/>
        </w:rPr>
        <w:t xml:space="preserve"> el</w:t>
      </w:r>
      <w:r w:rsidR="00365178" w:rsidRPr="001F2F1A">
        <w:rPr>
          <w:rFonts w:asciiTheme="majorHAnsi" w:hAnsiTheme="majorHAnsi"/>
          <w:noProof w:val="0"/>
          <w:sz w:val="20"/>
          <w:szCs w:val="20"/>
          <w:lang w:val="es-ES_tradnl"/>
        </w:rPr>
        <w:t xml:space="preserve"> 29 de octubre de 2012</w:t>
      </w:r>
      <w:r w:rsidR="00F83DFB" w:rsidRPr="001F2F1A">
        <w:rPr>
          <w:rFonts w:asciiTheme="majorHAnsi" w:hAnsiTheme="majorHAnsi"/>
          <w:noProof w:val="0"/>
          <w:sz w:val="20"/>
          <w:szCs w:val="20"/>
          <w:lang w:val="es-ES_tradnl"/>
        </w:rPr>
        <w:t xml:space="preserve"> </w:t>
      </w:r>
      <w:r w:rsidR="00F90B29" w:rsidRPr="001F2F1A">
        <w:rPr>
          <w:rFonts w:asciiTheme="majorHAnsi" w:hAnsiTheme="majorHAnsi"/>
          <w:noProof w:val="0"/>
          <w:sz w:val="20"/>
          <w:szCs w:val="20"/>
          <w:lang w:val="es-ES_tradnl"/>
        </w:rPr>
        <w:t xml:space="preserve">el Tribunal Constitucional </w:t>
      </w:r>
      <w:r w:rsidR="00C30570" w:rsidRPr="001F2F1A">
        <w:rPr>
          <w:rFonts w:asciiTheme="majorHAnsi" w:hAnsiTheme="majorHAnsi"/>
          <w:noProof w:val="0"/>
          <w:sz w:val="20"/>
          <w:szCs w:val="20"/>
          <w:lang w:val="es-ES_tradnl"/>
        </w:rPr>
        <w:t>habría declarado</w:t>
      </w:r>
      <w:r w:rsidR="00F83DFB" w:rsidRPr="001F2F1A">
        <w:rPr>
          <w:rFonts w:asciiTheme="majorHAnsi" w:hAnsiTheme="majorHAnsi"/>
          <w:noProof w:val="0"/>
          <w:sz w:val="20"/>
          <w:szCs w:val="20"/>
          <w:lang w:val="es-ES_tradnl"/>
        </w:rPr>
        <w:t xml:space="preserve"> improcedente </w:t>
      </w:r>
      <w:r w:rsidR="00C30570" w:rsidRPr="001F2F1A">
        <w:rPr>
          <w:rFonts w:asciiTheme="majorHAnsi" w:hAnsiTheme="majorHAnsi"/>
          <w:noProof w:val="0"/>
          <w:sz w:val="20"/>
          <w:szCs w:val="20"/>
          <w:lang w:val="es-ES_tradnl"/>
        </w:rPr>
        <w:t xml:space="preserve">tal solicitud, señalando </w:t>
      </w:r>
      <w:r w:rsidR="00932FD8" w:rsidRPr="001F2F1A">
        <w:rPr>
          <w:rFonts w:asciiTheme="majorHAnsi" w:hAnsiTheme="majorHAnsi"/>
          <w:noProof w:val="0"/>
          <w:sz w:val="20"/>
          <w:szCs w:val="20"/>
          <w:lang w:val="es-ES_tradnl"/>
        </w:rPr>
        <w:t>que</w:t>
      </w:r>
      <w:r w:rsidR="00850DCB" w:rsidRPr="001F2F1A">
        <w:rPr>
          <w:rFonts w:asciiTheme="majorHAnsi" w:hAnsiTheme="majorHAnsi"/>
          <w:noProof w:val="0"/>
          <w:sz w:val="20"/>
          <w:szCs w:val="20"/>
          <w:lang w:val="es-ES_tradnl"/>
        </w:rPr>
        <w:t xml:space="preserve"> </w:t>
      </w:r>
      <w:r w:rsidR="00380FF8" w:rsidRPr="001F2F1A">
        <w:rPr>
          <w:rFonts w:asciiTheme="majorHAnsi" w:hAnsiTheme="majorHAnsi"/>
          <w:noProof w:val="0"/>
          <w:sz w:val="20"/>
          <w:szCs w:val="20"/>
          <w:lang w:val="es-ES_tradnl"/>
        </w:rPr>
        <w:t xml:space="preserve">en </w:t>
      </w:r>
      <w:r w:rsidR="00932FD8" w:rsidRPr="001F2F1A">
        <w:rPr>
          <w:rFonts w:asciiTheme="majorHAnsi" w:hAnsiTheme="majorHAnsi"/>
          <w:noProof w:val="0"/>
          <w:sz w:val="20"/>
          <w:szCs w:val="20"/>
          <w:lang w:val="es-ES_tradnl"/>
        </w:rPr>
        <w:t xml:space="preserve">el </w:t>
      </w:r>
      <w:r w:rsidR="00380FF8" w:rsidRPr="001F2F1A">
        <w:rPr>
          <w:rFonts w:asciiTheme="majorHAnsi" w:hAnsiTheme="majorHAnsi"/>
          <w:noProof w:val="0"/>
          <w:sz w:val="20"/>
          <w:szCs w:val="20"/>
          <w:lang w:val="es-ES_tradnl"/>
        </w:rPr>
        <w:t xml:space="preserve">transcurso del proceso la conducta de los demandantes se caracterizó por constantes escritos </w:t>
      </w:r>
      <w:r w:rsidR="00690172" w:rsidRPr="001F2F1A">
        <w:rPr>
          <w:rFonts w:asciiTheme="majorHAnsi" w:hAnsiTheme="majorHAnsi"/>
          <w:noProof w:val="0"/>
          <w:sz w:val="20"/>
          <w:szCs w:val="20"/>
          <w:lang w:val="es-ES_tradnl"/>
        </w:rPr>
        <w:t>dilatorios</w:t>
      </w:r>
      <w:r w:rsidR="00380FF8" w:rsidRPr="001F2F1A">
        <w:rPr>
          <w:rFonts w:asciiTheme="majorHAnsi" w:hAnsiTheme="majorHAnsi"/>
          <w:noProof w:val="0"/>
          <w:sz w:val="20"/>
          <w:szCs w:val="20"/>
          <w:lang w:val="es-ES_tradnl"/>
        </w:rPr>
        <w:t xml:space="preserve"> y afirmaciones </w:t>
      </w:r>
      <w:r w:rsidR="004204F9" w:rsidRPr="001F2F1A">
        <w:rPr>
          <w:rFonts w:asciiTheme="majorHAnsi" w:hAnsiTheme="majorHAnsi"/>
          <w:noProof w:val="0"/>
          <w:sz w:val="20"/>
          <w:szCs w:val="20"/>
          <w:lang w:val="es-ES_tradnl"/>
        </w:rPr>
        <w:t>in</w:t>
      </w:r>
      <w:r w:rsidR="00380FF8" w:rsidRPr="001F2F1A">
        <w:rPr>
          <w:rFonts w:asciiTheme="majorHAnsi" w:hAnsiTheme="majorHAnsi"/>
          <w:noProof w:val="0"/>
          <w:sz w:val="20"/>
          <w:szCs w:val="20"/>
          <w:lang w:val="es-ES_tradnl"/>
        </w:rPr>
        <w:t>justifica</w:t>
      </w:r>
      <w:r w:rsidR="004204F9" w:rsidRPr="001F2F1A">
        <w:rPr>
          <w:rFonts w:asciiTheme="majorHAnsi" w:hAnsiTheme="majorHAnsi"/>
          <w:noProof w:val="0"/>
          <w:sz w:val="20"/>
          <w:szCs w:val="20"/>
          <w:lang w:val="es-ES_tradnl"/>
        </w:rPr>
        <w:t>das</w:t>
      </w:r>
      <w:r w:rsidR="00380FF8" w:rsidRPr="001F2F1A">
        <w:rPr>
          <w:rFonts w:asciiTheme="majorHAnsi" w:hAnsiTheme="majorHAnsi"/>
          <w:noProof w:val="0"/>
          <w:sz w:val="20"/>
          <w:szCs w:val="20"/>
          <w:lang w:val="es-ES_tradnl"/>
        </w:rPr>
        <w:t xml:space="preserve">, por lo que </w:t>
      </w:r>
      <w:r w:rsidR="00D70062" w:rsidRPr="001F2F1A">
        <w:rPr>
          <w:rFonts w:asciiTheme="majorHAnsi" w:hAnsiTheme="majorHAnsi"/>
          <w:noProof w:val="0"/>
          <w:sz w:val="20"/>
          <w:szCs w:val="20"/>
          <w:lang w:val="es-ES_tradnl"/>
        </w:rPr>
        <w:t>advirtió</w:t>
      </w:r>
      <w:r w:rsidR="00380FF8" w:rsidRPr="001F2F1A">
        <w:rPr>
          <w:rFonts w:asciiTheme="majorHAnsi" w:hAnsiTheme="majorHAnsi"/>
          <w:noProof w:val="0"/>
          <w:sz w:val="20"/>
          <w:szCs w:val="20"/>
          <w:lang w:val="es-ES_tradnl"/>
        </w:rPr>
        <w:t xml:space="preserve"> que </w:t>
      </w:r>
      <w:r w:rsidR="00A064DB" w:rsidRPr="001F2F1A">
        <w:rPr>
          <w:rFonts w:asciiTheme="majorHAnsi" w:hAnsiTheme="majorHAnsi"/>
          <w:noProof w:val="0"/>
          <w:sz w:val="20"/>
          <w:szCs w:val="20"/>
          <w:lang w:val="es-ES_tradnl"/>
        </w:rPr>
        <w:t>su</w:t>
      </w:r>
      <w:r w:rsidR="00380FF8" w:rsidRPr="001F2F1A">
        <w:rPr>
          <w:rFonts w:asciiTheme="majorHAnsi" w:hAnsiTheme="majorHAnsi"/>
          <w:noProof w:val="0"/>
          <w:sz w:val="20"/>
          <w:szCs w:val="20"/>
          <w:lang w:val="es-ES_tradnl"/>
        </w:rPr>
        <w:t xml:space="preserve"> real intención </w:t>
      </w:r>
      <w:r w:rsidR="00C30570" w:rsidRPr="001F2F1A">
        <w:rPr>
          <w:rFonts w:asciiTheme="majorHAnsi" w:hAnsiTheme="majorHAnsi"/>
          <w:noProof w:val="0"/>
          <w:sz w:val="20"/>
          <w:szCs w:val="20"/>
          <w:lang w:val="es-ES_tradnl"/>
        </w:rPr>
        <w:t xml:space="preserve">habría sido </w:t>
      </w:r>
      <w:r w:rsidR="00380FF8" w:rsidRPr="001F2F1A">
        <w:rPr>
          <w:rFonts w:asciiTheme="majorHAnsi" w:hAnsiTheme="majorHAnsi"/>
          <w:noProof w:val="0"/>
          <w:sz w:val="20"/>
          <w:szCs w:val="20"/>
          <w:lang w:val="es-ES_tradnl"/>
        </w:rPr>
        <w:t>dilatar el proceso con recursos y solicit</w:t>
      </w:r>
      <w:r w:rsidR="009F1E64" w:rsidRPr="001F2F1A">
        <w:rPr>
          <w:rFonts w:asciiTheme="majorHAnsi" w:hAnsiTheme="majorHAnsi"/>
          <w:noProof w:val="0"/>
          <w:sz w:val="20"/>
          <w:szCs w:val="20"/>
          <w:lang w:val="es-ES_tradnl"/>
        </w:rPr>
        <w:t>udes</w:t>
      </w:r>
      <w:r w:rsidR="00C30570" w:rsidRPr="001F2F1A">
        <w:rPr>
          <w:rFonts w:asciiTheme="majorHAnsi" w:hAnsiTheme="majorHAnsi"/>
          <w:noProof w:val="0"/>
          <w:sz w:val="20"/>
          <w:szCs w:val="20"/>
          <w:lang w:val="es-ES_tradnl"/>
        </w:rPr>
        <w:t xml:space="preserve">. En consecuencia, dicho tribunal </w:t>
      </w:r>
      <w:r w:rsidR="003131A0" w:rsidRPr="001F2F1A">
        <w:rPr>
          <w:rFonts w:asciiTheme="majorHAnsi" w:hAnsiTheme="majorHAnsi"/>
          <w:noProof w:val="0"/>
          <w:sz w:val="20"/>
          <w:szCs w:val="20"/>
          <w:lang w:val="es-ES_tradnl"/>
        </w:rPr>
        <w:t xml:space="preserve">les </w:t>
      </w:r>
      <w:r w:rsidR="00AA79B1" w:rsidRPr="001F2F1A">
        <w:rPr>
          <w:rFonts w:asciiTheme="majorHAnsi" w:hAnsiTheme="majorHAnsi"/>
          <w:noProof w:val="0"/>
          <w:sz w:val="20"/>
          <w:szCs w:val="20"/>
          <w:lang w:val="es-ES_tradnl"/>
        </w:rPr>
        <w:t>ordenó</w:t>
      </w:r>
      <w:r w:rsidR="00850DCB" w:rsidRPr="001F2F1A">
        <w:rPr>
          <w:rFonts w:asciiTheme="majorHAnsi" w:hAnsiTheme="majorHAnsi"/>
          <w:noProof w:val="0"/>
          <w:sz w:val="20"/>
          <w:szCs w:val="20"/>
          <w:lang w:val="es-ES_tradnl"/>
        </w:rPr>
        <w:t xml:space="preserve"> que no vuelvan a incurrir en</w:t>
      </w:r>
      <w:r w:rsidR="00D27570" w:rsidRPr="001F2F1A">
        <w:rPr>
          <w:rFonts w:asciiTheme="majorHAnsi" w:hAnsiTheme="majorHAnsi"/>
          <w:noProof w:val="0"/>
          <w:sz w:val="20"/>
          <w:szCs w:val="20"/>
          <w:lang w:val="es-ES_tradnl"/>
        </w:rPr>
        <w:t xml:space="preserve"> esa</w:t>
      </w:r>
      <w:r w:rsidR="00850DCB" w:rsidRPr="001F2F1A">
        <w:rPr>
          <w:rFonts w:asciiTheme="majorHAnsi" w:hAnsiTheme="majorHAnsi"/>
          <w:noProof w:val="0"/>
          <w:sz w:val="20"/>
          <w:szCs w:val="20"/>
          <w:lang w:val="es-ES_tradnl"/>
        </w:rPr>
        <w:t xml:space="preserve"> inconducta procesal bajo apercibimiento </w:t>
      </w:r>
      <w:r w:rsidR="00B51C77" w:rsidRPr="001F2F1A">
        <w:rPr>
          <w:rFonts w:asciiTheme="majorHAnsi" w:hAnsiTheme="majorHAnsi"/>
          <w:noProof w:val="0"/>
          <w:sz w:val="20"/>
          <w:szCs w:val="20"/>
          <w:lang w:val="es-ES_tradnl"/>
        </w:rPr>
        <w:t>de aplicarse</w:t>
      </w:r>
      <w:r w:rsidR="00EA1DAE" w:rsidRPr="001F2F1A">
        <w:rPr>
          <w:rFonts w:asciiTheme="majorHAnsi" w:hAnsiTheme="majorHAnsi"/>
          <w:noProof w:val="0"/>
          <w:sz w:val="20"/>
          <w:szCs w:val="20"/>
          <w:lang w:val="es-ES_tradnl"/>
        </w:rPr>
        <w:t xml:space="preserve"> las medidas coercitivas </w:t>
      </w:r>
      <w:r w:rsidR="00DF074E" w:rsidRPr="001F2F1A">
        <w:rPr>
          <w:rFonts w:asciiTheme="majorHAnsi" w:hAnsiTheme="majorHAnsi"/>
          <w:noProof w:val="0"/>
          <w:sz w:val="20"/>
          <w:szCs w:val="20"/>
          <w:lang w:val="es-ES_tradnl"/>
        </w:rPr>
        <w:t>d</w:t>
      </w:r>
      <w:r w:rsidR="002A2591" w:rsidRPr="001F2F1A">
        <w:rPr>
          <w:rFonts w:asciiTheme="majorHAnsi" w:hAnsiTheme="majorHAnsi"/>
          <w:noProof w:val="0"/>
          <w:sz w:val="20"/>
          <w:szCs w:val="20"/>
          <w:lang w:val="es-ES_tradnl"/>
        </w:rPr>
        <w:t>el artículo 22 del Código Procesal Constitucional</w:t>
      </w:r>
      <w:r w:rsidR="00F90B29" w:rsidRPr="001F2F1A">
        <w:rPr>
          <w:rFonts w:asciiTheme="majorHAnsi" w:hAnsiTheme="majorHAnsi"/>
          <w:noProof w:val="0"/>
          <w:sz w:val="20"/>
          <w:szCs w:val="20"/>
          <w:lang w:val="es-ES_tradnl"/>
        </w:rPr>
        <w:t xml:space="preserve">. </w:t>
      </w:r>
    </w:p>
    <w:p w14:paraId="1EF01F02" w14:textId="1F7B7754" w:rsidR="00D26E66" w:rsidRPr="001F2F1A" w:rsidRDefault="00D26E66" w:rsidP="00D26E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noProof w:val="0"/>
          <w:sz w:val="20"/>
          <w:szCs w:val="20"/>
          <w:lang w:val="es-ES_tradnl"/>
        </w:rPr>
      </w:pPr>
      <w:r w:rsidRPr="001F2F1A">
        <w:rPr>
          <w:rFonts w:asciiTheme="majorHAnsi" w:hAnsiTheme="majorHAnsi"/>
          <w:i/>
          <w:iCs/>
          <w:noProof w:val="0"/>
          <w:sz w:val="20"/>
          <w:szCs w:val="20"/>
          <w:lang w:val="es-ES_tradnl"/>
        </w:rPr>
        <w:t>Alegatos de la parte peticionaria</w:t>
      </w:r>
    </w:p>
    <w:p w14:paraId="5CFC312F" w14:textId="77777777" w:rsidR="00841FCA" w:rsidRPr="001F2F1A" w:rsidRDefault="00CD1586" w:rsidP="00841F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En </w:t>
      </w:r>
      <w:r w:rsidR="00E82FA7" w:rsidRPr="001F2F1A">
        <w:rPr>
          <w:rFonts w:asciiTheme="majorHAnsi" w:hAnsiTheme="majorHAnsi"/>
          <w:noProof w:val="0"/>
          <w:sz w:val="20"/>
          <w:szCs w:val="20"/>
          <w:lang w:val="es-ES_tradnl"/>
        </w:rPr>
        <w:t>atención</w:t>
      </w:r>
      <w:r w:rsidRPr="001F2F1A">
        <w:rPr>
          <w:rFonts w:asciiTheme="majorHAnsi" w:hAnsiTheme="majorHAnsi"/>
          <w:noProof w:val="0"/>
          <w:sz w:val="20"/>
          <w:szCs w:val="20"/>
          <w:lang w:val="es-ES_tradnl"/>
        </w:rPr>
        <w:t xml:space="preserve"> a las consideraciones precedentes, la parte peticionaria d</w:t>
      </w:r>
      <w:r w:rsidR="000E11B5" w:rsidRPr="001F2F1A">
        <w:rPr>
          <w:rFonts w:asciiTheme="majorHAnsi" w:hAnsiTheme="majorHAnsi"/>
          <w:noProof w:val="0"/>
          <w:sz w:val="20"/>
          <w:szCs w:val="20"/>
          <w:lang w:val="es-ES_tradnl"/>
        </w:rPr>
        <w:t xml:space="preserve">enuncia </w:t>
      </w:r>
      <w:r w:rsidRPr="001F2F1A">
        <w:rPr>
          <w:rFonts w:asciiTheme="majorHAnsi" w:hAnsiTheme="majorHAnsi"/>
          <w:noProof w:val="0"/>
          <w:sz w:val="20"/>
          <w:szCs w:val="20"/>
          <w:lang w:val="es-ES_tradnl"/>
        </w:rPr>
        <w:t xml:space="preserve">que el Estado </w:t>
      </w:r>
      <w:r w:rsidR="0080128E" w:rsidRPr="001F2F1A">
        <w:rPr>
          <w:rFonts w:asciiTheme="majorHAnsi" w:hAnsiTheme="majorHAnsi"/>
          <w:noProof w:val="0"/>
          <w:sz w:val="20"/>
          <w:szCs w:val="20"/>
          <w:lang w:val="es-ES_tradnl"/>
        </w:rPr>
        <w:t>vulneró</w:t>
      </w:r>
      <w:r w:rsidRPr="001F2F1A">
        <w:rPr>
          <w:rFonts w:asciiTheme="majorHAnsi" w:hAnsiTheme="majorHAnsi"/>
          <w:noProof w:val="0"/>
          <w:sz w:val="20"/>
          <w:szCs w:val="20"/>
          <w:lang w:val="es-ES_tradnl"/>
        </w:rPr>
        <w:t xml:space="preserve"> </w:t>
      </w:r>
      <w:r w:rsidR="0058073A" w:rsidRPr="001F2F1A">
        <w:rPr>
          <w:rFonts w:asciiTheme="majorHAnsi" w:hAnsiTheme="majorHAnsi"/>
          <w:noProof w:val="0"/>
          <w:sz w:val="20"/>
          <w:szCs w:val="20"/>
          <w:lang w:val="es-ES_tradnl"/>
        </w:rPr>
        <w:t xml:space="preserve">el debido proceso </w:t>
      </w:r>
      <w:r w:rsidR="008B1F4A" w:rsidRPr="001F2F1A">
        <w:rPr>
          <w:rFonts w:asciiTheme="majorHAnsi" w:hAnsiTheme="majorHAnsi"/>
          <w:noProof w:val="0"/>
          <w:sz w:val="20"/>
          <w:szCs w:val="20"/>
          <w:lang w:val="es-ES_tradnl"/>
        </w:rPr>
        <w:t xml:space="preserve">de las presuntas víctimas, </w:t>
      </w:r>
      <w:r w:rsidR="0080128E" w:rsidRPr="001F2F1A">
        <w:rPr>
          <w:rFonts w:asciiTheme="majorHAnsi" w:hAnsiTheme="majorHAnsi"/>
          <w:noProof w:val="0"/>
          <w:sz w:val="20"/>
          <w:szCs w:val="20"/>
          <w:lang w:val="es-ES_tradnl"/>
        </w:rPr>
        <w:t xml:space="preserve">toda vez </w:t>
      </w:r>
      <w:r w:rsidR="0044664D" w:rsidRPr="001F2F1A">
        <w:rPr>
          <w:rFonts w:asciiTheme="majorHAnsi" w:hAnsiTheme="majorHAnsi"/>
          <w:noProof w:val="0"/>
          <w:sz w:val="20"/>
          <w:szCs w:val="20"/>
          <w:lang w:val="es-ES_tradnl"/>
        </w:rPr>
        <w:t xml:space="preserve">que el Tribunal Constitucional modificó </w:t>
      </w:r>
      <w:r w:rsidR="00A30219" w:rsidRPr="001F2F1A">
        <w:rPr>
          <w:rFonts w:asciiTheme="majorHAnsi" w:hAnsiTheme="majorHAnsi"/>
          <w:noProof w:val="0"/>
          <w:sz w:val="20"/>
          <w:szCs w:val="20"/>
          <w:lang w:val="es-ES_tradnl"/>
        </w:rPr>
        <w:t>arbitrariamente</w:t>
      </w:r>
      <w:r w:rsidR="0044664D" w:rsidRPr="001F2F1A">
        <w:rPr>
          <w:rFonts w:asciiTheme="majorHAnsi" w:hAnsiTheme="majorHAnsi"/>
          <w:noProof w:val="0"/>
          <w:sz w:val="20"/>
          <w:szCs w:val="20"/>
          <w:lang w:val="es-ES_tradnl"/>
        </w:rPr>
        <w:t xml:space="preserve"> su propia sentencia</w:t>
      </w:r>
      <w:r w:rsidR="008B1F4A" w:rsidRPr="001F2F1A">
        <w:rPr>
          <w:rFonts w:asciiTheme="majorHAnsi" w:hAnsiTheme="majorHAnsi"/>
          <w:noProof w:val="0"/>
          <w:sz w:val="20"/>
          <w:szCs w:val="20"/>
          <w:lang w:val="es-ES_tradnl"/>
        </w:rPr>
        <w:t>,</w:t>
      </w:r>
      <w:r w:rsidR="0080128E" w:rsidRPr="001F2F1A">
        <w:rPr>
          <w:rFonts w:asciiTheme="majorHAnsi" w:hAnsiTheme="majorHAnsi"/>
          <w:noProof w:val="0"/>
          <w:sz w:val="20"/>
          <w:szCs w:val="20"/>
          <w:lang w:val="es-ES_tradnl"/>
        </w:rPr>
        <w:t xml:space="preserve"> </w:t>
      </w:r>
      <w:r w:rsidR="00311431" w:rsidRPr="001F2F1A">
        <w:rPr>
          <w:rFonts w:asciiTheme="majorHAnsi" w:hAnsiTheme="majorHAnsi"/>
          <w:noProof w:val="0"/>
          <w:sz w:val="20"/>
          <w:szCs w:val="20"/>
          <w:lang w:val="es-ES_tradnl"/>
        </w:rPr>
        <w:t>mediante</w:t>
      </w:r>
      <w:r w:rsidR="008B1F4A" w:rsidRPr="001F2F1A">
        <w:rPr>
          <w:rFonts w:asciiTheme="majorHAnsi" w:hAnsiTheme="majorHAnsi"/>
          <w:noProof w:val="0"/>
          <w:sz w:val="20"/>
          <w:szCs w:val="20"/>
          <w:lang w:val="es-ES_tradnl"/>
        </w:rPr>
        <w:t xml:space="preserve"> una</w:t>
      </w:r>
      <w:r w:rsidR="00311431" w:rsidRPr="001F2F1A">
        <w:rPr>
          <w:rFonts w:asciiTheme="majorHAnsi" w:hAnsiTheme="majorHAnsi"/>
          <w:noProof w:val="0"/>
          <w:sz w:val="20"/>
          <w:szCs w:val="20"/>
          <w:lang w:val="es-ES_tradnl"/>
        </w:rPr>
        <w:t xml:space="preserve"> resolución de aclaración</w:t>
      </w:r>
      <w:r w:rsidR="008B1F4A" w:rsidRPr="001F2F1A">
        <w:rPr>
          <w:rFonts w:asciiTheme="majorHAnsi" w:hAnsiTheme="majorHAnsi"/>
          <w:noProof w:val="0"/>
          <w:sz w:val="20"/>
          <w:szCs w:val="20"/>
          <w:lang w:val="es-ES_tradnl"/>
        </w:rPr>
        <w:t xml:space="preserve">, cuando el proceso ya se encontraba en proceso de ejecución. </w:t>
      </w:r>
      <w:r w:rsidR="00841FCA" w:rsidRPr="001F2F1A">
        <w:rPr>
          <w:rFonts w:asciiTheme="majorHAnsi" w:hAnsiTheme="majorHAnsi"/>
          <w:noProof w:val="0"/>
          <w:sz w:val="20"/>
          <w:szCs w:val="20"/>
          <w:lang w:val="es-ES_tradnl"/>
        </w:rPr>
        <w:t xml:space="preserve">A juicio de la parte peticionaria, el Tribunal Constitucional actuó inconstitucionalmente en perjuicio de las presuntas víctimas al excluir la aplicación de la Resolución de Intendencia Nacional de Recursos Humanos </w:t>
      </w:r>
      <w:r w:rsidR="00841FCA" w:rsidRPr="001F2F1A">
        <w:rPr>
          <w:rFonts w:asciiTheme="majorHAnsi" w:hAnsiTheme="majorHAnsi"/>
          <w:sz w:val="20"/>
          <w:szCs w:val="20"/>
          <w:lang w:val="es-ES_tradnl"/>
        </w:rPr>
        <w:t xml:space="preserve">N° 215-2007-2F0000 y colocar, en su lugar, un parametro más restrictivo. </w:t>
      </w:r>
    </w:p>
    <w:p w14:paraId="6A518544" w14:textId="4059E7F6" w:rsidR="004F3B33" w:rsidRPr="001F2F1A" w:rsidRDefault="00841FCA" w:rsidP="008B1F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Asimismo, s</w:t>
      </w:r>
      <w:r w:rsidR="008B1F4A" w:rsidRPr="001F2F1A">
        <w:rPr>
          <w:rFonts w:asciiTheme="majorHAnsi" w:hAnsiTheme="majorHAnsi"/>
          <w:noProof w:val="0"/>
          <w:sz w:val="20"/>
          <w:szCs w:val="20"/>
          <w:lang w:val="es-ES_tradnl"/>
        </w:rPr>
        <w:t>ostiene que</w:t>
      </w:r>
      <w:r w:rsidR="003A3251" w:rsidRPr="001F2F1A">
        <w:rPr>
          <w:rFonts w:asciiTheme="majorHAnsi" w:hAnsiTheme="majorHAnsi"/>
          <w:noProof w:val="0"/>
          <w:sz w:val="20"/>
          <w:szCs w:val="20"/>
          <w:lang w:val="es-ES_tradnl"/>
        </w:rPr>
        <w:t xml:space="preserve"> hasta la fecha</w:t>
      </w:r>
      <w:r w:rsidR="008B1F4A" w:rsidRPr="001F2F1A">
        <w:rPr>
          <w:rFonts w:asciiTheme="majorHAnsi" w:hAnsiTheme="majorHAnsi"/>
          <w:noProof w:val="0"/>
          <w:sz w:val="20"/>
          <w:szCs w:val="20"/>
          <w:lang w:val="es-ES_tradnl"/>
        </w:rPr>
        <w:t xml:space="preserve"> la</w:t>
      </w:r>
      <w:r w:rsidR="00311431" w:rsidRPr="001F2F1A">
        <w:rPr>
          <w:rFonts w:asciiTheme="majorHAnsi" w:hAnsiTheme="majorHAnsi"/>
          <w:noProof w:val="0"/>
          <w:sz w:val="20"/>
          <w:szCs w:val="20"/>
          <w:lang w:val="es-ES_tradnl"/>
        </w:rPr>
        <w:t xml:space="preserve"> homologación de</w:t>
      </w:r>
      <w:r w:rsidR="008B1F4A" w:rsidRPr="001F2F1A">
        <w:rPr>
          <w:rFonts w:asciiTheme="majorHAnsi" w:hAnsiTheme="majorHAnsi"/>
          <w:noProof w:val="0"/>
          <w:sz w:val="20"/>
          <w:szCs w:val="20"/>
          <w:lang w:val="es-ES_tradnl"/>
        </w:rPr>
        <w:t xml:space="preserve"> las</w:t>
      </w:r>
      <w:r w:rsidR="00311431" w:rsidRPr="001F2F1A">
        <w:rPr>
          <w:rFonts w:asciiTheme="majorHAnsi" w:hAnsiTheme="majorHAnsi"/>
          <w:noProof w:val="0"/>
          <w:sz w:val="20"/>
          <w:szCs w:val="20"/>
          <w:lang w:val="es-ES_tradnl"/>
        </w:rPr>
        <w:t xml:space="preserve"> remuneraciones</w:t>
      </w:r>
      <w:r w:rsidR="008B1F4A" w:rsidRPr="001F2F1A">
        <w:rPr>
          <w:rFonts w:asciiTheme="majorHAnsi" w:hAnsiTheme="majorHAnsi"/>
          <w:noProof w:val="0"/>
          <w:sz w:val="20"/>
          <w:szCs w:val="20"/>
          <w:lang w:val="es-ES_tradnl"/>
        </w:rPr>
        <w:t xml:space="preserve"> de las presuntas víctimas</w:t>
      </w:r>
      <w:r w:rsidR="00311431" w:rsidRPr="001F2F1A">
        <w:rPr>
          <w:rFonts w:asciiTheme="majorHAnsi" w:hAnsiTheme="majorHAnsi"/>
          <w:noProof w:val="0"/>
          <w:sz w:val="20"/>
          <w:szCs w:val="20"/>
          <w:lang w:val="es-ES_tradnl"/>
        </w:rPr>
        <w:t xml:space="preserve"> en igual nivel, cargos y categorías </w:t>
      </w:r>
      <w:r w:rsidR="00D501CF">
        <w:rPr>
          <w:rFonts w:asciiTheme="majorHAnsi" w:hAnsiTheme="majorHAnsi"/>
          <w:noProof w:val="0"/>
          <w:sz w:val="20"/>
          <w:szCs w:val="20"/>
          <w:lang w:val="es-ES_tradnl"/>
        </w:rPr>
        <w:t>d</w:t>
      </w:r>
      <w:r w:rsidR="003A3251" w:rsidRPr="001F2F1A">
        <w:rPr>
          <w:rFonts w:asciiTheme="majorHAnsi" w:hAnsiTheme="majorHAnsi"/>
          <w:noProof w:val="0"/>
          <w:sz w:val="20"/>
          <w:szCs w:val="20"/>
          <w:lang w:val="es-ES_tradnl"/>
        </w:rPr>
        <w:t xml:space="preserve">e </w:t>
      </w:r>
      <w:r w:rsidR="007E626F" w:rsidRPr="001F2F1A">
        <w:rPr>
          <w:rFonts w:asciiTheme="majorHAnsi" w:hAnsiTheme="majorHAnsi"/>
          <w:noProof w:val="0"/>
          <w:sz w:val="20"/>
          <w:szCs w:val="20"/>
          <w:lang w:val="es-ES_tradnl"/>
        </w:rPr>
        <w:t xml:space="preserve">los trabajadores de la SUNAT no ha </w:t>
      </w:r>
      <w:r w:rsidR="000E11B5" w:rsidRPr="001F2F1A">
        <w:rPr>
          <w:rFonts w:asciiTheme="majorHAnsi" w:hAnsiTheme="majorHAnsi"/>
          <w:noProof w:val="0"/>
          <w:sz w:val="20"/>
          <w:szCs w:val="20"/>
          <w:lang w:val="es-ES_tradnl"/>
        </w:rPr>
        <w:t xml:space="preserve">sido </w:t>
      </w:r>
      <w:r w:rsidR="00A97C18" w:rsidRPr="001F2F1A">
        <w:rPr>
          <w:rFonts w:asciiTheme="majorHAnsi" w:hAnsiTheme="majorHAnsi"/>
          <w:noProof w:val="0"/>
          <w:sz w:val="20"/>
          <w:szCs w:val="20"/>
          <w:lang w:val="es-ES_tradnl"/>
        </w:rPr>
        <w:t>cumplida</w:t>
      </w:r>
      <w:r w:rsidR="000E11B5"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En ese sentido</w:t>
      </w:r>
      <w:r w:rsidR="008615B0" w:rsidRPr="001F2F1A">
        <w:rPr>
          <w:rFonts w:asciiTheme="majorHAnsi" w:hAnsiTheme="majorHAnsi"/>
          <w:noProof w:val="0"/>
          <w:sz w:val="20"/>
          <w:szCs w:val="20"/>
          <w:lang w:val="es-ES_tradnl"/>
        </w:rPr>
        <w:t>, alega que</w:t>
      </w:r>
      <w:r w:rsidR="008B1F4A" w:rsidRPr="001F2F1A">
        <w:rPr>
          <w:rFonts w:asciiTheme="majorHAnsi" w:hAnsiTheme="majorHAnsi"/>
          <w:noProof w:val="0"/>
          <w:sz w:val="20"/>
          <w:szCs w:val="20"/>
          <w:lang w:val="es-ES_tradnl"/>
        </w:rPr>
        <w:t>,</w:t>
      </w:r>
      <w:r w:rsidR="008615B0" w:rsidRPr="001F2F1A">
        <w:rPr>
          <w:rFonts w:asciiTheme="majorHAnsi" w:hAnsiTheme="majorHAnsi"/>
          <w:noProof w:val="0"/>
          <w:sz w:val="20"/>
          <w:szCs w:val="20"/>
          <w:lang w:val="es-ES_tradnl"/>
        </w:rPr>
        <w:t xml:space="preserve"> al no cumplirse lo ordenado, se </w:t>
      </w:r>
      <w:r w:rsidR="00F37112" w:rsidRPr="001F2F1A">
        <w:rPr>
          <w:rFonts w:asciiTheme="majorHAnsi" w:hAnsiTheme="majorHAnsi"/>
          <w:noProof w:val="0"/>
          <w:sz w:val="20"/>
          <w:szCs w:val="20"/>
          <w:lang w:val="es-ES_tradnl"/>
        </w:rPr>
        <w:t>está</w:t>
      </w:r>
      <w:r w:rsidR="008615B0" w:rsidRPr="001F2F1A">
        <w:rPr>
          <w:rFonts w:asciiTheme="majorHAnsi" w:hAnsiTheme="majorHAnsi"/>
          <w:noProof w:val="0"/>
          <w:sz w:val="20"/>
          <w:szCs w:val="20"/>
          <w:lang w:val="es-ES_tradnl"/>
        </w:rPr>
        <w:t xml:space="preserve"> persistiendo en </w:t>
      </w:r>
      <w:r w:rsidR="003A2662" w:rsidRPr="001F2F1A">
        <w:rPr>
          <w:rFonts w:asciiTheme="majorHAnsi" w:hAnsiTheme="majorHAnsi"/>
          <w:noProof w:val="0"/>
          <w:sz w:val="20"/>
          <w:szCs w:val="20"/>
          <w:lang w:val="es-ES_tradnl"/>
        </w:rPr>
        <w:t xml:space="preserve">la </w:t>
      </w:r>
      <w:r w:rsidR="008615B0" w:rsidRPr="001F2F1A">
        <w:rPr>
          <w:rFonts w:asciiTheme="majorHAnsi" w:hAnsiTheme="majorHAnsi"/>
          <w:noProof w:val="0"/>
          <w:sz w:val="20"/>
          <w:szCs w:val="20"/>
          <w:lang w:val="es-ES_tradnl"/>
        </w:rPr>
        <w:t xml:space="preserve">discriminación </w:t>
      </w:r>
      <w:r w:rsidR="005B55BC" w:rsidRPr="001F2F1A">
        <w:rPr>
          <w:rFonts w:asciiTheme="majorHAnsi" w:hAnsiTheme="majorHAnsi"/>
          <w:noProof w:val="0"/>
          <w:sz w:val="20"/>
          <w:szCs w:val="20"/>
          <w:lang w:val="es-ES_tradnl"/>
        </w:rPr>
        <w:t xml:space="preserve">contra las presuntas víctimas, </w:t>
      </w:r>
      <w:r w:rsidR="0080128E" w:rsidRPr="001F2F1A">
        <w:rPr>
          <w:rFonts w:asciiTheme="majorHAnsi" w:hAnsiTheme="majorHAnsi"/>
          <w:noProof w:val="0"/>
          <w:sz w:val="20"/>
          <w:szCs w:val="20"/>
          <w:lang w:val="es-ES_tradnl"/>
        </w:rPr>
        <w:t>pues</w:t>
      </w:r>
      <w:r w:rsidR="008615B0" w:rsidRPr="001F2F1A">
        <w:rPr>
          <w:rFonts w:asciiTheme="majorHAnsi" w:hAnsiTheme="majorHAnsi"/>
          <w:noProof w:val="0"/>
          <w:sz w:val="20"/>
          <w:szCs w:val="20"/>
          <w:lang w:val="es-ES_tradnl"/>
        </w:rPr>
        <w:t xml:space="preserve"> el propio Tribunal Constitucional reconoció, que se </w:t>
      </w:r>
      <w:r w:rsidR="0080128E" w:rsidRPr="001F2F1A">
        <w:rPr>
          <w:rFonts w:asciiTheme="majorHAnsi" w:hAnsiTheme="majorHAnsi"/>
          <w:noProof w:val="0"/>
          <w:sz w:val="20"/>
          <w:szCs w:val="20"/>
          <w:lang w:val="es-ES_tradnl"/>
        </w:rPr>
        <w:t>vulneró</w:t>
      </w:r>
      <w:r w:rsidR="008615B0" w:rsidRPr="001F2F1A">
        <w:rPr>
          <w:rFonts w:asciiTheme="majorHAnsi" w:hAnsiTheme="majorHAnsi"/>
          <w:noProof w:val="0"/>
          <w:sz w:val="20"/>
          <w:szCs w:val="20"/>
          <w:lang w:val="es-ES_tradnl"/>
        </w:rPr>
        <w:t xml:space="preserve"> el derecho a la igualdad de los demandantes.</w:t>
      </w:r>
      <w:r w:rsidR="00F83DFB" w:rsidRPr="001F2F1A">
        <w:rPr>
          <w:rFonts w:asciiTheme="majorHAnsi" w:hAnsiTheme="majorHAnsi"/>
          <w:noProof w:val="0"/>
          <w:sz w:val="20"/>
          <w:szCs w:val="20"/>
          <w:lang w:val="es-ES_tradnl"/>
        </w:rPr>
        <w:t xml:space="preserve"> </w:t>
      </w:r>
    </w:p>
    <w:p w14:paraId="78C86148" w14:textId="0D2F7792" w:rsidR="00841FCA" w:rsidRPr="001F2F1A" w:rsidRDefault="003C4E89" w:rsidP="00E52E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En adición</w:t>
      </w:r>
      <w:r w:rsidR="008615B0" w:rsidRPr="001F2F1A">
        <w:rPr>
          <w:rFonts w:asciiTheme="majorHAnsi" w:hAnsiTheme="majorHAnsi"/>
          <w:noProof w:val="0"/>
          <w:sz w:val="20"/>
          <w:szCs w:val="20"/>
          <w:lang w:val="es-ES_tradnl"/>
        </w:rPr>
        <w:t xml:space="preserve">, </w:t>
      </w:r>
      <w:r w:rsidR="00841FCA" w:rsidRPr="001F2F1A">
        <w:rPr>
          <w:rFonts w:asciiTheme="majorHAnsi" w:hAnsiTheme="majorHAnsi"/>
          <w:noProof w:val="0"/>
          <w:sz w:val="20"/>
          <w:szCs w:val="20"/>
          <w:lang w:val="es-ES_tradnl"/>
        </w:rPr>
        <w:t>sostiene que el Tribunal Constitucional también limitó arbitrariamente el derecho de las presuntas víctimas a reclamar sus remuneraciones devengadas</w:t>
      </w:r>
      <w:r w:rsidR="00E52E83" w:rsidRPr="001F2F1A">
        <w:rPr>
          <w:rFonts w:asciiTheme="majorHAnsi" w:hAnsiTheme="majorHAnsi"/>
          <w:noProof w:val="0"/>
          <w:sz w:val="20"/>
          <w:szCs w:val="20"/>
          <w:lang w:val="es-ES_tradnl"/>
        </w:rPr>
        <w:t>. Afirma que a pesar de que tales pagos deberían realizarse desde que la SUNAT y la SUNAD se fusionaron, el Tribunal Constitucional señaló que las presuntas víctimas solo pueden solicitar las referidas remuneraciones</w:t>
      </w:r>
      <w:r w:rsidR="00841FCA" w:rsidRPr="001F2F1A">
        <w:rPr>
          <w:rFonts w:asciiTheme="majorHAnsi" w:hAnsiTheme="majorHAnsi"/>
          <w:noProof w:val="0"/>
          <w:sz w:val="20"/>
          <w:szCs w:val="20"/>
          <w:lang w:val="es-ES_tradnl"/>
        </w:rPr>
        <w:t xml:space="preserve"> a partir de la sentencia del 18 de octubre de 2007</w:t>
      </w:r>
      <w:r w:rsidR="00E52E83" w:rsidRPr="001F2F1A">
        <w:rPr>
          <w:rFonts w:asciiTheme="majorHAnsi" w:hAnsiTheme="majorHAnsi"/>
          <w:noProof w:val="0"/>
          <w:sz w:val="20"/>
          <w:szCs w:val="20"/>
          <w:lang w:val="es-ES_tradnl"/>
        </w:rPr>
        <w:t>. Resalta que esta</w:t>
      </w:r>
      <w:r w:rsidR="00841FCA" w:rsidRPr="001F2F1A">
        <w:rPr>
          <w:rFonts w:asciiTheme="majorHAnsi" w:hAnsiTheme="majorHAnsi"/>
          <w:noProof w:val="0"/>
          <w:sz w:val="20"/>
          <w:szCs w:val="20"/>
          <w:lang w:val="es-ES_tradnl"/>
        </w:rPr>
        <w:t xml:space="preserve"> decisión no contó con una adecuada fundamentación y que se realizó cuando el proceso ya se encontraba en etapa de ejecución. </w:t>
      </w:r>
    </w:p>
    <w:p w14:paraId="6974A58A" w14:textId="10999E31" w:rsidR="00604A47" w:rsidRPr="001F2F1A" w:rsidRDefault="001E67A8" w:rsidP="00604A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t>Además</w:t>
      </w:r>
      <w:r w:rsidR="00841FCA" w:rsidRPr="001F2F1A">
        <w:rPr>
          <w:rFonts w:asciiTheme="majorHAnsi" w:hAnsiTheme="majorHAnsi"/>
          <w:noProof w:val="0"/>
          <w:sz w:val="20"/>
          <w:szCs w:val="20"/>
          <w:lang w:val="es-ES_tradnl"/>
        </w:rPr>
        <w:t xml:space="preserve">, </w:t>
      </w:r>
      <w:r w:rsidR="00CB34AB" w:rsidRPr="001F2F1A">
        <w:rPr>
          <w:rFonts w:asciiTheme="majorHAnsi" w:hAnsiTheme="majorHAnsi"/>
          <w:noProof w:val="0"/>
          <w:sz w:val="20"/>
          <w:szCs w:val="20"/>
          <w:lang w:val="es-ES_tradnl"/>
        </w:rPr>
        <w:t xml:space="preserve">la parte peticionaria </w:t>
      </w:r>
      <w:r w:rsidR="00560CF2" w:rsidRPr="001F2F1A">
        <w:rPr>
          <w:rFonts w:asciiTheme="majorHAnsi" w:hAnsiTheme="majorHAnsi"/>
          <w:noProof w:val="0"/>
          <w:sz w:val="20"/>
          <w:szCs w:val="20"/>
          <w:lang w:val="es-ES_tradnl"/>
        </w:rPr>
        <w:t>aduce</w:t>
      </w:r>
      <w:r w:rsidR="008615B0" w:rsidRPr="001F2F1A">
        <w:rPr>
          <w:rFonts w:asciiTheme="majorHAnsi" w:hAnsiTheme="majorHAnsi"/>
          <w:noProof w:val="0"/>
          <w:sz w:val="20"/>
          <w:szCs w:val="20"/>
          <w:lang w:val="es-ES_tradnl"/>
        </w:rPr>
        <w:t xml:space="preserve"> </w:t>
      </w:r>
      <w:r w:rsidR="001B4020" w:rsidRPr="001F2F1A">
        <w:rPr>
          <w:rFonts w:asciiTheme="majorHAnsi" w:hAnsiTheme="majorHAnsi"/>
          <w:noProof w:val="0"/>
          <w:sz w:val="20"/>
          <w:szCs w:val="20"/>
          <w:lang w:val="es-ES_tradnl"/>
        </w:rPr>
        <w:t xml:space="preserve">que </w:t>
      </w:r>
      <w:r w:rsidR="00560CF2" w:rsidRPr="001F2F1A">
        <w:rPr>
          <w:rFonts w:asciiTheme="majorHAnsi" w:hAnsiTheme="majorHAnsi"/>
          <w:noProof w:val="0"/>
          <w:sz w:val="20"/>
          <w:szCs w:val="20"/>
          <w:lang w:val="es-ES_tradnl"/>
        </w:rPr>
        <w:t xml:space="preserve">se </w:t>
      </w:r>
      <w:r w:rsidR="00B82BFF" w:rsidRPr="001F2F1A">
        <w:rPr>
          <w:rFonts w:asciiTheme="majorHAnsi" w:hAnsiTheme="majorHAnsi"/>
          <w:noProof w:val="0"/>
          <w:sz w:val="20"/>
          <w:szCs w:val="20"/>
          <w:lang w:val="es-ES_tradnl"/>
        </w:rPr>
        <w:t>agotó</w:t>
      </w:r>
      <w:r w:rsidR="008615B0" w:rsidRPr="001F2F1A">
        <w:rPr>
          <w:rFonts w:asciiTheme="majorHAnsi" w:hAnsiTheme="majorHAnsi"/>
          <w:noProof w:val="0"/>
          <w:sz w:val="20"/>
          <w:szCs w:val="20"/>
          <w:lang w:val="es-ES_tradnl"/>
        </w:rPr>
        <w:t xml:space="preserve"> la jurisdicción interna con la resolución</w:t>
      </w:r>
      <w:r w:rsidR="008B1F4A" w:rsidRPr="001F2F1A">
        <w:rPr>
          <w:rFonts w:asciiTheme="majorHAnsi" w:hAnsiTheme="majorHAnsi"/>
          <w:noProof w:val="0"/>
          <w:sz w:val="20"/>
          <w:szCs w:val="20"/>
          <w:lang w:val="es-ES_tradnl"/>
        </w:rPr>
        <w:t xml:space="preserve"> </w:t>
      </w:r>
      <w:r w:rsidR="00E5473A" w:rsidRPr="001F2F1A">
        <w:rPr>
          <w:rFonts w:asciiTheme="majorHAnsi" w:hAnsiTheme="majorHAnsi"/>
          <w:noProof w:val="0"/>
          <w:sz w:val="20"/>
          <w:szCs w:val="20"/>
          <w:lang w:val="es-ES_tradnl"/>
        </w:rPr>
        <w:t>del 11 de mayo de 2012</w:t>
      </w:r>
      <w:r w:rsidR="008B1F4A" w:rsidRPr="001F2F1A">
        <w:rPr>
          <w:rFonts w:asciiTheme="majorHAnsi" w:hAnsiTheme="majorHAnsi"/>
          <w:noProof w:val="0"/>
          <w:sz w:val="20"/>
          <w:szCs w:val="20"/>
          <w:lang w:val="es-ES_tradnl"/>
        </w:rPr>
        <w:t xml:space="preserve"> del</w:t>
      </w:r>
      <w:r w:rsidR="008615B0" w:rsidRPr="001F2F1A">
        <w:rPr>
          <w:rFonts w:asciiTheme="majorHAnsi" w:hAnsiTheme="majorHAnsi"/>
          <w:noProof w:val="0"/>
          <w:sz w:val="20"/>
          <w:szCs w:val="20"/>
          <w:lang w:val="es-ES_tradnl"/>
        </w:rPr>
        <w:t xml:space="preserve"> Tribunal Constitucional, </w:t>
      </w:r>
      <w:r w:rsidR="00E5473A" w:rsidRPr="001F2F1A">
        <w:rPr>
          <w:rFonts w:asciiTheme="majorHAnsi" w:hAnsiTheme="majorHAnsi"/>
          <w:noProof w:val="0"/>
          <w:sz w:val="20"/>
          <w:szCs w:val="20"/>
          <w:lang w:val="es-ES_tradnl"/>
        </w:rPr>
        <w:t xml:space="preserve">que resolvió el recurso de apelación por salto, </w:t>
      </w:r>
      <w:r w:rsidR="008615B0" w:rsidRPr="001F2F1A">
        <w:rPr>
          <w:rFonts w:asciiTheme="majorHAnsi" w:hAnsiTheme="majorHAnsi"/>
          <w:noProof w:val="0"/>
          <w:sz w:val="20"/>
          <w:szCs w:val="20"/>
          <w:lang w:val="es-ES_tradnl"/>
        </w:rPr>
        <w:t>notificada el 6 de junio de 2012</w:t>
      </w:r>
      <w:r w:rsidR="00071E0A" w:rsidRPr="001F2F1A">
        <w:rPr>
          <w:rFonts w:asciiTheme="majorHAnsi" w:hAnsiTheme="majorHAnsi"/>
          <w:noProof w:val="0"/>
          <w:sz w:val="20"/>
          <w:szCs w:val="20"/>
          <w:lang w:val="es-ES_tradnl"/>
        </w:rPr>
        <w:t>.</w:t>
      </w:r>
      <w:r w:rsidR="008615B0" w:rsidRPr="001F2F1A">
        <w:rPr>
          <w:rFonts w:asciiTheme="majorHAnsi" w:hAnsiTheme="majorHAnsi"/>
          <w:noProof w:val="0"/>
          <w:sz w:val="20"/>
          <w:szCs w:val="20"/>
          <w:lang w:val="es-ES_tradnl"/>
        </w:rPr>
        <w:t xml:space="preserve"> </w:t>
      </w:r>
      <w:r w:rsidR="00206FAA" w:rsidRPr="001F2F1A">
        <w:rPr>
          <w:rFonts w:asciiTheme="majorHAnsi" w:hAnsiTheme="majorHAnsi"/>
          <w:noProof w:val="0"/>
          <w:sz w:val="20"/>
          <w:szCs w:val="20"/>
          <w:lang w:val="es-ES_tradnl"/>
        </w:rPr>
        <w:t xml:space="preserve">Indica </w:t>
      </w:r>
      <w:r w:rsidR="00A80155" w:rsidRPr="001F2F1A">
        <w:rPr>
          <w:rFonts w:asciiTheme="majorHAnsi" w:hAnsiTheme="majorHAnsi"/>
          <w:noProof w:val="0"/>
          <w:sz w:val="20"/>
          <w:szCs w:val="20"/>
          <w:lang w:val="es-ES_tradnl"/>
        </w:rPr>
        <w:t>que</w:t>
      </w:r>
      <w:r w:rsidR="00560CF2" w:rsidRPr="001F2F1A">
        <w:rPr>
          <w:rFonts w:asciiTheme="majorHAnsi" w:hAnsiTheme="majorHAnsi"/>
          <w:noProof w:val="0"/>
          <w:sz w:val="20"/>
          <w:szCs w:val="20"/>
          <w:lang w:val="es-ES_tradnl"/>
        </w:rPr>
        <w:t>,</w:t>
      </w:r>
      <w:r w:rsidR="00471E01" w:rsidRPr="001F2F1A">
        <w:rPr>
          <w:rFonts w:asciiTheme="majorHAnsi" w:hAnsiTheme="majorHAnsi"/>
          <w:noProof w:val="0"/>
          <w:sz w:val="20"/>
          <w:szCs w:val="20"/>
          <w:lang w:val="es-ES_tradnl"/>
        </w:rPr>
        <w:t xml:space="preserve"> </w:t>
      </w:r>
      <w:r w:rsidR="00A80155" w:rsidRPr="001F2F1A">
        <w:rPr>
          <w:rFonts w:asciiTheme="majorHAnsi" w:hAnsiTheme="majorHAnsi"/>
          <w:noProof w:val="0"/>
          <w:sz w:val="20"/>
          <w:szCs w:val="20"/>
          <w:lang w:val="es-ES_tradnl"/>
        </w:rPr>
        <w:t>por el daño moral causado a las presuntas v</w:t>
      </w:r>
      <w:r w:rsidR="001B4020" w:rsidRPr="001F2F1A">
        <w:rPr>
          <w:rFonts w:asciiTheme="majorHAnsi" w:hAnsiTheme="majorHAnsi"/>
          <w:noProof w:val="0"/>
          <w:sz w:val="20"/>
          <w:szCs w:val="20"/>
          <w:lang w:val="es-ES_tradnl"/>
        </w:rPr>
        <w:t>í</w:t>
      </w:r>
      <w:r w:rsidR="00A80155" w:rsidRPr="001F2F1A">
        <w:rPr>
          <w:rFonts w:asciiTheme="majorHAnsi" w:hAnsiTheme="majorHAnsi"/>
          <w:noProof w:val="0"/>
          <w:sz w:val="20"/>
          <w:szCs w:val="20"/>
          <w:lang w:val="es-ES_tradnl"/>
        </w:rPr>
        <w:t xml:space="preserve">ctimas, </w:t>
      </w:r>
      <w:r w:rsidR="00471E01" w:rsidRPr="001F2F1A">
        <w:rPr>
          <w:rFonts w:asciiTheme="majorHAnsi" w:hAnsiTheme="majorHAnsi"/>
          <w:noProof w:val="0"/>
          <w:sz w:val="20"/>
          <w:szCs w:val="20"/>
          <w:lang w:val="es-ES_tradnl"/>
        </w:rPr>
        <w:t xml:space="preserve">el Estado debe otorgar una </w:t>
      </w:r>
      <w:r w:rsidR="00D9565C" w:rsidRPr="001F2F1A">
        <w:rPr>
          <w:rFonts w:asciiTheme="majorHAnsi" w:hAnsiTheme="majorHAnsi"/>
          <w:noProof w:val="0"/>
          <w:sz w:val="20"/>
          <w:szCs w:val="20"/>
          <w:lang w:val="es-ES_tradnl"/>
        </w:rPr>
        <w:t xml:space="preserve">reparación </w:t>
      </w:r>
      <w:r w:rsidR="00A80155" w:rsidRPr="001F2F1A">
        <w:rPr>
          <w:rFonts w:asciiTheme="majorHAnsi" w:hAnsiTheme="majorHAnsi"/>
          <w:noProof w:val="0"/>
          <w:sz w:val="20"/>
          <w:szCs w:val="20"/>
          <w:lang w:val="es-ES_tradnl"/>
        </w:rPr>
        <w:t>adecuada,</w:t>
      </w:r>
      <w:r w:rsidR="00471E01" w:rsidRPr="001F2F1A">
        <w:rPr>
          <w:rFonts w:asciiTheme="majorHAnsi" w:hAnsiTheme="majorHAnsi"/>
          <w:noProof w:val="0"/>
          <w:sz w:val="20"/>
          <w:szCs w:val="20"/>
          <w:lang w:val="es-ES_tradnl"/>
        </w:rPr>
        <w:t xml:space="preserve"> pagar l</w:t>
      </w:r>
      <w:r w:rsidR="00560CF2" w:rsidRPr="001F2F1A">
        <w:rPr>
          <w:rFonts w:asciiTheme="majorHAnsi" w:hAnsiTheme="majorHAnsi"/>
          <w:noProof w:val="0"/>
          <w:sz w:val="20"/>
          <w:szCs w:val="20"/>
          <w:lang w:val="es-ES_tradnl"/>
        </w:rPr>
        <w:t>os</w:t>
      </w:r>
      <w:r w:rsidR="00471E01" w:rsidRPr="001F2F1A">
        <w:rPr>
          <w:rFonts w:asciiTheme="majorHAnsi" w:hAnsiTheme="majorHAnsi"/>
          <w:noProof w:val="0"/>
          <w:sz w:val="20"/>
          <w:szCs w:val="20"/>
          <w:lang w:val="es-ES_tradnl"/>
        </w:rPr>
        <w:t xml:space="preserve"> gastos </w:t>
      </w:r>
      <w:r w:rsidR="00560CF2" w:rsidRPr="001F2F1A">
        <w:rPr>
          <w:rFonts w:asciiTheme="majorHAnsi" w:hAnsiTheme="majorHAnsi"/>
          <w:noProof w:val="0"/>
          <w:sz w:val="20"/>
          <w:szCs w:val="20"/>
          <w:lang w:val="es-ES_tradnl"/>
        </w:rPr>
        <w:t>de</w:t>
      </w:r>
      <w:r w:rsidR="00471E01" w:rsidRPr="001F2F1A">
        <w:rPr>
          <w:rFonts w:asciiTheme="majorHAnsi" w:hAnsiTheme="majorHAnsi"/>
          <w:noProof w:val="0"/>
          <w:sz w:val="20"/>
          <w:szCs w:val="20"/>
          <w:lang w:val="es-ES_tradnl"/>
        </w:rPr>
        <w:t xml:space="preserve"> trámites judiciales</w:t>
      </w:r>
      <w:r w:rsidR="00D9565C" w:rsidRPr="001F2F1A">
        <w:rPr>
          <w:rFonts w:asciiTheme="majorHAnsi" w:hAnsiTheme="majorHAnsi"/>
          <w:noProof w:val="0"/>
          <w:sz w:val="20"/>
          <w:szCs w:val="20"/>
          <w:lang w:val="es-ES_tradnl"/>
        </w:rPr>
        <w:t xml:space="preserve"> y garantizar que el hecho no se repita</w:t>
      </w:r>
      <w:r w:rsidR="00206FAA" w:rsidRPr="001F2F1A">
        <w:rPr>
          <w:rFonts w:asciiTheme="majorHAnsi" w:hAnsiTheme="majorHAnsi"/>
          <w:noProof w:val="0"/>
          <w:sz w:val="20"/>
          <w:szCs w:val="20"/>
          <w:lang w:val="es-ES_tradnl"/>
        </w:rPr>
        <w:t xml:space="preserve">. </w:t>
      </w:r>
      <w:r w:rsidR="003F4411" w:rsidRPr="001F2F1A">
        <w:rPr>
          <w:rFonts w:asciiTheme="majorHAnsi" w:hAnsiTheme="majorHAnsi"/>
          <w:noProof w:val="0"/>
          <w:sz w:val="20"/>
          <w:szCs w:val="20"/>
          <w:lang w:val="es-ES_tradnl"/>
        </w:rPr>
        <w:t xml:space="preserve">Finalmente, </w:t>
      </w:r>
      <w:r w:rsidR="000C4F28" w:rsidRPr="001F2F1A">
        <w:rPr>
          <w:rFonts w:asciiTheme="majorHAnsi" w:hAnsiTheme="majorHAnsi"/>
          <w:noProof w:val="0"/>
          <w:sz w:val="20"/>
          <w:szCs w:val="20"/>
          <w:lang w:val="es-ES_tradnl"/>
        </w:rPr>
        <w:t xml:space="preserve">frente a los alegatos del Estado, </w:t>
      </w:r>
      <w:r w:rsidR="00842B59" w:rsidRPr="001F2F1A">
        <w:rPr>
          <w:rFonts w:asciiTheme="majorHAnsi" w:hAnsiTheme="majorHAnsi"/>
          <w:noProof w:val="0"/>
          <w:sz w:val="20"/>
          <w:szCs w:val="20"/>
          <w:lang w:val="es-ES_tradnl"/>
        </w:rPr>
        <w:t>la parte peticionaria</w:t>
      </w:r>
      <w:r w:rsidR="000C4F28" w:rsidRPr="001F2F1A">
        <w:rPr>
          <w:rFonts w:asciiTheme="majorHAnsi" w:hAnsiTheme="majorHAnsi"/>
          <w:noProof w:val="0"/>
          <w:sz w:val="20"/>
          <w:szCs w:val="20"/>
          <w:lang w:val="es-ES_tradnl"/>
        </w:rPr>
        <w:t xml:space="preserve"> replic</w:t>
      </w:r>
      <w:r w:rsidR="00841FCA" w:rsidRPr="001F2F1A">
        <w:rPr>
          <w:rFonts w:asciiTheme="majorHAnsi" w:hAnsiTheme="majorHAnsi"/>
          <w:noProof w:val="0"/>
          <w:sz w:val="20"/>
          <w:szCs w:val="20"/>
          <w:lang w:val="es-ES_tradnl"/>
        </w:rPr>
        <w:t xml:space="preserve">a </w:t>
      </w:r>
      <w:r w:rsidR="00604A47" w:rsidRPr="001F2F1A">
        <w:rPr>
          <w:rFonts w:asciiTheme="majorHAnsi" w:hAnsiTheme="majorHAnsi"/>
          <w:noProof w:val="0"/>
          <w:sz w:val="20"/>
          <w:szCs w:val="20"/>
          <w:lang w:val="es-ES_tradnl"/>
        </w:rPr>
        <w:t xml:space="preserve">que, si bien SINTRASUR no inició el proceso de amparo, el 31 de julio de 2008 el Tribunal Constitucional subsanó su resolución de 18 junio de 2008, extendiendo los efectos de su decisión a todos los trabajadores de la SUNAT y no solamente en favor de quienes integraban el sindicato que interpuso la demanda. En consecuencia, afirma que los trabajadores de SINTRASUR están legitimados para cuestionar la falta de cumplimiento de dicha decisión ante la CIDH. </w:t>
      </w:r>
    </w:p>
    <w:p w14:paraId="5FBB4B23" w14:textId="058D00A6" w:rsidR="00D26E66" w:rsidRPr="001F2F1A" w:rsidRDefault="00604A47" w:rsidP="00D26E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noProof w:val="0"/>
          <w:sz w:val="20"/>
          <w:szCs w:val="20"/>
          <w:lang w:val="es-ES_tradnl"/>
        </w:rPr>
      </w:pPr>
      <w:r w:rsidRPr="001F2F1A">
        <w:rPr>
          <w:rFonts w:asciiTheme="majorHAnsi" w:hAnsiTheme="majorHAnsi"/>
          <w:i/>
          <w:iCs/>
          <w:noProof w:val="0"/>
          <w:sz w:val="20"/>
          <w:szCs w:val="20"/>
          <w:lang w:val="es-ES_tradnl"/>
        </w:rPr>
        <w:t>C</w:t>
      </w:r>
      <w:r w:rsidR="00FE3708" w:rsidRPr="001F2F1A">
        <w:rPr>
          <w:rFonts w:asciiTheme="majorHAnsi" w:hAnsiTheme="majorHAnsi"/>
          <w:i/>
          <w:iCs/>
          <w:noProof w:val="0"/>
          <w:sz w:val="20"/>
          <w:szCs w:val="20"/>
          <w:lang w:val="es-ES_tradnl"/>
        </w:rPr>
        <w:t xml:space="preserve">onsideraciones </w:t>
      </w:r>
      <w:r w:rsidR="00105C5F" w:rsidRPr="001F2F1A">
        <w:rPr>
          <w:rFonts w:asciiTheme="majorHAnsi" w:hAnsiTheme="majorHAnsi"/>
          <w:i/>
          <w:iCs/>
          <w:noProof w:val="0"/>
          <w:sz w:val="20"/>
          <w:szCs w:val="20"/>
          <w:lang w:val="es-ES_tradnl"/>
        </w:rPr>
        <w:t>previas</w:t>
      </w:r>
      <w:r w:rsidR="00FE3708" w:rsidRPr="001F2F1A">
        <w:rPr>
          <w:rFonts w:asciiTheme="majorHAnsi" w:hAnsiTheme="majorHAnsi"/>
          <w:i/>
          <w:iCs/>
          <w:noProof w:val="0"/>
          <w:sz w:val="20"/>
          <w:szCs w:val="20"/>
          <w:lang w:val="es-ES_tradnl"/>
        </w:rPr>
        <w:t xml:space="preserve"> del Estado</w:t>
      </w:r>
    </w:p>
    <w:p w14:paraId="30081576" w14:textId="1A722D8D" w:rsidR="00501549" w:rsidRPr="001F2F1A" w:rsidRDefault="00FB3BC3" w:rsidP="00E97F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El Estado</w:t>
      </w:r>
      <w:r w:rsidR="002A5B89" w:rsidRPr="001F2F1A">
        <w:rPr>
          <w:rFonts w:asciiTheme="majorHAnsi" w:hAnsiTheme="majorHAnsi"/>
          <w:noProof w:val="0"/>
          <w:sz w:val="20"/>
          <w:szCs w:val="20"/>
          <w:lang w:val="es-ES_tradnl"/>
        </w:rPr>
        <w:t xml:space="preserve"> peruano </w:t>
      </w:r>
      <w:r w:rsidR="0088448C" w:rsidRPr="001F2F1A">
        <w:rPr>
          <w:rFonts w:asciiTheme="majorHAnsi" w:hAnsiTheme="majorHAnsi"/>
          <w:noProof w:val="0"/>
          <w:sz w:val="20"/>
          <w:szCs w:val="20"/>
          <w:lang w:val="es-ES_tradnl"/>
        </w:rPr>
        <w:t xml:space="preserve">plantea una serie de cuestiones de hecho, a efectos de aclarar los acontecimientos denunciados en la petición. </w:t>
      </w:r>
      <w:r w:rsidR="00BE7804" w:rsidRPr="001F2F1A">
        <w:rPr>
          <w:rFonts w:asciiTheme="majorHAnsi" w:hAnsiTheme="majorHAnsi"/>
          <w:noProof w:val="0"/>
          <w:sz w:val="20"/>
          <w:szCs w:val="20"/>
          <w:lang w:val="es-ES_tradnl"/>
        </w:rPr>
        <w:t>Explica que</w:t>
      </w:r>
      <w:r w:rsidR="00FC08A0" w:rsidRPr="001F2F1A">
        <w:rPr>
          <w:rFonts w:asciiTheme="majorHAnsi" w:hAnsiTheme="majorHAnsi"/>
          <w:noProof w:val="0"/>
          <w:sz w:val="20"/>
          <w:szCs w:val="20"/>
          <w:lang w:val="es-ES_tradnl"/>
        </w:rPr>
        <w:t xml:space="preserve"> el 26 de agosto de 2008 SINTRADUANAS </w:t>
      </w:r>
      <w:r w:rsidR="00FE3708" w:rsidRPr="001F2F1A">
        <w:rPr>
          <w:rFonts w:asciiTheme="majorHAnsi" w:hAnsiTheme="majorHAnsi"/>
          <w:noProof w:val="0"/>
          <w:sz w:val="20"/>
          <w:szCs w:val="20"/>
          <w:lang w:val="es-ES_tradnl"/>
        </w:rPr>
        <w:t>y otras organizaciones</w:t>
      </w:r>
      <w:r w:rsidR="00FC08A0" w:rsidRPr="001F2F1A">
        <w:rPr>
          <w:rFonts w:asciiTheme="majorHAnsi" w:hAnsiTheme="majorHAnsi"/>
          <w:noProof w:val="0"/>
          <w:sz w:val="20"/>
          <w:szCs w:val="20"/>
          <w:lang w:val="es-ES_tradnl"/>
        </w:rPr>
        <w:t xml:space="preserve"> presentaron una solicitud de nulidad, cuestionando las consideraciones jurídicas emitidas por el Tribunal Constitucional en sus resoluciones anteriores. Ante ello, el </w:t>
      </w:r>
      <w:r w:rsidR="00501549" w:rsidRPr="001F2F1A">
        <w:rPr>
          <w:rFonts w:asciiTheme="majorHAnsi" w:hAnsiTheme="majorHAnsi"/>
          <w:noProof w:val="0"/>
          <w:sz w:val="20"/>
          <w:szCs w:val="20"/>
          <w:lang w:val="es-ES_tradnl"/>
        </w:rPr>
        <w:t xml:space="preserve">16 de diciembre 2008 </w:t>
      </w:r>
      <w:r w:rsidR="00FC08A0" w:rsidRPr="001F2F1A">
        <w:rPr>
          <w:rFonts w:asciiTheme="majorHAnsi" w:hAnsiTheme="majorHAnsi"/>
          <w:noProof w:val="0"/>
          <w:sz w:val="20"/>
          <w:szCs w:val="20"/>
          <w:lang w:val="es-ES_tradnl"/>
        </w:rPr>
        <w:t xml:space="preserve">el Tribunal Constitucional </w:t>
      </w:r>
      <w:r w:rsidR="00501549" w:rsidRPr="001F2F1A">
        <w:rPr>
          <w:rFonts w:asciiTheme="majorHAnsi" w:hAnsiTheme="majorHAnsi"/>
          <w:noProof w:val="0"/>
          <w:sz w:val="20"/>
          <w:szCs w:val="20"/>
          <w:lang w:val="es-ES_tradnl"/>
        </w:rPr>
        <w:t xml:space="preserve">emitió una nueva resolución y </w:t>
      </w:r>
      <w:r w:rsidR="00FC08A0" w:rsidRPr="001F2F1A">
        <w:rPr>
          <w:rFonts w:asciiTheme="majorHAnsi" w:hAnsiTheme="majorHAnsi"/>
          <w:noProof w:val="0"/>
          <w:sz w:val="20"/>
          <w:szCs w:val="20"/>
          <w:lang w:val="es-ES_tradnl"/>
        </w:rPr>
        <w:t xml:space="preserve">declaró improcedente dicho pedido, destacando </w:t>
      </w:r>
      <w:r w:rsidR="00276AD6" w:rsidRPr="001F2F1A">
        <w:rPr>
          <w:rFonts w:asciiTheme="majorHAnsi" w:hAnsiTheme="majorHAnsi"/>
          <w:noProof w:val="0"/>
          <w:sz w:val="20"/>
          <w:szCs w:val="20"/>
          <w:lang w:val="es-ES_tradnl"/>
        </w:rPr>
        <w:t>que la homologación de remuneraciones debía realizarse de forma progresiva</w:t>
      </w:r>
      <w:r w:rsidR="002A5B89" w:rsidRPr="001F2F1A">
        <w:rPr>
          <w:rFonts w:asciiTheme="majorHAnsi" w:hAnsiTheme="majorHAnsi"/>
          <w:noProof w:val="0"/>
          <w:sz w:val="20"/>
          <w:szCs w:val="20"/>
          <w:lang w:val="es-ES_tradnl"/>
        </w:rPr>
        <w:t>;</w:t>
      </w:r>
      <w:r w:rsidR="009757BD" w:rsidRPr="001F2F1A">
        <w:rPr>
          <w:rFonts w:asciiTheme="majorHAnsi" w:hAnsiTheme="majorHAnsi"/>
          <w:noProof w:val="0"/>
          <w:sz w:val="20"/>
          <w:szCs w:val="20"/>
          <w:lang w:val="es-ES_tradnl"/>
        </w:rPr>
        <w:t xml:space="preserve"> y principalmente a partir de su sentencia del 18 de octubre de 2007. </w:t>
      </w:r>
      <w:r w:rsidR="00501549" w:rsidRPr="001F2F1A">
        <w:rPr>
          <w:rFonts w:asciiTheme="majorHAnsi" w:hAnsiTheme="majorHAnsi"/>
          <w:noProof w:val="0"/>
          <w:sz w:val="20"/>
          <w:szCs w:val="20"/>
          <w:lang w:val="es-ES_tradnl"/>
        </w:rPr>
        <w:t xml:space="preserve">Resalta que esta decisión, contrario a lo afirmado por la parte peticionaria, demuestra que </w:t>
      </w:r>
      <w:r w:rsidR="00E97F46" w:rsidRPr="001F2F1A">
        <w:rPr>
          <w:rFonts w:asciiTheme="majorHAnsi" w:hAnsiTheme="majorHAnsi"/>
          <w:noProof w:val="0"/>
          <w:sz w:val="20"/>
          <w:szCs w:val="20"/>
          <w:lang w:val="es-ES_tradnl"/>
        </w:rPr>
        <w:t xml:space="preserve">el Tribunal Constitucional dispuso el plazo de </w:t>
      </w:r>
      <w:r w:rsidR="001F2F1A" w:rsidRPr="001F2F1A">
        <w:rPr>
          <w:rFonts w:asciiTheme="majorHAnsi" w:hAnsiTheme="majorHAnsi"/>
          <w:noProof w:val="0"/>
          <w:sz w:val="20"/>
          <w:szCs w:val="20"/>
          <w:lang w:val="es-ES_tradnl"/>
        </w:rPr>
        <w:t>cómputo</w:t>
      </w:r>
      <w:r w:rsidR="00E97F46" w:rsidRPr="001F2F1A">
        <w:rPr>
          <w:rFonts w:asciiTheme="majorHAnsi" w:hAnsiTheme="majorHAnsi"/>
          <w:noProof w:val="0"/>
          <w:sz w:val="20"/>
          <w:szCs w:val="20"/>
          <w:lang w:val="es-ES_tradnl"/>
        </w:rPr>
        <w:t xml:space="preserve"> para el pago de las remuneraciones devenga antes que el proceso pase a etapa de ejecución. </w:t>
      </w:r>
    </w:p>
    <w:p w14:paraId="67867CF4" w14:textId="3BF74721" w:rsidR="004257A1" w:rsidRPr="001F2F1A" w:rsidRDefault="007B0324" w:rsidP="004257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noProof w:val="0"/>
          <w:sz w:val="20"/>
          <w:szCs w:val="20"/>
          <w:lang w:val="es-ES_tradnl"/>
        </w:rPr>
      </w:pPr>
      <w:r w:rsidRPr="001F2F1A">
        <w:rPr>
          <w:rFonts w:asciiTheme="majorHAnsi" w:hAnsiTheme="majorHAnsi"/>
          <w:noProof w:val="0"/>
          <w:sz w:val="20"/>
          <w:szCs w:val="20"/>
          <w:lang w:val="es-ES_tradnl"/>
        </w:rPr>
        <w:t>Además</w:t>
      </w:r>
      <w:r w:rsidR="00FE3708" w:rsidRPr="001F2F1A">
        <w:rPr>
          <w:rFonts w:asciiTheme="majorHAnsi" w:hAnsiTheme="majorHAnsi"/>
          <w:noProof w:val="0"/>
          <w:sz w:val="20"/>
          <w:szCs w:val="20"/>
          <w:lang w:val="es-ES_tradnl"/>
        </w:rPr>
        <w:t xml:space="preserve">, precisa </w:t>
      </w:r>
      <w:r w:rsidR="004257A1" w:rsidRPr="001F2F1A">
        <w:rPr>
          <w:rFonts w:asciiTheme="majorHAnsi" w:hAnsiTheme="majorHAnsi"/>
          <w:noProof w:val="0"/>
          <w:sz w:val="20"/>
          <w:szCs w:val="20"/>
          <w:lang w:val="es-ES_tradnl"/>
        </w:rPr>
        <w:t xml:space="preserve">que si bien la parte peticionaria adjunta </w:t>
      </w:r>
      <w:r w:rsidR="00FE3708" w:rsidRPr="001F2F1A">
        <w:rPr>
          <w:rFonts w:asciiTheme="majorHAnsi" w:hAnsiTheme="majorHAnsi"/>
          <w:noProof w:val="0"/>
          <w:sz w:val="20"/>
          <w:szCs w:val="20"/>
          <w:lang w:val="es-ES_tradnl"/>
        </w:rPr>
        <w:t xml:space="preserve">un documento expedido por la Dirección Regional de Trabajo y Promoción del Empleo de Tacna </w:t>
      </w:r>
      <w:r w:rsidR="004257A1" w:rsidRPr="001F2F1A">
        <w:rPr>
          <w:rFonts w:asciiTheme="majorHAnsi" w:hAnsiTheme="majorHAnsi"/>
          <w:noProof w:val="0"/>
          <w:sz w:val="20"/>
          <w:szCs w:val="20"/>
          <w:lang w:val="es-ES_tradnl"/>
        </w:rPr>
        <w:t xml:space="preserve">a efectos de inducir la idea de que </w:t>
      </w:r>
      <w:r w:rsidR="00FE3708" w:rsidRPr="001F2F1A">
        <w:rPr>
          <w:rFonts w:asciiTheme="majorHAnsi" w:hAnsiTheme="majorHAnsi"/>
          <w:noProof w:val="0"/>
          <w:sz w:val="20"/>
          <w:szCs w:val="20"/>
          <w:lang w:val="es-ES_tradnl"/>
        </w:rPr>
        <w:lastRenderedPageBreak/>
        <w:t>SINTRADUANAS cuenta con 103 afiliados inscritos</w:t>
      </w:r>
      <w:r w:rsidR="004257A1" w:rsidRPr="001F2F1A">
        <w:rPr>
          <w:rFonts w:asciiTheme="majorHAnsi" w:hAnsiTheme="majorHAnsi"/>
          <w:noProof w:val="0"/>
          <w:sz w:val="20"/>
          <w:szCs w:val="20"/>
          <w:lang w:val="es-ES_tradnl"/>
        </w:rPr>
        <w:t xml:space="preserve">; posteriormente únicamente identifica a 97 trabajadores. En consecuencia, el Estado alega que únicamente entenderá como presuntas víctimas a este último conjunto de personas. </w:t>
      </w:r>
    </w:p>
    <w:p w14:paraId="7CE43904" w14:textId="524621AB" w:rsidR="00FE3708" w:rsidRPr="001F2F1A" w:rsidRDefault="00FE3708" w:rsidP="00425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noProof w:val="0"/>
          <w:sz w:val="20"/>
          <w:szCs w:val="20"/>
          <w:lang w:val="es-ES_tradnl"/>
        </w:rPr>
      </w:pPr>
      <w:r w:rsidRPr="001F2F1A">
        <w:rPr>
          <w:rFonts w:asciiTheme="majorHAnsi" w:hAnsiTheme="majorHAnsi"/>
          <w:i/>
          <w:iCs/>
          <w:noProof w:val="0"/>
          <w:sz w:val="20"/>
          <w:szCs w:val="20"/>
          <w:lang w:val="es-ES_tradnl"/>
        </w:rPr>
        <w:t>Alegatos y excepciones presentadas por el Estado</w:t>
      </w:r>
    </w:p>
    <w:p w14:paraId="4A588AC0" w14:textId="364A3C60" w:rsidR="00323767" w:rsidRPr="001F2F1A" w:rsidRDefault="003F1CBE" w:rsidP="000D70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El</w:t>
      </w:r>
      <w:r w:rsidR="005C0B98" w:rsidRPr="001F2F1A">
        <w:rPr>
          <w:rFonts w:asciiTheme="majorHAnsi" w:hAnsiTheme="majorHAnsi"/>
          <w:noProof w:val="0"/>
          <w:sz w:val="20"/>
          <w:szCs w:val="20"/>
          <w:lang w:val="es-ES_tradnl"/>
        </w:rPr>
        <w:t xml:space="preserve"> Estado plantea, en primer lugar, </w:t>
      </w:r>
      <w:r w:rsidR="000D7054" w:rsidRPr="001F2F1A">
        <w:rPr>
          <w:rFonts w:asciiTheme="majorHAnsi" w:hAnsiTheme="majorHAnsi"/>
          <w:noProof w:val="0"/>
          <w:sz w:val="20"/>
          <w:szCs w:val="20"/>
          <w:lang w:val="es-ES_tradnl"/>
        </w:rPr>
        <w:t>que la petición es inadmisible</w:t>
      </w:r>
      <w:r w:rsidRPr="001F2F1A">
        <w:rPr>
          <w:rFonts w:asciiTheme="majorHAnsi" w:hAnsiTheme="majorHAnsi"/>
          <w:noProof w:val="0"/>
          <w:sz w:val="20"/>
          <w:szCs w:val="20"/>
          <w:lang w:val="es-ES_tradnl"/>
        </w:rPr>
        <w:t xml:space="preserve"> por falta de agotamiento de</w:t>
      </w:r>
      <w:r w:rsidR="000D7054" w:rsidRPr="001F2F1A">
        <w:rPr>
          <w:rFonts w:asciiTheme="majorHAnsi" w:hAnsiTheme="majorHAnsi"/>
          <w:noProof w:val="0"/>
          <w:sz w:val="20"/>
          <w:szCs w:val="20"/>
          <w:lang w:val="es-ES_tradnl"/>
        </w:rPr>
        <w:t xml:space="preserve"> los recursos </w:t>
      </w:r>
      <w:r w:rsidRPr="001F2F1A">
        <w:rPr>
          <w:rFonts w:asciiTheme="majorHAnsi" w:hAnsiTheme="majorHAnsi"/>
          <w:noProof w:val="0"/>
          <w:sz w:val="20"/>
          <w:szCs w:val="20"/>
          <w:lang w:val="es-ES_tradnl"/>
        </w:rPr>
        <w:t>internos</w:t>
      </w:r>
      <w:r w:rsidR="000D7054" w:rsidRPr="001F2F1A">
        <w:rPr>
          <w:rFonts w:asciiTheme="majorHAnsi" w:hAnsiTheme="majorHAnsi"/>
          <w:noProof w:val="0"/>
          <w:sz w:val="20"/>
          <w:szCs w:val="20"/>
          <w:lang w:val="es-ES_tradnl"/>
        </w:rPr>
        <w:t xml:space="preserve">. </w:t>
      </w:r>
      <w:r w:rsidR="001D07EA" w:rsidRPr="001F2F1A">
        <w:rPr>
          <w:rFonts w:asciiTheme="majorHAnsi" w:hAnsiTheme="majorHAnsi"/>
          <w:noProof w:val="0"/>
          <w:sz w:val="20"/>
          <w:szCs w:val="20"/>
          <w:lang w:val="es-ES_tradnl"/>
        </w:rPr>
        <w:t xml:space="preserve">Al respecto, afirma que </w:t>
      </w:r>
      <w:r w:rsidR="00323767" w:rsidRPr="001F2F1A">
        <w:rPr>
          <w:rFonts w:asciiTheme="majorHAnsi" w:hAnsiTheme="majorHAnsi"/>
          <w:noProof w:val="0"/>
          <w:sz w:val="20"/>
          <w:szCs w:val="20"/>
          <w:lang w:val="es-ES_tradnl"/>
        </w:rPr>
        <w:t>la parte peticionaria no ha presentado</w:t>
      </w:r>
      <w:r w:rsidR="001D07EA" w:rsidRPr="001F2F1A">
        <w:rPr>
          <w:rFonts w:asciiTheme="majorHAnsi" w:hAnsiTheme="majorHAnsi"/>
          <w:noProof w:val="0"/>
          <w:sz w:val="20"/>
          <w:szCs w:val="20"/>
          <w:lang w:val="es-ES_tradnl"/>
        </w:rPr>
        <w:t xml:space="preserve"> documentación que acredite haber cuestionado la resolución del Tribunal Constitucional del 11 de mayo de 2012, a pesar de que, conforme al artículo 121 del Código Procesal Constitucional entonces vigente, podía interponer un recurso de reposición</w:t>
      </w:r>
      <w:r w:rsidR="00EA265E" w:rsidRPr="001F2F1A">
        <w:rPr>
          <w:rStyle w:val="FootnoteReference"/>
          <w:rFonts w:asciiTheme="majorHAnsi" w:hAnsiTheme="majorHAnsi"/>
          <w:sz w:val="20"/>
          <w:szCs w:val="20"/>
          <w:lang w:val="es-ES_tradnl"/>
        </w:rPr>
        <w:footnoteReference w:id="9"/>
      </w:r>
      <w:r w:rsidR="001D07EA" w:rsidRPr="001F2F1A">
        <w:rPr>
          <w:rFonts w:asciiTheme="majorHAnsi" w:hAnsiTheme="majorHAnsi"/>
          <w:noProof w:val="0"/>
          <w:sz w:val="20"/>
          <w:szCs w:val="20"/>
          <w:lang w:val="es-ES_tradnl"/>
        </w:rPr>
        <w:t>.</w:t>
      </w:r>
    </w:p>
    <w:p w14:paraId="70EC4A68" w14:textId="4AE493A4" w:rsidR="000D7054" w:rsidRPr="001F2F1A" w:rsidRDefault="001D07EA" w:rsidP="00EA26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Además, que el proceso de ejecución </w:t>
      </w:r>
      <w:r w:rsidR="00EA265E" w:rsidRPr="001F2F1A">
        <w:rPr>
          <w:rFonts w:asciiTheme="majorHAnsi" w:hAnsiTheme="majorHAnsi"/>
          <w:noProof w:val="0"/>
          <w:sz w:val="20"/>
          <w:szCs w:val="20"/>
          <w:lang w:val="es-ES_tradnl"/>
        </w:rPr>
        <w:t>de la sentencia que ordena la homologación de las presuntas víctimas aún no ha culminado.</w:t>
      </w:r>
      <w:r w:rsidR="009145F7" w:rsidRPr="001F2F1A">
        <w:rPr>
          <w:rFonts w:asciiTheme="majorHAnsi" w:hAnsiTheme="majorHAnsi"/>
          <w:noProof w:val="0"/>
          <w:sz w:val="20"/>
          <w:szCs w:val="20"/>
          <w:lang w:val="es-ES_tradnl"/>
        </w:rPr>
        <w:t xml:space="preserve"> Detalla que la SUNAT presentó ante los órganos judiciales un informe en el que detalla, entre otros puntos, que adecuó de categoría a 5</w:t>
      </w:r>
      <w:r w:rsidR="00C407F1" w:rsidRPr="001F2F1A">
        <w:rPr>
          <w:rFonts w:asciiTheme="majorHAnsi" w:hAnsiTheme="majorHAnsi"/>
          <w:noProof w:val="0"/>
          <w:sz w:val="20"/>
          <w:szCs w:val="20"/>
          <w:lang w:val="es-ES_tradnl"/>
        </w:rPr>
        <w:t>,</w:t>
      </w:r>
      <w:r w:rsidR="009145F7" w:rsidRPr="001F2F1A">
        <w:rPr>
          <w:rFonts w:asciiTheme="majorHAnsi" w:hAnsiTheme="majorHAnsi"/>
          <w:noProof w:val="0"/>
          <w:sz w:val="20"/>
          <w:szCs w:val="20"/>
          <w:lang w:val="es-ES_tradnl"/>
        </w:rPr>
        <w:t>369 trabajadores</w:t>
      </w:r>
      <w:r w:rsidR="00351DE5" w:rsidRPr="001F2F1A">
        <w:rPr>
          <w:rFonts w:asciiTheme="majorHAnsi" w:hAnsiTheme="majorHAnsi"/>
          <w:noProof w:val="0"/>
          <w:sz w:val="20"/>
          <w:szCs w:val="20"/>
          <w:lang w:val="es-ES_tradnl"/>
        </w:rPr>
        <w:t xml:space="preserve">.  </w:t>
      </w:r>
      <w:r w:rsidR="009145F7" w:rsidRPr="001F2F1A">
        <w:rPr>
          <w:rFonts w:asciiTheme="majorHAnsi" w:hAnsiTheme="majorHAnsi"/>
          <w:noProof w:val="0"/>
          <w:sz w:val="20"/>
          <w:szCs w:val="20"/>
          <w:lang w:val="es-ES_tradnl"/>
        </w:rPr>
        <w:t>No obstante, i</w:t>
      </w:r>
      <w:r w:rsidR="000D7054" w:rsidRPr="001F2F1A">
        <w:rPr>
          <w:rFonts w:asciiTheme="majorHAnsi" w:hAnsiTheme="majorHAnsi"/>
          <w:noProof w:val="0"/>
          <w:sz w:val="20"/>
          <w:szCs w:val="20"/>
          <w:lang w:val="es-ES_tradnl"/>
        </w:rPr>
        <w:t>ndica que el Primer Juzgado Especializado en lo Constitucional de Lima, en cumplimiento de la resolución del Tribunal Constitucional del 2012, viene revisando la forma en que se habría realizado el proceso de homologación de remuneraciones de las presuntas víctimas. En tal sentido, explica que los trabajadores de la SUNAT se vienen apersonando a dicho juzgado para solicitar la revisión de la categoría que les fue reconocida</w:t>
      </w:r>
      <w:r w:rsidR="0066409B" w:rsidRPr="001F2F1A">
        <w:rPr>
          <w:rFonts w:asciiTheme="majorHAnsi" w:hAnsiTheme="majorHAnsi"/>
          <w:noProof w:val="0"/>
          <w:sz w:val="20"/>
          <w:szCs w:val="20"/>
          <w:lang w:val="es-ES_tradnl"/>
        </w:rPr>
        <w:t xml:space="preserve">, lo que demuestra </w:t>
      </w:r>
      <w:r w:rsidR="000D7054" w:rsidRPr="001F2F1A">
        <w:rPr>
          <w:rFonts w:asciiTheme="majorHAnsi" w:hAnsiTheme="majorHAnsi"/>
          <w:noProof w:val="0"/>
          <w:sz w:val="20"/>
          <w:szCs w:val="20"/>
          <w:lang w:val="es-ES_tradnl"/>
        </w:rPr>
        <w:t>que el proceso de ejecución aún no ha finalizado</w:t>
      </w:r>
      <w:r w:rsidR="0066409B" w:rsidRPr="001F2F1A">
        <w:rPr>
          <w:rFonts w:asciiTheme="majorHAnsi" w:hAnsiTheme="majorHAnsi"/>
          <w:noProof w:val="0"/>
          <w:sz w:val="20"/>
          <w:szCs w:val="20"/>
          <w:lang w:val="es-ES_tradnl"/>
        </w:rPr>
        <w:t>. En consecuencia, afirma que</w:t>
      </w:r>
      <w:r w:rsidR="000D7054" w:rsidRPr="001F2F1A">
        <w:rPr>
          <w:rFonts w:asciiTheme="majorHAnsi" w:hAnsiTheme="majorHAnsi"/>
          <w:noProof w:val="0"/>
          <w:sz w:val="20"/>
          <w:szCs w:val="20"/>
          <w:lang w:val="es-ES_tradnl"/>
        </w:rPr>
        <w:t xml:space="preserve"> la presente petición no cumple con el requisito previsto en el artículo 46.1.a) de la Convención Americana. </w:t>
      </w:r>
    </w:p>
    <w:p w14:paraId="4945B19B" w14:textId="1D27D79A" w:rsidR="00FB3BC3" w:rsidRPr="001F2F1A" w:rsidRDefault="00C407F1" w:rsidP="000D70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Además</w:t>
      </w:r>
      <w:r w:rsidR="000D7054"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aduce</w:t>
      </w:r>
      <w:r w:rsidR="000D7054" w:rsidRPr="001F2F1A">
        <w:rPr>
          <w:rFonts w:asciiTheme="majorHAnsi" w:hAnsiTheme="majorHAnsi"/>
          <w:noProof w:val="0"/>
          <w:sz w:val="20"/>
          <w:szCs w:val="20"/>
          <w:lang w:val="es-ES_tradnl"/>
        </w:rPr>
        <w:t xml:space="preserve"> </w:t>
      </w:r>
      <w:r w:rsidR="005C0B98" w:rsidRPr="001F2F1A">
        <w:rPr>
          <w:rFonts w:asciiTheme="majorHAnsi" w:hAnsiTheme="majorHAnsi"/>
          <w:noProof w:val="0"/>
          <w:sz w:val="20"/>
          <w:szCs w:val="20"/>
          <w:lang w:val="es-ES_tradnl"/>
        </w:rPr>
        <w:t xml:space="preserve">que la petición debe ser declarada inadmisible por extemporaneidad. </w:t>
      </w:r>
      <w:r w:rsidR="003F4411" w:rsidRPr="001F2F1A">
        <w:rPr>
          <w:rFonts w:asciiTheme="majorHAnsi" w:hAnsiTheme="majorHAnsi"/>
          <w:noProof w:val="0"/>
          <w:sz w:val="20"/>
          <w:szCs w:val="20"/>
          <w:lang w:val="es-ES_tradnl"/>
        </w:rPr>
        <w:t>Informa que el 16 de marzo de 2009 el Tribunal Constitucional publicó tanto la sentencia del 18 de octubre de 2007, como la resolución de diciembre de 2008. A pesar de ello, alega que la parte peticionaria recién presentó su petición ante la CIDH</w:t>
      </w:r>
      <w:r w:rsidR="00FB3BC3" w:rsidRPr="001F2F1A">
        <w:rPr>
          <w:rFonts w:asciiTheme="majorHAnsi" w:hAnsiTheme="majorHAnsi"/>
          <w:noProof w:val="0"/>
          <w:sz w:val="20"/>
          <w:szCs w:val="20"/>
          <w:lang w:val="es-ES_tradnl"/>
        </w:rPr>
        <w:t xml:space="preserve"> el </w:t>
      </w:r>
      <w:r w:rsidR="000E30B4" w:rsidRPr="001F2F1A">
        <w:rPr>
          <w:rFonts w:asciiTheme="majorHAnsi" w:hAnsiTheme="majorHAnsi"/>
          <w:noProof w:val="0"/>
          <w:sz w:val="20"/>
          <w:szCs w:val="20"/>
          <w:lang w:val="es-ES_tradnl"/>
        </w:rPr>
        <w:t>3</w:t>
      </w:r>
      <w:r w:rsidR="00FB3BC3" w:rsidRPr="001F2F1A">
        <w:rPr>
          <w:rFonts w:asciiTheme="majorHAnsi" w:hAnsiTheme="majorHAnsi"/>
          <w:noProof w:val="0"/>
          <w:sz w:val="20"/>
          <w:szCs w:val="20"/>
          <w:lang w:val="es-ES_tradnl"/>
        </w:rPr>
        <w:t xml:space="preserve"> de diciembre de 2012</w:t>
      </w:r>
      <w:r w:rsidR="005C0B98" w:rsidRPr="001F2F1A">
        <w:rPr>
          <w:rFonts w:asciiTheme="majorHAnsi" w:hAnsiTheme="majorHAnsi"/>
          <w:noProof w:val="0"/>
          <w:sz w:val="20"/>
          <w:szCs w:val="20"/>
          <w:lang w:val="es-ES_tradnl"/>
        </w:rPr>
        <w:t>. En consecuencia, afirma que no</w:t>
      </w:r>
      <w:r w:rsidR="00FB3BC3" w:rsidRPr="001F2F1A">
        <w:rPr>
          <w:rFonts w:asciiTheme="majorHAnsi" w:hAnsiTheme="majorHAnsi"/>
          <w:noProof w:val="0"/>
          <w:sz w:val="20"/>
          <w:szCs w:val="20"/>
          <w:lang w:val="es-ES_tradnl"/>
        </w:rPr>
        <w:t xml:space="preserve"> </w:t>
      </w:r>
      <w:r w:rsidR="005C0B98" w:rsidRPr="001F2F1A">
        <w:rPr>
          <w:rFonts w:asciiTheme="majorHAnsi" w:hAnsiTheme="majorHAnsi"/>
          <w:noProof w:val="0"/>
          <w:sz w:val="20"/>
          <w:szCs w:val="20"/>
          <w:lang w:val="es-ES_tradnl"/>
        </w:rPr>
        <w:t xml:space="preserve">se </w:t>
      </w:r>
      <w:r w:rsidR="00FB3BC3" w:rsidRPr="001F2F1A">
        <w:rPr>
          <w:rFonts w:asciiTheme="majorHAnsi" w:hAnsiTheme="majorHAnsi"/>
          <w:noProof w:val="0"/>
          <w:sz w:val="20"/>
          <w:szCs w:val="20"/>
          <w:lang w:val="es-ES_tradnl"/>
        </w:rPr>
        <w:t xml:space="preserve">cumple con el requisito de los seis meses </w:t>
      </w:r>
      <w:r w:rsidR="005C0B98" w:rsidRPr="001F2F1A">
        <w:rPr>
          <w:rFonts w:asciiTheme="majorHAnsi" w:hAnsiTheme="majorHAnsi"/>
          <w:noProof w:val="0"/>
          <w:sz w:val="20"/>
          <w:szCs w:val="20"/>
          <w:lang w:val="es-ES_tradnl"/>
        </w:rPr>
        <w:t xml:space="preserve">establecido en el artículo 46.1.b) de la Convención Americana. </w:t>
      </w:r>
    </w:p>
    <w:p w14:paraId="0909F626" w14:textId="13DD1881" w:rsidR="00725D27" w:rsidRPr="001F2F1A" w:rsidRDefault="000D7054" w:rsidP="008216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Por otro lado,</w:t>
      </w:r>
      <w:r w:rsidR="004906B7" w:rsidRPr="001F2F1A">
        <w:rPr>
          <w:rFonts w:asciiTheme="majorHAnsi" w:hAnsiTheme="majorHAnsi"/>
          <w:noProof w:val="0"/>
          <w:sz w:val="20"/>
          <w:szCs w:val="20"/>
          <w:lang w:val="es-ES_tradnl"/>
        </w:rPr>
        <w:t xml:space="preserve"> argumenta </w:t>
      </w:r>
      <w:r w:rsidR="00FB3BC3" w:rsidRPr="001F2F1A">
        <w:rPr>
          <w:rFonts w:asciiTheme="majorHAnsi" w:hAnsiTheme="majorHAnsi"/>
          <w:noProof w:val="0"/>
          <w:sz w:val="20"/>
          <w:szCs w:val="20"/>
          <w:lang w:val="es-ES_tradnl"/>
        </w:rPr>
        <w:t>que la petición es inadmisible,</w:t>
      </w:r>
      <w:r w:rsidR="002A440F" w:rsidRPr="001F2F1A">
        <w:rPr>
          <w:rFonts w:asciiTheme="majorHAnsi" w:hAnsiTheme="majorHAnsi"/>
          <w:noProof w:val="0"/>
          <w:sz w:val="20"/>
          <w:szCs w:val="20"/>
          <w:lang w:val="es-ES_tradnl"/>
        </w:rPr>
        <w:t xml:space="preserve"> dado que los hechos denunciados no </w:t>
      </w:r>
      <w:r w:rsidR="00FB3BC3" w:rsidRPr="001F2F1A">
        <w:rPr>
          <w:rFonts w:asciiTheme="majorHAnsi" w:hAnsiTheme="majorHAnsi"/>
          <w:noProof w:val="0"/>
          <w:sz w:val="20"/>
          <w:szCs w:val="20"/>
          <w:lang w:val="es-ES_tradnl"/>
        </w:rPr>
        <w:t>caracteriza</w:t>
      </w:r>
      <w:r w:rsidR="002A440F" w:rsidRPr="001F2F1A">
        <w:rPr>
          <w:rFonts w:asciiTheme="majorHAnsi" w:hAnsiTheme="majorHAnsi"/>
          <w:noProof w:val="0"/>
          <w:sz w:val="20"/>
          <w:szCs w:val="20"/>
          <w:lang w:val="es-ES_tradnl"/>
        </w:rPr>
        <w:t>n</w:t>
      </w:r>
      <w:r w:rsidR="00FB3BC3" w:rsidRPr="001F2F1A">
        <w:rPr>
          <w:rFonts w:asciiTheme="majorHAnsi" w:hAnsiTheme="majorHAnsi"/>
          <w:noProof w:val="0"/>
          <w:sz w:val="20"/>
          <w:szCs w:val="20"/>
          <w:lang w:val="es-ES_tradnl"/>
        </w:rPr>
        <w:t xml:space="preserve"> violaciones de los derechos humanos</w:t>
      </w:r>
      <w:r w:rsidR="00C4071F" w:rsidRPr="001F2F1A">
        <w:rPr>
          <w:rFonts w:asciiTheme="majorHAnsi" w:hAnsiTheme="majorHAnsi"/>
          <w:noProof w:val="0"/>
          <w:sz w:val="20"/>
          <w:szCs w:val="20"/>
          <w:lang w:val="es-ES_tradnl"/>
        </w:rPr>
        <w:t xml:space="preserve"> que le sean atribuibles</w:t>
      </w:r>
      <w:r w:rsidR="00FB3BC3" w:rsidRPr="001F2F1A">
        <w:rPr>
          <w:rFonts w:asciiTheme="majorHAnsi" w:hAnsiTheme="majorHAnsi"/>
          <w:noProof w:val="0"/>
          <w:sz w:val="20"/>
          <w:szCs w:val="20"/>
          <w:lang w:val="es-ES_tradnl"/>
        </w:rPr>
        <w:t>. Afirma que la parte peticionaria pretende que la Comisión actúe fuera de sus competencias establecidas en la Convención al</w:t>
      </w:r>
      <w:r w:rsidR="002A440F" w:rsidRPr="001F2F1A">
        <w:rPr>
          <w:rFonts w:asciiTheme="majorHAnsi" w:hAnsiTheme="majorHAnsi"/>
          <w:noProof w:val="0"/>
          <w:sz w:val="20"/>
          <w:szCs w:val="20"/>
          <w:lang w:val="es-ES_tradnl"/>
        </w:rPr>
        <w:t xml:space="preserve"> solicitar que revise</w:t>
      </w:r>
      <w:r w:rsidR="00FB3BC3" w:rsidRPr="001F2F1A">
        <w:rPr>
          <w:rFonts w:asciiTheme="majorHAnsi" w:hAnsiTheme="majorHAnsi"/>
          <w:noProof w:val="0"/>
          <w:sz w:val="20"/>
          <w:szCs w:val="20"/>
          <w:lang w:val="es-ES_tradnl"/>
        </w:rPr>
        <w:t xml:space="preserve"> un asunto que fue resuelto en la jurisdicción interna</w:t>
      </w:r>
      <w:r w:rsidR="002A440F" w:rsidRPr="001F2F1A">
        <w:rPr>
          <w:rFonts w:asciiTheme="majorHAnsi" w:hAnsiTheme="majorHAnsi"/>
          <w:noProof w:val="0"/>
          <w:sz w:val="20"/>
          <w:szCs w:val="20"/>
          <w:lang w:val="es-ES_tradnl"/>
        </w:rPr>
        <w:t xml:space="preserve">, actuando como un tribunal de alzada, desnaturalizando su rol complementario. </w:t>
      </w:r>
    </w:p>
    <w:p w14:paraId="7CB0F996" w14:textId="29B5B7B6" w:rsidR="00490A20" w:rsidRPr="001F2F1A" w:rsidRDefault="009A79B7" w:rsidP="00C977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En primer lugar, </w:t>
      </w:r>
      <w:r w:rsidR="00490A20" w:rsidRPr="001F2F1A">
        <w:rPr>
          <w:rFonts w:asciiTheme="majorHAnsi" w:hAnsiTheme="majorHAnsi"/>
          <w:noProof w:val="0"/>
          <w:sz w:val="20"/>
          <w:szCs w:val="20"/>
          <w:lang w:val="es-ES_tradnl"/>
        </w:rPr>
        <w:t xml:space="preserve">resalta que SINTRASUR no formó parte del proceso desde la interposición de la demanda de amparo, toda vez que inicialmente únicamente SINTRADUANAS planteó tal acción. Afirma que recién a partir del 31 de julio de 2008, con la resolución del Tribunal Constitucional que subsanó que la homologación de remuneraciones aplica a todos los trabajadores de la SUNAT, SINTRASUR ingresó a la litis, cuando el proceso ya estaba en etapa de ejecución. </w:t>
      </w:r>
      <w:r w:rsidR="00C97792" w:rsidRPr="001F2F1A">
        <w:rPr>
          <w:rFonts w:asciiTheme="majorHAnsi" w:hAnsiTheme="majorHAnsi"/>
          <w:noProof w:val="0"/>
          <w:sz w:val="20"/>
          <w:szCs w:val="20"/>
          <w:lang w:val="es-ES_tradnl"/>
        </w:rPr>
        <w:t xml:space="preserve">Sostiene que, al menos hasta ese momento, la parte peticionaria no había formulado ninguna observación o cuestionamiento, por lo que no puede alegar que hubo denegación de justicia por la vulneración a los derechos a las garantías judiciales y a la protección judicial. </w:t>
      </w:r>
    </w:p>
    <w:p w14:paraId="63C4301F" w14:textId="42E34CF7" w:rsidR="00873816" w:rsidRPr="001F2F1A" w:rsidRDefault="00C060B3" w:rsidP="008738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t>Con</w:t>
      </w:r>
      <w:r w:rsidR="00873816" w:rsidRPr="001F2F1A">
        <w:rPr>
          <w:rFonts w:asciiTheme="majorHAnsi" w:hAnsiTheme="majorHAnsi"/>
          <w:sz w:val="20"/>
          <w:szCs w:val="20"/>
          <w:lang w:val="es-ES_tradnl"/>
        </w:rPr>
        <w:t xml:space="preserve"> relación a los cuestionamientos de la parte peticionaria a la resolución de aclaración del </w:t>
      </w:r>
      <w:r w:rsidR="00873816" w:rsidRPr="001F2F1A">
        <w:rPr>
          <w:rFonts w:asciiTheme="majorHAnsi" w:hAnsiTheme="majorHAnsi"/>
          <w:noProof w:val="0"/>
          <w:sz w:val="20"/>
          <w:szCs w:val="20"/>
          <w:lang w:val="es-ES_tradnl"/>
        </w:rPr>
        <w:t xml:space="preserve">9 de octubre de 2012 el Tribunal Constitucional, el </w:t>
      </w:r>
      <w:r w:rsidR="00BD7E51" w:rsidRPr="001F2F1A">
        <w:rPr>
          <w:rFonts w:asciiTheme="majorHAnsi" w:hAnsiTheme="majorHAnsi"/>
          <w:noProof w:val="0"/>
          <w:sz w:val="20"/>
          <w:szCs w:val="20"/>
          <w:lang w:val="es-ES_tradnl"/>
        </w:rPr>
        <w:t>Perú</w:t>
      </w:r>
      <w:r w:rsidR="00873816" w:rsidRPr="001F2F1A">
        <w:rPr>
          <w:rFonts w:asciiTheme="majorHAnsi" w:hAnsiTheme="majorHAnsi"/>
          <w:noProof w:val="0"/>
          <w:sz w:val="20"/>
          <w:szCs w:val="20"/>
          <w:lang w:val="es-ES_tradnl"/>
        </w:rPr>
        <w:t xml:space="preserve"> considera que</w:t>
      </w:r>
      <w:r w:rsidR="00105C5F" w:rsidRPr="001F2F1A">
        <w:rPr>
          <w:rFonts w:asciiTheme="majorHAnsi" w:hAnsiTheme="majorHAnsi"/>
          <w:noProof w:val="0"/>
          <w:sz w:val="20"/>
          <w:szCs w:val="20"/>
          <w:lang w:val="es-ES_tradnl"/>
        </w:rPr>
        <w:t xml:space="preserve"> la parte peticionaria plantea</w:t>
      </w:r>
      <w:r w:rsidR="00873816" w:rsidRPr="001F2F1A">
        <w:rPr>
          <w:rFonts w:asciiTheme="majorHAnsi" w:hAnsiTheme="majorHAnsi"/>
          <w:noProof w:val="0"/>
          <w:sz w:val="20"/>
          <w:szCs w:val="20"/>
          <w:lang w:val="es-ES_tradnl"/>
        </w:rPr>
        <w:t xml:space="preserve">, principalmente, dos cuestionamientos: </w:t>
      </w:r>
      <w:r w:rsidR="00664238" w:rsidRPr="001F2F1A">
        <w:rPr>
          <w:rFonts w:asciiTheme="majorHAnsi" w:hAnsiTheme="majorHAnsi"/>
          <w:noProof w:val="0"/>
          <w:sz w:val="20"/>
          <w:szCs w:val="20"/>
          <w:lang w:val="es-ES_tradnl"/>
        </w:rPr>
        <w:t xml:space="preserve">i) la exclusión de la Resolución de Intendencia Nacional de Recursos Humanos </w:t>
      </w:r>
      <w:r w:rsidR="00664238" w:rsidRPr="001F2F1A">
        <w:rPr>
          <w:rFonts w:asciiTheme="majorHAnsi" w:hAnsiTheme="majorHAnsi"/>
          <w:sz w:val="20"/>
          <w:szCs w:val="20"/>
          <w:lang w:val="es-ES_tradnl"/>
        </w:rPr>
        <w:t xml:space="preserve">N° 215-2007-2F0000; y ii) la vulneración de la normal procesal que regula la solicitud de aclaración. </w:t>
      </w:r>
    </w:p>
    <w:p w14:paraId="5FE53D41" w14:textId="4E1DA9BA" w:rsidR="00105C5F" w:rsidRPr="001F2F1A" w:rsidRDefault="00AF3AFD" w:rsidP="00292A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lastRenderedPageBreak/>
        <w:t>Con</w:t>
      </w:r>
      <w:r w:rsidR="00664238" w:rsidRPr="001F2F1A">
        <w:rPr>
          <w:rFonts w:asciiTheme="majorHAnsi" w:hAnsiTheme="majorHAnsi"/>
          <w:sz w:val="20"/>
          <w:szCs w:val="20"/>
          <w:lang w:val="es-ES_tradnl"/>
        </w:rPr>
        <w:t xml:space="preserve"> relación al primer punto, </w:t>
      </w:r>
      <w:r w:rsidR="00C2241C" w:rsidRPr="001F2F1A">
        <w:rPr>
          <w:rFonts w:asciiTheme="majorHAnsi" w:hAnsiTheme="majorHAnsi"/>
          <w:sz w:val="20"/>
          <w:szCs w:val="20"/>
          <w:lang w:val="es-ES_tradnl"/>
        </w:rPr>
        <w:t>confima</w:t>
      </w:r>
      <w:r w:rsidR="00664238" w:rsidRPr="001F2F1A">
        <w:rPr>
          <w:rFonts w:asciiTheme="majorHAnsi" w:hAnsiTheme="majorHAnsi"/>
          <w:sz w:val="20"/>
          <w:szCs w:val="20"/>
          <w:lang w:val="es-ES_tradnl"/>
        </w:rPr>
        <w:t xml:space="preserve"> que</w:t>
      </w:r>
      <w:r w:rsidR="009A5505" w:rsidRPr="001F2F1A">
        <w:rPr>
          <w:rFonts w:asciiTheme="majorHAnsi" w:hAnsiTheme="majorHAnsi"/>
          <w:sz w:val="20"/>
          <w:szCs w:val="20"/>
          <w:lang w:val="es-ES_tradnl"/>
        </w:rPr>
        <w:t xml:space="preserve"> </w:t>
      </w:r>
      <w:r w:rsidR="00C2241C" w:rsidRPr="001F2F1A">
        <w:rPr>
          <w:rFonts w:asciiTheme="majorHAnsi" w:hAnsiTheme="majorHAnsi"/>
          <w:sz w:val="20"/>
          <w:szCs w:val="20"/>
          <w:lang w:val="es-ES_tradnl"/>
        </w:rPr>
        <w:t>de acuerdo a lo manifestado por la parte peticionaria</w:t>
      </w:r>
      <w:r w:rsidR="009A5505" w:rsidRPr="001F2F1A">
        <w:rPr>
          <w:rFonts w:asciiTheme="majorHAnsi" w:hAnsiTheme="majorHAnsi"/>
          <w:sz w:val="20"/>
          <w:szCs w:val="20"/>
          <w:lang w:val="es-ES_tradnl"/>
        </w:rPr>
        <w:t>,</w:t>
      </w:r>
      <w:r w:rsidR="00664238" w:rsidRPr="001F2F1A">
        <w:rPr>
          <w:rFonts w:asciiTheme="majorHAnsi" w:hAnsiTheme="majorHAnsi"/>
          <w:sz w:val="20"/>
          <w:szCs w:val="20"/>
          <w:lang w:val="es-ES_tradnl"/>
        </w:rPr>
        <w:t xml:space="preserve"> </w:t>
      </w:r>
      <w:r w:rsidR="009A5505" w:rsidRPr="001F2F1A">
        <w:rPr>
          <w:rFonts w:asciiTheme="majorHAnsi" w:hAnsiTheme="majorHAnsi"/>
          <w:sz w:val="20"/>
          <w:szCs w:val="20"/>
          <w:lang w:val="es-ES_tradnl"/>
        </w:rPr>
        <w:t>el Tribunal Constitucional, en su resolución de 18 de junio de 2008, aclaró que la homologación de remuneraciones debía realizarse sobre la base de la nueva estructura de categorías de carrera de los trabajadores de la SUNAT, aprobada por la Resolución de Superintendencia N° 224-2006/SUNAT</w:t>
      </w:r>
      <w:r w:rsidR="00C2241C" w:rsidRPr="001F2F1A">
        <w:rPr>
          <w:rFonts w:asciiTheme="majorHAnsi" w:hAnsiTheme="majorHAnsi"/>
          <w:sz w:val="20"/>
          <w:szCs w:val="20"/>
          <w:lang w:val="es-ES_tradnl"/>
        </w:rPr>
        <w:t>;</w:t>
      </w:r>
      <w:r w:rsidR="009A5505" w:rsidRPr="001F2F1A">
        <w:rPr>
          <w:rFonts w:asciiTheme="majorHAnsi" w:hAnsiTheme="majorHAnsi"/>
          <w:sz w:val="20"/>
          <w:szCs w:val="20"/>
          <w:lang w:val="es-ES_tradnl"/>
        </w:rPr>
        <w:t xml:space="preserve"> y que el referido procedimiento debía realizarse tomando como parámetro la remuneración promedio ponderada por cada categor</w:t>
      </w:r>
      <w:r w:rsidR="00105C5F" w:rsidRPr="001F2F1A">
        <w:rPr>
          <w:rFonts w:asciiTheme="majorHAnsi" w:hAnsiTheme="majorHAnsi"/>
          <w:sz w:val="20"/>
          <w:szCs w:val="20"/>
          <w:lang w:val="es-ES_tradnl"/>
        </w:rPr>
        <w:t>í</w:t>
      </w:r>
      <w:r w:rsidR="009A5505" w:rsidRPr="001F2F1A">
        <w:rPr>
          <w:rFonts w:asciiTheme="majorHAnsi" w:hAnsiTheme="majorHAnsi"/>
          <w:sz w:val="20"/>
          <w:szCs w:val="20"/>
          <w:lang w:val="es-ES_tradnl"/>
        </w:rPr>
        <w:t>a y nivel, de acuerdo a la estructura prevista por la citada resolución y</w:t>
      </w:r>
      <w:r w:rsidR="00292A6E" w:rsidRPr="001F2F1A">
        <w:rPr>
          <w:rFonts w:asciiTheme="majorHAnsi" w:hAnsiTheme="majorHAnsi"/>
          <w:i/>
          <w:iCs/>
          <w:noProof w:val="0"/>
          <w:sz w:val="20"/>
          <w:szCs w:val="20"/>
          <w:lang w:val="es-ES_tradnl"/>
        </w:rPr>
        <w:t xml:space="preserve"> </w:t>
      </w:r>
      <w:r w:rsidR="00292A6E" w:rsidRPr="001F2F1A">
        <w:rPr>
          <w:rFonts w:asciiTheme="majorHAnsi" w:hAnsiTheme="majorHAnsi"/>
          <w:noProof w:val="0"/>
          <w:sz w:val="20"/>
          <w:szCs w:val="20"/>
          <w:lang w:val="es-ES_tradnl"/>
        </w:rPr>
        <w:t xml:space="preserve">la Resolución de Intendencia Nacional de Recursos Humanos No. 215-2007/SUNAT. </w:t>
      </w:r>
      <w:r w:rsidR="00C2241C" w:rsidRPr="001F2F1A">
        <w:rPr>
          <w:rFonts w:asciiTheme="majorHAnsi" w:hAnsiTheme="majorHAnsi"/>
          <w:sz w:val="20"/>
          <w:szCs w:val="20"/>
          <w:lang w:val="es-ES_tradnl"/>
        </w:rPr>
        <w:t xml:space="preserve">No obstante, resalta que </w:t>
      </w:r>
      <w:r w:rsidR="00292A6E" w:rsidRPr="001F2F1A">
        <w:rPr>
          <w:rFonts w:asciiTheme="majorHAnsi" w:hAnsiTheme="majorHAnsi"/>
          <w:sz w:val="20"/>
          <w:szCs w:val="20"/>
          <w:lang w:val="es-ES_tradnl"/>
        </w:rPr>
        <w:t>esta última resolución de la Intendencia Nacional</w:t>
      </w:r>
      <w:r w:rsidR="00C2241C" w:rsidRPr="001F2F1A">
        <w:rPr>
          <w:rFonts w:asciiTheme="majorHAnsi" w:hAnsiTheme="majorHAnsi"/>
          <w:sz w:val="20"/>
          <w:szCs w:val="20"/>
          <w:lang w:val="es-ES_tradnl"/>
        </w:rPr>
        <w:t xml:space="preserve"> únicamente aplica para efectos </w:t>
      </w:r>
      <w:r w:rsidRPr="001F2F1A">
        <w:rPr>
          <w:rFonts w:asciiTheme="majorHAnsi" w:hAnsiTheme="majorHAnsi"/>
          <w:sz w:val="20"/>
          <w:szCs w:val="20"/>
          <w:lang w:val="es-ES_tradnl"/>
        </w:rPr>
        <w:t>del</w:t>
      </w:r>
      <w:r w:rsidR="00C2241C" w:rsidRPr="001F2F1A">
        <w:rPr>
          <w:rFonts w:asciiTheme="majorHAnsi" w:hAnsiTheme="majorHAnsi"/>
          <w:sz w:val="20"/>
          <w:szCs w:val="20"/>
          <w:lang w:val="es-ES_tradnl"/>
        </w:rPr>
        <w:t xml:space="preserve"> proceso de promoción de trabajadores, por ser esa la materia que regula, y no para un </w:t>
      </w:r>
      <w:r w:rsidR="00292A6E" w:rsidRPr="001F2F1A">
        <w:rPr>
          <w:rFonts w:asciiTheme="majorHAnsi" w:hAnsiTheme="majorHAnsi"/>
          <w:sz w:val="20"/>
          <w:szCs w:val="20"/>
          <w:lang w:val="es-ES_tradnl"/>
        </w:rPr>
        <w:t>procedimiento</w:t>
      </w:r>
      <w:r w:rsidR="00C2241C" w:rsidRPr="001F2F1A">
        <w:rPr>
          <w:rFonts w:asciiTheme="majorHAnsi" w:hAnsiTheme="majorHAnsi"/>
          <w:sz w:val="20"/>
          <w:szCs w:val="20"/>
          <w:lang w:val="es-ES_tradnl"/>
        </w:rPr>
        <w:t xml:space="preserve"> de adecuación de categorías y níveles, </w:t>
      </w:r>
      <w:r w:rsidR="00292A6E" w:rsidRPr="001F2F1A">
        <w:rPr>
          <w:rFonts w:asciiTheme="majorHAnsi" w:hAnsiTheme="majorHAnsi"/>
          <w:sz w:val="20"/>
          <w:szCs w:val="20"/>
          <w:lang w:val="es-ES_tradnl"/>
        </w:rPr>
        <w:t>como es la homologación de los trabajadores de la SUNAT</w:t>
      </w:r>
      <w:r w:rsidR="00037735" w:rsidRPr="001F2F1A">
        <w:rPr>
          <w:rFonts w:asciiTheme="majorHAnsi" w:hAnsiTheme="majorHAnsi"/>
          <w:sz w:val="20"/>
          <w:szCs w:val="20"/>
          <w:lang w:val="es-ES_tradnl"/>
        </w:rPr>
        <w:t xml:space="preserve">. </w:t>
      </w:r>
    </w:p>
    <w:p w14:paraId="22A06DBB" w14:textId="63051B1C" w:rsidR="00105C5F" w:rsidRPr="001F2F1A" w:rsidRDefault="00105C5F" w:rsidP="00105C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t xml:space="preserve">Aduce que, debido a ello, la SUNAT interpuso un recurso de aclaración, a efectos de consultar </w:t>
      </w:r>
      <w:r w:rsidRPr="001F2F1A">
        <w:rPr>
          <w:rFonts w:asciiTheme="majorHAnsi" w:hAnsiTheme="majorHAnsi"/>
          <w:noProof w:val="0"/>
          <w:sz w:val="20"/>
          <w:szCs w:val="20"/>
          <w:lang w:val="es-ES_tradnl"/>
        </w:rPr>
        <w:t xml:space="preserve">si la Resolución de Intendencia Nacional de Recursos Humanos </w:t>
      </w:r>
      <w:r w:rsidRPr="001F2F1A">
        <w:rPr>
          <w:rFonts w:asciiTheme="majorHAnsi" w:hAnsiTheme="majorHAnsi"/>
          <w:sz w:val="20"/>
          <w:szCs w:val="20"/>
          <w:lang w:val="es-ES_tradnl"/>
        </w:rPr>
        <w:t>N°215-2007-2F0000 puede ser calificada como “norma complementaria” para el proceso de adecuación a las categorías y niveles contemplados en la Resolución de Superintendencia N° 224-2006/SUNAT, o si solo</w:t>
      </w:r>
      <w:r w:rsidR="00292A6E" w:rsidRPr="001F2F1A">
        <w:rPr>
          <w:rFonts w:asciiTheme="majorHAnsi" w:hAnsiTheme="majorHAnsi"/>
          <w:sz w:val="20"/>
          <w:szCs w:val="20"/>
          <w:lang w:val="es-ES_tradnl"/>
        </w:rPr>
        <w:t xml:space="preserve"> </w:t>
      </w:r>
      <w:r w:rsidRPr="001F2F1A">
        <w:rPr>
          <w:rFonts w:asciiTheme="majorHAnsi" w:hAnsiTheme="majorHAnsi"/>
          <w:sz w:val="20"/>
          <w:szCs w:val="20"/>
          <w:lang w:val="es-ES_tradnl"/>
        </w:rPr>
        <w:t>corresponde usarla en procesos de “promoción”.</w:t>
      </w:r>
      <w:r w:rsidRPr="001F2F1A">
        <w:rPr>
          <w:rFonts w:asciiTheme="majorHAnsi" w:hAnsiTheme="majorHAnsi"/>
          <w:noProof w:val="0"/>
          <w:sz w:val="20"/>
          <w:szCs w:val="20"/>
          <w:lang w:val="es-ES_tradnl"/>
        </w:rPr>
        <w:t xml:space="preserve"> </w:t>
      </w:r>
      <w:r w:rsidR="00037735" w:rsidRPr="001F2F1A">
        <w:rPr>
          <w:rFonts w:asciiTheme="majorHAnsi" w:hAnsiTheme="majorHAnsi"/>
          <w:sz w:val="20"/>
          <w:szCs w:val="20"/>
          <w:lang w:val="es-ES_tradnl"/>
        </w:rPr>
        <w:t>Al respecto, afirma que</w:t>
      </w:r>
      <w:r w:rsidRPr="001F2F1A">
        <w:rPr>
          <w:rFonts w:asciiTheme="majorHAnsi" w:hAnsiTheme="majorHAnsi"/>
          <w:sz w:val="20"/>
          <w:szCs w:val="20"/>
          <w:lang w:val="es-ES_tradnl"/>
        </w:rPr>
        <w:t xml:space="preserve"> 9 de octubre de 2012</w:t>
      </w:r>
      <w:r w:rsidR="00037735" w:rsidRPr="001F2F1A">
        <w:rPr>
          <w:rFonts w:asciiTheme="majorHAnsi" w:hAnsiTheme="majorHAnsi"/>
          <w:sz w:val="20"/>
          <w:szCs w:val="20"/>
          <w:lang w:val="es-ES_tradnl"/>
        </w:rPr>
        <w:t xml:space="preserve"> el Tribunal Constitucional</w:t>
      </w:r>
      <w:r w:rsidRPr="001F2F1A">
        <w:rPr>
          <w:rFonts w:asciiTheme="majorHAnsi" w:hAnsiTheme="majorHAnsi"/>
          <w:sz w:val="20"/>
          <w:szCs w:val="20"/>
          <w:lang w:val="es-ES_tradnl"/>
        </w:rPr>
        <w:t>,</w:t>
      </w:r>
      <w:r w:rsidR="00037735" w:rsidRPr="001F2F1A">
        <w:rPr>
          <w:rFonts w:asciiTheme="majorHAnsi" w:hAnsiTheme="majorHAnsi"/>
          <w:sz w:val="20"/>
          <w:szCs w:val="20"/>
          <w:lang w:val="es-ES_tradnl"/>
        </w:rPr>
        <w:t xml:space="preserve"> en su resolución de aclaración</w:t>
      </w:r>
      <w:r w:rsidRPr="001F2F1A">
        <w:rPr>
          <w:rFonts w:asciiTheme="majorHAnsi" w:hAnsiTheme="majorHAnsi"/>
          <w:sz w:val="20"/>
          <w:szCs w:val="20"/>
          <w:lang w:val="es-ES_tradnl"/>
        </w:rPr>
        <w:t xml:space="preserve">, </w:t>
      </w:r>
      <w:r w:rsidR="00037735" w:rsidRPr="001F2F1A">
        <w:rPr>
          <w:rFonts w:asciiTheme="majorHAnsi" w:hAnsiTheme="majorHAnsi"/>
          <w:sz w:val="20"/>
          <w:szCs w:val="20"/>
          <w:lang w:val="es-ES_tradnl"/>
        </w:rPr>
        <w:t>confirmó esta situación al precisar que la referida resolución no era aplicable al caso en cuestión</w:t>
      </w:r>
      <w:r w:rsidRPr="001F2F1A">
        <w:rPr>
          <w:rFonts w:asciiTheme="majorHAnsi" w:hAnsiTheme="majorHAnsi"/>
          <w:sz w:val="20"/>
          <w:szCs w:val="20"/>
          <w:lang w:val="es-ES_tradnl"/>
        </w:rPr>
        <w:t xml:space="preserve">, por las razones previamente expuestas. </w:t>
      </w:r>
      <w:r w:rsidR="00292A6E" w:rsidRPr="001F2F1A">
        <w:rPr>
          <w:rFonts w:asciiTheme="majorHAnsi" w:hAnsiTheme="majorHAnsi"/>
          <w:sz w:val="20"/>
          <w:szCs w:val="20"/>
          <w:lang w:val="es-ES_tradnl"/>
        </w:rPr>
        <w:t xml:space="preserve">A juicio del Estado, este razonamiento demuestra que la decisión de no aplicar </w:t>
      </w:r>
      <w:r w:rsidR="00292A6E" w:rsidRPr="001F2F1A">
        <w:rPr>
          <w:rFonts w:asciiTheme="majorHAnsi" w:hAnsiTheme="majorHAnsi"/>
          <w:noProof w:val="0"/>
          <w:sz w:val="20"/>
          <w:szCs w:val="20"/>
          <w:lang w:val="es-ES_tradnl"/>
        </w:rPr>
        <w:t xml:space="preserve">la Resolución de Intendencia Nacional de Recursos Humanos </w:t>
      </w:r>
      <w:r w:rsidR="00292A6E" w:rsidRPr="001F2F1A">
        <w:rPr>
          <w:rFonts w:asciiTheme="majorHAnsi" w:hAnsiTheme="majorHAnsi"/>
          <w:sz w:val="20"/>
          <w:szCs w:val="20"/>
          <w:lang w:val="es-ES_tradnl"/>
        </w:rPr>
        <w:t xml:space="preserve">N° 215-2007-2F0000 en el proceso de homologación de las presuntas víctimas estaba justificada. </w:t>
      </w:r>
    </w:p>
    <w:p w14:paraId="229DE42A" w14:textId="66F5B5E8" w:rsidR="009A6897" w:rsidRPr="001F2F1A" w:rsidRDefault="00351DE5" w:rsidP="00105C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t xml:space="preserve">Respecto al segundo cuestionamiento, </w:t>
      </w:r>
      <w:r w:rsidR="00105C5F" w:rsidRPr="001F2F1A">
        <w:rPr>
          <w:rFonts w:asciiTheme="majorHAnsi" w:hAnsiTheme="majorHAnsi"/>
          <w:sz w:val="20"/>
          <w:szCs w:val="20"/>
          <w:lang w:val="es-ES_tradnl"/>
        </w:rPr>
        <w:t>precisa que esta última resolución de aclaración se emitió conforme a las pautas previstas por el ordenamiento interno.</w:t>
      </w:r>
      <w:r w:rsidR="00105C5F" w:rsidRPr="001F2F1A">
        <w:rPr>
          <w:rFonts w:asciiTheme="majorHAnsi" w:hAnsiTheme="majorHAnsi"/>
          <w:noProof w:val="0"/>
          <w:sz w:val="20"/>
          <w:szCs w:val="20"/>
          <w:lang w:val="es-ES_tradnl"/>
        </w:rPr>
        <w:t xml:space="preserve"> </w:t>
      </w:r>
      <w:r w:rsidR="00105C5F" w:rsidRPr="001F2F1A">
        <w:rPr>
          <w:rFonts w:asciiTheme="majorHAnsi" w:hAnsiTheme="majorHAnsi"/>
          <w:sz w:val="20"/>
          <w:szCs w:val="20"/>
          <w:lang w:val="es-ES_tradnl"/>
        </w:rPr>
        <w:t xml:space="preserve">Destaca </w:t>
      </w:r>
      <w:r w:rsidR="009A6897" w:rsidRPr="001F2F1A">
        <w:rPr>
          <w:rFonts w:asciiTheme="majorHAnsi" w:hAnsiTheme="majorHAnsi"/>
          <w:sz w:val="20"/>
          <w:szCs w:val="20"/>
          <w:lang w:val="es-ES_tradnl"/>
        </w:rPr>
        <w:t xml:space="preserve">que la solicitud presentada por la SUNAT respecto a la resolución del Tribunal Constitucional del 11 de mayo de 2012 cumplió con los requerimientos de plazo y forma previstos en el artículo 121 </w:t>
      </w:r>
      <w:r w:rsidR="00EA265E" w:rsidRPr="001F2F1A">
        <w:rPr>
          <w:rFonts w:asciiTheme="majorHAnsi" w:hAnsiTheme="majorHAnsi"/>
          <w:sz w:val="20"/>
          <w:szCs w:val="20"/>
          <w:lang w:val="es-ES_tradnl"/>
        </w:rPr>
        <w:t xml:space="preserve">del </w:t>
      </w:r>
      <w:r w:rsidR="009A6897" w:rsidRPr="001F2F1A">
        <w:rPr>
          <w:rFonts w:asciiTheme="majorHAnsi" w:hAnsiTheme="majorHAnsi"/>
          <w:sz w:val="20"/>
          <w:szCs w:val="20"/>
          <w:lang w:val="es-ES_tradnl"/>
        </w:rPr>
        <w:t>Código Procesal Constitucional</w:t>
      </w:r>
      <w:r w:rsidR="00EA265E" w:rsidRPr="001F2F1A">
        <w:rPr>
          <w:rFonts w:asciiTheme="majorHAnsi" w:hAnsiTheme="majorHAnsi"/>
          <w:sz w:val="20"/>
          <w:szCs w:val="20"/>
          <w:lang w:val="es-ES_tradnl"/>
        </w:rPr>
        <w:t xml:space="preserve"> entonces vigente</w:t>
      </w:r>
      <w:r w:rsidR="009A6897" w:rsidRPr="001F2F1A">
        <w:rPr>
          <w:rFonts w:asciiTheme="majorHAnsi" w:hAnsiTheme="majorHAnsi"/>
          <w:sz w:val="20"/>
          <w:szCs w:val="20"/>
          <w:lang w:val="es-ES_tradnl"/>
        </w:rPr>
        <w:t xml:space="preserve">. En ese sentido, manifiesta que el Tribunal Constitucional se pronunció sobre </w:t>
      </w:r>
      <w:r w:rsidR="00292A6E" w:rsidRPr="001F2F1A">
        <w:rPr>
          <w:rFonts w:asciiTheme="majorHAnsi" w:hAnsiTheme="majorHAnsi"/>
          <w:sz w:val="20"/>
          <w:szCs w:val="20"/>
          <w:lang w:val="es-ES_tradnl"/>
        </w:rPr>
        <w:t>este pedido</w:t>
      </w:r>
      <w:r w:rsidR="009A6897" w:rsidRPr="001F2F1A">
        <w:rPr>
          <w:rFonts w:asciiTheme="majorHAnsi" w:hAnsiTheme="majorHAnsi"/>
          <w:sz w:val="20"/>
          <w:szCs w:val="20"/>
          <w:lang w:val="es-ES_tradnl"/>
        </w:rPr>
        <w:t xml:space="preserve"> en pleno ejercicio de sus competencia,</w:t>
      </w:r>
      <w:r w:rsidR="007F1B7D" w:rsidRPr="001F2F1A">
        <w:rPr>
          <w:rFonts w:asciiTheme="majorHAnsi" w:hAnsiTheme="majorHAnsi"/>
          <w:sz w:val="20"/>
          <w:szCs w:val="20"/>
          <w:lang w:val="es-ES_tradnl"/>
        </w:rPr>
        <w:t xml:space="preserve"> al igual que en otros casos,</w:t>
      </w:r>
      <w:r w:rsidR="009A6897" w:rsidRPr="001F2F1A">
        <w:rPr>
          <w:rFonts w:asciiTheme="majorHAnsi" w:hAnsiTheme="majorHAnsi"/>
          <w:sz w:val="20"/>
          <w:szCs w:val="20"/>
          <w:lang w:val="es-ES_tradnl"/>
        </w:rPr>
        <w:t xml:space="preserve"> lo cual no pue</w:t>
      </w:r>
      <w:r w:rsidR="00292A6E" w:rsidRPr="001F2F1A">
        <w:rPr>
          <w:rFonts w:asciiTheme="majorHAnsi" w:hAnsiTheme="majorHAnsi"/>
          <w:sz w:val="20"/>
          <w:szCs w:val="20"/>
          <w:lang w:val="es-ES_tradnl"/>
        </w:rPr>
        <w:t>d</w:t>
      </w:r>
      <w:r w:rsidR="009A6897" w:rsidRPr="001F2F1A">
        <w:rPr>
          <w:rFonts w:asciiTheme="majorHAnsi" w:hAnsiTheme="majorHAnsi"/>
          <w:sz w:val="20"/>
          <w:szCs w:val="20"/>
          <w:lang w:val="es-ES_tradnl"/>
        </w:rPr>
        <w:t xml:space="preserve">e ser entendido como una afectación al derecho a las garantías judiciales. </w:t>
      </w:r>
      <w:r w:rsidR="007F1B7D" w:rsidRPr="001F2F1A">
        <w:rPr>
          <w:rFonts w:asciiTheme="majorHAnsi" w:hAnsiTheme="majorHAnsi"/>
          <w:sz w:val="20"/>
          <w:szCs w:val="20"/>
          <w:lang w:val="es-ES_tradnl"/>
        </w:rPr>
        <w:t xml:space="preserve">En consecuencia, sostiene que la parte peticionaria no puede alegar que dicha decisión haya sido emitida de manera arbitraria, sin base jurídica o que no constituye una práctica habitual del Tribunal Constitucional. </w:t>
      </w:r>
    </w:p>
    <w:p w14:paraId="2AEE3F64" w14:textId="7874F3D6" w:rsidR="003B6E60" w:rsidRPr="001F2F1A" w:rsidRDefault="00113628" w:rsidP="009C41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t xml:space="preserve">Por otra parte, </w:t>
      </w:r>
      <w:r w:rsidR="003B6E60" w:rsidRPr="001F2F1A">
        <w:rPr>
          <w:rFonts w:asciiTheme="majorHAnsi" w:hAnsiTheme="majorHAnsi"/>
          <w:sz w:val="20"/>
          <w:szCs w:val="20"/>
          <w:lang w:val="es-ES_tradnl"/>
        </w:rPr>
        <w:t>d</w:t>
      </w:r>
      <w:r w:rsidR="009C41AE" w:rsidRPr="001F2F1A">
        <w:rPr>
          <w:rFonts w:asciiTheme="majorHAnsi" w:hAnsiTheme="majorHAnsi"/>
          <w:sz w:val="20"/>
          <w:szCs w:val="20"/>
          <w:lang w:val="es-ES_tradnl"/>
        </w:rPr>
        <w:t>estaca que</w:t>
      </w:r>
      <w:r w:rsidR="003B6E60" w:rsidRPr="001F2F1A">
        <w:rPr>
          <w:rFonts w:asciiTheme="majorHAnsi" w:hAnsiTheme="majorHAnsi"/>
          <w:sz w:val="20"/>
          <w:szCs w:val="20"/>
          <w:lang w:val="es-ES_tradnl"/>
        </w:rPr>
        <w:t xml:space="preserve"> en el 2010 la SUNAT reportó </w:t>
      </w:r>
      <w:r w:rsidR="009C41AE" w:rsidRPr="001F2F1A">
        <w:rPr>
          <w:rFonts w:asciiTheme="majorHAnsi" w:hAnsiTheme="majorHAnsi"/>
          <w:sz w:val="20"/>
          <w:szCs w:val="20"/>
          <w:lang w:val="es-ES_tradnl"/>
        </w:rPr>
        <w:t>a los órganos judiciales que</w:t>
      </w:r>
      <w:r w:rsidR="009C41AE" w:rsidRPr="001F2F1A">
        <w:rPr>
          <w:rFonts w:asciiTheme="majorHAnsi" w:hAnsiTheme="majorHAnsi"/>
          <w:noProof w:val="0"/>
          <w:sz w:val="20"/>
          <w:szCs w:val="20"/>
          <w:lang w:val="es-ES_tradnl"/>
        </w:rPr>
        <w:t xml:space="preserve">: (i) </w:t>
      </w:r>
      <w:r w:rsidR="003B6E60" w:rsidRPr="001F2F1A">
        <w:rPr>
          <w:rFonts w:asciiTheme="majorHAnsi" w:hAnsiTheme="majorHAnsi"/>
          <w:noProof w:val="0"/>
          <w:sz w:val="20"/>
          <w:szCs w:val="20"/>
          <w:lang w:val="es-ES_tradnl"/>
        </w:rPr>
        <w:t>adecuó de categoría a 5</w:t>
      </w:r>
      <w:r w:rsidR="0015416D" w:rsidRPr="001F2F1A">
        <w:rPr>
          <w:rFonts w:asciiTheme="majorHAnsi" w:hAnsiTheme="majorHAnsi"/>
          <w:noProof w:val="0"/>
          <w:sz w:val="20"/>
          <w:szCs w:val="20"/>
          <w:lang w:val="es-ES_tradnl"/>
        </w:rPr>
        <w:t>,</w:t>
      </w:r>
      <w:r w:rsidR="003B6E60" w:rsidRPr="001F2F1A">
        <w:rPr>
          <w:rFonts w:asciiTheme="majorHAnsi" w:hAnsiTheme="majorHAnsi"/>
          <w:noProof w:val="0"/>
          <w:sz w:val="20"/>
          <w:szCs w:val="20"/>
          <w:lang w:val="es-ES_tradnl"/>
        </w:rPr>
        <w:t>369 trabajadores; ii) atendió 4</w:t>
      </w:r>
      <w:r w:rsidR="0015416D" w:rsidRPr="001F2F1A">
        <w:rPr>
          <w:rFonts w:asciiTheme="majorHAnsi" w:hAnsiTheme="majorHAnsi"/>
          <w:noProof w:val="0"/>
          <w:sz w:val="20"/>
          <w:szCs w:val="20"/>
          <w:lang w:val="es-ES_tradnl"/>
        </w:rPr>
        <w:t>,</w:t>
      </w:r>
      <w:r w:rsidR="003B6E60" w:rsidRPr="001F2F1A">
        <w:rPr>
          <w:rFonts w:asciiTheme="majorHAnsi" w:hAnsiTheme="majorHAnsi"/>
          <w:noProof w:val="0"/>
          <w:sz w:val="20"/>
          <w:szCs w:val="20"/>
          <w:lang w:val="es-ES_tradnl"/>
        </w:rPr>
        <w:t xml:space="preserve">596 reclamos de trabajadores que no estuvieron conformes con la categoría asignada; y iii) realizó el pago de reintegros de homologación desde el 18 de octubre de 2007. No obstante, precisa que el proceso de ejecución aún no concluye, dado que el </w:t>
      </w:r>
      <w:r w:rsidR="003B6E60" w:rsidRPr="001F2F1A">
        <w:rPr>
          <w:rFonts w:asciiTheme="majorHAnsi" w:hAnsiTheme="majorHAnsi" w:cs="Calibri"/>
          <w:noProof w:val="0"/>
          <w:sz w:val="20"/>
          <w:szCs w:val="20"/>
          <w:lang w:val="es-ES_tradnl"/>
        </w:rPr>
        <w:t>Primer Juzgado Especializado en lo Constitucional</w:t>
      </w:r>
      <w:r w:rsidRPr="001F2F1A">
        <w:rPr>
          <w:rFonts w:asciiTheme="majorHAnsi" w:hAnsiTheme="majorHAnsi" w:cs="Calibri"/>
          <w:noProof w:val="0"/>
          <w:sz w:val="20"/>
          <w:szCs w:val="20"/>
          <w:lang w:val="es-ES_tradnl"/>
        </w:rPr>
        <w:t xml:space="preserve"> viene revisando la forma en que se habría realizado dicho proceso de homologación de remuneraciones. </w:t>
      </w:r>
    </w:p>
    <w:p w14:paraId="6B642D9E" w14:textId="28748EDD" w:rsidR="00FE3708" w:rsidRPr="001F2F1A" w:rsidRDefault="00113628" w:rsidP="009A68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t>Finalmente, precisa</w:t>
      </w:r>
      <w:r w:rsidR="00C64C1E" w:rsidRPr="001F2F1A">
        <w:rPr>
          <w:rFonts w:asciiTheme="majorHAnsi" w:hAnsiTheme="majorHAnsi"/>
          <w:sz w:val="20"/>
          <w:szCs w:val="20"/>
          <w:lang w:val="es-ES_tradnl"/>
        </w:rPr>
        <w:t xml:space="preserve"> que el </w:t>
      </w:r>
      <w:r w:rsidR="00C64C1E" w:rsidRPr="001F2F1A">
        <w:rPr>
          <w:rFonts w:asciiTheme="majorHAnsi" w:hAnsiTheme="majorHAnsi"/>
          <w:noProof w:val="0"/>
          <w:sz w:val="20"/>
          <w:szCs w:val="20"/>
          <w:lang w:val="es-ES_tradnl"/>
        </w:rPr>
        <w:t xml:space="preserve">Informe </w:t>
      </w:r>
      <w:r w:rsidR="00C64C1E" w:rsidRPr="001F2F1A">
        <w:rPr>
          <w:rFonts w:asciiTheme="majorHAnsi" w:hAnsiTheme="majorHAnsi"/>
          <w:sz w:val="20"/>
          <w:szCs w:val="20"/>
          <w:lang w:val="es-ES_tradnl"/>
        </w:rPr>
        <w:t xml:space="preserve">N° 019-2008-2F43400, el cual es cuestionado por la parte peticionaria por haber presuntamente suplantado </w:t>
      </w:r>
      <w:r w:rsidR="00C64C1E" w:rsidRPr="001F2F1A">
        <w:rPr>
          <w:rFonts w:asciiTheme="majorHAnsi" w:hAnsiTheme="majorHAnsi"/>
          <w:noProof w:val="0"/>
          <w:sz w:val="20"/>
          <w:szCs w:val="20"/>
          <w:lang w:val="es-ES_tradnl"/>
        </w:rPr>
        <w:t xml:space="preserve">la Resolución de Intendencia Nacional de Recursos Humanos </w:t>
      </w:r>
      <w:r w:rsidR="00C64C1E" w:rsidRPr="001F2F1A">
        <w:rPr>
          <w:rFonts w:asciiTheme="majorHAnsi" w:hAnsiTheme="majorHAnsi"/>
          <w:sz w:val="20"/>
          <w:szCs w:val="20"/>
          <w:lang w:val="es-ES_tradnl"/>
        </w:rPr>
        <w:t>N°215-2007-2F0000, no estableció requisitos más elevados para la homologación. Señala que, por el contrario, únicamente estableció crierios objetivos a efectos de examinar correctamente la situación tanto de los antiguos trabajadores de SUNAD en relación con los cargos equivalentes en la SUNAT.</w:t>
      </w:r>
      <w:r w:rsidR="001D6969" w:rsidRPr="001F2F1A">
        <w:rPr>
          <w:rFonts w:asciiTheme="majorHAnsi" w:hAnsiTheme="majorHAnsi"/>
          <w:sz w:val="20"/>
          <w:szCs w:val="20"/>
          <w:lang w:val="es-ES_tradnl"/>
        </w:rPr>
        <w:t xml:space="preserve"> Por las razones precedentes, solicita que la petición sea declarada inadmisible, dado que no existen indicios de una vulneración de derechos humanos.</w:t>
      </w:r>
    </w:p>
    <w:p w14:paraId="6F4D4171" w14:textId="140899E7" w:rsidR="003239B8" w:rsidRPr="001F2F1A" w:rsidRDefault="003239B8" w:rsidP="00D82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noProof w:val="0"/>
          <w:sz w:val="20"/>
          <w:szCs w:val="20"/>
          <w:lang w:val="es-ES_tradnl"/>
        </w:rPr>
      </w:pPr>
      <w:r w:rsidRPr="001F2F1A">
        <w:rPr>
          <w:rFonts w:asciiTheme="majorHAnsi" w:eastAsia="Cambria" w:hAnsiTheme="majorHAnsi" w:cs="Cambria"/>
          <w:b/>
          <w:bCs/>
          <w:noProof w:val="0"/>
          <w:color w:val="000000"/>
          <w:sz w:val="20"/>
          <w:szCs w:val="20"/>
          <w:u w:color="000000"/>
          <w:lang w:val="es-ES_tradnl" w:eastAsia="es-ES"/>
        </w:rPr>
        <w:t>VI.</w:t>
      </w:r>
      <w:r w:rsidRPr="001F2F1A">
        <w:rPr>
          <w:rFonts w:asciiTheme="majorHAnsi" w:eastAsia="Cambria" w:hAnsiTheme="majorHAnsi" w:cs="Cambria"/>
          <w:b/>
          <w:bCs/>
          <w:noProof w:val="0"/>
          <w:color w:val="000000"/>
          <w:sz w:val="20"/>
          <w:szCs w:val="20"/>
          <w:u w:color="000000"/>
          <w:lang w:val="es-ES_tradnl" w:eastAsia="es-ES"/>
        </w:rPr>
        <w:tab/>
      </w:r>
      <w:r w:rsidR="004A6A54" w:rsidRPr="001F2F1A">
        <w:rPr>
          <w:rFonts w:asciiTheme="majorHAnsi" w:hAnsiTheme="majorHAnsi"/>
          <w:b/>
          <w:bCs/>
          <w:noProof w:val="0"/>
          <w:sz w:val="20"/>
          <w:szCs w:val="20"/>
          <w:lang w:val="es-ES_tradnl"/>
        </w:rPr>
        <w:t xml:space="preserve">ANÁLISIS DE </w:t>
      </w:r>
      <w:r w:rsidR="00C21FEF" w:rsidRPr="001F2F1A">
        <w:rPr>
          <w:rFonts w:asciiTheme="majorHAnsi" w:hAnsiTheme="majorHAnsi"/>
          <w:b/>
          <w:noProof w:val="0"/>
          <w:sz w:val="20"/>
          <w:szCs w:val="20"/>
          <w:lang w:val="es-ES_tradnl"/>
        </w:rPr>
        <w:t>AGOTAMIENTO DE LOS RECURSOS INTERNOS Y PLAZO DE PRESENTACIÓN</w:t>
      </w:r>
      <w:r w:rsidR="008D1350" w:rsidRPr="001F2F1A">
        <w:rPr>
          <w:rFonts w:asciiTheme="majorHAnsi" w:hAnsiTheme="majorHAnsi"/>
          <w:b/>
          <w:noProof w:val="0"/>
          <w:sz w:val="20"/>
          <w:szCs w:val="20"/>
          <w:lang w:val="es-ES_tradnl"/>
        </w:rPr>
        <w:t xml:space="preserve"> </w:t>
      </w:r>
      <w:r w:rsidR="00C21FEF" w:rsidRPr="001F2F1A">
        <w:rPr>
          <w:rFonts w:asciiTheme="majorHAnsi" w:eastAsia="Cambria" w:hAnsiTheme="majorHAnsi" w:cs="Cambria"/>
          <w:b/>
          <w:bCs/>
          <w:noProof w:val="0"/>
          <w:color w:val="000000"/>
          <w:sz w:val="20"/>
          <w:szCs w:val="20"/>
          <w:u w:color="000000"/>
          <w:lang w:val="es-ES_tradnl" w:eastAsia="es-ES"/>
        </w:rPr>
        <w:t xml:space="preserve"> </w:t>
      </w:r>
    </w:p>
    <w:p w14:paraId="61A98788" w14:textId="7384E116" w:rsidR="00523BA0" w:rsidRPr="001F2F1A" w:rsidRDefault="00BB4418" w:rsidP="001D69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La Comisión observa que </w:t>
      </w:r>
      <w:r w:rsidR="008D1350" w:rsidRPr="001F2F1A">
        <w:rPr>
          <w:rFonts w:asciiTheme="majorHAnsi" w:hAnsiTheme="majorHAnsi"/>
          <w:noProof w:val="0"/>
          <w:sz w:val="20"/>
          <w:szCs w:val="20"/>
          <w:lang w:val="es-ES_tradnl"/>
        </w:rPr>
        <w:t>la parte peticionaria</w:t>
      </w:r>
      <w:r w:rsidR="00A444D3" w:rsidRPr="001F2F1A">
        <w:rPr>
          <w:rFonts w:asciiTheme="majorHAnsi" w:hAnsiTheme="majorHAnsi"/>
          <w:noProof w:val="0"/>
          <w:sz w:val="20"/>
          <w:szCs w:val="20"/>
          <w:lang w:val="es-ES_tradnl"/>
        </w:rPr>
        <w:t xml:space="preserve"> </w:t>
      </w:r>
      <w:r w:rsidR="00B82BFF" w:rsidRPr="001F2F1A">
        <w:rPr>
          <w:rFonts w:asciiTheme="majorHAnsi" w:hAnsiTheme="majorHAnsi"/>
          <w:noProof w:val="0"/>
          <w:sz w:val="20"/>
          <w:szCs w:val="20"/>
          <w:lang w:val="es-ES_tradnl"/>
        </w:rPr>
        <w:t>aduce</w:t>
      </w:r>
      <w:r w:rsidR="00A444D3" w:rsidRPr="001F2F1A">
        <w:rPr>
          <w:rFonts w:asciiTheme="majorHAnsi" w:hAnsiTheme="majorHAnsi"/>
          <w:noProof w:val="0"/>
          <w:sz w:val="20"/>
          <w:szCs w:val="20"/>
          <w:lang w:val="es-ES_tradnl"/>
        </w:rPr>
        <w:t xml:space="preserve"> que agotó la jurisdicción interna </w:t>
      </w:r>
      <w:r w:rsidR="00B82BFF" w:rsidRPr="001F2F1A">
        <w:rPr>
          <w:rFonts w:asciiTheme="majorHAnsi" w:hAnsiTheme="majorHAnsi"/>
          <w:noProof w:val="0"/>
          <w:sz w:val="20"/>
          <w:szCs w:val="20"/>
          <w:lang w:val="es-ES_tradnl"/>
        </w:rPr>
        <w:t>con la</w:t>
      </w:r>
      <w:r w:rsidR="00E5473A" w:rsidRPr="001F2F1A">
        <w:rPr>
          <w:rFonts w:asciiTheme="majorHAnsi" w:hAnsiTheme="majorHAnsi"/>
          <w:noProof w:val="0"/>
          <w:sz w:val="20"/>
          <w:szCs w:val="20"/>
          <w:lang w:val="es-ES_tradnl"/>
        </w:rPr>
        <w:t xml:space="preserve"> resolución del</w:t>
      </w:r>
      <w:r w:rsidR="00B82BFF" w:rsidRPr="001F2F1A">
        <w:rPr>
          <w:rFonts w:asciiTheme="majorHAnsi" w:hAnsiTheme="majorHAnsi"/>
          <w:noProof w:val="0"/>
          <w:sz w:val="20"/>
          <w:szCs w:val="20"/>
          <w:lang w:val="es-ES_tradnl"/>
        </w:rPr>
        <w:t xml:space="preserve"> </w:t>
      </w:r>
      <w:r w:rsidR="00E5473A" w:rsidRPr="001F2F1A">
        <w:rPr>
          <w:rFonts w:asciiTheme="majorHAnsi" w:hAnsiTheme="majorHAnsi"/>
          <w:noProof w:val="0"/>
          <w:sz w:val="20"/>
          <w:szCs w:val="20"/>
          <w:lang w:val="es-ES_tradnl"/>
        </w:rPr>
        <w:t>11 de mayo de 2012 del Tribunal Constitucional, que resolvió el recurso de apelación por salto, notificada el 6 de junio de 2012</w:t>
      </w:r>
      <w:r w:rsidR="001D6969" w:rsidRPr="001F2F1A">
        <w:rPr>
          <w:rFonts w:asciiTheme="majorHAnsi" w:hAnsiTheme="majorHAnsi"/>
          <w:noProof w:val="0"/>
          <w:sz w:val="20"/>
          <w:szCs w:val="20"/>
          <w:lang w:val="es-ES_tradnl"/>
        </w:rPr>
        <w:t xml:space="preserve">. </w:t>
      </w:r>
      <w:r w:rsidR="00B82BFF" w:rsidRPr="001F2F1A">
        <w:rPr>
          <w:rFonts w:asciiTheme="majorHAnsi" w:hAnsiTheme="majorHAnsi"/>
          <w:noProof w:val="0"/>
          <w:sz w:val="20"/>
          <w:szCs w:val="20"/>
          <w:lang w:val="es-ES_tradnl"/>
        </w:rPr>
        <w:t xml:space="preserve">Por su parte, el Estado </w:t>
      </w:r>
      <w:r w:rsidR="001D6969" w:rsidRPr="001F2F1A">
        <w:rPr>
          <w:rFonts w:asciiTheme="majorHAnsi" w:hAnsiTheme="majorHAnsi"/>
          <w:noProof w:val="0"/>
          <w:sz w:val="20"/>
          <w:szCs w:val="20"/>
          <w:lang w:val="es-ES_tradnl"/>
        </w:rPr>
        <w:t>replica que no se han agotado los recursos internos toda vez que: i) no se interpuso un recurso de reposición; y ii) el proceso de ejecución aún no ha finalizado. Asimismo, plantea que la petición fue presentada extemporáneamente.</w:t>
      </w:r>
    </w:p>
    <w:p w14:paraId="40188642" w14:textId="39354EEC" w:rsidR="005151B9" w:rsidRPr="001F2F1A" w:rsidRDefault="00373167" w:rsidP="005151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sz w:val="20"/>
          <w:szCs w:val="20"/>
          <w:lang w:val="es-ES_tradnl"/>
        </w:rPr>
        <w:lastRenderedPageBreak/>
        <w:t xml:space="preserve">Al respecto, la CIDH ha recuerda que el requisito de agotamiento de los recursos internos no significa que las presuntas víctimas tengan necesariamente la obligación de agotar todos los recursos que tengan disponibles. </w:t>
      </w:r>
      <w:r w:rsidRPr="001F2F1A">
        <w:rPr>
          <w:rFonts w:asciiTheme="majorHAnsi" w:hAnsiTheme="majorHAnsi"/>
          <w:color w:val="000000" w:themeColor="text1"/>
          <w:sz w:val="20"/>
          <w:szCs w:val="20"/>
          <w:lang w:val="es-ES_tradnl"/>
        </w:rPr>
        <w:t>En esa línea, la Comisión recuerda que, si bien en algunos casos los recursos extraordinarios pueden ser adecuados para enfrentar violaciones de derechos humanos, como regla general únicamente se requieren utilizar las vías ordinarias para cumplir con el requisito establecido en el artículo 46.1.a) de la Convención. En el presente caso, la Comisión observa que</w:t>
      </w:r>
      <w:r w:rsidR="005151B9" w:rsidRPr="001F2F1A">
        <w:rPr>
          <w:rFonts w:asciiTheme="majorHAnsi" w:hAnsiTheme="majorHAnsi"/>
          <w:color w:val="000000" w:themeColor="text1"/>
          <w:sz w:val="20"/>
          <w:szCs w:val="20"/>
          <w:lang w:val="es-ES_tradnl"/>
        </w:rPr>
        <w:t xml:space="preserve"> </w:t>
      </w:r>
      <w:r w:rsidRPr="001F2F1A">
        <w:rPr>
          <w:rFonts w:asciiTheme="majorHAnsi" w:hAnsiTheme="majorHAnsi"/>
          <w:color w:val="000000" w:themeColor="text1"/>
          <w:sz w:val="20"/>
          <w:szCs w:val="20"/>
          <w:lang w:val="es-ES_tradnl"/>
        </w:rPr>
        <w:t xml:space="preserve">el 18 de octubre de 2007 el Tribunal Constitucional </w:t>
      </w:r>
      <w:r w:rsidR="005151B9" w:rsidRPr="001F2F1A">
        <w:rPr>
          <w:rFonts w:asciiTheme="majorHAnsi" w:hAnsiTheme="majorHAnsi"/>
          <w:color w:val="000000" w:themeColor="text1"/>
          <w:sz w:val="20"/>
          <w:szCs w:val="20"/>
          <w:lang w:val="es-ES_tradnl"/>
        </w:rPr>
        <w:t xml:space="preserve">resolvió en última instancia el amparo presentado en favor de las presuntas víctimas y </w:t>
      </w:r>
      <w:r w:rsidRPr="001F2F1A">
        <w:rPr>
          <w:rFonts w:asciiTheme="majorHAnsi" w:hAnsiTheme="majorHAnsi"/>
          <w:color w:val="000000" w:themeColor="text1"/>
          <w:sz w:val="20"/>
          <w:szCs w:val="20"/>
          <w:lang w:val="es-ES_tradnl"/>
        </w:rPr>
        <w:t xml:space="preserve">ordenó </w:t>
      </w:r>
      <w:r w:rsidR="005151B9" w:rsidRPr="001F2F1A">
        <w:rPr>
          <w:rFonts w:asciiTheme="majorHAnsi" w:hAnsiTheme="majorHAnsi"/>
          <w:color w:val="000000" w:themeColor="text1"/>
          <w:sz w:val="20"/>
          <w:szCs w:val="20"/>
          <w:lang w:val="es-ES_tradnl"/>
        </w:rPr>
        <w:t xml:space="preserve">a la SUNAT que </w:t>
      </w:r>
      <w:r w:rsidR="005151B9" w:rsidRPr="001F2F1A">
        <w:rPr>
          <w:rFonts w:asciiTheme="majorHAnsi" w:hAnsiTheme="majorHAnsi"/>
          <w:noProof w:val="0"/>
          <w:sz w:val="20"/>
          <w:szCs w:val="20"/>
          <w:lang w:val="es-ES_tradnl"/>
        </w:rPr>
        <w:t xml:space="preserve">homologue las remuneraciones de dichas personas con respecto al personal de la SUNAT. Si bien posteriormente se interpusieron diversos recursos, la Comisión nota que toda la actividad procesal de enmarcó en el proceso de ejecución del citado fallo. En tal sentido, para analizar si se cumplió con el agotamiento de los recursos internos, la Comisión analizará si, a la fecha, se cumplió con lo dispuesto en dicha decisión. </w:t>
      </w:r>
    </w:p>
    <w:p w14:paraId="247F06DE" w14:textId="77777777" w:rsidR="00CF34A3" w:rsidRPr="001F2F1A" w:rsidRDefault="005151B9" w:rsidP="001466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 xml:space="preserve">En esa línea, la Comisión observa que </w:t>
      </w:r>
      <w:r w:rsidRPr="001F2F1A">
        <w:rPr>
          <w:rFonts w:asciiTheme="majorHAnsi" w:hAnsiTheme="majorHAnsi" w:cs="Calibri"/>
          <w:noProof w:val="0"/>
          <w:sz w:val="20"/>
          <w:szCs w:val="20"/>
          <w:lang w:val="es-ES_tradnl"/>
        </w:rPr>
        <w:t>e</w:t>
      </w:r>
      <w:r w:rsidR="00A03A53" w:rsidRPr="001F2F1A">
        <w:rPr>
          <w:rFonts w:asciiTheme="majorHAnsi" w:hAnsiTheme="majorHAnsi" w:cs="Calibri"/>
          <w:noProof w:val="0"/>
          <w:sz w:val="20"/>
          <w:szCs w:val="20"/>
          <w:lang w:val="es-ES_tradnl"/>
        </w:rPr>
        <w:t>l E</w:t>
      </w:r>
      <w:r w:rsidR="002307D0" w:rsidRPr="001F2F1A">
        <w:rPr>
          <w:rFonts w:asciiTheme="majorHAnsi" w:hAnsiTheme="majorHAnsi" w:cs="Calibri"/>
          <w:noProof w:val="0"/>
          <w:sz w:val="20"/>
          <w:szCs w:val="20"/>
          <w:lang w:val="es-ES_tradnl"/>
        </w:rPr>
        <w:t xml:space="preserve">stado </w:t>
      </w:r>
      <w:r w:rsidRPr="001F2F1A">
        <w:rPr>
          <w:rFonts w:asciiTheme="majorHAnsi" w:hAnsiTheme="majorHAnsi" w:cs="Calibri"/>
          <w:noProof w:val="0"/>
          <w:sz w:val="20"/>
          <w:szCs w:val="20"/>
          <w:lang w:val="es-ES_tradnl"/>
        </w:rPr>
        <w:t>reconoció</w:t>
      </w:r>
      <w:r w:rsidR="002307D0" w:rsidRPr="001F2F1A">
        <w:rPr>
          <w:rFonts w:asciiTheme="majorHAnsi" w:hAnsiTheme="majorHAnsi" w:cs="Calibri"/>
          <w:noProof w:val="0"/>
          <w:sz w:val="20"/>
          <w:szCs w:val="20"/>
          <w:lang w:val="es-ES_tradnl"/>
        </w:rPr>
        <w:t xml:space="preserve"> que </w:t>
      </w:r>
      <w:r w:rsidR="00A71136" w:rsidRPr="001F2F1A">
        <w:rPr>
          <w:rFonts w:asciiTheme="majorHAnsi" w:hAnsiTheme="majorHAnsi" w:cs="Calibri"/>
          <w:noProof w:val="0"/>
          <w:sz w:val="20"/>
          <w:szCs w:val="20"/>
          <w:lang w:val="es-ES_tradnl"/>
        </w:rPr>
        <w:t xml:space="preserve">el Primer Juzgado Especializado en lo Constitucional viene revisando la forma en que se </w:t>
      </w:r>
      <w:r w:rsidR="005D6206" w:rsidRPr="001F2F1A">
        <w:rPr>
          <w:rFonts w:asciiTheme="majorHAnsi" w:hAnsiTheme="majorHAnsi" w:cs="Calibri"/>
          <w:noProof w:val="0"/>
          <w:sz w:val="20"/>
          <w:szCs w:val="20"/>
          <w:lang w:val="es-ES_tradnl"/>
        </w:rPr>
        <w:t>habría</w:t>
      </w:r>
      <w:r w:rsidR="00A71136" w:rsidRPr="001F2F1A">
        <w:rPr>
          <w:rFonts w:asciiTheme="majorHAnsi" w:hAnsiTheme="majorHAnsi" w:cs="Calibri"/>
          <w:noProof w:val="0"/>
          <w:sz w:val="20"/>
          <w:szCs w:val="20"/>
          <w:lang w:val="es-ES_tradnl"/>
        </w:rPr>
        <w:t xml:space="preserve"> realizado el proceso de </w:t>
      </w:r>
      <w:r w:rsidR="005D6206" w:rsidRPr="001F2F1A">
        <w:rPr>
          <w:rFonts w:asciiTheme="majorHAnsi" w:hAnsiTheme="majorHAnsi" w:cs="Calibri"/>
          <w:noProof w:val="0"/>
          <w:sz w:val="20"/>
          <w:szCs w:val="20"/>
          <w:lang w:val="es-ES_tradnl"/>
        </w:rPr>
        <w:t>homologación</w:t>
      </w:r>
      <w:r w:rsidR="00A71136" w:rsidRPr="001F2F1A">
        <w:rPr>
          <w:rFonts w:asciiTheme="majorHAnsi" w:hAnsiTheme="majorHAnsi" w:cs="Calibri"/>
          <w:noProof w:val="0"/>
          <w:sz w:val="20"/>
          <w:szCs w:val="20"/>
          <w:lang w:val="es-ES_tradnl"/>
        </w:rPr>
        <w:t xml:space="preserve"> de remuneraciones y, </w:t>
      </w:r>
      <w:r w:rsidR="005D6206" w:rsidRPr="001F2F1A">
        <w:rPr>
          <w:rFonts w:asciiTheme="majorHAnsi" w:hAnsiTheme="majorHAnsi" w:cs="Calibri"/>
          <w:noProof w:val="0"/>
          <w:sz w:val="20"/>
          <w:szCs w:val="20"/>
          <w:lang w:val="es-ES_tradnl"/>
        </w:rPr>
        <w:t>además</w:t>
      </w:r>
      <w:r w:rsidR="00A71136" w:rsidRPr="001F2F1A">
        <w:rPr>
          <w:rFonts w:asciiTheme="majorHAnsi" w:hAnsiTheme="majorHAnsi" w:cs="Calibri"/>
          <w:noProof w:val="0"/>
          <w:sz w:val="20"/>
          <w:szCs w:val="20"/>
          <w:lang w:val="es-ES_tradnl"/>
        </w:rPr>
        <w:t xml:space="preserve">, que los trabajadores de la SUNAT se vienen apersonando al citado Juzgado para solicitar la revisión de la </w:t>
      </w:r>
      <w:r w:rsidR="006E2CC8" w:rsidRPr="001F2F1A">
        <w:rPr>
          <w:rFonts w:asciiTheme="majorHAnsi" w:hAnsiTheme="majorHAnsi"/>
          <w:noProof w:val="0"/>
          <w:sz w:val="20"/>
          <w:szCs w:val="20"/>
          <w:lang w:val="es-ES_tradnl"/>
        </w:rPr>
        <w:t>categoría</w:t>
      </w:r>
      <w:r w:rsidR="00A71136" w:rsidRPr="001F2F1A">
        <w:rPr>
          <w:rFonts w:asciiTheme="majorHAnsi" w:hAnsiTheme="majorHAnsi" w:cs="Calibri"/>
          <w:noProof w:val="0"/>
          <w:sz w:val="20"/>
          <w:szCs w:val="20"/>
          <w:lang w:val="es-ES_tradnl"/>
        </w:rPr>
        <w:t xml:space="preserve"> que les fue reconocida</w:t>
      </w:r>
      <w:r w:rsidR="002307D0" w:rsidRPr="001F2F1A">
        <w:rPr>
          <w:rFonts w:asciiTheme="majorHAnsi" w:hAnsiTheme="majorHAnsi" w:cs="Calibri"/>
          <w:noProof w:val="0"/>
          <w:sz w:val="20"/>
          <w:szCs w:val="20"/>
          <w:lang w:val="es-ES_tradnl"/>
        </w:rPr>
        <w:t>.</w:t>
      </w:r>
      <w:r w:rsidRPr="001F2F1A">
        <w:rPr>
          <w:rFonts w:asciiTheme="majorHAnsi" w:hAnsiTheme="majorHAnsi" w:cs="Calibri"/>
          <w:noProof w:val="0"/>
          <w:sz w:val="20"/>
          <w:szCs w:val="20"/>
          <w:lang w:val="es-ES_tradnl"/>
        </w:rPr>
        <w:t xml:space="preserve"> En tal sentido, la Comisión entiende que, tras cerca de 14 años de emitida la sentencia del Tribunal Constitucional</w:t>
      </w:r>
      <w:r w:rsidR="001D6969" w:rsidRPr="001F2F1A">
        <w:rPr>
          <w:rFonts w:asciiTheme="majorHAnsi" w:hAnsiTheme="majorHAnsi" w:cs="Calibri"/>
          <w:noProof w:val="0"/>
          <w:sz w:val="20"/>
          <w:szCs w:val="20"/>
          <w:lang w:val="es-ES_tradnl"/>
        </w:rPr>
        <w:t>,</w:t>
      </w:r>
      <w:r w:rsidR="001466DA" w:rsidRPr="001F2F1A">
        <w:rPr>
          <w:rFonts w:asciiTheme="majorHAnsi" w:hAnsiTheme="majorHAnsi" w:cs="Calibri"/>
          <w:noProof w:val="0"/>
          <w:sz w:val="20"/>
          <w:szCs w:val="20"/>
          <w:lang w:val="es-ES_tradnl"/>
        </w:rPr>
        <w:t xml:space="preserve"> y a pesar del impulso procesal de las presuntas víctimas</w:t>
      </w:r>
      <w:r w:rsidRPr="001F2F1A">
        <w:rPr>
          <w:rFonts w:asciiTheme="majorHAnsi" w:hAnsiTheme="majorHAnsi" w:cs="Calibri"/>
          <w:noProof w:val="0"/>
          <w:sz w:val="20"/>
          <w:szCs w:val="20"/>
          <w:lang w:val="es-ES_tradnl"/>
        </w:rPr>
        <w:t>, hasta la fecha no se ha</w:t>
      </w:r>
      <w:r w:rsidR="001466DA" w:rsidRPr="001F2F1A">
        <w:rPr>
          <w:rFonts w:asciiTheme="majorHAnsi" w:hAnsiTheme="majorHAnsi" w:cs="Calibri"/>
          <w:noProof w:val="0"/>
          <w:sz w:val="20"/>
          <w:szCs w:val="20"/>
          <w:lang w:val="es-ES_tradnl"/>
        </w:rPr>
        <w:t xml:space="preserve"> resuelto judicialmente si se ha</w:t>
      </w:r>
      <w:r w:rsidRPr="001F2F1A">
        <w:rPr>
          <w:rFonts w:asciiTheme="majorHAnsi" w:hAnsiTheme="majorHAnsi" w:cs="Calibri"/>
          <w:noProof w:val="0"/>
          <w:sz w:val="20"/>
          <w:szCs w:val="20"/>
          <w:lang w:val="es-ES_tradnl"/>
        </w:rPr>
        <w:t xml:space="preserve"> cumplido con la homologación de sueldos de las presuntas víctimas. </w:t>
      </w:r>
    </w:p>
    <w:p w14:paraId="79B87303" w14:textId="49E9BC25" w:rsidR="003824B2" w:rsidRPr="001F2F1A" w:rsidRDefault="002307D0" w:rsidP="001466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cs="Calibri"/>
          <w:noProof w:val="0"/>
          <w:sz w:val="20"/>
          <w:szCs w:val="20"/>
          <w:lang w:val="es-ES_tradnl"/>
        </w:rPr>
        <w:t>Atendiendo a esto, la Comisión considera</w:t>
      </w:r>
      <w:r w:rsidRPr="001F2F1A">
        <w:rPr>
          <w:rFonts w:asciiTheme="majorHAnsi" w:hAnsiTheme="majorHAnsi"/>
          <w:noProof w:val="0"/>
          <w:sz w:val="20"/>
          <w:szCs w:val="20"/>
          <w:lang w:val="es-ES_tradnl"/>
        </w:rPr>
        <w:t xml:space="preserve"> que</w:t>
      </w:r>
      <w:r w:rsidR="005151B9"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resulta procedente la aplicación de la excepción al agotamiento de los recursos internos contemplada en el artículo 46</w:t>
      </w:r>
      <w:r w:rsidR="003C6443" w:rsidRPr="001F2F1A">
        <w:rPr>
          <w:rFonts w:asciiTheme="majorHAnsi" w:hAnsiTheme="majorHAnsi"/>
          <w:noProof w:val="0"/>
          <w:sz w:val="20"/>
          <w:szCs w:val="20"/>
          <w:lang w:val="es-ES_tradnl"/>
        </w:rPr>
        <w:t>.2.c</w:t>
      </w:r>
      <w:r w:rsidR="005620F5" w:rsidRPr="001F2F1A">
        <w:rPr>
          <w:rFonts w:asciiTheme="majorHAnsi" w:hAnsiTheme="majorHAnsi"/>
          <w:noProof w:val="0"/>
          <w:sz w:val="20"/>
          <w:szCs w:val="20"/>
          <w:lang w:val="es-ES_tradnl"/>
        </w:rPr>
        <w:t>)</w:t>
      </w:r>
      <w:r w:rsidR="003C6443" w:rsidRPr="001F2F1A">
        <w:rPr>
          <w:rFonts w:asciiTheme="majorHAnsi" w:hAnsiTheme="majorHAnsi"/>
          <w:noProof w:val="0"/>
          <w:sz w:val="20"/>
          <w:szCs w:val="20"/>
          <w:lang w:val="es-ES_tradnl"/>
        </w:rPr>
        <w:t xml:space="preserve"> de la Convención</w:t>
      </w:r>
      <w:r w:rsidRPr="001F2F1A">
        <w:rPr>
          <w:rStyle w:val="FootnoteReference"/>
          <w:rFonts w:asciiTheme="majorHAnsi" w:hAnsiTheme="majorHAnsi"/>
          <w:noProof w:val="0"/>
          <w:sz w:val="20"/>
          <w:szCs w:val="20"/>
          <w:lang w:val="es-ES_tradnl"/>
        </w:rPr>
        <w:footnoteReference w:id="10"/>
      </w:r>
      <w:r w:rsidR="00CF34A3" w:rsidRPr="001F2F1A">
        <w:rPr>
          <w:rFonts w:asciiTheme="majorHAnsi" w:hAnsiTheme="majorHAnsi"/>
          <w:noProof w:val="0"/>
          <w:sz w:val="20"/>
          <w:szCs w:val="20"/>
          <w:lang w:val="es-ES_tradnl"/>
        </w:rPr>
        <w:t>, a efectos que este punto sea analizado con más detalle en la sección de caracterización</w:t>
      </w:r>
      <w:r w:rsidR="003C6443" w:rsidRPr="001F2F1A">
        <w:rPr>
          <w:rFonts w:asciiTheme="majorHAnsi" w:hAnsiTheme="majorHAnsi"/>
          <w:noProof w:val="0"/>
          <w:sz w:val="20"/>
          <w:szCs w:val="20"/>
          <w:lang w:val="es-ES_tradnl"/>
        </w:rPr>
        <w:t xml:space="preserve">. </w:t>
      </w:r>
      <w:r w:rsidR="00BA4E51" w:rsidRPr="001F2F1A">
        <w:rPr>
          <w:rFonts w:asciiTheme="majorHAnsi" w:hAnsiTheme="majorHAnsi"/>
          <w:noProof w:val="0"/>
          <w:sz w:val="20"/>
          <w:szCs w:val="20"/>
          <w:lang w:val="es-ES_tradnl"/>
        </w:rPr>
        <w:t>Asimismo, en cuanto al plazo de presentación, d</w:t>
      </w:r>
      <w:r w:rsidR="003C6443" w:rsidRPr="001F2F1A">
        <w:rPr>
          <w:rFonts w:asciiTheme="majorHAnsi" w:hAnsiTheme="majorHAnsi"/>
          <w:noProof w:val="0"/>
          <w:sz w:val="20"/>
          <w:szCs w:val="20"/>
          <w:lang w:val="es-ES_tradnl"/>
        </w:rPr>
        <w:t>ado que la petición se presentó estando vigente los agravios que dieron lugar a la misma, la Comisión también concluy</w:t>
      </w:r>
      <w:r w:rsidR="00154020" w:rsidRPr="001F2F1A">
        <w:rPr>
          <w:rFonts w:asciiTheme="majorHAnsi" w:hAnsiTheme="majorHAnsi"/>
          <w:noProof w:val="0"/>
          <w:sz w:val="20"/>
          <w:szCs w:val="20"/>
          <w:lang w:val="es-ES_tradnl"/>
        </w:rPr>
        <w:t>e que esta fue presentada dentro</w:t>
      </w:r>
      <w:r w:rsidR="003C6443" w:rsidRPr="001F2F1A">
        <w:rPr>
          <w:rFonts w:asciiTheme="majorHAnsi" w:hAnsiTheme="majorHAnsi"/>
          <w:noProof w:val="0"/>
          <w:sz w:val="20"/>
          <w:szCs w:val="20"/>
          <w:lang w:val="es-ES_tradnl"/>
        </w:rPr>
        <w:t xml:space="preserve"> de plazo razonable en los términos del artículo 32.2 de su reglamento. </w:t>
      </w:r>
    </w:p>
    <w:p w14:paraId="15239E03" w14:textId="7EC57F7A" w:rsidR="003C6443" w:rsidRPr="001F2F1A" w:rsidRDefault="003239B8" w:rsidP="003824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noProof w:val="0"/>
          <w:sz w:val="20"/>
          <w:szCs w:val="20"/>
          <w:lang w:val="es-ES_tradnl"/>
        </w:rPr>
      </w:pPr>
      <w:r w:rsidRPr="001F2F1A">
        <w:rPr>
          <w:rFonts w:asciiTheme="majorHAnsi" w:hAnsiTheme="majorHAnsi"/>
          <w:b/>
          <w:bCs/>
          <w:noProof w:val="0"/>
          <w:sz w:val="20"/>
          <w:szCs w:val="20"/>
          <w:lang w:val="es-ES_tradnl"/>
        </w:rPr>
        <w:t>VII.</w:t>
      </w:r>
      <w:r w:rsidRPr="001F2F1A">
        <w:rPr>
          <w:rFonts w:asciiTheme="majorHAnsi" w:hAnsiTheme="majorHAnsi"/>
          <w:b/>
          <w:bCs/>
          <w:noProof w:val="0"/>
          <w:sz w:val="20"/>
          <w:szCs w:val="20"/>
          <w:lang w:val="es-ES_tradnl"/>
        </w:rPr>
        <w:tab/>
      </w:r>
      <w:r w:rsidR="004A6A54" w:rsidRPr="001F2F1A">
        <w:rPr>
          <w:rFonts w:asciiTheme="majorHAnsi" w:hAnsiTheme="majorHAnsi"/>
          <w:b/>
          <w:noProof w:val="0"/>
          <w:sz w:val="20"/>
          <w:szCs w:val="20"/>
          <w:lang w:val="es-ES_tradnl"/>
        </w:rPr>
        <w:t xml:space="preserve">ANÁLISIS DE </w:t>
      </w:r>
      <w:r w:rsidR="00C21FEF" w:rsidRPr="001F2F1A">
        <w:rPr>
          <w:rFonts w:asciiTheme="majorHAnsi" w:hAnsiTheme="majorHAnsi"/>
          <w:b/>
          <w:noProof w:val="0"/>
          <w:sz w:val="20"/>
          <w:szCs w:val="20"/>
          <w:lang w:val="es-ES_tradnl"/>
        </w:rPr>
        <w:t>CARACTERIZACIÓN DE LOS HECHOS ALEGADOS</w:t>
      </w:r>
      <w:r w:rsidR="003C6443" w:rsidRPr="001F2F1A">
        <w:rPr>
          <w:rFonts w:asciiTheme="majorHAnsi" w:hAnsiTheme="majorHAnsi"/>
          <w:b/>
          <w:noProof w:val="0"/>
          <w:sz w:val="20"/>
          <w:szCs w:val="20"/>
          <w:lang w:val="es-ES_tradnl"/>
        </w:rPr>
        <w:t xml:space="preserve"> E IDENTIFICACIÖN DE LAS PRESUNTAS VÍCTIMAS</w:t>
      </w:r>
    </w:p>
    <w:p w14:paraId="30483B10" w14:textId="51977942" w:rsidR="00C902D9" w:rsidRPr="001F2F1A" w:rsidRDefault="003C6443" w:rsidP="004C7E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color w:val="000000" w:themeColor="text1"/>
          <w:sz w:val="20"/>
          <w:szCs w:val="20"/>
          <w:lang w:val="es-ES_tradnl"/>
        </w:rPr>
      </w:pPr>
      <w:r w:rsidRPr="001F2F1A">
        <w:rPr>
          <w:rFonts w:asciiTheme="majorHAnsi" w:hAnsiTheme="majorHAnsi"/>
          <w:noProof w:val="0"/>
          <w:sz w:val="20"/>
          <w:szCs w:val="20"/>
          <w:lang w:val="es-ES_tradnl"/>
        </w:rPr>
        <w:t xml:space="preserve">La Comisión toma nota que el Estado </w:t>
      </w:r>
      <w:r w:rsidR="0098294B" w:rsidRPr="001F2F1A">
        <w:rPr>
          <w:rFonts w:asciiTheme="majorHAnsi" w:hAnsiTheme="majorHAnsi"/>
          <w:noProof w:val="0"/>
          <w:sz w:val="20"/>
          <w:szCs w:val="20"/>
          <w:lang w:val="es-ES_tradnl"/>
        </w:rPr>
        <w:t>indicó</w:t>
      </w:r>
      <w:r w:rsidRPr="001F2F1A">
        <w:rPr>
          <w:rFonts w:asciiTheme="majorHAnsi" w:hAnsiTheme="majorHAnsi"/>
          <w:noProof w:val="0"/>
          <w:sz w:val="20"/>
          <w:szCs w:val="20"/>
          <w:lang w:val="es-ES_tradnl"/>
        </w:rPr>
        <w:t xml:space="preserve"> que la </w:t>
      </w:r>
      <w:r w:rsidR="004B17D4" w:rsidRPr="001F2F1A">
        <w:rPr>
          <w:rFonts w:asciiTheme="majorHAnsi" w:hAnsiTheme="majorHAnsi"/>
          <w:noProof w:val="0"/>
          <w:sz w:val="20"/>
          <w:szCs w:val="20"/>
          <w:lang w:val="es-ES_tradnl"/>
        </w:rPr>
        <w:t xml:space="preserve">parte peticionaria en la </w:t>
      </w:r>
      <w:r w:rsidRPr="001F2F1A">
        <w:rPr>
          <w:rFonts w:asciiTheme="majorHAnsi" w:hAnsiTheme="majorHAnsi"/>
          <w:noProof w:val="0"/>
          <w:sz w:val="20"/>
          <w:szCs w:val="20"/>
          <w:lang w:val="es-ES_tradnl"/>
        </w:rPr>
        <w:t xml:space="preserve">petición </w:t>
      </w:r>
      <w:r w:rsidR="0098294B" w:rsidRPr="001F2F1A">
        <w:rPr>
          <w:rFonts w:asciiTheme="majorHAnsi" w:hAnsiTheme="majorHAnsi"/>
          <w:noProof w:val="0"/>
          <w:sz w:val="20"/>
          <w:szCs w:val="20"/>
          <w:lang w:val="es-ES_tradnl"/>
        </w:rPr>
        <w:t xml:space="preserve">inicial en su anexo 1-A </w:t>
      </w:r>
      <w:r w:rsidRPr="001F2F1A">
        <w:rPr>
          <w:rFonts w:asciiTheme="majorHAnsi" w:hAnsiTheme="majorHAnsi"/>
          <w:noProof w:val="0"/>
          <w:sz w:val="20"/>
          <w:szCs w:val="20"/>
          <w:lang w:val="es-ES_tradnl"/>
        </w:rPr>
        <w:t xml:space="preserve">presentó </w:t>
      </w:r>
      <w:r w:rsidR="0098294B" w:rsidRPr="001F2F1A">
        <w:rPr>
          <w:rFonts w:asciiTheme="majorHAnsi" w:hAnsiTheme="majorHAnsi"/>
          <w:noProof w:val="0"/>
          <w:sz w:val="20"/>
          <w:szCs w:val="20"/>
          <w:lang w:val="es-ES_tradnl"/>
        </w:rPr>
        <w:t xml:space="preserve">una </w:t>
      </w:r>
      <w:r w:rsidRPr="001F2F1A">
        <w:rPr>
          <w:rFonts w:asciiTheme="majorHAnsi" w:hAnsiTheme="majorHAnsi"/>
          <w:noProof w:val="0"/>
          <w:sz w:val="20"/>
          <w:szCs w:val="20"/>
          <w:lang w:val="es-ES_tradnl"/>
        </w:rPr>
        <w:t xml:space="preserve">lista </w:t>
      </w:r>
      <w:r w:rsidR="0098294B" w:rsidRPr="001F2F1A">
        <w:rPr>
          <w:rFonts w:asciiTheme="majorHAnsi" w:hAnsiTheme="majorHAnsi"/>
          <w:noProof w:val="0"/>
          <w:sz w:val="20"/>
          <w:szCs w:val="20"/>
          <w:lang w:val="es-ES_tradnl"/>
        </w:rPr>
        <w:t>de manera general de</w:t>
      </w:r>
      <w:r w:rsidRPr="001F2F1A">
        <w:rPr>
          <w:rFonts w:asciiTheme="majorHAnsi" w:hAnsiTheme="majorHAnsi"/>
          <w:noProof w:val="0"/>
          <w:sz w:val="20"/>
          <w:szCs w:val="20"/>
          <w:lang w:val="es-ES_tradnl"/>
        </w:rPr>
        <w:t xml:space="preserve"> </w:t>
      </w:r>
      <w:r w:rsidR="00DE2897" w:rsidRPr="001F2F1A">
        <w:rPr>
          <w:rFonts w:asciiTheme="majorHAnsi" w:hAnsiTheme="majorHAnsi"/>
          <w:noProof w:val="0"/>
          <w:sz w:val="20"/>
          <w:szCs w:val="20"/>
          <w:lang w:val="es-ES_tradnl"/>
        </w:rPr>
        <w:t>103</w:t>
      </w:r>
      <w:r w:rsidRPr="001F2F1A">
        <w:rPr>
          <w:rFonts w:asciiTheme="majorHAnsi" w:hAnsiTheme="majorHAnsi"/>
          <w:noProof w:val="0"/>
          <w:sz w:val="20"/>
          <w:szCs w:val="20"/>
          <w:lang w:val="es-ES_tradnl"/>
        </w:rPr>
        <w:t xml:space="preserve"> presuntas </w:t>
      </w:r>
      <w:r w:rsidR="00DE2897" w:rsidRPr="001F2F1A">
        <w:rPr>
          <w:rFonts w:asciiTheme="majorHAnsi" w:hAnsiTheme="majorHAnsi"/>
          <w:noProof w:val="0"/>
          <w:sz w:val="20"/>
          <w:szCs w:val="20"/>
          <w:lang w:val="es-ES_tradnl"/>
        </w:rPr>
        <w:t>víctimas</w:t>
      </w:r>
      <w:r w:rsidR="00035A78" w:rsidRPr="001F2F1A">
        <w:rPr>
          <w:rFonts w:asciiTheme="majorHAnsi" w:hAnsiTheme="majorHAnsi"/>
          <w:noProof w:val="0"/>
          <w:sz w:val="20"/>
          <w:szCs w:val="20"/>
          <w:lang w:val="es-ES_tradnl"/>
        </w:rPr>
        <w:t>.</w:t>
      </w:r>
      <w:r w:rsidRPr="001F2F1A">
        <w:rPr>
          <w:rFonts w:asciiTheme="majorHAnsi" w:hAnsiTheme="majorHAnsi"/>
          <w:noProof w:val="0"/>
          <w:sz w:val="20"/>
          <w:szCs w:val="20"/>
          <w:lang w:val="es-ES_tradnl"/>
        </w:rPr>
        <w:t xml:space="preserve"> </w:t>
      </w:r>
      <w:r w:rsidR="00035A78" w:rsidRPr="001F2F1A">
        <w:rPr>
          <w:rFonts w:asciiTheme="majorHAnsi" w:hAnsiTheme="majorHAnsi"/>
          <w:noProof w:val="0"/>
          <w:sz w:val="20"/>
          <w:szCs w:val="20"/>
          <w:lang w:val="es-ES_tradnl"/>
        </w:rPr>
        <w:t>S</w:t>
      </w:r>
      <w:r w:rsidR="00DE2897" w:rsidRPr="001F2F1A">
        <w:rPr>
          <w:rFonts w:asciiTheme="majorHAnsi" w:hAnsiTheme="majorHAnsi"/>
          <w:noProof w:val="0"/>
          <w:sz w:val="20"/>
          <w:szCs w:val="20"/>
          <w:lang w:val="es-ES_tradnl"/>
        </w:rPr>
        <w:t>in embargo</w:t>
      </w:r>
      <w:r w:rsidR="0098294B" w:rsidRPr="001F2F1A">
        <w:rPr>
          <w:rFonts w:asciiTheme="majorHAnsi" w:hAnsiTheme="majorHAnsi"/>
          <w:noProof w:val="0"/>
          <w:sz w:val="20"/>
          <w:szCs w:val="20"/>
          <w:lang w:val="es-ES_tradnl"/>
        </w:rPr>
        <w:t xml:space="preserve">, </w:t>
      </w:r>
      <w:r w:rsidR="00035A78" w:rsidRPr="001F2F1A">
        <w:rPr>
          <w:rFonts w:asciiTheme="majorHAnsi" w:hAnsiTheme="majorHAnsi"/>
          <w:noProof w:val="0"/>
          <w:sz w:val="20"/>
          <w:szCs w:val="20"/>
          <w:lang w:val="es-ES_tradnl"/>
        </w:rPr>
        <w:t xml:space="preserve">en </w:t>
      </w:r>
      <w:r w:rsidR="0098294B" w:rsidRPr="001F2F1A">
        <w:rPr>
          <w:rFonts w:asciiTheme="majorHAnsi" w:hAnsiTheme="majorHAnsi"/>
          <w:noProof w:val="0"/>
          <w:sz w:val="20"/>
          <w:szCs w:val="20"/>
          <w:lang w:val="es-ES_tradnl"/>
        </w:rPr>
        <w:t>el anexo 1-N,</w:t>
      </w:r>
      <w:r w:rsidR="00035A78" w:rsidRPr="001F2F1A">
        <w:rPr>
          <w:rFonts w:asciiTheme="majorHAnsi" w:hAnsiTheme="majorHAnsi"/>
          <w:noProof w:val="0"/>
          <w:sz w:val="20"/>
          <w:szCs w:val="20"/>
          <w:lang w:val="es-ES_tradnl"/>
        </w:rPr>
        <w:t xml:space="preserve"> dicha persona</w:t>
      </w:r>
      <w:r w:rsidR="0098294B" w:rsidRPr="001F2F1A">
        <w:rPr>
          <w:rFonts w:asciiTheme="majorHAnsi" w:hAnsiTheme="majorHAnsi"/>
          <w:noProof w:val="0"/>
          <w:sz w:val="20"/>
          <w:szCs w:val="20"/>
          <w:lang w:val="es-ES_tradnl"/>
        </w:rPr>
        <w:t xml:space="preserve"> individualizó </w:t>
      </w:r>
      <w:r w:rsidR="00035A78" w:rsidRPr="001F2F1A">
        <w:rPr>
          <w:rFonts w:asciiTheme="majorHAnsi" w:hAnsiTheme="majorHAnsi"/>
          <w:noProof w:val="0"/>
          <w:sz w:val="20"/>
          <w:szCs w:val="20"/>
          <w:lang w:val="es-ES_tradnl"/>
        </w:rPr>
        <w:t xml:space="preserve">únicamente </w:t>
      </w:r>
      <w:r w:rsidR="0098294B" w:rsidRPr="001F2F1A">
        <w:rPr>
          <w:rFonts w:asciiTheme="majorHAnsi" w:hAnsiTheme="majorHAnsi"/>
          <w:noProof w:val="0"/>
          <w:sz w:val="20"/>
          <w:szCs w:val="20"/>
          <w:lang w:val="es-ES_tradnl"/>
        </w:rPr>
        <w:t xml:space="preserve">a 97 </w:t>
      </w:r>
      <w:r w:rsidR="001E67A8" w:rsidRPr="001F2F1A">
        <w:rPr>
          <w:rFonts w:asciiTheme="majorHAnsi" w:hAnsiTheme="majorHAnsi"/>
          <w:noProof w:val="0"/>
          <w:sz w:val="20"/>
          <w:szCs w:val="20"/>
          <w:lang w:val="es-ES_tradnl"/>
        </w:rPr>
        <w:t xml:space="preserve">integrantes de </w:t>
      </w:r>
      <w:r w:rsidR="00011B6D" w:rsidRPr="001F2F1A">
        <w:rPr>
          <w:rFonts w:asciiTheme="majorHAnsi" w:hAnsiTheme="majorHAnsi"/>
          <w:noProof w:val="0"/>
          <w:sz w:val="20"/>
          <w:szCs w:val="20"/>
          <w:lang w:val="es-ES_tradnl"/>
        </w:rPr>
        <w:t>SINTRASUR,</w:t>
      </w:r>
      <w:r w:rsidR="0098294B" w:rsidRPr="001F2F1A">
        <w:rPr>
          <w:rFonts w:asciiTheme="majorHAnsi" w:hAnsiTheme="majorHAnsi"/>
          <w:noProof w:val="0"/>
          <w:sz w:val="20"/>
          <w:szCs w:val="20"/>
          <w:lang w:val="es-ES_tradnl"/>
        </w:rPr>
        <w:t xml:space="preserve"> por lo que Perú entiende que la petición se refiere sólo </w:t>
      </w:r>
      <w:r w:rsidR="00035A78" w:rsidRPr="001F2F1A">
        <w:rPr>
          <w:rFonts w:asciiTheme="majorHAnsi" w:hAnsiTheme="majorHAnsi"/>
          <w:noProof w:val="0"/>
          <w:sz w:val="20"/>
          <w:szCs w:val="20"/>
          <w:lang w:val="es-ES_tradnl"/>
        </w:rPr>
        <w:t>este último número de presuntas víctimas</w:t>
      </w:r>
      <w:r w:rsidR="0098294B" w:rsidRPr="001F2F1A">
        <w:rPr>
          <w:rFonts w:asciiTheme="majorHAnsi" w:hAnsiTheme="majorHAnsi"/>
          <w:noProof w:val="0"/>
          <w:sz w:val="20"/>
          <w:szCs w:val="20"/>
          <w:lang w:val="es-ES_tradnl"/>
        </w:rPr>
        <w:t xml:space="preserve">. </w:t>
      </w:r>
      <w:r w:rsidR="00F474DA" w:rsidRPr="001F2F1A">
        <w:rPr>
          <w:rFonts w:asciiTheme="majorHAnsi" w:hAnsiTheme="majorHAnsi"/>
          <w:noProof w:val="0"/>
          <w:sz w:val="20"/>
          <w:szCs w:val="20"/>
          <w:lang w:val="es-ES_tradnl"/>
        </w:rPr>
        <w:t xml:space="preserve">Ante esta situación, la Comisión </w:t>
      </w:r>
      <w:r w:rsidR="00C902D9" w:rsidRPr="001F2F1A">
        <w:rPr>
          <w:rFonts w:asciiTheme="majorHAnsi" w:hAnsiTheme="majorHAnsi"/>
          <w:sz w:val="20"/>
          <w:szCs w:val="20"/>
          <w:lang w:val="es-ES_tradnl"/>
        </w:rPr>
        <w:t xml:space="preserve">recuerda que </w:t>
      </w:r>
      <w:r w:rsidR="00C902D9" w:rsidRPr="001F2F1A">
        <w:rPr>
          <w:rFonts w:asciiTheme="majorHAnsi" w:eastAsia="Times New Roman" w:hAnsiTheme="majorHAnsi"/>
          <w:sz w:val="20"/>
          <w:szCs w:val="20"/>
          <w:bdr w:val="none" w:sz="0" w:space="0" w:color="auto"/>
          <w:lang w:val="es-ES_tradnl"/>
        </w:rPr>
        <w:t>el criterio de identificación de las víctimas debe ser flexible y que la individualización de la totalidad de tales personas debe ser determinada con la prueba aportada por las partes en la etapa de fondo</w:t>
      </w:r>
      <w:r w:rsidR="00C902D9" w:rsidRPr="001F2F1A">
        <w:rPr>
          <w:rStyle w:val="FootnoteReference"/>
          <w:rFonts w:asciiTheme="majorHAnsi" w:eastAsia="Times New Roman" w:hAnsiTheme="majorHAnsi"/>
          <w:sz w:val="20"/>
          <w:szCs w:val="20"/>
          <w:bdr w:val="none" w:sz="0" w:space="0" w:color="auto"/>
          <w:lang w:val="es-ES_tradnl"/>
        </w:rPr>
        <w:footnoteReference w:id="11"/>
      </w:r>
      <w:r w:rsidR="00C902D9" w:rsidRPr="001F2F1A">
        <w:rPr>
          <w:rFonts w:asciiTheme="majorHAnsi" w:eastAsia="Times New Roman" w:hAnsiTheme="majorHAnsi"/>
          <w:sz w:val="20"/>
          <w:szCs w:val="20"/>
          <w:bdr w:val="none" w:sz="0" w:space="0" w:color="auto"/>
          <w:lang w:val="es-ES_tradnl"/>
        </w:rPr>
        <w:t>. En tal sentido, a efectos de la admisibilidad de la petición, la Comisión considera que la parte peticionaria ha cumplido con lo dispuesto en el artículo 44 de la Conv</w:t>
      </w:r>
      <w:r w:rsidR="00C902D9" w:rsidRPr="001F2F1A">
        <w:rPr>
          <w:rFonts w:asciiTheme="majorHAnsi" w:eastAsia="Times New Roman" w:hAnsiTheme="majorHAnsi"/>
          <w:color w:val="000000" w:themeColor="text1"/>
          <w:sz w:val="20"/>
          <w:szCs w:val="20"/>
          <w:bdr w:val="none" w:sz="0" w:space="0" w:color="auto"/>
          <w:lang w:val="es-ES_tradnl"/>
        </w:rPr>
        <w:t xml:space="preserve">ención Americana. </w:t>
      </w:r>
    </w:p>
    <w:p w14:paraId="4F6A0D44" w14:textId="1D1EA792" w:rsidR="00011B6D" w:rsidRPr="001F2F1A" w:rsidRDefault="005620F5" w:rsidP="00C902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color w:val="000000" w:themeColor="text1"/>
          <w:sz w:val="20"/>
          <w:szCs w:val="20"/>
          <w:lang w:val="es-ES_tradnl"/>
        </w:rPr>
      </w:pPr>
      <w:r w:rsidRPr="001F2F1A">
        <w:rPr>
          <w:rFonts w:asciiTheme="majorHAnsi" w:hAnsiTheme="majorHAnsi"/>
          <w:noProof w:val="0"/>
          <w:color w:val="000000" w:themeColor="text1"/>
          <w:sz w:val="20"/>
          <w:szCs w:val="20"/>
          <w:lang w:val="es-ES_tradnl"/>
        </w:rPr>
        <w:t>La</w:t>
      </w:r>
      <w:r w:rsidR="001E67A8" w:rsidRPr="001F2F1A">
        <w:rPr>
          <w:rFonts w:asciiTheme="majorHAnsi" w:hAnsiTheme="majorHAnsi"/>
          <w:noProof w:val="0"/>
          <w:color w:val="000000" w:themeColor="text1"/>
          <w:sz w:val="20"/>
          <w:szCs w:val="20"/>
          <w:lang w:val="es-ES_tradnl"/>
        </w:rPr>
        <w:t xml:space="preserve"> parte peticionaria denuncia que el Tribunal Constitucional modificó indebidamente su decisión definitiva</w:t>
      </w:r>
      <w:r w:rsidRPr="001F2F1A">
        <w:rPr>
          <w:rFonts w:asciiTheme="majorHAnsi" w:hAnsiTheme="majorHAnsi"/>
          <w:noProof w:val="0"/>
          <w:color w:val="000000" w:themeColor="text1"/>
          <w:sz w:val="20"/>
          <w:szCs w:val="20"/>
          <w:lang w:val="es-ES_tradnl"/>
        </w:rPr>
        <w:t>;</w:t>
      </w:r>
      <w:r w:rsidR="001E67A8" w:rsidRPr="001F2F1A">
        <w:rPr>
          <w:rFonts w:asciiTheme="majorHAnsi" w:hAnsiTheme="majorHAnsi"/>
          <w:noProof w:val="0"/>
          <w:color w:val="000000" w:themeColor="text1"/>
          <w:sz w:val="20"/>
          <w:szCs w:val="20"/>
          <w:lang w:val="es-ES_tradnl"/>
        </w:rPr>
        <w:t xml:space="preserve"> y que a la fecha aún el procedimiento de homologación de remuneraciones no ha finalizado. </w:t>
      </w:r>
      <w:r w:rsidR="00011B6D" w:rsidRPr="001F2F1A">
        <w:rPr>
          <w:rFonts w:asciiTheme="majorHAnsi" w:hAnsiTheme="majorHAnsi"/>
          <w:noProof w:val="0"/>
          <w:color w:val="000000" w:themeColor="text1"/>
          <w:sz w:val="20"/>
          <w:szCs w:val="20"/>
          <w:lang w:val="es-ES_tradnl"/>
        </w:rPr>
        <w:t>Respecto al primer punto, conforme a la información aportada al expediente, la Comisión considera que no resulta claro que el Tribunal Constitucional en su resolución del 9 de octubre 2012 haya modificado arbitrariamente su decisión, toda vez que la argumentación desplegada parece estar dentro de los límites de una vía de aclaración. En consecuencia, la Comisión no está convencida que dicha decisión implique</w:t>
      </w:r>
      <w:r w:rsidR="00ED2EA4" w:rsidRPr="001F2F1A">
        <w:rPr>
          <w:rFonts w:asciiTheme="majorHAnsi" w:hAnsiTheme="majorHAnsi"/>
          <w:noProof w:val="0"/>
          <w:color w:val="000000" w:themeColor="text1"/>
          <w:sz w:val="20"/>
          <w:szCs w:val="20"/>
          <w:lang w:val="es-ES_tradnl"/>
        </w:rPr>
        <w:t xml:space="preserve">, </w:t>
      </w:r>
      <w:r w:rsidR="00ED2EA4" w:rsidRPr="001F2F1A">
        <w:rPr>
          <w:rFonts w:asciiTheme="majorHAnsi" w:hAnsiTheme="majorHAnsi"/>
          <w:i/>
          <w:iCs/>
          <w:noProof w:val="0"/>
          <w:color w:val="000000" w:themeColor="text1"/>
          <w:sz w:val="20"/>
          <w:szCs w:val="20"/>
          <w:lang w:val="es-ES_tradnl"/>
        </w:rPr>
        <w:t>prima facie</w:t>
      </w:r>
      <w:r w:rsidR="00ED2EA4" w:rsidRPr="001F2F1A">
        <w:rPr>
          <w:rFonts w:asciiTheme="majorHAnsi" w:hAnsiTheme="majorHAnsi"/>
          <w:noProof w:val="0"/>
          <w:color w:val="000000" w:themeColor="text1"/>
          <w:sz w:val="20"/>
          <w:szCs w:val="20"/>
          <w:lang w:val="es-ES_tradnl"/>
        </w:rPr>
        <w:t xml:space="preserve">, una violación de derechos en perjuicio de las presuntas víctimas. </w:t>
      </w:r>
    </w:p>
    <w:p w14:paraId="0387A4D3" w14:textId="1E3B4E07" w:rsidR="007D5C32" w:rsidRPr="001F2F1A" w:rsidRDefault="00ED2EA4" w:rsidP="007D5C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color w:val="000000" w:themeColor="text1"/>
          <w:sz w:val="20"/>
          <w:szCs w:val="20"/>
          <w:lang w:val="es-ES_tradnl"/>
        </w:rPr>
      </w:pPr>
      <w:r w:rsidRPr="001F2F1A">
        <w:rPr>
          <w:rFonts w:asciiTheme="majorHAnsi" w:hAnsiTheme="majorHAnsi"/>
          <w:noProof w:val="0"/>
          <w:color w:val="000000" w:themeColor="text1"/>
          <w:sz w:val="20"/>
          <w:szCs w:val="20"/>
          <w:lang w:val="es-ES_tradnl"/>
        </w:rPr>
        <w:t>Sobre el segundo punto, referido al plazo del proceso de ejecución, la Comisión nota</w:t>
      </w:r>
      <w:r w:rsidR="005620F5" w:rsidRPr="001F2F1A">
        <w:rPr>
          <w:rFonts w:asciiTheme="majorHAnsi" w:hAnsiTheme="majorHAnsi"/>
          <w:noProof w:val="0"/>
          <w:color w:val="000000" w:themeColor="text1"/>
          <w:sz w:val="20"/>
          <w:szCs w:val="20"/>
          <w:lang w:val="es-ES_tradnl"/>
        </w:rPr>
        <w:t xml:space="preserve">, </w:t>
      </w:r>
      <w:r w:rsidR="001F2F1A" w:rsidRPr="001F2F1A">
        <w:rPr>
          <w:rFonts w:asciiTheme="majorHAnsi" w:hAnsiTheme="majorHAnsi"/>
          <w:noProof w:val="0"/>
          <w:color w:val="000000" w:themeColor="text1"/>
          <w:sz w:val="20"/>
          <w:szCs w:val="20"/>
          <w:lang w:val="es-ES_tradnl"/>
        </w:rPr>
        <w:t xml:space="preserve">dentro del ámbito de su análisis </w:t>
      </w:r>
      <w:r w:rsidR="001F2F1A" w:rsidRPr="001F2F1A">
        <w:rPr>
          <w:rFonts w:asciiTheme="majorHAnsi" w:hAnsiTheme="majorHAnsi"/>
          <w:i/>
          <w:iCs/>
          <w:noProof w:val="0"/>
          <w:color w:val="000000" w:themeColor="text1"/>
          <w:sz w:val="20"/>
          <w:szCs w:val="20"/>
          <w:lang w:val="es-ES_tradnl"/>
        </w:rPr>
        <w:t>prima facie</w:t>
      </w:r>
      <w:r w:rsidR="005620F5" w:rsidRPr="001F2F1A">
        <w:rPr>
          <w:rFonts w:asciiTheme="majorHAnsi" w:hAnsiTheme="majorHAnsi"/>
          <w:noProof w:val="0"/>
          <w:color w:val="000000" w:themeColor="text1"/>
          <w:sz w:val="20"/>
          <w:szCs w:val="20"/>
          <w:lang w:val="es-ES_tradnl"/>
        </w:rPr>
        <w:t>,</w:t>
      </w:r>
      <w:r w:rsidRPr="001F2F1A">
        <w:rPr>
          <w:rFonts w:asciiTheme="majorHAnsi" w:hAnsiTheme="majorHAnsi"/>
          <w:noProof w:val="0"/>
          <w:color w:val="000000" w:themeColor="text1"/>
          <w:sz w:val="20"/>
          <w:szCs w:val="20"/>
          <w:lang w:val="es-ES_tradnl"/>
        </w:rPr>
        <w:t xml:space="preserve"> que el Estado ha aportado información concreta que demuestra los avances en la implementación de la decisión del Tribunal Constitucional. En ese sentido, la documentación aportada permite entender que la SUNAT ya cumplió con la homologación de </w:t>
      </w:r>
      <w:r w:rsidRPr="001F2F1A">
        <w:rPr>
          <w:rFonts w:asciiTheme="majorHAnsi" w:hAnsiTheme="majorHAnsi"/>
          <w:noProof w:val="0"/>
          <w:sz w:val="20"/>
          <w:szCs w:val="20"/>
          <w:lang w:val="es-ES_tradnl"/>
        </w:rPr>
        <w:t xml:space="preserve">5,369 trabajadores y que el </w:t>
      </w:r>
      <w:r w:rsidRPr="001F2F1A">
        <w:rPr>
          <w:rFonts w:asciiTheme="majorHAnsi" w:hAnsiTheme="majorHAnsi"/>
          <w:noProof w:val="0"/>
          <w:sz w:val="20"/>
          <w:szCs w:val="20"/>
          <w:lang w:val="es-ES_tradnl"/>
        </w:rPr>
        <w:lastRenderedPageBreak/>
        <w:t xml:space="preserve">proceso no se ha cerrado únicamente porque el </w:t>
      </w:r>
      <w:r w:rsidRPr="001F2F1A">
        <w:rPr>
          <w:rFonts w:asciiTheme="majorHAnsi" w:hAnsiTheme="majorHAnsi" w:cs="Calibri"/>
          <w:noProof w:val="0"/>
          <w:sz w:val="20"/>
          <w:szCs w:val="20"/>
          <w:lang w:val="es-ES_tradnl"/>
        </w:rPr>
        <w:t>Primer Juzgado Especializado en lo Constitucional sigue revisando que tal actuación haya sido realizada correctamente. Al respecto, la parte peticionaria no ha replicado</w:t>
      </w:r>
      <w:r w:rsidR="007D5C32" w:rsidRPr="001F2F1A">
        <w:rPr>
          <w:rFonts w:asciiTheme="majorHAnsi" w:hAnsiTheme="majorHAnsi" w:cs="Calibri"/>
          <w:noProof w:val="0"/>
          <w:sz w:val="20"/>
          <w:szCs w:val="20"/>
          <w:lang w:val="es-ES_tradnl"/>
        </w:rPr>
        <w:t xml:space="preserve"> la citada información ni tampoco ha presentado argumentos que muestren en qué medida la citada confirmación del procedimiento de homologación afectaría los derechos de las presuntas víctimas, más allá de los cuestionamientos a la resolución</w:t>
      </w:r>
      <w:r w:rsidR="007D5C32" w:rsidRPr="001F2F1A">
        <w:rPr>
          <w:rFonts w:asciiTheme="majorHAnsi" w:hAnsiTheme="majorHAnsi"/>
          <w:noProof w:val="0"/>
          <w:color w:val="000000" w:themeColor="text1"/>
          <w:sz w:val="20"/>
          <w:szCs w:val="20"/>
          <w:lang w:val="es-ES_tradnl"/>
        </w:rPr>
        <w:t xml:space="preserve"> del 9 de octubre 2012 del Tribunal Constitucional. En consecuencia, tomando en consideración que la complejidad del proceso, en tanto habría miles de trabajadores involucrados, y los avances realizados por la SUNAT, la Comisión considera que el presente punto tampoco representa, </w:t>
      </w:r>
      <w:r w:rsidR="007D5C32" w:rsidRPr="001F2F1A">
        <w:rPr>
          <w:rFonts w:asciiTheme="majorHAnsi" w:hAnsiTheme="majorHAnsi"/>
          <w:i/>
          <w:iCs/>
          <w:noProof w:val="0"/>
          <w:color w:val="000000" w:themeColor="text1"/>
          <w:sz w:val="20"/>
          <w:szCs w:val="20"/>
          <w:lang w:val="es-ES_tradnl"/>
        </w:rPr>
        <w:t>prima facie</w:t>
      </w:r>
      <w:r w:rsidR="007D5C32" w:rsidRPr="001F2F1A">
        <w:rPr>
          <w:rFonts w:asciiTheme="majorHAnsi" w:hAnsiTheme="majorHAnsi"/>
          <w:noProof w:val="0"/>
          <w:color w:val="000000" w:themeColor="text1"/>
          <w:sz w:val="20"/>
          <w:szCs w:val="20"/>
          <w:lang w:val="es-ES_tradnl"/>
        </w:rPr>
        <w:t xml:space="preserve">, una violación de derechos. </w:t>
      </w:r>
    </w:p>
    <w:p w14:paraId="2689269A" w14:textId="0AF9A59A" w:rsidR="006276B6" w:rsidRPr="001F2F1A" w:rsidRDefault="007D5C32" w:rsidP="00C902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noProof w:val="0"/>
          <w:color w:val="000000" w:themeColor="text1"/>
          <w:sz w:val="20"/>
          <w:szCs w:val="20"/>
          <w:lang w:val="es-ES_tradnl"/>
        </w:rPr>
      </w:pPr>
      <w:r w:rsidRPr="001F2F1A">
        <w:rPr>
          <w:rFonts w:asciiTheme="majorHAnsi" w:hAnsiTheme="majorHAnsi"/>
          <w:noProof w:val="0"/>
          <w:color w:val="000000" w:themeColor="text1"/>
          <w:sz w:val="20"/>
          <w:szCs w:val="20"/>
          <w:lang w:val="es-ES_tradnl"/>
        </w:rPr>
        <w:t>Por los argumentos expuestos, la Comisión concluye que esta petición resulta inadmisible en los términos del artículo 47 de la Convención.</w:t>
      </w:r>
    </w:p>
    <w:p w14:paraId="29BB41F5" w14:textId="02292D11" w:rsidR="003239B8" w:rsidRPr="001F2F1A" w:rsidRDefault="003239B8" w:rsidP="006276B6">
      <w:pPr>
        <w:ind w:firstLine="720"/>
        <w:jc w:val="both"/>
        <w:rPr>
          <w:rFonts w:asciiTheme="majorHAnsi" w:hAnsiTheme="majorHAnsi"/>
          <w:b/>
          <w:bCs/>
          <w:noProof w:val="0"/>
          <w:sz w:val="20"/>
          <w:szCs w:val="20"/>
          <w:lang w:val="es-ES_tradnl"/>
        </w:rPr>
      </w:pPr>
      <w:r w:rsidRPr="001F2F1A">
        <w:rPr>
          <w:rFonts w:asciiTheme="majorHAnsi" w:hAnsiTheme="majorHAnsi"/>
          <w:b/>
          <w:bCs/>
          <w:noProof w:val="0"/>
          <w:sz w:val="20"/>
          <w:szCs w:val="20"/>
          <w:lang w:val="es-ES_tradnl"/>
        </w:rPr>
        <w:t xml:space="preserve">VIII. </w:t>
      </w:r>
      <w:r w:rsidRPr="001F2F1A">
        <w:rPr>
          <w:rFonts w:asciiTheme="majorHAnsi" w:hAnsiTheme="majorHAnsi"/>
          <w:b/>
          <w:bCs/>
          <w:noProof w:val="0"/>
          <w:sz w:val="20"/>
          <w:szCs w:val="20"/>
          <w:lang w:val="es-ES_tradnl"/>
        </w:rPr>
        <w:tab/>
        <w:t>DECISIÓN</w:t>
      </w:r>
    </w:p>
    <w:p w14:paraId="0FB75259" w14:textId="77777777" w:rsidR="00314EED" w:rsidRPr="001F2F1A" w:rsidRDefault="00314EED" w:rsidP="00314EED">
      <w:pPr>
        <w:jc w:val="both"/>
        <w:rPr>
          <w:rFonts w:asciiTheme="majorHAnsi" w:hAnsiTheme="majorHAnsi"/>
          <w:noProof w:val="0"/>
          <w:sz w:val="20"/>
          <w:szCs w:val="20"/>
          <w:lang w:val="es-ES_tradnl"/>
        </w:rPr>
      </w:pPr>
    </w:p>
    <w:p w14:paraId="3269B6ED" w14:textId="6D33B540" w:rsidR="004B17D4" w:rsidRPr="001F2F1A" w:rsidRDefault="00314EED" w:rsidP="008216AC">
      <w:pPr>
        <w:pStyle w:val="ListParagraph"/>
        <w:numPr>
          <w:ilvl w:val="0"/>
          <w:numId w:val="56"/>
        </w:numPr>
        <w:jc w:val="both"/>
        <w:rPr>
          <w:rFonts w:asciiTheme="majorHAnsi" w:eastAsia="Arial Unicode MS" w:hAnsiTheme="majorHAnsi" w:cs="Times New Roman"/>
          <w:color w:val="auto"/>
          <w:sz w:val="20"/>
          <w:szCs w:val="20"/>
          <w:lang w:val="es-ES_tradnl" w:eastAsia="en-US"/>
        </w:rPr>
      </w:pPr>
      <w:r w:rsidRPr="001F2F1A">
        <w:rPr>
          <w:rFonts w:asciiTheme="majorHAnsi" w:hAnsiTheme="majorHAnsi"/>
          <w:sz w:val="20"/>
          <w:szCs w:val="20"/>
          <w:lang w:val="es-ES_tradnl"/>
        </w:rPr>
        <w:t xml:space="preserve">Declarar inadmisible </w:t>
      </w:r>
      <w:r w:rsidR="00F35135" w:rsidRPr="001F2F1A">
        <w:rPr>
          <w:rFonts w:asciiTheme="majorHAnsi" w:hAnsiTheme="majorHAnsi"/>
          <w:sz w:val="20"/>
          <w:szCs w:val="20"/>
          <w:lang w:val="es-ES_tradnl"/>
        </w:rPr>
        <w:t>la presente petición</w:t>
      </w:r>
      <w:r w:rsidRPr="001F2F1A">
        <w:rPr>
          <w:rFonts w:asciiTheme="majorHAnsi" w:hAnsiTheme="majorHAnsi"/>
          <w:sz w:val="20"/>
          <w:szCs w:val="20"/>
          <w:lang w:val="es-ES_tradnl"/>
        </w:rPr>
        <w:t>; y</w:t>
      </w:r>
    </w:p>
    <w:p w14:paraId="301752D0" w14:textId="77777777" w:rsidR="00EC3149" w:rsidRPr="001F2F1A" w:rsidRDefault="00EC3149" w:rsidP="00EC3149">
      <w:pPr>
        <w:jc w:val="both"/>
        <w:rPr>
          <w:rFonts w:asciiTheme="majorHAnsi" w:hAnsiTheme="majorHAnsi"/>
          <w:sz w:val="20"/>
          <w:szCs w:val="20"/>
          <w:lang w:val="es-ES_tradnl"/>
        </w:rPr>
      </w:pPr>
    </w:p>
    <w:p w14:paraId="12A7002C" w14:textId="51CC9D63" w:rsidR="004A6A54" w:rsidRDefault="004A6A54" w:rsidP="008216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noProof w:val="0"/>
          <w:sz w:val="20"/>
          <w:szCs w:val="20"/>
          <w:lang w:val="es-ES_tradnl"/>
        </w:rPr>
      </w:pPr>
      <w:r w:rsidRPr="001F2F1A">
        <w:rPr>
          <w:rFonts w:asciiTheme="majorHAnsi" w:hAnsiTheme="majorHAnsi"/>
          <w:noProof w:val="0"/>
          <w:sz w:val="20"/>
          <w:szCs w:val="20"/>
          <w:lang w:val="es-ES_tradnl"/>
        </w:rPr>
        <w:t>Notificar a las partes la presente decisión</w:t>
      </w:r>
      <w:r w:rsidR="007460E4">
        <w:rPr>
          <w:rStyle w:val="FootnoteReference"/>
          <w:rFonts w:asciiTheme="majorHAnsi" w:hAnsiTheme="majorHAnsi"/>
          <w:noProof w:val="0"/>
          <w:sz w:val="20"/>
          <w:szCs w:val="20"/>
          <w:lang w:val="es-ES_tradnl"/>
        </w:rPr>
        <w:footnoteReference w:id="12"/>
      </w:r>
      <w:r w:rsidRPr="001F2F1A">
        <w:rPr>
          <w:rFonts w:asciiTheme="majorHAnsi" w:hAnsiTheme="majorHAnsi"/>
          <w:noProof w:val="0"/>
          <w:sz w:val="20"/>
          <w:szCs w:val="20"/>
          <w:lang w:val="es-ES_tradnl"/>
        </w:rPr>
        <w:t>;</w:t>
      </w:r>
      <w:r w:rsidR="00154020" w:rsidRPr="001F2F1A">
        <w:rPr>
          <w:rFonts w:asciiTheme="majorHAnsi" w:hAnsiTheme="majorHAnsi"/>
          <w:noProof w:val="0"/>
          <w:sz w:val="20"/>
          <w:szCs w:val="20"/>
          <w:lang w:val="es-ES_tradnl"/>
        </w:rPr>
        <w:t xml:space="preserve"> </w:t>
      </w:r>
      <w:r w:rsidRPr="001F2F1A">
        <w:rPr>
          <w:rFonts w:asciiTheme="majorHAnsi" w:hAnsiTheme="majorHAnsi"/>
          <w:noProof w:val="0"/>
          <w:sz w:val="20"/>
          <w:szCs w:val="20"/>
          <w:lang w:val="es-ES_tradnl"/>
        </w:rPr>
        <w:t>y publicar esta decisión e incluirla en su Informe Anual a la Asamblea General de la Organización de los Estados Americanos.</w:t>
      </w:r>
    </w:p>
    <w:p w14:paraId="16A0EA6A" w14:textId="61BFD93C" w:rsidR="00524110" w:rsidRPr="00D501CF" w:rsidRDefault="007E5670" w:rsidP="00D501CF">
      <w:pPr>
        <w:ind w:firstLine="720"/>
        <w:jc w:val="both"/>
        <w:rPr>
          <w:rFonts w:asciiTheme="majorHAnsi" w:hAnsiTheme="majorHAnsi" w:cs="Arial"/>
          <w:spacing w:val="-2"/>
          <w:sz w:val="20"/>
          <w:szCs w:val="20"/>
          <w:lang w:val="es-CL"/>
        </w:rPr>
      </w:pPr>
      <w:bookmarkStart w:id="2" w:name="_Hlk95209781"/>
      <w:bookmarkStart w:id="3" w:name="_Hlk89320357"/>
      <w:r>
        <w:rPr>
          <w:rFonts w:asciiTheme="majorHAnsi" w:hAnsiTheme="majorHAnsi" w:cs="Arial"/>
          <w:spacing w:val="-2"/>
          <w:sz w:val="20"/>
          <w:szCs w:val="20"/>
          <w:lang w:val="es-CL"/>
        </w:rPr>
        <w:t xml:space="preserve">Aprobado por la Comisión Interamericana de Derechos Humanos </w:t>
      </w:r>
      <w:r w:rsidRPr="00A37B82">
        <w:rPr>
          <w:rFonts w:asciiTheme="majorHAnsi" w:hAnsiTheme="majorHAnsi" w:cs="Arial"/>
          <w:spacing w:val="-2"/>
          <w:sz w:val="20"/>
          <w:szCs w:val="20"/>
          <w:lang w:val="es-CL"/>
        </w:rPr>
        <w:t xml:space="preserve"> a </w:t>
      </w:r>
      <w:r w:rsidRPr="00B76FE0">
        <w:rPr>
          <w:rFonts w:asciiTheme="majorHAnsi" w:hAnsiTheme="majorHAnsi" w:cs="Arial"/>
          <w:spacing w:val="-2"/>
          <w:sz w:val="20"/>
          <w:szCs w:val="20"/>
          <w:lang w:val="es-CL"/>
        </w:rPr>
        <w:t xml:space="preserve">los </w:t>
      </w:r>
      <w:r w:rsidR="003C66E9">
        <w:rPr>
          <w:rFonts w:asciiTheme="majorHAnsi" w:hAnsiTheme="majorHAnsi" w:cs="Arial"/>
          <w:spacing w:val="-2"/>
          <w:sz w:val="20"/>
          <w:szCs w:val="20"/>
          <w:lang w:val="es-CL"/>
        </w:rPr>
        <w:t>28</w:t>
      </w:r>
      <w:r w:rsidRPr="00B76FE0">
        <w:rPr>
          <w:rFonts w:asciiTheme="majorHAnsi" w:hAnsiTheme="majorHAnsi" w:cs="Arial"/>
          <w:spacing w:val="-2"/>
          <w:sz w:val="20"/>
          <w:szCs w:val="20"/>
          <w:lang w:val="es-CL"/>
        </w:rPr>
        <w:t xml:space="preserve"> días del mes de </w:t>
      </w:r>
      <w:r w:rsidR="003C66E9">
        <w:rPr>
          <w:rFonts w:asciiTheme="majorHAnsi" w:hAnsiTheme="majorHAnsi" w:cs="Arial"/>
          <w:spacing w:val="-2"/>
          <w:sz w:val="20"/>
          <w:szCs w:val="20"/>
          <w:lang w:val="es-CL"/>
        </w:rPr>
        <w:t>marzo</w:t>
      </w:r>
      <w:r w:rsidRPr="00B76FE0">
        <w:rPr>
          <w:rFonts w:asciiTheme="majorHAnsi" w:hAnsiTheme="majorHAnsi" w:cs="Arial"/>
          <w:spacing w:val="-2"/>
          <w:sz w:val="20"/>
          <w:szCs w:val="20"/>
          <w:lang w:val="es-CL"/>
        </w:rPr>
        <w:t xml:space="preserve"> de 2022.  (Firmado): Margarette Ma</w:t>
      </w:r>
      <w:r>
        <w:rPr>
          <w:rFonts w:asciiTheme="majorHAnsi" w:hAnsiTheme="majorHAnsi" w:cs="Arial"/>
          <w:spacing w:val="-2"/>
          <w:sz w:val="20"/>
          <w:szCs w:val="20"/>
          <w:lang w:val="es-CL"/>
        </w:rPr>
        <w:t>y Macaulay, Segunda Vicepresidenta</w:t>
      </w:r>
      <w:r w:rsidRPr="00A37B82">
        <w:rPr>
          <w:rFonts w:asciiTheme="majorHAnsi" w:hAnsiTheme="majorHAnsi" w:cs="Arial"/>
          <w:spacing w:val="-2"/>
          <w:sz w:val="20"/>
          <w:szCs w:val="20"/>
          <w:lang w:val="es-CL"/>
        </w:rPr>
        <w:t>;</w:t>
      </w:r>
      <w:r>
        <w:rPr>
          <w:rFonts w:asciiTheme="majorHAnsi" w:hAnsiTheme="majorHAnsi" w:cs="Arial"/>
          <w:spacing w:val="-2"/>
          <w:sz w:val="20"/>
          <w:szCs w:val="20"/>
          <w:lang w:val="es-CL"/>
        </w:rPr>
        <w:t xml:space="preserve"> </w:t>
      </w:r>
      <w:r w:rsidRPr="00FE6D56">
        <w:rPr>
          <w:rFonts w:asciiTheme="majorHAnsi" w:hAnsiTheme="majorHAnsi" w:cs="Arial"/>
          <w:spacing w:val="-2"/>
          <w:sz w:val="20"/>
          <w:szCs w:val="20"/>
          <w:lang w:val="es-CL"/>
        </w:rPr>
        <w:t>Esmeralda E. Arosem</w:t>
      </w:r>
      <w:r>
        <w:rPr>
          <w:rFonts w:asciiTheme="majorHAnsi" w:hAnsiTheme="majorHAnsi" w:cs="Arial"/>
          <w:spacing w:val="-2"/>
          <w:sz w:val="20"/>
          <w:szCs w:val="20"/>
          <w:lang w:val="es-CL"/>
        </w:rPr>
        <w:t>en</w:t>
      </w:r>
      <w:r w:rsidRPr="00FE6D56">
        <w:rPr>
          <w:rFonts w:asciiTheme="majorHAnsi" w:hAnsiTheme="majorHAnsi" w:cs="Arial"/>
          <w:spacing w:val="-2"/>
          <w:sz w:val="20"/>
          <w:szCs w:val="20"/>
          <w:lang w:val="es-CL"/>
        </w:rPr>
        <w:t>a Bernal de Troitiño</w:t>
      </w:r>
      <w:r>
        <w:rPr>
          <w:rFonts w:asciiTheme="majorHAnsi" w:hAnsiTheme="majorHAnsi" w:cs="Arial"/>
          <w:spacing w:val="-2"/>
          <w:sz w:val="20"/>
          <w:szCs w:val="20"/>
          <w:lang w:val="es-CL"/>
        </w:rPr>
        <w:t xml:space="preserve">, Joel Hernández y Carlos Bernal Pulido, </w:t>
      </w:r>
      <w:r w:rsidR="00D501CF">
        <w:rPr>
          <w:rFonts w:asciiTheme="majorHAnsi" w:hAnsiTheme="majorHAnsi" w:cs="Arial"/>
          <w:spacing w:val="-2"/>
          <w:sz w:val="20"/>
          <w:szCs w:val="20"/>
          <w:lang w:val="es-CL"/>
        </w:rPr>
        <w:t>m</w:t>
      </w:r>
      <w:r w:rsidRPr="00A37B82">
        <w:rPr>
          <w:rFonts w:asciiTheme="majorHAnsi" w:hAnsiTheme="majorHAnsi" w:cs="Arial"/>
          <w:spacing w:val="-2"/>
          <w:sz w:val="20"/>
          <w:szCs w:val="20"/>
          <w:lang w:val="es-CL"/>
        </w:rPr>
        <w:t>iembros de la Comisión.</w:t>
      </w:r>
      <w:bookmarkEnd w:id="2"/>
      <w:bookmarkEnd w:id="3"/>
      <w:r w:rsidR="00524110">
        <w:rPr>
          <w:rFonts w:asciiTheme="majorHAnsi" w:hAnsiTheme="majorHAnsi"/>
          <w:sz w:val="20"/>
          <w:szCs w:val="20"/>
        </w:rPr>
        <w:br w:type="page"/>
      </w:r>
    </w:p>
    <w:p w14:paraId="46F220D0" w14:textId="77777777" w:rsidR="0028021C" w:rsidRPr="00757DD4" w:rsidRDefault="0028021C" w:rsidP="0028021C">
      <w:pPr>
        <w:pStyle w:val="ListParagraph"/>
        <w:rPr>
          <w:rFonts w:asciiTheme="majorHAnsi" w:hAnsiTheme="majorHAnsi"/>
          <w:sz w:val="20"/>
          <w:szCs w:val="20"/>
          <w:lang w:val="es-ES"/>
        </w:rPr>
      </w:pPr>
    </w:p>
    <w:p w14:paraId="3722CAC6" w14:textId="32435F28" w:rsidR="005611B5" w:rsidRPr="005D6206" w:rsidRDefault="006704A5" w:rsidP="006704A5">
      <w:pPr>
        <w:ind w:firstLine="720"/>
        <w:jc w:val="center"/>
        <w:rPr>
          <w:rFonts w:asciiTheme="majorHAnsi" w:hAnsiTheme="majorHAnsi" w:cs="Arial"/>
          <w:b/>
          <w:bCs/>
          <w:noProof w:val="0"/>
          <w:spacing w:val="-2"/>
          <w:sz w:val="20"/>
          <w:szCs w:val="20"/>
        </w:rPr>
      </w:pPr>
      <w:r w:rsidRPr="005D6206">
        <w:rPr>
          <w:rFonts w:asciiTheme="majorHAnsi" w:hAnsiTheme="majorHAnsi" w:cs="Arial"/>
          <w:b/>
          <w:bCs/>
          <w:noProof w:val="0"/>
          <w:spacing w:val="-2"/>
          <w:sz w:val="20"/>
          <w:szCs w:val="20"/>
        </w:rPr>
        <w:t>Anexo</w:t>
      </w:r>
    </w:p>
    <w:p w14:paraId="5DA64DF5" w14:textId="066B32F3" w:rsidR="006704A5" w:rsidRPr="005D6206" w:rsidRDefault="006704A5" w:rsidP="006704A5">
      <w:pPr>
        <w:ind w:firstLine="720"/>
        <w:jc w:val="center"/>
        <w:rPr>
          <w:rFonts w:asciiTheme="majorHAnsi" w:hAnsiTheme="majorHAnsi" w:cs="Arial"/>
          <w:b/>
          <w:bCs/>
          <w:noProof w:val="0"/>
          <w:spacing w:val="-2"/>
          <w:sz w:val="20"/>
          <w:szCs w:val="20"/>
        </w:rPr>
      </w:pPr>
      <w:r w:rsidRPr="005D6206">
        <w:rPr>
          <w:rFonts w:asciiTheme="majorHAnsi" w:hAnsiTheme="majorHAnsi" w:cs="Arial"/>
          <w:b/>
          <w:bCs/>
          <w:noProof w:val="0"/>
          <w:spacing w:val="-2"/>
          <w:sz w:val="20"/>
          <w:szCs w:val="20"/>
        </w:rPr>
        <w:t>Presuntas v</w:t>
      </w:r>
      <w:r w:rsidR="008B5ECF" w:rsidRPr="005D6206">
        <w:rPr>
          <w:rFonts w:asciiTheme="majorHAnsi" w:hAnsiTheme="majorHAnsi" w:cs="Arial"/>
          <w:b/>
          <w:bCs/>
          <w:noProof w:val="0"/>
          <w:sz w:val="20"/>
          <w:szCs w:val="20"/>
        </w:rPr>
        <w:t>í</w:t>
      </w:r>
      <w:r w:rsidRPr="005D6206">
        <w:rPr>
          <w:rFonts w:asciiTheme="majorHAnsi" w:hAnsiTheme="majorHAnsi" w:cs="Arial"/>
          <w:b/>
          <w:bCs/>
          <w:noProof w:val="0"/>
          <w:spacing w:val="-2"/>
          <w:sz w:val="20"/>
          <w:szCs w:val="20"/>
        </w:rPr>
        <w:t>ctimas</w:t>
      </w:r>
    </w:p>
    <w:p w14:paraId="7F486A84" w14:textId="182B4523" w:rsidR="006704A5" w:rsidRPr="005D6206" w:rsidRDefault="006704A5" w:rsidP="006704A5">
      <w:pPr>
        <w:jc w:val="both"/>
        <w:rPr>
          <w:rFonts w:asciiTheme="majorHAnsi" w:hAnsiTheme="majorHAnsi" w:cs="Arial"/>
          <w:noProof w:val="0"/>
          <w:spacing w:val="-2"/>
          <w:sz w:val="20"/>
          <w:szCs w:val="20"/>
        </w:rPr>
      </w:pPr>
    </w:p>
    <w:p w14:paraId="4F081ADE" w14:textId="396AB11F" w:rsidR="006704A5" w:rsidRPr="005D6206" w:rsidRDefault="006704A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Vladimir Manuel Aliaga Ruiz</w:t>
      </w:r>
    </w:p>
    <w:p w14:paraId="4D19CA01" w14:textId="4C01618E" w:rsidR="006704A5" w:rsidRPr="005D6206" w:rsidRDefault="006704A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Alex Hugo Alcca Sa</w:t>
      </w:r>
      <w:r w:rsidR="005D6206">
        <w:rPr>
          <w:rFonts w:asciiTheme="majorHAnsi" w:hAnsiTheme="majorHAnsi" w:cs="Arial"/>
          <w:spacing w:val="-2"/>
          <w:sz w:val="20"/>
          <w:szCs w:val="20"/>
          <w:lang w:val="es-ES"/>
        </w:rPr>
        <w:t>ne</w:t>
      </w:r>
      <w:r w:rsidRPr="005D6206">
        <w:rPr>
          <w:rFonts w:asciiTheme="majorHAnsi" w:hAnsiTheme="majorHAnsi" w:cs="Arial"/>
          <w:spacing w:val="-2"/>
          <w:sz w:val="20"/>
          <w:szCs w:val="20"/>
          <w:lang w:val="es-ES"/>
        </w:rPr>
        <w:t>z</w:t>
      </w:r>
    </w:p>
    <w:p w14:paraId="3E1C9A1E" w14:textId="1AFEB9C9" w:rsidR="006704A5" w:rsidRPr="005D6206" w:rsidRDefault="007F544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Marco Antonio Alva Rojas</w:t>
      </w:r>
    </w:p>
    <w:p w14:paraId="392A2312" w14:textId="44D239E5" w:rsidR="007F5440" w:rsidRPr="005D6206" w:rsidRDefault="007F544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Gonzalo Renato Alvarado Zeballos</w:t>
      </w:r>
    </w:p>
    <w:p w14:paraId="5003DED5" w14:textId="5395160B" w:rsidR="007F5440"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Leónidas</w:t>
      </w:r>
      <w:r w:rsidR="007F5440"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Álvarez</w:t>
      </w:r>
      <w:r w:rsidR="007F5440" w:rsidRPr="005D6206">
        <w:rPr>
          <w:rFonts w:asciiTheme="majorHAnsi" w:hAnsiTheme="majorHAnsi" w:cs="Arial"/>
          <w:spacing w:val="-2"/>
          <w:sz w:val="20"/>
          <w:szCs w:val="20"/>
          <w:lang w:val="es-ES"/>
        </w:rPr>
        <w:t xml:space="preserve"> Mollinedo</w:t>
      </w:r>
    </w:p>
    <w:p w14:paraId="7E6F7BF1" w14:textId="1056E1B5" w:rsidR="007F5440" w:rsidRPr="005D6206" w:rsidRDefault="007F544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Roberto </w:t>
      </w:r>
      <w:r w:rsidR="00FD00C6" w:rsidRPr="005D6206">
        <w:rPr>
          <w:rFonts w:asciiTheme="majorHAnsi" w:hAnsiTheme="majorHAnsi" w:cs="Arial"/>
          <w:spacing w:val="-2"/>
          <w:sz w:val="20"/>
          <w:szCs w:val="20"/>
          <w:lang w:val="es-ES"/>
        </w:rPr>
        <w:t>Elías</w:t>
      </w:r>
      <w:r w:rsidRPr="005D6206">
        <w:rPr>
          <w:rFonts w:asciiTheme="majorHAnsi" w:hAnsiTheme="majorHAnsi" w:cs="Arial"/>
          <w:spacing w:val="-2"/>
          <w:sz w:val="20"/>
          <w:szCs w:val="20"/>
          <w:lang w:val="es-ES"/>
        </w:rPr>
        <w:t xml:space="preserve"> </w:t>
      </w:r>
      <w:r w:rsidR="00FD00C6" w:rsidRPr="005D6206">
        <w:rPr>
          <w:rFonts w:asciiTheme="majorHAnsi" w:hAnsiTheme="majorHAnsi" w:cs="Arial"/>
          <w:spacing w:val="-2"/>
          <w:sz w:val="20"/>
          <w:szCs w:val="20"/>
          <w:lang w:val="es-ES"/>
        </w:rPr>
        <w:t>Arévalo</w:t>
      </w:r>
      <w:r w:rsidRPr="005D6206">
        <w:rPr>
          <w:rFonts w:asciiTheme="majorHAnsi" w:hAnsiTheme="majorHAnsi" w:cs="Arial"/>
          <w:spacing w:val="-2"/>
          <w:sz w:val="20"/>
          <w:szCs w:val="20"/>
          <w:lang w:val="es-ES"/>
        </w:rPr>
        <w:t xml:space="preserve"> Calero</w:t>
      </w:r>
    </w:p>
    <w:p w14:paraId="67955B3A" w14:textId="3894E038" w:rsidR="00C84AD5"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María</w:t>
      </w:r>
      <w:r w:rsidR="00C84AD5" w:rsidRPr="005D6206">
        <w:rPr>
          <w:rFonts w:asciiTheme="majorHAnsi" w:hAnsiTheme="majorHAnsi" w:cs="Arial"/>
          <w:spacing w:val="-2"/>
          <w:sz w:val="20"/>
          <w:szCs w:val="20"/>
          <w:lang w:val="es-ES"/>
        </w:rPr>
        <w:t xml:space="preserve"> del Pilar </w:t>
      </w:r>
      <w:r w:rsidR="005D6206" w:rsidRPr="005D6206">
        <w:rPr>
          <w:rFonts w:asciiTheme="majorHAnsi" w:hAnsiTheme="majorHAnsi" w:cs="Arial"/>
          <w:spacing w:val="-2"/>
          <w:sz w:val="20"/>
          <w:szCs w:val="20"/>
          <w:lang w:val="es-ES"/>
        </w:rPr>
        <w:t>Arévalo</w:t>
      </w:r>
      <w:r w:rsidR="00C84AD5" w:rsidRPr="005D6206">
        <w:rPr>
          <w:rFonts w:asciiTheme="majorHAnsi" w:hAnsiTheme="majorHAnsi" w:cs="Arial"/>
          <w:spacing w:val="-2"/>
          <w:sz w:val="20"/>
          <w:szCs w:val="20"/>
          <w:lang w:val="es-ES"/>
        </w:rPr>
        <w:t xml:space="preserve"> Cortez</w:t>
      </w:r>
    </w:p>
    <w:p w14:paraId="1635BF0F" w14:textId="0EADC979" w:rsidR="007F5440"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Jesús</w:t>
      </w:r>
      <w:r w:rsidR="007F5440" w:rsidRPr="005D6206">
        <w:rPr>
          <w:rFonts w:asciiTheme="majorHAnsi" w:hAnsiTheme="majorHAnsi" w:cs="Arial"/>
          <w:spacing w:val="-2"/>
          <w:sz w:val="20"/>
          <w:szCs w:val="20"/>
          <w:lang w:val="es-ES"/>
        </w:rPr>
        <w:t xml:space="preserve"> Roberto Arias Guajardo</w:t>
      </w:r>
    </w:p>
    <w:p w14:paraId="1F80B88D" w14:textId="71DE6108" w:rsidR="007F5440" w:rsidRPr="005D6206" w:rsidRDefault="007F544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Eduardo Atto Gody</w:t>
      </w:r>
    </w:p>
    <w:p w14:paraId="5971C3AE" w14:textId="4E8E5F00" w:rsidR="007F5440" w:rsidRPr="005D6206" w:rsidRDefault="007F544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Cesar Albino Ayquipa Monroy</w:t>
      </w:r>
    </w:p>
    <w:p w14:paraId="46DF727E" w14:textId="5713BFF9" w:rsidR="007F5440" w:rsidRPr="005D6206" w:rsidRDefault="00C84AD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Manuel </w:t>
      </w:r>
      <w:r w:rsidR="00FD00C6" w:rsidRPr="005D6206">
        <w:rPr>
          <w:rFonts w:asciiTheme="majorHAnsi" w:hAnsiTheme="majorHAnsi" w:cs="Arial"/>
          <w:spacing w:val="-2"/>
          <w:sz w:val="20"/>
          <w:szCs w:val="20"/>
          <w:lang w:val="es-ES"/>
        </w:rPr>
        <w:t>Alcides</w:t>
      </w:r>
      <w:r w:rsidRPr="005D6206">
        <w:rPr>
          <w:rFonts w:asciiTheme="majorHAnsi" w:hAnsiTheme="majorHAnsi" w:cs="Arial"/>
          <w:spacing w:val="-2"/>
          <w:sz w:val="20"/>
          <w:szCs w:val="20"/>
          <w:lang w:val="es-ES"/>
        </w:rPr>
        <w:t xml:space="preserve"> Baca Reyes</w:t>
      </w:r>
    </w:p>
    <w:p w14:paraId="5D099FC1" w14:textId="18B86972" w:rsidR="00C84AD5" w:rsidRPr="005D6206" w:rsidRDefault="00C84AD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Gorly Battallos Polanco</w:t>
      </w:r>
    </w:p>
    <w:p w14:paraId="2FE5AA06" w14:textId="64675361" w:rsidR="00C84AD5" w:rsidRPr="005D6206" w:rsidRDefault="00C84AD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Gerardo Rafael Bedoya </w:t>
      </w:r>
      <w:r w:rsidR="00FD00C6" w:rsidRPr="005D6206">
        <w:rPr>
          <w:rFonts w:asciiTheme="majorHAnsi" w:hAnsiTheme="majorHAnsi" w:cs="Arial"/>
          <w:spacing w:val="-2"/>
          <w:sz w:val="20"/>
          <w:szCs w:val="20"/>
          <w:lang w:val="es-ES"/>
        </w:rPr>
        <w:t>Sánchez</w:t>
      </w:r>
    </w:p>
    <w:p w14:paraId="50DB6970" w14:textId="6327F3AE" w:rsidR="00C84AD5" w:rsidRPr="005D6206" w:rsidRDefault="00C84AD5"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Fredy Jonso Benavente Alvares</w:t>
      </w:r>
    </w:p>
    <w:p w14:paraId="0EBC4B81" w14:textId="07B8F0E8" w:rsidR="00C84AD5"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Jorge </w:t>
      </w:r>
      <w:r w:rsidR="00FD00C6" w:rsidRPr="005D6206">
        <w:rPr>
          <w:rFonts w:asciiTheme="majorHAnsi" w:hAnsiTheme="majorHAnsi" w:cs="Arial"/>
          <w:spacing w:val="-2"/>
          <w:sz w:val="20"/>
          <w:szCs w:val="20"/>
          <w:lang w:val="es-ES"/>
        </w:rPr>
        <w:t>Luis</w:t>
      </w:r>
      <w:r w:rsidRPr="005D6206">
        <w:rPr>
          <w:rFonts w:asciiTheme="majorHAnsi" w:hAnsiTheme="majorHAnsi" w:cs="Arial"/>
          <w:spacing w:val="-2"/>
          <w:sz w:val="20"/>
          <w:szCs w:val="20"/>
          <w:lang w:val="es-ES"/>
        </w:rPr>
        <w:t xml:space="preserve"> Britto </w:t>
      </w:r>
      <w:r w:rsidR="00FD00C6" w:rsidRPr="005D6206">
        <w:rPr>
          <w:rFonts w:asciiTheme="majorHAnsi" w:hAnsiTheme="majorHAnsi" w:cs="Arial"/>
          <w:spacing w:val="-2"/>
          <w:sz w:val="20"/>
          <w:szCs w:val="20"/>
          <w:lang w:val="es-ES"/>
        </w:rPr>
        <w:t>Gutiérrez</w:t>
      </w:r>
    </w:p>
    <w:p w14:paraId="7409B1C2" w14:textId="34FA95AC"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Henry</w:t>
      </w:r>
      <w:r w:rsidR="0087734A"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Jesús</w:t>
      </w:r>
      <w:r w:rsidR="0087734A" w:rsidRPr="005D6206">
        <w:rPr>
          <w:rFonts w:asciiTheme="majorHAnsi" w:hAnsiTheme="majorHAnsi" w:cs="Arial"/>
          <w:spacing w:val="-2"/>
          <w:sz w:val="20"/>
          <w:szCs w:val="20"/>
          <w:lang w:val="es-ES"/>
        </w:rPr>
        <w:t xml:space="preserve"> Cabrera Naquira</w:t>
      </w:r>
    </w:p>
    <w:p w14:paraId="7307AB74" w14:textId="6F32EA77"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Javier Martin Cadillo Alcantara</w:t>
      </w:r>
    </w:p>
    <w:p w14:paraId="0F59DB55" w14:textId="27570620"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87734A"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Armando</w:t>
      </w:r>
      <w:r w:rsidR="0087734A" w:rsidRPr="005D6206">
        <w:rPr>
          <w:rFonts w:asciiTheme="majorHAnsi" w:hAnsiTheme="majorHAnsi" w:cs="Arial"/>
          <w:spacing w:val="-2"/>
          <w:sz w:val="20"/>
          <w:szCs w:val="20"/>
          <w:lang w:val="es-ES"/>
        </w:rPr>
        <w:t xml:space="preserve"> Camargo Mendoza</w:t>
      </w:r>
    </w:p>
    <w:p w14:paraId="67A5F794" w14:textId="2BB60EAE"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Miguel Gregoria </w:t>
      </w:r>
      <w:r w:rsidR="00FD00C6" w:rsidRPr="005D6206">
        <w:rPr>
          <w:rFonts w:asciiTheme="majorHAnsi" w:hAnsiTheme="majorHAnsi" w:cs="Arial"/>
          <w:spacing w:val="-2"/>
          <w:sz w:val="20"/>
          <w:szCs w:val="20"/>
          <w:lang w:val="es-ES"/>
        </w:rPr>
        <w:t>Cárdenas</w:t>
      </w:r>
      <w:r w:rsidRPr="005D6206">
        <w:rPr>
          <w:rFonts w:asciiTheme="majorHAnsi" w:hAnsiTheme="majorHAnsi" w:cs="Arial"/>
          <w:spacing w:val="-2"/>
          <w:sz w:val="20"/>
          <w:szCs w:val="20"/>
          <w:lang w:val="es-ES"/>
        </w:rPr>
        <w:t xml:space="preserve"> Linan</w:t>
      </w:r>
    </w:p>
    <w:p w14:paraId="19439158" w14:textId="698B73B5"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Juan Alberto </w:t>
      </w:r>
      <w:r w:rsidR="00FD00C6" w:rsidRPr="005D6206">
        <w:rPr>
          <w:rFonts w:asciiTheme="majorHAnsi" w:hAnsiTheme="majorHAnsi" w:cs="Arial"/>
          <w:spacing w:val="-2"/>
          <w:sz w:val="20"/>
          <w:szCs w:val="20"/>
          <w:lang w:val="es-ES"/>
        </w:rPr>
        <w:t>Cárdenas</w:t>
      </w:r>
      <w:r w:rsidRPr="005D6206">
        <w:rPr>
          <w:rFonts w:asciiTheme="majorHAnsi" w:hAnsiTheme="majorHAnsi" w:cs="Arial"/>
          <w:spacing w:val="-2"/>
          <w:sz w:val="20"/>
          <w:szCs w:val="20"/>
          <w:lang w:val="es-ES"/>
        </w:rPr>
        <w:t xml:space="preserve"> Valderrama</w:t>
      </w:r>
    </w:p>
    <w:p w14:paraId="4395F541" w14:textId="1E7617C5"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Eddy Casaico Rivadenerya</w:t>
      </w:r>
    </w:p>
    <w:p w14:paraId="337AAAE5" w14:textId="0811A3BE"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María</w:t>
      </w:r>
      <w:r w:rsidR="0087734A" w:rsidRPr="005D6206">
        <w:rPr>
          <w:rFonts w:asciiTheme="majorHAnsi" w:hAnsiTheme="majorHAnsi" w:cs="Arial"/>
          <w:spacing w:val="-2"/>
          <w:sz w:val="20"/>
          <w:szCs w:val="20"/>
          <w:lang w:val="es-ES"/>
        </w:rPr>
        <w:t xml:space="preserve"> Enriqueta Castro Castro</w:t>
      </w:r>
    </w:p>
    <w:p w14:paraId="2A52CC04" w14:textId="301C764C"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Marco Antonio Chaupijulca Linares</w:t>
      </w:r>
    </w:p>
    <w:p w14:paraId="4EF31BFA" w14:textId="78DABC00"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Américo</w:t>
      </w:r>
      <w:r w:rsidR="0087734A"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Adrián</w:t>
      </w:r>
      <w:r w:rsidR="0087734A" w:rsidRPr="005D6206">
        <w:rPr>
          <w:rFonts w:asciiTheme="majorHAnsi" w:hAnsiTheme="majorHAnsi" w:cs="Arial"/>
          <w:spacing w:val="-2"/>
          <w:sz w:val="20"/>
          <w:szCs w:val="20"/>
          <w:lang w:val="es-ES"/>
        </w:rPr>
        <w:t xml:space="preserve"> Chirinos Velarde</w:t>
      </w:r>
    </w:p>
    <w:p w14:paraId="0B376244" w14:textId="1F621B4D"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87734A" w:rsidRPr="005D6206">
        <w:rPr>
          <w:rFonts w:asciiTheme="majorHAnsi" w:hAnsiTheme="majorHAnsi" w:cs="Arial"/>
          <w:spacing w:val="-2"/>
          <w:sz w:val="20"/>
          <w:szCs w:val="20"/>
          <w:lang w:val="es-ES"/>
        </w:rPr>
        <w:t xml:space="preserve"> Luis Cisneros Bendezu</w:t>
      </w:r>
    </w:p>
    <w:p w14:paraId="38605B13" w14:textId="72B38379"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Erick Renzo </w:t>
      </w:r>
      <w:r w:rsidR="00FD00C6" w:rsidRPr="005D6206">
        <w:rPr>
          <w:rFonts w:asciiTheme="majorHAnsi" w:hAnsiTheme="majorHAnsi" w:cs="Arial"/>
          <w:spacing w:val="-2"/>
          <w:sz w:val="20"/>
          <w:szCs w:val="20"/>
          <w:lang w:val="es-ES"/>
        </w:rPr>
        <w:t>Contreras</w:t>
      </w:r>
      <w:r w:rsidRPr="005D6206">
        <w:rPr>
          <w:rFonts w:asciiTheme="majorHAnsi" w:hAnsiTheme="majorHAnsi" w:cs="Arial"/>
          <w:spacing w:val="-2"/>
          <w:sz w:val="20"/>
          <w:szCs w:val="20"/>
          <w:lang w:val="es-ES"/>
        </w:rPr>
        <w:t xml:space="preserve"> </w:t>
      </w:r>
      <w:r w:rsidR="00FD00C6" w:rsidRPr="005D6206">
        <w:rPr>
          <w:rFonts w:asciiTheme="majorHAnsi" w:hAnsiTheme="majorHAnsi" w:cs="Arial"/>
          <w:spacing w:val="-2"/>
          <w:sz w:val="20"/>
          <w:szCs w:val="20"/>
          <w:lang w:val="es-ES"/>
        </w:rPr>
        <w:t>Núñez</w:t>
      </w:r>
    </w:p>
    <w:p w14:paraId="476BBB1E" w14:textId="1F028B0C"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Ricardo </w:t>
      </w:r>
      <w:r w:rsidR="00FD00C6" w:rsidRPr="005D6206">
        <w:rPr>
          <w:rFonts w:asciiTheme="majorHAnsi" w:hAnsiTheme="majorHAnsi" w:cs="Arial"/>
          <w:spacing w:val="-2"/>
          <w:sz w:val="20"/>
          <w:szCs w:val="20"/>
          <w:lang w:val="es-ES"/>
        </w:rPr>
        <w:t>Córdova</w:t>
      </w:r>
      <w:r w:rsidRPr="005D6206">
        <w:rPr>
          <w:rFonts w:asciiTheme="majorHAnsi" w:hAnsiTheme="majorHAnsi" w:cs="Arial"/>
          <w:spacing w:val="-2"/>
          <w:sz w:val="20"/>
          <w:szCs w:val="20"/>
          <w:lang w:val="es-ES"/>
        </w:rPr>
        <w:t xml:space="preserve"> </w:t>
      </w:r>
      <w:r w:rsidR="00FD00C6" w:rsidRPr="005D6206">
        <w:rPr>
          <w:rFonts w:asciiTheme="majorHAnsi" w:hAnsiTheme="majorHAnsi" w:cs="Arial"/>
          <w:spacing w:val="-2"/>
          <w:sz w:val="20"/>
          <w:szCs w:val="20"/>
          <w:lang w:val="es-ES"/>
        </w:rPr>
        <w:t>García</w:t>
      </w:r>
    </w:p>
    <w:p w14:paraId="29BC3FF1" w14:textId="6722E4F1"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Jorge Antonio </w:t>
      </w:r>
      <w:r w:rsidR="00FD00C6" w:rsidRPr="005D6206">
        <w:rPr>
          <w:rFonts w:asciiTheme="majorHAnsi" w:hAnsiTheme="majorHAnsi" w:cs="Arial"/>
          <w:spacing w:val="-2"/>
          <w:sz w:val="20"/>
          <w:szCs w:val="20"/>
          <w:lang w:val="es-ES"/>
        </w:rPr>
        <w:t>Córdova</w:t>
      </w:r>
      <w:r w:rsidRPr="005D6206">
        <w:rPr>
          <w:rFonts w:asciiTheme="majorHAnsi" w:hAnsiTheme="majorHAnsi" w:cs="Arial"/>
          <w:spacing w:val="-2"/>
          <w:sz w:val="20"/>
          <w:szCs w:val="20"/>
          <w:lang w:val="es-ES"/>
        </w:rPr>
        <w:t xml:space="preserve"> Ponce</w:t>
      </w:r>
    </w:p>
    <w:p w14:paraId="28E79A37" w14:textId="31858C79"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Carlos Alberto Cotrina Tamayo</w:t>
      </w:r>
    </w:p>
    <w:p w14:paraId="6B6ADED6" w14:textId="3518D1C0"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Carmen Helena Cubas </w:t>
      </w:r>
    </w:p>
    <w:p w14:paraId="14338A1F" w14:textId="38D66C93"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Viviana Elizabeth Delgado Mendoza</w:t>
      </w:r>
    </w:p>
    <w:p w14:paraId="151004F8" w14:textId="40D2FA1C"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German Delgado Mendoza</w:t>
      </w:r>
    </w:p>
    <w:p w14:paraId="1F8950E4" w14:textId="06141BF8" w:rsidR="0087734A"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87734A" w:rsidRPr="005D6206">
        <w:rPr>
          <w:rFonts w:asciiTheme="majorHAnsi" w:hAnsiTheme="majorHAnsi" w:cs="Arial"/>
          <w:spacing w:val="-2"/>
          <w:sz w:val="20"/>
          <w:szCs w:val="20"/>
          <w:lang w:val="es-ES"/>
        </w:rPr>
        <w:t xml:space="preserve"> del Carmen Diez Mayrena</w:t>
      </w:r>
    </w:p>
    <w:p w14:paraId="4F4C3ED0" w14:textId="24B7FADF" w:rsidR="0087734A" w:rsidRPr="005D6206" w:rsidRDefault="0087734A"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Omega Endara </w:t>
      </w:r>
      <w:r w:rsidR="00FD00C6" w:rsidRPr="005D6206">
        <w:rPr>
          <w:rFonts w:asciiTheme="majorHAnsi" w:hAnsiTheme="majorHAnsi" w:cs="Arial"/>
          <w:spacing w:val="-2"/>
          <w:sz w:val="20"/>
          <w:szCs w:val="20"/>
          <w:lang w:val="es-ES"/>
        </w:rPr>
        <w:t>Sánchez</w:t>
      </w:r>
    </w:p>
    <w:p w14:paraId="5A19BCEB" w14:textId="68F28FB4" w:rsidR="0087734A"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Máximo</w:t>
      </w:r>
      <w:r w:rsidR="0087734A" w:rsidRPr="005D6206">
        <w:rPr>
          <w:rFonts w:asciiTheme="majorHAnsi" w:hAnsiTheme="majorHAnsi" w:cs="Arial"/>
          <w:spacing w:val="-2"/>
          <w:sz w:val="20"/>
          <w:szCs w:val="20"/>
          <w:lang w:val="es-ES"/>
        </w:rPr>
        <w:t xml:space="preserve"> Carlos Escate Morales</w:t>
      </w:r>
    </w:p>
    <w:p w14:paraId="2A135D24" w14:textId="2281ED89" w:rsidR="0087734A"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Máximo</w:t>
      </w:r>
      <w:r w:rsidR="0087734A" w:rsidRPr="005D6206">
        <w:rPr>
          <w:rFonts w:asciiTheme="majorHAnsi" w:hAnsiTheme="majorHAnsi" w:cs="Arial"/>
          <w:spacing w:val="-2"/>
          <w:sz w:val="20"/>
          <w:szCs w:val="20"/>
          <w:lang w:val="es-ES"/>
        </w:rPr>
        <w:t xml:space="preserve"> Abel </w:t>
      </w:r>
      <w:r w:rsidRPr="005D6206">
        <w:rPr>
          <w:rFonts w:asciiTheme="majorHAnsi" w:hAnsiTheme="majorHAnsi" w:cs="Arial"/>
          <w:spacing w:val="-2"/>
          <w:sz w:val="20"/>
          <w:szCs w:val="20"/>
          <w:lang w:val="es-ES"/>
        </w:rPr>
        <w:t>Faucheux Salas</w:t>
      </w:r>
    </w:p>
    <w:p w14:paraId="68986137" w14:textId="7473A7B2" w:rsidR="0087734A"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Marco Antonio Figueroa Navarro</w:t>
      </w:r>
    </w:p>
    <w:p w14:paraId="13F554CC" w14:textId="01D83765"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Eduardo </w:t>
      </w:r>
      <w:r w:rsidR="00FD00C6" w:rsidRPr="005D6206">
        <w:rPr>
          <w:rFonts w:asciiTheme="majorHAnsi" w:hAnsiTheme="majorHAnsi" w:cs="Arial"/>
          <w:spacing w:val="-2"/>
          <w:sz w:val="20"/>
          <w:szCs w:val="20"/>
          <w:lang w:val="es-ES"/>
        </w:rPr>
        <w:t>Rodolfo</w:t>
      </w:r>
      <w:r w:rsidRPr="005D6206">
        <w:rPr>
          <w:rFonts w:asciiTheme="majorHAnsi" w:hAnsiTheme="majorHAnsi" w:cs="Arial"/>
          <w:spacing w:val="-2"/>
          <w:sz w:val="20"/>
          <w:szCs w:val="20"/>
          <w:lang w:val="es-ES"/>
        </w:rPr>
        <w:t xml:space="preserve"> Fuster Herrera</w:t>
      </w:r>
    </w:p>
    <w:p w14:paraId="154C25EB" w14:textId="21623575"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Gladys Patricia Gamio Lucero</w:t>
      </w:r>
    </w:p>
    <w:p w14:paraId="4FA99149" w14:textId="44563133" w:rsidR="001003A0"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1003A0" w:rsidRPr="005D6206">
        <w:rPr>
          <w:rFonts w:asciiTheme="majorHAnsi" w:hAnsiTheme="majorHAnsi" w:cs="Arial"/>
          <w:spacing w:val="-2"/>
          <w:sz w:val="20"/>
          <w:szCs w:val="20"/>
          <w:lang w:val="es-ES"/>
        </w:rPr>
        <w:t xml:space="preserve"> Isidro </w:t>
      </w:r>
      <w:r w:rsidRPr="005D6206">
        <w:rPr>
          <w:rFonts w:asciiTheme="majorHAnsi" w:hAnsiTheme="majorHAnsi" w:cs="Arial"/>
          <w:spacing w:val="-2"/>
          <w:sz w:val="20"/>
          <w:szCs w:val="20"/>
          <w:lang w:val="es-ES"/>
        </w:rPr>
        <w:t>García</w:t>
      </w:r>
      <w:r w:rsidR="001003A0" w:rsidRPr="005D6206">
        <w:rPr>
          <w:rFonts w:asciiTheme="majorHAnsi" w:hAnsiTheme="majorHAnsi" w:cs="Arial"/>
          <w:spacing w:val="-2"/>
          <w:sz w:val="20"/>
          <w:szCs w:val="20"/>
          <w:lang w:val="es-ES"/>
        </w:rPr>
        <w:t xml:space="preserve"> Gonza</w:t>
      </w:r>
    </w:p>
    <w:p w14:paraId="061C697D" w14:textId="55C0DF52"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Eloy </w:t>
      </w:r>
      <w:r w:rsidR="005D6206" w:rsidRPr="005D6206">
        <w:rPr>
          <w:rFonts w:asciiTheme="majorHAnsi" w:hAnsiTheme="majorHAnsi" w:cs="Arial"/>
          <w:spacing w:val="-2"/>
          <w:sz w:val="20"/>
          <w:szCs w:val="20"/>
          <w:lang w:val="es-ES"/>
        </w:rPr>
        <w:t>Benjamín</w:t>
      </w:r>
      <w:r w:rsidRPr="005D6206">
        <w:rPr>
          <w:rFonts w:asciiTheme="majorHAnsi" w:hAnsiTheme="majorHAnsi" w:cs="Arial"/>
          <w:spacing w:val="-2"/>
          <w:sz w:val="20"/>
          <w:szCs w:val="20"/>
          <w:lang w:val="es-ES"/>
        </w:rPr>
        <w:t xml:space="preserve"> Gestro Alatrista</w:t>
      </w:r>
    </w:p>
    <w:p w14:paraId="09664139" w14:textId="33D35EF7"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Jhon Henry </w:t>
      </w:r>
      <w:r w:rsidR="00FD00C6" w:rsidRPr="005D6206">
        <w:rPr>
          <w:rFonts w:asciiTheme="majorHAnsi" w:hAnsiTheme="majorHAnsi" w:cs="Arial"/>
          <w:spacing w:val="-2"/>
          <w:sz w:val="20"/>
          <w:szCs w:val="20"/>
          <w:lang w:val="es-ES"/>
        </w:rPr>
        <w:t>González</w:t>
      </w:r>
      <w:r w:rsidRPr="005D6206">
        <w:rPr>
          <w:rFonts w:asciiTheme="majorHAnsi" w:hAnsiTheme="majorHAnsi" w:cs="Arial"/>
          <w:spacing w:val="-2"/>
          <w:sz w:val="20"/>
          <w:szCs w:val="20"/>
          <w:lang w:val="es-ES"/>
        </w:rPr>
        <w:t xml:space="preserve"> Oremeno</w:t>
      </w:r>
    </w:p>
    <w:p w14:paraId="069DE738" w14:textId="110D1DEE"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Julio Cesar Gonzales Oremeno</w:t>
      </w:r>
    </w:p>
    <w:p w14:paraId="04C82C7C" w14:textId="2B7B6187" w:rsidR="001003A0"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Saúl</w:t>
      </w:r>
      <w:r w:rsidR="001003A0" w:rsidRPr="005D6206">
        <w:rPr>
          <w:rFonts w:asciiTheme="majorHAnsi" w:hAnsiTheme="majorHAnsi" w:cs="Arial"/>
          <w:spacing w:val="-2"/>
          <w:sz w:val="20"/>
          <w:szCs w:val="20"/>
          <w:lang w:val="es-ES"/>
        </w:rPr>
        <w:t xml:space="preserve"> Waldo Gonzales </w:t>
      </w:r>
      <w:r w:rsidRPr="005D6206">
        <w:rPr>
          <w:rFonts w:asciiTheme="majorHAnsi" w:hAnsiTheme="majorHAnsi" w:cs="Arial"/>
          <w:spacing w:val="-2"/>
          <w:sz w:val="20"/>
          <w:szCs w:val="20"/>
          <w:lang w:val="es-ES"/>
        </w:rPr>
        <w:t>Simón</w:t>
      </w:r>
    </w:p>
    <w:p w14:paraId="4CECB2D4" w14:textId="760C3AC6"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Arnold Magno Guerra </w:t>
      </w:r>
      <w:r w:rsidR="00FD00C6" w:rsidRPr="005D6206">
        <w:rPr>
          <w:rFonts w:asciiTheme="majorHAnsi" w:hAnsiTheme="majorHAnsi" w:cs="Arial"/>
          <w:spacing w:val="-2"/>
          <w:sz w:val="20"/>
          <w:szCs w:val="20"/>
          <w:lang w:val="es-ES"/>
        </w:rPr>
        <w:t>Marroquín</w:t>
      </w:r>
    </w:p>
    <w:p w14:paraId="2E907256" w14:textId="1BCBE4C3"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Silvio Ernesto Guerrero Avalos</w:t>
      </w:r>
    </w:p>
    <w:p w14:paraId="7813DE22" w14:textId="1BB1C879"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Ce</w:t>
      </w:r>
      <w:r w:rsidR="00FD00C6">
        <w:rPr>
          <w:rFonts w:asciiTheme="majorHAnsi" w:hAnsiTheme="majorHAnsi" w:cs="Arial"/>
          <w:spacing w:val="-2"/>
          <w:sz w:val="20"/>
          <w:szCs w:val="20"/>
          <w:lang w:val="es-ES"/>
        </w:rPr>
        <w:t>s</w:t>
      </w:r>
      <w:r w:rsidRPr="005D6206">
        <w:rPr>
          <w:rFonts w:asciiTheme="majorHAnsi" w:hAnsiTheme="majorHAnsi" w:cs="Arial"/>
          <w:spacing w:val="-2"/>
          <w:sz w:val="20"/>
          <w:szCs w:val="20"/>
          <w:lang w:val="es-ES"/>
        </w:rPr>
        <w:t xml:space="preserve">ar Humberto </w:t>
      </w:r>
      <w:r w:rsidR="00FD00C6" w:rsidRPr="005D6206">
        <w:rPr>
          <w:rFonts w:asciiTheme="majorHAnsi" w:hAnsiTheme="majorHAnsi" w:cs="Arial"/>
          <w:spacing w:val="-2"/>
          <w:sz w:val="20"/>
          <w:szCs w:val="20"/>
          <w:lang w:val="es-ES"/>
        </w:rPr>
        <w:t>Gutiérrez</w:t>
      </w:r>
      <w:r w:rsidRPr="005D6206">
        <w:rPr>
          <w:rFonts w:asciiTheme="majorHAnsi" w:hAnsiTheme="majorHAnsi" w:cs="Arial"/>
          <w:spacing w:val="-2"/>
          <w:sz w:val="20"/>
          <w:szCs w:val="20"/>
          <w:lang w:val="es-ES"/>
        </w:rPr>
        <w:t xml:space="preserve"> Choquehuanca</w:t>
      </w:r>
    </w:p>
    <w:p w14:paraId="55FF453B" w14:textId="49B66A08"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Cesar Augusto </w:t>
      </w:r>
      <w:r w:rsidR="00FD00C6" w:rsidRPr="005D6206">
        <w:rPr>
          <w:rFonts w:asciiTheme="majorHAnsi" w:hAnsiTheme="majorHAnsi" w:cs="Arial"/>
          <w:spacing w:val="-2"/>
          <w:sz w:val="20"/>
          <w:szCs w:val="20"/>
          <w:lang w:val="es-ES"/>
        </w:rPr>
        <w:t>Hernández</w:t>
      </w:r>
      <w:r w:rsidRPr="005D6206">
        <w:rPr>
          <w:rFonts w:asciiTheme="majorHAnsi" w:hAnsiTheme="majorHAnsi" w:cs="Arial"/>
          <w:spacing w:val="-2"/>
          <w:sz w:val="20"/>
          <w:szCs w:val="20"/>
          <w:lang w:val="es-ES"/>
        </w:rPr>
        <w:t xml:space="preserve"> </w:t>
      </w:r>
      <w:r w:rsidR="00FD00C6" w:rsidRPr="005D6206">
        <w:rPr>
          <w:rFonts w:asciiTheme="majorHAnsi" w:hAnsiTheme="majorHAnsi" w:cs="Arial"/>
          <w:spacing w:val="-2"/>
          <w:sz w:val="20"/>
          <w:szCs w:val="20"/>
          <w:lang w:val="es-ES"/>
        </w:rPr>
        <w:t>Rodríguez</w:t>
      </w:r>
    </w:p>
    <w:p w14:paraId="3B0C8E08" w14:textId="25D21AB8"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Rolando Anglen Huamna </w:t>
      </w:r>
      <w:r w:rsidR="00FD00C6" w:rsidRPr="005D6206">
        <w:rPr>
          <w:rFonts w:asciiTheme="majorHAnsi" w:hAnsiTheme="majorHAnsi" w:cs="Arial"/>
          <w:spacing w:val="-2"/>
          <w:sz w:val="20"/>
          <w:szCs w:val="20"/>
          <w:lang w:val="es-ES"/>
        </w:rPr>
        <w:t>Vásquez</w:t>
      </w:r>
    </w:p>
    <w:p w14:paraId="2F9BE4D1" w14:textId="7F717929"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Juan Bautista Laura Collanqui</w:t>
      </w:r>
    </w:p>
    <w:p w14:paraId="3F421141" w14:textId="31AA9E40"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Jorge Enrique Llanos Rojas</w:t>
      </w:r>
    </w:p>
    <w:p w14:paraId="7985CC39" w14:textId="7A0236F1"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lastRenderedPageBreak/>
        <w:t>Juan de la Cruz Luis Jacinto</w:t>
      </w:r>
    </w:p>
    <w:p w14:paraId="697C4D0D" w14:textId="2A1E5E41"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Yoni Jorge Luana </w:t>
      </w:r>
      <w:r w:rsidR="00FD00C6" w:rsidRPr="005D6206">
        <w:rPr>
          <w:rFonts w:asciiTheme="majorHAnsi" w:hAnsiTheme="majorHAnsi" w:cs="Arial"/>
          <w:spacing w:val="-2"/>
          <w:sz w:val="20"/>
          <w:szCs w:val="20"/>
          <w:lang w:val="es-ES"/>
        </w:rPr>
        <w:t>López</w:t>
      </w:r>
    </w:p>
    <w:p w14:paraId="5B1208EA" w14:textId="272EDBA9"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Rolando Silvio Marcos Palencia</w:t>
      </w:r>
    </w:p>
    <w:p w14:paraId="4BADBAF6" w14:textId="7D2CAD92" w:rsidR="001003A0"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1003A0" w:rsidRPr="005D6206">
        <w:rPr>
          <w:rFonts w:asciiTheme="majorHAnsi" w:hAnsiTheme="majorHAnsi" w:cs="Arial"/>
          <w:spacing w:val="-2"/>
          <w:sz w:val="20"/>
          <w:szCs w:val="20"/>
          <w:lang w:val="es-ES"/>
        </w:rPr>
        <w:t xml:space="preserve"> Benigno </w:t>
      </w:r>
      <w:r w:rsidRPr="005D6206">
        <w:rPr>
          <w:rFonts w:asciiTheme="majorHAnsi" w:hAnsiTheme="majorHAnsi" w:cs="Arial"/>
          <w:spacing w:val="-2"/>
          <w:sz w:val="20"/>
          <w:szCs w:val="20"/>
          <w:lang w:val="es-ES"/>
        </w:rPr>
        <w:t>Marín</w:t>
      </w:r>
      <w:r w:rsidR="001003A0" w:rsidRPr="005D6206">
        <w:rPr>
          <w:rFonts w:asciiTheme="majorHAnsi" w:hAnsiTheme="majorHAnsi" w:cs="Arial"/>
          <w:spacing w:val="-2"/>
          <w:sz w:val="20"/>
          <w:szCs w:val="20"/>
          <w:lang w:val="es-ES"/>
        </w:rPr>
        <w:t xml:space="preserve"> Abanto</w:t>
      </w:r>
    </w:p>
    <w:p w14:paraId="7340CDEF" w14:textId="20C03C73"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Raquel Hermelinda Medianero Carpio</w:t>
      </w:r>
    </w:p>
    <w:p w14:paraId="09DBD27C" w14:textId="287F6C93"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Guillermo </w:t>
      </w:r>
      <w:r w:rsidR="00FD00C6" w:rsidRPr="005D6206">
        <w:rPr>
          <w:rFonts w:asciiTheme="majorHAnsi" w:hAnsiTheme="majorHAnsi" w:cs="Arial"/>
          <w:spacing w:val="-2"/>
          <w:sz w:val="20"/>
          <w:szCs w:val="20"/>
          <w:lang w:val="es-ES"/>
        </w:rPr>
        <w:t>Julián</w:t>
      </w:r>
      <w:r w:rsidRPr="005D6206">
        <w:rPr>
          <w:rFonts w:asciiTheme="majorHAnsi" w:hAnsiTheme="majorHAnsi" w:cs="Arial"/>
          <w:spacing w:val="-2"/>
          <w:sz w:val="20"/>
          <w:szCs w:val="20"/>
          <w:lang w:val="es-ES"/>
        </w:rPr>
        <w:t xml:space="preserve"> Minaya </w:t>
      </w:r>
      <w:r w:rsidR="00FD00C6" w:rsidRPr="005D6206">
        <w:rPr>
          <w:rFonts w:asciiTheme="majorHAnsi" w:hAnsiTheme="majorHAnsi" w:cs="Arial"/>
          <w:spacing w:val="-2"/>
          <w:sz w:val="20"/>
          <w:szCs w:val="20"/>
          <w:lang w:val="es-ES"/>
        </w:rPr>
        <w:t>Rodríguez</w:t>
      </w:r>
    </w:p>
    <w:p w14:paraId="43DD63B2" w14:textId="0E41A678"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Luis Antonio Murillo Maldonado</w:t>
      </w:r>
    </w:p>
    <w:p w14:paraId="079BF894" w14:textId="14E75C9B"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Carmen Edda </w:t>
      </w:r>
      <w:r w:rsidR="00FD00C6" w:rsidRPr="005D6206">
        <w:rPr>
          <w:rFonts w:asciiTheme="majorHAnsi" w:hAnsiTheme="majorHAnsi" w:cs="Arial"/>
          <w:spacing w:val="-2"/>
          <w:sz w:val="20"/>
          <w:szCs w:val="20"/>
          <w:lang w:val="es-ES"/>
        </w:rPr>
        <w:t>Muñoz</w:t>
      </w:r>
      <w:r w:rsidRPr="005D6206">
        <w:rPr>
          <w:rFonts w:asciiTheme="majorHAnsi" w:hAnsiTheme="majorHAnsi" w:cs="Arial"/>
          <w:spacing w:val="-2"/>
          <w:sz w:val="20"/>
          <w:szCs w:val="20"/>
          <w:lang w:val="es-ES"/>
        </w:rPr>
        <w:t xml:space="preserve"> Aycho</w:t>
      </w:r>
    </w:p>
    <w:p w14:paraId="5D3181B0" w14:textId="61F03527"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Julio </w:t>
      </w:r>
      <w:r w:rsidR="00FD00C6" w:rsidRPr="005D6206">
        <w:rPr>
          <w:rFonts w:asciiTheme="majorHAnsi" w:hAnsiTheme="majorHAnsi" w:cs="Arial"/>
          <w:spacing w:val="-2"/>
          <w:sz w:val="20"/>
          <w:szCs w:val="20"/>
          <w:lang w:val="es-ES"/>
        </w:rPr>
        <w:t>Ángel</w:t>
      </w:r>
      <w:r w:rsidRPr="005D6206">
        <w:rPr>
          <w:rFonts w:asciiTheme="majorHAnsi" w:hAnsiTheme="majorHAnsi" w:cs="Arial"/>
          <w:spacing w:val="-2"/>
          <w:sz w:val="20"/>
          <w:szCs w:val="20"/>
          <w:lang w:val="es-ES"/>
        </w:rPr>
        <w:t xml:space="preserve"> Oropeza </w:t>
      </w:r>
      <w:r w:rsidR="00FD00C6" w:rsidRPr="005D6206">
        <w:rPr>
          <w:rFonts w:asciiTheme="majorHAnsi" w:hAnsiTheme="majorHAnsi" w:cs="Arial"/>
          <w:spacing w:val="-2"/>
          <w:sz w:val="20"/>
          <w:szCs w:val="20"/>
          <w:lang w:val="es-ES"/>
        </w:rPr>
        <w:t>Oropeza</w:t>
      </w:r>
    </w:p>
    <w:p w14:paraId="3B1AE706" w14:textId="597C7269" w:rsidR="001003A0" w:rsidRPr="005D6206" w:rsidRDefault="00FD00C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Adrián</w:t>
      </w:r>
      <w:r w:rsidR="001003A0"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Jesús</w:t>
      </w:r>
      <w:r w:rsidR="001003A0" w:rsidRPr="005D6206">
        <w:rPr>
          <w:rFonts w:asciiTheme="majorHAnsi" w:hAnsiTheme="majorHAnsi" w:cs="Arial"/>
          <w:spacing w:val="-2"/>
          <w:sz w:val="20"/>
          <w:szCs w:val="20"/>
          <w:lang w:val="es-ES"/>
        </w:rPr>
        <w:t xml:space="preserve"> Ortiz Ramos</w:t>
      </w:r>
    </w:p>
    <w:p w14:paraId="7A7D40DC" w14:textId="5715CF37"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Wilfredo Ernesto Pacora Napuri</w:t>
      </w:r>
    </w:p>
    <w:p w14:paraId="7ABB456C" w14:textId="56AA8A36" w:rsidR="001003A0" w:rsidRPr="005D6206" w:rsidRDefault="001003A0"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Alfredo Florentino Palomino Cabezas</w:t>
      </w:r>
    </w:p>
    <w:p w14:paraId="67851DB8" w14:textId="5575C20A" w:rsidR="001003A0"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Henry Yuri Palza Cuevas</w:t>
      </w:r>
    </w:p>
    <w:p w14:paraId="21A1D99E" w14:textId="0245BFA4"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Alejandro </w:t>
      </w:r>
      <w:r w:rsidR="00FD00C6" w:rsidRPr="005D6206">
        <w:rPr>
          <w:rFonts w:asciiTheme="majorHAnsi" w:hAnsiTheme="majorHAnsi" w:cs="Arial"/>
          <w:spacing w:val="-2"/>
          <w:sz w:val="20"/>
          <w:szCs w:val="20"/>
          <w:lang w:val="es-ES"/>
        </w:rPr>
        <w:t>Fabricio</w:t>
      </w:r>
      <w:r w:rsidRPr="005D6206">
        <w:rPr>
          <w:rFonts w:asciiTheme="majorHAnsi" w:hAnsiTheme="majorHAnsi" w:cs="Arial"/>
          <w:spacing w:val="-2"/>
          <w:sz w:val="20"/>
          <w:szCs w:val="20"/>
          <w:lang w:val="es-ES"/>
        </w:rPr>
        <w:t xml:space="preserve"> Patri Pena</w:t>
      </w:r>
    </w:p>
    <w:p w14:paraId="43089D75" w14:textId="45BC05D9"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Milagros Ponce de </w:t>
      </w:r>
      <w:r w:rsidR="00FD00C6" w:rsidRPr="005D6206">
        <w:rPr>
          <w:rFonts w:asciiTheme="majorHAnsi" w:hAnsiTheme="majorHAnsi" w:cs="Arial"/>
          <w:spacing w:val="-2"/>
          <w:sz w:val="20"/>
          <w:szCs w:val="20"/>
          <w:lang w:val="es-ES"/>
        </w:rPr>
        <w:t>León</w:t>
      </w:r>
      <w:r w:rsidRPr="005D6206">
        <w:rPr>
          <w:rFonts w:asciiTheme="majorHAnsi" w:hAnsiTheme="majorHAnsi" w:cs="Arial"/>
          <w:spacing w:val="-2"/>
          <w:sz w:val="20"/>
          <w:szCs w:val="20"/>
          <w:lang w:val="es-ES"/>
        </w:rPr>
        <w:t xml:space="preserve"> Portocarrero</w:t>
      </w:r>
    </w:p>
    <w:p w14:paraId="569A2AAA" w14:textId="426A7F06"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Juan </w:t>
      </w:r>
      <w:r w:rsidR="005D6206" w:rsidRPr="005D6206">
        <w:rPr>
          <w:rFonts w:asciiTheme="majorHAnsi" w:hAnsiTheme="majorHAnsi" w:cs="Arial"/>
          <w:spacing w:val="-2"/>
          <w:sz w:val="20"/>
          <w:szCs w:val="20"/>
          <w:lang w:val="es-ES"/>
        </w:rPr>
        <w:t>José</w:t>
      </w:r>
      <w:r w:rsidRPr="005D6206">
        <w:rPr>
          <w:rFonts w:asciiTheme="majorHAnsi" w:hAnsiTheme="majorHAnsi" w:cs="Arial"/>
          <w:spacing w:val="-2"/>
          <w:sz w:val="20"/>
          <w:szCs w:val="20"/>
          <w:lang w:val="es-ES"/>
        </w:rPr>
        <w:t xml:space="preserve"> Ponce Vergara</w:t>
      </w:r>
    </w:p>
    <w:p w14:paraId="235D1ABB" w14:textId="657008FC"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Nelly Milagros Quevedo Dioses</w:t>
      </w:r>
    </w:p>
    <w:p w14:paraId="161597D3" w14:textId="17B1BCD1"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Roberto </w:t>
      </w:r>
      <w:r w:rsidR="005D6206" w:rsidRPr="005D6206">
        <w:rPr>
          <w:rFonts w:asciiTheme="majorHAnsi" w:hAnsiTheme="majorHAnsi" w:cs="Arial"/>
          <w:spacing w:val="-2"/>
          <w:sz w:val="20"/>
          <w:szCs w:val="20"/>
          <w:lang w:val="es-ES"/>
        </w:rPr>
        <w:t>Carlos</w:t>
      </w:r>
      <w:r w:rsidRPr="005D6206">
        <w:rPr>
          <w:rFonts w:asciiTheme="majorHAnsi" w:hAnsiTheme="majorHAnsi" w:cs="Arial"/>
          <w:spacing w:val="-2"/>
          <w:sz w:val="20"/>
          <w:szCs w:val="20"/>
          <w:lang w:val="es-ES"/>
        </w:rPr>
        <w:t xml:space="preserve"> Quispe </w:t>
      </w:r>
      <w:r w:rsidR="005D6206" w:rsidRPr="005D6206">
        <w:rPr>
          <w:rFonts w:asciiTheme="majorHAnsi" w:hAnsiTheme="majorHAnsi" w:cs="Arial"/>
          <w:spacing w:val="-2"/>
          <w:sz w:val="20"/>
          <w:szCs w:val="20"/>
          <w:lang w:val="es-ES"/>
        </w:rPr>
        <w:t>Ramírez</w:t>
      </w:r>
    </w:p>
    <w:p w14:paraId="1584E622" w14:textId="77184AAF"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Julio </w:t>
      </w:r>
      <w:r w:rsidR="005D6206" w:rsidRPr="005D6206">
        <w:rPr>
          <w:rFonts w:asciiTheme="majorHAnsi" w:hAnsiTheme="majorHAnsi" w:cs="Arial"/>
          <w:spacing w:val="-2"/>
          <w:sz w:val="20"/>
          <w:szCs w:val="20"/>
          <w:lang w:val="es-ES"/>
        </w:rPr>
        <w:t>Cesar</w:t>
      </w:r>
      <w:r w:rsidRPr="005D6206">
        <w:rPr>
          <w:rFonts w:asciiTheme="majorHAnsi" w:hAnsiTheme="majorHAnsi" w:cs="Arial"/>
          <w:spacing w:val="-2"/>
          <w:sz w:val="20"/>
          <w:szCs w:val="20"/>
          <w:lang w:val="es-ES"/>
        </w:rPr>
        <w:t xml:space="preserve"> </w:t>
      </w:r>
      <w:r w:rsidR="005D6206" w:rsidRPr="005D6206">
        <w:rPr>
          <w:rFonts w:asciiTheme="majorHAnsi" w:hAnsiTheme="majorHAnsi" w:cs="Arial"/>
          <w:spacing w:val="-2"/>
          <w:sz w:val="20"/>
          <w:szCs w:val="20"/>
          <w:lang w:val="es-ES"/>
        </w:rPr>
        <w:t>Ramírez</w:t>
      </w:r>
      <w:r w:rsidRPr="005D6206">
        <w:rPr>
          <w:rFonts w:asciiTheme="majorHAnsi" w:hAnsiTheme="majorHAnsi" w:cs="Arial"/>
          <w:spacing w:val="-2"/>
          <w:sz w:val="20"/>
          <w:szCs w:val="20"/>
          <w:lang w:val="es-ES"/>
        </w:rPr>
        <w:t xml:space="preserve"> Zavala</w:t>
      </w:r>
    </w:p>
    <w:p w14:paraId="44AEA8B3" w14:textId="045C2ED6" w:rsidR="00AF35AF"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AF35AF" w:rsidRPr="005D6206">
        <w:rPr>
          <w:rFonts w:asciiTheme="majorHAnsi" w:hAnsiTheme="majorHAnsi" w:cs="Arial"/>
          <w:spacing w:val="-2"/>
          <w:sz w:val="20"/>
          <w:szCs w:val="20"/>
          <w:lang w:val="es-ES"/>
        </w:rPr>
        <w:t xml:space="preserve"> </w:t>
      </w:r>
      <w:r w:rsidR="00FD00C6" w:rsidRPr="005D6206">
        <w:rPr>
          <w:rFonts w:asciiTheme="majorHAnsi" w:hAnsiTheme="majorHAnsi" w:cs="Arial"/>
          <w:spacing w:val="-2"/>
          <w:sz w:val="20"/>
          <w:szCs w:val="20"/>
          <w:lang w:val="es-ES"/>
        </w:rPr>
        <w:t>Arístides</w:t>
      </w:r>
      <w:r w:rsidR="00AF35AF" w:rsidRPr="005D6206">
        <w:rPr>
          <w:rFonts w:asciiTheme="majorHAnsi" w:hAnsiTheme="majorHAnsi" w:cs="Arial"/>
          <w:spacing w:val="-2"/>
          <w:sz w:val="20"/>
          <w:szCs w:val="20"/>
          <w:lang w:val="es-ES"/>
        </w:rPr>
        <w:t xml:space="preserve"> Ramos </w:t>
      </w:r>
      <w:r w:rsidRPr="005D6206">
        <w:rPr>
          <w:rFonts w:asciiTheme="majorHAnsi" w:hAnsiTheme="majorHAnsi" w:cs="Arial"/>
          <w:spacing w:val="-2"/>
          <w:sz w:val="20"/>
          <w:szCs w:val="20"/>
          <w:lang w:val="es-ES"/>
        </w:rPr>
        <w:t>Aragón</w:t>
      </w:r>
    </w:p>
    <w:p w14:paraId="388BB172" w14:textId="23A502BE"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Israel Humberto Rezaba Fuentes</w:t>
      </w:r>
    </w:p>
    <w:p w14:paraId="0C66F650" w14:textId="5A27A3D4"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Sergio Rivera Espinoza</w:t>
      </w:r>
    </w:p>
    <w:p w14:paraId="3DC4E883" w14:textId="07008723"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Oscar Rivera Salazar</w:t>
      </w:r>
    </w:p>
    <w:p w14:paraId="3A4CF15A" w14:textId="323EBC0F" w:rsidR="00AF35AF" w:rsidRPr="005D6206" w:rsidRDefault="00AF35AF"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Edgar Santiago </w:t>
      </w:r>
      <w:r w:rsidR="005D6206" w:rsidRPr="005D6206">
        <w:rPr>
          <w:rFonts w:asciiTheme="majorHAnsi" w:hAnsiTheme="majorHAnsi" w:cs="Arial"/>
          <w:spacing w:val="-2"/>
          <w:sz w:val="20"/>
          <w:szCs w:val="20"/>
          <w:lang w:val="es-ES"/>
        </w:rPr>
        <w:t>Rodríguez</w:t>
      </w:r>
      <w:r w:rsidRPr="005D6206">
        <w:rPr>
          <w:rFonts w:asciiTheme="majorHAnsi" w:hAnsiTheme="majorHAnsi" w:cs="Arial"/>
          <w:spacing w:val="-2"/>
          <w:sz w:val="20"/>
          <w:szCs w:val="20"/>
          <w:lang w:val="es-ES"/>
        </w:rPr>
        <w:t xml:space="preserve"> Arias</w:t>
      </w:r>
    </w:p>
    <w:p w14:paraId="7DE9B2DA" w14:textId="0E8D06ED" w:rsidR="00AF35AF"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José</w:t>
      </w:r>
      <w:r w:rsidR="00AF35AF" w:rsidRPr="005D6206">
        <w:rPr>
          <w:rFonts w:asciiTheme="majorHAnsi" w:hAnsiTheme="majorHAnsi" w:cs="Arial"/>
          <w:spacing w:val="-2"/>
          <w:sz w:val="20"/>
          <w:szCs w:val="20"/>
          <w:lang w:val="es-ES"/>
        </w:rPr>
        <w:t xml:space="preserve"> Angelino Rojas Bonila</w:t>
      </w:r>
    </w:p>
    <w:p w14:paraId="0E50336C" w14:textId="2B3D0471" w:rsidR="00AF35AF"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Gabriela</w:t>
      </w:r>
      <w:r w:rsidR="00AF35AF" w:rsidRPr="005D6206">
        <w:rPr>
          <w:rFonts w:asciiTheme="majorHAnsi" w:hAnsiTheme="majorHAnsi" w:cs="Arial"/>
          <w:spacing w:val="-2"/>
          <w:sz w:val="20"/>
          <w:szCs w:val="20"/>
          <w:lang w:val="es-ES"/>
        </w:rPr>
        <w:t xml:space="preserve"> Paola </w:t>
      </w:r>
      <w:r w:rsidRPr="005D6206">
        <w:rPr>
          <w:rFonts w:asciiTheme="majorHAnsi" w:hAnsiTheme="majorHAnsi" w:cs="Arial"/>
          <w:spacing w:val="-2"/>
          <w:sz w:val="20"/>
          <w:szCs w:val="20"/>
          <w:lang w:val="es-ES"/>
        </w:rPr>
        <w:t>Francesca</w:t>
      </w:r>
      <w:r w:rsidR="00AF35AF" w:rsidRPr="005D6206">
        <w:rPr>
          <w:rFonts w:asciiTheme="majorHAnsi" w:hAnsiTheme="majorHAnsi" w:cs="Arial"/>
          <w:spacing w:val="-2"/>
          <w:sz w:val="20"/>
          <w:szCs w:val="20"/>
          <w:lang w:val="es-ES"/>
        </w:rPr>
        <w:t xml:space="preserve"> Rojas Fuster</w:t>
      </w:r>
    </w:p>
    <w:p w14:paraId="5C33A12D" w14:textId="759CFFDE" w:rsidR="00AF35AF"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Gino Alexander </w:t>
      </w:r>
      <w:r w:rsidR="005D6206" w:rsidRPr="005D6206">
        <w:rPr>
          <w:rFonts w:asciiTheme="majorHAnsi" w:hAnsiTheme="majorHAnsi" w:cs="Arial"/>
          <w:spacing w:val="-2"/>
          <w:sz w:val="20"/>
          <w:szCs w:val="20"/>
          <w:lang w:val="es-ES"/>
        </w:rPr>
        <w:t>Sáenz</w:t>
      </w:r>
      <w:r w:rsidRPr="005D6206">
        <w:rPr>
          <w:rFonts w:asciiTheme="majorHAnsi" w:hAnsiTheme="majorHAnsi" w:cs="Arial"/>
          <w:spacing w:val="-2"/>
          <w:sz w:val="20"/>
          <w:szCs w:val="20"/>
          <w:lang w:val="es-ES"/>
        </w:rPr>
        <w:t xml:space="preserve"> </w:t>
      </w:r>
      <w:r w:rsidR="005D6206" w:rsidRPr="005D6206">
        <w:rPr>
          <w:rFonts w:asciiTheme="majorHAnsi" w:hAnsiTheme="majorHAnsi" w:cs="Arial"/>
          <w:spacing w:val="-2"/>
          <w:sz w:val="20"/>
          <w:szCs w:val="20"/>
          <w:lang w:val="es-ES"/>
        </w:rPr>
        <w:t>García</w:t>
      </w:r>
    </w:p>
    <w:p w14:paraId="5EB77724" w14:textId="571D7016"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Alquiles </w:t>
      </w:r>
      <w:r w:rsidR="005D6206" w:rsidRPr="005D6206">
        <w:rPr>
          <w:rFonts w:asciiTheme="majorHAnsi" w:hAnsiTheme="majorHAnsi" w:cs="Arial"/>
          <w:spacing w:val="-2"/>
          <w:sz w:val="20"/>
          <w:szCs w:val="20"/>
          <w:lang w:val="es-ES"/>
        </w:rPr>
        <w:t>Saldaña</w:t>
      </w:r>
      <w:r w:rsidRPr="005D6206">
        <w:rPr>
          <w:rFonts w:asciiTheme="majorHAnsi" w:hAnsiTheme="majorHAnsi" w:cs="Arial"/>
          <w:spacing w:val="-2"/>
          <w:sz w:val="20"/>
          <w:szCs w:val="20"/>
          <w:lang w:val="es-ES"/>
        </w:rPr>
        <w:t xml:space="preserve"> Ruiz</w:t>
      </w:r>
    </w:p>
    <w:p w14:paraId="64E136A4" w14:textId="2621E036"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Luis Miguel Salinas Pinto</w:t>
      </w:r>
    </w:p>
    <w:p w14:paraId="7CA35101" w14:textId="7AE75C7F"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Javier </w:t>
      </w:r>
      <w:r w:rsidR="005D6206" w:rsidRPr="005D6206">
        <w:rPr>
          <w:rFonts w:asciiTheme="majorHAnsi" w:hAnsiTheme="majorHAnsi" w:cs="Arial"/>
          <w:spacing w:val="-2"/>
          <w:sz w:val="20"/>
          <w:szCs w:val="20"/>
          <w:lang w:val="es-ES"/>
        </w:rPr>
        <w:t>Armando</w:t>
      </w:r>
      <w:r w:rsidRPr="005D6206">
        <w:rPr>
          <w:rFonts w:asciiTheme="majorHAnsi" w:hAnsiTheme="majorHAnsi" w:cs="Arial"/>
          <w:spacing w:val="-2"/>
          <w:sz w:val="20"/>
          <w:szCs w:val="20"/>
          <w:lang w:val="es-ES"/>
        </w:rPr>
        <w:t xml:space="preserve"> </w:t>
      </w:r>
      <w:r w:rsidR="005D6206" w:rsidRPr="005D6206">
        <w:rPr>
          <w:rFonts w:asciiTheme="majorHAnsi" w:hAnsiTheme="majorHAnsi" w:cs="Arial"/>
          <w:spacing w:val="-2"/>
          <w:sz w:val="20"/>
          <w:szCs w:val="20"/>
          <w:lang w:val="es-ES"/>
        </w:rPr>
        <w:t>Sánchez</w:t>
      </w:r>
      <w:r w:rsidRPr="005D6206">
        <w:rPr>
          <w:rFonts w:asciiTheme="majorHAnsi" w:hAnsiTheme="majorHAnsi" w:cs="Arial"/>
          <w:spacing w:val="-2"/>
          <w:sz w:val="20"/>
          <w:szCs w:val="20"/>
          <w:lang w:val="es-ES"/>
        </w:rPr>
        <w:t xml:space="preserve"> Pisco</w:t>
      </w:r>
    </w:p>
    <w:p w14:paraId="508A2D98" w14:textId="6E96265D"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Mario Simangas Bravo</w:t>
      </w:r>
    </w:p>
    <w:p w14:paraId="0609C212" w14:textId="18FB9A3C"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Ronald Willy </w:t>
      </w:r>
      <w:r w:rsidR="005D6206" w:rsidRPr="005D6206">
        <w:rPr>
          <w:rFonts w:asciiTheme="majorHAnsi" w:hAnsiTheme="majorHAnsi" w:cs="Arial"/>
          <w:spacing w:val="-2"/>
          <w:sz w:val="20"/>
          <w:szCs w:val="20"/>
          <w:lang w:val="es-ES"/>
        </w:rPr>
        <w:t>Sipón</w:t>
      </w:r>
      <w:r w:rsidRPr="005D6206">
        <w:rPr>
          <w:rFonts w:asciiTheme="majorHAnsi" w:hAnsiTheme="majorHAnsi" w:cs="Arial"/>
          <w:spacing w:val="-2"/>
          <w:sz w:val="20"/>
          <w:szCs w:val="20"/>
          <w:lang w:val="es-ES"/>
        </w:rPr>
        <w:t xml:space="preserve"> Carpio</w:t>
      </w:r>
    </w:p>
    <w:p w14:paraId="695BF104" w14:textId="4E7ADF3B" w:rsidR="00BC2458"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Víctor</w:t>
      </w:r>
      <w:r w:rsidR="00BC2458" w:rsidRPr="005D6206">
        <w:rPr>
          <w:rFonts w:asciiTheme="majorHAnsi" w:hAnsiTheme="majorHAnsi" w:cs="Arial"/>
          <w:spacing w:val="-2"/>
          <w:sz w:val="20"/>
          <w:szCs w:val="20"/>
          <w:lang w:val="es-ES"/>
        </w:rPr>
        <w:t xml:space="preserve"> </w:t>
      </w:r>
      <w:r w:rsidRPr="005D6206">
        <w:rPr>
          <w:rFonts w:asciiTheme="majorHAnsi" w:hAnsiTheme="majorHAnsi" w:cs="Arial"/>
          <w:spacing w:val="-2"/>
          <w:sz w:val="20"/>
          <w:szCs w:val="20"/>
          <w:lang w:val="es-ES"/>
        </w:rPr>
        <w:t>Raúl</w:t>
      </w:r>
      <w:r w:rsidR="00BC2458" w:rsidRPr="005D6206">
        <w:rPr>
          <w:rFonts w:asciiTheme="majorHAnsi" w:hAnsiTheme="majorHAnsi" w:cs="Arial"/>
          <w:spacing w:val="-2"/>
          <w:sz w:val="20"/>
          <w:szCs w:val="20"/>
          <w:lang w:val="es-ES"/>
        </w:rPr>
        <w:t xml:space="preserve"> Sirlopu Jacinto</w:t>
      </w:r>
    </w:p>
    <w:p w14:paraId="12B1D4FD" w14:textId="209D4456"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Boris Ariel Soraluz Escate</w:t>
      </w:r>
    </w:p>
    <w:p w14:paraId="4C5350DD" w14:textId="43677AD1"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Luis </w:t>
      </w:r>
      <w:r w:rsidR="005D6206" w:rsidRPr="005D6206">
        <w:rPr>
          <w:rFonts w:asciiTheme="majorHAnsi" w:hAnsiTheme="majorHAnsi" w:cs="Arial"/>
          <w:spacing w:val="-2"/>
          <w:sz w:val="20"/>
          <w:szCs w:val="20"/>
          <w:lang w:val="es-ES"/>
        </w:rPr>
        <w:t>Ferrando</w:t>
      </w:r>
      <w:r w:rsidRPr="005D6206">
        <w:rPr>
          <w:rFonts w:asciiTheme="majorHAnsi" w:hAnsiTheme="majorHAnsi" w:cs="Arial"/>
          <w:spacing w:val="-2"/>
          <w:sz w:val="20"/>
          <w:szCs w:val="20"/>
          <w:lang w:val="es-ES"/>
        </w:rPr>
        <w:t xml:space="preserve"> Suarez Loza</w:t>
      </w:r>
    </w:p>
    <w:p w14:paraId="036F8274" w14:textId="778BF03F"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Rolando Suppe </w:t>
      </w:r>
      <w:r w:rsidR="005D6206" w:rsidRPr="005D6206">
        <w:rPr>
          <w:rFonts w:asciiTheme="majorHAnsi" w:hAnsiTheme="majorHAnsi" w:cs="Arial"/>
          <w:spacing w:val="-2"/>
          <w:sz w:val="20"/>
          <w:szCs w:val="20"/>
          <w:lang w:val="es-ES"/>
        </w:rPr>
        <w:t>Chávez</w:t>
      </w:r>
    </w:p>
    <w:p w14:paraId="65B1802E" w14:textId="06947D95"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Kelly Jeanette Tapia </w:t>
      </w:r>
      <w:r w:rsidR="005D6206" w:rsidRPr="005D6206">
        <w:rPr>
          <w:rFonts w:asciiTheme="majorHAnsi" w:hAnsiTheme="majorHAnsi" w:cs="Arial"/>
          <w:spacing w:val="-2"/>
          <w:sz w:val="20"/>
          <w:szCs w:val="20"/>
          <w:lang w:val="es-ES"/>
        </w:rPr>
        <w:t>Díaz</w:t>
      </w:r>
    </w:p>
    <w:p w14:paraId="4BBD0C79" w14:textId="3139AE22"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Remigio Tenazoa Yuimachi</w:t>
      </w:r>
    </w:p>
    <w:p w14:paraId="0CDA2379" w14:textId="53985608"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Marco Antonio Toledo Lara</w:t>
      </w:r>
    </w:p>
    <w:p w14:paraId="66274F4E" w14:textId="72D09A60"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Oswaldo Torres Quispe</w:t>
      </w:r>
    </w:p>
    <w:p w14:paraId="13013C85" w14:textId="0EB77375"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Alejandro Felipe Trillo Facho</w:t>
      </w:r>
    </w:p>
    <w:p w14:paraId="2ED4FC9D" w14:textId="5FD958EB"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Ciro Enrique </w:t>
      </w:r>
      <w:r w:rsidR="005D6206" w:rsidRPr="005D6206">
        <w:rPr>
          <w:rFonts w:asciiTheme="majorHAnsi" w:hAnsiTheme="majorHAnsi" w:cs="Arial"/>
          <w:spacing w:val="-2"/>
          <w:sz w:val="20"/>
          <w:szCs w:val="20"/>
          <w:lang w:val="es-ES"/>
        </w:rPr>
        <w:t>Vásquez</w:t>
      </w:r>
      <w:r w:rsidRPr="005D6206">
        <w:rPr>
          <w:rFonts w:asciiTheme="majorHAnsi" w:hAnsiTheme="majorHAnsi" w:cs="Arial"/>
          <w:spacing w:val="-2"/>
          <w:sz w:val="20"/>
          <w:szCs w:val="20"/>
          <w:lang w:val="es-ES"/>
        </w:rPr>
        <w:t xml:space="preserve"> Espinoza</w:t>
      </w:r>
    </w:p>
    <w:p w14:paraId="38B3D560" w14:textId="026957D9" w:rsidR="00BC2458" w:rsidRPr="005D6206" w:rsidRDefault="005D6206"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William</w:t>
      </w:r>
      <w:r w:rsidR="00BC2458" w:rsidRPr="005D6206">
        <w:rPr>
          <w:rFonts w:asciiTheme="majorHAnsi" w:hAnsiTheme="majorHAnsi" w:cs="Arial"/>
          <w:spacing w:val="-2"/>
          <w:sz w:val="20"/>
          <w:szCs w:val="20"/>
          <w:lang w:val="es-ES"/>
        </w:rPr>
        <w:t xml:space="preserve"> Barnard Villa Cussi</w:t>
      </w:r>
    </w:p>
    <w:p w14:paraId="1279C62A" w14:textId="7846919B"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Alejandro </w:t>
      </w:r>
      <w:r w:rsidR="00FD00C6" w:rsidRPr="005D6206">
        <w:rPr>
          <w:rFonts w:asciiTheme="majorHAnsi" w:hAnsiTheme="majorHAnsi" w:cs="Arial"/>
          <w:spacing w:val="-2"/>
          <w:sz w:val="20"/>
          <w:szCs w:val="20"/>
          <w:lang w:val="es-ES"/>
        </w:rPr>
        <w:t>Jaime</w:t>
      </w:r>
      <w:r w:rsidRPr="005D6206">
        <w:rPr>
          <w:rFonts w:asciiTheme="majorHAnsi" w:hAnsiTheme="majorHAnsi" w:cs="Arial"/>
          <w:spacing w:val="-2"/>
          <w:sz w:val="20"/>
          <w:szCs w:val="20"/>
          <w:lang w:val="es-ES"/>
        </w:rPr>
        <w:t xml:space="preserve"> Villanueva Apancho</w:t>
      </w:r>
    </w:p>
    <w:p w14:paraId="4A95F2E3" w14:textId="63960A2A"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 xml:space="preserve">Guillermo Isaac </w:t>
      </w:r>
      <w:r w:rsidR="00FD00C6" w:rsidRPr="005D6206">
        <w:rPr>
          <w:rFonts w:asciiTheme="majorHAnsi" w:hAnsiTheme="majorHAnsi" w:cs="Arial"/>
          <w:spacing w:val="-2"/>
          <w:sz w:val="20"/>
          <w:szCs w:val="20"/>
          <w:lang w:val="es-ES"/>
        </w:rPr>
        <w:t>Villar</w:t>
      </w:r>
      <w:r w:rsidRPr="005D6206">
        <w:rPr>
          <w:rFonts w:asciiTheme="majorHAnsi" w:hAnsiTheme="majorHAnsi" w:cs="Arial"/>
          <w:spacing w:val="-2"/>
          <w:sz w:val="20"/>
          <w:szCs w:val="20"/>
          <w:lang w:val="es-ES"/>
        </w:rPr>
        <w:t xml:space="preserve"> Guerrero</w:t>
      </w:r>
    </w:p>
    <w:p w14:paraId="516F5B4A" w14:textId="0E10D0D7" w:rsidR="00BC2458" w:rsidRPr="005D6206" w:rsidRDefault="00BC2458" w:rsidP="008216AC">
      <w:pPr>
        <w:pStyle w:val="ListParagraph"/>
        <w:numPr>
          <w:ilvl w:val="0"/>
          <w:numId w:val="57"/>
        </w:numPr>
        <w:jc w:val="both"/>
        <w:rPr>
          <w:rFonts w:asciiTheme="majorHAnsi" w:hAnsiTheme="majorHAnsi" w:cs="Arial"/>
          <w:spacing w:val="-2"/>
          <w:sz w:val="20"/>
          <w:szCs w:val="20"/>
          <w:lang w:val="es-ES"/>
        </w:rPr>
      </w:pPr>
      <w:r w:rsidRPr="005D6206">
        <w:rPr>
          <w:rFonts w:asciiTheme="majorHAnsi" w:hAnsiTheme="majorHAnsi" w:cs="Arial"/>
          <w:spacing w:val="-2"/>
          <w:sz w:val="20"/>
          <w:szCs w:val="20"/>
          <w:lang w:val="es-ES"/>
        </w:rPr>
        <w:t>Percy Ynesto</w:t>
      </w:r>
      <w:r w:rsidR="00FD00C6">
        <w:rPr>
          <w:rFonts w:asciiTheme="majorHAnsi" w:hAnsiTheme="majorHAnsi" w:cs="Arial"/>
          <w:spacing w:val="-2"/>
          <w:sz w:val="20"/>
          <w:szCs w:val="20"/>
          <w:lang w:val="es-ES"/>
        </w:rPr>
        <w:t>r</w:t>
      </w:r>
      <w:r w:rsidRPr="005D6206">
        <w:rPr>
          <w:rFonts w:asciiTheme="majorHAnsi" w:hAnsiTheme="majorHAnsi" w:cs="Arial"/>
          <w:spacing w:val="-2"/>
          <w:sz w:val="20"/>
          <w:szCs w:val="20"/>
          <w:lang w:val="es-ES"/>
        </w:rPr>
        <w:t xml:space="preserve"> Zegarra Valdez</w:t>
      </w:r>
    </w:p>
    <w:p w14:paraId="11EE92D5" w14:textId="77777777" w:rsidR="005D6206" w:rsidRPr="005D6206" w:rsidRDefault="005D6206" w:rsidP="005D6206">
      <w:pPr>
        <w:pStyle w:val="ListParagraph"/>
        <w:jc w:val="both"/>
        <w:rPr>
          <w:rFonts w:asciiTheme="majorHAnsi" w:hAnsiTheme="majorHAnsi" w:cs="Arial"/>
          <w:spacing w:val="-2"/>
          <w:sz w:val="20"/>
          <w:szCs w:val="20"/>
          <w:lang w:val="es-ES"/>
        </w:rPr>
      </w:pPr>
    </w:p>
    <w:sectPr w:rsidR="005D6206" w:rsidRPr="005D6206"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19DD" w14:textId="77777777" w:rsidR="00504A25" w:rsidRDefault="00504A25">
      <w:r>
        <w:separator/>
      </w:r>
    </w:p>
  </w:endnote>
  <w:endnote w:type="continuationSeparator" w:id="0">
    <w:p w14:paraId="2018FFB3" w14:textId="77777777" w:rsidR="00504A25" w:rsidRDefault="0050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74464F" w:rsidRPr="00934A2C" w:rsidRDefault="007446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74464F" w:rsidRDefault="00744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74464F" w:rsidRPr="00934A2C" w:rsidRDefault="0074464F">
    <w:pPr>
      <w:pStyle w:val="Footer"/>
      <w:jc w:val="center"/>
      <w:rPr>
        <w:sz w:val="16"/>
        <w:szCs w:val="22"/>
      </w:rPr>
    </w:pPr>
  </w:p>
  <w:p w14:paraId="4EA5439C" w14:textId="77777777" w:rsidR="0074464F" w:rsidRDefault="00744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89C9B6A" w:rsidR="0074464F" w:rsidRPr="00934A2C" w:rsidRDefault="007446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2AED">
          <w:rPr>
            <w:noProof/>
            <w:sz w:val="16"/>
            <w:szCs w:val="22"/>
          </w:rPr>
          <w:t>3</w:t>
        </w:r>
        <w:r w:rsidRPr="00934A2C">
          <w:rPr>
            <w:noProof/>
            <w:sz w:val="16"/>
            <w:szCs w:val="22"/>
          </w:rPr>
          <w:fldChar w:fldCharType="end"/>
        </w:r>
      </w:p>
    </w:sdtContent>
  </w:sdt>
  <w:p w14:paraId="68530E6A" w14:textId="77777777" w:rsidR="0074464F" w:rsidRDefault="007446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4464F" w:rsidRPr="00934A2C" w:rsidRDefault="0074464F">
    <w:pPr>
      <w:pStyle w:val="Footer"/>
      <w:jc w:val="center"/>
      <w:rPr>
        <w:sz w:val="16"/>
        <w:szCs w:val="22"/>
      </w:rPr>
    </w:pPr>
  </w:p>
  <w:p w14:paraId="49059CE3" w14:textId="77777777" w:rsidR="0074464F" w:rsidRDefault="0074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A12E" w14:textId="77777777" w:rsidR="00504A25" w:rsidRPr="000F35ED" w:rsidRDefault="00504A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9A61D6" w14:textId="77777777" w:rsidR="00504A25" w:rsidRPr="000F35ED" w:rsidRDefault="00504A25" w:rsidP="000F35ED">
      <w:pPr>
        <w:rPr>
          <w:rFonts w:asciiTheme="majorHAnsi" w:hAnsiTheme="majorHAnsi"/>
          <w:sz w:val="16"/>
          <w:szCs w:val="16"/>
        </w:rPr>
      </w:pPr>
      <w:r w:rsidRPr="000F35ED">
        <w:rPr>
          <w:rFonts w:asciiTheme="majorHAnsi" w:hAnsiTheme="majorHAnsi"/>
          <w:sz w:val="16"/>
          <w:szCs w:val="16"/>
        </w:rPr>
        <w:separator/>
      </w:r>
    </w:p>
    <w:p w14:paraId="65A83C96" w14:textId="77777777" w:rsidR="00504A25" w:rsidRPr="000F35ED" w:rsidRDefault="00504A2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06DDBAC" w14:textId="77777777" w:rsidR="00504A25" w:rsidRPr="000F35ED" w:rsidRDefault="00504A2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F73D00" w14:textId="407E4892" w:rsidR="00A24179" w:rsidRPr="002F51AD" w:rsidRDefault="00A24179" w:rsidP="002F51AD">
      <w:pPr>
        <w:pStyle w:val="FootnoteText"/>
        <w:ind w:firstLine="720"/>
        <w:jc w:val="both"/>
        <w:rPr>
          <w:rFonts w:asciiTheme="majorHAnsi" w:hAnsiTheme="majorHAnsi"/>
          <w:sz w:val="16"/>
          <w:szCs w:val="16"/>
          <w:lang w:val="es-PA"/>
        </w:rPr>
      </w:pPr>
      <w:r w:rsidRPr="002F51AD">
        <w:rPr>
          <w:rStyle w:val="FootnoteReference"/>
          <w:rFonts w:asciiTheme="majorHAnsi" w:hAnsiTheme="majorHAnsi"/>
          <w:sz w:val="16"/>
          <w:szCs w:val="16"/>
        </w:rPr>
        <w:footnoteRef/>
      </w:r>
      <w:r w:rsidRPr="002F51AD">
        <w:rPr>
          <w:rFonts w:asciiTheme="majorHAnsi" w:hAnsiTheme="majorHAnsi"/>
          <w:sz w:val="16"/>
          <w:szCs w:val="16"/>
          <w:lang w:val="es-PA"/>
        </w:rPr>
        <w:t xml:space="preserve"> </w:t>
      </w:r>
      <w:r w:rsidR="00FE2DFE" w:rsidRPr="002F51AD">
        <w:rPr>
          <w:rFonts w:asciiTheme="majorHAnsi" w:hAnsiTheme="majorHAnsi"/>
          <w:sz w:val="16"/>
          <w:szCs w:val="16"/>
          <w:lang w:val="es-PA"/>
        </w:rPr>
        <w:t xml:space="preserve">La petición se refiere a </w:t>
      </w:r>
      <w:r w:rsidR="00153541" w:rsidRPr="002F51AD">
        <w:rPr>
          <w:rFonts w:asciiTheme="majorHAnsi" w:hAnsiTheme="majorHAnsi"/>
          <w:sz w:val="16"/>
          <w:szCs w:val="16"/>
          <w:lang w:val="es-PA"/>
        </w:rPr>
        <w:t>noventa y siete</w:t>
      </w:r>
      <w:r w:rsidR="00FE2DFE" w:rsidRPr="002F51AD">
        <w:rPr>
          <w:rFonts w:asciiTheme="majorHAnsi" w:hAnsiTheme="majorHAnsi"/>
          <w:sz w:val="16"/>
          <w:szCs w:val="16"/>
          <w:lang w:val="es-PA"/>
        </w:rPr>
        <w:t xml:space="preserve"> presuntas víctimas, individualizadas en </w:t>
      </w:r>
      <w:r w:rsidR="00C57913">
        <w:rPr>
          <w:rFonts w:asciiTheme="majorHAnsi" w:hAnsiTheme="majorHAnsi"/>
          <w:sz w:val="16"/>
          <w:szCs w:val="16"/>
          <w:lang w:val="es-PA"/>
        </w:rPr>
        <w:t>la sección final del presente infrome</w:t>
      </w:r>
      <w:r w:rsidR="00FE2DFE" w:rsidRPr="002F51AD">
        <w:rPr>
          <w:rFonts w:asciiTheme="majorHAnsi" w:hAnsiTheme="majorHAnsi"/>
          <w:sz w:val="16"/>
          <w:szCs w:val="16"/>
          <w:lang w:val="es-PA"/>
        </w:rPr>
        <w:t>.</w:t>
      </w:r>
    </w:p>
  </w:footnote>
  <w:footnote w:id="3">
    <w:p w14:paraId="523EBBEB" w14:textId="510D2E7F" w:rsidR="00A24179" w:rsidRPr="002F51AD" w:rsidRDefault="00A24179" w:rsidP="002F51AD">
      <w:pPr>
        <w:pStyle w:val="FootnoteText"/>
        <w:ind w:firstLine="720"/>
        <w:jc w:val="both"/>
        <w:rPr>
          <w:rFonts w:asciiTheme="majorHAnsi" w:hAnsiTheme="majorHAnsi"/>
          <w:sz w:val="16"/>
          <w:szCs w:val="16"/>
          <w:lang w:val="es-PA"/>
        </w:rPr>
      </w:pPr>
      <w:r w:rsidRPr="002F51AD">
        <w:rPr>
          <w:rStyle w:val="FootnoteReference"/>
          <w:rFonts w:asciiTheme="majorHAnsi" w:hAnsiTheme="majorHAnsi"/>
          <w:sz w:val="16"/>
          <w:szCs w:val="16"/>
        </w:rPr>
        <w:footnoteRef/>
      </w:r>
      <w:r w:rsidRPr="002F51AD">
        <w:rPr>
          <w:rFonts w:asciiTheme="majorHAnsi" w:hAnsiTheme="majorHAnsi"/>
          <w:sz w:val="16"/>
          <w:szCs w:val="16"/>
          <w:lang w:val="es-PA"/>
        </w:rPr>
        <w:t xml:space="preserve"> </w:t>
      </w:r>
      <w:r w:rsidRPr="002F51AD">
        <w:rPr>
          <w:rFonts w:asciiTheme="majorHAnsi" w:hAnsiTheme="majorHAnsi"/>
          <w:sz w:val="16"/>
          <w:szCs w:val="16"/>
          <w:lang w:val="es-ES"/>
        </w:rPr>
        <w:t xml:space="preserve">Conforme a lo dispuesto en el artículo 17.2.a del Reglamento de la Comisión, </w:t>
      </w:r>
      <w:r w:rsidRPr="002F51AD">
        <w:rPr>
          <w:rFonts w:asciiTheme="majorHAnsi" w:hAnsiTheme="majorHAnsi"/>
          <w:color w:val="auto"/>
          <w:sz w:val="16"/>
          <w:szCs w:val="16"/>
          <w:lang w:val="es-ES"/>
        </w:rPr>
        <w:t xml:space="preserve">la Comisionada </w:t>
      </w:r>
      <w:r w:rsidR="00CB7301" w:rsidRPr="002F51AD">
        <w:rPr>
          <w:rFonts w:asciiTheme="majorHAnsi" w:hAnsiTheme="majorHAnsi"/>
          <w:color w:val="000000" w:themeColor="text1"/>
          <w:sz w:val="16"/>
          <w:szCs w:val="16"/>
          <w:lang w:val="es-ES"/>
        </w:rPr>
        <w:t>Julissa</w:t>
      </w:r>
      <w:r w:rsidRPr="002F51AD">
        <w:rPr>
          <w:rFonts w:asciiTheme="majorHAnsi" w:hAnsiTheme="majorHAnsi"/>
          <w:color w:val="000000" w:themeColor="text1"/>
          <w:sz w:val="16"/>
          <w:szCs w:val="16"/>
          <w:lang w:val="es-ES"/>
        </w:rPr>
        <w:t xml:space="preserve"> Mantilla Falcón</w:t>
      </w:r>
      <w:r w:rsidRPr="002F51AD">
        <w:rPr>
          <w:rFonts w:asciiTheme="majorHAnsi" w:hAnsiTheme="majorHAnsi"/>
          <w:sz w:val="16"/>
          <w:szCs w:val="16"/>
          <w:lang w:val="es-ES"/>
        </w:rPr>
        <w:t xml:space="preserve">, de </w:t>
      </w:r>
      <w:r w:rsidRPr="002F51AD">
        <w:rPr>
          <w:rFonts w:asciiTheme="majorHAnsi" w:hAnsiTheme="majorHAnsi"/>
          <w:color w:val="auto"/>
          <w:sz w:val="16"/>
          <w:szCs w:val="16"/>
          <w:lang w:val="es-ES"/>
        </w:rPr>
        <w:t>nacionalidad peruana, no participó en el debate ni en la decisión del presente asunto.</w:t>
      </w:r>
    </w:p>
  </w:footnote>
  <w:footnote w:id="4">
    <w:p w14:paraId="3CB67836" w14:textId="74D9E9B1" w:rsidR="00A24179" w:rsidRPr="002F51AD" w:rsidRDefault="00A24179" w:rsidP="002F51AD">
      <w:pPr>
        <w:pStyle w:val="FootnoteText"/>
        <w:ind w:firstLine="720"/>
        <w:jc w:val="both"/>
        <w:rPr>
          <w:rFonts w:asciiTheme="majorHAnsi" w:hAnsiTheme="majorHAnsi"/>
          <w:sz w:val="16"/>
          <w:szCs w:val="16"/>
          <w:lang w:val="es-PA"/>
        </w:rPr>
      </w:pPr>
      <w:r w:rsidRPr="002F51AD">
        <w:rPr>
          <w:rStyle w:val="FootnoteReference"/>
          <w:rFonts w:asciiTheme="majorHAnsi" w:hAnsiTheme="majorHAnsi"/>
          <w:sz w:val="16"/>
          <w:szCs w:val="16"/>
        </w:rPr>
        <w:footnoteRef/>
      </w:r>
      <w:r w:rsidRPr="002F51AD">
        <w:rPr>
          <w:rFonts w:asciiTheme="majorHAnsi" w:hAnsiTheme="majorHAnsi"/>
          <w:sz w:val="16"/>
          <w:szCs w:val="16"/>
          <w:lang w:val="es-PA"/>
        </w:rPr>
        <w:t xml:space="preserve"> En adelante “la Convención Americana”.</w:t>
      </w:r>
    </w:p>
  </w:footnote>
  <w:footnote w:id="5">
    <w:p w14:paraId="5D6FA671" w14:textId="4CFC40E0" w:rsidR="002F51AD" w:rsidRPr="002F51AD" w:rsidRDefault="002F51AD" w:rsidP="002F51AD">
      <w:pPr>
        <w:pStyle w:val="FootnoteText"/>
        <w:ind w:firstLine="720"/>
        <w:jc w:val="both"/>
        <w:rPr>
          <w:rFonts w:asciiTheme="majorHAnsi" w:hAnsiTheme="majorHAnsi"/>
          <w:sz w:val="16"/>
          <w:szCs w:val="16"/>
          <w:lang w:val="es-US"/>
        </w:rPr>
      </w:pPr>
      <w:r w:rsidRPr="002F51AD">
        <w:rPr>
          <w:rStyle w:val="FootnoteReference"/>
          <w:rFonts w:asciiTheme="majorHAnsi" w:hAnsiTheme="majorHAnsi"/>
          <w:sz w:val="16"/>
          <w:szCs w:val="16"/>
        </w:rPr>
        <w:footnoteRef/>
      </w:r>
      <w:r w:rsidRPr="002F51AD">
        <w:rPr>
          <w:rFonts w:asciiTheme="majorHAnsi" w:hAnsiTheme="majorHAnsi"/>
          <w:sz w:val="16"/>
          <w:szCs w:val="16"/>
          <w:lang w:val="es-US"/>
        </w:rPr>
        <w:t xml:space="preserve"> Artículo 14 del Pacto Internacional de Derechos Civiles y Políticos</w:t>
      </w:r>
    </w:p>
  </w:footnote>
  <w:footnote w:id="6">
    <w:p w14:paraId="08CD6656" w14:textId="77777777" w:rsidR="0074464F" w:rsidRPr="002F51AD" w:rsidRDefault="0074464F" w:rsidP="002F51AD">
      <w:pPr>
        <w:pStyle w:val="FootnoteText"/>
        <w:ind w:firstLine="720"/>
        <w:jc w:val="both"/>
        <w:rPr>
          <w:rFonts w:asciiTheme="majorHAnsi" w:hAnsiTheme="majorHAnsi"/>
          <w:sz w:val="16"/>
          <w:szCs w:val="16"/>
          <w:lang w:val="es-ES"/>
        </w:rPr>
      </w:pPr>
      <w:r w:rsidRPr="002F51AD">
        <w:rPr>
          <w:rStyle w:val="FootnoteReference"/>
          <w:rFonts w:asciiTheme="majorHAnsi" w:hAnsiTheme="majorHAnsi"/>
          <w:sz w:val="16"/>
          <w:szCs w:val="16"/>
        </w:rPr>
        <w:footnoteRef/>
      </w:r>
      <w:r w:rsidRPr="002F51AD">
        <w:rPr>
          <w:rFonts w:asciiTheme="majorHAnsi" w:hAnsiTheme="majorHAnsi"/>
          <w:sz w:val="16"/>
          <w:szCs w:val="16"/>
          <w:lang w:val="es-ES"/>
        </w:rPr>
        <w:t xml:space="preserve"> Las observaciones de cada parte fueron debidamente trasladadas a la parte contraria.</w:t>
      </w:r>
    </w:p>
  </w:footnote>
  <w:footnote w:id="7">
    <w:p w14:paraId="18013CF2" w14:textId="005E8C5D" w:rsidR="000C36BA" w:rsidRPr="002F51AD" w:rsidRDefault="000C36BA" w:rsidP="002F51AD">
      <w:pPr>
        <w:pStyle w:val="FootnoteText"/>
        <w:ind w:firstLine="720"/>
        <w:jc w:val="both"/>
        <w:rPr>
          <w:rFonts w:asciiTheme="majorHAnsi" w:hAnsiTheme="majorHAnsi"/>
          <w:sz w:val="16"/>
          <w:szCs w:val="16"/>
          <w:lang w:val="es-ES"/>
        </w:rPr>
      </w:pPr>
      <w:r w:rsidRPr="002F51AD">
        <w:rPr>
          <w:rStyle w:val="FootnoteReference"/>
          <w:rFonts w:asciiTheme="majorHAnsi" w:hAnsiTheme="majorHAnsi"/>
          <w:sz w:val="16"/>
          <w:szCs w:val="16"/>
          <w:lang w:val="es-ES"/>
        </w:rPr>
        <w:footnoteRef/>
      </w:r>
      <w:r w:rsidRPr="002F51AD">
        <w:rPr>
          <w:rFonts w:asciiTheme="majorHAnsi" w:hAnsiTheme="majorHAnsi"/>
          <w:sz w:val="16"/>
          <w:szCs w:val="16"/>
          <w:lang w:val="es-ES"/>
        </w:rPr>
        <w:t xml:space="preserve"> Mediante nota de 10 de octubre</w:t>
      </w:r>
      <w:r w:rsidR="00ED1842" w:rsidRPr="002F51AD">
        <w:rPr>
          <w:rFonts w:asciiTheme="majorHAnsi" w:hAnsiTheme="majorHAnsi"/>
          <w:sz w:val="16"/>
          <w:szCs w:val="16"/>
          <w:lang w:val="es-ES"/>
        </w:rPr>
        <w:t xml:space="preserve"> de 2019</w:t>
      </w:r>
      <w:r w:rsidRPr="002F51AD">
        <w:rPr>
          <w:rFonts w:asciiTheme="majorHAnsi" w:hAnsiTheme="majorHAnsi"/>
          <w:sz w:val="16"/>
          <w:szCs w:val="16"/>
          <w:lang w:val="es-ES"/>
        </w:rPr>
        <w:t xml:space="preserve">, el Estado solicitó </w:t>
      </w:r>
      <w:r w:rsidR="00ED1842" w:rsidRPr="002F51AD">
        <w:rPr>
          <w:rFonts w:asciiTheme="majorHAnsi" w:hAnsiTheme="majorHAnsi"/>
          <w:sz w:val="16"/>
          <w:szCs w:val="16"/>
          <w:lang w:val="es-ES"/>
        </w:rPr>
        <w:t xml:space="preserve">a la CIDH </w:t>
      </w:r>
      <w:r w:rsidRPr="002F51AD">
        <w:rPr>
          <w:rFonts w:asciiTheme="majorHAnsi" w:hAnsiTheme="majorHAnsi"/>
          <w:sz w:val="16"/>
          <w:szCs w:val="16"/>
          <w:lang w:val="es-ES"/>
        </w:rPr>
        <w:t xml:space="preserve">el archivo de la presente petición por inactividad procesal. </w:t>
      </w:r>
    </w:p>
  </w:footnote>
  <w:footnote w:id="8">
    <w:p w14:paraId="231C44C7" w14:textId="77777777" w:rsidR="00313A21" w:rsidRPr="002F51AD" w:rsidRDefault="00313A21" w:rsidP="002F51AD">
      <w:pPr>
        <w:pStyle w:val="FootnoteText"/>
        <w:ind w:firstLine="720"/>
        <w:jc w:val="both"/>
        <w:rPr>
          <w:rFonts w:asciiTheme="majorHAnsi" w:hAnsiTheme="majorHAnsi"/>
          <w:sz w:val="16"/>
          <w:szCs w:val="16"/>
          <w:lang w:val="es-ES"/>
        </w:rPr>
      </w:pPr>
      <w:r w:rsidRPr="002F51AD">
        <w:rPr>
          <w:rStyle w:val="FootnoteReference"/>
          <w:rFonts w:asciiTheme="majorHAnsi" w:hAnsiTheme="majorHAnsi"/>
          <w:sz w:val="16"/>
          <w:szCs w:val="16"/>
        </w:rPr>
        <w:footnoteRef/>
      </w:r>
      <w:r w:rsidRPr="002F51AD">
        <w:rPr>
          <w:rFonts w:asciiTheme="majorHAnsi" w:hAnsiTheme="majorHAnsi"/>
          <w:sz w:val="16"/>
          <w:szCs w:val="16"/>
          <w:lang w:val="es-ES"/>
        </w:rPr>
        <w:t xml:space="preserve"> Artículo 1.- El personal de la ex Superintendencia Nacional de Aduanas – ADUANAS integrado a la Superintendencia Nacional de Administración Tributaria - SUNAT como consecuencia de la fusión dispuesta mediante Decreto Supremo N.º 061-2002-PCM, percibirá un total de doce (12) remuneraciones mensuales por año, a las que se agregarán otras dos (2) por concepto de gratificaciones correspondientes a los meses de julio y diciembre de cada año; además de los depósitos por concepto de Compensación por Tiempo de Servicios - CTS que les corresponda conforme a ley.</w:t>
      </w:r>
    </w:p>
  </w:footnote>
  <w:footnote w:id="9">
    <w:p w14:paraId="31CD1B9F" w14:textId="77777777" w:rsidR="00EA265E" w:rsidRPr="002F51AD" w:rsidRDefault="00EA265E" w:rsidP="002F51AD">
      <w:pPr>
        <w:pStyle w:val="FootnoteText"/>
        <w:ind w:firstLine="720"/>
        <w:jc w:val="both"/>
        <w:rPr>
          <w:rFonts w:asciiTheme="majorHAnsi" w:hAnsiTheme="majorHAnsi"/>
          <w:sz w:val="16"/>
          <w:szCs w:val="16"/>
          <w:lang w:val="es-ES"/>
        </w:rPr>
      </w:pPr>
      <w:r w:rsidRPr="002F51AD">
        <w:rPr>
          <w:rStyle w:val="FootnoteReference"/>
          <w:rFonts w:asciiTheme="majorHAnsi" w:hAnsiTheme="majorHAnsi"/>
          <w:sz w:val="16"/>
          <w:szCs w:val="16"/>
          <w:lang w:val="es-ES"/>
        </w:rPr>
        <w:footnoteRef/>
      </w:r>
      <w:r w:rsidRPr="002F51AD">
        <w:rPr>
          <w:rFonts w:asciiTheme="majorHAnsi" w:hAnsiTheme="majorHAnsi"/>
          <w:sz w:val="16"/>
          <w:szCs w:val="16"/>
          <w:lang w:val="es-ES"/>
        </w:rPr>
        <w:t xml:space="preserve"> Código Procesal Constitucional. Artículo 121.- Carácter inimpugnable de las sentencias del Tribunal Constitucional. Contra las sentencias del Tribunal Constitucional no cabe impugnación alguna. En el plazo de dos días a contar desde su notificación o publicación tratándose de las resoluciones recaídas en los procesos de inconstitucionalidad, el Tribunal, de oficio o a instancia de parte, puede aclarar algún concepto o subsanar cualquier error material u omisión en que hubiese incurrido. Estas resoluciones deben expedirse, sin más trámite, al segundo día de formulada la petición. Contra los decretos y autos que dicte el Tribunal, sólo procede, en su caso, el recurso de reposición ante el propio Tribunal. El recurso puede interponerse en el plazo de tres días a contar desde su notificación. Se resuelve en los dos días siguientes. Lo anterior no afecta el derecho a recurrir a los tribunales u organismos internacionales constituidos según tratados de los que el Perú es parte.</w:t>
      </w:r>
    </w:p>
  </w:footnote>
  <w:footnote w:id="10">
    <w:p w14:paraId="2F941947" w14:textId="77777777" w:rsidR="002307D0" w:rsidRPr="002F51AD" w:rsidRDefault="002307D0" w:rsidP="002F51A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2F51AD">
        <w:rPr>
          <w:rStyle w:val="FootnoteReference"/>
          <w:rFonts w:asciiTheme="majorHAnsi" w:hAnsiTheme="majorHAnsi"/>
          <w:sz w:val="16"/>
          <w:szCs w:val="16"/>
        </w:rPr>
        <w:footnoteRef/>
      </w:r>
      <w:r w:rsidRPr="002F51AD">
        <w:rPr>
          <w:rFonts w:asciiTheme="majorHAnsi" w:hAnsiTheme="majorHAnsi"/>
          <w:sz w:val="16"/>
          <w:szCs w:val="16"/>
          <w:lang w:val="es-PA"/>
        </w:rPr>
        <w:t xml:space="preserve"> </w:t>
      </w:r>
      <w:r w:rsidRPr="002F51AD">
        <w:rPr>
          <w:rFonts w:asciiTheme="majorHAnsi" w:hAnsiTheme="majorHAnsi"/>
          <w:sz w:val="16"/>
          <w:szCs w:val="16"/>
          <w:lang w:val="es-ES"/>
        </w:rPr>
        <w:t>CIDH, Informe No. 18/17, Petición 267-07. Admisibilidad. Ana Luisa Ontiveros López. México. 27 de enero de 2017, párrs. 6 y 7.</w:t>
      </w:r>
    </w:p>
  </w:footnote>
  <w:footnote w:id="11">
    <w:p w14:paraId="1DEFCCEA" w14:textId="77777777" w:rsidR="00C902D9" w:rsidRPr="002F51AD" w:rsidRDefault="00C902D9" w:rsidP="002F51AD">
      <w:pPr>
        <w:pStyle w:val="FootnoteText"/>
        <w:ind w:firstLine="720"/>
        <w:jc w:val="both"/>
        <w:rPr>
          <w:rFonts w:asciiTheme="majorHAnsi" w:hAnsiTheme="majorHAnsi"/>
          <w:sz w:val="16"/>
          <w:szCs w:val="16"/>
          <w:lang w:val="es-US"/>
        </w:rPr>
      </w:pPr>
      <w:r w:rsidRPr="002F51AD">
        <w:rPr>
          <w:rStyle w:val="FootnoteReference"/>
          <w:rFonts w:asciiTheme="majorHAnsi" w:hAnsiTheme="majorHAnsi"/>
          <w:sz w:val="16"/>
          <w:szCs w:val="16"/>
        </w:rPr>
        <w:footnoteRef/>
      </w:r>
      <w:r w:rsidRPr="002F51AD">
        <w:rPr>
          <w:rFonts w:asciiTheme="majorHAnsi" w:hAnsiTheme="majorHAnsi"/>
          <w:sz w:val="16"/>
          <w:szCs w:val="16"/>
          <w:lang w:val="es-US"/>
        </w:rPr>
        <w:t xml:space="preserve"> CIDH, Informe No.</w:t>
      </w:r>
      <w:r w:rsidRPr="002F51AD">
        <w:rPr>
          <w:rFonts w:asciiTheme="majorHAnsi" w:hAnsiTheme="majorHAnsi"/>
          <w:sz w:val="16"/>
          <w:szCs w:val="16"/>
          <w:lang w:val="es-ES"/>
        </w:rPr>
        <w:t xml:space="preserve"> </w:t>
      </w:r>
      <w:r w:rsidRPr="002F51AD">
        <w:rPr>
          <w:rFonts w:asciiTheme="majorHAnsi" w:hAnsiTheme="majorHAnsi"/>
          <w:sz w:val="16"/>
          <w:szCs w:val="16"/>
          <w:lang w:val="es-US"/>
        </w:rPr>
        <w:t xml:space="preserve">61/16, Petición </w:t>
      </w:r>
      <w:r w:rsidRPr="002F51AD">
        <w:rPr>
          <w:rFonts w:asciiTheme="majorHAnsi" w:hAnsiTheme="majorHAnsi"/>
          <w:sz w:val="16"/>
          <w:szCs w:val="16"/>
          <w:lang w:val="es-ES"/>
        </w:rPr>
        <w:t>1256</w:t>
      </w:r>
      <w:r w:rsidRPr="002F51AD">
        <w:rPr>
          <w:rFonts w:asciiTheme="majorHAnsi" w:hAnsiTheme="majorHAnsi"/>
          <w:sz w:val="16"/>
          <w:szCs w:val="16"/>
          <w:lang w:val="es-US"/>
        </w:rPr>
        <w:t>/</w:t>
      </w:r>
      <w:r w:rsidRPr="002F51AD">
        <w:rPr>
          <w:rFonts w:asciiTheme="majorHAnsi" w:hAnsiTheme="majorHAnsi"/>
          <w:sz w:val="16"/>
          <w:szCs w:val="16"/>
          <w:lang w:val="es-ES"/>
        </w:rPr>
        <w:t xml:space="preserve">07, </w:t>
      </w:r>
      <w:r w:rsidRPr="002F51AD">
        <w:rPr>
          <w:rFonts w:asciiTheme="majorHAnsi" w:hAnsiTheme="majorHAnsi"/>
          <w:sz w:val="16"/>
          <w:szCs w:val="16"/>
          <w:lang w:val="es-US"/>
        </w:rPr>
        <w:t xml:space="preserve">Admisibilidad, Comunidad de Paz de San José de Apartadó, Colombia, 6 de diciembre de 2016, párr. 62. </w:t>
      </w:r>
    </w:p>
  </w:footnote>
  <w:footnote w:id="12">
    <w:p w14:paraId="31BEBA74" w14:textId="28969BFC" w:rsidR="007460E4" w:rsidRPr="007460E4" w:rsidRDefault="007460E4" w:rsidP="007460E4">
      <w:pPr>
        <w:pStyle w:val="FootnoteText"/>
        <w:jc w:val="both"/>
        <w:rPr>
          <w:lang w:val="es-419"/>
        </w:rPr>
      </w:pPr>
      <w:r w:rsidRPr="00A42818">
        <w:rPr>
          <w:lang w:val="es-419"/>
        </w:rPr>
        <w:tab/>
      </w:r>
      <w:r>
        <w:rPr>
          <w:rStyle w:val="FootnoteReference"/>
        </w:rPr>
        <w:footnoteRef/>
      </w:r>
      <w:r w:rsidRPr="007460E4">
        <w:rPr>
          <w:lang w:val="es-419"/>
        </w:rPr>
        <w:t xml:space="preserve"> </w:t>
      </w:r>
      <w:r w:rsidRPr="00B92A4E">
        <w:rPr>
          <w:rStyle w:val="tableentry"/>
          <w:rFonts w:asciiTheme="majorHAnsi" w:hAnsiTheme="majorHAnsi"/>
          <w:sz w:val="16"/>
          <w:szCs w:val="16"/>
          <w:lang w:val="es-419"/>
        </w:rPr>
        <w:t>En fecha 31 de mayo de 2022, la Secretaria Ejecutiva de la CIDH rectifica el error involuntario advertido en el presente informe, eliminando la expresión: “continuar con el análisis del fondo de la cuestión”, según consta ahora en el mismo, conforme a la decisión adoptada por la Comisión en su momento.</w:t>
      </w:r>
      <w:r w:rsidRPr="007460E4">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74464F" w:rsidRDefault="0074464F"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74464F" w:rsidRDefault="00744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74464F" w:rsidRDefault="0074464F" w:rsidP="00A50FCF">
    <w:pPr>
      <w:pStyle w:val="Header"/>
      <w:tabs>
        <w:tab w:val="clear" w:pos="4320"/>
        <w:tab w:val="clear" w:pos="8640"/>
      </w:tabs>
      <w:jc w:val="center"/>
      <w:rPr>
        <w:sz w:val="22"/>
        <w:szCs w:val="22"/>
      </w:rPr>
    </w:pPr>
    <w:r>
      <w:rPr>
        <w:sz w:val="22"/>
        <w:szCs w:val="22"/>
      </w:rPr>
      <w:drawing>
        <wp:inline distT="0" distB="0" distL="0" distR="0" wp14:anchorId="1712A0C8" wp14:editId="40AEDC2B">
          <wp:extent cx="1972237" cy="104775"/>
          <wp:effectExtent l="0" t="0" r="9525" b="0"/>
          <wp:docPr id="20" name="Picture 20"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74464F" w:rsidRPr="00EC7D62" w:rsidRDefault="00541079" w:rsidP="00A50FCF">
    <w:pPr>
      <w:pStyle w:val="Header"/>
      <w:tabs>
        <w:tab w:val="clear" w:pos="4320"/>
        <w:tab w:val="clear" w:pos="8640"/>
      </w:tabs>
      <w:jc w:val="center"/>
      <w:rPr>
        <w:sz w:val="22"/>
        <w:szCs w:val="22"/>
      </w:rPr>
    </w:pPr>
    <w:r>
      <w:rPr>
        <w:sz w:val="22"/>
        <w:szCs w:val="22"/>
        <w:bdr w:val="nil"/>
      </w:rPr>
      <w:pict w14:anchorId="638AE2F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74464F" w:rsidRDefault="0074464F"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4464F" w:rsidRDefault="00744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74464F" w:rsidRDefault="0074464F" w:rsidP="00A50FCF">
    <w:pPr>
      <w:pStyle w:val="Header"/>
      <w:tabs>
        <w:tab w:val="clear" w:pos="4320"/>
        <w:tab w:val="clear" w:pos="8640"/>
      </w:tabs>
      <w:jc w:val="center"/>
      <w:rPr>
        <w:sz w:val="22"/>
        <w:szCs w:val="22"/>
      </w:rPr>
    </w:pPr>
    <w:r>
      <w:rPr>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4464F" w:rsidRPr="00EC7D62" w:rsidRDefault="00541079" w:rsidP="00A50FCF">
    <w:pPr>
      <w:pStyle w:val="Header"/>
      <w:tabs>
        <w:tab w:val="clear" w:pos="4320"/>
        <w:tab w:val="clear" w:pos="8640"/>
      </w:tabs>
      <w:jc w:val="center"/>
      <w:rPr>
        <w:sz w:val="22"/>
        <w:szCs w:val="22"/>
      </w:rPr>
    </w:pPr>
    <w:r>
      <w:rPr>
        <w:sz w:val="22"/>
        <w:szCs w:val="22"/>
        <w:bdr w:val="nil"/>
      </w:rPr>
      <w:pict w14:anchorId="075C55EE">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224843A"/>
    <w:lvl w:ilvl="0" w:tplc="4CBC5F1E">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4A60845"/>
    <w:multiLevelType w:val="hybridMultilevel"/>
    <w:tmpl w:val="762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26084925">
    <w:abstractNumId w:val="3"/>
  </w:num>
  <w:num w:numId="2" w16cid:durableId="616528525">
    <w:abstractNumId w:val="5"/>
  </w:num>
  <w:num w:numId="3" w16cid:durableId="1172060832">
    <w:abstractNumId w:val="51"/>
  </w:num>
  <w:num w:numId="4" w16cid:durableId="1885478085">
    <w:abstractNumId w:val="20"/>
  </w:num>
  <w:num w:numId="5" w16cid:durableId="1935088367">
    <w:abstractNumId w:val="45"/>
  </w:num>
  <w:num w:numId="6" w16cid:durableId="2061858178">
    <w:abstractNumId w:val="25"/>
  </w:num>
  <w:num w:numId="7" w16cid:durableId="1847750388">
    <w:abstractNumId w:val="6"/>
  </w:num>
  <w:num w:numId="8" w16cid:durableId="335151271">
    <w:abstractNumId w:val="16"/>
  </w:num>
  <w:num w:numId="9" w16cid:durableId="1438671916">
    <w:abstractNumId w:val="35"/>
  </w:num>
  <w:num w:numId="10" w16cid:durableId="414909199">
    <w:abstractNumId w:val="39"/>
  </w:num>
  <w:num w:numId="11" w16cid:durableId="1452430759">
    <w:abstractNumId w:val="0"/>
  </w:num>
  <w:num w:numId="12" w16cid:durableId="1504317031">
    <w:abstractNumId w:val="34"/>
  </w:num>
  <w:num w:numId="13" w16cid:durableId="423889352">
    <w:abstractNumId w:val="41"/>
  </w:num>
  <w:num w:numId="14" w16cid:durableId="922105283">
    <w:abstractNumId w:val="1"/>
  </w:num>
  <w:num w:numId="15" w16cid:durableId="1380519998">
    <w:abstractNumId w:val="2"/>
  </w:num>
  <w:num w:numId="16" w16cid:durableId="692851705">
    <w:abstractNumId w:val="7"/>
  </w:num>
  <w:num w:numId="17" w16cid:durableId="1622497517">
    <w:abstractNumId w:val="8"/>
  </w:num>
  <w:num w:numId="18" w16cid:durableId="1086459784">
    <w:abstractNumId w:val="9"/>
  </w:num>
  <w:num w:numId="19" w16cid:durableId="1164933301">
    <w:abstractNumId w:val="10"/>
  </w:num>
  <w:num w:numId="20" w16cid:durableId="903374805">
    <w:abstractNumId w:val="11"/>
  </w:num>
  <w:num w:numId="21" w16cid:durableId="988441008">
    <w:abstractNumId w:val="12"/>
  </w:num>
  <w:num w:numId="22" w16cid:durableId="1657411977">
    <w:abstractNumId w:val="13"/>
  </w:num>
  <w:num w:numId="23" w16cid:durableId="402920678">
    <w:abstractNumId w:val="14"/>
  </w:num>
  <w:num w:numId="24" w16cid:durableId="1787233461">
    <w:abstractNumId w:val="15"/>
  </w:num>
  <w:num w:numId="25" w16cid:durableId="1206797835">
    <w:abstractNumId w:val="17"/>
  </w:num>
  <w:num w:numId="26" w16cid:durableId="309680000">
    <w:abstractNumId w:val="18"/>
  </w:num>
  <w:num w:numId="27" w16cid:durableId="1881358655">
    <w:abstractNumId w:val="21"/>
  </w:num>
  <w:num w:numId="28" w16cid:durableId="24647015">
    <w:abstractNumId w:val="22"/>
  </w:num>
  <w:num w:numId="29" w16cid:durableId="1273173522">
    <w:abstractNumId w:val="23"/>
  </w:num>
  <w:num w:numId="30" w16cid:durableId="1056124331">
    <w:abstractNumId w:val="24"/>
  </w:num>
  <w:num w:numId="31" w16cid:durableId="336927203">
    <w:abstractNumId w:val="26"/>
  </w:num>
  <w:num w:numId="32" w16cid:durableId="1176529339">
    <w:abstractNumId w:val="27"/>
  </w:num>
  <w:num w:numId="33" w16cid:durableId="649792151">
    <w:abstractNumId w:val="28"/>
  </w:num>
  <w:num w:numId="34" w16cid:durableId="897129955">
    <w:abstractNumId w:val="29"/>
  </w:num>
  <w:num w:numId="35" w16cid:durableId="811140380">
    <w:abstractNumId w:val="30"/>
  </w:num>
  <w:num w:numId="36" w16cid:durableId="1891964593">
    <w:abstractNumId w:val="31"/>
  </w:num>
  <w:num w:numId="37" w16cid:durableId="1053574847">
    <w:abstractNumId w:val="32"/>
  </w:num>
  <w:num w:numId="38" w16cid:durableId="1847358302">
    <w:abstractNumId w:val="33"/>
  </w:num>
  <w:num w:numId="39" w16cid:durableId="1730349509">
    <w:abstractNumId w:val="36"/>
  </w:num>
  <w:num w:numId="40" w16cid:durableId="1052926306">
    <w:abstractNumId w:val="37"/>
  </w:num>
  <w:num w:numId="41" w16cid:durableId="725184217">
    <w:abstractNumId w:val="43"/>
  </w:num>
  <w:num w:numId="42" w16cid:durableId="207571935">
    <w:abstractNumId w:val="46"/>
  </w:num>
  <w:num w:numId="43" w16cid:durableId="858859110">
    <w:abstractNumId w:val="47"/>
  </w:num>
  <w:num w:numId="44" w16cid:durableId="1025054448">
    <w:abstractNumId w:val="49"/>
  </w:num>
  <w:num w:numId="45" w16cid:durableId="1152795211">
    <w:abstractNumId w:val="50"/>
  </w:num>
  <w:num w:numId="46" w16cid:durableId="698942798">
    <w:abstractNumId w:val="52"/>
  </w:num>
  <w:num w:numId="47" w16cid:durableId="1114326259">
    <w:abstractNumId w:val="53"/>
  </w:num>
  <w:num w:numId="48" w16cid:durableId="1475443546">
    <w:abstractNumId w:val="54"/>
  </w:num>
  <w:num w:numId="49" w16cid:durableId="376979768">
    <w:abstractNumId w:val="55"/>
  </w:num>
  <w:num w:numId="50" w16cid:durableId="1365519047">
    <w:abstractNumId w:val="56"/>
  </w:num>
  <w:num w:numId="51" w16cid:durableId="1515916335">
    <w:abstractNumId w:val="19"/>
  </w:num>
  <w:num w:numId="52" w16cid:durableId="100993923">
    <w:abstractNumId w:val="38"/>
  </w:num>
  <w:num w:numId="53" w16cid:durableId="774205286">
    <w:abstractNumId w:val="48"/>
  </w:num>
  <w:num w:numId="54" w16cid:durableId="2145924655">
    <w:abstractNumId w:val="42"/>
  </w:num>
  <w:num w:numId="55" w16cid:durableId="1791974485">
    <w:abstractNumId w:val="4"/>
  </w:num>
  <w:num w:numId="56" w16cid:durableId="79183691">
    <w:abstractNumId w:val="40"/>
  </w:num>
  <w:num w:numId="57" w16cid:durableId="797528573">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34"/>
    <w:rsid w:val="00002249"/>
    <w:rsid w:val="000032F2"/>
    <w:rsid w:val="00003E4D"/>
    <w:rsid w:val="00006E1F"/>
    <w:rsid w:val="000070D7"/>
    <w:rsid w:val="00010E14"/>
    <w:rsid w:val="00011314"/>
    <w:rsid w:val="00011B6D"/>
    <w:rsid w:val="00015EE3"/>
    <w:rsid w:val="0001788C"/>
    <w:rsid w:val="000209BC"/>
    <w:rsid w:val="00025241"/>
    <w:rsid w:val="000257E2"/>
    <w:rsid w:val="000337EF"/>
    <w:rsid w:val="00035A78"/>
    <w:rsid w:val="00036406"/>
    <w:rsid w:val="00037735"/>
    <w:rsid w:val="00040C3A"/>
    <w:rsid w:val="000419AD"/>
    <w:rsid w:val="00041C6A"/>
    <w:rsid w:val="0004299E"/>
    <w:rsid w:val="000433C9"/>
    <w:rsid w:val="000471CB"/>
    <w:rsid w:val="0004737C"/>
    <w:rsid w:val="0005329F"/>
    <w:rsid w:val="00053999"/>
    <w:rsid w:val="00055F12"/>
    <w:rsid w:val="00065CCC"/>
    <w:rsid w:val="00066914"/>
    <w:rsid w:val="000673D0"/>
    <w:rsid w:val="000716C5"/>
    <w:rsid w:val="00071E0A"/>
    <w:rsid w:val="00075E23"/>
    <w:rsid w:val="00081738"/>
    <w:rsid w:val="00085089"/>
    <w:rsid w:val="0008509C"/>
    <w:rsid w:val="000860B7"/>
    <w:rsid w:val="000869F2"/>
    <w:rsid w:val="00087F17"/>
    <w:rsid w:val="0009344A"/>
    <w:rsid w:val="000A1F52"/>
    <w:rsid w:val="000A2E30"/>
    <w:rsid w:val="000A392E"/>
    <w:rsid w:val="000A575F"/>
    <w:rsid w:val="000A5C9C"/>
    <w:rsid w:val="000B04D4"/>
    <w:rsid w:val="000B5E85"/>
    <w:rsid w:val="000B5F09"/>
    <w:rsid w:val="000B60EE"/>
    <w:rsid w:val="000C19A4"/>
    <w:rsid w:val="000C36BA"/>
    <w:rsid w:val="000C4254"/>
    <w:rsid w:val="000C4F28"/>
    <w:rsid w:val="000C7990"/>
    <w:rsid w:val="000D05CB"/>
    <w:rsid w:val="000D10DB"/>
    <w:rsid w:val="000D59A1"/>
    <w:rsid w:val="000D7054"/>
    <w:rsid w:val="000E11B5"/>
    <w:rsid w:val="000E30B4"/>
    <w:rsid w:val="000E4C00"/>
    <w:rsid w:val="000E5EB5"/>
    <w:rsid w:val="000F274A"/>
    <w:rsid w:val="000F2AED"/>
    <w:rsid w:val="000F35ED"/>
    <w:rsid w:val="000F4A1A"/>
    <w:rsid w:val="000F6D2E"/>
    <w:rsid w:val="001003A0"/>
    <w:rsid w:val="001045CC"/>
    <w:rsid w:val="00104635"/>
    <w:rsid w:val="00104C5C"/>
    <w:rsid w:val="00105964"/>
    <w:rsid w:val="00105C5F"/>
    <w:rsid w:val="00107131"/>
    <w:rsid w:val="0010736F"/>
    <w:rsid w:val="001101FC"/>
    <w:rsid w:val="00112151"/>
    <w:rsid w:val="001123A2"/>
    <w:rsid w:val="00113628"/>
    <w:rsid w:val="00113D1B"/>
    <w:rsid w:val="00113F73"/>
    <w:rsid w:val="00117A2F"/>
    <w:rsid w:val="00117B6F"/>
    <w:rsid w:val="0012079F"/>
    <w:rsid w:val="00121CC2"/>
    <w:rsid w:val="00126214"/>
    <w:rsid w:val="00126AE2"/>
    <w:rsid w:val="00131425"/>
    <w:rsid w:val="00133EE5"/>
    <w:rsid w:val="0013416A"/>
    <w:rsid w:val="001368CA"/>
    <w:rsid w:val="001374C6"/>
    <w:rsid w:val="001401BA"/>
    <w:rsid w:val="00141AB7"/>
    <w:rsid w:val="00144747"/>
    <w:rsid w:val="001466DA"/>
    <w:rsid w:val="00153541"/>
    <w:rsid w:val="00154020"/>
    <w:rsid w:val="0015416D"/>
    <w:rsid w:val="001550D0"/>
    <w:rsid w:val="001567E6"/>
    <w:rsid w:val="00157299"/>
    <w:rsid w:val="001617DC"/>
    <w:rsid w:val="00167A34"/>
    <w:rsid w:val="0017532D"/>
    <w:rsid w:val="0017592E"/>
    <w:rsid w:val="00176949"/>
    <w:rsid w:val="001810AD"/>
    <w:rsid w:val="00182339"/>
    <w:rsid w:val="00182E4D"/>
    <w:rsid w:val="0019232F"/>
    <w:rsid w:val="00197498"/>
    <w:rsid w:val="001A30E7"/>
    <w:rsid w:val="001A32F1"/>
    <w:rsid w:val="001A339B"/>
    <w:rsid w:val="001A6372"/>
    <w:rsid w:val="001A7870"/>
    <w:rsid w:val="001B3A00"/>
    <w:rsid w:val="001B4020"/>
    <w:rsid w:val="001B7231"/>
    <w:rsid w:val="001C15DD"/>
    <w:rsid w:val="001C1B41"/>
    <w:rsid w:val="001C5FEE"/>
    <w:rsid w:val="001D016C"/>
    <w:rsid w:val="001D07EA"/>
    <w:rsid w:val="001D123D"/>
    <w:rsid w:val="001D21E6"/>
    <w:rsid w:val="001D37F7"/>
    <w:rsid w:val="001D5F57"/>
    <w:rsid w:val="001D65EF"/>
    <w:rsid w:val="001D6969"/>
    <w:rsid w:val="001E3B59"/>
    <w:rsid w:val="001E3C36"/>
    <w:rsid w:val="001E49E7"/>
    <w:rsid w:val="001E5275"/>
    <w:rsid w:val="001E67A8"/>
    <w:rsid w:val="001E735F"/>
    <w:rsid w:val="001E7E38"/>
    <w:rsid w:val="001F2442"/>
    <w:rsid w:val="001F2F1A"/>
    <w:rsid w:val="001F519C"/>
    <w:rsid w:val="001F7201"/>
    <w:rsid w:val="00205144"/>
    <w:rsid w:val="002051A8"/>
    <w:rsid w:val="00206FAA"/>
    <w:rsid w:val="0021644C"/>
    <w:rsid w:val="00223A29"/>
    <w:rsid w:val="002250A3"/>
    <w:rsid w:val="00226356"/>
    <w:rsid w:val="002268F5"/>
    <w:rsid w:val="002274F2"/>
    <w:rsid w:val="002307D0"/>
    <w:rsid w:val="00233029"/>
    <w:rsid w:val="0023428F"/>
    <w:rsid w:val="00235217"/>
    <w:rsid w:val="00237D03"/>
    <w:rsid w:val="0024662D"/>
    <w:rsid w:val="00246D1F"/>
    <w:rsid w:val="00247403"/>
    <w:rsid w:val="00247542"/>
    <w:rsid w:val="00247E03"/>
    <w:rsid w:val="00251CF1"/>
    <w:rsid w:val="00254358"/>
    <w:rsid w:val="00264C0A"/>
    <w:rsid w:val="00264DDC"/>
    <w:rsid w:val="00266B61"/>
    <w:rsid w:val="0026712A"/>
    <w:rsid w:val="002671D8"/>
    <w:rsid w:val="0026743E"/>
    <w:rsid w:val="00267E65"/>
    <w:rsid w:val="002704DB"/>
    <w:rsid w:val="0027522A"/>
    <w:rsid w:val="00275ED3"/>
    <w:rsid w:val="00276AD6"/>
    <w:rsid w:val="0028021C"/>
    <w:rsid w:val="0028614B"/>
    <w:rsid w:val="00291B95"/>
    <w:rsid w:val="00292A6E"/>
    <w:rsid w:val="002A0AAE"/>
    <w:rsid w:val="002A144D"/>
    <w:rsid w:val="002A2591"/>
    <w:rsid w:val="002A2C4F"/>
    <w:rsid w:val="002A3E0F"/>
    <w:rsid w:val="002A440F"/>
    <w:rsid w:val="002A486E"/>
    <w:rsid w:val="002A4B7D"/>
    <w:rsid w:val="002A5820"/>
    <w:rsid w:val="002A5B89"/>
    <w:rsid w:val="002A61E8"/>
    <w:rsid w:val="002A738C"/>
    <w:rsid w:val="002C22B3"/>
    <w:rsid w:val="002C28F1"/>
    <w:rsid w:val="002C3743"/>
    <w:rsid w:val="002C6060"/>
    <w:rsid w:val="002D116E"/>
    <w:rsid w:val="002D11A6"/>
    <w:rsid w:val="002D2B26"/>
    <w:rsid w:val="002D4985"/>
    <w:rsid w:val="002D6647"/>
    <w:rsid w:val="002D7EA2"/>
    <w:rsid w:val="002E0F1D"/>
    <w:rsid w:val="002E187C"/>
    <w:rsid w:val="002E34E2"/>
    <w:rsid w:val="002E4F32"/>
    <w:rsid w:val="002F1B73"/>
    <w:rsid w:val="002F1E9E"/>
    <w:rsid w:val="002F4063"/>
    <w:rsid w:val="002F51AD"/>
    <w:rsid w:val="002F5874"/>
    <w:rsid w:val="00301FB4"/>
    <w:rsid w:val="00302733"/>
    <w:rsid w:val="00302B45"/>
    <w:rsid w:val="00304BD4"/>
    <w:rsid w:val="00305A53"/>
    <w:rsid w:val="00311431"/>
    <w:rsid w:val="003131A0"/>
    <w:rsid w:val="00313A21"/>
    <w:rsid w:val="00314078"/>
    <w:rsid w:val="00314EED"/>
    <w:rsid w:val="0031535D"/>
    <w:rsid w:val="0031577F"/>
    <w:rsid w:val="003208EB"/>
    <w:rsid w:val="00323767"/>
    <w:rsid w:val="003239B8"/>
    <w:rsid w:val="003251A6"/>
    <w:rsid w:val="0032599E"/>
    <w:rsid w:val="00330572"/>
    <w:rsid w:val="0033169F"/>
    <w:rsid w:val="00331C11"/>
    <w:rsid w:val="00336A24"/>
    <w:rsid w:val="00344977"/>
    <w:rsid w:val="003457A8"/>
    <w:rsid w:val="00346C95"/>
    <w:rsid w:val="003509DF"/>
    <w:rsid w:val="00351DE5"/>
    <w:rsid w:val="003554C6"/>
    <w:rsid w:val="00356185"/>
    <w:rsid w:val="00356657"/>
    <w:rsid w:val="00356971"/>
    <w:rsid w:val="003569B2"/>
    <w:rsid w:val="00360380"/>
    <w:rsid w:val="00361142"/>
    <w:rsid w:val="00362BAC"/>
    <w:rsid w:val="00362F12"/>
    <w:rsid w:val="00364357"/>
    <w:rsid w:val="00365178"/>
    <w:rsid w:val="003654E4"/>
    <w:rsid w:val="00365AD1"/>
    <w:rsid w:val="00365BD9"/>
    <w:rsid w:val="003713EF"/>
    <w:rsid w:val="00373167"/>
    <w:rsid w:val="00373582"/>
    <w:rsid w:val="0037362F"/>
    <w:rsid w:val="00373A17"/>
    <w:rsid w:val="0037519E"/>
    <w:rsid w:val="0037699B"/>
    <w:rsid w:val="00376E23"/>
    <w:rsid w:val="00380FF8"/>
    <w:rsid w:val="00381F8A"/>
    <w:rsid w:val="003824B2"/>
    <w:rsid w:val="003855CA"/>
    <w:rsid w:val="00386CF0"/>
    <w:rsid w:val="003916F7"/>
    <w:rsid w:val="00393C5B"/>
    <w:rsid w:val="00394309"/>
    <w:rsid w:val="003A2662"/>
    <w:rsid w:val="003A29C7"/>
    <w:rsid w:val="003A3251"/>
    <w:rsid w:val="003A3AB5"/>
    <w:rsid w:val="003A4BCC"/>
    <w:rsid w:val="003A6EE5"/>
    <w:rsid w:val="003B212E"/>
    <w:rsid w:val="003B62D0"/>
    <w:rsid w:val="003B6E60"/>
    <w:rsid w:val="003B70FB"/>
    <w:rsid w:val="003B7687"/>
    <w:rsid w:val="003C02EA"/>
    <w:rsid w:val="003C1333"/>
    <w:rsid w:val="003C4E89"/>
    <w:rsid w:val="003C6443"/>
    <w:rsid w:val="003C646E"/>
    <w:rsid w:val="003C66E9"/>
    <w:rsid w:val="003C676B"/>
    <w:rsid w:val="003D0C10"/>
    <w:rsid w:val="003D1835"/>
    <w:rsid w:val="003D1C06"/>
    <w:rsid w:val="003D3BC2"/>
    <w:rsid w:val="003D5B2C"/>
    <w:rsid w:val="003D7406"/>
    <w:rsid w:val="003E0FC5"/>
    <w:rsid w:val="003E6CA1"/>
    <w:rsid w:val="003E73FA"/>
    <w:rsid w:val="003E7593"/>
    <w:rsid w:val="003E77F5"/>
    <w:rsid w:val="003F1CBE"/>
    <w:rsid w:val="003F4411"/>
    <w:rsid w:val="003F489A"/>
    <w:rsid w:val="003F49F8"/>
    <w:rsid w:val="003F7988"/>
    <w:rsid w:val="0040436E"/>
    <w:rsid w:val="004065A8"/>
    <w:rsid w:val="00410A48"/>
    <w:rsid w:val="004165C2"/>
    <w:rsid w:val="00417054"/>
    <w:rsid w:val="004204F9"/>
    <w:rsid w:val="00420BDC"/>
    <w:rsid w:val="0042111E"/>
    <w:rsid w:val="00425310"/>
    <w:rsid w:val="004257A1"/>
    <w:rsid w:val="00430943"/>
    <w:rsid w:val="00435B3A"/>
    <w:rsid w:val="00436676"/>
    <w:rsid w:val="00441ECB"/>
    <w:rsid w:val="00445193"/>
    <w:rsid w:val="00445499"/>
    <w:rsid w:val="0044664D"/>
    <w:rsid w:val="00446732"/>
    <w:rsid w:val="004516EF"/>
    <w:rsid w:val="00451A56"/>
    <w:rsid w:val="00451C0F"/>
    <w:rsid w:val="00462C1B"/>
    <w:rsid w:val="0046618C"/>
    <w:rsid w:val="004668BA"/>
    <w:rsid w:val="00467B7E"/>
    <w:rsid w:val="0047104A"/>
    <w:rsid w:val="00471E01"/>
    <w:rsid w:val="00471F3C"/>
    <w:rsid w:val="00473BB4"/>
    <w:rsid w:val="00473F08"/>
    <w:rsid w:val="00477592"/>
    <w:rsid w:val="004868D2"/>
    <w:rsid w:val="00486F1C"/>
    <w:rsid w:val="00487C39"/>
    <w:rsid w:val="00490580"/>
    <w:rsid w:val="004906B7"/>
    <w:rsid w:val="00490A20"/>
    <w:rsid w:val="0049419D"/>
    <w:rsid w:val="004A3F23"/>
    <w:rsid w:val="004A4E60"/>
    <w:rsid w:val="004A5844"/>
    <w:rsid w:val="004A5ECF"/>
    <w:rsid w:val="004A6A54"/>
    <w:rsid w:val="004B0326"/>
    <w:rsid w:val="004B167A"/>
    <w:rsid w:val="004B17D4"/>
    <w:rsid w:val="004B2A02"/>
    <w:rsid w:val="004B3514"/>
    <w:rsid w:val="004C02D0"/>
    <w:rsid w:val="004C20D2"/>
    <w:rsid w:val="004C2312"/>
    <w:rsid w:val="004C2929"/>
    <w:rsid w:val="004C3797"/>
    <w:rsid w:val="004C4B62"/>
    <w:rsid w:val="004C54C9"/>
    <w:rsid w:val="004D0428"/>
    <w:rsid w:val="004D308D"/>
    <w:rsid w:val="004D4ABA"/>
    <w:rsid w:val="004D6025"/>
    <w:rsid w:val="004D6473"/>
    <w:rsid w:val="004E2649"/>
    <w:rsid w:val="004E6A1A"/>
    <w:rsid w:val="004F1B82"/>
    <w:rsid w:val="004F3B33"/>
    <w:rsid w:val="004F5393"/>
    <w:rsid w:val="004F5E85"/>
    <w:rsid w:val="004F626F"/>
    <w:rsid w:val="00500C55"/>
    <w:rsid w:val="00501399"/>
    <w:rsid w:val="00501549"/>
    <w:rsid w:val="00504A25"/>
    <w:rsid w:val="0050633D"/>
    <w:rsid w:val="00507BC4"/>
    <w:rsid w:val="00510B50"/>
    <w:rsid w:val="005128E4"/>
    <w:rsid w:val="005133DB"/>
    <w:rsid w:val="00514504"/>
    <w:rsid w:val="005151B9"/>
    <w:rsid w:val="00523BA0"/>
    <w:rsid w:val="00524110"/>
    <w:rsid w:val="00525560"/>
    <w:rsid w:val="005255C7"/>
    <w:rsid w:val="0052764A"/>
    <w:rsid w:val="00531B87"/>
    <w:rsid w:val="00532D2F"/>
    <w:rsid w:val="005333DB"/>
    <w:rsid w:val="00541079"/>
    <w:rsid w:val="00544C49"/>
    <w:rsid w:val="00546001"/>
    <w:rsid w:val="005516A1"/>
    <w:rsid w:val="00552609"/>
    <w:rsid w:val="0055412A"/>
    <w:rsid w:val="00554210"/>
    <w:rsid w:val="00554F89"/>
    <w:rsid w:val="005559EF"/>
    <w:rsid w:val="00557A0F"/>
    <w:rsid w:val="00560CF2"/>
    <w:rsid w:val="005611B5"/>
    <w:rsid w:val="005620F5"/>
    <w:rsid w:val="00563557"/>
    <w:rsid w:val="00565BB3"/>
    <w:rsid w:val="0057402A"/>
    <w:rsid w:val="005771D0"/>
    <w:rsid w:val="0058073A"/>
    <w:rsid w:val="00587B97"/>
    <w:rsid w:val="0059191A"/>
    <w:rsid w:val="00592012"/>
    <w:rsid w:val="005921FF"/>
    <w:rsid w:val="005A1484"/>
    <w:rsid w:val="005A24ED"/>
    <w:rsid w:val="005A45DC"/>
    <w:rsid w:val="005A6D0E"/>
    <w:rsid w:val="005A7843"/>
    <w:rsid w:val="005A7B0B"/>
    <w:rsid w:val="005A7F94"/>
    <w:rsid w:val="005B110D"/>
    <w:rsid w:val="005B4A4F"/>
    <w:rsid w:val="005B5111"/>
    <w:rsid w:val="005B52B0"/>
    <w:rsid w:val="005B55BC"/>
    <w:rsid w:val="005B6806"/>
    <w:rsid w:val="005B6C96"/>
    <w:rsid w:val="005C0B98"/>
    <w:rsid w:val="005C3B7C"/>
    <w:rsid w:val="005C4225"/>
    <w:rsid w:val="005C57DF"/>
    <w:rsid w:val="005C633E"/>
    <w:rsid w:val="005C709F"/>
    <w:rsid w:val="005D6206"/>
    <w:rsid w:val="005E14FD"/>
    <w:rsid w:val="005E25E7"/>
    <w:rsid w:val="005E4305"/>
    <w:rsid w:val="005E4373"/>
    <w:rsid w:val="005E49DC"/>
    <w:rsid w:val="005F0DAD"/>
    <w:rsid w:val="005F0F33"/>
    <w:rsid w:val="005F1955"/>
    <w:rsid w:val="005F23F5"/>
    <w:rsid w:val="005F2C7C"/>
    <w:rsid w:val="005F48C6"/>
    <w:rsid w:val="005F5384"/>
    <w:rsid w:val="005F751B"/>
    <w:rsid w:val="005F758E"/>
    <w:rsid w:val="005F7A8D"/>
    <w:rsid w:val="00600DEB"/>
    <w:rsid w:val="00601F26"/>
    <w:rsid w:val="00604A47"/>
    <w:rsid w:val="00605251"/>
    <w:rsid w:val="00606BB7"/>
    <w:rsid w:val="00607435"/>
    <w:rsid w:val="00607ADF"/>
    <w:rsid w:val="00610B1D"/>
    <w:rsid w:val="00620C25"/>
    <w:rsid w:val="00621542"/>
    <w:rsid w:val="006276B6"/>
    <w:rsid w:val="00627C9F"/>
    <w:rsid w:val="00630487"/>
    <w:rsid w:val="006311E9"/>
    <w:rsid w:val="00632354"/>
    <w:rsid w:val="00633346"/>
    <w:rsid w:val="00633AC5"/>
    <w:rsid w:val="00635421"/>
    <w:rsid w:val="00642810"/>
    <w:rsid w:val="00652333"/>
    <w:rsid w:val="0065778B"/>
    <w:rsid w:val="00663C6C"/>
    <w:rsid w:val="0066409B"/>
    <w:rsid w:val="00664238"/>
    <w:rsid w:val="00665B62"/>
    <w:rsid w:val="00665DD5"/>
    <w:rsid w:val="006704A5"/>
    <w:rsid w:val="00673874"/>
    <w:rsid w:val="006738EF"/>
    <w:rsid w:val="0068009E"/>
    <w:rsid w:val="00682149"/>
    <w:rsid w:val="006858EF"/>
    <w:rsid w:val="00690172"/>
    <w:rsid w:val="00692219"/>
    <w:rsid w:val="006951AC"/>
    <w:rsid w:val="006A17D2"/>
    <w:rsid w:val="006A4394"/>
    <w:rsid w:val="006A73E6"/>
    <w:rsid w:val="006B2D5C"/>
    <w:rsid w:val="006B3E37"/>
    <w:rsid w:val="006C4EB1"/>
    <w:rsid w:val="006C5664"/>
    <w:rsid w:val="006C608F"/>
    <w:rsid w:val="006D0801"/>
    <w:rsid w:val="006D0A37"/>
    <w:rsid w:val="006D3507"/>
    <w:rsid w:val="006D5663"/>
    <w:rsid w:val="006D5F03"/>
    <w:rsid w:val="006E0166"/>
    <w:rsid w:val="006E08CF"/>
    <w:rsid w:val="006E0D53"/>
    <w:rsid w:val="006E0F71"/>
    <w:rsid w:val="006E118B"/>
    <w:rsid w:val="006E2CC8"/>
    <w:rsid w:val="006E2FFB"/>
    <w:rsid w:val="006E6B6D"/>
    <w:rsid w:val="006E7B34"/>
    <w:rsid w:val="006F10A1"/>
    <w:rsid w:val="006F2385"/>
    <w:rsid w:val="007024CB"/>
    <w:rsid w:val="0070277F"/>
    <w:rsid w:val="00702934"/>
    <w:rsid w:val="00703653"/>
    <w:rsid w:val="0070697F"/>
    <w:rsid w:val="00712984"/>
    <w:rsid w:val="00715306"/>
    <w:rsid w:val="00716E5F"/>
    <w:rsid w:val="0071763B"/>
    <w:rsid w:val="007210FF"/>
    <w:rsid w:val="0072199C"/>
    <w:rsid w:val="00721D45"/>
    <w:rsid w:val="00722C9F"/>
    <w:rsid w:val="00723A77"/>
    <w:rsid w:val="00724B1F"/>
    <w:rsid w:val="007253B8"/>
    <w:rsid w:val="00725D27"/>
    <w:rsid w:val="00726F26"/>
    <w:rsid w:val="00731055"/>
    <w:rsid w:val="00731916"/>
    <w:rsid w:val="00732A27"/>
    <w:rsid w:val="00734185"/>
    <w:rsid w:val="00735AD3"/>
    <w:rsid w:val="00736C05"/>
    <w:rsid w:val="00737197"/>
    <w:rsid w:val="0073741F"/>
    <w:rsid w:val="00740046"/>
    <w:rsid w:val="00742C48"/>
    <w:rsid w:val="00742C85"/>
    <w:rsid w:val="0074464F"/>
    <w:rsid w:val="00744E0F"/>
    <w:rsid w:val="007460E4"/>
    <w:rsid w:val="00750B9E"/>
    <w:rsid w:val="0075440A"/>
    <w:rsid w:val="0075791D"/>
    <w:rsid w:val="00757DD4"/>
    <w:rsid w:val="00760879"/>
    <w:rsid w:val="0076643F"/>
    <w:rsid w:val="0076659F"/>
    <w:rsid w:val="0077184A"/>
    <w:rsid w:val="00773BFC"/>
    <w:rsid w:val="00777EB2"/>
    <w:rsid w:val="00777F63"/>
    <w:rsid w:val="007804DB"/>
    <w:rsid w:val="007819E5"/>
    <w:rsid w:val="007822E2"/>
    <w:rsid w:val="007847C1"/>
    <w:rsid w:val="0078629E"/>
    <w:rsid w:val="007922E4"/>
    <w:rsid w:val="00793D8F"/>
    <w:rsid w:val="007A22D1"/>
    <w:rsid w:val="007A358A"/>
    <w:rsid w:val="007A5817"/>
    <w:rsid w:val="007A7794"/>
    <w:rsid w:val="007B0324"/>
    <w:rsid w:val="007B05C4"/>
    <w:rsid w:val="007B09A9"/>
    <w:rsid w:val="007B60E9"/>
    <w:rsid w:val="007B6CC3"/>
    <w:rsid w:val="007B76D3"/>
    <w:rsid w:val="007C1571"/>
    <w:rsid w:val="007C2919"/>
    <w:rsid w:val="007C3334"/>
    <w:rsid w:val="007C5A3E"/>
    <w:rsid w:val="007C7C8F"/>
    <w:rsid w:val="007D0447"/>
    <w:rsid w:val="007D2698"/>
    <w:rsid w:val="007D2B93"/>
    <w:rsid w:val="007D2B98"/>
    <w:rsid w:val="007D2C68"/>
    <w:rsid w:val="007D4F71"/>
    <w:rsid w:val="007D5C32"/>
    <w:rsid w:val="007E21BC"/>
    <w:rsid w:val="007E31D8"/>
    <w:rsid w:val="007E3825"/>
    <w:rsid w:val="007E5670"/>
    <w:rsid w:val="007E626F"/>
    <w:rsid w:val="007E722E"/>
    <w:rsid w:val="007E7C82"/>
    <w:rsid w:val="007F1B7D"/>
    <w:rsid w:val="007F2AA1"/>
    <w:rsid w:val="007F5440"/>
    <w:rsid w:val="007F588D"/>
    <w:rsid w:val="007F58C0"/>
    <w:rsid w:val="0080128E"/>
    <w:rsid w:val="0080185B"/>
    <w:rsid w:val="00803F1C"/>
    <w:rsid w:val="00803F54"/>
    <w:rsid w:val="0080600E"/>
    <w:rsid w:val="00810015"/>
    <w:rsid w:val="00810020"/>
    <w:rsid w:val="008125A0"/>
    <w:rsid w:val="00812BAD"/>
    <w:rsid w:val="008135D0"/>
    <w:rsid w:val="00813ED5"/>
    <w:rsid w:val="0081400A"/>
    <w:rsid w:val="00814688"/>
    <w:rsid w:val="00814998"/>
    <w:rsid w:val="008152DE"/>
    <w:rsid w:val="00816E4F"/>
    <w:rsid w:val="00817612"/>
    <w:rsid w:val="00817A73"/>
    <w:rsid w:val="008216AC"/>
    <w:rsid w:val="008217E8"/>
    <w:rsid w:val="00821C9A"/>
    <w:rsid w:val="008250BD"/>
    <w:rsid w:val="008338A4"/>
    <w:rsid w:val="00834D49"/>
    <w:rsid w:val="008351F2"/>
    <w:rsid w:val="00837C45"/>
    <w:rsid w:val="00840903"/>
    <w:rsid w:val="00841FCA"/>
    <w:rsid w:val="00842B59"/>
    <w:rsid w:val="00844730"/>
    <w:rsid w:val="008457C2"/>
    <w:rsid w:val="0085080C"/>
    <w:rsid w:val="00850DCB"/>
    <w:rsid w:val="00856E3F"/>
    <w:rsid w:val="00857A82"/>
    <w:rsid w:val="008615B0"/>
    <w:rsid w:val="00862B09"/>
    <w:rsid w:val="00870064"/>
    <w:rsid w:val="008717D6"/>
    <w:rsid w:val="00872DFB"/>
    <w:rsid w:val="00873816"/>
    <w:rsid w:val="00873836"/>
    <w:rsid w:val="00875ADF"/>
    <w:rsid w:val="0087734A"/>
    <w:rsid w:val="0088448C"/>
    <w:rsid w:val="00885542"/>
    <w:rsid w:val="00885737"/>
    <w:rsid w:val="00886A61"/>
    <w:rsid w:val="0088703B"/>
    <w:rsid w:val="0088758D"/>
    <w:rsid w:val="00890650"/>
    <w:rsid w:val="00890DCA"/>
    <w:rsid w:val="008947D6"/>
    <w:rsid w:val="0089527D"/>
    <w:rsid w:val="008963AD"/>
    <w:rsid w:val="00897E12"/>
    <w:rsid w:val="008A3BD2"/>
    <w:rsid w:val="008A4F04"/>
    <w:rsid w:val="008A68DA"/>
    <w:rsid w:val="008A7C5C"/>
    <w:rsid w:val="008A7E0F"/>
    <w:rsid w:val="008B12F5"/>
    <w:rsid w:val="008B1F4A"/>
    <w:rsid w:val="008B2145"/>
    <w:rsid w:val="008B32BA"/>
    <w:rsid w:val="008B4291"/>
    <w:rsid w:val="008B5ECF"/>
    <w:rsid w:val="008B7990"/>
    <w:rsid w:val="008C28B8"/>
    <w:rsid w:val="008C3366"/>
    <w:rsid w:val="008C5551"/>
    <w:rsid w:val="008C5E2D"/>
    <w:rsid w:val="008D1350"/>
    <w:rsid w:val="008D64AD"/>
    <w:rsid w:val="008D6DF3"/>
    <w:rsid w:val="008D768D"/>
    <w:rsid w:val="008E0C08"/>
    <w:rsid w:val="008E3759"/>
    <w:rsid w:val="008E3BFE"/>
    <w:rsid w:val="008E4806"/>
    <w:rsid w:val="008E57DC"/>
    <w:rsid w:val="008F1912"/>
    <w:rsid w:val="008F79C2"/>
    <w:rsid w:val="0090270B"/>
    <w:rsid w:val="009041DC"/>
    <w:rsid w:val="00905182"/>
    <w:rsid w:val="00907E6C"/>
    <w:rsid w:val="00912517"/>
    <w:rsid w:val="00912D32"/>
    <w:rsid w:val="009145F7"/>
    <w:rsid w:val="00914741"/>
    <w:rsid w:val="00916C21"/>
    <w:rsid w:val="00917B5A"/>
    <w:rsid w:val="00920A58"/>
    <w:rsid w:val="00920A8C"/>
    <w:rsid w:val="00921C09"/>
    <w:rsid w:val="00921C4E"/>
    <w:rsid w:val="009234B7"/>
    <w:rsid w:val="00923AA1"/>
    <w:rsid w:val="00932FD8"/>
    <w:rsid w:val="0093324F"/>
    <w:rsid w:val="00933E2F"/>
    <w:rsid w:val="009344C2"/>
    <w:rsid w:val="009345DD"/>
    <w:rsid w:val="00934A2C"/>
    <w:rsid w:val="00937ABC"/>
    <w:rsid w:val="00957C67"/>
    <w:rsid w:val="00957D0C"/>
    <w:rsid w:val="0096352D"/>
    <w:rsid w:val="00963548"/>
    <w:rsid w:val="0096706E"/>
    <w:rsid w:val="00970AAB"/>
    <w:rsid w:val="00972031"/>
    <w:rsid w:val="00974491"/>
    <w:rsid w:val="00975008"/>
    <w:rsid w:val="009757BD"/>
    <w:rsid w:val="00975C4E"/>
    <w:rsid w:val="00981FBA"/>
    <w:rsid w:val="0098294B"/>
    <w:rsid w:val="009859AA"/>
    <w:rsid w:val="0098726A"/>
    <w:rsid w:val="00987F81"/>
    <w:rsid w:val="00992798"/>
    <w:rsid w:val="009927FF"/>
    <w:rsid w:val="0099433A"/>
    <w:rsid w:val="00997BC5"/>
    <w:rsid w:val="00997DCD"/>
    <w:rsid w:val="009A4E9B"/>
    <w:rsid w:val="009A4F41"/>
    <w:rsid w:val="009A5505"/>
    <w:rsid w:val="009A6897"/>
    <w:rsid w:val="009A7231"/>
    <w:rsid w:val="009A79B7"/>
    <w:rsid w:val="009B2BBA"/>
    <w:rsid w:val="009B381B"/>
    <w:rsid w:val="009B51A5"/>
    <w:rsid w:val="009B5489"/>
    <w:rsid w:val="009C41AE"/>
    <w:rsid w:val="009C7CCA"/>
    <w:rsid w:val="009C7CDB"/>
    <w:rsid w:val="009D0ABE"/>
    <w:rsid w:val="009D1753"/>
    <w:rsid w:val="009D5365"/>
    <w:rsid w:val="009D70DD"/>
    <w:rsid w:val="009D7611"/>
    <w:rsid w:val="009D7A09"/>
    <w:rsid w:val="009E0B61"/>
    <w:rsid w:val="009E0D82"/>
    <w:rsid w:val="009E26D9"/>
    <w:rsid w:val="009E53DE"/>
    <w:rsid w:val="009F1E64"/>
    <w:rsid w:val="009F2854"/>
    <w:rsid w:val="009F5BFB"/>
    <w:rsid w:val="00A00483"/>
    <w:rsid w:val="00A030BC"/>
    <w:rsid w:val="00A03A53"/>
    <w:rsid w:val="00A05845"/>
    <w:rsid w:val="00A064DB"/>
    <w:rsid w:val="00A11212"/>
    <w:rsid w:val="00A11590"/>
    <w:rsid w:val="00A11E44"/>
    <w:rsid w:val="00A143FF"/>
    <w:rsid w:val="00A15E2E"/>
    <w:rsid w:val="00A166C0"/>
    <w:rsid w:val="00A17072"/>
    <w:rsid w:val="00A20254"/>
    <w:rsid w:val="00A22523"/>
    <w:rsid w:val="00A23F00"/>
    <w:rsid w:val="00A24179"/>
    <w:rsid w:val="00A27578"/>
    <w:rsid w:val="00A27F5A"/>
    <w:rsid w:val="00A30100"/>
    <w:rsid w:val="00A30219"/>
    <w:rsid w:val="00A328B3"/>
    <w:rsid w:val="00A3476B"/>
    <w:rsid w:val="00A352A2"/>
    <w:rsid w:val="00A35587"/>
    <w:rsid w:val="00A379BB"/>
    <w:rsid w:val="00A4077B"/>
    <w:rsid w:val="00A42259"/>
    <w:rsid w:val="00A42818"/>
    <w:rsid w:val="00A444D3"/>
    <w:rsid w:val="00A44D41"/>
    <w:rsid w:val="00A472D3"/>
    <w:rsid w:val="00A50FCF"/>
    <w:rsid w:val="00A520D6"/>
    <w:rsid w:val="00A528D1"/>
    <w:rsid w:val="00A579D4"/>
    <w:rsid w:val="00A610CD"/>
    <w:rsid w:val="00A63454"/>
    <w:rsid w:val="00A63AB3"/>
    <w:rsid w:val="00A664CD"/>
    <w:rsid w:val="00A665C3"/>
    <w:rsid w:val="00A66FAB"/>
    <w:rsid w:val="00A70D5C"/>
    <w:rsid w:val="00A70FAD"/>
    <w:rsid w:val="00A71136"/>
    <w:rsid w:val="00A72587"/>
    <w:rsid w:val="00A733FD"/>
    <w:rsid w:val="00A74551"/>
    <w:rsid w:val="00A752F4"/>
    <w:rsid w:val="00A758AA"/>
    <w:rsid w:val="00A80155"/>
    <w:rsid w:val="00A81165"/>
    <w:rsid w:val="00A85EFC"/>
    <w:rsid w:val="00A860CD"/>
    <w:rsid w:val="00A87C67"/>
    <w:rsid w:val="00A94CBA"/>
    <w:rsid w:val="00A96C5E"/>
    <w:rsid w:val="00A97C18"/>
    <w:rsid w:val="00AA09A2"/>
    <w:rsid w:val="00AA24D6"/>
    <w:rsid w:val="00AA7996"/>
    <w:rsid w:val="00AA79B1"/>
    <w:rsid w:val="00AB2C30"/>
    <w:rsid w:val="00AB2CF2"/>
    <w:rsid w:val="00AB7106"/>
    <w:rsid w:val="00AC073A"/>
    <w:rsid w:val="00AC0F5D"/>
    <w:rsid w:val="00AC17F8"/>
    <w:rsid w:val="00AC19CB"/>
    <w:rsid w:val="00AC3CDC"/>
    <w:rsid w:val="00AD0046"/>
    <w:rsid w:val="00AD4153"/>
    <w:rsid w:val="00AD60A5"/>
    <w:rsid w:val="00AD64F7"/>
    <w:rsid w:val="00AD7557"/>
    <w:rsid w:val="00AD7C07"/>
    <w:rsid w:val="00AE2921"/>
    <w:rsid w:val="00AE5488"/>
    <w:rsid w:val="00AE58A6"/>
    <w:rsid w:val="00AE6F91"/>
    <w:rsid w:val="00AE7248"/>
    <w:rsid w:val="00AF35AF"/>
    <w:rsid w:val="00AF3AFD"/>
    <w:rsid w:val="00AF543A"/>
    <w:rsid w:val="00AF5571"/>
    <w:rsid w:val="00AF71F2"/>
    <w:rsid w:val="00B0550E"/>
    <w:rsid w:val="00B07341"/>
    <w:rsid w:val="00B1250C"/>
    <w:rsid w:val="00B14EA5"/>
    <w:rsid w:val="00B20AEF"/>
    <w:rsid w:val="00B21B61"/>
    <w:rsid w:val="00B248BA"/>
    <w:rsid w:val="00B257D2"/>
    <w:rsid w:val="00B30539"/>
    <w:rsid w:val="00B314DB"/>
    <w:rsid w:val="00B32F19"/>
    <w:rsid w:val="00B361F2"/>
    <w:rsid w:val="00B3693C"/>
    <w:rsid w:val="00B3718B"/>
    <w:rsid w:val="00B3745F"/>
    <w:rsid w:val="00B4007F"/>
    <w:rsid w:val="00B40841"/>
    <w:rsid w:val="00B4632A"/>
    <w:rsid w:val="00B51C77"/>
    <w:rsid w:val="00B530F1"/>
    <w:rsid w:val="00B6003F"/>
    <w:rsid w:val="00B613C4"/>
    <w:rsid w:val="00B64037"/>
    <w:rsid w:val="00B65DEB"/>
    <w:rsid w:val="00B66810"/>
    <w:rsid w:val="00B67E64"/>
    <w:rsid w:val="00B705FC"/>
    <w:rsid w:val="00B72562"/>
    <w:rsid w:val="00B728EC"/>
    <w:rsid w:val="00B72B52"/>
    <w:rsid w:val="00B73A0D"/>
    <w:rsid w:val="00B750A3"/>
    <w:rsid w:val="00B80244"/>
    <w:rsid w:val="00B81813"/>
    <w:rsid w:val="00B82BFF"/>
    <w:rsid w:val="00B84777"/>
    <w:rsid w:val="00B86A63"/>
    <w:rsid w:val="00B92A4E"/>
    <w:rsid w:val="00B96ABE"/>
    <w:rsid w:val="00BA1241"/>
    <w:rsid w:val="00BA13F0"/>
    <w:rsid w:val="00BA2347"/>
    <w:rsid w:val="00BA276C"/>
    <w:rsid w:val="00BA3047"/>
    <w:rsid w:val="00BA4E51"/>
    <w:rsid w:val="00BA5FBF"/>
    <w:rsid w:val="00BA6EA3"/>
    <w:rsid w:val="00BA7B4F"/>
    <w:rsid w:val="00BB0ABC"/>
    <w:rsid w:val="00BB1DBF"/>
    <w:rsid w:val="00BB306F"/>
    <w:rsid w:val="00BB39E3"/>
    <w:rsid w:val="00BB4418"/>
    <w:rsid w:val="00BB57C3"/>
    <w:rsid w:val="00BB7714"/>
    <w:rsid w:val="00BC1341"/>
    <w:rsid w:val="00BC2458"/>
    <w:rsid w:val="00BC30AA"/>
    <w:rsid w:val="00BC568D"/>
    <w:rsid w:val="00BC5D9B"/>
    <w:rsid w:val="00BD03B1"/>
    <w:rsid w:val="00BD2133"/>
    <w:rsid w:val="00BD4400"/>
    <w:rsid w:val="00BD4B89"/>
    <w:rsid w:val="00BD5341"/>
    <w:rsid w:val="00BD57F2"/>
    <w:rsid w:val="00BD5922"/>
    <w:rsid w:val="00BD7E51"/>
    <w:rsid w:val="00BE0B3B"/>
    <w:rsid w:val="00BE29A1"/>
    <w:rsid w:val="00BE7804"/>
    <w:rsid w:val="00BF02CB"/>
    <w:rsid w:val="00BF15EC"/>
    <w:rsid w:val="00BF6FD8"/>
    <w:rsid w:val="00BF7851"/>
    <w:rsid w:val="00C03680"/>
    <w:rsid w:val="00C0492E"/>
    <w:rsid w:val="00C054DF"/>
    <w:rsid w:val="00C05D25"/>
    <w:rsid w:val="00C060B3"/>
    <w:rsid w:val="00C06298"/>
    <w:rsid w:val="00C072A3"/>
    <w:rsid w:val="00C07674"/>
    <w:rsid w:val="00C1285C"/>
    <w:rsid w:val="00C17F79"/>
    <w:rsid w:val="00C21762"/>
    <w:rsid w:val="00C21FEF"/>
    <w:rsid w:val="00C2241C"/>
    <w:rsid w:val="00C2371D"/>
    <w:rsid w:val="00C238F2"/>
    <w:rsid w:val="00C23BA4"/>
    <w:rsid w:val="00C24543"/>
    <w:rsid w:val="00C256A2"/>
    <w:rsid w:val="00C25ADB"/>
    <w:rsid w:val="00C30570"/>
    <w:rsid w:val="00C309FA"/>
    <w:rsid w:val="00C31014"/>
    <w:rsid w:val="00C35570"/>
    <w:rsid w:val="00C4071F"/>
    <w:rsid w:val="00C407F1"/>
    <w:rsid w:val="00C41FD1"/>
    <w:rsid w:val="00C421EC"/>
    <w:rsid w:val="00C4500E"/>
    <w:rsid w:val="00C46128"/>
    <w:rsid w:val="00C51515"/>
    <w:rsid w:val="00C5168D"/>
    <w:rsid w:val="00C55F04"/>
    <w:rsid w:val="00C5660B"/>
    <w:rsid w:val="00C57913"/>
    <w:rsid w:val="00C60021"/>
    <w:rsid w:val="00C63C91"/>
    <w:rsid w:val="00C64C1E"/>
    <w:rsid w:val="00C64D57"/>
    <w:rsid w:val="00C66B72"/>
    <w:rsid w:val="00C704F4"/>
    <w:rsid w:val="00C73F70"/>
    <w:rsid w:val="00C76F03"/>
    <w:rsid w:val="00C80D0E"/>
    <w:rsid w:val="00C84AD5"/>
    <w:rsid w:val="00C86343"/>
    <w:rsid w:val="00C86EB3"/>
    <w:rsid w:val="00C87AC4"/>
    <w:rsid w:val="00C902D9"/>
    <w:rsid w:val="00C9265C"/>
    <w:rsid w:val="00C932C7"/>
    <w:rsid w:val="00C9567A"/>
    <w:rsid w:val="00C96913"/>
    <w:rsid w:val="00C96BAA"/>
    <w:rsid w:val="00C97792"/>
    <w:rsid w:val="00CA74D2"/>
    <w:rsid w:val="00CA7EDA"/>
    <w:rsid w:val="00CB212D"/>
    <w:rsid w:val="00CB2660"/>
    <w:rsid w:val="00CB34AB"/>
    <w:rsid w:val="00CB7301"/>
    <w:rsid w:val="00CB7B23"/>
    <w:rsid w:val="00CB7EAF"/>
    <w:rsid w:val="00CC0525"/>
    <w:rsid w:val="00CC15DA"/>
    <w:rsid w:val="00CC5E90"/>
    <w:rsid w:val="00CC7350"/>
    <w:rsid w:val="00CD046C"/>
    <w:rsid w:val="00CD1586"/>
    <w:rsid w:val="00CD34B0"/>
    <w:rsid w:val="00CD37F6"/>
    <w:rsid w:val="00CE076C"/>
    <w:rsid w:val="00CE1CC3"/>
    <w:rsid w:val="00CE2BBD"/>
    <w:rsid w:val="00CE5199"/>
    <w:rsid w:val="00CE66D5"/>
    <w:rsid w:val="00CE6799"/>
    <w:rsid w:val="00CF2A11"/>
    <w:rsid w:val="00CF34A3"/>
    <w:rsid w:val="00CF3698"/>
    <w:rsid w:val="00CF5839"/>
    <w:rsid w:val="00CF637A"/>
    <w:rsid w:val="00D02399"/>
    <w:rsid w:val="00D049BE"/>
    <w:rsid w:val="00D059DE"/>
    <w:rsid w:val="00D05ABD"/>
    <w:rsid w:val="00D05EF0"/>
    <w:rsid w:val="00D072E9"/>
    <w:rsid w:val="00D0747A"/>
    <w:rsid w:val="00D1075C"/>
    <w:rsid w:val="00D11176"/>
    <w:rsid w:val="00D12C9E"/>
    <w:rsid w:val="00D13FCE"/>
    <w:rsid w:val="00D155B5"/>
    <w:rsid w:val="00D15D2E"/>
    <w:rsid w:val="00D16309"/>
    <w:rsid w:val="00D17253"/>
    <w:rsid w:val="00D17A70"/>
    <w:rsid w:val="00D251C2"/>
    <w:rsid w:val="00D26E66"/>
    <w:rsid w:val="00D27570"/>
    <w:rsid w:val="00D306D1"/>
    <w:rsid w:val="00D30800"/>
    <w:rsid w:val="00D34557"/>
    <w:rsid w:val="00D34786"/>
    <w:rsid w:val="00D37BFC"/>
    <w:rsid w:val="00D42170"/>
    <w:rsid w:val="00D42419"/>
    <w:rsid w:val="00D4258A"/>
    <w:rsid w:val="00D43ED2"/>
    <w:rsid w:val="00D4413D"/>
    <w:rsid w:val="00D4674B"/>
    <w:rsid w:val="00D47A8E"/>
    <w:rsid w:val="00D501CF"/>
    <w:rsid w:val="00D51337"/>
    <w:rsid w:val="00D51E4D"/>
    <w:rsid w:val="00D52D14"/>
    <w:rsid w:val="00D531F8"/>
    <w:rsid w:val="00D572CC"/>
    <w:rsid w:val="00D61E5B"/>
    <w:rsid w:val="00D64B1A"/>
    <w:rsid w:val="00D70062"/>
    <w:rsid w:val="00D712D3"/>
    <w:rsid w:val="00D71422"/>
    <w:rsid w:val="00D7212A"/>
    <w:rsid w:val="00D72DC6"/>
    <w:rsid w:val="00D73A29"/>
    <w:rsid w:val="00D74432"/>
    <w:rsid w:val="00D74920"/>
    <w:rsid w:val="00D7558D"/>
    <w:rsid w:val="00D7720E"/>
    <w:rsid w:val="00D8131C"/>
    <w:rsid w:val="00D81D92"/>
    <w:rsid w:val="00D82997"/>
    <w:rsid w:val="00D84565"/>
    <w:rsid w:val="00D876F9"/>
    <w:rsid w:val="00D93956"/>
    <w:rsid w:val="00D93C5E"/>
    <w:rsid w:val="00D9565C"/>
    <w:rsid w:val="00D95CDD"/>
    <w:rsid w:val="00D97F0A"/>
    <w:rsid w:val="00DA343A"/>
    <w:rsid w:val="00DA3646"/>
    <w:rsid w:val="00DA73CD"/>
    <w:rsid w:val="00DA7B5F"/>
    <w:rsid w:val="00DB4376"/>
    <w:rsid w:val="00DB578E"/>
    <w:rsid w:val="00DB622C"/>
    <w:rsid w:val="00DB6928"/>
    <w:rsid w:val="00DC11E7"/>
    <w:rsid w:val="00DC24AD"/>
    <w:rsid w:val="00DC24E3"/>
    <w:rsid w:val="00DC441B"/>
    <w:rsid w:val="00DC7023"/>
    <w:rsid w:val="00DC769A"/>
    <w:rsid w:val="00DD04D0"/>
    <w:rsid w:val="00DD04E7"/>
    <w:rsid w:val="00DD3D86"/>
    <w:rsid w:val="00DD4AD2"/>
    <w:rsid w:val="00DD6D87"/>
    <w:rsid w:val="00DE1023"/>
    <w:rsid w:val="00DE2897"/>
    <w:rsid w:val="00DE38E9"/>
    <w:rsid w:val="00DF074E"/>
    <w:rsid w:val="00DF13CC"/>
    <w:rsid w:val="00DF1EC4"/>
    <w:rsid w:val="00DF22B0"/>
    <w:rsid w:val="00DF4924"/>
    <w:rsid w:val="00E00097"/>
    <w:rsid w:val="00E01A3E"/>
    <w:rsid w:val="00E02CD1"/>
    <w:rsid w:val="00E0340B"/>
    <w:rsid w:val="00E04A90"/>
    <w:rsid w:val="00E0551F"/>
    <w:rsid w:val="00E05A27"/>
    <w:rsid w:val="00E079CE"/>
    <w:rsid w:val="00E07D9E"/>
    <w:rsid w:val="00E10E28"/>
    <w:rsid w:val="00E11821"/>
    <w:rsid w:val="00E219C7"/>
    <w:rsid w:val="00E24462"/>
    <w:rsid w:val="00E309CA"/>
    <w:rsid w:val="00E31D5A"/>
    <w:rsid w:val="00E33833"/>
    <w:rsid w:val="00E3481D"/>
    <w:rsid w:val="00E34913"/>
    <w:rsid w:val="00E4118C"/>
    <w:rsid w:val="00E43157"/>
    <w:rsid w:val="00E460DA"/>
    <w:rsid w:val="00E461CE"/>
    <w:rsid w:val="00E52C0E"/>
    <w:rsid w:val="00E52E83"/>
    <w:rsid w:val="00E53A0D"/>
    <w:rsid w:val="00E5473A"/>
    <w:rsid w:val="00E5617D"/>
    <w:rsid w:val="00E56B16"/>
    <w:rsid w:val="00E573E4"/>
    <w:rsid w:val="00E6200A"/>
    <w:rsid w:val="00E62614"/>
    <w:rsid w:val="00E6280E"/>
    <w:rsid w:val="00E659E9"/>
    <w:rsid w:val="00E65A45"/>
    <w:rsid w:val="00E709B3"/>
    <w:rsid w:val="00E70C74"/>
    <w:rsid w:val="00E720CA"/>
    <w:rsid w:val="00E72B60"/>
    <w:rsid w:val="00E7433B"/>
    <w:rsid w:val="00E753FF"/>
    <w:rsid w:val="00E760ED"/>
    <w:rsid w:val="00E80667"/>
    <w:rsid w:val="00E82FA7"/>
    <w:rsid w:val="00E84EB5"/>
    <w:rsid w:val="00E85662"/>
    <w:rsid w:val="00E8789F"/>
    <w:rsid w:val="00E907C4"/>
    <w:rsid w:val="00E90D0B"/>
    <w:rsid w:val="00E95853"/>
    <w:rsid w:val="00E97B71"/>
    <w:rsid w:val="00E97F46"/>
    <w:rsid w:val="00EA156B"/>
    <w:rsid w:val="00EA1DAE"/>
    <w:rsid w:val="00EA265E"/>
    <w:rsid w:val="00EA309C"/>
    <w:rsid w:val="00EA3D34"/>
    <w:rsid w:val="00EA4419"/>
    <w:rsid w:val="00EB2D50"/>
    <w:rsid w:val="00EB454D"/>
    <w:rsid w:val="00EB72BC"/>
    <w:rsid w:val="00EC05CB"/>
    <w:rsid w:val="00EC2856"/>
    <w:rsid w:val="00EC3149"/>
    <w:rsid w:val="00EC6CBF"/>
    <w:rsid w:val="00EC7E97"/>
    <w:rsid w:val="00ED1842"/>
    <w:rsid w:val="00ED2EA4"/>
    <w:rsid w:val="00ED549D"/>
    <w:rsid w:val="00ED76BE"/>
    <w:rsid w:val="00EE00E9"/>
    <w:rsid w:val="00EE3948"/>
    <w:rsid w:val="00EE4C4A"/>
    <w:rsid w:val="00EE5AE2"/>
    <w:rsid w:val="00EF1AAA"/>
    <w:rsid w:val="00EF48F6"/>
    <w:rsid w:val="00EF619B"/>
    <w:rsid w:val="00F00883"/>
    <w:rsid w:val="00F00B55"/>
    <w:rsid w:val="00F027A6"/>
    <w:rsid w:val="00F02AD1"/>
    <w:rsid w:val="00F05C0A"/>
    <w:rsid w:val="00F100CB"/>
    <w:rsid w:val="00F1020B"/>
    <w:rsid w:val="00F14A4D"/>
    <w:rsid w:val="00F20974"/>
    <w:rsid w:val="00F23F67"/>
    <w:rsid w:val="00F253CC"/>
    <w:rsid w:val="00F35135"/>
    <w:rsid w:val="00F369F4"/>
    <w:rsid w:val="00F37106"/>
    <w:rsid w:val="00F37112"/>
    <w:rsid w:val="00F4039D"/>
    <w:rsid w:val="00F40F91"/>
    <w:rsid w:val="00F42C1D"/>
    <w:rsid w:val="00F44881"/>
    <w:rsid w:val="00F44B02"/>
    <w:rsid w:val="00F44E25"/>
    <w:rsid w:val="00F474DA"/>
    <w:rsid w:val="00F519CF"/>
    <w:rsid w:val="00F51F20"/>
    <w:rsid w:val="00F5266F"/>
    <w:rsid w:val="00F55691"/>
    <w:rsid w:val="00F56BA5"/>
    <w:rsid w:val="00F57474"/>
    <w:rsid w:val="00F60E22"/>
    <w:rsid w:val="00F63C7C"/>
    <w:rsid w:val="00F64628"/>
    <w:rsid w:val="00F66395"/>
    <w:rsid w:val="00F73F5C"/>
    <w:rsid w:val="00F7587C"/>
    <w:rsid w:val="00F81395"/>
    <w:rsid w:val="00F81BB8"/>
    <w:rsid w:val="00F83DFB"/>
    <w:rsid w:val="00F90B29"/>
    <w:rsid w:val="00F90C64"/>
    <w:rsid w:val="00F917D1"/>
    <w:rsid w:val="00F91C1F"/>
    <w:rsid w:val="00F91D76"/>
    <w:rsid w:val="00F93B29"/>
    <w:rsid w:val="00F9404F"/>
    <w:rsid w:val="00F945B3"/>
    <w:rsid w:val="00F95AF3"/>
    <w:rsid w:val="00F9653B"/>
    <w:rsid w:val="00FA58CD"/>
    <w:rsid w:val="00FA695F"/>
    <w:rsid w:val="00FA6A68"/>
    <w:rsid w:val="00FA7195"/>
    <w:rsid w:val="00FB3BC3"/>
    <w:rsid w:val="00FB3EC9"/>
    <w:rsid w:val="00FB62CF"/>
    <w:rsid w:val="00FB634C"/>
    <w:rsid w:val="00FC08A0"/>
    <w:rsid w:val="00FC62D5"/>
    <w:rsid w:val="00FC6AE8"/>
    <w:rsid w:val="00FD00C6"/>
    <w:rsid w:val="00FD3C3B"/>
    <w:rsid w:val="00FD4CFA"/>
    <w:rsid w:val="00FD5AF5"/>
    <w:rsid w:val="00FD672F"/>
    <w:rsid w:val="00FE07DD"/>
    <w:rsid w:val="00FE0A9E"/>
    <w:rsid w:val="00FE1F84"/>
    <w:rsid w:val="00FE2DFE"/>
    <w:rsid w:val="00FE315F"/>
    <w:rsid w:val="00FE3708"/>
    <w:rsid w:val="00FE620C"/>
    <w:rsid w:val="00FE6B45"/>
    <w:rsid w:val="00FE7074"/>
    <w:rsid w:val="00FF053A"/>
    <w:rsid w:val="00FF0FB1"/>
    <w:rsid w:val="00FF55F3"/>
    <w:rsid w:val="00FF5851"/>
    <w:rsid w:val="00FF7B79"/>
    <w:rsid w:val="00FF7F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noProof/>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noProof/>
      <w:color w:val="365F91" w:themeColor="accent1" w:themeShade="BF"/>
      <w:sz w:val="28"/>
      <w:szCs w:val="28"/>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unhideWhenUsed/>
    <w:rsid w:val="000B04D4"/>
    <w:rPr>
      <w:sz w:val="20"/>
      <w:szCs w:val="20"/>
    </w:rPr>
  </w:style>
  <w:style w:type="character" w:customStyle="1" w:styleId="CommentTextChar">
    <w:name w:val="Comment Text Char"/>
    <w:basedOn w:val="DefaultParagraphFont"/>
    <w:link w:val="CommentText"/>
    <w:uiPriority w:val="99"/>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24179"/>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1DB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eastAsia="es-ES"/>
    </w:rPr>
  </w:style>
  <w:style w:type="paragraph" w:customStyle="1" w:styleId="Char2">
    <w:name w:val="Char2"/>
    <w:basedOn w:val="Normal"/>
    <w:rsid w:val="00C902D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noProof w:val="0"/>
      <w:sz w:val="20"/>
      <w:szCs w:val="20"/>
      <w:vertAlign w:val="superscript"/>
      <w:lang w:eastAsia="es-ES"/>
    </w:rPr>
  </w:style>
  <w:style w:type="paragraph" w:styleId="Revision">
    <w:name w:val="Revision"/>
    <w:hidden/>
    <w:uiPriority w:val="99"/>
    <w:semiHidden/>
    <w:rsid w:val="00A665C3"/>
    <w:pPr>
      <w:pBdr>
        <w:top w:val="none" w:sz="0" w:space="0" w:color="auto"/>
        <w:left w:val="none" w:sz="0" w:space="0" w:color="auto"/>
        <w:bottom w:val="none" w:sz="0" w:space="0" w:color="auto"/>
        <w:right w:val="none" w:sz="0" w:space="0" w:color="auto"/>
        <w:between w:val="none" w:sz="0" w:space="0" w:color="auto"/>
        <w:bar w:val="none" w:sz="0" w:color="auto"/>
      </w:pBdr>
    </w:pPr>
    <w:rPr>
      <w:noProof/>
      <w:sz w:val="24"/>
      <w:szCs w:val="24"/>
      <w:lang w:eastAsia="en-US"/>
    </w:rPr>
  </w:style>
  <w:style w:type="character" w:styleId="Emphasis">
    <w:name w:val="Emphasis"/>
    <w:basedOn w:val="DefaultParagraphFont"/>
    <w:uiPriority w:val="20"/>
    <w:qFormat/>
    <w:rsid w:val="00D93C5E"/>
    <w:rPr>
      <w:i/>
      <w:iCs/>
    </w:rPr>
  </w:style>
  <w:style w:type="character" w:customStyle="1" w:styleId="tableentry">
    <w:name w:val="tableentry"/>
    <w:basedOn w:val="DefaultParagraphFont"/>
    <w:rsid w:val="00B92A4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7627907CB4FF2B74FE239B14B7826"/>
        <w:category>
          <w:name w:val="General"/>
          <w:gallery w:val="placeholder"/>
        </w:category>
        <w:types>
          <w:type w:val="bbPlcHdr"/>
        </w:types>
        <w:behaviors>
          <w:behavior w:val="content"/>
        </w:behaviors>
        <w:guid w:val="{74EEB328-E666-482B-B8B7-9DAD3D55F6DD}"/>
      </w:docPartPr>
      <w:docPartBody>
        <w:p w:rsidR="00472EC9" w:rsidRDefault="00974E95" w:rsidP="00974E95">
          <w:pPr>
            <w:pStyle w:val="5657627907CB4FF2B74FE239B14B782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5208"/>
    <w:rsid w:val="00200821"/>
    <w:rsid w:val="0022583F"/>
    <w:rsid w:val="0025245B"/>
    <w:rsid w:val="0027372F"/>
    <w:rsid w:val="002B2527"/>
    <w:rsid w:val="002F7F78"/>
    <w:rsid w:val="00335CA4"/>
    <w:rsid w:val="0033750F"/>
    <w:rsid w:val="00354D03"/>
    <w:rsid w:val="00394049"/>
    <w:rsid w:val="003A5CE7"/>
    <w:rsid w:val="003C2306"/>
    <w:rsid w:val="004040E0"/>
    <w:rsid w:val="00414AC2"/>
    <w:rsid w:val="00454CC7"/>
    <w:rsid w:val="00472EC9"/>
    <w:rsid w:val="004B5BBB"/>
    <w:rsid w:val="004F2DF8"/>
    <w:rsid w:val="00533B0B"/>
    <w:rsid w:val="005A71FD"/>
    <w:rsid w:val="005D2960"/>
    <w:rsid w:val="006052CE"/>
    <w:rsid w:val="00616F35"/>
    <w:rsid w:val="0063225B"/>
    <w:rsid w:val="00683F29"/>
    <w:rsid w:val="006A1D4B"/>
    <w:rsid w:val="006E7149"/>
    <w:rsid w:val="006F24A1"/>
    <w:rsid w:val="007029A2"/>
    <w:rsid w:val="00727D4D"/>
    <w:rsid w:val="007B34E5"/>
    <w:rsid w:val="008021E7"/>
    <w:rsid w:val="00810AA5"/>
    <w:rsid w:val="008A1CFA"/>
    <w:rsid w:val="008F24CC"/>
    <w:rsid w:val="00902663"/>
    <w:rsid w:val="009162FA"/>
    <w:rsid w:val="0094779A"/>
    <w:rsid w:val="00974E95"/>
    <w:rsid w:val="009A261B"/>
    <w:rsid w:val="009E25F1"/>
    <w:rsid w:val="009E2BF2"/>
    <w:rsid w:val="00A17994"/>
    <w:rsid w:val="00A41635"/>
    <w:rsid w:val="00A92491"/>
    <w:rsid w:val="00AA2E17"/>
    <w:rsid w:val="00AC15A4"/>
    <w:rsid w:val="00AE6EBD"/>
    <w:rsid w:val="00B0336C"/>
    <w:rsid w:val="00B252BB"/>
    <w:rsid w:val="00BB54B6"/>
    <w:rsid w:val="00C35B5F"/>
    <w:rsid w:val="00C4173D"/>
    <w:rsid w:val="00CF6DC0"/>
    <w:rsid w:val="00D16CFA"/>
    <w:rsid w:val="00D241E9"/>
    <w:rsid w:val="00D7750D"/>
    <w:rsid w:val="00D85E3F"/>
    <w:rsid w:val="00DD1972"/>
    <w:rsid w:val="00EC2474"/>
    <w:rsid w:val="00EC7C95"/>
    <w:rsid w:val="00ED5EB3"/>
    <w:rsid w:val="00EF17A1"/>
    <w:rsid w:val="00F00D2F"/>
    <w:rsid w:val="00F05EC9"/>
    <w:rsid w:val="00F06370"/>
    <w:rsid w:val="00F07E52"/>
    <w:rsid w:val="00F128DF"/>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95"/>
    <w:rPr>
      <w:color w:val="808080"/>
    </w:rPr>
  </w:style>
  <w:style w:type="paragraph" w:customStyle="1" w:styleId="5657627907CB4FF2B74FE239B14B7826">
    <w:name w:val="5657627907CB4FF2B74FE239B14B7826"/>
    <w:rsid w:val="0097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3696-6FDB-462C-9A9A-DF28D550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4804</Words>
  <Characters>27383</Characters>
  <Application>Microsoft Office Word</Application>
  <DocSecurity>0</DocSecurity>
  <Lines>228</Lines>
  <Paragraphs>64</Paragraphs>
  <ScaleCrop>false</ScaleCrop>
  <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2023-03-16T14:59:00Z</dcterms:created>
  <dcterms:modified xsi:type="dcterms:W3CDTF">2023-03-16T14:59:00Z</dcterms:modified>
</cp:coreProperties>
</file>