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87281" w:rsidRDefault="00D306D1" w:rsidP="00627C9F">
      <w:pPr>
        <w:jc w:val="both"/>
        <w:rPr>
          <w:rFonts w:asciiTheme="majorHAnsi" w:hAnsiTheme="majorHAnsi" w:cs="Univers"/>
          <w:b/>
          <w:bCs/>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61311" behindDoc="0" locked="0" layoutInCell="1" allowOverlap="1" wp14:anchorId="179A3F0F" wp14:editId="11F57EF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2C8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" fillcolor="#365f91 [2404]" stroked="f" strokeweight="2pt"/>
            </w:pict>
          </mc:Fallback>
        </mc:AlternateContent>
      </w:r>
      <w:r w:rsidR="003E6CA1"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E20981D" w:rsidR="00355D19" w:rsidRDefault="00355D19" w:rsidP="00AE5488">
                            <w:r>
                              <w:rPr>
                                <w:noProof/>
                                <w:lang w:val="es-ES" w:eastAsia="es-ES"/>
                              </w:rPr>
                              <w:drawing>
                                <wp:inline distT="0" distB="0" distL="0" distR="0" wp14:anchorId="53787982" wp14:editId="4FDA5C6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4E20981D" w:rsidR="00355D19" w:rsidRDefault="00355D19" w:rsidP="00AE5488">
                      <w:r>
                        <w:rPr>
                          <w:noProof/>
                          <w:lang w:val="es-ES" w:eastAsia="es-ES"/>
                        </w:rPr>
                        <w:drawing>
                          <wp:inline distT="0" distB="0" distL="0" distR="0" wp14:anchorId="53787982" wp14:editId="4FDA5C6C">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D87281" w:rsidRDefault="00040C3A" w:rsidP="00040C3A">
      <w:pPr>
        <w:tabs>
          <w:tab w:val="center" w:pos="5400"/>
        </w:tabs>
        <w:suppressAutoHyphens/>
        <w:jc w:val="both"/>
        <w:rPr>
          <w:rFonts w:asciiTheme="majorHAnsi" w:hAnsiTheme="majorHAnsi"/>
          <w:color w:val="000000" w:themeColor="text1"/>
          <w:sz w:val="22"/>
          <w:szCs w:val="22"/>
          <w:lang w:val="es-ES"/>
        </w:rPr>
      </w:pPr>
    </w:p>
    <w:p w14:paraId="5A87E141" w14:textId="77777777" w:rsidR="00040C3A" w:rsidRPr="00D87281" w:rsidRDefault="00040C3A" w:rsidP="00040C3A">
      <w:pPr>
        <w:tabs>
          <w:tab w:val="center" w:pos="5400"/>
        </w:tabs>
        <w:suppressAutoHyphens/>
        <w:jc w:val="both"/>
        <w:rPr>
          <w:rFonts w:asciiTheme="majorHAnsi" w:hAnsiTheme="majorHAnsi"/>
          <w:color w:val="000000" w:themeColor="text1"/>
          <w:sz w:val="22"/>
          <w:szCs w:val="22"/>
          <w:lang w:val="es-ES"/>
        </w:rPr>
      </w:pPr>
    </w:p>
    <w:p w14:paraId="29D95BCC"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12A36B24"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2252093D" w14:textId="77777777" w:rsidR="005128E4" w:rsidRPr="00D87281" w:rsidRDefault="005128E4" w:rsidP="00040C3A">
      <w:pPr>
        <w:tabs>
          <w:tab w:val="center" w:pos="5400"/>
        </w:tabs>
        <w:suppressAutoHyphens/>
        <w:rPr>
          <w:rFonts w:asciiTheme="majorHAnsi" w:hAnsiTheme="majorHAnsi"/>
          <w:color w:val="000000" w:themeColor="text1"/>
          <w:sz w:val="22"/>
          <w:szCs w:val="22"/>
          <w:lang w:val="es-ES"/>
        </w:rPr>
      </w:pPr>
    </w:p>
    <w:p w14:paraId="403935BD" w14:textId="77777777" w:rsidR="00040C3A" w:rsidRPr="00D87281" w:rsidRDefault="00040C3A" w:rsidP="005128E4">
      <w:pPr>
        <w:tabs>
          <w:tab w:val="center" w:pos="5400"/>
        </w:tabs>
        <w:suppressAutoHyphens/>
        <w:jc w:val="center"/>
        <w:rPr>
          <w:rFonts w:asciiTheme="majorHAnsi" w:hAnsiTheme="majorHAnsi"/>
          <w:color w:val="000000" w:themeColor="text1"/>
          <w:sz w:val="22"/>
          <w:szCs w:val="22"/>
          <w:lang w:val="es-ES"/>
        </w:rPr>
      </w:pPr>
    </w:p>
    <w:p w14:paraId="6DCF5F8F" w14:textId="77777777" w:rsidR="00040C3A" w:rsidRPr="00D87281" w:rsidRDefault="00040C3A" w:rsidP="005128E4">
      <w:pPr>
        <w:tabs>
          <w:tab w:val="center" w:pos="5400"/>
        </w:tabs>
        <w:suppressAutoHyphens/>
        <w:jc w:val="center"/>
        <w:rPr>
          <w:rFonts w:asciiTheme="majorHAnsi" w:hAnsiTheme="majorHAnsi"/>
          <w:color w:val="000000" w:themeColor="text1"/>
          <w:sz w:val="22"/>
          <w:szCs w:val="22"/>
          <w:lang w:val="es-ES"/>
        </w:rPr>
      </w:pPr>
    </w:p>
    <w:p w14:paraId="4791F13A" w14:textId="4FC596E1"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44E016B6" w14:textId="2791A6CA"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63D41962" w14:textId="6F189F4D" w:rsidR="005B52B0" w:rsidRPr="00D87281" w:rsidRDefault="005B52B0" w:rsidP="005128E4">
      <w:pPr>
        <w:tabs>
          <w:tab w:val="center" w:pos="5400"/>
        </w:tabs>
        <w:suppressAutoHyphens/>
        <w:jc w:val="center"/>
        <w:rPr>
          <w:rFonts w:asciiTheme="majorHAnsi" w:hAnsiTheme="majorHAnsi"/>
          <w:color w:val="000000" w:themeColor="text1"/>
          <w:sz w:val="22"/>
          <w:szCs w:val="22"/>
          <w:lang w:val="es-ES"/>
        </w:rPr>
      </w:pPr>
    </w:p>
    <w:p w14:paraId="5ADEB990" w14:textId="1D6E7B12"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2D81B7E8" w14:textId="5D40B286"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64791D04" w14:textId="50C923FB" w:rsidR="00040C3A" w:rsidRPr="00D87281" w:rsidRDefault="00B6732D" w:rsidP="00040C3A">
      <w:pPr>
        <w:tabs>
          <w:tab w:val="center" w:pos="5400"/>
        </w:tabs>
        <w:suppressAutoHyphens/>
        <w:jc w:val="center"/>
        <w:rPr>
          <w:rFonts w:asciiTheme="majorHAnsi" w:hAnsiTheme="majorHAnsi"/>
          <w:color w:val="000000" w:themeColor="text1"/>
          <w:sz w:val="22"/>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1552" behindDoc="0" locked="0" layoutInCell="1" allowOverlap="1" wp14:anchorId="73BE5919" wp14:editId="6437F409">
                <wp:simplePos x="0" y="0"/>
                <wp:positionH relativeFrom="column">
                  <wp:posOffset>-352425</wp:posOffset>
                </wp:positionH>
                <wp:positionV relativeFrom="paragraph">
                  <wp:posOffset>107315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81CBB95"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OEA/Ser.L/V/II</w:t>
                            </w:r>
                          </w:p>
                          <w:p w14:paraId="6A41611B" w14:textId="65D5E5FF"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 xml:space="preserve">Doc. </w:t>
                            </w:r>
                            <w:r w:rsidR="0069253F">
                              <w:rPr>
                                <w:rFonts w:asciiTheme="minorHAnsi" w:hAnsiTheme="minorHAnsi"/>
                                <w:color w:val="FFFFFF" w:themeColor="background1"/>
                                <w:sz w:val="22"/>
                                <w:lang w:val="pt-BR"/>
                              </w:rPr>
                              <w:t>362</w:t>
                            </w:r>
                          </w:p>
                          <w:p w14:paraId="69373ED2" w14:textId="530BB64C" w:rsidR="00355D19" w:rsidRPr="0076191D" w:rsidRDefault="0069253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29</w:t>
                            </w:r>
                            <w:r w:rsidR="00355D19" w:rsidRPr="0076191D">
                              <w:rPr>
                                <w:rFonts w:asciiTheme="minorHAnsi" w:hAnsiTheme="minorHAnsi"/>
                                <w:color w:val="FFFFFF" w:themeColor="background1"/>
                                <w:sz w:val="22"/>
                                <w:lang w:val="pt-BR"/>
                              </w:rPr>
                              <w:t xml:space="preserve"> de </w:t>
                            </w:r>
                            <w:r>
                              <w:rPr>
                                <w:rFonts w:asciiTheme="minorHAnsi" w:hAnsiTheme="minorHAnsi"/>
                                <w:color w:val="FFFFFF" w:themeColor="background1"/>
                                <w:sz w:val="22"/>
                                <w:lang w:val="pt-BR"/>
                              </w:rPr>
                              <w:t>diciembre</w:t>
                            </w:r>
                            <w:r w:rsidR="00355D19" w:rsidRPr="0076191D">
                              <w:rPr>
                                <w:rFonts w:asciiTheme="minorHAnsi" w:hAnsiTheme="minorHAnsi"/>
                                <w:color w:val="FFFFFF" w:themeColor="background1"/>
                                <w:sz w:val="22"/>
                                <w:lang w:val="pt-BR"/>
                              </w:rPr>
                              <w:t xml:space="preserve"> de 2023</w:t>
                            </w:r>
                          </w:p>
                          <w:p w14:paraId="0771DB5B" w14:textId="47B50331"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7.75pt;margin-top:8.4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" filled="f" stroked="f" strokeweight=".5pt">
                <v:textbox>
                  <w:txbxContent>
                    <w:p w14:paraId="6CF0BAF6" w14:textId="281CBB95"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OEA/Ser.L/V/II</w:t>
                      </w:r>
                    </w:p>
                    <w:p w14:paraId="6A41611B" w14:textId="65D5E5FF"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 xml:space="preserve">Doc. </w:t>
                      </w:r>
                      <w:r w:rsidR="0069253F">
                        <w:rPr>
                          <w:rFonts w:asciiTheme="minorHAnsi" w:hAnsiTheme="minorHAnsi"/>
                          <w:color w:val="FFFFFF" w:themeColor="background1"/>
                          <w:sz w:val="22"/>
                          <w:lang w:val="pt-BR"/>
                        </w:rPr>
                        <w:t>362</w:t>
                      </w:r>
                    </w:p>
                    <w:p w14:paraId="69373ED2" w14:textId="530BB64C" w:rsidR="00355D19" w:rsidRPr="0076191D" w:rsidRDefault="0069253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29</w:t>
                      </w:r>
                      <w:r w:rsidR="00355D19" w:rsidRPr="0076191D">
                        <w:rPr>
                          <w:rFonts w:asciiTheme="minorHAnsi" w:hAnsiTheme="minorHAnsi"/>
                          <w:color w:val="FFFFFF" w:themeColor="background1"/>
                          <w:sz w:val="22"/>
                          <w:lang w:val="pt-BR"/>
                        </w:rPr>
                        <w:t xml:space="preserve"> de </w:t>
                      </w:r>
                      <w:r>
                        <w:rPr>
                          <w:rFonts w:asciiTheme="minorHAnsi" w:hAnsiTheme="minorHAnsi"/>
                          <w:color w:val="FFFFFF" w:themeColor="background1"/>
                          <w:sz w:val="22"/>
                          <w:lang w:val="pt-BR"/>
                        </w:rPr>
                        <w:t>diciembre</w:t>
                      </w:r>
                      <w:r w:rsidR="00355D19" w:rsidRPr="0076191D">
                        <w:rPr>
                          <w:rFonts w:asciiTheme="minorHAnsi" w:hAnsiTheme="minorHAnsi"/>
                          <w:color w:val="FFFFFF" w:themeColor="background1"/>
                          <w:sz w:val="22"/>
                          <w:lang w:val="pt-BR"/>
                        </w:rPr>
                        <w:t xml:space="preserve"> de 2023</w:t>
                      </w:r>
                    </w:p>
                    <w:p w14:paraId="0771DB5B" w14:textId="47B50331" w:rsidR="00355D19" w:rsidRPr="0076191D" w:rsidRDefault="00355D19" w:rsidP="007A5817">
                      <w:pPr>
                        <w:spacing w:line="276" w:lineRule="auto"/>
                        <w:jc w:val="right"/>
                        <w:rPr>
                          <w:rFonts w:asciiTheme="minorHAnsi" w:hAnsiTheme="minorHAnsi"/>
                          <w:color w:val="FFFFFF" w:themeColor="background1"/>
                          <w:sz w:val="22"/>
                          <w:lang w:val="pt-BR"/>
                        </w:rPr>
                      </w:pPr>
                      <w:r w:rsidRPr="0076191D">
                        <w:rPr>
                          <w:rFonts w:asciiTheme="minorHAnsi" w:hAnsiTheme="minorHAnsi"/>
                          <w:color w:val="FFFFFF" w:themeColor="background1"/>
                          <w:sz w:val="22"/>
                          <w:lang w:val="pt-BR"/>
                        </w:rPr>
                        <w:t>Original: portugués</w:t>
                      </w:r>
                    </w:p>
                  </w:txbxContent>
                </v:textbox>
              </v:shape>
            </w:pict>
          </mc:Fallback>
        </mc:AlternateContent>
      </w: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69504" behindDoc="0" locked="0" layoutInCell="1" allowOverlap="1" wp14:anchorId="5980ED94" wp14:editId="634A075B">
                <wp:simplePos x="0" y="0"/>
                <wp:positionH relativeFrom="column">
                  <wp:posOffset>1438275</wp:posOffset>
                </wp:positionH>
                <wp:positionV relativeFrom="paragraph">
                  <wp:posOffset>20320</wp:posOffset>
                </wp:positionV>
                <wp:extent cx="4441190" cy="35179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441190" cy="351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1E058F7" w:rsidR="00355D19" w:rsidRPr="007861D8" w:rsidRDefault="00355D19" w:rsidP="00997BC5">
                            <w:pPr>
                              <w:spacing w:line="276" w:lineRule="auto"/>
                              <w:rPr>
                                <w:rFonts w:asciiTheme="majorHAnsi" w:hAnsiTheme="majorHAnsi" w:cs="Arial"/>
                                <w:b/>
                                <w:bCs/>
                                <w:color w:val="0D0D0D" w:themeColor="text1" w:themeTint="F2"/>
                                <w:sz w:val="36"/>
                                <w:szCs w:val="22"/>
                                <w:lang w:val="es-ES"/>
                              </w:rPr>
                            </w:pPr>
                            <w:r w:rsidRPr="007861D8">
                              <w:rPr>
                                <w:rFonts w:asciiTheme="majorHAnsi" w:hAnsiTheme="majorHAnsi" w:cs="Arial"/>
                                <w:b/>
                                <w:bCs/>
                                <w:color w:val="0D0D0D" w:themeColor="text1" w:themeTint="F2"/>
                                <w:sz w:val="36"/>
                                <w:szCs w:val="22"/>
                                <w:lang w:val="es-ES"/>
                              </w:rPr>
                              <w:t xml:space="preserve">INFORME </w:t>
                            </w:r>
                            <w:r w:rsidRPr="007861D8">
                              <w:rPr>
                                <w:rFonts w:asciiTheme="majorHAnsi" w:hAnsiTheme="majorHAnsi" w:cs="Arial"/>
                                <w:b/>
                                <w:bCs/>
                                <w:color w:val="0D0D0D" w:themeColor="text1" w:themeTint="F2"/>
                                <w:sz w:val="36"/>
                                <w:szCs w:val="40"/>
                                <w:lang w:val="es-ES"/>
                              </w:rPr>
                              <w:t>No.</w:t>
                            </w:r>
                            <w:r w:rsidRPr="007861D8">
                              <w:rPr>
                                <w:rFonts w:asciiTheme="majorHAnsi" w:hAnsiTheme="majorHAnsi" w:cs="Arial"/>
                                <w:b/>
                                <w:bCs/>
                                <w:color w:val="0D0D0D" w:themeColor="text1" w:themeTint="F2"/>
                                <w:sz w:val="36"/>
                                <w:szCs w:val="22"/>
                                <w:lang w:val="es-ES"/>
                              </w:rPr>
                              <w:t xml:space="preserve"> </w:t>
                            </w:r>
                            <w:r w:rsidR="0069253F">
                              <w:rPr>
                                <w:rFonts w:asciiTheme="majorHAnsi" w:hAnsiTheme="majorHAnsi" w:cs="Arial"/>
                                <w:b/>
                                <w:bCs/>
                                <w:color w:val="0D0D0D" w:themeColor="text1" w:themeTint="F2"/>
                                <w:sz w:val="36"/>
                                <w:szCs w:val="22"/>
                                <w:lang w:val="es-ES"/>
                              </w:rPr>
                              <w:t>336</w:t>
                            </w:r>
                            <w:r w:rsidRPr="007861D8">
                              <w:rPr>
                                <w:rFonts w:asciiTheme="majorHAnsi" w:hAnsiTheme="majorHAnsi" w:cs="Arial"/>
                                <w:b/>
                                <w:bCs/>
                                <w:color w:val="0D0D0D" w:themeColor="text1" w:themeTint="F2"/>
                                <w:sz w:val="36"/>
                                <w:szCs w:val="22"/>
                                <w:lang w:val="es-ES"/>
                              </w:rPr>
                              <w:t>/23</w:t>
                            </w:r>
                          </w:p>
                          <w:p w14:paraId="4DCBEE23" w14:textId="23A96B77"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b/>
                                <w:color w:val="0D0D0D" w:themeColor="text1" w:themeTint="F2"/>
                                <w:sz w:val="36"/>
                                <w:szCs w:val="22"/>
                                <w:lang w:val="es-ES"/>
                              </w:rPr>
                              <w:t xml:space="preserve">PETICIÓN </w:t>
                            </w:r>
                            <w:r w:rsidR="002A5565">
                              <w:rPr>
                                <w:rFonts w:asciiTheme="majorHAnsi" w:hAnsiTheme="majorHAnsi" w:cs="Arial"/>
                                <w:b/>
                                <w:color w:val="0D0D0D" w:themeColor="text1" w:themeTint="F2"/>
                                <w:sz w:val="36"/>
                                <w:szCs w:val="22"/>
                                <w:lang w:val="es-ES"/>
                              </w:rPr>
                              <w:t>72</w:t>
                            </w:r>
                            <w:r w:rsidR="00874CF3">
                              <w:rPr>
                                <w:rFonts w:asciiTheme="majorHAnsi" w:hAnsiTheme="majorHAnsi" w:cs="Arial"/>
                                <w:b/>
                                <w:color w:val="0D0D0D" w:themeColor="text1" w:themeTint="F2"/>
                                <w:sz w:val="36"/>
                                <w:szCs w:val="22"/>
                                <w:lang w:val="es-ES"/>
                              </w:rPr>
                              <w:t>1</w:t>
                            </w:r>
                            <w:r w:rsidRPr="007861D8">
                              <w:rPr>
                                <w:rFonts w:asciiTheme="majorHAnsi" w:hAnsiTheme="majorHAnsi" w:cs="Arial"/>
                                <w:b/>
                                <w:color w:val="0D0D0D" w:themeColor="text1" w:themeTint="F2"/>
                                <w:sz w:val="36"/>
                                <w:szCs w:val="22"/>
                                <w:lang w:val="es-ES"/>
                              </w:rPr>
                              <w:t>-1</w:t>
                            </w:r>
                            <w:r w:rsidR="002A5565">
                              <w:rPr>
                                <w:rFonts w:asciiTheme="majorHAnsi" w:hAnsiTheme="majorHAnsi" w:cs="Arial"/>
                                <w:b/>
                                <w:color w:val="0D0D0D" w:themeColor="text1" w:themeTint="F2"/>
                                <w:sz w:val="36"/>
                                <w:szCs w:val="22"/>
                                <w:lang w:val="es-ES"/>
                              </w:rPr>
                              <w:t>4</w:t>
                            </w:r>
                            <w:r w:rsidRPr="007861D8">
                              <w:rPr>
                                <w:rFonts w:asciiTheme="majorHAnsi" w:hAnsiTheme="majorHAnsi" w:cs="Arial"/>
                                <w:b/>
                                <w:color w:val="0D0D0D" w:themeColor="text1" w:themeTint="F2"/>
                                <w:sz w:val="36"/>
                                <w:szCs w:val="22"/>
                                <w:lang w:val="es-ES"/>
                              </w:rPr>
                              <w:t xml:space="preserve"> </w:t>
                            </w:r>
                          </w:p>
                          <w:p w14:paraId="541066AA" w14:textId="143F7229" w:rsidR="00355D19" w:rsidRPr="007861D8" w:rsidRDefault="00355D19" w:rsidP="00997BC5">
                            <w:pPr>
                              <w:spacing w:line="276" w:lineRule="auto"/>
                              <w:rPr>
                                <w:rFonts w:asciiTheme="majorHAnsi" w:hAnsiTheme="majorHAnsi" w:cs="Arial"/>
                                <w:color w:val="0D0D0D" w:themeColor="text1" w:themeTint="F2"/>
                                <w:szCs w:val="22"/>
                                <w:lang w:val="es-ES"/>
                              </w:rPr>
                            </w:pPr>
                          </w:p>
                          <w:p w14:paraId="35A5E867" w14:textId="77777777" w:rsidR="00355D19" w:rsidRPr="007861D8" w:rsidRDefault="00355D19" w:rsidP="00997BC5">
                            <w:pPr>
                              <w:spacing w:line="276" w:lineRule="auto"/>
                              <w:rPr>
                                <w:rFonts w:asciiTheme="majorHAnsi" w:hAnsiTheme="majorHAnsi" w:cs="Arial"/>
                                <w:b/>
                                <w:color w:val="0D0D0D" w:themeColor="text1" w:themeTint="F2"/>
                                <w:sz w:val="36"/>
                                <w:szCs w:val="22"/>
                                <w:lang w:val="es-ES"/>
                              </w:rPr>
                            </w:pPr>
                          </w:p>
                          <w:p w14:paraId="70CF6833" w14:textId="414D70C6"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color w:val="0D0D0D" w:themeColor="text1" w:themeTint="F2"/>
                                <w:szCs w:val="22"/>
                                <w:lang w:val="es-ES"/>
                              </w:rPr>
                              <w:t>INFORME DE ADMISIBILIDAD</w:t>
                            </w:r>
                          </w:p>
                          <w:p w14:paraId="72061087" w14:textId="66380826" w:rsidR="00355D19" w:rsidRPr="002A5565" w:rsidRDefault="002A5565" w:rsidP="00997BC5">
                            <w:pPr>
                              <w:spacing w:line="276" w:lineRule="auto"/>
                              <w:rPr>
                                <w:rFonts w:asciiTheme="majorHAnsi" w:hAnsiTheme="majorHAnsi" w:cs="Arial"/>
                                <w:color w:val="0D0D0D" w:themeColor="text1" w:themeTint="F2"/>
                                <w:szCs w:val="22"/>
                                <w:lang w:val="pt-BR"/>
                              </w:rPr>
                            </w:pPr>
                            <w:r w:rsidRPr="002A5565">
                              <w:rPr>
                                <w:rFonts w:asciiTheme="majorHAnsi" w:hAnsiTheme="majorHAnsi" w:cs="Arial"/>
                                <w:color w:val="0D0D0D" w:themeColor="text1" w:themeTint="F2"/>
                                <w:szCs w:val="22"/>
                                <w:lang w:val="pt-BR"/>
                              </w:rPr>
                              <w:t>JOSÉ DIRCEU DE O</w:t>
                            </w:r>
                            <w:r>
                              <w:rPr>
                                <w:rFonts w:asciiTheme="majorHAnsi" w:hAnsiTheme="majorHAnsi" w:cs="Arial"/>
                                <w:color w:val="0D0D0D" w:themeColor="text1" w:themeTint="F2"/>
                                <w:szCs w:val="22"/>
                                <w:lang w:val="pt-BR"/>
                              </w:rPr>
                              <w:t>LIVEIRA E SILVA</w:t>
                            </w:r>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13.25pt;margin-top:1.6pt;width:349.7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" filled="f" stroked="f" strokeweight=".5pt">
                <v:textbox>
                  <w:txbxContent>
                    <w:p w14:paraId="4D9FE29C" w14:textId="51E058F7" w:rsidR="00355D19" w:rsidRPr="007861D8" w:rsidRDefault="00355D19" w:rsidP="00997BC5">
                      <w:pPr>
                        <w:spacing w:line="276" w:lineRule="auto"/>
                        <w:rPr>
                          <w:rFonts w:asciiTheme="majorHAnsi" w:hAnsiTheme="majorHAnsi" w:cs="Arial"/>
                          <w:b/>
                          <w:bCs/>
                          <w:color w:val="0D0D0D" w:themeColor="text1" w:themeTint="F2"/>
                          <w:sz w:val="36"/>
                          <w:szCs w:val="22"/>
                          <w:lang w:val="es-ES"/>
                        </w:rPr>
                      </w:pPr>
                      <w:r w:rsidRPr="007861D8">
                        <w:rPr>
                          <w:rFonts w:asciiTheme="majorHAnsi" w:hAnsiTheme="majorHAnsi" w:cs="Arial"/>
                          <w:b/>
                          <w:bCs/>
                          <w:color w:val="0D0D0D" w:themeColor="text1" w:themeTint="F2"/>
                          <w:sz w:val="36"/>
                          <w:szCs w:val="22"/>
                          <w:lang w:val="es-ES"/>
                        </w:rPr>
                        <w:t xml:space="preserve">INFORME </w:t>
                      </w:r>
                      <w:r w:rsidRPr="007861D8">
                        <w:rPr>
                          <w:rFonts w:asciiTheme="majorHAnsi" w:hAnsiTheme="majorHAnsi" w:cs="Arial"/>
                          <w:b/>
                          <w:bCs/>
                          <w:color w:val="0D0D0D" w:themeColor="text1" w:themeTint="F2"/>
                          <w:sz w:val="36"/>
                          <w:szCs w:val="40"/>
                          <w:lang w:val="es-ES"/>
                        </w:rPr>
                        <w:t>No.</w:t>
                      </w:r>
                      <w:r w:rsidRPr="007861D8">
                        <w:rPr>
                          <w:rFonts w:asciiTheme="majorHAnsi" w:hAnsiTheme="majorHAnsi" w:cs="Arial"/>
                          <w:b/>
                          <w:bCs/>
                          <w:color w:val="0D0D0D" w:themeColor="text1" w:themeTint="F2"/>
                          <w:sz w:val="36"/>
                          <w:szCs w:val="22"/>
                          <w:lang w:val="es-ES"/>
                        </w:rPr>
                        <w:t xml:space="preserve"> </w:t>
                      </w:r>
                      <w:r w:rsidR="0069253F">
                        <w:rPr>
                          <w:rFonts w:asciiTheme="majorHAnsi" w:hAnsiTheme="majorHAnsi" w:cs="Arial"/>
                          <w:b/>
                          <w:bCs/>
                          <w:color w:val="0D0D0D" w:themeColor="text1" w:themeTint="F2"/>
                          <w:sz w:val="36"/>
                          <w:szCs w:val="22"/>
                          <w:lang w:val="es-ES"/>
                        </w:rPr>
                        <w:t>336</w:t>
                      </w:r>
                      <w:r w:rsidRPr="007861D8">
                        <w:rPr>
                          <w:rFonts w:asciiTheme="majorHAnsi" w:hAnsiTheme="majorHAnsi" w:cs="Arial"/>
                          <w:b/>
                          <w:bCs/>
                          <w:color w:val="0D0D0D" w:themeColor="text1" w:themeTint="F2"/>
                          <w:sz w:val="36"/>
                          <w:szCs w:val="22"/>
                          <w:lang w:val="es-ES"/>
                        </w:rPr>
                        <w:t>/23</w:t>
                      </w:r>
                    </w:p>
                    <w:p w14:paraId="4DCBEE23" w14:textId="23A96B77"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b/>
                          <w:color w:val="0D0D0D" w:themeColor="text1" w:themeTint="F2"/>
                          <w:sz w:val="36"/>
                          <w:szCs w:val="22"/>
                          <w:lang w:val="es-ES"/>
                        </w:rPr>
                        <w:t xml:space="preserve">PETICIÓN </w:t>
                      </w:r>
                      <w:r w:rsidR="002A5565">
                        <w:rPr>
                          <w:rFonts w:asciiTheme="majorHAnsi" w:hAnsiTheme="majorHAnsi" w:cs="Arial"/>
                          <w:b/>
                          <w:color w:val="0D0D0D" w:themeColor="text1" w:themeTint="F2"/>
                          <w:sz w:val="36"/>
                          <w:szCs w:val="22"/>
                          <w:lang w:val="es-ES"/>
                        </w:rPr>
                        <w:t>72</w:t>
                      </w:r>
                      <w:r w:rsidR="00874CF3">
                        <w:rPr>
                          <w:rFonts w:asciiTheme="majorHAnsi" w:hAnsiTheme="majorHAnsi" w:cs="Arial"/>
                          <w:b/>
                          <w:color w:val="0D0D0D" w:themeColor="text1" w:themeTint="F2"/>
                          <w:sz w:val="36"/>
                          <w:szCs w:val="22"/>
                          <w:lang w:val="es-ES"/>
                        </w:rPr>
                        <w:t>1</w:t>
                      </w:r>
                      <w:r w:rsidRPr="007861D8">
                        <w:rPr>
                          <w:rFonts w:asciiTheme="majorHAnsi" w:hAnsiTheme="majorHAnsi" w:cs="Arial"/>
                          <w:b/>
                          <w:color w:val="0D0D0D" w:themeColor="text1" w:themeTint="F2"/>
                          <w:sz w:val="36"/>
                          <w:szCs w:val="22"/>
                          <w:lang w:val="es-ES"/>
                        </w:rPr>
                        <w:t>-1</w:t>
                      </w:r>
                      <w:r w:rsidR="002A5565">
                        <w:rPr>
                          <w:rFonts w:asciiTheme="majorHAnsi" w:hAnsiTheme="majorHAnsi" w:cs="Arial"/>
                          <w:b/>
                          <w:color w:val="0D0D0D" w:themeColor="text1" w:themeTint="F2"/>
                          <w:sz w:val="36"/>
                          <w:szCs w:val="22"/>
                          <w:lang w:val="es-ES"/>
                        </w:rPr>
                        <w:t>4</w:t>
                      </w:r>
                      <w:r w:rsidRPr="007861D8">
                        <w:rPr>
                          <w:rFonts w:asciiTheme="majorHAnsi" w:hAnsiTheme="majorHAnsi" w:cs="Arial"/>
                          <w:b/>
                          <w:color w:val="0D0D0D" w:themeColor="text1" w:themeTint="F2"/>
                          <w:sz w:val="36"/>
                          <w:szCs w:val="22"/>
                          <w:lang w:val="es-ES"/>
                        </w:rPr>
                        <w:t xml:space="preserve"> </w:t>
                      </w:r>
                    </w:p>
                    <w:p w14:paraId="541066AA" w14:textId="143F7229" w:rsidR="00355D19" w:rsidRPr="007861D8" w:rsidRDefault="00355D19" w:rsidP="00997BC5">
                      <w:pPr>
                        <w:spacing w:line="276" w:lineRule="auto"/>
                        <w:rPr>
                          <w:rFonts w:asciiTheme="majorHAnsi" w:hAnsiTheme="majorHAnsi" w:cs="Arial"/>
                          <w:color w:val="0D0D0D" w:themeColor="text1" w:themeTint="F2"/>
                          <w:szCs w:val="22"/>
                          <w:lang w:val="es-ES"/>
                        </w:rPr>
                      </w:pPr>
                    </w:p>
                    <w:p w14:paraId="35A5E867" w14:textId="77777777" w:rsidR="00355D19" w:rsidRPr="007861D8" w:rsidRDefault="00355D19" w:rsidP="00997BC5">
                      <w:pPr>
                        <w:spacing w:line="276" w:lineRule="auto"/>
                        <w:rPr>
                          <w:rFonts w:asciiTheme="majorHAnsi" w:hAnsiTheme="majorHAnsi" w:cs="Arial"/>
                          <w:b/>
                          <w:color w:val="0D0D0D" w:themeColor="text1" w:themeTint="F2"/>
                          <w:sz w:val="36"/>
                          <w:szCs w:val="22"/>
                          <w:lang w:val="es-ES"/>
                        </w:rPr>
                      </w:pPr>
                    </w:p>
                    <w:p w14:paraId="70CF6833" w14:textId="414D70C6" w:rsidR="00355D19" w:rsidRPr="007861D8" w:rsidRDefault="00355D19" w:rsidP="00997BC5">
                      <w:pPr>
                        <w:spacing w:line="276" w:lineRule="auto"/>
                        <w:rPr>
                          <w:rFonts w:asciiTheme="majorHAnsi" w:hAnsiTheme="majorHAnsi" w:cs="Arial"/>
                          <w:color w:val="0D0D0D" w:themeColor="text1" w:themeTint="F2"/>
                          <w:szCs w:val="22"/>
                          <w:lang w:val="es-ES"/>
                        </w:rPr>
                      </w:pPr>
                      <w:r w:rsidRPr="007861D8">
                        <w:rPr>
                          <w:rFonts w:asciiTheme="majorHAnsi" w:hAnsiTheme="majorHAnsi" w:cs="Arial"/>
                          <w:color w:val="0D0D0D" w:themeColor="text1" w:themeTint="F2"/>
                          <w:szCs w:val="22"/>
                          <w:lang w:val="es-ES"/>
                        </w:rPr>
                        <w:t>INFORME DE ADMISIBILIDAD</w:t>
                      </w:r>
                    </w:p>
                    <w:p w14:paraId="72061087" w14:textId="66380826" w:rsidR="00355D19" w:rsidRPr="002A5565" w:rsidRDefault="002A5565" w:rsidP="00997BC5">
                      <w:pPr>
                        <w:spacing w:line="276" w:lineRule="auto"/>
                        <w:rPr>
                          <w:rFonts w:asciiTheme="majorHAnsi" w:hAnsiTheme="majorHAnsi" w:cs="Arial"/>
                          <w:color w:val="0D0D0D" w:themeColor="text1" w:themeTint="F2"/>
                          <w:szCs w:val="22"/>
                          <w:lang w:val="pt-BR"/>
                        </w:rPr>
                      </w:pPr>
                      <w:r w:rsidRPr="002A5565">
                        <w:rPr>
                          <w:rFonts w:asciiTheme="majorHAnsi" w:hAnsiTheme="majorHAnsi" w:cs="Arial"/>
                          <w:color w:val="0D0D0D" w:themeColor="text1" w:themeTint="F2"/>
                          <w:szCs w:val="22"/>
                          <w:lang w:val="pt-BR"/>
                        </w:rPr>
                        <w:t>JOSÉ DIRCEU DE O</w:t>
                      </w:r>
                      <w:r>
                        <w:rPr>
                          <w:rFonts w:asciiTheme="majorHAnsi" w:hAnsiTheme="majorHAnsi" w:cs="Arial"/>
                          <w:color w:val="0D0D0D" w:themeColor="text1" w:themeTint="F2"/>
                          <w:szCs w:val="22"/>
                          <w:lang w:val="pt-BR"/>
                        </w:rPr>
                        <w:t>LIVEIRA E SILVA</w:t>
                      </w:r>
                    </w:p>
                    <w:p w14:paraId="35068D0D" w14:textId="03D73482" w:rsidR="00355D19" w:rsidRPr="007665A8" w:rsidRDefault="00355D1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355D19" w:rsidRPr="007665A8" w:rsidRDefault="00355D19" w:rsidP="007A5817">
                      <w:pPr>
                        <w:rPr>
                          <w:color w:val="0D0D0D" w:themeColor="text1" w:themeTint="F2"/>
                          <w:lang w:val="pt-BR"/>
                        </w:rPr>
                      </w:pPr>
                    </w:p>
                  </w:txbxContent>
                </v:textbox>
              </v:shape>
            </w:pict>
          </mc:Fallback>
        </mc:AlternateContent>
      </w:r>
    </w:p>
    <w:p w14:paraId="155B0536" w14:textId="08083DF0"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5FE3AB87"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C383BC0" w14:textId="77777777" w:rsidR="00040C3A" w:rsidRPr="00D87281"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54590931"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76C291D6"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2161B44F"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C4EEE07"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3B0E4647"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2DAAF36D"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12496A14"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25772DB3"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6820FADA" w14:textId="77777777" w:rsidR="005128E4" w:rsidRPr="00D87281" w:rsidRDefault="005128E4" w:rsidP="00040C3A">
      <w:pPr>
        <w:tabs>
          <w:tab w:val="center" w:pos="5400"/>
        </w:tabs>
        <w:suppressAutoHyphens/>
        <w:jc w:val="center"/>
        <w:rPr>
          <w:rFonts w:asciiTheme="majorHAnsi" w:hAnsiTheme="majorHAnsi"/>
          <w:color w:val="000000" w:themeColor="text1"/>
          <w:sz w:val="22"/>
          <w:szCs w:val="22"/>
          <w:lang w:val="es-ES"/>
        </w:rPr>
      </w:pPr>
    </w:p>
    <w:p w14:paraId="54445A55"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5D4A4040" w14:textId="77777777" w:rsidR="00040C3A" w:rsidRPr="00D87281" w:rsidRDefault="00040C3A" w:rsidP="00040C3A">
      <w:pPr>
        <w:tabs>
          <w:tab w:val="center" w:pos="5400"/>
        </w:tabs>
        <w:suppressAutoHyphens/>
        <w:jc w:val="center"/>
        <w:rPr>
          <w:rFonts w:asciiTheme="majorHAnsi" w:hAnsiTheme="majorHAnsi"/>
          <w:color w:val="000000" w:themeColor="text1"/>
          <w:sz w:val="22"/>
          <w:szCs w:val="22"/>
          <w:lang w:val="es-ES"/>
        </w:rPr>
      </w:pPr>
    </w:p>
    <w:p w14:paraId="048FBB22"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90ABFB3"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4C690048"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33CA438"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874DEE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698D0D6"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F907823"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45D9AC1"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6068EE5"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4A4A430"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B3B735F"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02C5C441"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806A2B0"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19C392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514A0182" w14:textId="77777777" w:rsidR="00A50FCF" w:rsidRPr="00D87281" w:rsidRDefault="0090270B" w:rsidP="00040C3A">
      <w:pPr>
        <w:tabs>
          <w:tab w:val="center" w:pos="5400"/>
        </w:tabs>
        <w:suppressAutoHyphens/>
        <w:jc w:val="center"/>
        <w:rPr>
          <w:rFonts w:asciiTheme="majorHAnsi" w:hAnsiTheme="majorHAnsi"/>
          <w:color w:val="000000" w:themeColor="text1"/>
          <w:sz w:val="18"/>
          <w:szCs w:val="22"/>
          <w:lang w:val="es-ES"/>
        </w:rPr>
      </w:pP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58B3CF8" w:rsidR="00355D19" w:rsidRPr="007861D8" w:rsidRDefault="00355D19" w:rsidP="00096182">
                            <w:pPr>
                              <w:tabs>
                                <w:tab w:val="center" w:pos="5400"/>
                              </w:tabs>
                              <w:suppressAutoHyphens/>
                              <w:spacing w:before="60"/>
                              <w:rPr>
                                <w:rFonts w:asciiTheme="majorHAnsi" w:hAnsiTheme="majorHAnsi"/>
                                <w:color w:val="0D0D0D" w:themeColor="text1" w:themeTint="F2"/>
                                <w:sz w:val="18"/>
                                <w:szCs w:val="22"/>
                                <w:lang w:val="es-ES"/>
                              </w:rPr>
                            </w:pPr>
                            <w:r w:rsidRPr="0063191B">
                              <w:rPr>
                                <w:rFonts w:asciiTheme="majorHAnsi" w:hAnsiTheme="majorHAnsi"/>
                                <w:color w:val="0D0D0D" w:themeColor="text1" w:themeTint="F2"/>
                                <w:sz w:val="18"/>
                                <w:szCs w:val="20"/>
                                <w:lang w:val="es-ES"/>
                              </w:rPr>
                              <w:t xml:space="preserve">Aprobado electrónicamente por la Comisión el </w:t>
                            </w:r>
                            <w:r w:rsidR="0069253F">
                              <w:rPr>
                                <w:rFonts w:asciiTheme="majorHAnsi" w:hAnsiTheme="majorHAnsi"/>
                                <w:color w:val="0D0D0D" w:themeColor="text1" w:themeTint="F2"/>
                                <w:sz w:val="18"/>
                                <w:szCs w:val="20"/>
                                <w:lang w:val="es-ES"/>
                              </w:rPr>
                              <w:t>29</w:t>
                            </w:r>
                            <w:r w:rsidRPr="0063191B">
                              <w:rPr>
                                <w:rFonts w:asciiTheme="majorHAnsi" w:hAnsiTheme="majorHAnsi"/>
                                <w:color w:val="0D0D0D" w:themeColor="text1" w:themeTint="F2"/>
                                <w:sz w:val="18"/>
                                <w:szCs w:val="20"/>
                                <w:lang w:val="es-ES"/>
                              </w:rPr>
                              <w:t xml:space="preserve"> de</w:t>
                            </w:r>
                            <w:r w:rsidRPr="007861D8">
                              <w:rPr>
                                <w:rFonts w:asciiTheme="majorHAnsi" w:hAnsiTheme="majorHAnsi"/>
                                <w:color w:val="0D0D0D" w:themeColor="text1" w:themeTint="F2"/>
                                <w:sz w:val="18"/>
                                <w:szCs w:val="20"/>
                                <w:lang w:val="es-ES"/>
                              </w:rPr>
                              <w:t xml:space="preserve"> </w:t>
                            </w:r>
                            <w:r w:rsidR="0069253F">
                              <w:rPr>
                                <w:rFonts w:asciiTheme="majorHAnsi" w:hAnsiTheme="majorHAnsi"/>
                                <w:color w:val="0D0D0D" w:themeColor="text1" w:themeTint="F2"/>
                                <w:sz w:val="18"/>
                                <w:szCs w:val="20"/>
                                <w:lang w:val="es-ES"/>
                              </w:rPr>
                              <w:t>diciembre</w:t>
                            </w:r>
                            <w:r w:rsidRPr="007861D8">
                              <w:rPr>
                                <w:rFonts w:asciiTheme="majorHAnsi" w:hAnsiTheme="majorHAnsi"/>
                                <w:color w:val="0D0D0D" w:themeColor="text1" w:themeTint="F2"/>
                                <w:sz w:val="18"/>
                                <w:szCs w:val="20"/>
                                <w:lang w:val="es-ES"/>
                              </w:rPr>
                              <w:t xml:space="preserve"> de 2023.</w:t>
                            </w:r>
                          </w:p>
                          <w:p w14:paraId="4BDF3581" w14:textId="77777777" w:rsidR="00355D19" w:rsidRPr="007861D8" w:rsidRDefault="00355D1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55D19" w:rsidRPr="007861D8" w:rsidRDefault="00355D1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58B3CF8" w:rsidR="00355D19" w:rsidRPr="007861D8" w:rsidRDefault="00355D19" w:rsidP="00096182">
                      <w:pPr>
                        <w:tabs>
                          <w:tab w:val="center" w:pos="5400"/>
                        </w:tabs>
                        <w:suppressAutoHyphens/>
                        <w:spacing w:before="60"/>
                        <w:rPr>
                          <w:rFonts w:asciiTheme="majorHAnsi" w:hAnsiTheme="majorHAnsi"/>
                          <w:color w:val="0D0D0D" w:themeColor="text1" w:themeTint="F2"/>
                          <w:sz w:val="18"/>
                          <w:szCs w:val="22"/>
                          <w:lang w:val="es-ES"/>
                        </w:rPr>
                      </w:pPr>
                      <w:r w:rsidRPr="0063191B">
                        <w:rPr>
                          <w:rFonts w:asciiTheme="majorHAnsi" w:hAnsiTheme="majorHAnsi"/>
                          <w:color w:val="0D0D0D" w:themeColor="text1" w:themeTint="F2"/>
                          <w:sz w:val="18"/>
                          <w:szCs w:val="20"/>
                          <w:lang w:val="es-ES"/>
                        </w:rPr>
                        <w:t xml:space="preserve">Aprobado electrónicamente por la Comisión el </w:t>
                      </w:r>
                      <w:r w:rsidR="0069253F">
                        <w:rPr>
                          <w:rFonts w:asciiTheme="majorHAnsi" w:hAnsiTheme="majorHAnsi"/>
                          <w:color w:val="0D0D0D" w:themeColor="text1" w:themeTint="F2"/>
                          <w:sz w:val="18"/>
                          <w:szCs w:val="20"/>
                          <w:lang w:val="es-ES"/>
                        </w:rPr>
                        <w:t>29</w:t>
                      </w:r>
                      <w:r w:rsidRPr="0063191B">
                        <w:rPr>
                          <w:rFonts w:asciiTheme="majorHAnsi" w:hAnsiTheme="majorHAnsi"/>
                          <w:color w:val="0D0D0D" w:themeColor="text1" w:themeTint="F2"/>
                          <w:sz w:val="18"/>
                          <w:szCs w:val="20"/>
                          <w:lang w:val="es-ES"/>
                        </w:rPr>
                        <w:t xml:space="preserve"> de</w:t>
                      </w:r>
                      <w:r w:rsidRPr="007861D8">
                        <w:rPr>
                          <w:rFonts w:asciiTheme="majorHAnsi" w:hAnsiTheme="majorHAnsi"/>
                          <w:color w:val="0D0D0D" w:themeColor="text1" w:themeTint="F2"/>
                          <w:sz w:val="18"/>
                          <w:szCs w:val="20"/>
                          <w:lang w:val="es-ES"/>
                        </w:rPr>
                        <w:t xml:space="preserve"> </w:t>
                      </w:r>
                      <w:r w:rsidR="0069253F">
                        <w:rPr>
                          <w:rFonts w:asciiTheme="majorHAnsi" w:hAnsiTheme="majorHAnsi"/>
                          <w:color w:val="0D0D0D" w:themeColor="text1" w:themeTint="F2"/>
                          <w:sz w:val="18"/>
                          <w:szCs w:val="20"/>
                          <w:lang w:val="es-ES"/>
                        </w:rPr>
                        <w:t>diciembre</w:t>
                      </w:r>
                      <w:r w:rsidRPr="007861D8">
                        <w:rPr>
                          <w:rFonts w:asciiTheme="majorHAnsi" w:hAnsiTheme="majorHAnsi"/>
                          <w:color w:val="0D0D0D" w:themeColor="text1" w:themeTint="F2"/>
                          <w:sz w:val="18"/>
                          <w:szCs w:val="20"/>
                          <w:lang w:val="es-ES"/>
                        </w:rPr>
                        <w:t xml:space="preserve"> de 2023.</w:t>
                      </w:r>
                    </w:p>
                    <w:p w14:paraId="4BDF3581" w14:textId="77777777" w:rsidR="00355D19" w:rsidRPr="007861D8" w:rsidRDefault="00355D19"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55D19" w:rsidRPr="007861D8" w:rsidRDefault="00355D1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929D1FD"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5469D0BE"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7A79F059"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330672AE" w14:textId="77777777" w:rsidR="00A50FCF" w:rsidRPr="00D87281" w:rsidRDefault="0090270B" w:rsidP="00040C3A">
      <w:pPr>
        <w:tabs>
          <w:tab w:val="center" w:pos="5400"/>
        </w:tabs>
        <w:suppressAutoHyphens/>
        <w:jc w:val="center"/>
        <w:rPr>
          <w:rFonts w:asciiTheme="majorHAnsi" w:hAnsiTheme="majorHAnsi"/>
          <w:color w:val="000000" w:themeColor="text1"/>
          <w:sz w:val="18"/>
          <w:szCs w:val="22"/>
          <w:lang w:val="es-ES"/>
        </w:rPr>
      </w:pPr>
      <w:r w:rsidRPr="00D87281">
        <w:rPr>
          <w:rFonts w:asciiTheme="majorHAnsi" w:hAnsiTheme="majorHAnsi"/>
          <w:noProof/>
          <w:color w:val="000000" w:themeColor="text1"/>
          <w:sz w:val="18"/>
          <w:szCs w:val="22"/>
          <w:lang w:val="es-ES" w:eastAsia="es-E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FF238C8" w:rsidR="00355D19" w:rsidRPr="0038709A" w:rsidRDefault="00355D1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No. </w:t>
                            </w:r>
                            <w:r w:rsidR="0069253F">
                              <w:rPr>
                                <w:rFonts w:asciiTheme="majorHAnsi" w:hAnsiTheme="majorHAnsi"/>
                                <w:color w:val="595959" w:themeColor="text1" w:themeTint="A6"/>
                                <w:sz w:val="18"/>
                                <w:szCs w:val="18"/>
                                <w:lang w:val="es-ES"/>
                              </w:rPr>
                              <w:t>336</w:t>
                            </w:r>
                            <w:r w:rsidRPr="007861D8">
                              <w:rPr>
                                <w:rFonts w:asciiTheme="majorHAnsi" w:hAnsiTheme="majorHAnsi"/>
                                <w:color w:val="595959" w:themeColor="text1" w:themeTint="A6"/>
                                <w:sz w:val="18"/>
                                <w:szCs w:val="18"/>
                                <w:lang w:val="es-ES"/>
                              </w:rPr>
                              <w:t>/</w:t>
                            </w:r>
                            <w:r w:rsidR="0069253F">
                              <w:rPr>
                                <w:rFonts w:asciiTheme="majorHAnsi" w:hAnsiTheme="majorHAnsi"/>
                                <w:color w:val="595959" w:themeColor="text1" w:themeTint="A6"/>
                                <w:sz w:val="18"/>
                                <w:szCs w:val="18"/>
                                <w:lang w:val="es-ES"/>
                              </w:rPr>
                              <w:t>23</w:t>
                            </w:r>
                            <w:r w:rsidRPr="007861D8">
                              <w:rPr>
                                <w:rFonts w:asciiTheme="majorHAnsi" w:hAnsiTheme="majorHAnsi"/>
                                <w:color w:val="595959" w:themeColor="text1" w:themeTint="A6"/>
                                <w:sz w:val="18"/>
                                <w:szCs w:val="18"/>
                                <w:lang w:val="es-ES"/>
                              </w:rPr>
                              <w:t xml:space="preserve">. Petición </w:t>
                            </w:r>
                            <w:r w:rsidR="002A5565">
                              <w:rPr>
                                <w:rFonts w:asciiTheme="majorHAnsi" w:hAnsiTheme="majorHAnsi"/>
                                <w:color w:val="595959" w:themeColor="text1" w:themeTint="A6"/>
                                <w:sz w:val="18"/>
                                <w:szCs w:val="18"/>
                                <w:lang w:val="es-ES"/>
                              </w:rPr>
                              <w:t>721-14</w:t>
                            </w:r>
                            <w:r w:rsidRPr="007861D8">
                              <w:rPr>
                                <w:rFonts w:asciiTheme="majorHAnsi" w:hAnsiTheme="majorHAnsi"/>
                                <w:color w:val="595959" w:themeColor="text1" w:themeTint="A6"/>
                                <w:sz w:val="18"/>
                                <w:szCs w:val="18"/>
                                <w:lang w:val="es-ES"/>
                              </w:rPr>
                              <w:t xml:space="preserve">. Admisibilidad. </w:t>
                            </w:r>
                            <w:r w:rsidR="002A5565" w:rsidRPr="002A5565">
                              <w:rPr>
                                <w:rFonts w:asciiTheme="majorHAnsi" w:hAnsiTheme="majorHAnsi"/>
                                <w:color w:val="595959" w:themeColor="text1" w:themeTint="A6"/>
                                <w:sz w:val="18"/>
                                <w:szCs w:val="18"/>
                                <w:lang w:val="pt-BR"/>
                              </w:rPr>
                              <w:t>José Dirceu de Oliveira e Silva</w:t>
                            </w:r>
                            <w:r w:rsidRPr="002A5565">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69253F">
                              <w:rPr>
                                <w:rFonts w:asciiTheme="majorHAnsi" w:hAnsiTheme="majorHAnsi"/>
                                <w:color w:val="595959" w:themeColor="text1" w:themeTint="A6"/>
                                <w:sz w:val="18"/>
                                <w:szCs w:val="18"/>
                                <w:lang w:val="pt-BR"/>
                              </w:rPr>
                              <w:t>29 de diciembre de 2023</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0FF238C8" w:rsidR="00355D19" w:rsidRPr="0038709A" w:rsidRDefault="00355D19"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Informe</w:t>
                      </w:r>
                      <w:r w:rsidRPr="00890650">
                        <w:rPr>
                          <w:rFonts w:asciiTheme="majorHAnsi" w:hAnsiTheme="majorHAnsi"/>
                          <w:color w:val="595959" w:themeColor="text1" w:themeTint="A6"/>
                          <w:sz w:val="18"/>
                          <w:szCs w:val="18"/>
                          <w:lang w:val="pt-BR"/>
                        </w:rPr>
                        <w:t xml:space="preserve"> No. </w:t>
                      </w:r>
                      <w:r w:rsidR="0069253F">
                        <w:rPr>
                          <w:rFonts w:asciiTheme="majorHAnsi" w:hAnsiTheme="majorHAnsi"/>
                          <w:color w:val="595959" w:themeColor="text1" w:themeTint="A6"/>
                          <w:sz w:val="18"/>
                          <w:szCs w:val="18"/>
                          <w:lang w:val="es-ES"/>
                        </w:rPr>
                        <w:t>336</w:t>
                      </w:r>
                      <w:r w:rsidRPr="007861D8">
                        <w:rPr>
                          <w:rFonts w:asciiTheme="majorHAnsi" w:hAnsiTheme="majorHAnsi"/>
                          <w:color w:val="595959" w:themeColor="text1" w:themeTint="A6"/>
                          <w:sz w:val="18"/>
                          <w:szCs w:val="18"/>
                          <w:lang w:val="es-ES"/>
                        </w:rPr>
                        <w:t>/</w:t>
                      </w:r>
                      <w:r w:rsidR="0069253F">
                        <w:rPr>
                          <w:rFonts w:asciiTheme="majorHAnsi" w:hAnsiTheme="majorHAnsi"/>
                          <w:color w:val="595959" w:themeColor="text1" w:themeTint="A6"/>
                          <w:sz w:val="18"/>
                          <w:szCs w:val="18"/>
                          <w:lang w:val="es-ES"/>
                        </w:rPr>
                        <w:t>23</w:t>
                      </w:r>
                      <w:r w:rsidRPr="007861D8">
                        <w:rPr>
                          <w:rFonts w:asciiTheme="majorHAnsi" w:hAnsiTheme="majorHAnsi"/>
                          <w:color w:val="595959" w:themeColor="text1" w:themeTint="A6"/>
                          <w:sz w:val="18"/>
                          <w:szCs w:val="18"/>
                          <w:lang w:val="es-ES"/>
                        </w:rPr>
                        <w:t xml:space="preserve">. Petición </w:t>
                      </w:r>
                      <w:r w:rsidR="002A5565">
                        <w:rPr>
                          <w:rFonts w:asciiTheme="majorHAnsi" w:hAnsiTheme="majorHAnsi"/>
                          <w:color w:val="595959" w:themeColor="text1" w:themeTint="A6"/>
                          <w:sz w:val="18"/>
                          <w:szCs w:val="18"/>
                          <w:lang w:val="es-ES"/>
                        </w:rPr>
                        <w:t>721-14</w:t>
                      </w:r>
                      <w:r w:rsidRPr="007861D8">
                        <w:rPr>
                          <w:rFonts w:asciiTheme="majorHAnsi" w:hAnsiTheme="majorHAnsi"/>
                          <w:color w:val="595959" w:themeColor="text1" w:themeTint="A6"/>
                          <w:sz w:val="18"/>
                          <w:szCs w:val="18"/>
                          <w:lang w:val="es-ES"/>
                        </w:rPr>
                        <w:t xml:space="preserve">. Admisibilidad. </w:t>
                      </w:r>
                      <w:r w:rsidR="002A5565" w:rsidRPr="002A5565">
                        <w:rPr>
                          <w:rFonts w:asciiTheme="majorHAnsi" w:hAnsiTheme="majorHAnsi"/>
                          <w:color w:val="595959" w:themeColor="text1" w:themeTint="A6"/>
                          <w:sz w:val="18"/>
                          <w:szCs w:val="18"/>
                          <w:lang w:val="pt-BR"/>
                        </w:rPr>
                        <w:t>José Dirceu de Oliveira e Silva</w:t>
                      </w:r>
                      <w:r w:rsidRPr="002A5565">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69253F">
                        <w:rPr>
                          <w:rFonts w:asciiTheme="majorHAnsi" w:hAnsiTheme="majorHAnsi"/>
                          <w:color w:val="595959" w:themeColor="text1" w:themeTint="A6"/>
                          <w:sz w:val="18"/>
                          <w:szCs w:val="18"/>
                          <w:lang w:val="pt-BR"/>
                        </w:rPr>
                        <w:t>29 de diciembre de 2023</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D87281" w:rsidRDefault="00A50FCF" w:rsidP="00040C3A">
      <w:pPr>
        <w:tabs>
          <w:tab w:val="center" w:pos="5400"/>
        </w:tabs>
        <w:suppressAutoHyphens/>
        <w:jc w:val="center"/>
        <w:rPr>
          <w:rFonts w:asciiTheme="majorHAnsi" w:hAnsiTheme="majorHAnsi"/>
          <w:color w:val="000000" w:themeColor="text1"/>
          <w:sz w:val="18"/>
          <w:szCs w:val="22"/>
          <w:lang w:val="es-ES"/>
        </w:rPr>
      </w:pPr>
    </w:p>
    <w:p w14:paraId="1DA07629" w14:textId="77777777" w:rsidR="0090270B" w:rsidRPr="00D87281" w:rsidRDefault="00D306D1" w:rsidP="005516A1">
      <w:pPr>
        <w:tabs>
          <w:tab w:val="center" w:pos="5400"/>
        </w:tabs>
        <w:suppressAutoHyphens/>
        <w:jc w:val="center"/>
        <w:rPr>
          <w:rFonts w:asciiTheme="majorHAnsi" w:hAnsiTheme="majorHAnsi"/>
          <w:b/>
          <w:color w:val="000000" w:themeColor="text1"/>
          <w:sz w:val="20"/>
          <w:lang w:val="es-ES"/>
        </w:rPr>
      </w:pPr>
      <w:r w:rsidRPr="00D87281">
        <w:rPr>
          <w:rFonts w:asciiTheme="majorHAnsi" w:hAnsiTheme="majorHAnsi"/>
          <w:noProof/>
          <w:color w:val="000000" w:themeColor="text1"/>
          <w:sz w:val="18"/>
          <w:szCs w:val="22"/>
          <w:lang w:val="es-ES" w:eastAsia="es-E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6D177D5" w:rsidR="00355D19" w:rsidRPr="00D72DC6" w:rsidRDefault="00355D19" w:rsidP="00F02AD1">
                            <w:pPr>
                              <w:rPr>
                                <w:color w:val="FFFFFF" w:themeColor="background1"/>
                                <w14:textFill>
                                  <w14:noFill/>
                                </w14:textFill>
                              </w:rPr>
                            </w:pPr>
                            <w:r>
                              <w:rPr>
                                <w:noProof/>
                                <w:color w:val="FFFFFF" w:themeColor="background1"/>
                                <w:lang w:val="es-ES" w:eastAsia="es-ES"/>
                              </w:rPr>
                              <w:drawing>
                                <wp:inline distT="0" distB="0" distL="0" distR="0" wp14:anchorId="6CEEFA85" wp14:editId="270DBFD9">
                                  <wp:extent cx="1726442" cy="4440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696" cy="44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46D177D5" w:rsidR="00355D19" w:rsidRPr="00D72DC6" w:rsidRDefault="00355D19" w:rsidP="00F02AD1">
                      <w:pPr>
                        <w:rPr>
                          <w:color w:val="FFFFFF" w:themeColor="background1"/>
                          <w14:textFill>
                            <w14:noFill/>
                          </w14:textFill>
                        </w:rPr>
                      </w:pPr>
                      <w:r>
                        <w:rPr>
                          <w:noProof/>
                          <w:color w:val="FFFFFF" w:themeColor="background1"/>
                          <w:lang w:val="es-ES" w:eastAsia="es-ES"/>
                        </w:rPr>
                        <w:drawing>
                          <wp:inline distT="0" distB="0" distL="0" distR="0" wp14:anchorId="6CEEFA85" wp14:editId="270DBFD9">
                            <wp:extent cx="1726442" cy="4440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696" cy="444660"/>
                                    </a:xfrm>
                                    <a:prstGeom prst="rect">
                                      <a:avLst/>
                                    </a:prstGeom>
                                  </pic:spPr>
                                </pic:pic>
                              </a:graphicData>
                            </a:graphic>
                          </wp:inline>
                        </w:drawing>
                      </w:r>
                    </w:p>
                  </w:txbxContent>
                </v:textbox>
              </v:shape>
            </w:pict>
          </mc:Fallback>
        </mc:AlternateContent>
      </w:r>
      <w:r w:rsidRPr="00D87281">
        <w:rPr>
          <w:rFonts w:asciiTheme="majorHAnsi" w:hAnsiTheme="majorHAnsi"/>
          <w:noProof/>
          <w:color w:val="000000" w:themeColor="text1"/>
          <w:sz w:val="22"/>
          <w:szCs w:val="22"/>
          <w:lang w:val="es-ES" w:eastAsia="es-E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55D19" w:rsidRPr="0057433A" w:rsidRDefault="00355D19" w:rsidP="00D306D1">
                            <w:pPr>
                              <w:jc w:val="center"/>
                              <w:rPr>
                                <w:rFonts w:asciiTheme="minorHAnsi" w:hAnsiTheme="minorHAnsi"/>
                                <w:b/>
                                <w:color w:val="FFFFFF" w:themeColor="background1"/>
                              </w:rPr>
                            </w:pPr>
                            <w:r w:rsidRPr="0057433A">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355D19" w:rsidRPr="0057433A" w:rsidRDefault="00355D19" w:rsidP="00D306D1">
                      <w:pPr>
                        <w:jc w:val="center"/>
                        <w:rPr>
                          <w:rFonts w:asciiTheme="minorHAnsi" w:hAnsiTheme="minorHAnsi"/>
                          <w:b/>
                          <w:color w:val="FFFFFF" w:themeColor="background1"/>
                        </w:rPr>
                      </w:pPr>
                      <w:r w:rsidRPr="0057433A">
                        <w:rPr>
                          <w:rFonts w:asciiTheme="minorHAnsi" w:hAnsiTheme="minorHAnsi"/>
                          <w:b/>
                          <w:color w:val="FFFFFF" w:themeColor="background1"/>
                          <w:lang w:val="pt-BR"/>
                        </w:rPr>
                        <w:t>www.cidh.org</w:t>
                      </w:r>
                    </w:p>
                  </w:txbxContent>
                </v:textbox>
              </v:shape>
            </w:pict>
          </mc:Fallback>
        </mc:AlternateContent>
      </w:r>
    </w:p>
    <w:p w14:paraId="2FE1B253" w14:textId="4E43B8E7" w:rsidR="0070697F" w:rsidRPr="00D87281" w:rsidRDefault="004A6A54" w:rsidP="005516A1">
      <w:pPr>
        <w:tabs>
          <w:tab w:val="center" w:pos="5400"/>
        </w:tabs>
        <w:suppressAutoHyphens/>
        <w:jc w:val="center"/>
        <w:rPr>
          <w:rFonts w:asciiTheme="majorHAnsi" w:hAnsiTheme="majorHAnsi"/>
          <w:b/>
          <w:color w:val="000000" w:themeColor="text1"/>
          <w:sz w:val="20"/>
          <w:lang w:val="es-ES"/>
        </w:rPr>
        <w:sectPr w:rsidR="0070697F" w:rsidRPr="00D8728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87281">
        <w:rPr>
          <w:rFonts w:asciiTheme="majorHAnsi" w:hAnsiTheme="majorHAnsi"/>
          <w:b/>
          <w:color w:val="000000" w:themeColor="text1"/>
          <w:sz w:val="20"/>
          <w:lang w:val="es-ES"/>
        </w:rPr>
        <w:tab/>
      </w:r>
    </w:p>
    <w:p w14:paraId="376DDC8B" w14:textId="6E5A52AA" w:rsidR="003239B8" w:rsidRPr="00D87281" w:rsidRDefault="00A37F2E" w:rsidP="004A6A54">
      <w:pPr>
        <w:spacing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lastRenderedPageBreak/>
        <w:t>I.</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DATOS DE LA PETICIÓN</w:t>
      </w:r>
      <w:r w:rsidR="003239B8" w:rsidRPr="00D87281">
        <w:rPr>
          <w:rFonts w:asciiTheme="majorHAnsi" w:hAnsiTheme="majorHAnsi"/>
          <w:b/>
          <w:bCs/>
          <w:color w:val="000000" w:themeColor="text1"/>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96182" w:rsidRPr="0069253F" w14:paraId="5A79D1F7" w14:textId="77777777" w:rsidTr="0076191D">
        <w:tc>
          <w:tcPr>
            <w:tcW w:w="3600" w:type="dxa"/>
            <w:tcBorders>
              <w:top w:val="single" w:sz="4" w:space="0" w:color="auto"/>
              <w:bottom w:val="single" w:sz="6" w:space="0" w:color="auto"/>
            </w:tcBorders>
            <w:shd w:val="clear" w:color="auto" w:fill="365F91" w:themeFill="accent1" w:themeFillShade="BF"/>
          </w:tcPr>
          <w:p w14:paraId="0CB2A43B" w14:textId="3F5A0C2A" w:rsidR="00096182" w:rsidRPr="0076191D" w:rsidRDefault="00096182" w:rsidP="00096182">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Parte peticionaria:</w:t>
            </w:r>
          </w:p>
        </w:tc>
        <w:tc>
          <w:tcPr>
            <w:tcW w:w="5760" w:type="dxa"/>
            <w:vAlign w:val="center"/>
          </w:tcPr>
          <w:p w14:paraId="3C5315D8" w14:textId="064342D6" w:rsidR="00096182" w:rsidRPr="002A5565" w:rsidRDefault="002A5565" w:rsidP="00D87281">
            <w:pPr>
              <w:jc w:val="both"/>
              <w:rPr>
                <w:rFonts w:ascii="Cambria" w:hAnsi="Cambria"/>
                <w:bCs/>
                <w:color w:val="000000" w:themeColor="text1"/>
                <w:sz w:val="20"/>
                <w:szCs w:val="20"/>
                <w:lang w:val="pt-BR"/>
              </w:rPr>
            </w:pPr>
            <w:r w:rsidRPr="002A5565">
              <w:rPr>
                <w:rFonts w:ascii="Cambria" w:hAnsi="Cambria"/>
                <w:bCs/>
                <w:color w:val="000000" w:themeColor="text1"/>
                <w:sz w:val="20"/>
                <w:szCs w:val="20"/>
                <w:lang w:val="pt-BR"/>
              </w:rPr>
              <w:t>José Luis Oliveira Lima, Rodrigo Dall’acqua</w:t>
            </w:r>
          </w:p>
        </w:tc>
      </w:tr>
      <w:tr w:rsidR="00096182" w:rsidRPr="0069253F" w14:paraId="593A7E45" w14:textId="77777777" w:rsidTr="0076191D">
        <w:tc>
          <w:tcPr>
            <w:tcW w:w="3600" w:type="dxa"/>
            <w:tcBorders>
              <w:top w:val="single" w:sz="6" w:space="0" w:color="auto"/>
              <w:bottom w:val="single" w:sz="6" w:space="0" w:color="auto"/>
            </w:tcBorders>
            <w:shd w:val="clear" w:color="auto" w:fill="365F91" w:themeFill="accent1" w:themeFillShade="BF"/>
          </w:tcPr>
          <w:p w14:paraId="0E78CA0C" w14:textId="720A6DED" w:rsidR="00096182" w:rsidRPr="0076191D" w:rsidRDefault="00096182" w:rsidP="00096182">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Presunta víctima:</w:t>
            </w:r>
          </w:p>
        </w:tc>
        <w:tc>
          <w:tcPr>
            <w:tcW w:w="5760" w:type="dxa"/>
            <w:vAlign w:val="center"/>
          </w:tcPr>
          <w:p w14:paraId="4AEBF59E" w14:textId="55C7154A" w:rsidR="00096182" w:rsidRPr="002A5565" w:rsidRDefault="002A5565" w:rsidP="002C63E0">
            <w:pPr>
              <w:jc w:val="both"/>
              <w:rPr>
                <w:rFonts w:ascii="Cambria" w:hAnsi="Cambria"/>
                <w:bCs/>
                <w:color w:val="000000" w:themeColor="text1"/>
                <w:sz w:val="20"/>
                <w:szCs w:val="20"/>
                <w:lang w:val="pt-BR"/>
              </w:rPr>
            </w:pPr>
            <w:r w:rsidRPr="002A5565">
              <w:rPr>
                <w:rFonts w:ascii="Cambria" w:hAnsi="Cambria"/>
                <w:bCs/>
                <w:color w:val="000000" w:themeColor="text1"/>
                <w:sz w:val="20"/>
                <w:szCs w:val="20"/>
                <w:lang w:val="pt-BR"/>
              </w:rPr>
              <w:t>José Dirceu de Oliveira e</w:t>
            </w:r>
            <w:r>
              <w:rPr>
                <w:rFonts w:ascii="Cambria" w:hAnsi="Cambria"/>
                <w:bCs/>
                <w:color w:val="000000" w:themeColor="text1"/>
                <w:sz w:val="20"/>
                <w:szCs w:val="20"/>
                <w:lang w:val="pt-BR"/>
              </w:rPr>
              <w:t xml:space="preserve"> Silva</w:t>
            </w:r>
          </w:p>
        </w:tc>
      </w:tr>
      <w:tr w:rsidR="00096182" w:rsidRPr="00D87281" w14:paraId="3E62E1D3" w14:textId="77777777" w:rsidTr="0076191D">
        <w:tc>
          <w:tcPr>
            <w:tcW w:w="3600" w:type="dxa"/>
            <w:tcBorders>
              <w:top w:val="single" w:sz="6" w:space="0" w:color="auto"/>
              <w:bottom w:val="single" w:sz="6" w:space="0" w:color="auto"/>
            </w:tcBorders>
            <w:shd w:val="clear" w:color="auto" w:fill="365F91" w:themeFill="accent1" w:themeFillShade="BF"/>
          </w:tcPr>
          <w:p w14:paraId="340B0F09" w14:textId="05501081" w:rsidR="00096182" w:rsidRPr="0076191D" w:rsidRDefault="00096182" w:rsidP="002C63E0">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Estado denunciado:</w:t>
            </w:r>
          </w:p>
        </w:tc>
        <w:tc>
          <w:tcPr>
            <w:tcW w:w="5760" w:type="dxa"/>
            <w:vAlign w:val="center"/>
          </w:tcPr>
          <w:p w14:paraId="274C8A50" w14:textId="08FB18A4" w:rsidR="00096182" w:rsidRPr="00D87281" w:rsidRDefault="00096182" w:rsidP="002C63E0">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Brasil</w:t>
            </w:r>
          </w:p>
        </w:tc>
      </w:tr>
      <w:tr w:rsidR="00096182" w:rsidRPr="0069253F" w14:paraId="632511BC" w14:textId="77777777" w:rsidTr="0076191D">
        <w:tc>
          <w:tcPr>
            <w:tcW w:w="3600" w:type="dxa"/>
            <w:tcBorders>
              <w:top w:val="single" w:sz="6" w:space="0" w:color="auto"/>
              <w:bottom w:val="single" w:sz="6" w:space="0" w:color="auto"/>
            </w:tcBorders>
            <w:shd w:val="clear" w:color="auto" w:fill="365F91" w:themeFill="accent1" w:themeFillShade="BF"/>
          </w:tcPr>
          <w:p w14:paraId="727E2F6B" w14:textId="6EA4D2C2" w:rsidR="00096182" w:rsidRPr="0076191D" w:rsidRDefault="00096182" w:rsidP="007665A8">
            <w:pPr>
              <w:jc w:val="center"/>
              <w:rPr>
                <w:rFonts w:asciiTheme="majorHAnsi" w:hAnsiTheme="majorHAnsi"/>
                <w:b/>
                <w:color w:val="FFFFFF" w:themeColor="background1"/>
                <w:sz w:val="20"/>
                <w:szCs w:val="20"/>
                <w:lang w:val="es-ES"/>
              </w:rPr>
            </w:pPr>
            <w:r w:rsidRPr="0076191D">
              <w:rPr>
                <w:rFonts w:asciiTheme="majorHAnsi" w:hAnsiTheme="majorHAnsi"/>
                <w:b/>
                <w:color w:val="FFFFFF" w:themeColor="background1"/>
                <w:sz w:val="20"/>
                <w:szCs w:val="20"/>
                <w:lang w:val="es-ES"/>
              </w:rPr>
              <w:t>Derechos invocados:</w:t>
            </w:r>
          </w:p>
        </w:tc>
        <w:tc>
          <w:tcPr>
            <w:tcW w:w="5760" w:type="dxa"/>
            <w:vAlign w:val="center"/>
          </w:tcPr>
          <w:p w14:paraId="6DEE1EEB" w14:textId="0C0C5160" w:rsidR="00096182" w:rsidRPr="00D87281" w:rsidRDefault="00124EE3" w:rsidP="00CB3448">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Artículo</w:t>
            </w:r>
            <w:r w:rsidR="00096182" w:rsidRPr="00D87281">
              <w:rPr>
                <w:rFonts w:ascii="Cambria" w:hAnsi="Cambria"/>
                <w:bCs/>
                <w:color w:val="000000" w:themeColor="text1"/>
                <w:sz w:val="20"/>
                <w:szCs w:val="20"/>
                <w:lang w:val="es-ES"/>
              </w:rPr>
              <w:t xml:space="preserve"> </w:t>
            </w:r>
            <w:r w:rsidR="00D87281" w:rsidRPr="00D87281">
              <w:rPr>
                <w:rFonts w:ascii="Cambria" w:hAnsi="Cambria"/>
                <w:bCs/>
                <w:color w:val="000000" w:themeColor="text1"/>
                <w:sz w:val="20"/>
                <w:szCs w:val="20"/>
                <w:lang w:val="es-ES"/>
              </w:rPr>
              <w:t xml:space="preserve">8 (garantías judiciales) </w:t>
            </w:r>
            <w:r w:rsidR="00096182" w:rsidRPr="00D87281">
              <w:rPr>
                <w:rFonts w:ascii="Cambria" w:hAnsi="Cambria"/>
                <w:bCs/>
                <w:color w:val="000000" w:themeColor="text1"/>
                <w:sz w:val="20"/>
                <w:szCs w:val="20"/>
                <w:lang w:val="es-ES"/>
              </w:rPr>
              <w:t>d</w:t>
            </w:r>
            <w:r w:rsidR="00D87281" w:rsidRPr="00D87281">
              <w:rPr>
                <w:rFonts w:ascii="Cambria" w:hAnsi="Cambria"/>
                <w:bCs/>
                <w:color w:val="000000" w:themeColor="text1"/>
                <w:sz w:val="20"/>
                <w:szCs w:val="20"/>
                <w:lang w:val="es-ES"/>
              </w:rPr>
              <w:t>e la</w:t>
            </w:r>
            <w:r w:rsidR="00096182" w:rsidRPr="00D87281">
              <w:rPr>
                <w:rFonts w:ascii="Cambria" w:hAnsi="Cambria"/>
                <w:bCs/>
                <w:color w:val="000000" w:themeColor="text1"/>
                <w:sz w:val="20"/>
                <w:szCs w:val="20"/>
                <w:lang w:val="es-ES"/>
              </w:rPr>
              <w:t xml:space="preserve"> </w:t>
            </w:r>
            <w:r w:rsidRPr="00D87281">
              <w:rPr>
                <w:rFonts w:ascii="Cambria" w:hAnsi="Cambria"/>
                <w:bCs/>
                <w:color w:val="000000" w:themeColor="text1"/>
                <w:sz w:val="20"/>
                <w:szCs w:val="20"/>
                <w:lang w:val="es-ES"/>
              </w:rPr>
              <w:t xml:space="preserve">Convención Americana </w:t>
            </w:r>
            <w:r w:rsidR="00CB3448">
              <w:rPr>
                <w:rFonts w:ascii="Cambria" w:hAnsi="Cambria"/>
                <w:bCs/>
                <w:color w:val="000000" w:themeColor="text1"/>
                <w:sz w:val="20"/>
                <w:szCs w:val="20"/>
                <w:lang w:val="es-ES"/>
              </w:rPr>
              <w:t xml:space="preserve">sobre </w:t>
            </w:r>
            <w:r w:rsidRPr="00D87281">
              <w:rPr>
                <w:rFonts w:ascii="Cambria" w:hAnsi="Cambria"/>
                <w:bCs/>
                <w:color w:val="000000" w:themeColor="text1"/>
                <w:sz w:val="20"/>
                <w:szCs w:val="20"/>
                <w:lang w:val="es-ES"/>
              </w:rPr>
              <w:t>Derechos Humanos</w:t>
            </w:r>
            <w:r w:rsidRPr="00D87281">
              <w:rPr>
                <w:rFonts w:ascii="Cambria" w:hAnsi="Cambria"/>
                <w:bCs/>
                <w:color w:val="000000" w:themeColor="text1"/>
                <w:sz w:val="20"/>
                <w:szCs w:val="20"/>
                <w:vertAlign w:val="superscript"/>
                <w:lang w:val="es-ES"/>
              </w:rPr>
              <w:t xml:space="preserve"> </w:t>
            </w:r>
            <w:r w:rsidR="00096182" w:rsidRPr="00D87281">
              <w:rPr>
                <w:rStyle w:val="FootnoteReference"/>
                <w:rFonts w:ascii="Cambria" w:hAnsi="Cambria"/>
                <w:bCs/>
                <w:color w:val="000000" w:themeColor="text1"/>
                <w:sz w:val="20"/>
                <w:szCs w:val="20"/>
                <w:lang w:val="es-ES"/>
              </w:rPr>
              <w:footnoteReference w:id="2"/>
            </w:r>
            <w:r w:rsidR="00096182" w:rsidRPr="00D87281">
              <w:rPr>
                <w:rFonts w:ascii="Cambria" w:hAnsi="Cambria"/>
                <w:bCs/>
                <w:color w:val="000000" w:themeColor="text1"/>
                <w:sz w:val="20"/>
                <w:szCs w:val="20"/>
                <w:lang w:val="es-ES"/>
              </w:rPr>
              <w:t xml:space="preserve"> </w:t>
            </w:r>
          </w:p>
        </w:tc>
      </w:tr>
    </w:tbl>
    <w:p w14:paraId="20263696" w14:textId="22E36F43" w:rsidR="003239B8" w:rsidRPr="00D87281" w:rsidRDefault="00A37F2E"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II.</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TRÁMITE</w:t>
      </w:r>
      <w:r w:rsidRPr="00D87281">
        <w:rPr>
          <w:rFonts w:asciiTheme="majorHAnsi" w:hAnsiTheme="majorHAnsi"/>
          <w:b/>
          <w:bCs/>
          <w:color w:val="000000" w:themeColor="text1"/>
          <w:sz w:val="20"/>
          <w:szCs w:val="20"/>
          <w:lang w:val="es-ES"/>
        </w:rPr>
        <w:t xml:space="preserve"> ANTE </w:t>
      </w:r>
      <w:r w:rsidR="00096182" w:rsidRPr="00D87281">
        <w:rPr>
          <w:rFonts w:asciiTheme="majorHAnsi" w:hAnsiTheme="majorHAnsi"/>
          <w:b/>
          <w:bCs/>
          <w:color w:val="000000" w:themeColor="text1"/>
          <w:sz w:val="20"/>
          <w:szCs w:val="20"/>
          <w:lang w:val="es-ES"/>
        </w:rPr>
        <w:t>L</w:t>
      </w:r>
      <w:r w:rsidRPr="00D87281">
        <w:rPr>
          <w:rFonts w:asciiTheme="majorHAnsi" w:hAnsiTheme="majorHAnsi"/>
          <w:b/>
          <w:bCs/>
          <w:color w:val="000000" w:themeColor="text1"/>
          <w:sz w:val="20"/>
          <w:szCs w:val="20"/>
          <w:lang w:val="es-ES"/>
        </w:rPr>
        <w:t>A</w:t>
      </w:r>
      <w:r w:rsidR="003239B8" w:rsidRPr="00D87281">
        <w:rPr>
          <w:rFonts w:asciiTheme="majorHAnsi" w:hAnsiTheme="majorHAnsi"/>
          <w:b/>
          <w:bCs/>
          <w:color w:val="000000" w:themeColor="text1"/>
          <w:sz w:val="20"/>
          <w:szCs w:val="20"/>
          <w:lang w:val="es-ES"/>
        </w:rPr>
        <w:t xml:space="preserve"> CIDH</w:t>
      </w:r>
      <w:r w:rsidR="008E3BFE" w:rsidRPr="00D87281">
        <w:rPr>
          <w:rStyle w:val="FootnoteReference"/>
          <w:rFonts w:ascii="Cambria" w:hAnsi="Cambria"/>
          <w:b/>
          <w:color w:val="000000" w:themeColor="text1"/>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A5565" w:rsidRPr="00D87281" w14:paraId="306EFCB0"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7508D16F" w14:textId="63FFC87D" w:rsidR="002A5565" w:rsidRPr="002F7689" w:rsidRDefault="002A5565" w:rsidP="002A556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2F7689">
              <w:rPr>
                <w:rFonts w:ascii="Cambria" w:hAnsi="Cambria"/>
                <w:b/>
                <w:bCs/>
                <w:color w:val="FFFFFF" w:themeColor="background1"/>
                <w:sz w:val="20"/>
                <w:szCs w:val="20"/>
                <w:lang w:val="es-ES"/>
              </w:rPr>
              <w:t>resentación</w:t>
            </w:r>
            <w:r>
              <w:rPr>
                <w:rFonts w:ascii="Cambria" w:hAnsi="Cambria"/>
                <w:b/>
                <w:bCs/>
                <w:color w:val="FFFFFF" w:themeColor="background1"/>
                <w:sz w:val="20"/>
                <w:szCs w:val="20"/>
                <w:lang w:val="es-ES"/>
              </w:rPr>
              <w:t xml:space="preserve"> </w:t>
            </w:r>
            <w:r w:rsidRPr="002F7689">
              <w:rPr>
                <w:rFonts w:ascii="Cambria" w:hAnsi="Cambria"/>
                <w:b/>
                <w:bCs/>
                <w:color w:val="FFFFFF" w:themeColor="background1"/>
                <w:sz w:val="20"/>
                <w:szCs w:val="20"/>
                <w:lang w:val="es-ES"/>
              </w:rPr>
              <w:t>de la petición:</w:t>
            </w:r>
          </w:p>
        </w:tc>
        <w:tc>
          <w:tcPr>
            <w:tcW w:w="5760" w:type="dxa"/>
            <w:vAlign w:val="center"/>
          </w:tcPr>
          <w:p w14:paraId="6E579153" w14:textId="4B67EC54" w:rsidR="002A5565" w:rsidRPr="00D87281"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13 de mayo de 2014</w:t>
            </w:r>
          </w:p>
        </w:tc>
      </w:tr>
      <w:tr w:rsidR="002A5565" w:rsidRPr="002A5565" w14:paraId="1BDCD5C6"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7A18664F" w14:textId="396AB3F2" w:rsidR="002A5565" w:rsidRPr="002F7689" w:rsidRDefault="002A5565" w:rsidP="002A5565">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N</w:t>
            </w:r>
            <w:r w:rsidRPr="002F7689">
              <w:rPr>
                <w:rFonts w:ascii="Cambria" w:hAnsi="Cambria"/>
                <w:b/>
                <w:color w:val="FFFFFF" w:themeColor="background1"/>
                <w:sz w:val="20"/>
                <w:szCs w:val="20"/>
                <w:lang w:val="es-ES"/>
              </w:rPr>
              <w:t>otificación</w:t>
            </w:r>
            <w:r>
              <w:rPr>
                <w:rFonts w:ascii="Cambria" w:hAnsi="Cambria"/>
                <w:b/>
                <w:color w:val="FFFFFF" w:themeColor="background1"/>
                <w:sz w:val="20"/>
                <w:szCs w:val="20"/>
                <w:lang w:val="es-ES"/>
              </w:rPr>
              <w:t xml:space="preserve"> </w:t>
            </w:r>
            <w:r w:rsidRPr="002F7689">
              <w:rPr>
                <w:rFonts w:ascii="Cambria" w:hAnsi="Cambria"/>
                <w:b/>
                <w:color w:val="FFFFFF" w:themeColor="background1"/>
                <w:sz w:val="20"/>
                <w:szCs w:val="20"/>
                <w:lang w:val="es-ES"/>
              </w:rPr>
              <w:t>de la petición al Estado:</w:t>
            </w:r>
          </w:p>
        </w:tc>
        <w:tc>
          <w:tcPr>
            <w:tcW w:w="5760" w:type="dxa"/>
            <w:vAlign w:val="center"/>
          </w:tcPr>
          <w:p w14:paraId="1519DA6A" w14:textId="0D0DDA5F" w:rsidR="002A5565" w:rsidRPr="00D87281"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26 de marzo de 2019</w:t>
            </w:r>
          </w:p>
        </w:tc>
      </w:tr>
      <w:tr w:rsidR="002A5565" w:rsidRPr="002A5565" w14:paraId="42B0A5A3"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4AC53FA0" w14:textId="18D0F860" w:rsidR="002A5565" w:rsidRDefault="002A5565" w:rsidP="002A5565">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Solicitud de prórroga:</w:t>
            </w:r>
          </w:p>
        </w:tc>
        <w:tc>
          <w:tcPr>
            <w:tcW w:w="5760" w:type="dxa"/>
            <w:vAlign w:val="center"/>
          </w:tcPr>
          <w:p w14:paraId="0C26AC67" w14:textId="4256459B" w:rsidR="002A5565"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2 de agosto de 2019</w:t>
            </w:r>
          </w:p>
        </w:tc>
      </w:tr>
      <w:tr w:rsidR="002A5565" w:rsidRPr="00D87281" w14:paraId="6147A8D5"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0201C86D" w14:textId="42635062" w:rsidR="002A5565" w:rsidRPr="002F7689" w:rsidRDefault="002A5565" w:rsidP="002A556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2F7689">
              <w:rPr>
                <w:rFonts w:ascii="Cambria" w:hAnsi="Cambria"/>
                <w:b/>
                <w:bCs/>
                <w:color w:val="FFFFFF" w:themeColor="background1"/>
                <w:sz w:val="20"/>
                <w:szCs w:val="20"/>
                <w:lang w:val="es-ES"/>
              </w:rPr>
              <w:t>rimera respuesta</w:t>
            </w:r>
            <w:r>
              <w:rPr>
                <w:rFonts w:ascii="Cambria" w:hAnsi="Cambria"/>
                <w:b/>
                <w:bCs/>
                <w:color w:val="FFFFFF" w:themeColor="background1"/>
                <w:sz w:val="20"/>
                <w:szCs w:val="20"/>
                <w:lang w:val="es-ES"/>
              </w:rPr>
              <w:t xml:space="preserve"> </w:t>
            </w:r>
            <w:r w:rsidRPr="002F7689">
              <w:rPr>
                <w:rFonts w:ascii="Cambria" w:hAnsi="Cambria"/>
                <w:b/>
                <w:bCs/>
                <w:color w:val="FFFFFF" w:themeColor="background1"/>
                <w:sz w:val="20"/>
                <w:szCs w:val="20"/>
                <w:lang w:val="es-ES"/>
              </w:rPr>
              <w:t>del Estado:</w:t>
            </w:r>
          </w:p>
        </w:tc>
        <w:tc>
          <w:tcPr>
            <w:tcW w:w="5760" w:type="dxa"/>
            <w:vAlign w:val="center"/>
          </w:tcPr>
          <w:p w14:paraId="1972B99E" w14:textId="7CBA1AD2" w:rsidR="002A5565" w:rsidRPr="00D87281"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2 de septiembre de 2019</w:t>
            </w:r>
          </w:p>
        </w:tc>
      </w:tr>
      <w:tr w:rsidR="002A5565" w:rsidRPr="002A5565" w14:paraId="322668B6"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1524DA55" w14:textId="32DF4E80" w:rsidR="002A5565" w:rsidRPr="002F7689" w:rsidRDefault="002A5565" w:rsidP="002A5565">
            <w:pPr>
              <w:jc w:val="center"/>
              <w:rPr>
                <w:rFonts w:ascii="Cambria" w:hAnsi="Cambria"/>
                <w:b/>
                <w:bCs/>
                <w:color w:val="FFFFFF" w:themeColor="background1"/>
                <w:sz w:val="20"/>
                <w:szCs w:val="20"/>
                <w:lang w:val="es-ES"/>
              </w:rPr>
            </w:pPr>
            <w:r w:rsidRPr="002F7689">
              <w:rPr>
                <w:rFonts w:ascii="Cambria" w:hAnsi="Cambria"/>
                <w:b/>
                <w:color w:val="FFFFFF" w:themeColor="background1"/>
                <w:sz w:val="20"/>
                <w:szCs w:val="20"/>
                <w:lang w:val="es-ES"/>
              </w:rPr>
              <w:t>Observaciones adicionales</w:t>
            </w:r>
            <w:r>
              <w:rPr>
                <w:rFonts w:ascii="Cambria" w:hAnsi="Cambria"/>
                <w:b/>
                <w:color w:val="FFFFFF" w:themeColor="background1"/>
                <w:sz w:val="20"/>
                <w:szCs w:val="20"/>
                <w:lang w:val="es-ES"/>
              </w:rPr>
              <w:t xml:space="preserve"> </w:t>
            </w:r>
            <w:r w:rsidRPr="002F7689">
              <w:rPr>
                <w:rFonts w:ascii="Cambria" w:hAnsi="Cambria"/>
                <w:b/>
                <w:color w:val="FFFFFF" w:themeColor="background1"/>
                <w:sz w:val="20"/>
                <w:szCs w:val="20"/>
                <w:lang w:val="es-ES"/>
              </w:rPr>
              <w:t>de la parte peticionaria:</w:t>
            </w:r>
          </w:p>
        </w:tc>
        <w:tc>
          <w:tcPr>
            <w:tcW w:w="5760" w:type="dxa"/>
            <w:vAlign w:val="center"/>
          </w:tcPr>
          <w:p w14:paraId="41D8B862" w14:textId="17635A7E" w:rsidR="002A5565" w:rsidRPr="00D87281"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25 de marzo de 2020, 13 de agosto de 2021</w:t>
            </w:r>
          </w:p>
        </w:tc>
      </w:tr>
      <w:tr w:rsidR="002A5565" w:rsidRPr="00874CF3" w14:paraId="01F969B4" w14:textId="77777777" w:rsidTr="002F7689">
        <w:tc>
          <w:tcPr>
            <w:tcW w:w="3600" w:type="dxa"/>
            <w:tcBorders>
              <w:top w:val="single" w:sz="6" w:space="0" w:color="auto"/>
              <w:bottom w:val="single" w:sz="6" w:space="0" w:color="auto"/>
            </w:tcBorders>
            <w:shd w:val="clear" w:color="auto" w:fill="365F91" w:themeFill="accent1" w:themeFillShade="BF"/>
            <w:vAlign w:val="center"/>
          </w:tcPr>
          <w:p w14:paraId="56DEF250" w14:textId="4AFE5325" w:rsidR="002A5565" w:rsidRPr="002F7689" w:rsidRDefault="002A5565" w:rsidP="002A5565">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4202D6DB" w14:textId="370D357B" w:rsidR="002A5565" w:rsidRDefault="002A5565" w:rsidP="002A5565">
            <w:pPr>
              <w:jc w:val="both"/>
              <w:rPr>
                <w:rFonts w:ascii="Cambria" w:hAnsi="Cambria"/>
                <w:bCs/>
                <w:color w:val="000000" w:themeColor="text1"/>
                <w:sz w:val="20"/>
                <w:szCs w:val="20"/>
                <w:lang w:val="es-ES"/>
              </w:rPr>
            </w:pPr>
            <w:r>
              <w:rPr>
                <w:rFonts w:ascii="Cambria" w:hAnsi="Cambria"/>
                <w:bCs/>
                <w:color w:val="000000" w:themeColor="text1"/>
                <w:sz w:val="20"/>
                <w:szCs w:val="20"/>
                <w:lang w:val="es-ES"/>
              </w:rPr>
              <w:t>16 de marzo de 2021</w:t>
            </w:r>
          </w:p>
        </w:tc>
      </w:tr>
    </w:tbl>
    <w:p w14:paraId="21DAA666" w14:textId="69BB47B0" w:rsidR="003239B8" w:rsidRPr="00D87281" w:rsidRDefault="00D358AF"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 xml:space="preserve">III. </w:t>
      </w:r>
      <w:r w:rsidRPr="00D87281">
        <w:rPr>
          <w:rFonts w:asciiTheme="majorHAnsi" w:hAnsiTheme="majorHAnsi"/>
          <w:b/>
          <w:bCs/>
          <w:color w:val="000000" w:themeColor="text1"/>
          <w:sz w:val="20"/>
          <w:szCs w:val="20"/>
          <w:lang w:val="es-ES"/>
        </w:rPr>
        <w:tab/>
      </w:r>
      <w:r w:rsidR="00096182" w:rsidRPr="00D87281">
        <w:rPr>
          <w:rFonts w:asciiTheme="majorHAnsi" w:hAnsiTheme="majorHAnsi"/>
          <w:b/>
          <w:bCs/>
          <w:color w:val="000000" w:themeColor="text1"/>
          <w:sz w:val="20"/>
          <w:szCs w:val="20"/>
          <w:lang w:val="es-ES"/>
        </w:rPr>
        <w:t>COMPETENCIA</w:t>
      </w:r>
      <w:r w:rsidR="00EE00E9" w:rsidRPr="00D87281">
        <w:rPr>
          <w:rFonts w:asciiTheme="majorHAnsi" w:hAnsiTheme="majorHAnsi"/>
          <w:b/>
          <w:bCs/>
          <w:color w:val="000000" w:themeColor="text1"/>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124EE3" w:rsidRPr="00D87281" w14:paraId="072532AD" w14:textId="77777777" w:rsidTr="00E103CD">
        <w:trPr>
          <w:cantSplit/>
        </w:trPr>
        <w:tc>
          <w:tcPr>
            <w:tcW w:w="3561" w:type="dxa"/>
            <w:tcBorders>
              <w:top w:val="single" w:sz="4" w:space="0" w:color="auto"/>
              <w:bottom w:val="single" w:sz="6" w:space="0" w:color="auto"/>
            </w:tcBorders>
            <w:shd w:val="clear" w:color="auto" w:fill="365F91" w:themeFill="accent1" w:themeFillShade="BF"/>
            <w:vAlign w:val="center"/>
          </w:tcPr>
          <w:p w14:paraId="5C2E4B34" w14:textId="0259D932" w:rsidR="00124EE3" w:rsidRPr="002F7689" w:rsidRDefault="00124EE3" w:rsidP="002C63E0">
            <w:pPr>
              <w:jc w:val="center"/>
              <w:rPr>
                <w:rFonts w:ascii="Cambria" w:hAnsi="Cambria"/>
                <w:b/>
                <w:bCs/>
                <w:i/>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personae:</w:t>
            </w:r>
          </w:p>
        </w:tc>
        <w:tc>
          <w:tcPr>
            <w:tcW w:w="5776" w:type="dxa"/>
          </w:tcPr>
          <w:p w14:paraId="7707F3E9" w14:textId="72756929"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124EE3" w:rsidRPr="00D87281" w14:paraId="4B8802DA" w14:textId="77777777" w:rsidTr="00E103CD">
        <w:trPr>
          <w:cantSplit/>
        </w:trPr>
        <w:tc>
          <w:tcPr>
            <w:tcW w:w="3561" w:type="dxa"/>
            <w:tcBorders>
              <w:top w:val="single" w:sz="6" w:space="0" w:color="auto"/>
              <w:bottom w:val="single" w:sz="6" w:space="0" w:color="auto"/>
            </w:tcBorders>
            <w:shd w:val="clear" w:color="auto" w:fill="365F91" w:themeFill="accent1" w:themeFillShade="BF"/>
            <w:vAlign w:val="center"/>
          </w:tcPr>
          <w:p w14:paraId="3915C23B" w14:textId="06422A97" w:rsidR="00124EE3"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loci</w:t>
            </w:r>
            <w:r w:rsidRPr="002F7689">
              <w:rPr>
                <w:rFonts w:ascii="Cambria" w:hAnsi="Cambria"/>
                <w:b/>
                <w:bCs/>
                <w:color w:val="FFFFFF" w:themeColor="background1"/>
                <w:sz w:val="20"/>
                <w:szCs w:val="20"/>
                <w:lang w:val="es-ES"/>
              </w:rPr>
              <w:t>:</w:t>
            </w:r>
          </w:p>
        </w:tc>
        <w:tc>
          <w:tcPr>
            <w:tcW w:w="5776" w:type="dxa"/>
          </w:tcPr>
          <w:p w14:paraId="12C931CB" w14:textId="294C1475"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124EE3" w:rsidRPr="00D87281" w14:paraId="4362FDF3" w14:textId="77777777" w:rsidTr="00E103CD">
        <w:trPr>
          <w:cantSplit/>
        </w:trPr>
        <w:tc>
          <w:tcPr>
            <w:tcW w:w="3561" w:type="dxa"/>
            <w:tcBorders>
              <w:top w:val="single" w:sz="6" w:space="0" w:color="auto"/>
              <w:bottom w:val="single" w:sz="6" w:space="0" w:color="auto"/>
            </w:tcBorders>
            <w:shd w:val="clear" w:color="auto" w:fill="365F91" w:themeFill="accent1" w:themeFillShade="BF"/>
            <w:vAlign w:val="center"/>
          </w:tcPr>
          <w:p w14:paraId="3BE23153" w14:textId="509AF2AF" w:rsidR="00124EE3"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Pr="002F7689">
              <w:rPr>
                <w:rFonts w:ascii="Cambria" w:hAnsi="Cambria"/>
                <w:b/>
                <w:bCs/>
                <w:i/>
                <w:color w:val="FFFFFF" w:themeColor="background1"/>
                <w:sz w:val="20"/>
                <w:szCs w:val="20"/>
                <w:lang w:val="es-ES"/>
              </w:rPr>
              <w:t xml:space="preserve"> ratione temporis</w:t>
            </w:r>
            <w:r w:rsidRPr="002F7689">
              <w:rPr>
                <w:rFonts w:ascii="Cambria" w:hAnsi="Cambria"/>
                <w:b/>
                <w:bCs/>
                <w:color w:val="FFFFFF" w:themeColor="background1"/>
                <w:sz w:val="20"/>
                <w:szCs w:val="20"/>
                <w:lang w:val="es-ES"/>
              </w:rPr>
              <w:t>:</w:t>
            </w:r>
          </w:p>
        </w:tc>
        <w:tc>
          <w:tcPr>
            <w:tcW w:w="5776" w:type="dxa"/>
          </w:tcPr>
          <w:p w14:paraId="6F8B059B" w14:textId="76022B42" w:rsidR="00124EE3" w:rsidRPr="00D87281" w:rsidRDefault="00124EE3" w:rsidP="00124EE3">
            <w:pPr>
              <w:jc w:val="both"/>
              <w:rPr>
                <w:rFonts w:asciiTheme="majorHAnsi" w:hAnsiTheme="majorHAnsi"/>
                <w:bCs/>
                <w:color w:val="000000" w:themeColor="text1"/>
                <w:sz w:val="20"/>
                <w:szCs w:val="20"/>
                <w:lang w:val="es-ES"/>
              </w:rPr>
            </w:pPr>
            <w:r w:rsidRPr="00D87281">
              <w:rPr>
                <w:rFonts w:asciiTheme="majorHAnsi" w:hAnsiTheme="majorHAnsi"/>
                <w:bCs/>
                <w:color w:val="000000" w:themeColor="text1"/>
                <w:sz w:val="20"/>
                <w:szCs w:val="20"/>
                <w:lang w:val="es-ES"/>
              </w:rPr>
              <w:t>Sí</w:t>
            </w:r>
          </w:p>
        </w:tc>
      </w:tr>
      <w:tr w:rsidR="00E31933" w:rsidRPr="0069253F" w14:paraId="30ABEC3E" w14:textId="77777777" w:rsidTr="00E103CD">
        <w:trPr>
          <w:cantSplit/>
        </w:trPr>
        <w:tc>
          <w:tcPr>
            <w:tcW w:w="3561" w:type="dxa"/>
            <w:tcBorders>
              <w:top w:val="single" w:sz="6" w:space="0" w:color="auto"/>
              <w:bottom w:val="single" w:sz="6" w:space="0" w:color="auto"/>
            </w:tcBorders>
            <w:shd w:val="clear" w:color="auto" w:fill="365F91" w:themeFill="accent1" w:themeFillShade="BF"/>
            <w:vAlign w:val="center"/>
          </w:tcPr>
          <w:p w14:paraId="47B529D2" w14:textId="04583BD1" w:rsidR="003239B8" w:rsidRPr="002F7689" w:rsidRDefault="00096182"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Competencia</w:t>
            </w:r>
            <w:r w:rsidR="003239B8" w:rsidRPr="002F7689">
              <w:rPr>
                <w:rFonts w:ascii="Cambria" w:hAnsi="Cambria"/>
                <w:b/>
                <w:bCs/>
                <w:i/>
                <w:color w:val="FFFFFF" w:themeColor="background1"/>
                <w:sz w:val="20"/>
                <w:szCs w:val="20"/>
                <w:lang w:val="es-ES"/>
              </w:rPr>
              <w:t xml:space="preserve"> </w:t>
            </w:r>
            <w:r w:rsidRPr="002F7689">
              <w:rPr>
                <w:rFonts w:ascii="Cambria" w:hAnsi="Cambria"/>
                <w:b/>
                <w:bCs/>
                <w:i/>
                <w:color w:val="FFFFFF" w:themeColor="background1"/>
                <w:sz w:val="20"/>
                <w:szCs w:val="20"/>
                <w:lang w:val="es-ES"/>
              </w:rPr>
              <w:t>r</w:t>
            </w:r>
            <w:r w:rsidR="003239B8" w:rsidRPr="002F7689">
              <w:rPr>
                <w:rFonts w:ascii="Cambria" w:hAnsi="Cambria"/>
                <w:b/>
                <w:bCs/>
                <w:i/>
                <w:color w:val="FFFFFF" w:themeColor="background1"/>
                <w:sz w:val="20"/>
                <w:szCs w:val="20"/>
                <w:lang w:val="es-ES"/>
              </w:rPr>
              <w:t>atione materia</w:t>
            </w:r>
            <w:r w:rsidR="00EE00E9" w:rsidRPr="002F7689">
              <w:rPr>
                <w:rFonts w:ascii="Cambria" w:hAnsi="Cambria"/>
                <w:b/>
                <w:bCs/>
                <w:i/>
                <w:color w:val="FFFFFF" w:themeColor="background1"/>
                <w:sz w:val="20"/>
                <w:szCs w:val="20"/>
                <w:lang w:val="es-ES"/>
              </w:rPr>
              <w:t>e</w:t>
            </w:r>
            <w:r w:rsidR="003239B8" w:rsidRPr="002F7689">
              <w:rPr>
                <w:rFonts w:ascii="Cambria" w:hAnsi="Cambria"/>
                <w:b/>
                <w:bCs/>
                <w:color w:val="FFFFFF" w:themeColor="background1"/>
                <w:sz w:val="20"/>
                <w:szCs w:val="20"/>
                <w:lang w:val="es-ES"/>
              </w:rPr>
              <w:t>:</w:t>
            </w:r>
          </w:p>
        </w:tc>
        <w:tc>
          <w:tcPr>
            <w:tcW w:w="5776" w:type="dxa"/>
            <w:vAlign w:val="center"/>
          </w:tcPr>
          <w:p w14:paraId="0C122F44" w14:textId="0F37A165" w:rsidR="003239B8" w:rsidRPr="00D87281" w:rsidRDefault="00096182" w:rsidP="00CB3448">
            <w:pPr>
              <w:jc w:val="both"/>
              <w:rPr>
                <w:rFonts w:ascii="Cambria" w:hAnsi="Cambria"/>
                <w:bCs/>
                <w:color w:val="000000" w:themeColor="text1"/>
                <w:sz w:val="20"/>
                <w:szCs w:val="20"/>
                <w:lang w:val="es-ES"/>
              </w:rPr>
            </w:pPr>
            <w:r w:rsidRPr="00D87281">
              <w:rPr>
                <w:rFonts w:asciiTheme="majorHAnsi" w:hAnsiTheme="majorHAnsi"/>
                <w:bCs/>
                <w:color w:val="000000" w:themeColor="text1"/>
                <w:sz w:val="20"/>
                <w:szCs w:val="20"/>
                <w:lang w:val="es-ES"/>
              </w:rPr>
              <w:t xml:space="preserve">Sí, Convención Americana </w:t>
            </w:r>
            <w:r w:rsidR="00CB3448">
              <w:rPr>
                <w:rFonts w:asciiTheme="majorHAnsi" w:hAnsiTheme="majorHAnsi"/>
                <w:bCs/>
                <w:color w:val="000000" w:themeColor="text1"/>
                <w:sz w:val="20"/>
                <w:szCs w:val="20"/>
                <w:lang w:val="es-ES"/>
              </w:rPr>
              <w:t>sobre</w:t>
            </w:r>
            <w:r w:rsidRPr="00D87281">
              <w:rPr>
                <w:rFonts w:asciiTheme="majorHAnsi" w:hAnsiTheme="majorHAnsi"/>
                <w:bCs/>
                <w:color w:val="000000" w:themeColor="text1"/>
                <w:sz w:val="20"/>
                <w:szCs w:val="20"/>
                <w:lang w:val="es-ES"/>
              </w:rPr>
              <w:t xml:space="preserve"> Derechos Humanos (instrumento adoptado el 25 de septiembre de 1992)</w:t>
            </w:r>
          </w:p>
        </w:tc>
      </w:tr>
    </w:tbl>
    <w:p w14:paraId="4E92C444" w14:textId="17E1FD96" w:rsidR="003239B8" w:rsidRPr="00D87281" w:rsidRDefault="003239B8" w:rsidP="003239B8">
      <w:pPr>
        <w:spacing w:before="240" w:after="240"/>
        <w:ind w:firstLine="720"/>
        <w:jc w:val="both"/>
        <w:rPr>
          <w:rFonts w:asciiTheme="majorHAnsi" w:hAnsiTheme="majorHAnsi"/>
          <w:b/>
          <w:bCs/>
          <w:color w:val="000000" w:themeColor="text1"/>
          <w:sz w:val="20"/>
          <w:szCs w:val="20"/>
          <w:lang w:val="es-ES"/>
        </w:rPr>
      </w:pPr>
      <w:r w:rsidRPr="00D87281">
        <w:rPr>
          <w:rFonts w:asciiTheme="majorHAnsi" w:hAnsiTheme="majorHAnsi"/>
          <w:b/>
          <w:bCs/>
          <w:color w:val="000000" w:themeColor="text1"/>
          <w:sz w:val="20"/>
          <w:szCs w:val="20"/>
          <w:lang w:val="es-ES"/>
        </w:rPr>
        <w:t xml:space="preserve">IV. </w:t>
      </w:r>
      <w:r w:rsidRPr="00D87281">
        <w:rPr>
          <w:rFonts w:asciiTheme="majorHAnsi" w:hAnsiTheme="majorHAnsi"/>
          <w:b/>
          <w:bCs/>
          <w:color w:val="000000" w:themeColor="text1"/>
          <w:sz w:val="20"/>
          <w:szCs w:val="20"/>
          <w:lang w:val="es-ES"/>
        </w:rPr>
        <w:tab/>
      </w:r>
      <w:r w:rsidR="00124EE3" w:rsidRPr="00D87281">
        <w:rPr>
          <w:rFonts w:asciiTheme="majorHAnsi" w:hAnsiTheme="majorHAnsi"/>
          <w:b/>
          <w:bCs/>
          <w:color w:val="000000" w:themeColor="text1"/>
          <w:sz w:val="20"/>
          <w:szCs w:val="20"/>
          <w:lang w:val="es-ES"/>
        </w:rPr>
        <w:t>DUPLICACIÓN DE PROCEDIMIENTOS Y COSA JUZGADA INTERNACIONAL, CARACTERIZACIÓN, 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124EE3" w:rsidRPr="00D87281" w14:paraId="1231C988" w14:textId="77777777" w:rsidTr="00E103CD">
        <w:trPr>
          <w:cantSplit/>
        </w:trPr>
        <w:tc>
          <w:tcPr>
            <w:tcW w:w="3564" w:type="dxa"/>
            <w:tcBorders>
              <w:top w:val="single" w:sz="4" w:space="0" w:color="auto"/>
              <w:bottom w:val="single" w:sz="6" w:space="0" w:color="auto"/>
            </w:tcBorders>
            <w:shd w:val="clear" w:color="auto" w:fill="365F91" w:themeFill="accent1" w:themeFillShade="BF"/>
          </w:tcPr>
          <w:p w14:paraId="6C870772" w14:textId="77777777" w:rsidR="009F7C15" w:rsidRPr="002F7689" w:rsidRDefault="00124EE3"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Duplicación de procedimientos</w:t>
            </w:r>
          </w:p>
          <w:p w14:paraId="6F8031F4" w14:textId="0A264D52" w:rsidR="00124EE3" w:rsidRPr="002F7689" w:rsidRDefault="009F7C15" w:rsidP="002C63E0">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y cosa juzgada internacional:</w:t>
            </w:r>
          </w:p>
        </w:tc>
        <w:tc>
          <w:tcPr>
            <w:tcW w:w="5773" w:type="dxa"/>
            <w:vAlign w:val="center"/>
          </w:tcPr>
          <w:p w14:paraId="240941E6" w14:textId="772EAF6E" w:rsidR="00124EE3" w:rsidRPr="00D87281" w:rsidRDefault="00124EE3" w:rsidP="00124EE3">
            <w:pPr>
              <w:jc w:val="both"/>
              <w:rPr>
                <w:rFonts w:ascii="Cambria" w:hAnsi="Cambria"/>
                <w:bCs/>
                <w:color w:val="000000" w:themeColor="text1"/>
                <w:sz w:val="20"/>
                <w:szCs w:val="20"/>
                <w:lang w:val="es-ES"/>
              </w:rPr>
            </w:pPr>
            <w:r w:rsidRPr="00D87281">
              <w:rPr>
                <w:rFonts w:ascii="Cambria" w:hAnsi="Cambria"/>
                <w:bCs/>
                <w:color w:val="000000" w:themeColor="text1"/>
                <w:sz w:val="20"/>
                <w:szCs w:val="20"/>
                <w:lang w:val="es-ES"/>
              </w:rPr>
              <w:t>No</w:t>
            </w:r>
          </w:p>
        </w:tc>
      </w:tr>
      <w:tr w:rsidR="00124EE3" w:rsidRPr="0069253F" w14:paraId="15FAA7D1" w14:textId="77777777" w:rsidTr="00E103CD">
        <w:trPr>
          <w:cantSplit/>
        </w:trPr>
        <w:tc>
          <w:tcPr>
            <w:tcW w:w="3564" w:type="dxa"/>
            <w:tcBorders>
              <w:top w:val="single" w:sz="4" w:space="0" w:color="auto"/>
              <w:bottom w:val="single" w:sz="6" w:space="0" w:color="auto"/>
            </w:tcBorders>
            <w:shd w:val="clear" w:color="auto" w:fill="365F91" w:themeFill="accent1" w:themeFillShade="BF"/>
          </w:tcPr>
          <w:p w14:paraId="1B0D29FF" w14:textId="1AB04C43" w:rsidR="00124EE3" w:rsidRPr="002F7689" w:rsidRDefault="009F7C15" w:rsidP="00D21316">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Derechos declarados admitidos:</w:t>
            </w:r>
          </w:p>
        </w:tc>
        <w:tc>
          <w:tcPr>
            <w:tcW w:w="5773" w:type="dxa"/>
            <w:vAlign w:val="center"/>
          </w:tcPr>
          <w:p w14:paraId="6310C8F7" w14:textId="5D5AFF6C" w:rsidR="00124EE3" w:rsidRPr="00D87281" w:rsidRDefault="00124EE3" w:rsidP="00C12F6B">
            <w:pPr>
              <w:jc w:val="both"/>
              <w:rPr>
                <w:rFonts w:ascii="Cambria" w:hAnsi="Cambria"/>
                <w:bCs/>
                <w:color w:val="000000" w:themeColor="text1"/>
                <w:sz w:val="20"/>
                <w:szCs w:val="20"/>
                <w:lang w:val="es-ES"/>
              </w:rPr>
            </w:pPr>
            <w:r w:rsidRPr="00A8471F">
              <w:rPr>
                <w:rFonts w:ascii="Cambria" w:hAnsi="Cambria"/>
                <w:bCs/>
                <w:sz w:val="20"/>
                <w:szCs w:val="20"/>
                <w:lang w:val="es-ES"/>
              </w:rPr>
              <w:t xml:space="preserve">Artículos </w:t>
            </w:r>
            <w:r w:rsidR="00874CF3" w:rsidRPr="00A8471F">
              <w:rPr>
                <w:rFonts w:ascii="Cambria" w:hAnsi="Cambria"/>
                <w:bCs/>
                <w:sz w:val="20"/>
                <w:szCs w:val="20"/>
                <w:lang w:val="es-ES" w:bidi="es-ES"/>
              </w:rPr>
              <w:t>8 (garantías judiciales) y 25 (protección judicial)</w:t>
            </w:r>
            <w:r w:rsidR="00D87281" w:rsidRPr="00A8471F">
              <w:rPr>
                <w:rFonts w:ascii="Cambria" w:hAnsi="Cambria"/>
                <w:bCs/>
                <w:sz w:val="20"/>
                <w:szCs w:val="20"/>
                <w:lang w:val="es-ES"/>
              </w:rPr>
              <w:t xml:space="preserve"> de la Convención Americana</w:t>
            </w:r>
            <w:r w:rsidRPr="00A8471F">
              <w:rPr>
                <w:rFonts w:ascii="Cambria" w:hAnsi="Cambria"/>
                <w:bCs/>
                <w:sz w:val="20"/>
                <w:szCs w:val="20"/>
                <w:lang w:val="es-ES"/>
              </w:rPr>
              <w:t xml:space="preserve">, en relación con </w:t>
            </w:r>
            <w:r w:rsidR="00D23D55" w:rsidRPr="00A8471F">
              <w:rPr>
                <w:rFonts w:ascii="Cambria" w:hAnsi="Cambria"/>
                <w:bCs/>
                <w:sz w:val="20"/>
                <w:szCs w:val="20"/>
                <w:lang w:val="es-ES"/>
              </w:rPr>
              <w:t>su</w:t>
            </w:r>
            <w:r w:rsidRPr="00A8471F">
              <w:rPr>
                <w:rFonts w:ascii="Cambria" w:hAnsi="Cambria"/>
                <w:bCs/>
                <w:sz w:val="20"/>
                <w:szCs w:val="20"/>
                <w:lang w:val="es-ES"/>
              </w:rPr>
              <w:t xml:space="preserve"> artículo 1.1 (obligación de respetar los derechos) </w:t>
            </w:r>
          </w:p>
        </w:tc>
      </w:tr>
      <w:tr w:rsidR="00124EE3" w:rsidRPr="0069253F" w14:paraId="4EFD141E" w14:textId="77777777" w:rsidTr="00E103CD">
        <w:trPr>
          <w:cantSplit/>
        </w:trPr>
        <w:tc>
          <w:tcPr>
            <w:tcW w:w="3564" w:type="dxa"/>
            <w:tcBorders>
              <w:top w:val="single" w:sz="6" w:space="0" w:color="auto"/>
              <w:bottom w:val="single" w:sz="6" w:space="0" w:color="auto"/>
            </w:tcBorders>
            <w:shd w:val="clear" w:color="auto" w:fill="365F91" w:themeFill="accent1" w:themeFillShade="BF"/>
          </w:tcPr>
          <w:p w14:paraId="2600712D" w14:textId="77777777" w:rsidR="009F7C15" w:rsidRPr="002F7689" w:rsidRDefault="009F7C15" w:rsidP="009F7C15">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Agotamiento de recursos internos</w:t>
            </w:r>
          </w:p>
          <w:p w14:paraId="4C04A89C" w14:textId="6BBFFBF8" w:rsidR="00124EE3" w:rsidRPr="002F7689" w:rsidRDefault="009F7C15" w:rsidP="006801CA">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 xml:space="preserve">o </w:t>
            </w:r>
            <w:r w:rsidR="006801CA">
              <w:rPr>
                <w:rFonts w:ascii="Cambria" w:hAnsi="Cambria"/>
                <w:b/>
                <w:bCs/>
                <w:color w:val="FFFFFF" w:themeColor="background1"/>
                <w:sz w:val="20"/>
                <w:szCs w:val="20"/>
                <w:lang w:val="es-ES"/>
              </w:rPr>
              <w:t>procedencia de una excepción</w:t>
            </w:r>
            <w:r w:rsidRPr="002F7689">
              <w:rPr>
                <w:rFonts w:ascii="Cambria" w:hAnsi="Cambria"/>
                <w:b/>
                <w:bCs/>
                <w:color w:val="FFFFFF" w:themeColor="background1"/>
                <w:sz w:val="20"/>
                <w:szCs w:val="20"/>
                <w:lang w:val="es-ES"/>
              </w:rPr>
              <w:t>:</w:t>
            </w:r>
          </w:p>
        </w:tc>
        <w:tc>
          <w:tcPr>
            <w:tcW w:w="5773" w:type="dxa"/>
            <w:vAlign w:val="center"/>
          </w:tcPr>
          <w:p w14:paraId="69C53E8A" w14:textId="3B368A33" w:rsidR="00124EE3" w:rsidRPr="00D87281" w:rsidRDefault="00124EE3" w:rsidP="00CB3448">
            <w:pPr>
              <w:rPr>
                <w:rFonts w:ascii="Cambria" w:hAnsi="Cambria"/>
                <w:bCs/>
                <w:color w:val="000000" w:themeColor="text1"/>
                <w:sz w:val="20"/>
                <w:szCs w:val="20"/>
                <w:lang w:val="es-ES"/>
              </w:rPr>
            </w:pPr>
            <w:r w:rsidRPr="00D87281">
              <w:rPr>
                <w:rFonts w:ascii="Cambria" w:hAnsi="Cambria"/>
                <w:bCs/>
                <w:color w:val="000000" w:themeColor="text1"/>
                <w:sz w:val="20"/>
                <w:szCs w:val="20"/>
                <w:lang w:val="es-ES"/>
              </w:rPr>
              <w:t>Sí,</w:t>
            </w:r>
            <w:r w:rsidR="00A8471F">
              <w:rPr>
                <w:rFonts w:ascii="Cambria" w:hAnsi="Cambria"/>
                <w:bCs/>
                <w:color w:val="000000" w:themeColor="text1"/>
                <w:sz w:val="20"/>
                <w:szCs w:val="20"/>
                <w:lang w:val="es-ES"/>
              </w:rPr>
              <w:t xml:space="preserve"> la excepción del artículo 46.2.a de la Convención</w:t>
            </w:r>
            <w:r w:rsidRPr="00D87281">
              <w:rPr>
                <w:rFonts w:ascii="Cambria" w:hAnsi="Cambria"/>
                <w:bCs/>
                <w:color w:val="000000" w:themeColor="text1"/>
                <w:sz w:val="20"/>
                <w:szCs w:val="20"/>
                <w:lang w:val="es-ES"/>
              </w:rPr>
              <w:t xml:space="preserve">, en </w:t>
            </w:r>
            <w:r w:rsidR="00BE7B35">
              <w:rPr>
                <w:rFonts w:ascii="Cambria" w:hAnsi="Cambria"/>
                <w:bCs/>
                <w:color w:val="000000" w:themeColor="text1"/>
                <w:sz w:val="20"/>
                <w:szCs w:val="20"/>
                <w:lang w:val="es-ES"/>
              </w:rPr>
              <w:t>los términos de la</w:t>
            </w:r>
            <w:r w:rsidRPr="00D87281">
              <w:rPr>
                <w:rFonts w:ascii="Cambria" w:hAnsi="Cambria"/>
                <w:bCs/>
                <w:color w:val="000000" w:themeColor="text1"/>
                <w:sz w:val="20"/>
                <w:szCs w:val="20"/>
                <w:lang w:val="es-ES"/>
              </w:rPr>
              <w:t xml:space="preserve"> sección VI</w:t>
            </w:r>
          </w:p>
        </w:tc>
      </w:tr>
      <w:tr w:rsidR="00124EE3" w:rsidRPr="0069253F" w14:paraId="52B5BA17" w14:textId="77777777" w:rsidTr="00E103CD">
        <w:trPr>
          <w:cantSplit/>
        </w:trPr>
        <w:tc>
          <w:tcPr>
            <w:tcW w:w="3564" w:type="dxa"/>
            <w:tcBorders>
              <w:top w:val="single" w:sz="6" w:space="0" w:color="auto"/>
              <w:bottom w:val="single" w:sz="6" w:space="0" w:color="auto"/>
            </w:tcBorders>
            <w:shd w:val="clear" w:color="auto" w:fill="365F91" w:themeFill="accent1" w:themeFillShade="BF"/>
          </w:tcPr>
          <w:p w14:paraId="5DF99086" w14:textId="0915D7B2" w:rsidR="00124EE3" w:rsidRPr="002F7689" w:rsidRDefault="009F7C15" w:rsidP="009F7C15">
            <w:pPr>
              <w:jc w:val="center"/>
              <w:rPr>
                <w:rFonts w:ascii="Cambria" w:hAnsi="Cambria"/>
                <w:b/>
                <w:bCs/>
                <w:color w:val="FFFFFF" w:themeColor="background1"/>
                <w:sz w:val="20"/>
                <w:szCs w:val="20"/>
                <w:lang w:val="es-ES"/>
              </w:rPr>
            </w:pPr>
            <w:r w:rsidRPr="002F7689">
              <w:rPr>
                <w:rFonts w:ascii="Cambria" w:hAnsi="Cambria"/>
                <w:b/>
                <w:bCs/>
                <w:color w:val="FFFFFF" w:themeColor="background1"/>
                <w:sz w:val="20"/>
                <w:szCs w:val="20"/>
                <w:lang w:val="es-ES"/>
              </w:rPr>
              <w:t>Presentación dentro de plazo:</w:t>
            </w:r>
          </w:p>
        </w:tc>
        <w:tc>
          <w:tcPr>
            <w:tcW w:w="5773" w:type="dxa"/>
            <w:vAlign w:val="center"/>
          </w:tcPr>
          <w:p w14:paraId="4A2A4569" w14:textId="1831B9C2" w:rsidR="00124EE3" w:rsidRPr="00D87281" w:rsidRDefault="00124EE3" w:rsidP="00124EE3">
            <w:pPr>
              <w:rPr>
                <w:rFonts w:ascii="Cambria" w:hAnsi="Cambria"/>
                <w:bCs/>
                <w:color w:val="000000" w:themeColor="text1"/>
                <w:sz w:val="20"/>
                <w:szCs w:val="20"/>
                <w:lang w:val="es-ES"/>
              </w:rPr>
            </w:pPr>
            <w:r w:rsidRPr="00D87281">
              <w:rPr>
                <w:rFonts w:ascii="Cambria" w:hAnsi="Cambria"/>
                <w:bCs/>
                <w:color w:val="000000" w:themeColor="text1"/>
                <w:sz w:val="20"/>
                <w:szCs w:val="20"/>
                <w:lang w:val="es-ES"/>
              </w:rPr>
              <w:t xml:space="preserve">Sí, </w:t>
            </w:r>
            <w:r w:rsidR="00BE7B35" w:rsidRPr="00D87281">
              <w:rPr>
                <w:rFonts w:ascii="Cambria" w:hAnsi="Cambria"/>
                <w:bCs/>
                <w:color w:val="000000" w:themeColor="text1"/>
                <w:sz w:val="20"/>
                <w:szCs w:val="20"/>
                <w:lang w:val="es-ES"/>
              </w:rPr>
              <w:t xml:space="preserve">en </w:t>
            </w:r>
            <w:r w:rsidR="00BE7B35">
              <w:rPr>
                <w:rFonts w:ascii="Cambria" w:hAnsi="Cambria"/>
                <w:bCs/>
                <w:color w:val="000000" w:themeColor="text1"/>
                <w:sz w:val="20"/>
                <w:szCs w:val="20"/>
                <w:lang w:val="es-ES"/>
              </w:rPr>
              <w:t>los términos de la</w:t>
            </w:r>
            <w:r w:rsidR="00BE7B35" w:rsidRPr="00D87281">
              <w:rPr>
                <w:rFonts w:ascii="Cambria" w:hAnsi="Cambria"/>
                <w:bCs/>
                <w:color w:val="000000" w:themeColor="text1"/>
                <w:sz w:val="20"/>
                <w:szCs w:val="20"/>
                <w:lang w:val="es-ES"/>
              </w:rPr>
              <w:t xml:space="preserve"> sección VI</w:t>
            </w:r>
          </w:p>
        </w:tc>
      </w:tr>
    </w:tbl>
    <w:p w14:paraId="18E6423B" w14:textId="587E523C" w:rsidR="003239B8" w:rsidRPr="00BD30F8" w:rsidRDefault="00223A29" w:rsidP="00FB4A08">
      <w:pPr>
        <w:keepNext/>
        <w:keepLines/>
        <w:spacing w:before="240" w:after="240"/>
        <w:ind w:firstLine="720"/>
        <w:jc w:val="both"/>
        <w:rPr>
          <w:rFonts w:asciiTheme="majorHAnsi" w:hAnsiTheme="majorHAnsi"/>
          <w:b/>
          <w:color w:val="000000" w:themeColor="text1"/>
          <w:sz w:val="20"/>
          <w:szCs w:val="20"/>
          <w:lang w:val="es-ES_tradnl"/>
        </w:rPr>
      </w:pPr>
      <w:r w:rsidRPr="00D87281">
        <w:rPr>
          <w:rFonts w:asciiTheme="majorHAnsi" w:hAnsiTheme="majorHAnsi"/>
          <w:b/>
          <w:color w:val="000000" w:themeColor="text1"/>
          <w:sz w:val="20"/>
          <w:szCs w:val="20"/>
          <w:lang w:val="es-ES"/>
        </w:rPr>
        <w:t xml:space="preserve">V. </w:t>
      </w:r>
      <w:r w:rsidRPr="00D87281">
        <w:rPr>
          <w:rFonts w:asciiTheme="majorHAnsi" w:hAnsiTheme="majorHAnsi"/>
          <w:b/>
          <w:color w:val="000000" w:themeColor="text1"/>
          <w:sz w:val="20"/>
          <w:szCs w:val="20"/>
          <w:lang w:val="es-ES"/>
        </w:rPr>
        <w:tab/>
      </w:r>
      <w:r w:rsidR="00603823" w:rsidRPr="00BD30F8">
        <w:rPr>
          <w:rFonts w:asciiTheme="majorHAnsi" w:hAnsiTheme="majorHAnsi"/>
          <w:b/>
          <w:color w:val="000000" w:themeColor="text1"/>
          <w:sz w:val="20"/>
          <w:szCs w:val="20"/>
          <w:lang w:val="es-ES_tradnl"/>
        </w:rPr>
        <w:t>POSI</w:t>
      </w:r>
      <w:r w:rsidR="00D87281" w:rsidRPr="00BD30F8">
        <w:rPr>
          <w:rFonts w:asciiTheme="majorHAnsi" w:hAnsiTheme="majorHAnsi"/>
          <w:b/>
          <w:color w:val="000000" w:themeColor="text1"/>
          <w:sz w:val="20"/>
          <w:szCs w:val="20"/>
          <w:lang w:val="es-ES_tradnl"/>
        </w:rPr>
        <w:t xml:space="preserve">CIÓN DE LAS </w:t>
      </w:r>
      <w:r w:rsidR="00603823" w:rsidRPr="00BD30F8">
        <w:rPr>
          <w:rFonts w:asciiTheme="majorHAnsi" w:hAnsiTheme="majorHAnsi"/>
          <w:b/>
          <w:color w:val="000000" w:themeColor="text1"/>
          <w:sz w:val="20"/>
          <w:szCs w:val="20"/>
          <w:lang w:val="es-ES_tradnl"/>
        </w:rPr>
        <w:t>PARTES</w:t>
      </w:r>
      <w:r w:rsidR="003239B8" w:rsidRPr="00BD30F8">
        <w:rPr>
          <w:rFonts w:asciiTheme="majorHAnsi" w:hAnsiTheme="majorHAnsi"/>
          <w:b/>
          <w:color w:val="000000" w:themeColor="text1"/>
          <w:sz w:val="20"/>
          <w:szCs w:val="20"/>
          <w:lang w:val="es-ES_tradnl"/>
        </w:rPr>
        <w:t xml:space="preserve"> </w:t>
      </w:r>
    </w:p>
    <w:p w14:paraId="1FC3E6E3" w14:textId="3705B3D2" w:rsidR="00A21DC5" w:rsidRPr="00BD30F8" w:rsidRDefault="00A21DC5" w:rsidP="00FB4A0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i/>
          <w:iCs/>
          <w:sz w:val="20"/>
          <w:szCs w:val="20"/>
          <w:lang w:val="es-ES_tradnl"/>
        </w:rPr>
      </w:pPr>
      <w:bookmarkStart w:id="0" w:name="_Hlk80180807"/>
      <w:bookmarkStart w:id="1" w:name="_Hlk142466828"/>
      <w:r w:rsidRPr="00BD30F8">
        <w:rPr>
          <w:rFonts w:asciiTheme="majorHAnsi" w:hAnsiTheme="majorHAnsi"/>
          <w:i/>
          <w:iCs/>
          <w:sz w:val="20"/>
          <w:szCs w:val="20"/>
          <w:lang w:val="es-ES_tradnl"/>
        </w:rPr>
        <w:t xml:space="preserve">Posición </w:t>
      </w:r>
      <w:r w:rsidR="00451596" w:rsidRPr="00BD30F8">
        <w:rPr>
          <w:rFonts w:asciiTheme="majorHAnsi" w:hAnsiTheme="majorHAnsi"/>
          <w:i/>
          <w:iCs/>
          <w:sz w:val="20"/>
          <w:szCs w:val="20"/>
          <w:lang w:val="es-ES_tradnl"/>
        </w:rPr>
        <w:t>del peticionario</w:t>
      </w:r>
    </w:p>
    <w:p w14:paraId="397D4531" w14:textId="5480AAB1" w:rsidR="00A21DC5" w:rsidRPr="00BD30F8" w:rsidRDefault="00451596" w:rsidP="000F4DB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El peticionario</w:t>
      </w:r>
      <w:r w:rsidR="00A21DC5" w:rsidRPr="00BD30F8">
        <w:rPr>
          <w:rFonts w:asciiTheme="majorHAnsi" w:hAnsiTheme="majorHAnsi"/>
          <w:color w:val="auto"/>
          <w:sz w:val="20"/>
          <w:szCs w:val="20"/>
          <w:lang w:val="es-ES_tradnl"/>
        </w:rPr>
        <w:t xml:space="preserve"> </w:t>
      </w:r>
      <w:r w:rsidR="007078C8" w:rsidRPr="00BD30F8">
        <w:rPr>
          <w:rFonts w:asciiTheme="majorHAnsi" w:hAnsiTheme="majorHAnsi"/>
          <w:color w:val="auto"/>
          <w:sz w:val="20"/>
          <w:szCs w:val="20"/>
          <w:lang w:val="es-ES_tradnl"/>
        </w:rPr>
        <w:t>alega</w:t>
      </w:r>
      <w:r w:rsidR="00A21DC5" w:rsidRPr="00BD30F8">
        <w:rPr>
          <w:rFonts w:asciiTheme="majorHAnsi" w:hAnsiTheme="majorHAnsi"/>
          <w:color w:val="auto"/>
          <w:sz w:val="20"/>
          <w:szCs w:val="20"/>
          <w:lang w:val="es-ES_tradnl"/>
        </w:rPr>
        <w:t xml:space="preserve"> que </w:t>
      </w:r>
      <w:r w:rsidR="008F24EF" w:rsidRPr="00BD30F8">
        <w:rPr>
          <w:rFonts w:asciiTheme="majorHAnsi" w:hAnsiTheme="majorHAnsi"/>
          <w:color w:val="auto"/>
          <w:sz w:val="20"/>
          <w:szCs w:val="20"/>
          <w:lang w:val="es-ES_tradnl"/>
        </w:rPr>
        <w:t>el</w:t>
      </w:r>
      <w:r w:rsidR="007078C8" w:rsidRPr="00BD30F8">
        <w:rPr>
          <w:rFonts w:asciiTheme="majorHAnsi" w:hAnsiTheme="majorHAnsi"/>
          <w:color w:val="auto"/>
          <w:sz w:val="20"/>
          <w:szCs w:val="20"/>
          <w:lang w:val="es-ES_tradnl"/>
        </w:rPr>
        <w:t xml:space="preserve"> Sr. </w:t>
      </w:r>
      <w:r w:rsidR="008F24EF" w:rsidRPr="00BD30F8">
        <w:rPr>
          <w:rFonts w:asciiTheme="majorHAnsi" w:hAnsiTheme="majorHAnsi"/>
          <w:color w:val="auto"/>
          <w:sz w:val="20"/>
          <w:szCs w:val="20"/>
          <w:lang w:val="es-ES_tradnl"/>
        </w:rPr>
        <w:t>José Dirceu de Oliveira e Silva</w:t>
      </w:r>
      <w:r w:rsidR="007078C8" w:rsidRPr="00BD30F8">
        <w:rPr>
          <w:rFonts w:asciiTheme="majorHAnsi" w:hAnsiTheme="majorHAnsi"/>
          <w:color w:val="auto"/>
          <w:sz w:val="20"/>
          <w:szCs w:val="20"/>
          <w:lang w:val="es-ES_tradnl"/>
        </w:rPr>
        <w:t xml:space="preserve"> fue enjuiciado en un macroproceso penal que incluía cuarenta imputados, y que se siguió directamente ante el Supremo Tribunal Federal</w:t>
      </w:r>
      <w:r w:rsidR="00C21A59" w:rsidRPr="00BD30F8">
        <w:rPr>
          <w:rFonts w:asciiTheme="majorHAnsi" w:hAnsiTheme="majorHAnsi"/>
          <w:color w:val="auto"/>
          <w:sz w:val="20"/>
          <w:szCs w:val="20"/>
          <w:lang w:val="es-ES_tradnl"/>
        </w:rPr>
        <w:t xml:space="preserve"> (STF)</w:t>
      </w:r>
      <w:r w:rsidR="007078C8" w:rsidRPr="00BD30F8">
        <w:rPr>
          <w:rFonts w:asciiTheme="majorHAnsi" w:hAnsiTheme="majorHAnsi"/>
          <w:color w:val="auto"/>
          <w:sz w:val="20"/>
          <w:szCs w:val="20"/>
          <w:lang w:val="es-ES_tradnl"/>
        </w:rPr>
        <w:t>.</w:t>
      </w:r>
      <w:r w:rsidRPr="00BD30F8">
        <w:rPr>
          <w:color w:val="auto"/>
          <w:sz w:val="20"/>
          <w:szCs w:val="20"/>
          <w:lang w:val="es-ES_tradnl"/>
        </w:rPr>
        <w:t xml:space="preserve"> </w:t>
      </w:r>
      <w:r w:rsidR="007078C8" w:rsidRPr="00BD30F8">
        <w:rPr>
          <w:rFonts w:asciiTheme="majorHAnsi" w:hAnsiTheme="majorHAnsi"/>
          <w:color w:val="auto"/>
          <w:sz w:val="20"/>
          <w:szCs w:val="20"/>
          <w:lang w:val="es-ES_tradnl"/>
        </w:rPr>
        <w:t xml:space="preserve">En el marco de este proceso, el peticionario </w:t>
      </w:r>
      <w:r w:rsidR="002264CC" w:rsidRPr="00BD30F8">
        <w:rPr>
          <w:rFonts w:asciiTheme="majorHAnsi" w:hAnsiTheme="majorHAnsi"/>
          <w:color w:val="auto"/>
          <w:sz w:val="20"/>
          <w:szCs w:val="20"/>
          <w:lang w:val="es-ES_tradnl"/>
        </w:rPr>
        <w:t xml:space="preserve">denuncia </w:t>
      </w:r>
      <w:r w:rsidR="008F24EF" w:rsidRPr="00BD30F8">
        <w:rPr>
          <w:rFonts w:asciiTheme="majorHAnsi" w:hAnsiTheme="majorHAnsi"/>
          <w:color w:val="auto"/>
          <w:sz w:val="20"/>
          <w:szCs w:val="20"/>
          <w:lang w:val="es-ES_tradnl"/>
        </w:rPr>
        <w:t>la condena criminal de la presunta víctima en instancia única.</w:t>
      </w:r>
    </w:p>
    <w:p w14:paraId="3B232D73" w14:textId="6358DFC5" w:rsidR="000F4DBA" w:rsidRPr="00BD30F8" w:rsidRDefault="000F4DBA" w:rsidP="000F4DBA">
      <w:pPr>
        <w:pStyle w:val="ListParagraph"/>
        <w:numPr>
          <w:ilvl w:val="0"/>
          <w:numId w:val="61"/>
        </w:numPr>
        <w:autoSpaceDE w:val="0"/>
        <w:autoSpaceDN w:val="0"/>
        <w:adjustRightInd w:val="0"/>
        <w:spacing w:before="240" w:after="240"/>
        <w:ind w:left="0" w:firstLine="709"/>
        <w:jc w:val="both"/>
        <w:rPr>
          <w:rFonts w:cs="TimesNewRoman,Bold"/>
          <w:sz w:val="20"/>
          <w:szCs w:val="20"/>
          <w:lang w:val="es-ES_tradnl"/>
        </w:rPr>
      </w:pPr>
      <w:r w:rsidRPr="00BD30F8">
        <w:rPr>
          <w:rFonts w:cs="TimesNewRoman,Bold"/>
          <w:sz w:val="20"/>
          <w:szCs w:val="20"/>
          <w:lang w:val="es-ES_tradnl"/>
        </w:rPr>
        <w:t xml:space="preserve">El 30 de marzo de 2006 la Fiscalía General de la República Federativa de Brasil formuló cargos contra cuarenta individuos por la presunta comisión de los delitos de concierto para delinquir, falsedad ideológica, peculado, corrupción pasiva, corrupción activa, lavado de activos y gestión fraudulenta de </w:t>
      </w:r>
      <w:r w:rsidRPr="00BD30F8">
        <w:rPr>
          <w:rFonts w:cs="TimesNewRoman,Bold"/>
          <w:sz w:val="20"/>
          <w:szCs w:val="20"/>
          <w:lang w:val="es-ES_tradnl"/>
        </w:rPr>
        <w:lastRenderedPageBreak/>
        <w:t xml:space="preserve">institución financiera. </w:t>
      </w:r>
      <w:r w:rsidRPr="00884FFF">
        <w:rPr>
          <w:rFonts w:cs="TimesNewRoman,Bold"/>
          <w:sz w:val="20"/>
          <w:szCs w:val="20"/>
          <w:lang w:val="pt-BR"/>
        </w:rPr>
        <w:t xml:space="preserve">El Sr. José Dirceu de Oliveira e Silva </w:t>
      </w:r>
      <w:r w:rsidR="00740520" w:rsidRPr="00884FFF">
        <w:rPr>
          <w:rFonts w:cs="TimesNewRoman,Bold"/>
          <w:sz w:val="20"/>
          <w:szCs w:val="20"/>
          <w:lang w:val="pt-BR"/>
        </w:rPr>
        <w:t xml:space="preserve">estuvo </w:t>
      </w:r>
      <w:r w:rsidRPr="00884FFF">
        <w:rPr>
          <w:rFonts w:cs="TimesNewRoman,Bold"/>
          <w:sz w:val="20"/>
          <w:szCs w:val="20"/>
          <w:lang w:val="pt-BR"/>
        </w:rPr>
        <w:t xml:space="preserve">entre los imputados. </w:t>
      </w:r>
      <w:r w:rsidRPr="00BD30F8">
        <w:rPr>
          <w:rFonts w:cs="TimesNewRoman,Bold"/>
          <w:sz w:val="20"/>
          <w:szCs w:val="20"/>
          <w:lang w:val="es-ES_tradnl"/>
        </w:rPr>
        <w:t>La Fiscalía consideró que él cometió los delitos de concierto para delinquir, peculado y corrupción activa. El 28 de agosto de 2007, el Supremo Tribunal Federal (“STF”) se pronunció sobre la acusación de la Fiscalía y determinó la apertura del trámite penal, lo que inició el proceso penal en contra de las presuntas víctimas. La acción penal (“AP”) respectiva, AP 470, tramitó ante el STF bajo la regla de competencia originaria del tribunal con respecto a los delitos comunes presuntamente cometidos por políticos, en los términos del artículo 102.I.b de la Constitución de Brasil</w:t>
      </w:r>
      <w:r w:rsidRPr="00BD30F8">
        <w:rPr>
          <w:bCs/>
          <w:sz w:val="20"/>
          <w:szCs w:val="20"/>
          <w:vertAlign w:val="superscript"/>
          <w:lang w:val="es-ES_tradnl"/>
        </w:rPr>
        <w:footnoteReference w:id="4"/>
      </w:r>
      <w:r w:rsidRPr="00BD30F8">
        <w:rPr>
          <w:rFonts w:cs="TimesNewRoman,Bold"/>
          <w:sz w:val="20"/>
          <w:szCs w:val="20"/>
          <w:lang w:val="es-ES_tradnl"/>
        </w:rPr>
        <w:t xml:space="preserve">. Tres de los cuarenta imputados eran políticos; sin embargo, este no era el caso de la presunta víctima. </w:t>
      </w:r>
    </w:p>
    <w:p w14:paraId="77B08DF1" w14:textId="69540CED" w:rsidR="000F4DBA" w:rsidRPr="00BD30F8" w:rsidRDefault="000F4DBA" w:rsidP="000F4DB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El peticionario argumenta que el Sr. José Dirceu no ocupaba ningún tipo de cargo o función pública que justificara, según el ordenamiento jurídico brasileño, el procesamiento de la acción por el Supremo Tribunal Federal, y que su proceso debió haber sido analizado bajo el procedimiento común. Sobre este último punto, destaca que uno de los acusados en la misma acción, el Sr. Carlos Alberto Quaglia, tampoco era ocupante de cargo público en esa época y el STF, a diferencia de lo que se hizo con el Sr. José Dirceu, determinó el desmembramiento del caso para la autoridad judicial de primera instancia.</w:t>
      </w:r>
    </w:p>
    <w:p w14:paraId="2C54E586" w14:textId="27A15951" w:rsidR="000F4DBA" w:rsidRPr="00BD30F8" w:rsidRDefault="000F4DBA" w:rsidP="000F4DB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El 12 de noviembre de 2012, el Sr. José Dirceu de Oliveira e Silva fue condenado a una pena de 7 años y 11 meses de privación de libertad, además de 260 días-multa, con un valor equivalente a R$ 676</w:t>
      </w:r>
      <w:r w:rsidR="00D25ED4" w:rsidRPr="00BD30F8">
        <w:rPr>
          <w:rFonts w:asciiTheme="majorHAnsi" w:hAnsiTheme="majorHAnsi"/>
          <w:color w:val="auto"/>
          <w:sz w:val="20"/>
          <w:szCs w:val="20"/>
          <w:lang w:val="es-ES_tradnl"/>
        </w:rPr>
        <w:t>,</w:t>
      </w:r>
      <w:r w:rsidRPr="00BD30F8">
        <w:rPr>
          <w:rFonts w:asciiTheme="majorHAnsi" w:hAnsiTheme="majorHAnsi"/>
          <w:color w:val="auto"/>
          <w:sz w:val="20"/>
          <w:szCs w:val="20"/>
          <w:lang w:val="es-ES_tradnl"/>
        </w:rPr>
        <w:t>000</w:t>
      </w:r>
      <w:r w:rsidR="00D25ED4" w:rsidRPr="00BD30F8">
        <w:rPr>
          <w:rFonts w:asciiTheme="majorHAnsi" w:hAnsiTheme="majorHAnsi"/>
          <w:color w:val="auto"/>
          <w:sz w:val="20"/>
          <w:szCs w:val="20"/>
          <w:lang w:val="es-ES_tradnl"/>
        </w:rPr>
        <w:t>.</w:t>
      </w:r>
      <w:r w:rsidRPr="00BD30F8">
        <w:rPr>
          <w:rFonts w:asciiTheme="majorHAnsi" w:hAnsiTheme="majorHAnsi"/>
          <w:color w:val="auto"/>
          <w:sz w:val="20"/>
          <w:szCs w:val="20"/>
          <w:lang w:val="es-ES_tradnl"/>
        </w:rPr>
        <w:t>00 (</w:t>
      </w:r>
      <w:r w:rsidR="00D80303" w:rsidRPr="00BD30F8">
        <w:rPr>
          <w:rFonts w:asciiTheme="majorHAnsi" w:hAnsiTheme="majorHAnsi"/>
          <w:color w:val="auto"/>
          <w:sz w:val="20"/>
          <w:szCs w:val="20"/>
          <w:lang w:val="es-ES_tradnl"/>
        </w:rPr>
        <w:t>aproximadamente USD$</w:t>
      </w:r>
      <w:r w:rsidR="00A866DD" w:rsidRPr="00BD30F8">
        <w:rPr>
          <w:rFonts w:asciiTheme="majorHAnsi" w:hAnsiTheme="majorHAnsi"/>
          <w:color w:val="auto"/>
          <w:sz w:val="20"/>
          <w:szCs w:val="20"/>
          <w:lang w:val="es-ES_tradnl"/>
        </w:rPr>
        <w:t>.</w:t>
      </w:r>
      <w:r w:rsidR="00D80303" w:rsidRPr="00BD30F8">
        <w:rPr>
          <w:rFonts w:asciiTheme="majorHAnsi" w:hAnsiTheme="majorHAnsi"/>
          <w:color w:val="auto"/>
          <w:sz w:val="20"/>
          <w:szCs w:val="20"/>
          <w:lang w:val="es-ES_tradnl"/>
        </w:rPr>
        <w:t xml:space="preserve"> </w:t>
      </w:r>
      <w:r w:rsidR="0006274F" w:rsidRPr="00BD30F8">
        <w:rPr>
          <w:rFonts w:asciiTheme="majorHAnsi" w:hAnsiTheme="majorHAnsi"/>
          <w:color w:val="auto"/>
          <w:sz w:val="20"/>
          <w:szCs w:val="20"/>
          <w:lang w:val="es-ES_tradnl"/>
        </w:rPr>
        <w:t>346</w:t>
      </w:r>
      <w:r w:rsidR="00D25ED4" w:rsidRPr="00BD30F8">
        <w:rPr>
          <w:rFonts w:asciiTheme="majorHAnsi" w:hAnsiTheme="majorHAnsi"/>
          <w:color w:val="auto"/>
          <w:sz w:val="20"/>
          <w:szCs w:val="20"/>
          <w:lang w:val="es-ES_tradnl"/>
        </w:rPr>
        <w:t>,666.67</w:t>
      </w:r>
      <w:r w:rsidR="00A866DD" w:rsidRPr="00BD30F8">
        <w:rPr>
          <w:rFonts w:asciiTheme="majorHAnsi" w:hAnsiTheme="majorHAnsi"/>
          <w:color w:val="auto"/>
          <w:sz w:val="20"/>
          <w:szCs w:val="20"/>
          <w:lang w:val="es-ES_tradnl"/>
        </w:rPr>
        <w:t xml:space="preserve"> al momento de los hechos</w:t>
      </w:r>
      <w:r w:rsidRPr="00BD30F8">
        <w:rPr>
          <w:rFonts w:asciiTheme="majorHAnsi" w:hAnsiTheme="majorHAnsi"/>
          <w:color w:val="auto"/>
          <w:sz w:val="20"/>
          <w:szCs w:val="20"/>
          <w:lang w:val="es-ES_tradnl"/>
        </w:rPr>
        <w:t xml:space="preserve">), por el delito de corrupción activa; y a una pena de 2 años y 11 meses de privación de libertad por el delito de concierto para delinquir. </w:t>
      </w:r>
    </w:p>
    <w:p w14:paraId="3845BFFE" w14:textId="1BD88CA8" w:rsidR="00740520" w:rsidRPr="00BD30F8" w:rsidRDefault="00740520" w:rsidP="000F4DB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 xml:space="preserve">El Sr. José Dirceu interpuso dos recursos en contra de la sentencia condenatoria: un recurso de revisión (“embargos infringentes”) y un recurso de aclaración (“embargos declaratórios”). El 27 de febrero de 2014 el STF acogió el recurso de revisión y absolvió el Sr. José Dirceu del delito de concierto para delinquir; sin embargo, mantuvo la condena </w:t>
      </w:r>
      <w:r w:rsidR="003A2AFB" w:rsidRPr="00BD30F8">
        <w:rPr>
          <w:rFonts w:asciiTheme="majorHAnsi" w:hAnsiTheme="majorHAnsi"/>
          <w:color w:val="auto"/>
          <w:sz w:val="20"/>
          <w:szCs w:val="20"/>
          <w:lang w:val="es-ES_tradnl"/>
        </w:rPr>
        <w:t>por el</w:t>
      </w:r>
      <w:r w:rsidRPr="00BD30F8">
        <w:rPr>
          <w:rFonts w:asciiTheme="majorHAnsi" w:hAnsiTheme="majorHAnsi"/>
          <w:color w:val="auto"/>
          <w:sz w:val="20"/>
          <w:szCs w:val="20"/>
          <w:lang w:val="es-ES_tradnl"/>
        </w:rPr>
        <w:t xml:space="preserve"> delito de corrupción activa. El peticionario indica que esta fue la última decisión a nivel interno.</w:t>
      </w:r>
    </w:p>
    <w:p w14:paraId="23C710B7" w14:textId="4DE1FAC8" w:rsidR="00740520" w:rsidRPr="00BD30F8" w:rsidRDefault="00740520" w:rsidP="007405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09"/>
        <w:jc w:val="both"/>
        <w:rPr>
          <w:rFonts w:asciiTheme="majorHAnsi" w:hAnsiTheme="majorHAnsi"/>
          <w:i/>
          <w:iCs/>
          <w:color w:val="auto"/>
          <w:sz w:val="20"/>
          <w:szCs w:val="20"/>
          <w:lang w:val="es-ES_tradnl"/>
        </w:rPr>
      </w:pPr>
      <w:r w:rsidRPr="00BD30F8">
        <w:rPr>
          <w:rFonts w:asciiTheme="majorHAnsi" w:hAnsiTheme="majorHAnsi"/>
          <w:i/>
          <w:iCs/>
          <w:color w:val="auto"/>
          <w:sz w:val="20"/>
          <w:szCs w:val="20"/>
          <w:lang w:val="es-ES_tradnl"/>
        </w:rPr>
        <w:t xml:space="preserve">Posición del Estado </w:t>
      </w:r>
      <w:r w:rsidR="00FB2D3B" w:rsidRPr="00BD30F8">
        <w:rPr>
          <w:rFonts w:asciiTheme="majorHAnsi" w:hAnsiTheme="majorHAnsi"/>
          <w:i/>
          <w:iCs/>
          <w:color w:val="auto"/>
          <w:sz w:val="20"/>
          <w:szCs w:val="20"/>
          <w:lang w:val="es-ES_tradnl"/>
        </w:rPr>
        <w:t>brasileño</w:t>
      </w:r>
    </w:p>
    <w:p w14:paraId="6F5B15D9" w14:textId="785C172D" w:rsidR="0069574C" w:rsidRPr="00BD30F8" w:rsidRDefault="00740520" w:rsidP="00D23CD4">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El Estado señala que el asunto de la inclusión de políticos y no políticos en el mismo proceso fue decidido en sesión plenaria del STF, por mayoría, tras los debates pertinentes, al juzgar la 2ª cuestión de orden en</w:t>
      </w:r>
      <w:r w:rsidR="0069574C" w:rsidRPr="00BD30F8">
        <w:rPr>
          <w:rFonts w:asciiTheme="majorHAnsi" w:hAnsiTheme="majorHAnsi"/>
          <w:color w:val="auto"/>
          <w:sz w:val="20"/>
          <w:szCs w:val="20"/>
          <w:lang w:val="es-ES_tradnl"/>
        </w:rPr>
        <w:t xml:space="preserve"> la investigación (“</w:t>
      </w:r>
      <w:r w:rsidRPr="00BD30F8">
        <w:rPr>
          <w:rFonts w:asciiTheme="majorHAnsi" w:hAnsiTheme="majorHAnsi"/>
          <w:color w:val="auto"/>
          <w:sz w:val="20"/>
          <w:szCs w:val="20"/>
          <w:lang w:val="es-ES_tradnl"/>
        </w:rPr>
        <w:t>inquérito</w:t>
      </w:r>
      <w:r w:rsidR="0069574C" w:rsidRPr="00BD30F8">
        <w:rPr>
          <w:rFonts w:asciiTheme="majorHAnsi" w:hAnsiTheme="majorHAnsi"/>
          <w:color w:val="auto"/>
          <w:sz w:val="20"/>
          <w:szCs w:val="20"/>
          <w:lang w:val="es-ES_tradnl"/>
        </w:rPr>
        <w:t>”)</w:t>
      </w:r>
      <w:r w:rsidRPr="00BD30F8">
        <w:rPr>
          <w:rFonts w:asciiTheme="majorHAnsi" w:hAnsiTheme="majorHAnsi"/>
          <w:color w:val="auto"/>
          <w:sz w:val="20"/>
          <w:szCs w:val="20"/>
          <w:lang w:val="es-ES_tradnl"/>
        </w:rPr>
        <w:t xml:space="preserve"> 2.245</w:t>
      </w:r>
      <w:r w:rsidR="0069574C" w:rsidRPr="00BD30F8">
        <w:rPr>
          <w:rFonts w:asciiTheme="majorHAnsi" w:hAnsiTheme="majorHAnsi"/>
          <w:color w:val="auto"/>
          <w:sz w:val="20"/>
          <w:szCs w:val="20"/>
          <w:lang w:val="es-ES_tradnl"/>
        </w:rPr>
        <w:t>,</w:t>
      </w:r>
      <w:r w:rsidRPr="00BD30F8">
        <w:rPr>
          <w:rFonts w:asciiTheme="majorHAnsi" w:hAnsiTheme="majorHAnsi"/>
          <w:color w:val="auto"/>
          <w:sz w:val="20"/>
          <w:szCs w:val="20"/>
          <w:lang w:val="es-ES_tradnl"/>
        </w:rPr>
        <w:t xml:space="preserve"> el 6 de diciembre de 2006.</w:t>
      </w:r>
      <w:r w:rsidR="0069574C" w:rsidRPr="00BD30F8">
        <w:rPr>
          <w:rFonts w:asciiTheme="majorHAnsi" w:hAnsiTheme="majorHAnsi"/>
          <w:color w:val="auto"/>
          <w:sz w:val="20"/>
          <w:szCs w:val="20"/>
          <w:lang w:val="es-ES_tradnl"/>
        </w:rPr>
        <w:t xml:space="preserve"> La decisión consideró que sería imposible procesar el caso por separado debido a la conexión entre los hechos que se relacionaban con todos los imputados. Esta decisión generó el procesamiento del Sr. José Dirceu, entre otras personas, ante el STF </w:t>
      </w:r>
      <w:r w:rsidR="0069574C" w:rsidRPr="00BD30F8">
        <w:rPr>
          <w:rFonts w:asciiTheme="majorHAnsi" w:hAnsiTheme="majorHAnsi"/>
          <w:i/>
          <w:iCs/>
          <w:color w:val="auto"/>
          <w:sz w:val="20"/>
          <w:szCs w:val="20"/>
          <w:lang w:val="es-ES_tradnl"/>
        </w:rPr>
        <w:t>ab initio</w:t>
      </w:r>
      <w:r w:rsidR="0069574C" w:rsidRPr="00BD30F8">
        <w:rPr>
          <w:rFonts w:asciiTheme="majorHAnsi" w:hAnsiTheme="majorHAnsi"/>
          <w:color w:val="auto"/>
          <w:sz w:val="20"/>
          <w:szCs w:val="20"/>
          <w:lang w:val="es-ES_tradnl"/>
        </w:rPr>
        <w:t xml:space="preserve">. </w:t>
      </w:r>
    </w:p>
    <w:p w14:paraId="1555ADAC" w14:textId="1B2A5C1F" w:rsidR="0069574C" w:rsidRPr="00BD30F8" w:rsidRDefault="00740520" w:rsidP="009351BD">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 xml:space="preserve">El Estado informa que el mismo </w:t>
      </w:r>
      <w:r w:rsidR="0069574C" w:rsidRPr="00BD30F8">
        <w:rPr>
          <w:rFonts w:asciiTheme="majorHAnsi" w:hAnsiTheme="majorHAnsi"/>
          <w:color w:val="auto"/>
          <w:sz w:val="20"/>
          <w:szCs w:val="20"/>
          <w:lang w:val="es-ES_tradnl"/>
        </w:rPr>
        <w:t xml:space="preserve">asunto fue nuevamente evaluado por las instancias internas tras la presentación del Habeas Corpus 8842 por el Sr. José Dirceu. </w:t>
      </w:r>
      <w:r w:rsidRPr="00BD30F8">
        <w:rPr>
          <w:rFonts w:asciiTheme="majorHAnsi" w:hAnsiTheme="majorHAnsi"/>
          <w:color w:val="auto"/>
          <w:sz w:val="20"/>
          <w:szCs w:val="20"/>
          <w:lang w:val="es-ES_tradnl"/>
        </w:rPr>
        <w:t xml:space="preserve">El 15 de febrero de 2007 </w:t>
      </w:r>
      <w:r w:rsidR="0069574C" w:rsidRPr="00BD30F8">
        <w:rPr>
          <w:rFonts w:asciiTheme="majorHAnsi" w:hAnsiTheme="majorHAnsi"/>
          <w:color w:val="auto"/>
          <w:sz w:val="20"/>
          <w:szCs w:val="20"/>
          <w:lang w:val="es-ES_tradnl"/>
        </w:rPr>
        <w:t>el STF desestimó el Habeas Corpus tras considerar que el Tribunal ya había decidido mantener los imputados bajo un mismo proceso en el citado fallo de 6 de diciembre de 2006.</w:t>
      </w:r>
      <w:r w:rsidR="00D906F8" w:rsidRPr="00BD30F8">
        <w:rPr>
          <w:rFonts w:asciiTheme="majorHAnsi" w:hAnsiTheme="majorHAnsi"/>
          <w:color w:val="auto"/>
          <w:sz w:val="20"/>
          <w:szCs w:val="20"/>
          <w:lang w:val="es-ES_tradnl"/>
        </w:rPr>
        <w:t xml:space="preserve"> </w:t>
      </w:r>
      <w:r w:rsidR="0069574C" w:rsidRPr="00BD30F8">
        <w:rPr>
          <w:rFonts w:asciiTheme="majorHAnsi" w:hAnsiTheme="majorHAnsi"/>
          <w:color w:val="auto"/>
          <w:sz w:val="20"/>
          <w:szCs w:val="20"/>
          <w:lang w:val="es-ES_tradnl"/>
        </w:rPr>
        <w:t xml:space="preserve">Asimismo, el Estado indica que el 2 de agosto de 2012 el mismo asunto </w:t>
      </w:r>
      <w:r w:rsidRPr="00BD30F8">
        <w:rPr>
          <w:rFonts w:asciiTheme="majorHAnsi" w:hAnsiTheme="majorHAnsi"/>
          <w:color w:val="auto"/>
          <w:sz w:val="20"/>
          <w:szCs w:val="20"/>
          <w:lang w:val="es-ES_tradnl"/>
        </w:rPr>
        <w:t xml:space="preserve">también discutido por los </w:t>
      </w:r>
      <w:r w:rsidR="0069574C" w:rsidRPr="00BD30F8">
        <w:rPr>
          <w:rFonts w:asciiTheme="majorHAnsi" w:hAnsiTheme="majorHAnsi"/>
          <w:color w:val="auto"/>
          <w:sz w:val="20"/>
          <w:szCs w:val="20"/>
          <w:lang w:val="es-ES_tradnl"/>
        </w:rPr>
        <w:t>jueces del STF</w:t>
      </w:r>
      <w:r w:rsidRPr="00BD30F8">
        <w:rPr>
          <w:rFonts w:asciiTheme="majorHAnsi" w:hAnsiTheme="majorHAnsi"/>
          <w:color w:val="auto"/>
          <w:sz w:val="20"/>
          <w:szCs w:val="20"/>
          <w:lang w:val="es-ES_tradnl"/>
        </w:rPr>
        <w:t xml:space="preserve"> en el análisis de la propia </w:t>
      </w:r>
      <w:r w:rsidR="0069574C" w:rsidRPr="00BD30F8">
        <w:rPr>
          <w:rFonts w:asciiTheme="majorHAnsi" w:hAnsiTheme="majorHAnsi"/>
          <w:color w:val="auto"/>
          <w:sz w:val="20"/>
          <w:szCs w:val="20"/>
          <w:lang w:val="es-ES_tradnl"/>
        </w:rPr>
        <w:t>AP</w:t>
      </w:r>
      <w:r w:rsidRPr="00BD30F8">
        <w:rPr>
          <w:rFonts w:asciiTheme="majorHAnsi" w:hAnsiTheme="majorHAnsi"/>
          <w:color w:val="auto"/>
          <w:sz w:val="20"/>
          <w:szCs w:val="20"/>
          <w:lang w:val="es-ES_tradnl"/>
        </w:rPr>
        <w:t xml:space="preserve"> 470</w:t>
      </w:r>
      <w:r w:rsidR="0069574C" w:rsidRPr="00BD30F8">
        <w:rPr>
          <w:rFonts w:asciiTheme="majorHAnsi" w:hAnsiTheme="majorHAnsi"/>
          <w:color w:val="auto"/>
          <w:sz w:val="20"/>
          <w:szCs w:val="20"/>
          <w:lang w:val="es-ES_tradnl"/>
        </w:rPr>
        <w:t>. Como producto de dicho análisis, uno de los jueces, el Sr. Celso de Mello, afirmó en su opinión que los procesos iniciados ante el STF constituyen una excepción a la regla del doble grado de jurisdicción contenida en el artículo 8 de la Convención Americana sobre Derechos Humanos.</w:t>
      </w:r>
    </w:p>
    <w:p w14:paraId="1CA3EED5" w14:textId="30B08609" w:rsidR="00740520" w:rsidRPr="00BD30F8" w:rsidRDefault="0069574C" w:rsidP="00ED3304">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 xml:space="preserve">El Estado también aclara que el STF decidió no incluir el imputado Carlos Alberto Quaglia en la misma acción penal, en carácter excepcional, </w:t>
      </w:r>
      <w:r w:rsidR="00740520" w:rsidRPr="00BD30F8">
        <w:rPr>
          <w:rFonts w:asciiTheme="majorHAnsi" w:hAnsiTheme="majorHAnsi"/>
          <w:color w:val="auto"/>
          <w:sz w:val="20"/>
          <w:szCs w:val="20"/>
          <w:lang w:val="es-ES_tradnl"/>
        </w:rPr>
        <w:t>porque, en el caso específico, su abogado no había sido debidamente notificado</w:t>
      </w:r>
      <w:r w:rsidRPr="00BD30F8">
        <w:rPr>
          <w:rFonts w:asciiTheme="majorHAnsi" w:hAnsiTheme="majorHAnsi"/>
          <w:color w:val="auto"/>
          <w:sz w:val="20"/>
          <w:szCs w:val="20"/>
          <w:lang w:val="es-ES_tradnl"/>
        </w:rPr>
        <w:t>;</w:t>
      </w:r>
      <w:r w:rsidR="00740520" w:rsidRPr="00BD30F8">
        <w:rPr>
          <w:rFonts w:asciiTheme="majorHAnsi" w:hAnsiTheme="majorHAnsi"/>
          <w:color w:val="auto"/>
          <w:sz w:val="20"/>
          <w:szCs w:val="20"/>
          <w:lang w:val="es-ES_tradnl"/>
        </w:rPr>
        <w:t xml:space="preserve"> es decir, el desmembramiento del caso no se basó en la eventual </w:t>
      </w:r>
      <w:r w:rsidRPr="00BD30F8">
        <w:rPr>
          <w:rFonts w:asciiTheme="majorHAnsi" w:hAnsiTheme="majorHAnsi"/>
          <w:color w:val="auto"/>
          <w:sz w:val="20"/>
          <w:szCs w:val="20"/>
          <w:lang w:val="es-ES_tradnl"/>
        </w:rPr>
        <w:t xml:space="preserve">inaplicabilidad de la norma de competencia del </w:t>
      </w:r>
      <w:r w:rsidRPr="00BD30F8">
        <w:rPr>
          <w:rFonts w:cs="TimesNewRoman,Bold"/>
          <w:sz w:val="20"/>
          <w:szCs w:val="20"/>
          <w:lang w:val="es-ES_tradnl"/>
        </w:rPr>
        <w:t>artículo 102.I.b</w:t>
      </w:r>
      <w:r w:rsidR="001B151D" w:rsidRPr="00BD30F8">
        <w:rPr>
          <w:rFonts w:cs="TimesNewRoman,Bold"/>
          <w:sz w:val="20"/>
          <w:szCs w:val="20"/>
          <w:lang w:val="es-ES_tradnl"/>
        </w:rPr>
        <w:t>)</w:t>
      </w:r>
      <w:r w:rsidRPr="00BD30F8">
        <w:rPr>
          <w:rFonts w:cs="TimesNewRoman,Bold"/>
          <w:sz w:val="20"/>
          <w:szCs w:val="20"/>
          <w:lang w:val="es-ES_tradnl"/>
        </w:rPr>
        <w:t xml:space="preserve"> de la Constitución de Brasil a no políticos</w:t>
      </w:r>
      <w:r w:rsidR="00740520" w:rsidRPr="00BD30F8">
        <w:rPr>
          <w:rFonts w:asciiTheme="majorHAnsi" w:hAnsiTheme="majorHAnsi"/>
          <w:color w:val="auto"/>
          <w:sz w:val="20"/>
          <w:szCs w:val="20"/>
          <w:lang w:val="es-ES_tradnl"/>
        </w:rPr>
        <w:t>.</w:t>
      </w:r>
    </w:p>
    <w:p w14:paraId="6621860E" w14:textId="532BC292" w:rsidR="0069574C" w:rsidRPr="00BD30F8" w:rsidRDefault="0069574C" w:rsidP="00ED3304">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 xml:space="preserve">El Estado informa, además, que el proceso en contra del Sr. José Dirceu quedó firme el 13 de noviembre de 2013, tras la decisión que absolvió el reo del delito de concierto para delinquir y mantuvo la </w:t>
      </w:r>
      <w:r w:rsidRPr="00BD30F8">
        <w:rPr>
          <w:rFonts w:asciiTheme="majorHAnsi" w:hAnsiTheme="majorHAnsi"/>
          <w:color w:val="auto"/>
          <w:sz w:val="20"/>
          <w:szCs w:val="20"/>
          <w:lang w:val="es-ES_tradnl"/>
        </w:rPr>
        <w:lastRenderedPageBreak/>
        <w:t>condena referente al delito de corrupción activa.</w:t>
      </w:r>
    </w:p>
    <w:p w14:paraId="2EAD6DF5" w14:textId="77777777" w:rsidR="00740520" w:rsidRPr="00BD30F8" w:rsidRDefault="00740520" w:rsidP="00740520">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El Estado considera que la petición no se refiere a hechos que caractericen violación de los derechos invocados, pues, en suma, el STF tramitó la acción penal 470 sin que ninguna garantía judicial del Sr. José Dirceu de Oliveira e Silva fuera violada. Para el Estado, la decisión del STF constituye una excepción legítima a la regla del doble grado de jurisdicción, asemejándose al carácter inapelable de las decisiones de la Corte Interamericana de Derechos Humanos.</w:t>
      </w:r>
    </w:p>
    <w:bookmarkEnd w:id="0"/>
    <w:bookmarkEnd w:id="1"/>
    <w:p w14:paraId="79965BEC" w14:textId="2E78271C" w:rsidR="005E1672" w:rsidRPr="00BD30F8" w:rsidRDefault="00985FD4" w:rsidP="00FB4A08">
      <w:pPr>
        <w:spacing w:before="240" w:after="240"/>
        <w:ind w:firstLine="720"/>
        <w:jc w:val="both"/>
        <w:rPr>
          <w:rFonts w:ascii="Cambria" w:hAnsi="Cambria"/>
          <w:color w:val="000000" w:themeColor="text1"/>
          <w:sz w:val="20"/>
          <w:szCs w:val="20"/>
          <w:lang w:val="es-ES_tradnl"/>
        </w:rPr>
      </w:pPr>
      <w:r w:rsidRPr="00BD30F8">
        <w:rPr>
          <w:rFonts w:ascii="Cambria" w:eastAsia="Cambria" w:hAnsi="Cambria" w:cs="Cambria"/>
          <w:b/>
          <w:bCs/>
          <w:color w:val="000000" w:themeColor="text1"/>
          <w:sz w:val="20"/>
          <w:szCs w:val="20"/>
          <w:u w:color="000000"/>
          <w:lang w:val="es-ES_tradnl" w:eastAsia="es-ES"/>
        </w:rPr>
        <w:t>VI.</w:t>
      </w:r>
      <w:r w:rsidRPr="00BD30F8">
        <w:rPr>
          <w:rFonts w:ascii="Cambria" w:eastAsia="Cambria" w:hAnsi="Cambria" w:cs="Cambria"/>
          <w:b/>
          <w:bCs/>
          <w:color w:val="000000" w:themeColor="text1"/>
          <w:sz w:val="20"/>
          <w:szCs w:val="20"/>
          <w:u w:color="000000"/>
          <w:lang w:val="es-ES_tradnl" w:eastAsia="es-ES"/>
        </w:rPr>
        <w:tab/>
      </w:r>
      <w:r w:rsidR="00124EE3" w:rsidRPr="00BD30F8">
        <w:rPr>
          <w:rFonts w:ascii="Cambria" w:hAnsi="Cambria"/>
          <w:b/>
          <w:bCs/>
          <w:color w:val="000000" w:themeColor="text1"/>
          <w:sz w:val="20"/>
          <w:szCs w:val="20"/>
          <w:lang w:val="es-ES_tradnl"/>
        </w:rPr>
        <w:t>AGOTAMIENTO DE LOS RECURSOS INTERNOS Y PLAZO DE PRESENTACIÓN</w:t>
      </w:r>
      <w:r w:rsidRPr="00BD30F8">
        <w:rPr>
          <w:rFonts w:ascii="Cambria" w:eastAsia="Cambria" w:hAnsi="Cambria" w:cs="Cambria"/>
          <w:b/>
          <w:bCs/>
          <w:color w:val="000000" w:themeColor="text1"/>
          <w:sz w:val="20"/>
          <w:szCs w:val="20"/>
          <w:u w:color="000000"/>
          <w:lang w:val="es-ES_tradnl" w:eastAsia="es-ES"/>
        </w:rPr>
        <w:t xml:space="preserve"> </w:t>
      </w:r>
      <w:bookmarkStart w:id="2" w:name="_Hlk72954899"/>
    </w:p>
    <w:p w14:paraId="5B011FB3" w14:textId="77777777" w:rsidR="00152206" w:rsidRPr="00BD30F8" w:rsidRDefault="00152206" w:rsidP="0015220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BD30F8">
        <w:rPr>
          <w:sz w:val="20"/>
          <w:szCs w:val="20"/>
          <w:lang w:val="es-ES_tradnl"/>
        </w:rPr>
        <w:t>El peticionario afirma que fue formalmente notificado sobre el tránsito en firme de la condena del Sr. José Dirceu por el delito de corrupción pasiva el 15 de noviembre de 2013; y que el acusado fue absuelto de la acusación de formación de cuadrilla o banda tras oponer un recurso de revisión el 27 de febrero de 2014. Teniendo en cuenta el expuesto, sostiene que este es el momento en el que ocurrió el agotamiento de los recursos internos, razón por la cual la petición observa todos los requisitos de admisibilidad pertinentes.</w:t>
      </w:r>
    </w:p>
    <w:p w14:paraId="2D045260" w14:textId="50AF2405" w:rsidR="00FB33F7" w:rsidRPr="00BD30F8" w:rsidRDefault="00FB33F7" w:rsidP="00E53832">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BD30F8">
        <w:rPr>
          <w:sz w:val="20"/>
          <w:szCs w:val="20"/>
          <w:lang w:val="es-ES_tradnl"/>
        </w:rPr>
        <w:t>El Estado alega que la petición es inadmisible por no haberse presentado dentro del plazo de seis meses. Dicho plazo, según el Estado, comenzó con la decisión del 6 de diciembre de 2006 que estableció la competencia del STF para juzgar a todos los denunciados. El Estado también argumenta que la situación de incumplimiento del plazo permanece igual incluso si la Comisión Interamericana adopta otro marco temporal para el conteo del plazo, como, por ejemplo, la decisión que juzgó sin lugar el Habeas Corpus 88.842, dictada el 15 de febrero de 2007</w:t>
      </w:r>
      <w:r w:rsidR="005835AC" w:rsidRPr="00BD30F8">
        <w:rPr>
          <w:sz w:val="20"/>
          <w:szCs w:val="20"/>
          <w:lang w:val="es-ES_tradnl"/>
        </w:rPr>
        <w:t>,</w:t>
      </w:r>
      <w:r w:rsidRPr="00BD30F8">
        <w:rPr>
          <w:sz w:val="20"/>
          <w:szCs w:val="20"/>
          <w:lang w:val="es-ES_tradnl"/>
        </w:rPr>
        <w:t xml:space="preserve"> y con tránsito en firme el 5 de marzo de 2007</w:t>
      </w:r>
      <w:r w:rsidR="003B5CB6" w:rsidRPr="00BD30F8">
        <w:rPr>
          <w:sz w:val="20"/>
          <w:szCs w:val="20"/>
          <w:lang w:val="es-ES_tradnl"/>
        </w:rPr>
        <w:t>;</w:t>
      </w:r>
      <w:r w:rsidRPr="00BD30F8">
        <w:rPr>
          <w:sz w:val="20"/>
          <w:szCs w:val="20"/>
          <w:lang w:val="es-ES_tradnl"/>
        </w:rPr>
        <w:t xml:space="preserve"> o el juicio del 2 de agosto de 2012, mediante el cual el STF rechazó la cuestión de orden en la que se solicitaba el desmembramiento del caso en relación con aquellos acusados que no eran políticos.</w:t>
      </w:r>
    </w:p>
    <w:p w14:paraId="126D1B6F" w14:textId="023D8C09" w:rsidR="005F7613" w:rsidRPr="00BD30F8" w:rsidRDefault="00152206" w:rsidP="00FB33F7">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BD30F8">
        <w:rPr>
          <w:sz w:val="20"/>
          <w:szCs w:val="20"/>
          <w:lang w:val="es-ES_tradnl"/>
        </w:rPr>
        <w:t>El requisito del previo agotamiento de los recursos internos tiene como objeto permitir que las autoridades nacionales conozcan sobre la supuesta violación de un derecho protegido</w:t>
      </w:r>
      <w:r w:rsidR="003B5CB6" w:rsidRPr="00BD30F8">
        <w:rPr>
          <w:sz w:val="20"/>
          <w:szCs w:val="20"/>
          <w:lang w:val="es-ES_tradnl"/>
        </w:rPr>
        <w:t>;</w:t>
      </w:r>
      <w:r w:rsidRPr="00BD30F8">
        <w:rPr>
          <w:sz w:val="20"/>
          <w:szCs w:val="20"/>
          <w:lang w:val="es-ES_tradnl"/>
        </w:rPr>
        <w:t xml:space="preserve"> y</w:t>
      </w:r>
      <w:r w:rsidR="003B5CB6" w:rsidRPr="00BD30F8">
        <w:rPr>
          <w:sz w:val="20"/>
          <w:szCs w:val="20"/>
          <w:lang w:val="es-ES_tradnl"/>
        </w:rPr>
        <w:t>,</w:t>
      </w:r>
      <w:r w:rsidRPr="00BD30F8">
        <w:rPr>
          <w:sz w:val="20"/>
          <w:szCs w:val="20"/>
          <w:lang w:val="es-ES_tradnl"/>
        </w:rPr>
        <w:t xml:space="preserve"> de ser apropiado, solucionen la situación antes de que sea conocida por una instancia internacional. En el presente caso, la situación que la parte peticionaria alega vulnerar los derechos convencionales de las presuntas víctimas es la de que su juzgamiento ante el STF se produjo sin la revisión del caso por otra instancia o tribunal interno. La posición del Estado de que el tema se agotó el 6 de diciembre de 2006, el 5 de marzo de 2007 o el 2 de agosto de 2012 es cuestionable. En realidad, el STF podría pronunciarse sobre esta situación con respecto a las presuntas víctimas, </w:t>
      </w:r>
      <w:r w:rsidRPr="00BD30F8">
        <w:rPr>
          <w:i/>
          <w:iCs/>
          <w:sz w:val="20"/>
          <w:szCs w:val="20"/>
          <w:lang w:val="es-ES_tradnl"/>
        </w:rPr>
        <w:t>ex officio</w:t>
      </w:r>
      <w:r w:rsidRPr="00BD30F8">
        <w:rPr>
          <w:sz w:val="20"/>
          <w:szCs w:val="20"/>
          <w:lang w:val="es-ES_tradnl"/>
        </w:rPr>
        <w:t>, en cualquier momento o etapa procesal, por tratarse de una cuestión de orden público (por lo tanto, conocible de oficio en cualquiera de las etapas procesales)</w:t>
      </w:r>
      <w:r w:rsidRPr="00BD30F8">
        <w:rPr>
          <w:rStyle w:val="FootnoteReference"/>
          <w:bCs/>
          <w:color w:val="000000" w:themeColor="text1"/>
          <w:sz w:val="20"/>
          <w:szCs w:val="20"/>
          <w:lang w:val="es-ES_tradnl"/>
        </w:rPr>
        <w:footnoteReference w:id="5"/>
      </w:r>
      <w:r w:rsidRPr="00BD30F8">
        <w:rPr>
          <w:sz w:val="20"/>
          <w:szCs w:val="20"/>
          <w:lang w:val="es-ES_tradnl"/>
        </w:rPr>
        <w:t>.</w:t>
      </w:r>
    </w:p>
    <w:p w14:paraId="17713E9C" w14:textId="70853AED" w:rsidR="00EF29E9" w:rsidRPr="00BD30F8" w:rsidRDefault="002C31AD" w:rsidP="00FB33F7">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BD30F8">
        <w:rPr>
          <w:sz w:val="20"/>
          <w:szCs w:val="20"/>
          <w:lang w:val="es-ES_tradnl"/>
        </w:rPr>
        <w:t>La Comisión Interamericana considera que la supuesta víctima no tuvo la posibilidad de apelar la decisión del STF ante un juez o tribunal superior, ya que el STF determinó su propia competencia para actuar en el caso. El plenario del STF fue responsable de decidir sobre el inicio del proceso penal contra la supuesta víctima y por la sentencia de primera instancia que determinó su condena penal. El proceso se llevó a cabo de tal manera que los recursos presentados por la supuesta víctima después de su condena penal siempre fueron examinados por jueces que habían participado en la sentencia condenatoria inicial. Teniendo en cuenta lo expuesto y la jurisprudencia de la CIDH</w:t>
      </w:r>
      <w:r w:rsidR="00EF29E9" w:rsidRPr="00BD30F8">
        <w:rPr>
          <w:rStyle w:val="FootnoteReference"/>
          <w:bCs/>
          <w:color w:val="000000" w:themeColor="text1"/>
          <w:sz w:val="20"/>
          <w:szCs w:val="20"/>
          <w:lang w:val="es-ES_tradnl"/>
        </w:rPr>
        <w:footnoteReference w:id="6"/>
      </w:r>
      <w:r w:rsidR="005F7613" w:rsidRPr="00BD30F8">
        <w:rPr>
          <w:sz w:val="20"/>
          <w:szCs w:val="20"/>
          <w:lang w:val="es-ES_tradnl"/>
        </w:rPr>
        <w:t xml:space="preserve">, </w:t>
      </w:r>
      <w:r w:rsidRPr="00BD30F8">
        <w:rPr>
          <w:sz w:val="20"/>
          <w:szCs w:val="20"/>
          <w:lang w:val="es-ES_tradnl"/>
        </w:rPr>
        <w:t>la Comisión concluye que es aplicable la excepción al deber de agotar los recursos internos establecida en el artículo 46.2.a) de la Convención Americana. Considerando que la denuncia ante la CIDH fue presentada el 13 de mayo de 2014, la Comisión considera que su presentación se realizó en cumplimiento del artículo 32.2 de su Reglamento</w:t>
      </w:r>
      <w:r w:rsidR="00EF29E9" w:rsidRPr="00BD30F8">
        <w:rPr>
          <w:sz w:val="20"/>
          <w:szCs w:val="20"/>
          <w:lang w:val="es-ES_tradnl"/>
        </w:rPr>
        <w:t xml:space="preserve">. </w:t>
      </w:r>
    </w:p>
    <w:p w14:paraId="6EA3F60C" w14:textId="3AA4C1A6" w:rsidR="00FB33F7" w:rsidRPr="00BD30F8" w:rsidRDefault="002C31AD" w:rsidP="00FB33F7">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sz w:val="20"/>
          <w:szCs w:val="20"/>
          <w:lang w:val="es-ES_tradnl"/>
        </w:rPr>
      </w:pPr>
      <w:r w:rsidRPr="00BD30F8">
        <w:rPr>
          <w:sz w:val="20"/>
          <w:szCs w:val="20"/>
          <w:lang w:val="es-ES_tradnl"/>
        </w:rPr>
        <w:t xml:space="preserve">En conclusión, la CIDH aclara que la invocación de las excepciones a la regla del previo agotamiento de los recursos internos previstas en el artículo 46.2 de la Convención Americana está estrechamente vinculada a la determinación de posibles violaciones de ciertos derechos consagrados en ella, </w:t>
      </w:r>
      <w:r w:rsidRPr="00BD30F8">
        <w:rPr>
          <w:sz w:val="20"/>
          <w:szCs w:val="20"/>
          <w:lang w:val="es-ES_tradnl"/>
        </w:rPr>
        <w:lastRenderedPageBreak/>
        <w:t>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son aplicables al caso en cuestión debe realizarse de manera previa y separada del análisis del mérito del asunto, ya que depende de un estándar de apreciación diferente al utilizado para determinar la posible violación de los artículos 8 y 25 de la Convención. La determinación de admisibilidad constituye un análisis primario, que no implica prejuzgar sobre el mérito del asunto</w:t>
      </w:r>
      <w:r w:rsidR="005F7613" w:rsidRPr="00BD30F8">
        <w:rPr>
          <w:rStyle w:val="FootnoteReference"/>
          <w:bCs/>
          <w:color w:val="000000" w:themeColor="text1"/>
          <w:sz w:val="20"/>
          <w:szCs w:val="20"/>
          <w:lang w:val="es-ES_tradnl"/>
        </w:rPr>
        <w:footnoteReference w:id="7"/>
      </w:r>
      <w:r w:rsidRPr="00BD30F8">
        <w:rPr>
          <w:sz w:val="20"/>
          <w:szCs w:val="20"/>
          <w:lang w:val="es-ES_tradnl"/>
        </w:rPr>
        <w:t>.</w:t>
      </w:r>
    </w:p>
    <w:p w14:paraId="616B82A0" w14:textId="526FC47F" w:rsidR="005E1672" w:rsidRPr="00BD30F8" w:rsidRDefault="005E1672" w:rsidP="00FB4A08">
      <w:pPr>
        <w:pStyle w:val="ListParagraph"/>
        <w:spacing w:before="240" w:after="240"/>
        <w:ind w:left="0" w:firstLine="720"/>
        <w:jc w:val="both"/>
        <w:rPr>
          <w:rFonts w:asciiTheme="majorHAnsi" w:hAnsiTheme="majorHAnsi"/>
          <w:b/>
          <w:bCs/>
          <w:color w:val="000000" w:themeColor="text1"/>
          <w:sz w:val="20"/>
          <w:szCs w:val="20"/>
          <w:lang w:val="es-ES_tradnl"/>
        </w:rPr>
      </w:pPr>
      <w:r w:rsidRPr="00BD30F8">
        <w:rPr>
          <w:rFonts w:asciiTheme="majorHAnsi" w:hAnsiTheme="majorHAnsi"/>
          <w:b/>
          <w:bCs/>
          <w:color w:val="000000" w:themeColor="text1"/>
          <w:sz w:val="20"/>
          <w:szCs w:val="20"/>
          <w:lang w:val="es-ES_tradnl"/>
        </w:rPr>
        <w:t>VII.</w:t>
      </w:r>
      <w:r w:rsidRPr="00BD30F8">
        <w:rPr>
          <w:rFonts w:asciiTheme="majorHAnsi" w:hAnsiTheme="majorHAnsi"/>
          <w:b/>
          <w:bCs/>
          <w:color w:val="000000" w:themeColor="text1"/>
          <w:sz w:val="20"/>
          <w:szCs w:val="20"/>
          <w:lang w:val="es-ES_tradnl"/>
        </w:rPr>
        <w:tab/>
      </w:r>
      <w:r w:rsidR="00124EE3" w:rsidRPr="00BD30F8">
        <w:rPr>
          <w:rFonts w:asciiTheme="majorHAnsi" w:hAnsiTheme="majorHAnsi"/>
          <w:b/>
          <w:bCs/>
          <w:color w:val="000000" w:themeColor="text1"/>
          <w:sz w:val="20"/>
          <w:szCs w:val="20"/>
          <w:lang w:val="es-ES_tradnl"/>
        </w:rPr>
        <w:t>CARACTERIZACIÓN DE LOS HECHOS ALEGADOS</w:t>
      </w:r>
    </w:p>
    <w:p w14:paraId="5322FCE1" w14:textId="33076A32" w:rsidR="00A8471F" w:rsidRPr="00BD30F8" w:rsidRDefault="00940587" w:rsidP="00957A6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bCs/>
          <w:color w:val="000000" w:themeColor="text1"/>
          <w:sz w:val="20"/>
          <w:szCs w:val="20"/>
          <w:lang w:val="es-ES_tradnl"/>
        </w:rPr>
        <w:t xml:space="preserve">La petición aborda la condena </w:t>
      </w:r>
      <w:r w:rsidR="00A8471F" w:rsidRPr="00BD30F8">
        <w:rPr>
          <w:bCs/>
          <w:color w:val="000000" w:themeColor="text1"/>
          <w:sz w:val="20"/>
          <w:szCs w:val="20"/>
          <w:lang w:val="es-ES_tradnl"/>
        </w:rPr>
        <w:t xml:space="preserve">criminal </w:t>
      </w:r>
      <w:r w:rsidRPr="00BD30F8">
        <w:rPr>
          <w:bCs/>
          <w:color w:val="000000" w:themeColor="text1"/>
          <w:sz w:val="20"/>
          <w:szCs w:val="20"/>
          <w:lang w:val="es-ES_tradnl"/>
        </w:rPr>
        <w:t>de</w:t>
      </w:r>
      <w:r w:rsidR="00A8471F" w:rsidRPr="00BD30F8">
        <w:rPr>
          <w:bCs/>
          <w:color w:val="000000" w:themeColor="text1"/>
          <w:sz w:val="20"/>
          <w:szCs w:val="20"/>
          <w:lang w:val="es-ES_tradnl"/>
        </w:rPr>
        <w:t xml:space="preserve">l Sr. José Dirceu de Oliveira e Silva, en instancia única, a una pena privativa de libertad. </w:t>
      </w:r>
      <w:r w:rsidR="00A8471F" w:rsidRPr="00BD30F8">
        <w:rPr>
          <w:sz w:val="20"/>
          <w:szCs w:val="20"/>
          <w:lang w:val="es-ES_tradnl"/>
        </w:rPr>
        <w:t xml:space="preserve">El Estado sostiene que la petición no muestra violaciones a los derechos invocados, ya que el STF procesó el caso con respecto a las garantías judiciales del Sr. José Dirceu. </w:t>
      </w:r>
      <w:r w:rsidR="00D23AEE" w:rsidRPr="00BD30F8">
        <w:rPr>
          <w:sz w:val="20"/>
          <w:szCs w:val="20"/>
          <w:lang w:val="es-ES_tradnl"/>
        </w:rPr>
        <w:t>Sostiene, además, que</w:t>
      </w:r>
      <w:r w:rsidR="00A8471F" w:rsidRPr="00BD30F8">
        <w:rPr>
          <w:sz w:val="20"/>
          <w:szCs w:val="20"/>
          <w:lang w:val="es-ES_tradnl"/>
        </w:rPr>
        <w:t xml:space="preserve"> </w:t>
      </w:r>
      <w:r w:rsidR="00A8471F" w:rsidRPr="00BD30F8">
        <w:rPr>
          <w:rFonts w:asciiTheme="majorHAnsi" w:hAnsiTheme="majorHAnsi"/>
          <w:color w:val="auto"/>
          <w:sz w:val="20"/>
          <w:szCs w:val="20"/>
          <w:lang w:val="es-ES_tradnl"/>
        </w:rPr>
        <w:t xml:space="preserve">el trámite </w:t>
      </w:r>
      <w:r w:rsidR="00D23AEE" w:rsidRPr="00BD30F8">
        <w:rPr>
          <w:rFonts w:asciiTheme="majorHAnsi" w:hAnsiTheme="majorHAnsi"/>
          <w:color w:val="auto"/>
          <w:sz w:val="20"/>
          <w:szCs w:val="20"/>
          <w:lang w:val="es-ES_tradnl"/>
        </w:rPr>
        <w:t>ante el STF</w:t>
      </w:r>
      <w:r w:rsidR="00A8471F" w:rsidRPr="00BD30F8">
        <w:rPr>
          <w:rFonts w:asciiTheme="majorHAnsi" w:hAnsiTheme="majorHAnsi"/>
          <w:color w:val="auto"/>
          <w:sz w:val="20"/>
          <w:szCs w:val="20"/>
          <w:lang w:val="es-ES_tradnl"/>
        </w:rPr>
        <w:t xml:space="preserve"> constituye una excepción legítima a la regla del doble grado de jurisdicción.</w:t>
      </w:r>
    </w:p>
    <w:p w14:paraId="540C7542" w14:textId="17D3BAF2" w:rsidR="00A8471F" w:rsidRPr="00BD30F8" w:rsidRDefault="00A8471F" w:rsidP="00A8471F">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bCs/>
          <w:color w:val="000000" w:themeColor="text1"/>
          <w:sz w:val="20"/>
          <w:szCs w:val="20"/>
          <w:lang w:val="es-ES_tradnl"/>
        </w:rPr>
        <w:t xml:space="preserve">La Comisión Interamericana </w:t>
      </w:r>
      <w:r w:rsidR="00D906F8" w:rsidRPr="00BD30F8">
        <w:rPr>
          <w:bCs/>
          <w:color w:val="000000" w:themeColor="text1"/>
          <w:sz w:val="20"/>
          <w:szCs w:val="20"/>
          <w:lang w:val="es-ES_tradnl"/>
        </w:rPr>
        <w:t>nota</w:t>
      </w:r>
      <w:r w:rsidRPr="00BD30F8">
        <w:rPr>
          <w:bCs/>
          <w:color w:val="000000" w:themeColor="text1"/>
          <w:sz w:val="20"/>
          <w:szCs w:val="20"/>
          <w:lang w:val="es-ES_tradnl"/>
        </w:rPr>
        <w:t xml:space="preserve"> que</w:t>
      </w:r>
      <w:r w:rsidR="00D906F8" w:rsidRPr="00BD30F8">
        <w:rPr>
          <w:bCs/>
          <w:color w:val="000000" w:themeColor="text1"/>
          <w:sz w:val="20"/>
          <w:szCs w:val="20"/>
          <w:lang w:val="es-ES_tradnl"/>
        </w:rPr>
        <w:t xml:space="preserve"> </w:t>
      </w:r>
      <w:r w:rsidR="00D906F8" w:rsidRPr="00BD30F8">
        <w:rPr>
          <w:sz w:val="20"/>
          <w:szCs w:val="20"/>
          <w:lang w:val="es-ES_tradnl"/>
        </w:rPr>
        <w:t>la tramitación de la AP 470 observó la aplicación, a la presunta víctima, por conexión, de la norma que establece la competencia originaria del STF para juzgar delitos de agentes políticos. Aunque el Estado defiende la legitimidad de esta norma aplicada a la supuesta víctima para asegurar una adecuada comprensión del litigio y el buen desarrollo del proceso</w:t>
      </w:r>
      <w:r w:rsidR="00D23AEE" w:rsidRPr="00BD30F8">
        <w:rPr>
          <w:sz w:val="20"/>
          <w:szCs w:val="20"/>
          <w:lang w:val="es-ES_tradnl"/>
        </w:rPr>
        <w:t>,</w:t>
      </w:r>
      <w:r w:rsidR="00D906F8" w:rsidRPr="00BD30F8">
        <w:rPr>
          <w:sz w:val="20"/>
          <w:szCs w:val="20"/>
          <w:lang w:val="es-ES_tradnl"/>
        </w:rPr>
        <w:t xml:space="preserve"> </w:t>
      </w:r>
      <w:r w:rsidR="00D23AEE" w:rsidRPr="00BD30F8">
        <w:rPr>
          <w:sz w:val="20"/>
          <w:szCs w:val="20"/>
          <w:lang w:val="es-ES_tradnl"/>
        </w:rPr>
        <w:t>así como</w:t>
      </w:r>
      <w:r w:rsidR="00D906F8" w:rsidRPr="00BD30F8">
        <w:rPr>
          <w:sz w:val="20"/>
          <w:szCs w:val="20"/>
          <w:lang w:val="es-ES_tradnl"/>
        </w:rPr>
        <w:t xml:space="preserve"> para evitar la dispersión de pruebas y la emisión de sentencias contradictorias frente a todos los acusados, la denuncia a la CIDH no es manifiestamente infundada, ni muestra evidente improcedencia. Por el contrario: la propia Comisión ya se pronunci</w:t>
      </w:r>
      <w:r w:rsidR="00D23AEE" w:rsidRPr="00BD30F8">
        <w:rPr>
          <w:sz w:val="20"/>
          <w:szCs w:val="20"/>
          <w:lang w:val="es-ES_tradnl"/>
        </w:rPr>
        <w:t>ó</w:t>
      </w:r>
      <w:r w:rsidR="00D906F8" w:rsidRPr="00BD30F8">
        <w:rPr>
          <w:sz w:val="20"/>
          <w:szCs w:val="20"/>
          <w:lang w:val="es-ES_tradnl"/>
        </w:rPr>
        <w:t xml:space="preserve"> sobre la posible incompatibilidad entre los juicios penales por conexión y los derechos y garantías protegidos por la Convención Americana</w:t>
      </w:r>
      <w:r w:rsidR="00D906F8" w:rsidRPr="00BD30F8">
        <w:rPr>
          <w:rStyle w:val="FootnoteReference"/>
          <w:bCs/>
          <w:color w:val="000000" w:themeColor="text1"/>
          <w:sz w:val="20"/>
          <w:szCs w:val="20"/>
          <w:lang w:val="es-ES_tradnl"/>
        </w:rPr>
        <w:footnoteReference w:id="8"/>
      </w:r>
      <w:r w:rsidR="00D906F8" w:rsidRPr="00BD30F8">
        <w:rPr>
          <w:sz w:val="20"/>
          <w:szCs w:val="20"/>
          <w:lang w:val="es-ES_tradnl"/>
        </w:rPr>
        <w:t>.</w:t>
      </w:r>
    </w:p>
    <w:p w14:paraId="347654A1" w14:textId="491A45D2" w:rsidR="00D906F8" w:rsidRPr="00BD30F8" w:rsidRDefault="00D906F8" w:rsidP="00A8471F">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color w:val="auto"/>
          <w:sz w:val="20"/>
          <w:szCs w:val="20"/>
          <w:lang w:val="es-ES_tradnl"/>
        </w:rPr>
      </w:pPr>
      <w:r w:rsidRPr="00BD30F8">
        <w:rPr>
          <w:rFonts w:asciiTheme="majorHAnsi" w:hAnsiTheme="majorHAnsi"/>
          <w:color w:val="auto"/>
          <w:sz w:val="20"/>
          <w:szCs w:val="20"/>
          <w:lang w:val="es-ES_tradnl"/>
        </w:rPr>
        <w:t>A la luz de estas consideraciones y tras examinar los elementos de hecho y derecho presentados por las partes, la Comisión considera que las alegaciones del peticionario no son manifiestamente infundadas y requieren un estudio de mérito, ya que los hechos alegados, de corroborarse como ciertos, podrían caracterizar violaciones de los derechos protegidos por los artículos 8 (garantías judiciales) y 25 (protección judicial), relacionados con el artículo 1.1 (obligación de respetar los derechos) de la Convención Americana, en perjuicio del Sr. José Dirceu de Oliveira e Silva, en los términos del presente informe.</w:t>
      </w:r>
    </w:p>
    <w:bookmarkEnd w:id="2"/>
    <w:p w14:paraId="2555C28F" w14:textId="781E934B" w:rsidR="00985FD4" w:rsidRPr="00BD30F8" w:rsidRDefault="00985FD4" w:rsidP="00FB4A08">
      <w:pPr>
        <w:pStyle w:val="ListParagraph"/>
        <w:keepNext/>
        <w:keepLines/>
        <w:spacing w:before="240" w:after="240"/>
        <w:ind w:left="0" w:firstLine="720"/>
        <w:jc w:val="both"/>
        <w:rPr>
          <w:rFonts w:asciiTheme="majorHAnsi" w:hAnsiTheme="majorHAnsi"/>
          <w:b/>
          <w:bCs/>
          <w:color w:val="000000" w:themeColor="text1"/>
          <w:sz w:val="20"/>
          <w:szCs w:val="20"/>
          <w:lang w:val="es-ES_tradnl"/>
        </w:rPr>
      </w:pPr>
      <w:r w:rsidRPr="00BD30F8">
        <w:rPr>
          <w:rFonts w:asciiTheme="majorHAnsi" w:hAnsiTheme="majorHAnsi"/>
          <w:b/>
          <w:bCs/>
          <w:color w:val="000000" w:themeColor="text1"/>
          <w:sz w:val="20"/>
          <w:szCs w:val="20"/>
          <w:lang w:val="es-ES_tradnl"/>
        </w:rPr>
        <w:t xml:space="preserve">VIII. </w:t>
      </w:r>
      <w:r w:rsidRPr="00BD30F8">
        <w:rPr>
          <w:rFonts w:asciiTheme="majorHAnsi" w:hAnsiTheme="majorHAnsi"/>
          <w:b/>
          <w:bCs/>
          <w:color w:val="000000" w:themeColor="text1"/>
          <w:sz w:val="20"/>
          <w:szCs w:val="20"/>
          <w:lang w:val="es-ES_tradnl"/>
        </w:rPr>
        <w:tab/>
      </w:r>
      <w:r w:rsidR="00871EA6" w:rsidRPr="00BD30F8">
        <w:rPr>
          <w:rFonts w:asciiTheme="majorHAnsi" w:hAnsiTheme="majorHAnsi"/>
          <w:b/>
          <w:bCs/>
          <w:color w:val="000000" w:themeColor="text1"/>
          <w:sz w:val="20"/>
          <w:szCs w:val="20"/>
          <w:lang w:val="es-ES_tradnl"/>
        </w:rPr>
        <w:t>DECISIÓN</w:t>
      </w:r>
    </w:p>
    <w:p w14:paraId="66159B7F" w14:textId="0BAEF290" w:rsidR="00985FD4" w:rsidRPr="00BD30F8" w:rsidRDefault="00871EA6" w:rsidP="00FB4A08">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es-ES_tradnl"/>
        </w:rPr>
      </w:pPr>
      <w:r w:rsidRPr="00BD30F8">
        <w:rPr>
          <w:rFonts w:asciiTheme="majorHAnsi" w:hAnsiTheme="majorHAnsi"/>
          <w:color w:val="000000" w:themeColor="text1"/>
          <w:sz w:val="20"/>
          <w:szCs w:val="20"/>
          <w:lang w:val="es-ES_tradnl"/>
        </w:rPr>
        <w:t>Declarar admisible la presente petición en lo que respecta a los artículos</w:t>
      </w:r>
      <w:r w:rsidR="00AE7A89" w:rsidRPr="00BD30F8">
        <w:rPr>
          <w:rFonts w:asciiTheme="majorHAnsi" w:hAnsiTheme="majorHAnsi"/>
          <w:color w:val="000000" w:themeColor="text1"/>
          <w:sz w:val="20"/>
          <w:szCs w:val="20"/>
          <w:lang w:val="es-ES_tradnl"/>
        </w:rPr>
        <w:t xml:space="preserve"> 8 </w:t>
      </w:r>
      <w:r w:rsidRPr="00BD30F8">
        <w:rPr>
          <w:rFonts w:asciiTheme="majorHAnsi" w:hAnsiTheme="majorHAnsi"/>
          <w:color w:val="000000" w:themeColor="text1"/>
          <w:sz w:val="20"/>
          <w:szCs w:val="20"/>
          <w:lang w:val="es-ES_tradnl"/>
        </w:rPr>
        <w:t>y</w:t>
      </w:r>
      <w:r w:rsidR="00AE7A89" w:rsidRPr="00BD30F8">
        <w:rPr>
          <w:rFonts w:asciiTheme="majorHAnsi" w:hAnsiTheme="majorHAnsi"/>
          <w:color w:val="000000" w:themeColor="text1"/>
          <w:sz w:val="20"/>
          <w:szCs w:val="20"/>
          <w:lang w:val="es-ES_tradnl"/>
        </w:rPr>
        <w:t xml:space="preserve"> 25 </w:t>
      </w:r>
      <w:r w:rsidRPr="00BD30F8">
        <w:rPr>
          <w:rFonts w:asciiTheme="majorHAnsi" w:hAnsiTheme="majorHAnsi"/>
          <w:color w:val="000000" w:themeColor="text1"/>
          <w:sz w:val="20"/>
          <w:szCs w:val="20"/>
          <w:lang w:val="es-ES_tradnl"/>
        </w:rPr>
        <w:t xml:space="preserve">de la Convención Americana, en relación con </w:t>
      </w:r>
      <w:r w:rsidR="002A326F" w:rsidRPr="00BD30F8">
        <w:rPr>
          <w:rFonts w:asciiTheme="majorHAnsi" w:hAnsiTheme="majorHAnsi"/>
          <w:color w:val="000000" w:themeColor="text1"/>
          <w:sz w:val="20"/>
          <w:szCs w:val="20"/>
          <w:lang w:val="es-ES_tradnl"/>
        </w:rPr>
        <w:t>sus</w:t>
      </w:r>
      <w:r w:rsidRPr="00BD30F8">
        <w:rPr>
          <w:rFonts w:asciiTheme="majorHAnsi" w:hAnsiTheme="majorHAnsi"/>
          <w:color w:val="000000" w:themeColor="text1"/>
          <w:sz w:val="20"/>
          <w:szCs w:val="20"/>
          <w:lang w:val="es-ES_tradnl"/>
        </w:rPr>
        <w:t xml:space="preserve"> artículos 1.1 y 2</w:t>
      </w:r>
      <w:r w:rsidR="005000B0" w:rsidRPr="00BD30F8">
        <w:rPr>
          <w:rFonts w:asciiTheme="majorHAnsi" w:hAnsiTheme="majorHAnsi"/>
          <w:color w:val="000000" w:themeColor="text1"/>
          <w:sz w:val="20"/>
          <w:szCs w:val="20"/>
          <w:lang w:val="es-ES_tradnl"/>
        </w:rPr>
        <w:t>;</w:t>
      </w:r>
    </w:p>
    <w:p w14:paraId="65FB5623" w14:textId="7E324EAC" w:rsidR="00985FD4" w:rsidRDefault="00871EA6" w:rsidP="00FB4A0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es-ES_tradnl"/>
        </w:rPr>
      </w:pPr>
      <w:r w:rsidRPr="00BD30F8">
        <w:rPr>
          <w:rFonts w:asciiTheme="majorHAnsi" w:hAnsiTheme="majorHAnsi"/>
          <w:color w:val="000000" w:themeColor="text1"/>
          <w:sz w:val="20"/>
          <w:szCs w:val="20"/>
          <w:lang w:val="es-ES_tradnl"/>
        </w:rPr>
        <w:t>Notificar a las partes de la presente decisión, proceder con el análisis del fondo del caso, publicar esta decisión e incluirla en su Informe Anual a la Asamblea General de la Organización de los Estados Americanos</w:t>
      </w:r>
      <w:r w:rsidR="00985FD4" w:rsidRPr="00BD30F8">
        <w:rPr>
          <w:rFonts w:asciiTheme="majorHAnsi" w:hAnsiTheme="majorHAnsi"/>
          <w:color w:val="000000" w:themeColor="text1"/>
          <w:sz w:val="20"/>
          <w:szCs w:val="20"/>
          <w:lang w:val="es-ES_tradnl"/>
        </w:rPr>
        <w:t xml:space="preserve">. </w:t>
      </w:r>
    </w:p>
    <w:p w14:paraId="6B10D534" w14:textId="77777777" w:rsidR="00B6732D" w:rsidRPr="00DA7CF7" w:rsidRDefault="00B6732D" w:rsidP="00B6732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 xml:space="preserve">Aprobado por la Comisión Interamericana de Derechos Humanos a los 29 días del mes de diciembre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miembros de la Comisión.</w:t>
      </w:r>
    </w:p>
    <w:p w14:paraId="035A9328" w14:textId="77777777" w:rsidR="00B6732D" w:rsidRPr="00B6732D" w:rsidRDefault="00B6732D" w:rsidP="00B673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000000" w:themeColor="text1"/>
          <w:sz w:val="20"/>
          <w:szCs w:val="20"/>
          <w:lang w:val="es-ES"/>
        </w:rPr>
      </w:pPr>
    </w:p>
    <w:sectPr w:rsidR="00B6732D" w:rsidRPr="00B6732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10D8" w14:textId="77777777" w:rsidR="00901EF2" w:rsidRDefault="00901EF2">
      <w:r>
        <w:separator/>
      </w:r>
    </w:p>
  </w:endnote>
  <w:endnote w:type="continuationSeparator" w:id="0">
    <w:p w14:paraId="7F96DF52" w14:textId="77777777" w:rsidR="00901EF2" w:rsidRDefault="0090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355D19" w:rsidRPr="00934A2C" w:rsidRDefault="00355D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4D15">
          <w:rPr>
            <w:noProof/>
            <w:sz w:val="16"/>
            <w:szCs w:val="22"/>
          </w:rPr>
          <w:t>5</w:t>
        </w:r>
        <w:r w:rsidRPr="00934A2C">
          <w:rPr>
            <w:noProof/>
            <w:sz w:val="16"/>
            <w:szCs w:val="22"/>
          </w:rPr>
          <w:fldChar w:fldCharType="end"/>
        </w:r>
      </w:p>
    </w:sdtContent>
  </w:sdt>
  <w:p w14:paraId="68530E6A" w14:textId="77777777" w:rsidR="00355D19" w:rsidRDefault="00355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355D19" w:rsidRPr="00934A2C" w:rsidRDefault="00355D19">
    <w:pPr>
      <w:pStyle w:val="Footer"/>
      <w:jc w:val="center"/>
      <w:rPr>
        <w:sz w:val="16"/>
        <w:szCs w:val="22"/>
      </w:rPr>
    </w:pPr>
  </w:p>
  <w:p w14:paraId="49059CE3" w14:textId="77777777" w:rsidR="00355D19" w:rsidRDefault="0035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9BB6" w14:textId="77777777" w:rsidR="00901EF2" w:rsidRPr="000F35ED" w:rsidRDefault="00901EF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CED2B6" w14:textId="77777777" w:rsidR="00901EF2" w:rsidRPr="000F35ED" w:rsidRDefault="00901EF2" w:rsidP="000F35ED">
      <w:pPr>
        <w:rPr>
          <w:rFonts w:asciiTheme="majorHAnsi" w:hAnsiTheme="majorHAnsi"/>
          <w:sz w:val="16"/>
          <w:szCs w:val="16"/>
        </w:rPr>
      </w:pPr>
      <w:r w:rsidRPr="000F35ED">
        <w:rPr>
          <w:rFonts w:asciiTheme="majorHAnsi" w:hAnsiTheme="majorHAnsi"/>
          <w:sz w:val="16"/>
          <w:szCs w:val="16"/>
        </w:rPr>
        <w:separator/>
      </w:r>
    </w:p>
    <w:p w14:paraId="19762F11" w14:textId="77777777" w:rsidR="00901EF2" w:rsidRPr="000F35ED" w:rsidRDefault="00901EF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2A18CAE" w14:textId="77777777" w:rsidR="00901EF2" w:rsidRPr="000F35ED" w:rsidRDefault="00901EF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F5481B" w14:textId="02E7C55A" w:rsidR="00355D19" w:rsidRPr="00625A38" w:rsidRDefault="0037476B" w:rsidP="00096182">
      <w:pPr>
        <w:pStyle w:val="FootnoteText"/>
        <w:tabs>
          <w:tab w:val="left" w:pos="0"/>
          <w:tab w:val="left" w:pos="567"/>
        </w:tabs>
        <w:ind w:firstLine="709"/>
        <w:jc w:val="both"/>
        <w:rPr>
          <w:rFonts w:asciiTheme="majorHAnsi" w:hAnsiTheme="majorHAnsi"/>
          <w:color w:val="000000" w:themeColor="text1"/>
          <w:sz w:val="16"/>
          <w:szCs w:val="16"/>
          <w:lang w:val="es-ES"/>
        </w:rPr>
      </w:pPr>
      <w:r>
        <w:rPr>
          <w:rFonts w:asciiTheme="majorHAnsi" w:hAnsiTheme="majorHAnsi"/>
          <w:color w:val="000000" w:themeColor="text1"/>
          <w:sz w:val="16"/>
          <w:szCs w:val="16"/>
          <w:lang w:val="es-ES"/>
        </w:rPr>
        <w:t xml:space="preserve"> </w:t>
      </w:r>
      <w:r w:rsidR="00355D19" w:rsidRPr="00625A38">
        <w:rPr>
          <w:rStyle w:val="FootnoteReference"/>
          <w:rFonts w:asciiTheme="majorHAnsi" w:hAnsiTheme="majorHAnsi"/>
          <w:color w:val="000000" w:themeColor="text1"/>
          <w:sz w:val="16"/>
          <w:szCs w:val="16"/>
          <w:lang w:val="es-ES"/>
        </w:rPr>
        <w:footnoteRef/>
      </w:r>
      <w:r w:rsidR="00F5504D">
        <w:rPr>
          <w:rFonts w:asciiTheme="majorHAnsi" w:hAnsiTheme="majorHAnsi"/>
          <w:color w:val="000000" w:themeColor="text1"/>
          <w:sz w:val="16"/>
          <w:szCs w:val="16"/>
          <w:lang w:val="es-ES"/>
        </w:rPr>
        <w:t xml:space="preserve"> En adelante:</w:t>
      </w:r>
      <w:r w:rsidR="00355D19" w:rsidRPr="00625A38">
        <w:rPr>
          <w:rFonts w:asciiTheme="majorHAnsi" w:hAnsiTheme="majorHAnsi"/>
          <w:color w:val="000000" w:themeColor="text1"/>
          <w:sz w:val="16"/>
          <w:szCs w:val="16"/>
          <w:lang w:val="es-ES"/>
        </w:rPr>
        <w:t xml:space="preserve"> “</w:t>
      </w:r>
      <w:r w:rsidR="007C4371">
        <w:rPr>
          <w:rFonts w:asciiTheme="majorHAnsi" w:hAnsiTheme="majorHAnsi"/>
          <w:color w:val="000000" w:themeColor="text1"/>
          <w:sz w:val="16"/>
          <w:szCs w:val="16"/>
          <w:lang w:val="es-ES"/>
        </w:rPr>
        <w:t xml:space="preserve">la </w:t>
      </w:r>
      <w:r w:rsidR="00355D19" w:rsidRPr="00625A38">
        <w:rPr>
          <w:rFonts w:asciiTheme="majorHAnsi" w:hAnsiTheme="majorHAnsi"/>
          <w:color w:val="000000" w:themeColor="text1"/>
          <w:sz w:val="16"/>
          <w:szCs w:val="16"/>
          <w:lang w:val="es-ES"/>
        </w:rPr>
        <w:t>Convención Americana”</w:t>
      </w:r>
      <w:r w:rsidR="007C4371">
        <w:rPr>
          <w:rFonts w:asciiTheme="majorHAnsi" w:hAnsiTheme="majorHAnsi"/>
          <w:color w:val="000000" w:themeColor="text1"/>
          <w:sz w:val="16"/>
          <w:szCs w:val="16"/>
          <w:lang w:val="es-ES"/>
        </w:rPr>
        <w:t xml:space="preserve"> o “la Convención”</w:t>
      </w:r>
      <w:r w:rsidR="00355D19" w:rsidRPr="00625A38">
        <w:rPr>
          <w:rFonts w:asciiTheme="majorHAnsi" w:hAnsiTheme="majorHAnsi"/>
          <w:color w:val="000000" w:themeColor="text1"/>
          <w:sz w:val="16"/>
          <w:szCs w:val="16"/>
          <w:lang w:val="es-ES"/>
        </w:rPr>
        <w:t>.</w:t>
      </w:r>
    </w:p>
  </w:footnote>
  <w:footnote w:id="3">
    <w:p w14:paraId="79F07139" w14:textId="755BC945" w:rsidR="00355D19" w:rsidRPr="00625A38" w:rsidRDefault="00355D19" w:rsidP="0069253F">
      <w:pPr>
        <w:pStyle w:val="FootnoteText"/>
        <w:tabs>
          <w:tab w:val="left" w:pos="0"/>
          <w:tab w:val="left" w:pos="567"/>
        </w:tabs>
        <w:ind w:firstLine="720"/>
        <w:jc w:val="both"/>
        <w:rPr>
          <w:rFonts w:asciiTheme="majorHAnsi" w:hAnsiTheme="majorHAnsi"/>
          <w:color w:val="000000" w:themeColor="text1"/>
          <w:sz w:val="16"/>
          <w:szCs w:val="16"/>
          <w:lang w:val="es-ES"/>
        </w:rPr>
      </w:pPr>
      <w:r w:rsidRPr="00625A38">
        <w:rPr>
          <w:rStyle w:val="FootnoteReference"/>
          <w:rFonts w:asciiTheme="majorHAnsi" w:hAnsiTheme="majorHAnsi"/>
          <w:color w:val="000000" w:themeColor="text1"/>
          <w:sz w:val="16"/>
          <w:szCs w:val="16"/>
          <w:lang w:val="es-ES"/>
        </w:rPr>
        <w:footnoteRef/>
      </w:r>
      <w:r w:rsidRPr="00625A38">
        <w:rPr>
          <w:rFonts w:asciiTheme="majorHAnsi" w:hAnsiTheme="majorHAnsi"/>
          <w:color w:val="000000" w:themeColor="text1"/>
          <w:sz w:val="16"/>
          <w:szCs w:val="16"/>
          <w:lang w:val="es-ES"/>
        </w:rPr>
        <w:t xml:space="preserve"> Las observaciones de cada parte fueron transmitidas debidamente a la parte contraria.</w:t>
      </w:r>
    </w:p>
  </w:footnote>
  <w:footnote w:id="4">
    <w:p w14:paraId="4F935EE1" w14:textId="77777777" w:rsidR="000F4DBA" w:rsidRPr="00FC14F6" w:rsidRDefault="000F4DBA" w:rsidP="000F4DBA">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Pr="0006191E">
        <w:rPr>
          <w:rFonts w:asciiTheme="majorHAnsi" w:hAnsiTheme="majorHAnsi"/>
          <w:sz w:val="16"/>
          <w:szCs w:val="16"/>
          <w:lang w:val="es-ES"/>
        </w:rPr>
        <w:t>Art</w:t>
      </w:r>
      <w:r>
        <w:rPr>
          <w:rFonts w:asciiTheme="majorHAnsi" w:hAnsiTheme="majorHAnsi"/>
          <w:sz w:val="16"/>
          <w:szCs w:val="16"/>
          <w:lang w:val="es-ES"/>
        </w:rPr>
        <w:t>ículo</w:t>
      </w:r>
      <w:r w:rsidRPr="0006191E">
        <w:rPr>
          <w:rFonts w:asciiTheme="majorHAnsi" w:hAnsiTheme="majorHAnsi"/>
          <w:sz w:val="16"/>
          <w:szCs w:val="16"/>
          <w:lang w:val="es-ES"/>
        </w:rPr>
        <w:t xml:space="preserve"> 102. Corresponde al Supremo Tribunal Federal, en primer lugar, salvaguardar la Constitución, siendo responsable de:</w:t>
      </w:r>
      <w:r>
        <w:rPr>
          <w:rFonts w:asciiTheme="majorHAnsi" w:hAnsiTheme="majorHAnsi"/>
          <w:sz w:val="16"/>
          <w:szCs w:val="16"/>
          <w:lang w:val="es-ES"/>
        </w:rPr>
        <w:t xml:space="preserve"> I - </w:t>
      </w:r>
      <w:r w:rsidRPr="0006191E">
        <w:rPr>
          <w:rFonts w:asciiTheme="majorHAnsi" w:hAnsiTheme="majorHAnsi"/>
          <w:sz w:val="16"/>
          <w:szCs w:val="16"/>
          <w:lang w:val="es-ES"/>
        </w:rPr>
        <w:t>demandar y juzgar, originalmente:</w:t>
      </w:r>
      <w:r>
        <w:rPr>
          <w:rFonts w:asciiTheme="majorHAnsi" w:hAnsiTheme="majorHAnsi"/>
          <w:sz w:val="16"/>
          <w:szCs w:val="16"/>
          <w:lang w:val="es-ES"/>
        </w:rPr>
        <w:t xml:space="preserve"> (…) </w:t>
      </w:r>
      <w:r w:rsidRPr="0006191E">
        <w:rPr>
          <w:rFonts w:asciiTheme="majorHAnsi" w:hAnsiTheme="majorHAnsi"/>
          <w:sz w:val="16"/>
          <w:szCs w:val="16"/>
          <w:lang w:val="es-ES"/>
        </w:rPr>
        <w:t>b) en los delitos comunes, el Presidente de la República, el Vicepresidente, los miembros del Congreso Nacional, sus propios Ministros y el Procurador General de la República;</w:t>
      </w:r>
      <w:r>
        <w:rPr>
          <w:rFonts w:asciiTheme="majorHAnsi" w:hAnsiTheme="majorHAnsi"/>
          <w:sz w:val="16"/>
          <w:szCs w:val="16"/>
          <w:lang w:val="es-ES"/>
        </w:rPr>
        <w:t>”.</w:t>
      </w:r>
    </w:p>
  </w:footnote>
  <w:footnote w:id="5">
    <w:p w14:paraId="1BB8A3EB" w14:textId="13C9132D" w:rsidR="00152206" w:rsidRPr="004C569F" w:rsidRDefault="00152206" w:rsidP="00152206">
      <w:pPr>
        <w:pStyle w:val="FootnoteText"/>
        <w:tabs>
          <w:tab w:val="left" w:pos="0"/>
          <w:tab w:val="left" w:pos="567"/>
        </w:tabs>
        <w:ind w:firstLine="709"/>
        <w:jc w:val="both"/>
        <w:rPr>
          <w:rFonts w:asciiTheme="majorHAnsi" w:hAnsiTheme="majorHAnsi"/>
          <w:color w:val="000000" w:themeColor="text1"/>
          <w:sz w:val="16"/>
          <w:szCs w:val="16"/>
          <w:lang w:val="es-ES"/>
        </w:rPr>
      </w:pPr>
      <w:r w:rsidRPr="004C569F">
        <w:rPr>
          <w:rFonts w:asciiTheme="majorHAnsi" w:hAnsiTheme="majorHAnsi"/>
          <w:color w:val="000000" w:themeColor="text1"/>
          <w:sz w:val="16"/>
          <w:szCs w:val="16"/>
          <w:lang w:val="es-ES"/>
        </w:rPr>
        <w:t xml:space="preserve"> </w:t>
      </w:r>
      <w:r w:rsidRPr="00625A38">
        <w:rPr>
          <w:rStyle w:val="FootnoteReference"/>
          <w:rFonts w:asciiTheme="majorHAnsi" w:hAnsiTheme="majorHAnsi"/>
          <w:color w:val="000000" w:themeColor="text1"/>
          <w:sz w:val="16"/>
          <w:szCs w:val="16"/>
          <w:lang w:val="es-ES"/>
        </w:rPr>
        <w:footnoteRef/>
      </w:r>
      <w:r w:rsidRPr="004C569F">
        <w:rPr>
          <w:rFonts w:asciiTheme="majorHAnsi" w:hAnsiTheme="majorHAnsi"/>
          <w:color w:val="000000" w:themeColor="text1"/>
          <w:sz w:val="16"/>
          <w:szCs w:val="16"/>
          <w:lang w:val="es-ES"/>
        </w:rPr>
        <w:t xml:space="preserve"> CIDH,</w:t>
      </w:r>
      <w:r w:rsidRPr="004C569F">
        <w:rPr>
          <w:rFonts w:ascii="Times New Roman" w:eastAsia="Arial Unicode MS" w:hAnsi="Times New Roman" w:cs="Times New Roman"/>
          <w:color w:val="auto"/>
          <w:sz w:val="24"/>
          <w:szCs w:val="24"/>
          <w:lang w:val="es-ES" w:eastAsia="en-US"/>
        </w:rPr>
        <w:t xml:space="preserve"> </w:t>
      </w:r>
      <w:r w:rsidRPr="004C569F">
        <w:rPr>
          <w:rFonts w:asciiTheme="majorHAnsi" w:hAnsiTheme="majorHAnsi"/>
          <w:color w:val="000000" w:themeColor="text1"/>
          <w:sz w:val="16"/>
          <w:szCs w:val="16"/>
          <w:lang w:val="es-ES"/>
        </w:rPr>
        <w:t>Informe No. 97/23. Petición 522-14. Admis</w:t>
      </w:r>
      <w:r w:rsidR="0078149A" w:rsidRPr="004C569F">
        <w:rPr>
          <w:rFonts w:asciiTheme="majorHAnsi" w:hAnsiTheme="majorHAnsi"/>
          <w:color w:val="000000" w:themeColor="text1"/>
          <w:sz w:val="16"/>
          <w:szCs w:val="16"/>
          <w:lang w:val="es-ES"/>
        </w:rPr>
        <w:t>i</w:t>
      </w:r>
      <w:r w:rsidRPr="004C569F">
        <w:rPr>
          <w:rFonts w:asciiTheme="majorHAnsi" w:hAnsiTheme="majorHAnsi"/>
          <w:color w:val="000000" w:themeColor="text1"/>
          <w:sz w:val="16"/>
          <w:szCs w:val="16"/>
          <w:lang w:val="es-ES"/>
        </w:rPr>
        <w:t>bilidad. José Roberto Salgado, Kátia Rabello y Vinícius Samarane. Brasil. 26 de junio de 2023, párrafo 24.</w:t>
      </w:r>
    </w:p>
  </w:footnote>
  <w:footnote w:id="6">
    <w:p w14:paraId="1EEE4732" w14:textId="36E05CC7" w:rsidR="00EF29E9" w:rsidRPr="0078149A" w:rsidRDefault="00EF29E9" w:rsidP="00EF29E9">
      <w:pPr>
        <w:pStyle w:val="FootnoteText"/>
        <w:tabs>
          <w:tab w:val="left" w:pos="0"/>
          <w:tab w:val="left" w:pos="567"/>
        </w:tabs>
        <w:ind w:firstLine="709"/>
        <w:jc w:val="both"/>
        <w:rPr>
          <w:rFonts w:asciiTheme="majorHAnsi" w:hAnsiTheme="majorHAnsi"/>
          <w:color w:val="000000" w:themeColor="text1"/>
          <w:sz w:val="16"/>
          <w:szCs w:val="16"/>
          <w:lang w:val="es-ES"/>
        </w:rPr>
      </w:pPr>
      <w:r w:rsidRPr="00EF29E9">
        <w:rPr>
          <w:rFonts w:asciiTheme="majorHAnsi" w:hAnsiTheme="majorHAnsi"/>
          <w:color w:val="000000" w:themeColor="text1"/>
          <w:sz w:val="16"/>
          <w:szCs w:val="16"/>
          <w:lang w:val="es-ES"/>
        </w:rPr>
        <w:t xml:space="preserve"> </w:t>
      </w:r>
      <w:r w:rsidRPr="00625A38">
        <w:rPr>
          <w:rStyle w:val="FootnoteReference"/>
          <w:rFonts w:asciiTheme="majorHAnsi" w:hAnsiTheme="majorHAnsi"/>
          <w:color w:val="000000" w:themeColor="text1"/>
          <w:sz w:val="16"/>
          <w:szCs w:val="16"/>
          <w:lang w:val="es-ES"/>
        </w:rPr>
        <w:footnoteRef/>
      </w:r>
      <w:r w:rsidRPr="00EF29E9">
        <w:rPr>
          <w:rFonts w:asciiTheme="majorHAnsi" w:hAnsiTheme="majorHAnsi"/>
          <w:color w:val="000000" w:themeColor="text1"/>
          <w:sz w:val="16"/>
          <w:szCs w:val="16"/>
          <w:lang w:val="es-ES"/>
        </w:rPr>
        <w:t xml:space="preserve"> CIDH,</w:t>
      </w:r>
      <w:r w:rsidRPr="00EF29E9">
        <w:rPr>
          <w:rFonts w:ascii="Times New Roman" w:eastAsia="Arial Unicode MS" w:hAnsi="Times New Roman" w:cs="Times New Roman"/>
          <w:color w:val="auto"/>
          <w:sz w:val="24"/>
          <w:szCs w:val="24"/>
          <w:lang w:val="es-ES" w:eastAsia="en-US"/>
        </w:rPr>
        <w:t xml:space="preserve"> </w:t>
      </w:r>
      <w:r w:rsidRPr="00EF29E9">
        <w:rPr>
          <w:rFonts w:asciiTheme="majorHAnsi" w:hAnsiTheme="majorHAnsi"/>
          <w:color w:val="000000" w:themeColor="text1"/>
          <w:sz w:val="16"/>
          <w:szCs w:val="16"/>
          <w:lang w:val="es-ES"/>
        </w:rPr>
        <w:t>Informe No. 97/23. Petición 522-14. Admis</w:t>
      </w:r>
      <w:r w:rsidR="0078149A">
        <w:rPr>
          <w:rFonts w:asciiTheme="majorHAnsi" w:hAnsiTheme="majorHAnsi"/>
          <w:color w:val="000000" w:themeColor="text1"/>
          <w:sz w:val="16"/>
          <w:szCs w:val="16"/>
          <w:lang w:val="es-ES"/>
        </w:rPr>
        <w:t>i</w:t>
      </w:r>
      <w:r w:rsidRPr="00EF29E9">
        <w:rPr>
          <w:rFonts w:asciiTheme="majorHAnsi" w:hAnsiTheme="majorHAnsi"/>
          <w:color w:val="000000" w:themeColor="text1"/>
          <w:sz w:val="16"/>
          <w:szCs w:val="16"/>
          <w:lang w:val="es-ES"/>
        </w:rPr>
        <w:t xml:space="preserve">bilidad. José Roberto Salgado, Kátia Rabello y Vinícius Samarane. </w:t>
      </w:r>
      <w:r w:rsidRPr="004C569F">
        <w:rPr>
          <w:rFonts w:asciiTheme="majorHAnsi" w:hAnsiTheme="majorHAnsi"/>
          <w:color w:val="000000" w:themeColor="text1"/>
          <w:sz w:val="16"/>
          <w:szCs w:val="16"/>
          <w:lang w:val="pt-BR"/>
        </w:rPr>
        <w:t xml:space="preserve">Brasil. </w:t>
      </w:r>
      <w:r w:rsidRPr="00EF29E9">
        <w:rPr>
          <w:rFonts w:asciiTheme="majorHAnsi" w:hAnsiTheme="majorHAnsi"/>
          <w:color w:val="000000" w:themeColor="text1"/>
          <w:sz w:val="16"/>
          <w:szCs w:val="16"/>
          <w:lang w:val="pt-BR"/>
        </w:rPr>
        <w:t xml:space="preserve">26 de junio de 2023, párrafo 25; </w:t>
      </w:r>
      <w:r w:rsidRPr="0078149A">
        <w:rPr>
          <w:rFonts w:asciiTheme="majorHAnsi" w:hAnsiTheme="majorHAnsi"/>
          <w:color w:val="000000" w:themeColor="text1"/>
          <w:sz w:val="16"/>
          <w:szCs w:val="16"/>
          <w:lang w:val="pt-BR"/>
        </w:rPr>
        <w:t xml:space="preserve">CIDH, </w:t>
      </w:r>
      <w:r w:rsidR="0078149A" w:rsidRPr="0078149A">
        <w:rPr>
          <w:rFonts w:asciiTheme="majorHAnsi" w:hAnsiTheme="majorHAnsi"/>
          <w:color w:val="000000" w:themeColor="text1"/>
          <w:sz w:val="16"/>
          <w:szCs w:val="16"/>
          <w:lang w:val="pt-BR"/>
        </w:rPr>
        <w:t>Informe</w:t>
      </w:r>
      <w:r w:rsidRPr="0078149A">
        <w:rPr>
          <w:rFonts w:asciiTheme="majorHAnsi" w:hAnsiTheme="majorHAnsi"/>
          <w:color w:val="000000" w:themeColor="text1"/>
          <w:sz w:val="16"/>
          <w:szCs w:val="16"/>
          <w:lang w:val="pt-BR"/>
        </w:rPr>
        <w:t xml:space="preserve"> No. 45/23. Petição 1237-11. Admisibilidad. </w:t>
      </w:r>
      <w:r w:rsidRPr="004C569F">
        <w:rPr>
          <w:rFonts w:asciiTheme="majorHAnsi" w:hAnsiTheme="majorHAnsi"/>
          <w:color w:val="000000" w:themeColor="text1"/>
          <w:sz w:val="16"/>
          <w:szCs w:val="16"/>
          <w:lang w:val="es-ES"/>
        </w:rPr>
        <w:t>Luis Humberto Gómez Gallo. Col</w:t>
      </w:r>
      <w:r w:rsidR="0078149A" w:rsidRPr="004C569F">
        <w:rPr>
          <w:rFonts w:asciiTheme="majorHAnsi" w:hAnsiTheme="majorHAnsi"/>
          <w:color w:val="000000" w:themeColor="text1"/>
          <w:sz w:val="16"/>
          <w:szCs w:val="16"/>
          <w:lang w:val="es-ES"/>
        </w:rPr>
        <w:t>o</w:t>
      </w:r>
      <w:r w:rsidRPr="004C569F">
        <w:rPr>
          <w:rFonts w:asciiTheme="majorHAnsi" w:hAnsiTheme="majorHAnsi"/>
          <w:color w:val="000000" w:themeColor="text1"/>
          <w:sz w:val="16"/>
          <w:szCs w:val="16"/>
          <w:lang w:val="es-ES"/>
        </w:rPr>
        <w:t>mbia. 16 de mar</w:t>
      </w:r>
      <w:r w:rsidR="0078149A" w:rsidRPr="004C569F">
        <w:rPr>
          <w:rFonts w:asciiTheme="majorHAnsi" w:hAnsiTheme="majorHAnsi"/>
          <w:color w:val="000000" w:themeColor="text1"/>
          <w:sz w:val="16"/>
          <w:szCs w:val="16"/>
          <w:lang w:val="es-ES"/>
        </w:rPr>
        <w:t>z</w:t>
      </w:r>
      <w:r w:rsidRPr="004C569F">
        <w:rPr>
          <w:rFonts w:asciiTheme="majorHAnsi" w:hAnsiTheme="majorHAnsi"/>
          <w:color w:val="000000" w:themeColor="text1"/>
          <w:sz w:val="16"/>
          <w:szCs w:val="16"/>
          <w:lang w:val="es-ES"/>
        </w:rPr>
        <w:t xml:space="preserve">o de 2023, </w:t>
      </w:r>
      <w:r w:rsidR="0078149A" w:rsidRPr="004C569F">
        <w:rPr>
          <w:rFonts w:asciiTheme="majorHAnsi" w:hAnsiTheme="majorHAnsi"/>
          <w:color w:val="000000" w:themeColor="text1"/>
          <w:sz w:val="16"/>
          <w:szCs w:val="16"/>
          <w:lang w:val="es-ES"/>
        </w:rPr>
        <w:t xml:space="preserve">párrafo </w:t>
      </w:r>
      <w:r w:rsidRPr="004C569F">
        <w:rPr>
          <w:rFonts w:asciiTheme="majorHAnsi" w:hAnsiTheme="majorHAnsi"/>
          <w:color w:val="000000" w:themeColor="text1"/>
          <w:sz w:val="16"/>
          <w:szCs w:val="16"/>
          <w:lang w:val="es-ES"/>
        </w:rPr>
        <w:t xml:space="preserve">21; CIDH, </w:t>
      </w:r>
      <w:r w:rsidR="0078149A" w:rsidRPr="004C569F">
        <w:rPr>
          <w:rFonts w:asciiTheme="majorHAnsi" w:hAnsiTheme="majorHAnsi"/>
          <w:color w:val="000000" w:themeColor="text1"/>
          <w:sz w:val="16"/>
          <w:szCs w:val="16"/>
          <w:lang w:val="es-ES"/>
        </w:rPr>
        <w:t>Informe</w:t>
      </w:r>
      <w:r w:rsidRPr="004C569F">
        <w:rPr>
          <w:rFonts w:asciiTheme="majorHAnsi" w:hAnsiTheme="majorHAnsi"/>
          <w:color w:val="000000" w:themeColor="text1"/>
          <w:sz w:val="16"/>
          <w:szCs w:val="16"/>
          <w:lang w:val="es-ES"/>
        </w:rPr>
        <w:t xml:space="preserve"> No. 9/23. Petição 367-13. </w:t>
      </w:r>
      <w:r w:rsidRPr="0078149A">
        <w:rPr>
          <w:rFonts w:asciiTheme="majorHAnsi" w:hAnsiTheme="majorHAnsi"/>
          <w:color w:val="000000" w:themeColor="text1"/>
          <w:sz w:val="16"/>
          <w:szCs w:val="16"/>
          <w:lang w:val="es-ES"/>
        </w:rPr>
        <w:t xml:space="preserve">Admisibilidad. José Gerardo Piamba Castro </w:t>
      </w:r>
      <w:r w:rsidR="0078149A" w:rsidRPr="0078149A">
        <w:rPr>
          <w:rFonts w:asciiTheme="majorHAnsi" w:hAnsiTheme="majorHAnsi"/>
          <w:color w:val="000000" w:themeColor="text1"/>
          <w:sz w:val="16"/>
          <w:szCs w:val="16"/>
          <w:lang w:val="es-ES"/>
        </w:rPr>
        <w:t>y familia</w:t>
      </w:r>
      <w:r w:rsidRPr="0078149A">
        <w:rPr>
          <w:rFonts w:asciiTheme="majorHAnsi" w:hAnsiTheme="majorHAnsi"/>
          <w:color w:val="000000" w:themeColor="text1"/>
          <w:sz w:val="16"/>
          <w:szCs w:val="16"/>
          <w:lang w:val="es-ES"/>
        </w:rPr>
        <w:t>. Col</w:t>
      </w:r>
      <w:r w:rsidR="0078149A" w:rsidRPr="0078149A">
        <w:rPr>
          <w:rFonts w:asciiTheme="majorHAnsi" w:hAnsiTheme="majorHAnsi"/>
          <w:color w:val="000000" w:themeColor="text1"/>
          <w:sz w:val="16"/>
          <w:szCs w:val="16"/>
          <w:lang w:val="es-ES"/>
        </w:rPr>
        <w:t>o</w:t>
      </w:r>
      <w:r w:rsidRPr="0078149A">
        <w:rPr>
          <w:rFonts w:asciiTheme="majorHAnsi" w:hAnsiTheme="majorHAnsi"/>
          <w:color w:val="000000" w:themeColor="text1"/>
          <w:sz w:val="16"/>
          <w:szCs w:val="16"/>
          <w:lang w:val="es-ES"/>
        </w:rPr>
        <w:t>mbia. 24 de fe</w:t>
      </w:r>
      <w:r w:rsidR="0078149A" w:rsidRPr="0078149A">
        <w:rPr>
          <w:rFonts w:asciiTheme="majorHAnsi" w:hAnsiTheme="majorHAnsi"/>
          <w:color w:val="000000" w:themeColor="text1"/>
          <w:sz w:val="16"/>
          <w:szCs w:val="16"/>
          <w:lang w:val="es-ES"/>
        </w:rPr>
        <w:t>brero</w:t>
      </w:r>
      <w:r w:rsidRPr="0078149A">
        <w:rPr>
          <w:rFonts w:asciiTheme="majorHAnsi" w:hAnsiTheme="majorHAnsi"/>
          <w:color w:val="000000" w:themeColor="text1"/>
          <w:sz w:val="16"/>
          <w:szCs w:val="16"/>
          <w:lang w:val="es-ES"/>
        </w:rPr>
        <w:t xml:space="preserve"> de 2023, </w:t>
      </w:r>
      <w:r w:rsidR="0078149A" w:rsidRPr="004C569F">
        <w:rPr>
          <w:rFonts w:asciiTheme="majorHAnsi" w:hAnsiTheme="majorHAnsi"/>
          <w:color w:val="000000" w:themeColor="text1"/>
          <w:sz w:val="16"/>
          <w:szCs w:val="16"/>
          <w:lang w:val="es-ES"/>
        </w:rPr>
        <w:t xml:space="preserve">párrafo </w:t>
      </w:r>
      <w:r w:rsidRPr="0078149A">
        <w:rPr>
          <w:rFonts w:asciiTheme="majorHAnsi" w:hAnsiTheme="majorHAnsi"/>
          <w:color w:val="000000" w:themeColor="text1"/>
          <w:sz w:val="16"/>
          <w:szCs w:val="16"/>
          <w:lang w:val="es-ES"/>
        </w:rPr>
        <w:t>18.</w:t>
      </w:r>
    </w:p>
  </w:footnote>
  <w:footnote w:id="7">
    <w:p w14:paraId="0437E462" w14:textId="0FF55A97" w:rsidR="005F7613" w:rsidRPr="002C31AD" w:rsidRDefault="005F7613" w:rsidP="002C31AD">
      <w:pPr>
        <w:pStyle w:val="FootnoteText"/>
        <w:tabs>
          <w:tab w:val="left" w:pos="0"/>
          <w:tab w:val="left" w:pos="567"/>
        </w:tabs>
        <w:ind w:firstLine="709"/>
        <w:jc w:val="both"/>
        <w:rPr>
          <w:rFonts w:asciiTheme="majorHAnsi" w:hAnsiTheme="majorHAnsi"/>
          <w:color w:val="000000" w:themeColor="text1"/>
          <w:sz w:val="16"/>
          <w:szCs w:val="16"/>
          <w:lang w:val="es-ES"/>
        </w:rPr>
      </w:pPr>
      <w:r w:rsidRPr="0078149A">
        <w:rPr>
          <w:rFonts w:asciiTheme="majorHAnsi" w:hAnsiTheme="majorHAnsi"/>
          <w:color w:val="000000" w:themeColor="text1"/>
          <w:sz w:val="16"/>
          <w:szCs w:val="16"/>
          <w:lang w:val="es-ES"/>
        </w:rPr>
        <w:t xml:space="preserve"> </w:t>
      </w:r>
      <w:r w:rsidRPr="00625A38">
        <w:rPr>
          <w:rStyle w:val="FootnoteReference"/>
          <w:rFonts w:asciiTheme="majorHAnsi" w:hAnsiTheme="majorHAnsi"/>
          <w:color w:val="000000" w:themeColor="text1"/>
          <w:sz w:val="16"/>
          <w:szCs w:val="16"/>
          <w:lang w:val="es-ES"/>
        </w:rPr>
        <w:footnoteRef/>
      </w:r>
      <w:r w:rsidRPr="005F7613">
        <w:rPr>
          <w:rFonts w:asciiTheme="majorHAnsi" w:hAnsiTheme="majorHAnsi"/>
          <w:color w:val="000000" w:themeColor="text1"/>
          <w:sz w:val="16"/>
          <w:szCs w:val="16"/>
          <w:lang w:val="es-ES"/>
        </w:rPr>
        <w:t xml:space="preserve"> CIDH,</w:t>
      </w:r>
      <w:r w:rsidRPr="005F7613">
        <w:rPr>
          <w:rFonts w:ascii="Times New Roman" w:eastAsia="Arial Unicode MS" w:hAnsi="Times New Roman" w:cs="Times New Roman"/>
          <w:color w:val="auto"/>
          <w:sz w:val="24"/>
          <w:szCs w:val="24"/>
          <w:lang w:val="es-ES" w:eastAsia="en-US"/>
        </w:rPr>
        <w:t xml:space="preserve"> </w:t>
      </w:r>
      <w:r w:rsidRPr="005F7613">
        <w:rPr>
          <w:rFonts w:asciiTheme="majorHAnsi" w:hAnsiTheme="majorHAnsi"/>
          <w:color w:val="000000" w:themeColor="text1"/>
          <w:sz w:val="16"/>
          <w:szCs w:val="16"/>
          <w:lang w:val="es-ES"/>
        </w:rPr>
        <w:t xml:space="preserve">Informe No. 97/23. </w:t>
      </w:r>
      <w:r w:rsidRPr="004C569F">
        <w:rPr>
          <w:rFonts w:asciiTheme="majorHAnsi" w:hAnsiTheme="majorHAnsi"/>
          <w:color w:val="000000" w:themeColor="text1"/>
          <w:sz w:val="16"/>
          <w:szCs w:val="16"/>
          <w:lang w:val="es-ES"/>
        </w:rPr>
        <w:t>Petición 522-14. Admissbilidad. José Roberto Salgado, Kátia Rabello y Vinícius Samarne. Brasil. 26 de junio de 2023, párrafo 2</w:t>
      </w:r>
      <w:r w:rsidR="002C31AD" w:rsidRPr="004C569F">
        <w:rPr>
          <w:rFonts w:asciiTheme="majorHAnsi" w:hAnsiTheme="majorHAnsi"/>
          <w:color w:val="000000" w:themeColor="text1"/>
          <w:sz w:val="16"/>
          <w:szCs w:val="16"/>
          <w:lang w:val="es-ES"/>
        </w:rPr>
        <w:t xml:space="preserve">6; CIDH, Informe No. 45/23. Petição 1237-11. Admisibilidad. Luis Humberto Gómez Gallo. Colombia. 16 de marzo de 2023, párrafo 22; CIDH, Informe No. 9/23. </w:t>
      </w:r>
      <w:r w:rsidR="002C31AD" w:rsidRPr="002C31AD">
        <w:rPr>
          <w:rFonts w:asciiTheme="majorHAnsi" w:hAnsiTheme="majorHAnsi"/>
          <w:color w:val="000000" w:themeColor="text1"/>
          <w:sz w:val="16"/>
          <w:szCs w:val="16"/>
          <w:lang w:val="es-ES"/>
        </w:rPr>
        <w:t xml:space="preserve">Petição 367-13. </w:t>
      </w:r>
      <w:r w:rsidR="002C31AD" w:rsidRPr="0078149A">
        <w:rPr>
          <w:rFonts w:asciiTheme="majorHAnsi" w:hAnsiTheme="majorHAnsi"/>
          <w:color w:val="000000" w:themeColor="text1"/>
          <w:sz w:val="16"/>
          <w:szCs w:val="16"/>
          <w:lang w:val="es-ES"/>
        </w:rPr>
        <w:t xml:space="preserve">Admisibilidad. José Gerardo Piamba Castro y familia. Colombia. 24 de febrero de 2023, </w:t>
      </w:r>
      <w:r w:rsidR="002C31AD" w:rsidRPr="002C31AD">
        <w:rPr>
          <w:rFonts w:asciiTheme="majorHAnsi" w:hAnsiTheme="majorHAnsi"/>
          <w:color w:val="000000" w:themeColor="text1"/>
          <w:sz w:val="16"/>
          <w:szCs w:val="16"/>
          <w:lang w:val="es-ES"/>
        </w:rPr>
        <w:t xml:space="preserve">párrafo </w:t>
      </w:r>
      <w:r w:rsidR="002C31AD">
        <w:rPr>
          <w:rFonts w:asciiTheme="majorHAnsi" w:hAnsiTheme="majorHAnsi"/>
          <w:color w:val="000000" w:themeColor="text1"/>
          <w:sz w:val="16"/>
          <w:szCs w:val="16"/>
          <w:lang w:val="es-ES"/>
        </w:rPr>
        <w:t>20</w:t>
      </w:r>
      <w:r w:rsidR="002C31AD" w:rsidRPr="0078149A">
        <w:rPr>
          <w:rFonts w:asciiTheme="majorHAnsi" w:hAnsiTheme="majorHAnsi"/>
          <w:color w:val="000000" w:themeColor="text1"/>
          <w:sz w:val="16"/>
          <w:szCs w:val="16"/>
          <w:lang w:val="es-ES"/>
        </w:rPr>
        <w:t>.</w:t>
      </w:r>
    </w:p>
  </w:footnote>
  <w:footnote w:id="8">
    <w:p w14:paraId="2B0DE170" w14:textId="54F524F0" w:rsidR="00D906F8" w:rsidRPr="002C31AD" w:rsidRDefault="00D906F8" w:rsidP="00D906F8">
      <w:pPr>
        <w:pStyle w:val="FootnoteText"/>
        <w:tabs>
          <w:tab w:val="left" w:pos="0"/>
          <w:tab w:val="left" w:pos="567"/>
        </w:tabs>
        <w:ind w:firstLine="709"/>
        <w:jc w:val="both"/>
        <w:rPr>
          <w:rFonts w:asciiTheme="majorHAnsi" w:hAnsiTheme="majorHAnsi"/>
          <w:color w:val="000000" w:themeColor="text1"/>
          <w:sz w:val="16"/>
          <w:szCs w:val="16"/>
          <w:lang w:val="es-ES"/>
        </w:rPr>
      </w:pPr>
      <w:r w:rsidRPr="0078149A">
        <w:rPr>
          <w:rFonts w:asciiTheme="majorHAnsi" w:hAnsiTheme="majorHAnsi"/>
          <w:color w:val="000000" w:themeColor="text1"/>
          <w:sz w:val="16"/>
          <w:szCs w:val="16"/>
          <w:lang w:val="es-ES"/>
        </w:rPr>
        <w:t xml:space="preserve"> </w:t>
      </w:r>
      <w:r w:rsidRPr="00625A38">
        <w:rPr>
          <w:rStyle w:val="FootnoteReference"/>
          <w:rFonts w:asciiTheme="majorHAnsi" w:hAnsiTheme="majorHAnsi"/>
          <w:color w:val="000000" w:themeColor="text1"/>
          <w:sz w:val="16"/>
          <w:szCs w:val="16"/>
          <w:lang w:val="es-ES"/>
        </w:rPr>
        <w:footnoteRef/>
      </w:r>
      <w:r w:rsidRPr="005F7613">
        <w:rPr>
          <w:rFonts w:asciiTheme="majorHAnsi" w:hAnsiTheme="majorHAnsi"/>
          <w:color w:val="000000" w:themeColor="text1"/>
          <w:sz w:val="16"/>
          <w:szCs w:val="16"/>
          <w:lang w:val="es-ES"/>
        </w:rPr>
        <w:t xml:space="preserve"> CIDH,</w:t>
      </w:r>
      <w:r w:rsidRPr="005F7613">
        <w:rPr>
          <w:rFonts w:ascii="Times New Roman" w:eastAsia="Arial Unicode MS" w:hAnsi="Times New Roman" w:cs="Times New Roman"/>
          <w:color w:val="auto"/>
          <w:sz w:val="24"/>
          <w:szCs w:val="24"/>
          <w:lang w:val="es-ES" w:eastAsia="en-US"/>
        </w:rPr>
        <w:t xml:space="preserve"> </w:t>
      </w:r>
      <w:r w:rsidRPr="005F7613">
        <w:rPr>
          <w:rFonts w:asciiTheme="majorHAnsi" w:hAnsiTheme="majorHAnsi"/>
          <w:color w:val="000000" w:themeColor="text1"/>
          <w:sz w:val="16"/>
          <w:szCs w:val="16"/>
          <w:lang w:val="es-ES"/>
        </w:rPr>
        <w:t xml:space="preserve">Informe No. 97/23. </w:t>
      </w:r>
      <w:r w:rsidRPr="00D906F8">
        <w:rPr>
          <w:rFonts w:asciiTheme="majorHAnsi" w:hAnsiTheme="majorHAnsi"/>
          <w:color w:val="000000" w:themeColor="text1"/>
          <w:sz w:val="16"/>
          <w:szCs w:val="16"/>
          <w:lang w:val="es-ES"/>
        </w:rPr>
        <w:t>Petición 522-14. Admissbilidad. José Roberto Salgado, Kátia Rabello y Vinícius Samarane. Brasil. 26 de junio de 2023, párrafo 2</w:t>
      </w:r>
      <w:r>
        <w:rPr>
          <w:rFonts w:asciiTheme="majorHAnsi" w:hAnsiTheme="majorHAnsi"/>
          <w:color w:val="000000" w:themeColor="text1"/>
          <w:sz w:val="16"/>
          <w:szCs w:val="16"/>
          <w:lang w:val="es-ES"/>
        </w:rPr>
        <w:t xml:space="preserve">7. </w:t>
      </w:r>
      <w:r w:rsidRPr="00D906F8">
        <w:rPr>
          <w:rFonts w:asciiTheme="majorHAnsi" w:hAnsiTheme="majorHAnsi"/>
          <w:color w:val="000000" w:themeColor="text1"/>
          <w:sz w:val="16"/>
          <w:szCs w:val="16"/>
          <w:lang w:val="es-ES"/>
        </w:rPr>
        <w:t xml:space="preserve">En </w:t>
      </w:r>
      <w:r>
        <w:rPr>
          <w:rFonts w:asciiTheme="majorHAnsi" w:hAnsiTheme="majorHAnsi"/>
          <w:color w:val="000000" w:themeColor="text1"/>
          <w:sz w:val="16"/>
          <w:szCs w:val="16"/>
          <w:lang w:val="es-ES"/>
        </w:rPr>
        <w:t>el mismo sentido</w:t>
      </w:r>
      <w:r w:rsidRPr="00D906F8">
        <w:rPr>
          <w:rFonts w:asciiTheme="majorHAnsi" w:hAnsiTheme="majorHAnsi"/>
          <w:color w:val="000000" w:themeColor="text1"/>
          <w:sz w:val="16"/>
          <w:szCs w:val="16"/>
          <w:lang w:val="es-ES"/>
        </w:rPr>
        <w:t xml:space="preserve">, la Comisión consideró que los derechos a las garantías judiciales y a la protección judicial pueden ser violados como consecuencia, entre otras cosas, del proceso penal por conexión de una persona ante la Corte Suprema de Justicia de Venezuela, como resultado de la aplicación extensiva de normas de competencia destinadas a agentes políticos, de modo que el propio tribunal haya sido la única instancia en conocer del caso de la supuesta víctima y sobre él emitir sentencia. Ver: CIDH, Demanda ante la Corte Interamericana de Derechos Humanos en el caso de Oscar Barreto Leiva (Caso Nº 11.663) contra la República Bolivariana de Venezuela. </w:t>
      </w:r>
      <w:r w:rsidRPr="00D906F8">
        <w:rPr>
          <w:rFonts w:asciiTheme="majorHAnsi" w:hAnsiTheme="majorHAnsi"/>
          <w:color w:val="000000" w:themeColor="text1"/>
          <w:sz w:val="16"/>
          <w:szCs w:val="16"/>
          <w:lang w:val="pt-BR"/>
        </w:rPr>
        <w:t xml:space="preserve">31 de octubre de 2008, párrafos 98-124; Corte IDH. Caso Barreto Leiva Vs. </w:t>
      </w:r>
      <w:r w:rsidRPr="00D906F8">
        <w:rPr>
          <w:rFonts w:asciiTheme="majorHAnsi" w:hAnsiTheme="majorHAnsi"/>
          <w:color w:val="000000" w:themeColor="text1"/>
          <w:sz w:val="16"/>
          <w:szCs w:val="16"/>
          <w:lang w:val="es-ES"/>
        </w:rPr>
        <w:t>Venezuela. Sentencia de 17 de noviembre de 2019 (Fondo, Reparaciones y Costas), párrafo 2 (“según la Comisión, el hecho de que la Corte Suprema de Justicia haya sido el tribunal que conoció en única instancia del caso de la supuesta víctima, y sobre él emitió sentencia, constituiría una violación de su derecho a ser juzgada por un tribunal competente, puesto que no contaba con un foro penal especial, así como una violación de su derecho a apelar la sentencia condenatoria.”).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355D19" w:rsidRDefault="00355D19" w:rsidP="002C63E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55D19" w:rsidRDefault="00355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5AEDBD92" w:rsidR="00355D19" w:rsidRDefault="00355D19" w:rsidP="00A50FCF">
    <w:pPr>
      <w:pStyle w:val="Header"/>
      <w:tabs>
        <w:tab w:val="clear" w:pos="4320"/>
        <w:tab w:val="clear" w:pos="8640"/>
      </w:tabs>
      <w:jc w:val="center"/>
      <w:rPr>
        <w:sz w:val="22"/>
        <w:szCs w:val="22"/>
      </w:rPr>
    </w:pPr>
    <w:r>
      <w:rPr>
        <w:noProof/>
        <w:sz w:val="22"/>
        <w:szCs w:val="22"/>
        <w:lang w:val="es-ES" w:eastAsia="es-ES"/>
      </w:rPr>
      <w:drawing>
        <wp:inline distT="0" distB="0" distL="0" distR="0" wp14:anchorId="6D8E648D" wp14:editId="0AB45F40">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55D19" w:rsidRPr="00EC7D62" w:rsidRDefault="0045793A"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11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735461"/>
    <w:multiLevelType w:val="hybridMultilevel"/>
    <w:tmpl w:val="3A787CF6"/>
    <w:lvl w:ilvl="0" w:tplc="15A4BBA6">
      <w:start w:val="1"/>
      <w:numFmt w:val="decimal"/>
      <w:lvlText w:val="%1."/>
      <w:lvlJc w:val="left"/>
      <w:pPr>
        <w:tabs>
          <w:tab w:val="num" w:pos="540"/>
        </w:tabs>
        <w:ind w:left="180" w:firstLine="720"/>
      </w:pPr>
      <w:rPr>
        <w:rFonts w:ascii="Cambria" w:hAnsi="Cambria" w:hint="default"/>
        <w:b w:val="0"/>
        <w:i w:val="0"/>
        <w:color w:val="auto"/>
        <w:sz w:val="20"/>
        <w:szCs w:val="20"/>
        <w:lang w:val="es-ES"/>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7341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1ED15A8"/>
    <w:multiLevelType w:val="hybridMultilevel"/>
    <w:tmpl w:val="35A8F87A"/>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7B8B61C">
      <w:start w:val="1"/>
      <w:numFmt w:val="decimal"/>
      <w:lvlText w:val="%3."/>
      <w:lvlJc w:val="left"/>
      <w:pPr>
        <w:tabs>
          <w:tab w:val="num" w:pos="2160"/>
        </w:tabs>
        <w:ind w:left="2160" w:hanging="360"/>
      </w:pPr>
      <w:rPr>
        <w:rFonts w:ascii="Cambria" w:eastAsia="Batang" w:hAnsi="Cambria" w:cs="Times New Roman"/>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001150"/>
    <w:multiLevelType w:val="hybridMultilevel"/>
    <w:tmpl w:val="EE142BA4"/>
    <w:lvl w:ilvl="0" w:tplc="A01A76B4">
      <w:start w:val="1"/>
      <w:numFmt w:val="decimal"/>
      <w:lvlText w:val="%1."/>
      <w:lvlJc w:val="left"/>
      <w:pPr>
        <w:ind w:left="758" w:hanging="720"/>
      </w:pPr>
      <w:rPr>
        <w:rFonts w:ascii="Cambria" w:eastAsia="Cambria" w:hAnsi="Cambria" w:cs="Cambria" w:hint="default"/>
        <w:w w:val="99"/>
        <w:sz w:val="20"/>
        <w:szCs w:val="20"/>
        <w:vertAlign w:val="baseline"/>
        <w:lang w:val="es-419"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94145286">
    <w:abstractNumId w:val="4"/>
  </w:num>
  <w:num w:numId="2" w16cid:durableId="1886091356">
    <w:abstractNumId w:val="6"/>
  </w:num>
  <w:num w:numId="3" w16cid:durableId="2052222287">
    <w:abstractNumId w:val="54"/>
  </w:num>
  <w:num w:numId="4" w16cid:durableId="550464649">
    <w:abstractNumId w:val="22"/>
  </w:num>
  <w:num w:numId="5" w16cid:durableId="1837458142">
    <w:abstractNumId w:val="48"/>
  </w:num>
  <w:num w:numId="6" w16cid:durableId="1566258964">
    <w:abstractNumId w:val="27"/>
  </w:num>
  <w:num w:numId="7" w16cid:durableId="1515681369">
    <w:abstractNumId w:val="7"/>
  </w:num>
  <w:num w:numId="8" w16cid:durableId="875432475">
    <w:abstractNumId w:val="18"/>
  </w:num>
  <w:num w:numId="9" w16cid:durableId="262036831">
    <w:abstractNumId w:val="38"/>
  </w:num>
  <w:num w:numId="10" w16cid:durableId="56439042">
    <w:abstractNumId w:val="42"/>
  </w:num>
  <w:num w:numId="11" w16cid:durableId="1858890252">
    <w:abstractNumId w:val="1"/>
  </w:num>
  <w:num w:numId="12" w16cid:durableId="1962031431">
    <w:abstractNumId w:val="37"/>
  </w:num>
  <w:num w:numId="13" w16cid:durableId="485826289">
    <w:abstractNumId w:val="44"/>
  </w:num>
  <w:num w:numId="14" w16cid:durableId="1395813970">
    <w:abstractNumId w:val="2"/>
  </w:num>
  <w:num w:numId="15" w16cid:durableId="1118648211">
    <w:abstractNumId w:val="3"/>
  </w:num>
  <w:num w:numId="16" w16cid:durableId="1282567428">
    <w:abstractNumId w:val="8"/>
  </w:num>
  <w:num w:numId="17" w16cid:durableId="220363584">
    <w:abstractNumId w:val="9"/>
  </w:num>
  <w:num w:numId="18" w16cid:durableId="334496950">
    <w:abstractNumId w:val="10"/>
  </w:num>
  <w:num w:numId="19" w16cid:durableId="625283423">
    <w:abstractNumId w:val="11"/>
  </w:num>
  <w:num w:numId="20" w16cid:durableId="526675647">
    <w:abstractNumId w:val="12"/>
  </w:num>
  <w:num w:numId="21" w16cid:durableId="1966886581">
    <w:abstractNumId w:val="13"/>
  </w:num>
  <w:num w:numId="22" w16cid:durableId="1155991117">
    <w:abstractNumId w:val="14"/>
  </w:num>
  <w:num w:numId="23" w16cid:durableId="422262610">
    <w:abstractNumId w:val="16"/>
  </w:num>
  <w:num w:numId="24" w16cid:durableId="478496012">
    <w:abstractNumId w:val="17"/>
  </w:num>
  <w:num w:numId="25" w16cid:durableId="1213813576">
    <w:abstractNumId w:val="19"/>
  </w:num>
  <w:num w:numId="26" w16cid:durableId="1835951635">
    <w:abstractNumId w:val="20"/>
  </w:num>
  <w:num w:numId="27" w16cid:durableId="475102673">
    <w:abstractNumId w:val="23"/>
  </w:num>
  <w:num w:numId="28" w16cid:durableId="109395213">
    <w:abstractNumId w:val="24"/>
  </w:num>
  <w:num w:numId="29" w16cid:durableId="1423136827">
    <w:abstractNumId w:val="25"/>
  </w:num>
  <w:num w:numId="30" w16cid:durableId="2138983852">
    <w:abstractNumId w:val="26"/>
  </w:num>
  <w:num w:numId="31" w16cid:durableId="1937518855">
    <w:abstractNumId w:val="28"/>
  </w:num>
  <w:num w:numId="32" w16cid:durableId="840780852">
    <w:abstractNumId w:val="29"/>
  </w:num>
  <w:num w:numId="33" w16cid:durableId="1359232200">
    <w:abstractNumId w:val="30"/>
  </w:num>
  <w:num w:numId="34" w16cid:durableId="334116925">
    <w:abstractNumId w:val="31"/>
  </w:num>
  <w:num w:numId="35" w16cid:durableId="2096516308">
    <w:abstractNumId w:val="32"/>
  </w:num>
  <w:num w:numId="36" w16cid:durableId="212278663">
    <w:abstractNumId w:val="34"/>
  </w:num>
  <w:num w:numId="37" w16cid:durableId="1042947506">
    <w:abstractNumId w:val="35"/>
  </w:num>
  <w:num w:numId="38" w16cid:durableId="1951815227">
    <w:abstractNumId w:val="36"/>
  </w:num>
  <w:num w:numId="39" w16cid:durableId="178397343">
    <w:abstractNumId w:val="39"/>
  </w:num>
  <w:num w:numId="40" w16cid:durableId="421875382">
    <w:abstractNumId w:val="40"/>
  </w:num>
  <w:num w:numId="41" w16cid:durableId="2125346400">
    <w:abstractNumId w:val="46"/>
  </w:num>
  <w:num w:numId="42" w16cid:durableId="1865287030">
    <w:abstractNumId w:val="49"/>
  </w:num>
  <w:num w:numId="43" w16cid:durableId="695037017">
    <w:abstractNumId w:val="50"/>
  </w:num>
  <w:num w:numId="44" w16cid:durableId="810562093">
    <w:abstractNumId w:val="52"/>
  </w:num>
  <w:num w:numId="45" w16cid:durableId="588005892">
    <w:abstractNumId w:val="53"/>
  </w:num>
  <w:num w:numId="46" w16cid:durableId="983970018">
    <w:abstractNumId w:val="55"/>
  </w:num>
  <w:num w:numId="47" w16cid:durableId="1952589189">
    <w:abstractNumId w:val="56"/>
  </w:num>
  <w:num w:numId="48" w16cid:durableId="495075265">
    <w:abstractNumId w:val="57"/>
  </w:num>
  <w:num w:numId="49" w16cid:durableId="508445993">
    <w:abstractNumId w:val="59"/>
  </w:num>
  <w:num w:numId="50" w16cid:durableId="933561190">
    <w:abstractNumId w:val="60"/>
  </w:num>
  <w:num w:numId="51" w16cid:durableId="591088606">
    <w:abstractNumId w:val="21"/>
  </w:num>
  <w:num w:numId="52" w16cid:durableId="1926301467">
    <w:abstractNumId w:val="41"/>
  </w:num>
  <w:num w:numId="53" w16cid:durableId="11883751">
    <w:abstractNumId w:val="51"/>
  </w:num>
  <w:num w:numId="54" w16cid:durableId="94598734">
    <w:abstractNumId w:val="45"/>
  </w:num>
  <w:num w:numId="55" w16cid:durableId="652761210">
    <w:abstractNumId w:val="5"/>
  </w:num>
  <w:num w:numId="56" w16cid:durableId="1466583782">
    <w:abstractNumId w:val="43"/>
  </w:num>
  <w:num w:numId="57" w16cid:durableId="1182743708">
    <w:abstractNumId w:val="33"/>
  </w:num>
  <w:num w:numId="58" w16cid:durableId="488443298">
    <w:abstractNumId w:val="0"/>
  </w:num>
  <w:num w:numId="59" w16cid:durableId="1440562085">
    <w:abstractNumId w:val="15"/>
  </w:num>
  <w:num w:numId="60" w16cid:durableId="821586477">
    <w:abstractNumId w:val="47"/>
  </w:num>
  <w:num w:numId="61" w16cid:durableId="1041439821">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0" w:nlCheck="1" w:checkStyle="0"/>
  <w:activeWritingStyle w:appName="MSWord" w:lang="es-419"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0C18"/>
    <w:rsid w:val="00023CCC"/>
    <w:rsid w:val="000246EA"/>
    <w:rsid w:val="000249BC"/>
    <w:rsid w:val="00026CDE"/>
    <w:rsid w:val="000337EF"/>
    <w:rsid w:val="000364FC"/>
    <w:rsid w:val="00040C3A"/>
    <w:rsid w:val="000419AD"/>
    <w:rsid w:val="000433C9"/>
    <w:rsid w:val="000529AD"/>
    <w:rsid w:val="000541A2"/>
    <w:rsid w:val="0005538C"/>
    <w:rsid w:val="000607B7"/>
    <w:rsid w:val="0006274F"/>
    <w:rsid w:val="00063281"/>
    <w:rsid w:val="000647B8"/>
    <w:rsid w:val="00066076"/>
    <w:rsid w:val="0006641F"/>
    <w:rsid w:val="000716C5"/>
    <w:rsid w:val="00073049"/>
    <w:rsid w:val="00075E23"/>
    <w:rsid w:val="00076216"/>
    <w:rsid w:val="00077987"/>
    <w:rsid w:val="000815E7"/>
    <w:rsid w:val="000865AB"/>
    <w:rsid w:val="0009280F"/>
    <w:rsid w:val="0009344A"/>
    <w:rsid w:val="00094D90"/>
    <w:rsid w:val="00096182"/>
    <w:rsid w:val="000A1AC3"/>
    <w:rsid w:val="000A3742"/>
    <w:rsid w:val="000A392E"/>
    <w:rsid w:val="000A575F"/>
    <w:rsid w:val="000A5B01"/>
    <w:rsid w:val="000A5E82"/>
    <w:rsid w:val="000A7F47"/>
    <w:rsid w:val="000B43BB"/>
    <w:rsid w:val="000C2F1A"/>
    <w:rsid w:val="000C4640"/>
    <w:rsid w:val="000C584F"/>
    <w:rsid w:val="000C5C69"/>
    <w:rsid w:val="000D10DB"/>
    <w:rsid w:val="000D4E19"/>
    <w:rsid w:val="000D7963"/>
    <w:rsid w:val="000E040B"/>
    <w:rsid w:val="000E0F55"/>
    <w:rsid w:val="000E5EB5"/>
    <w:rsid w:val="000F34D0"/>
    <w:rsid w:val="000F35ED"/>
    <w:rsid w:val="000F4DBA"/>
    <w:rsid w:val="001046B9"/>
    <w:rsid w:val="00105183"/>
    <w:rsid w:val="001069B6"/>
    <w:rsid w:val="00107131"/>
    <w:rsid w:val="0010736F"/>
    <w:rsid w:val="001112AC"/>
    <w:rsid w:val="00113F73"/>
    <w:rsid w:val="001176B1"/>
    <w:rsid w:val="00121CC2"/>
    <w:rsid w:val="00124EE3"/>
    <w:rsid w:val="00126384"/>
    <w:rsid w:val="0012736F"/>
    <w:rsid w:val="00133EE5"/>
    <w:rsid w:val="0014089D"/>
    <w:rsid w:val="00141C48"/>
    <w:rsid w:val="001441FE"/>
    <w:rsid w:val="00144593"/>
    <w:rsid w:val="00147DD4"/>
    <w:rsid w:val="00150313"/>
    <w:rsid w:val="00152206"/>
    <w:rsid w:val="00155CBE"/>
    <w:rsid w:val="00161EA8"/>
    <w:rsid w:val="00164DD1"/>
    <w:rsid w:val="00167A34"/>
    <w:rsid w:val="00191F61"/>
    <w:rsid w:val="001934A4"/>
    <w:rsid w:val="001A7870"/>
    <w:rsid w:val="001B151D"/>
    <w:rsid w:val="001B25D9"/>
    <w:rsid w:val="001B3A00"/>
    <w:rsid w:val="001C1B41"/>
    <w:rsid w:val="001C7ECC"/>
    <w:rsid w:val="001D2206"/>
    <w:rsid w:val="001D65EF"/>
    <w:rsid w:val="001E49E7"/>
    <w:rsid w:val="001E6875"/>
    <w:rsid w:val="001E7F07"/>
    <w:rsid w:val="001F7201"/>
    <w:rsid w:val="00202A5A"/>
    <w:rsid w:val="00204009"/>
    <w:rsid w:val="00204E1F"/>
    <w:rsid w:val="00220EB9"/>
    <w:rsid w:val="00223A29"/>
    <w:rsid w:val="002250A3"/>
    <w:rsid w:val="002264CC"/>
    <w:rsid w:val="002271FD"/>
    <w:rsid w:val="0022736D"/>
    <w:rsid w:val="00233CFB"/>
    <w:rsid w:val="00235217"/>
    <w:rsid w:val="00235691"/>
    <w:rsid w:val="002436B1"/>
    <w:rsid w:val="00246D1F"/>
    <w:rsid w:val="00247403"/>
    <w:rsid w:val="00247542"/>
    <w:rsid w:val="0025182B"/>
    <w:rsid w:val="00253146"/>
    <w:rsid w:val="00253B95"/>
    <w:rsid w:val="00253E93"/>
    <w:rsid w:val="00255D6A"/>
    <w:rsid w:val="00257978"/>
    <w:rsid w:val="00262492"/>
    <w:rsid w:val="00266B61"/>
    <w:rsid w:val="0026712A"/>
    <w:rsid w:val="002704DB"/>
    <w:rsid w:val="0027100F"/>
    <w:rsid w:val="00273C62"/>
    <w:rsid w:val="00277BBA"/>
    <w:rsid w:val="00291ED7"/>
    <w:rsid w:val="00292F38"/>
    <w:rsid w:val="00296900"/>
    <w:rsid w:val="002A0AAE"/>
    <w:rsid w:val="002A0C19"/>
    <w:rsid w:val="002A326F"/>
    <w:rsid w:val="002A4763"/>
    <w:rsid w:val="002A4A28"/>
    <w:rsid w:val="002A5565"/>
    <w:rsid w:val="002A5820"/>
    <w:rsid w:val="002B09A7"/>
    <w:rsid w:val="002B5407"/>
    <w:rsid w:val="002B6870"/>
    <w:rsid w:val="002C0CAD"/>
    <w:rsid w:val="002C31AD"/>
    <w:rsid w:val="002C507C"/>
    <w:rsid w:val="002C5D05"/>
    <w:rsid w:val="002C63E0"/>
    <w:rsid w:val="002C6486"/>
    <w:rsid w:val="002D13F7"/>
    <w:rsid w:val="002D19CC"/>
    <w:rsid w:val="002D2B26"/>
    <w:rsid w:val="002D3274"/>
    <w:rsid w:val="002D7EA2"/>
    <w:rsid w:val="002E1290"/>
    <w:rsid w:val="002E187C"/>
    <w:rsid w:val="002E2426"/>
    <w:rsid w:val="002F379B"/>
    <w:rsid w:val="002F3916"/>
    <w:rsid w:val="002F43B4"/>
    <w:rsid w:val="002F7689"/>
    <w:rsid w:val="002F7E89"/>
    <w:rsid w:val="00302733"/>
    <w:rsid w:val="003039E4"/>
    <w:rsid w:val="00311C9C"/>
    <w:rsid w:val="00312C63"/>
    <w:rsid w:val="00314078"/>
    <w:rsid w:val="0031535D"/>
    <w:rsid w:val="00321AA9"/>
    <w:rsid w:val="003239B8"/>
    <w:rsid w:val="0033169F"/>
    <w:rsid w:val="00343C15"/>
    <w:rsid w:val="00344977"/>
    <w:rsid w:val="00346517"/>
    <w:rsid w:val="00346C95"/>
    <w:rsid w:val="003535A3"/>
    <w:rsid w:val="00354756"/>
    <w:rsid w:val="00355D19"/>
    <w:rsid w:val="00356185"/>
    <w:rsid w:val="00360380"/>
    <w:rsid w:val="00361121"/>
    <w:rsid w:val="00363F62"/>
    <w:rsid w:val="003642D6"/>
    <w:rsid w:val="00367765"/>
    <w:rsid w:val="0037476B"/>
    <w:rsid w:val="00374D2E"/>
    <w:rsid w:val="0037519E"/>
    <w:rsid w:val="0037551B"/>
    <w:rsid w:val="00377667"/>
    <w:rsid w:val="00386CF0"/>
    <w:rsid w:val="0038709A"/>
    <w:rsid w:val="00391AFC"/>
    <w:rsid w:val="0039310D"/>
    <w:rsid w:val="003A2AFB"/>
    <w:rsid w:val="003B3A8F"/>
    <w:rsid w:val="003B5CB6"/>
    <w:rsid w:val="003B70FB"/>
    <w:rsid w:val="003B7575"/>
    <w:rsid w:val="003C2955"/>
    <w:rsid w:val="003C298C"/>
    <w:rsid w:val="003C5EF0"/>
    <w:rsid w:val="003C676B"/>
    <w:rsid w:val="003D0FBA"/>
    <w:rsid w:val="003D3BC2"/>
    <w:rsid w:val="003D69C1"/>
    <w:rsid w:val="003D7924"/>
    <w:rsid w:val="003E644D"/>
    <w:rsid w:val="003E6CA1"/>
    <w:rsid w:val="003E76DB"/>
    <w:rsid w:val="003F1230"/>
    <w:rsid w:val="003F47EC"/>
    <w:rsid w:val="004023EB"/>
    <w:rsid w:val="004065A8"/>
    <w:rsid w:val="00411485"/>
    <w:rsid w:val="00415DC5"/>
    <w:rsid w:val="004165C2"/>
    <w:rsid w:val="00416F75"/>
    <w:rsid w:val="00420EC6"/>
    <w:rsid w:val="00422745"/>
    <w:rsid w:val="00424F4B"/>
    <w:rsid w:val="004253A6"/>
    <w:rsid w:val="00432751"/>
    <w:rsid w:val="00433114"/>
    <w:rsid w:val="00441DD5"/>
    <w:rsid w:val="00441ECB"/>
    <w:rsid w:val="00441F0A"/>
    <w:rsid w:val="00445193"/>
    <w:rsid w:val="00447C46"/>
    <w:rsid w:val="00451596"/>
    <w:rsid w:val="00455296"/>
    <w:rsid w:val="0045793A"/>
    <w:rsid w:val="00460C00"/>
    <w:rsid w:val="0046187B"/>
    <w:rsid w:val="00462C1B"/>
    <w:rsid w:val="004645ED"/>
    <w:rsid w:val="00467B7E"/>
    <w:rsid w:val="00473BB4"/>
    <w:rsid w:val="00477592"/>
    <w:rsid w:val="00477B74"/>
    <w:rsid w:val="00486F1C"/>
    <w:rsid w:val="0048726D"/>
    <w:rsid w:val="00491F64"/>
    <w:rsid w:val="0049419D"/>
    <w:rsid w:val="00495BDC"/>
    <w:rsid w:val="00496970"/>
    <w:rsid w:val="004A29C0"/>
    <w:rsid w:val="004A3499"/>
    <w:rsid w:val="004A6A54"/>
    <w:rsid w:val="004B05E9"/>
    <w:rsid w:val="004B23A1"/>
    <w:rsid w:val="004C20D2"/>
    <w:rsid w:val="004C2312"/>
    <w:rsid w:val="004C4B62"/>
    <w:rsid w:val="004C54C9"/>
    <w:rsid w:val="004C569F"/>
    <w:rsid w:val="004C773F"/>
    <w:rsid w:val="004D4ABA"/>
    <w:rsid w:val="004D6025"/>
    <w:rsid w:val="004E2649"/>
    <w:rsid w:val="004E3A16"/>
    <w:rsid w:val="004E7298"/>
    <w:rsid w:val="004F1F31"/>
    <w:rsid w:val="005000B0"/>
    <w:rsid w:val="00501399"/>
    <w:rsid w:val="0050633D"/>
    <w:rsid w:val="00507BC4"/>
    <w:rsid w:val="005110EA"/>
    <w:rsid w:val="005128E4"/>
    <w:rsid w:val="005133DB"/>
    <w:rsid w:val="00516A0D"/>
    <w:rsid w:val="00522115"/>
    <w:rsid w:val="0052234F"/>
    <w:rsid w:val="00525560"/>
    <w:rsid w:val="00527F9C"/>
    <w:rsid w:val="00532BB5"/>
    <w:rsid w:val="00533AEE"/>
    <w:rsid w:val="00537F33"/>
    <w:rsid w:val="005408AF"/>
    <w:rsid w:val="0054211B"/>
    <w:rsid w:val="00543DD1"/>
    <w:rsid w:val="00544C49"/>
    <w:rsid w:val="005461CA"/>
    <w:rsid w:val="005468B8"/>
    <w:rsid w:val="00547CCB"/>
    <w:rsid w:val="005516A1"/>
    <w:rsid w:val="0055382B"/>
    <w:rsid w:val="00563557"/>
    <w:rsid w:val="00567F67"/>
    <w:rsid w:val="0057402A"/>
    <w:rsid w:val="0057433A"/>
    <w:rsid w:val="0057609B"/>
    <w:rsid w:val="005769C8"/>
    <w:rsid w:val="005771D0"/>
    <w:rsid w:val="005776AC"/>
    <w:rsid w:val="0057795E"/>
    <w:rsid w:val="00580EF0"/>
    <w:rsid w:val="005835AC"/>
    <w:rsid w:val="00584073"/>
    <w:rsid w:val="005904C8"/>
    <w:rsid w:val="0059191A"/>
    <w:rsid w:val="005921FF"/>
    <w:rsid w:val="005A23BC"/>
    <w:rsid w:val="005A24ED"/>
    <w:rsid w:val="005A6D0E"/>
    <w:rsid w:val="005A7BFD"/>
    <w:rsid w:val="005B000A"/>
    <w:rsid w:val="005B421D"/>
    <w:rsid w:val="005B52B0"/>
    <w:rsid w:val="005B6806"/>
    <w:rsid w:val="005B6A07"/>
    <w:rsid w:val="005B7636"/>
    <w:rsid w:val="005C4225"/>
    <w:rsid w:val="005D3DFB"/>
    <w:rsid w:val="005D6012"/>
    <w:rsid w:val="005D799D"/>
    <w:rsid w:val="005E0CD6"/>
    <w:rsid w:val="005E1672"/>
    <w:rsid w:val="005E2EC7"/>
    <w:rsid w:val="005E4951"/>
    <w:rsid w:val="005F0DAD"/>
    <w:rsid w:val="005F0F33"/>
    <w:rsid w:val="005F7613"/>
    <w:rsid w:val="00600DEB"/>
    <w:rsid w:val="00603823"/>
    <w:rsid w:val="00614BEA"/>
    <w:rsid w:val="0062595C"/>
    <w:rsid w:val="00625A38"/>
    <w:rsid w:val="00627C9F"/>
    <w:rsid w:val="006311E9"/>
    <w:rsid w:val="0063160F"/>
    <w:rsid w:val="00631D05"/>
    <w:rsid w:val="00632354"/>
    <w:rsid w:val="00642671"/>
    <w:rsid w:val="00642810"/>
    <w:rsid w:val="00646423"/>
    <w:rsid w:val="00646EEB"/>
    <w:rsid w:val="0064780D"/>
    <w:rsid w:val="00652333"/>
    <w:rsid w:val="00654B53"/>
    <w:rsid w:val="00662DA3"/>
    <w:rsid w:val="00664F8A"/>
    <w:rsid w:val="006660E3"/>
    <w:rsid w:val="00667B7F"/>
    <w:rsid w:val="006707B9"/>
    <w:rsid w:val="00671900"/>
    <w:rsid w:val="00674295"/>
    <w:rsid w:val="0068009E"/>
    <w:rsid w:val="006801CA"/>
    <w:rsid w:val="006902F3"/>
    <w:rsid w:val="00692219"/>
    <w:rsid w:val="0069253F"/>
    <w:rsid w:val="0069474E"/>
    <w:rsid w:val="0069567B"/>
    <w:rsid w:val="0069574C"/>
    <w:rsid w:val="00697F11"/>
    <w:rsid w:val="006A01C5"/>
    <w:rsid w:val="006A17D2"/>
    <w:rsid w:val="006A1810"/>
    <w:rsid w:val="006A192C"/>
    <w:rsid w:val="006A20E7"/>
    <w:rsid w:val="006A5F2E"/>
    <w:rsid w:val="006A73E6"/>
    <w:rsid w:val="006B1E15"/>
    <w:rsid w:val="006B2D5C"/>
    <w:rsid w:val="006B5676"/>
    <w:rsid w:val="006B5A25"/>
    <w:rsid w:val="006B5EE6"/>
    <w:rsid w:val="006B65F4"/>
    <w:rsid w:val="006C4EB1"/>
    <w:rsid w:val="006C5675"/>
    <w:rsid w:val="006C6E4F"/>
    <w:rsid w:val="006D1983"/>
    <w:rsid w:val="006D1D7F"/>
    <w:rsid w:val="006E0166"/>
    <w:rsid w:val="006E22A3"/>
    <w:rsid w:val="006E7B34"/>
    <w:rsid w:val="006F3E17"/>
    <w:rsid w:val="006F7B50"/>
    <w:rsid w:val="0070185B"/>
    <w:rsid w:val="00704E90"/>
    <w:rsid w:val="0070578D"/>
    <w:rsid w:val="0070697F"/>
    <w:rsid w:val="007078C8"/>
    <w:rsid w:val="00711E66"/>
    <w:rsid w:val="007169FF"/>
    <w:rsid w:val="00716DDC"/>
    <w:rsid w:val="0072199C"/>
    <w:rsid w:val="00722C9F"/>
    <w:rsid w:val="0072489E"/>
    <w:rsid w:val="007253B8"/>
    <w:rsid w:val="0073741F"/>
    <w:rsid w:val="00740520"/>
    <w:rsid w:val="007562B5"/>
    <w:rsid w:val="00760838"/>
    <w:rsid w:val="0076191D"/>
    <w:rsid w:val="00763A93"/>
    <w:rsid w:val="00763F97"/>
    <w:rsid w:val="0076643F"/>
    <w:rsid w:val="007665A8"/>
    <w:rsid w:val="00771ABF"/>
    <w:rsid w:val="007768E9"/>
    <w:rsid w:val="00777F63"/>
    <w:rsid w:val="0078149A"/>
    <w:rsid w:val="007861D8"/>
    <w:rsid w:val="00786890"/>
    <w:rsid w:val="00790EC3"/>
    <w:rsid w:val="00791A37"/>
    <w:rsid w:val="007A25EE"/>
    <w:rsid w:val="007A3A6B"/>
    <w:rsid w:val="007A5817"/>
    <w:rsid w:val="007B05C4"/>
    <w:rsid w:val="007B0CAB"/>
    <w:rsid w:val="007B319F"/>
    <w:rsid w:val="007B60E9"/>
    <w:rsid w:val="007B6CC3"/>
    <w:rsid w:val="007B76D3"/>
    <w:rsid w:val="007C3334"/>
    <w:rsid w:val="007C4371"/>
    <w:rsid w:val="007D2B98"/>
    <w:rsid w:val="007D31AA"/>
    <w:rsid w:val="007D5B29"/>
    <w:rsid w:val="007D7605"/>
    <w:rsid w:val="007E21BC"/>
    <w:rsid w:val="007E5572"/>
    <w:rsid w:val="007E5D1F"/>
    <w:rsid w:val="007E7C82"/>
    <w:rsid w:val="007F588D"/>
    <w:rsid w:val="0080214D"/>
    <w:rsid w:val="0080280E"/>
    <w:rsid w:val="00803F1C"/>
    <w:rsid w:val="0080600E"/>
    <w:rsid w:val="00806C00"/>
    <w:rsid w:val="00817612"/>
    <w:rsid w:val="0083173C"/>
    <w:rsid w:val="008338A4"/>
    <w:rsid w:val="00834D49"/>
    <w:rsid w:val="00837C45"/>
    <w:rsid w:val="00844730"/>
    <w:rsid w:val="008457C2"/>
    <w:rsid w:val="00850619"/>
    <w:rsid w:val="00855486"/>
    <w:rsid w:val="00857A82"/>
    <w:rsid w:val="00860DC6"/>
    <w:rsid w:val="008652C5"/>
    <w:rsid w:val="00871EA6"/>
    <w:rsid w:val="00873836"/>
    <w:rsid w:val="00874CF3"/>
    <w:rsid w:val="00884FFF"/>
    <w:rsid w:val="00885737"/>
    <w:rsid w:val="00890650"/>
    <w:rsid w:val="00890943"/>
    <w:rsid w:val="0089701C"/>
    <w:rsid w:val="00897E12"/>
    <w:rsid w:val="008A7E0F"/>
    <w:rsid w:val="008B12F5"/>
    <w:rsid w:val="008B3786"/>
    <w:rsid w:val="008C651D"/>
    <w:rsid w:val="008D768D"/>
    <w:rsid w:val="008E3759"/>
    <w:rsid w:val="008E3BFE"/>
    <w:rsid w:val="008F1912"/>
    <w:rsid w:val="008F1920"/>
    <w:rsid w:val="008F24EF"/>
    <w:rsid w:val="00901EF2"/>
    <w:rsid w:val="0090270B"/>
    <w:rsid w:val="009041DC"/>
    <w:rsid w:val="00904D68"/>
    <w:rsid w:val="009116E8"/>
    <w:rsid w:val="00917B5A"/>
    <w:rsid w:val="00920A58"/>
    <w:rsid w:val="00920A8C"/>
    <w:rsid w:val="00920E6D"/>
    <w:rsid w:val="00926476"/>
    <w:rsid w:val="00933BE8"/>
    <w:rsid w:val="00934A2C"/>
    <w:rsid w:val="00936647"/>
    <w:rsid w:val="009404EB"/>
    <w:rsid w:val="00940587"/>
    <w:rsid w:val="00942945"/>
    <w:rsid w:val="0094523F"/>
    <w:rsid w:val="00945902"/>
    <w:rsid w:val="00946ACD"/>
    <w:rsid w:val="00950761"/>
    <w:rsid w:val="0095180E"/>
    <w:rsid w:val="00951BDC"/>
    <w:rsid w:val="00951C2A"/>
    <w:rsid w:val="00953DBA"/>
    <w:rsid w:val="009635B0"/>
    <w:rsid w:val="00964BB6"/>
    <w:rsid w:val="0096706E"/>
    <w:rsid w:val="009675CA"/>
    <w:rsid w:val="00974491"/>
    <w:rsid w:val="00974709"/>
    <w:rsid w:val="00975C4E"/>
    <w:rsid w:val="00980282"/>
    <w:rsid w:val="00981571"/>
    <w:rsid w:val="00981F2C"/>
    <w:rsid w:val="00981FBA"/>
    <w:rsid w:val="009840FA"/>
    <w:rsid w:val="00985868"/>
    <w:rsid w:val="00985FD4"/>
    <w:rsid w:val="009959F6"/>
    <w:rsid w:val="00997BC5"/>
    <w:rsid w:val="009A4F41"/>
    <w:rsid w:val="009B23A8"/>
    <w:rsid w:val="009B381B"/>
    <w:rsid w:val="009C4143"/>
    <w:rsid w:val="009C41D7"/>
    <w:rsid w:val="009C5AF2"/>
    <w:rsid w:val="009C5D49"/>
    <w:rsid w:val="009D1200"/>
    <w:rsid w:val="009D1753"/>
    <w:rsid w:val="009D3249"/>
    <w:rsid w:val="009D7611"/>
    <w:rsid w:val="009E0B61"/>
    <w:rsid w:val="009E204C"/>
    <w:rsid w:val="009E53DE"/>
    <w:rsid w:val="009E592E"/>
    <w:rsid w:val="009F3A7E"/>
    <w:rsid w:val="009F618A"/>
    <w:rsid w:val="009F7C15"/>
    <w:rsid w:val="00A009AD"/>
    <w:rsid w:val="00A11212"/>
    <w:rsid w:val="00A11E44"/>
    <w:rsid w:val="00A20E1B"/>
    <w:rsid w:val="00A21DC5"/>
    <w:rsid w:val="00A2749A"/>
    <w:rsid w:val="00A27CDF"/>
    <w:rsid w:val="00A30795"/>
    <w:rsid w:val="00A323B5"/>
    <w:rsid w:val="00A328B3"/>
    <w:rsid w:val="00A32CC5"/>
    <w:rsid w:val="00A357BE"/>
    <w:rsid w:val="00A36988"/>
    <w:rsid w:val="00A372DA"/>
    <w:rsid w:val="00A37F2E"/>
    <w:rsid w:val="00A456C0"/>
    <w:rsid w:val="00A50EEA"/>
    <w:rsid w:val="00A50FCF"/>
    <w:rsid w:val="00A528D1"/>
    <w:rsid w:val="00A53003"/>
    <w:rsid w:val="00A551CA"/>
    <w:rsid w:val="00A558F5"/>
    <w:rsid w:val="00A610CD"/>
    <w:rsid w:val="00A702AA"/>
    <w:rsid w:val="00A707E4"/>
    <w:rsid w:val="00A71C03"/>
    <w:rsid w:val="00A758AA"/>
    <w:rsid w:val="00A75CC3"/>
    <w:rsid w:val="00A8471F"/>
    <w:rsid w:val="00A84B77"/>
    <w:rsid w:val="00A866DD"/>
    <w:rsid w:val="00A92649"/>
    <w:rsid w:val="00A934A2"/>
    <w:rsid w:val="00AA09A2"/>
    <w:rsid w:val="00AA4BEF"/>
    <w:rsid w:val="00AA6416"/>
    <w:rsid w:val="00AA7996"/>
    <w:rsid w:val="00AB0171"/>
    <w:rsid w:val="00AC118A"/>
    <w:rsid w:val="00AC1419"/>
    <w:rsid w:val="00AC19CB"/>
    <w:rsid w:val="00AC5663"/>
    <w:rsid w:val="00AC6053"/>
    <w:rsid w:val="00AD373E"/>
    <w:rsid w:val="00AE5488"/>
    <w:rsid w:val="00AE6D2B"/>
    <w:rsid w:val="00AE6F91"/>
    <w:rsid w:val="00AE7A89"/>
    <w:rsid w:val="00AE7C9A"/>
    <w:rsid w:val="00AF3067"/>
    <w:rsid w:val="00AF5571"/>
    <w:rsid w:val="00B00746"/>
    <w:rsid w:val="00B00EE6"/>
    <w:rsid w:val="00B02389"/>
    <w:rsid w:val="00B07341"/>
    <w:rsid w:val="00B15DE1"/>
    <w:rsid w:val="00B165AF"/>
    <w:rsid w:val="00B30539"/>
    <w:rsid w:val="00B3122D"/>
    <w:rsid w:val="00B314DB"/>
    <w:rsid w:val="00B361F2"/>
    <w:rsid w:val="00B3718B"/>
    <w:rsid w:val="00B43687"/>
    <w:rsid w:val="00B44BCA"/>
    <w:rsid w:val="00B45456"/>
    <w:rsid w:val="00B4632A"/>
    <w:rsid w:val="00B51266"/>
    <w:rsid w:val="00B530F1"/>
    <w:rsid w:val="00B55356"/>
    <w:rsid w:val="00B6505B"/>
    <w:rsid w:val="00B6732D"/>
    <w:rsid w:val="00B7375F"/>
    <w:rsid w:val="00B74BF9"/>
    <w:rsid w:val="00B86604"/>
    <w:rsid w:val="00B86788"/>
    <w:rsid w:val="00B95931"/>
    <w:rsid w:val="00BA276C"/>
    <w:rsid w:val="00BA2A06"/>
    <w:rsid w:val="00BA5ACD"/>
    <w:rsid w:val="00BA660D"/>
    <w:rsid w:val="00BB306F"/>
    <w:rsid w:val="00BB3B20"/>
    <w:rsid w:val="00BB56D8"/>
    <w:rsid w:val="00BB61B4"/>
    <w:rsid w:val="00BC2A79"/>
    <w:rsid w:val="00BD0330"/>
    <w:rsid w:val="00BD30F8"/>
    <w:rsid w:val="00BD4B89"/>
    <w:rsid w:val="00BD5922"/>
    <w:rsid w:val="00BD6291"/>
    <w:rsid w:val="00BE4B9C"/>
    <w:rsid w:val="00BE7B35"/>
    <w:rsid w:val="00BF02CB"/>
    <w:rsid w:val="00BF49A6"/>
    <w:rsid w:val="00BF6A23"/>
    <w:rsid w:val="00BF6FD8"/>
    <w:rsid w:val="00C03680"/>
    <w:rsid w:val="00C04151"/>
    <w:rsid w:val="00C04FF4"/>
    <w:rsid w:val="00C054DF"/>
    <w:rsid w:val="00C0639D"/>
    <w:rsid w:val="00C07E48"/>
    <w:rsid w:val="00C106FD"/>
    <w:rsid w:val="00C111FF"/>
    <w:rsid w:val="00C12F6B"/>
    <w:rsid w:val="00C138B8"/>
    <w:rsid w:val="00C21657"/>
    <w:rsid w:val="00C21762"/>
    <w:rsid w:val="00C21A59"/>
    <w:rsid w:val="00C21FEF"/>
    <w:rsid w:val="00C24543"/>
    <w:rsid w:val="00C24AEB"/>
    <w:rsid w:val="00C25420"/>
    <w:rsid w:val="00C256A2"/>
    <w:rsid w:val="00C33CE7"/>
    <w:rsid w:val="00C36409"/>
    <w:rsid w:val="00C45BC6"/>
    <w:rsid w:val="00C47450"/>
    <w:rsid w:val="00C51515"/>
    <w:rsid w:val="00C5660B"/>
    <w:rsid w:val="00C61A5B"/>
    <w:rsid w:val="00C64F58"/>
    <w:rsid w:val="00C66B72"/>
    <w:rsid w:val="00C67DD9"/>
    <w:rsid w:val="00C7503D"/>
    <w:rsid w:val="00C75DDF"/>
    <w:rsid w:val="00C81501"/>
    <w:rsid w:val="00C87AC4"/>
    <w:rsid w:val="00C9567A"/>
    <w:rsid w:val="00C96AA4"/>
    <w:rsid w:val="00C96AFF"/>
    <w:rsid w:val="00CB212D"/>
    <w:rsid w:val="00CB2660"/>
    <w:rsid w:val="00CB3448"/>
    <w:rsid w:val="00CB48E5"/>
    <w:rsid w:val="00CB6D03"/>
    <w:rsid w:val="00CC0249"/>
    <w:rsid w:val="00CC09AB"/>
    <w:rsid w:val="00CC1094"/>
    <w:rsid w:val="00CC18A9"/>
    <w:rsid w:val="00CC1C92"/>
    <w:rsid w:val="00CC5E90"/>
    <w:rsid w:val="00CD046C"/>
    <w:rsid w:val="00CD5CEE"/>
    <w:rsid w:val="00CD6CCF"/>
    <w:rsid w:val="00CE076C"/>
    <w:rsid w:val="00CE5185"/>
    <w:rsid w:val="00CE5199"/>
    <w:rsid w:val="00CE66D5"/>
    <w:rsid w:val="00CF637A"/>
    <w:rsid w:val="00CF6976"/>
    <w:rsid w:val="00D02CD8"/>
    <w:rsid w:val="00D03E48"/>
    <w:rsid w:val="00D059DE"/>
    <w:rsid w:val="00D05ABD"/>
    <w:rsid w:val="00D06AC6"/>
    <w:rsid w:val="00D13FCE"/>
    <w:rsid w:val="00D16BB5"/>
    <w:rsid w:val="00D202EB"/>
    <w:rsid w:val="00D21316"/>
    <w:rsid w:val="00D2202B"/>
    <w:rsid w:val="00D23286"/>
    <w:rsid w:val="00D23AEE"/>
    <w:rsid w:val="00D23D55"/>
    <w:rsid w:val="00D25ED4"/>
    <w:rsid w:val="00D26228"/>
    <w:rsid w:val="00D306D1"/>
    <w:rsid w:val="00D30800"/>
    <w:rsid w:val="00D34786"/>
    <w:rsid w:val="00D358AF"/>
    <w:rsid w:val="00D37BFC"/>
    <w:rsid w:val="00D42F1E"/>
    <w:rsid w:val="00D444B3"/>
    <w:rsid w:val="00D47A8E"/>
    <w:rsid w:val="00D51692"/>
    <w:rsid w:val="00D52C24"/>
    <w:rsid w:val="00D52D14"/>
    <w:rsid w:val="00D53C77"/>
    <w:rsid w:val="00D56A62"/>
    <w:rsid w:val="00D63BD0"/>
    <w:rsid w:val="00D65118"/>
    <w:rsid w:val="00D65840"/>
    <w:rsid w:val="00D712D3"/>
    <w:rsid w:val="00D71422"/>
    <w:rsid w:val="00D723DD"/>
    <w:rsid w:val="00D72DC6"/>
    <w:rsid w:val="00D7558D"/>
    <w:rsid w:val="00D80303"/>
    <w:rsid w:val="00D81D92"/>
    <w:rsid w:val="00D834AA"/>
    <w:rsid w:val="00D83842"/>
    <w:rsid w:val="00D8396B"/>
    <w:rsid w:val="00D84D15"/>
    <w:rsid w:val="00D86434"/>
    <w:rsid w:val="00D87281"/>
    <w:rsid w:val="00D876F9"/>
    <w:rsid w:val="00D906F8"/>
    <w:rsid w:val="00D91630"/>
    <w:rsid w:val="00D91AF2"/>
    <w:rsid w:val="00DA2224"/>
    <w:rsid w:val="00DA7B5F"/>
    <w:rsid w:val="00DB132A"/>
    <w:rsid w:val="00DB394B"/>
    <w:rsid w:val="00DB4F98"/>
    <w:rsid w:val="00DC11E7"/>
    <w:rsid w:val="00DC15CF"/>
    <w:rsid w:val="00DC2CFD"/>
    <w:rsid w:val="00DC63E9"/>
    <w:rsid w:val="00DC7023"/>
    <w:rsid w:val="00DC769A"/>
    <w:rsid w:val="00DD145E"/>
    <w:rsid w:val="00DD189E"/>
    <w:rsid w:val="00DD1990"/>
    <w:rsid w:val="00DD3D86"/>
    <w:rsid w:val="00DD4AD2"/>
    <w:rsid w:val="00DE7593"/>
    <w:rsid w:val="00DF1E04"/>
    <w:rsid w:val="00DF1EC4"/>
    <w:rsid w:val="00DF266C"/>
    <w:rsid w:val="00DF3401"/>
    <w:rsid w:val="00E02ED6"/>
    <w:rsid w:val="00E02FB5"/>
    <w:rsid w:val="00E0340B"/>
    <w:rsid w:val="00E04A90"/>
    <w:rsid w:val="00E0551F"/>
    <w:rsid w:val="00E072AB"/>
    <w:rsid w:val="00E103CD"/>
    <w:rsid w:val="00E1172C"/>
    <w:rsid w:val="00E167CE"/>
    <w:rsid w:val="00E219C7"/>
    <w:rsid w:val="00E2348E"/>
    <w:rsid w:val="00E25984"/>
    <w:rsid w:val="00E31933"/>
    <w:rsid w:val="00E32FA9"/>
    <w:rsid w:val="00E3322A"/>
    <w:rsid w:val="00E3460C"/>
    <w:rsid w:val="00E40376"/>
    <w:rsid w:val="00E4118C"/>
    <w:rsid w:val="00E41EE4"/>
    <w:rsid w:val="00E43157"/>
    <w:rsid w:val="00E461CE"/>
    <w:rsid w:val="00E50001"/>
    <w:rsid w:val="00E55F62"/>
    <w:rsid w:val="00E56370"/>
    <w:rsid w:val="00E64343"/>
    <w:rsid w:val="00E720CA"/>
    <w:rsid w:val="00E724EA"/>
    <w:rsid w:val="00E72F4A"/>
    <w:rsid w:val="00E757F9"/>
    <w:rsid w:val="00E77B2D"/>
    <w:rsid w:val="00E77E10"/>
    <w:rsid w:val="00E812CC"/>
    <w:rsid w:val="00E81D12"/>
    <w:rsid w:val="00E83A19"/>
    <w:rsid w:val="00E84EB5"/>
    <w:rsid w:val="00E84FA1"/>
    <w:rsid w:val="00E85662"/>
    <w:rsid w:val="00E8789F"/>
    <w:rsid w:val="00E92422"/>
    <w:rsid w:val="00E97B71"/>
    <w:rsid w:val="00EA1A34"/>
    <w:rsid w:val="00EA3D34"/>
    <w:rsid w:val="00EA5688"/>
    <w:rsid w:val="00EA676F"/>
    <w:rsid w:val="00EB1A15"/>
    <w:rsid w:val="00EB36F7"/>
    <w:rsid w:val="00EB454D"/>
    <w:rsid w:val="00EB6142"/>
    <w:rsid w:val="00EC3C4B"/>
    <w:rsid w:val="00EC4EE6"/>
    <w:rsid w:val="00ED2B12"/>
    <w:rsid w:val="00ED43D9"/>
    <w:rsid w:val="00ED549D"/>
    <w:rsid w:val="00ED6F79"/>
    <w:rsid w:val="00ED76BE"/>
    <w:rsid w:val="00EE00E9"/>
    <w:rsid w:val="00EE10AD"/>
    <w:rsid w:val="00EE2674"/>
    <w:rsid w:val="00EE2C30"/>
    <w:rsid w:val="00EF29E9"/>
    <w:rsid w:val="00EF619B"/>
    <w:rsid w:val="00F00B55"/>
    <w:rsid w:val="00F01A59"/>
    <w:rsid w:val="00F02AD1"/>
    <w:rsid w:val="00F07C05"/>
    <w:rsid w:val="00F134F6"/>
    <w:rsid w:val="00F17F2E"/>
    <w:rsid w:val="00F21187"/>
    <w:rsid w:val="00F2232E"/>
    <w:rsid w:val="00F253CC"/>
    <w:rsid w:val="00F26DFA"/>
    <w:rsid w:val="00F27918"/>
    <w:rsid w:val="00F34727"/>
    <w:rsid w:val="00F34D16"/>
    <w:rsid w:val="00F37106"/>
    <w:rsid w:val="00F372FC"/>
    <w:rsid w:val="00F4466B"/>
    <w:rsid w:val="00F45663"/>
    <w:rsid w:val="00F468DB"/>
    <w:rsid w:val="00F519CF"/>
    <w:rsid w:val="00F52001"/>
    <w:rsid w:val="00F539D8"/>
    <w:rsid w:val="00F5504D"/>
    <w:rsid w:val="00F56BA5"/>
    <w:rsid w:val="00F603A8"/>
    <w:rsid w:val="00F60E22"/>
    <w:rsid w:val="00F62569"/>
    <w:rsid w:val="00F64D6A"/>
    <w:rsid w:val="00F72F63"/>
    <w:rsid w:val="00F74313"/>
    <w:rsid w:val="00F74F6E"/>
    <w:rsid w:val="00F81395"/>
    <w:rsid w:val="00F81BB8"/>
    <w:rsid w:val="00F917D1"/>
    <w:rsid w:val="00F9653B"/>
    <w:rsid w:val="00FA134D"/>
    <w:rsid w:val="00FA66C4"/>
    <w:rsid w:val="00FB2D3B"/>
    <w:rsid w:val="00FB33F7"/>
    <w:rsid w:val="00FB4A08"/>
    <w:rsid w:val="00FB4C30"/>
    <w:rsid w:val="00FB62CF"/>
    <w:rsid w:val="00FC7F77"/>
    <w:rsid w:val="00FD3C3B"/>
    <w:rsid w:val="00FE07DD"/>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unhideWhenUsed/>
    <w:rsid w:val="00E167CE"/>
    <w:rPr>
      <w:sz w:val="20"/>
      <w:szCs w:val="20"/>
    </w:rPr>
  </w:style>
  <w:style w:type="character" w:customStyle="1" w:styleId="CommentTextChar">
    <w:name w:val="Comment Text Char"/>
    <w:basedOn w:val="DefaultParagraphFont"/>
    <w:link w:val="CommentText"/>
    <w:uiPriority w:val="99"/>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UnresolvedMention1">
    <w:name w:val="Unresolved Mention1"/>
    <w:basedOn w:val="DefaultParagraphFont"/>
    <w:uiPriority w:val="99"/>
    <w:semiHidden/>
    <w:unhideWhenUsed/>
    <w:rsid w:val="00942945"/>
    <w:rPr>
      <w:color w:val="605E5C"/>
      <w:shd w:val="clear" w:color="auto" w:fill="E1DFDD"/>
    </w:rPr>
  </w:style>
  <w:style w:type="paragraph" w:customStyle="1" w:styleId="paragraph">
    <w:name w:val="paragraph"/>
    <w:basedOn w:val="Normal"/>
    <w:rsid w:val="00B673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6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329136622">
      <w:bodyDiv w:val="1"/>
      <w:marLeft w:val="0"/>
      <w:marRight w:val="0"/>
      <w:marTop w:val="0"/>
      <w:marBottom w:val="0"/>
      <w:divBdr>
        <w:top w:val="none" w:sz="0" w:space="0" w:color="auto"/>
        <w:left w:val="none" w:sz="0" w:space="0" w:color="auto"/>
        <w:bottom w:val="none" w:sz="0" w:space="0" w:color="auto"/>
        <w:right w:val="none" w:sz="0" w:space="0" w:color="auto"/>
      </w:divBdr>
    </w:div>
    <w:div w:id="886601885">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506048003">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1995448853">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8CB6-4B7B-4CC2-9F9B-567150C5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2024-01-26T17:59:00Z</dcterms:created>
  <dcterms:modified xsi:type="dcterms:W3CDTF">2024-01-26T17:59:00Z</dcterms:modified>
</cp:coreProperties>
</file>