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C91BB3" w14:textId="77777777" w:rsidR="00040C3A" w:rsidRPr="0090270B" w:rsidRDefault="00D306D1" w:rsidP="00627C9F">
      <w:pPr>
        <w:jc w:val="both"/>
        <w:rPr>
          <w:rFonts w:asciiTheme="majorHAnsi" w:hAnsiTheme="majorHAnsi" w:cs="Univers"/>
          <w:b/>
          <w:bCs/>
          <w:sz w:val="22"/>
          <w:szCs w:val="22"/>
          <w:lang w:val="es-ES_tradnl"/>
        </w:rPr>
      </w:pPr>
      <w:r w:rsidRPr="0090270B">
        <w:rPr>
          <w:rFonts w:asciiTheme="majorHAnsi" w:hAnsiTheme="majorHAnsi"/>
          <w:noProof/>
          <w:sz w:val="22"/>
          <w:szCs w:val="22"/>
          <w:lang w:val="es-419" w:eastAsia="es-419"/>
        </w:rPr>
        <mc:AlternateContent>
          <mc:Choice Requires="wps">
            <w:drawing>
              <wp:anchor distT="0" distB="0" distL="114300" distR="114300" simplePos="0" relativeHeight="251661311" behindDoc="0" locked="0" layoutInCell="1" allowOverlap="1" wp14:anchorId="179A3F0F" wp14:editId="1371D494">
                <wp:simplePos x="0" y="0"/>
                <wp:positionH relativeFrom="column">
                  <wp:posOffset>-416115</wp:posOffset>
                </wp:positionH>
                <wp:positionV relativeFrom="paragraph">
                  <wp:posOffset>-439420</wp:posOffset>
                </wp:positionV>
                <wp:extent cx="1543050" cy="9096375"/>
                <wp:effectExtent l="0" t="0" r="0" b="9525"/>
                <wp:wrapNone/>
                <wp:docPr id="1" name="Rectangle 1"/>
                <wp:cNvGraphicFramePr/>
                <a:graphic xmlns:a="http://schemas.openxmlformats.org/drawingml/2006/main">
                  <a:graphicData uri="http://schemas.microsoft.com/office/word/2010/wordprocessingShape">
                    <wps:wsp>
                      <wps:cNvSpPr/>
                      <wps:spPr>
                        <a:xfrm>
                          <a:off x="0" y="0"/>
                          <a:ext cx="1543050" cy="9096375"/>
                        </a:xfrm>
                        <a:prstGeom prst="rect">
                          <a:avLst/>
                        </a:prstGeom>
                        <a:solidFill>
                          <a:srgbClr val="4A71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28078854" id="Rectangle 1" o:spid="_x0000_s1026" style="position:absolute;margin-left:-32.75pt;margin-top:-34.6pt;width:121.5pt;height:716.25pt;z-index:251661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" fillcolor="#4a7194" stroked="f" strokeweight="2pt"/>
            </w:pict>
          </mc:Fallback>
        </mc:AlternateContent>
      </w:r>
      <w:r w:rsidR="003E6CA1" w:rsidRPr="0090270B">
        <w:rPr>
          <w:rFonts w:asciiTheme="majorHAnsi" w:hAnsiTheme="majorHAnsi"/>
          <w:noProof/>
          <w:sz w:val="22"/>
          <w:szCs w:val="22"/>
          <w:lang w:val="es-419" w:eastAsia="es-419"/>
        </w:rPr>
        <mc:AlternateContent>
          <mc:Choice Requires="wps">
            <w:drawing>
              <wp:anchor distT="0" distB="0" distL="114300" distR="114300" simplePos="0" relativeHeight="251673600" behindDoc="0" locked="0" layoutInCell="1" allowOverlap="1" wp14:anchorId="10F4F91A" wp14:editId="21050AED">
                <wp:simplePos x="0" y="0"/>
                <wp:positionH relativeFrom="column">
                  <wp:posOffset>1282065</wp:posOffset>
                </wp:positionH>
                <wp:positionV relativeFrom="paragraph">
                  <wp:posOffset>-424180</wp:posOffset>
                </wp:positionV>
                <wp:extent cx="5248275" cy="9023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248275" cy="9023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218F2" w14:textId="0208E50D" w:rsidR="00CB2660" w:rsidRDefault="00AE5488" w:rsidP="00AE5488">
                            <w:r>
                              <w:rPr>
                                <w:noProof/>
                                <w:lang w:val="es-419" w:eastAsia="es-419"/>
                              </w:rPr>
                              <w:drawing>
                                <wp:inline distT="0" distB="0" distL="0" distR="0" wp14:anchorId="7A21157D" wp14:editId="62425977">
                                  <wp:extent cx="2647666" cy="509676"/>
                                  <wp:effectExtent l="0" t="0" r="635" b="5080"/>
                                  <wp:docPr id="12" name="Picture 12" descr="C:\Users\mfontana\Documents\Eva Fontana\GRAFICA CIDH\cartas\logos\cid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ontana\Documents\Eva Fontana\GRAFICA CIDH\cartas\logos\cidh-e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3322" cy="510765"/>
                                          </a:xfrm>
                                          <a:prstGeom prst="rect">
                                            <a:avLst/>
                                          </a:prstGeom>
                                          <a:noFill/>
                                          <a:ln>
                                            <a:noFill/>
                                          </a:ln>
                                        </pic:spPr>
                                      </pic:pic>
                                    </a:graphicData>
                                  </a:graphic>
                                </wp:inline>
                              </w:drawing>
                            </w:r>
                            <w:r w:rsidR="007A5817">
                              <w:tab/>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F4F91A" id="_x0000_t202" coordsize="21600,21600" o:spt="202" path="m,l,21600r21600,l21600,xe">
                <v:stroke joinstyle="miter"/>
                <v:path gradientshapeok="t" o:connecttype="rect"/>
              </v:shapetype>
              <v:shape id="Text Box 11" o:spid="_x0000_s1026" type="#_x0000_t202" style="position:absolute;left:0;text-align:left;margin-left:100.95pt;margin-top:-33.4pt;width:413.25pt;height:71.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" filled="f" stroked="f" strokeweight=".5pt">
                <v:textbox>
                  <w:txbxContent>
                    <w:p w14:paraId="349218F2" w14:textId="0208E50D" w:rsidR="00CB2660" w:rsidRDefault="00AE5488" w:rsidP="00AE5488">
                      <w:r>
                        <w:rPr>
                          <w:noProof/>
                          <w:lang w:val="es-419" w:eastAsia="es-419"/>
                        </w:rPr>
                        <w:drawing>
                          <wp:inline distT="0" distB="0" distL="0" distR="0" wp14:anchorId="7A21157D" wp14:editId="62425977">
                            <wp:extent cx="2647666" cy="509676"/>
                            <wp:effectExtent l="0" t="0" r="635" b="5080"/>
                            <wp:docPr id="12" name="Picture 12" descr="C:\Users\mfontana\Documents\Eva Fontana\GRAFICA CIDH\cartas\logos\cid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fontana\Documents\Eva Fontana\GRAFICA CIDH\cartas\logos\cidh-es.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3322" cy="510765"/>
                                    </a:xfrm>
                                    <a:prstGeom prst="rect">
                                      <a:avLst/>
                                    </a:prstGeom>
                                    <a:noFill/>
                                    <a:ln>
                                      <a:noFill/>
                                    </a:ln>
                                  </pic:spPr>
                                </pic:pic>
                              </a:graphicData>
                            </a:graphic>
                          </wp:inline>
                        </w:drawing>
                      </w:r>
                      <w:r w:rsidR="007A5817">
                        <w:tab/>
                        <w:t xml:space="preserve"> </w:t>
                      </w:r>
                    </w:p>
                  </w:txbxContent>
                </v:textbox>
              </v:shape>
            </w:pict>
          </mc:Fallback>
        </mc:AlternateContent>
      </w:r>
    </w:p>
    <w:p w14:paraId="47386BAF" w14:textId="77777777" w:rsidR="00040C3A" w:rsidRPr="0090270B" w:rsidRDefault="00040C3A" w:rsidP="00040C3A">
      <w:pPr>
        <w:tabs>
          <w:tab w:val="center" w:pos="5400"/>
        </w:tabs>
        <w:suppressAutoHyphens/>
        <w:jc w:val="both"/>
        <w:rPr>
          <w:rFonts w:asciiTheme="majorHAnsi" w:hAnsiTheme="majorHAnsi"/>
          <w:sz w:val="22"/>
          <w:szCs w:val="22"/>
          <w:lang w:val="es-ES"/>
        </w:rPr>
      </w:pPr>
    </w:p>
    <w:p w14:paraId="5A87E141" w14:textId="77777777" w:rsidR="00040C3A" w:rsidRPr="0090270B" w:rsidRDefault="00040C3A" w:rsidP="00040C3A">
      <w:pPr>
        <w:tabs>
          <w:tab w:val="center" w:pos="5400"/>
        </w:tabs>
        <w:suppressAutoHyphens/>
        <w:jc w:val="both"/>
        <w:rPr>
          <w:rFonts w:asciiTheme="majorHAnsi" w:hAnsiTheme="majorHAnsi"/>
          <w:sz w:val="22"/>
          <w:szCs w:val="22"/>
          <w:lang w:val="es-ES"/>
        </w:rPr>
      </w:pPr>
    </w:p>
    <w:p w14:paraId="29D95BCC" w14:textId="77777777" w:rsidR="005128E4" w:rsidRPr="0090270B" w:rsidRDefault="005128E4" w:rsidP="00040C3A">
      <w:pPr>
        <w:tabs>
          <w:tab w:val="center" w:pos="5400"/>
        </w:tabs>
        <w:suppressAutoHyphens/>
        <w:rPr>
          <w:rFonts w:asciiTheme="majorHAnsi" w:hAnsiTheme="majorHAnsi"/>
          <w:sz w:val="22"/>
          <w:szCs w:val="22"/>
          <w:lang w:val="es-ES_tradnl"/>
        </w:rPr>
      </w:pPr>
    </w:p>
    <w:p w14:paraId="12A36B24" w14:textId="77777777" w:rsidR="005128E4" w:rsidRPr="0090270B" w:rsidRDefault="005128E4" w:rsidP="00040C3A">
      <w:pPr>
        <w:tabs>
          <w:tab w:val="center" w:pos="5400"/>
        </w:tabs>
        <w:suppressAutoHyphens/>
        <w:rPr>
          <w:rFonts w:asciiTheme="majorHAnsi" w:hAnsiTheme="majorHAnsi"/>
          <w:sz w:val="22"/>
          <w:szCs w:val="22"/>
          <w:lang w:val="es-ES_tradnl"/>
        </w:rPr>
      </w:pPr>
    </w:p>
    <w:p w14:paraId="2252093D" w14:textId="77777777" w:rsidR="005128E4" w:rsidRPr="0090270B" w:rsidRDefault="005128E4" w:rsidP="00040C3A">
      <w:pPr>
        <w:tabs>
          <w:tab w:val="center" w:pos="5400"/>
        </w:tabs>
        <w:suppressAutoHyphens/>
        <w:rPr>
          <w:rFonts w:asciiTheme="majorHAnsi" w:hAnsiTheme="majorHAnsi"/>
          <w:sz w:val="22"/>
          <w:szCs w:val="22"/>
          <w:lang w:val="es-ES_tradnl"/>
        </w:rPr>
      </w:pPr>
    </w:p>
    <w:p w14:paraId="403935BD" w14:textId="77777777" w:rsidR="00040C3A" w:rsidRPr="0090270B" w:rsidRDefault="00040C3A" w:rsidP="005128E4">
      <w:pPr>
        <w:tabs>
          <w:tab w:val="center" w:pos="5400"/>
        </w:tabs>
        <w:suppressAutoHyphens/>
        <w:jc w:val="center"/>
        <w:rPr>
          <w:rFonts w:asciiTheme="majorHAnsi" w:hAnsiTheme="majorHAnsi"/>
          <w:sz w:val="22"/>
          <w:szCs w:val="22"/>
          <w:lang w:val="es-ES_tradnl"/>
        </w:rPr>
      </w:pPr>
    </w:p>
    <w:p w14:paraId="6DCF5F8F" w14:textId="77777777" w:rsidR="00040C3A" w:rsidRPr="0090270B" w:rsidRDefault="00040C3A" w:rsidP="005128E4">
      <w:pPr>
        <w:tabs>
          <w:tab w:val="center" w:pos="5400"/>
        </w:tabs>
        <w:suppressAutoHyphens/>
        <w:jc w:val="center"/>
        <w:rPr>
          <w:rFonts w:asciiTheme="majorHAnsi" w:hAnsiTheme="majorHAnsi"/>
          <w:sz w:val="22"/>
          <w:szCs w:val="22"/>
          <w:lang w:val="es-ES_tradnl"/>
        </w:rPr>
      </w:pPr>
    </w:p>
    <w:p w14:paraId="4791F13A" w14:textId="77777777" w:rsidR="005B52B0" w:rsidRPr="0090270B" w:rsidRDefault="005B52B0" w:rsidP="005128E4">
      <w:pPr>
        <w:tabs>
          <w:tab w:val="center" w:pos="5400"/>
        </w:tabs>
        <w:suppressAutoHyphens/>
        <w:jc w:val="center"/>
        <w:rPr>
          <w:rFonts w:asciiTheme="majorHAnsi" w:hAnsiTheme="majorHAnsi"/>
          <w:sz w:val="22"/>
          <w:szCs w:val="22"/>
          <w:lang w:val="es-ES_tradnl"/>
        </w:rPr>
      </w:pPr>
    </w:p>
    <w:p w14:paraId="44E016B6" w14:textId="77777777" w:rsidR="005B52B0" w:rsidRPr="0090270B" w:rsidRDefault="005B52B0" w:rsidP="005128E4">
      <w:pPr>
        <w:tabs>
          <w:tab w:val="center" w:pos="5400"/>
        </w:tabs>
        <w:suppressAutoHyphens/>
        <w:jc w:val="center"/>
        <w:rPr>
          <w:rFonts w:asciiTheme="majorHAnsi" w:hAnsiTheme="majorHAnsi"/>
          <w:sz w:val="22"/>
          <w:szCs w:val="22"/>
          <w:lang w:val="es-ES_tradnl"/>
        </w:rPr>
      </w:pPr>
    </w:p>
    <w:p w14:paraId="63D41962" w14:textId="77777777" w:rsidR="005B52B0" w:rsidRPr="0090270B" w:rsidRDefault="005B52B0" w:rsidP="005128E4">
      <w:pPr>
        <w:tabs>
          <w:tab w:val="center" w:pos="5400"/>
        </w:tabs>
        <w:suppressAutoHyphens/>
        <w:jc w:val="center"/>
        <w:rPr>
          <w:rFonts w:asciiTheme="majorHAnsi" w:hAnsiTheme="majorHAnsi"/>
          <w:sz w:val="22"/>
          <w:szCs w:val="22"/>
          <w:lang w:val="es-ES_tradnl"/>
        </w:rPr>
      </w:pPr>
    </w:p>
    <w:p w14:paraId="5ADEB990"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2D81B7E8"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64791D04" w14:textId="77777777" w:rsidR="00040C3A" w:rsidRPr="0090270B" w:rsidRDefault="003D3BC2" w:rsidP="00040C3A">
      <w:pPr>
        <w:tabs>
          <w:tab w:val="center" w:pos="5400"/>
        </w:tabs>
        <w:suppressAutoHyphens/>
        <w:jc w:val="center"/>
        <w:rPr>
          <w:rFonts w:asciiTheme="majorHAnsi" w:hAnsiTheme="majorHAnsi"/>
          <w:sz w:val="22"/>
          <w:szCs w:val="22"/>
          <w:lang w:val="es-ES_tradnl"/>
        </w:rPr>
      </w:pPr>
      <w:r w:rsidRPr="0090270B">
        <w:rPr>
          <w:rFonts w:asciiTheme="majorHAnsi" w:hAnsiTheme="majorHAnsi"/>
          <w:noProof/>
          <w:sz w:val="22"/>
          <w:szCs w:val="22"/>
          <w:lang w:val="es-419" w:eastAsia="es-419"/>
        </w:rPr>
        <mc:AlternateContent>
          <mc:Choice Requires="wps">
            <w:drawing>
              <wp:anchor distT="0" distB="0" distL="114300" distR="114300" simplePos="0" relativeHeight="251669504" behindDoc="0" locked="0" layoutInCell="1" allowOverlap="1" wp14:anchorId="5980ED94" wp14:editId="42272B8B">
                <wp:simplePos x="0" y="0"/>
                <wp:positionH relativeFrom="column">
                  <wp:posOffset>1352550</wp:posOffset>
                </wp:positionH>
                <wp:positionV relativeFrom="paragraph">
                  <wp:posOffset>107315</wp:posOffset>
                </wp:positionV>
                <wp:extent cx="4441190" cy="2181225"/>
                <wp:effectExtent l="0" t="0" r="0" b="0"/>
                <wp:wrapNone/>
                <wp:docPr id="5" name="Text Box 5"/>
                <wp:cNvGraphicFramePr/>
                <a:graphic xmlns:a="http://schemas.openxmlformats.org/drawingml/2006/main">
                  <a:graphicData uri="http://schemas.microsoft.com/office/word/2010/wordprocessingShape">
                    <wps:wsp>
                      <wps:cNvSpPr txBox="1"/>
                      <wps:spPr>
                        <a:xfrm>
                          <a:off x="0" y="0"/>
                          <a:ext cx="4441190" cy="2181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9FE29C" w14:textId="61B58C7E" w:rsidR="005B52B0" w:rsidRPr="004E2649" w:rsidRDefault="005B52B0" w:rsidP="00997BC5">
                            <w:pPr>
                              <w:spacing w:line="276" w:lineRule="auto"/>
                              <w:rPr>
                                <w:rFonts w:asciiTheme="majorHAnsi" w:hAnsiTheme="majorHAnsi" w:cs="Arial"/>
                                <w:b/>
                                <w:bCs/>
                                <w:color w:val="0D0D0D" w:themeColor="text1" w:themeTint="F2"/>
                                <w:sz w:val="36"/>
                                <w:szCs w:val="22"/>
                                <w:lang w:val="es-ES_tradnl"/>
                              </w:rPr>
                            </w:pPr>
                            <w:r w:rsidRPr="004E2649">
                              <w:rPr>
                                <w:rFonts w:asciiTheme="majorHAnsi" w:hAnsiTheme="majorHAnsi" w:cs="Arial"/>
                                <w:b/>
                                <w:bCs/>
                                <w:color w:val="0D0D0D" w:themeColor="text1" w:themeTint="F2"/>
                                <w:sz w:val="36"/>
                                <w:szCs w:val="22"/>
                                <w:lang w:val="es-ES_tradnl"/>
                              </w:rPr>
                              <w:t xml:space="preserve">INFORME </w:t>
                            </w:r>
                            <w:r w:rsidR="00477592" w:rsidRPr="00DC7023">
                              <w:rPr>
                                <w:rFonts w:asciiTheme="majorHAnsi" w:hAnsiTheme="majorHAnsi" w:cs="Arial"/>
                                <w:b/>
                                <w:bCs/>
                                <w:color w:val="0D0D0D" w:themeColor="text1" w:themeTint="F2"/>
                                <w:sz w:val="36"/>
                                <w:szCs w:val="40"/>
                                <w:lang w:val="es-ES_tradnl"/>
                              </w:rPr>
                              <w:t>No.</w:t>
                            </w:r>
                            <w:r w:rsidR="007B05C4">
                              <w:rPr>
                                <w:rFonts w:asciiTheme="majorHAnsi" w:hAnsiTheme="majorHAnsi" w:cs="Arial"/>
                                <w:b/>
                                <w:bCs/>
                                <w:color w:val="0D0D0D" w:themeColor="text1" w:themeTint="F2"/>
                                <w:sz w:val="36"/>
                                <w:szCs w:val="22"/>
                                <w:lang w:val="es-ES_tradnl"/>
                              </w:rPr>
                              <w:t xml:space="preserve"> </w:t>
                            </w:r>
                            <w:r w:rsidR="00652A7C">
                              <w:rPr>
                                <w:rFonts w:asciiTheme="majorHAnsi" w:hAnsiTheme="majorHAnsi" w:cs="Arial"/>
                                <w:b/>
                                <w:bCs/>
                                <w:color w:val="0D0D0D" w:themeColor="text1" w:themeTint="F2"/>
                                <w:sz w:val="36"/>
                                <w:szCs w:val="22"/>
                                <w:lang w:val="es-ES_tradnl"/>
                              </w:rPr>
                              <w:t>27</w:t>
                            </w:r>
                            <w:r w:rsidR="007B05C4">
                              <w:rPr>
                                <w:rFonts w:asciiTheme="majorHAnsi" w:hAnsiTheme="majorHAnsi" w:cs="Arial"/>
                                <w:b/>
                                <w:bCs/>
                                <w:color w:val="0D0D0D" w:themeColor="text1" w:themeTint="F2"/>
                                <w:sz w:val="36"/>
                                <w:szCs w:val="22"/>
                                <w:lang w:val="es-ES_tradnl"/>
                              </w:rPr>
                              <w:t>/</w:t>
                            </w:r>
                            <w:r w:rsidR="00C23BA4">
                              <w:rPr>
                                <w:rFonts w:asciiTheme="majorHAnsi" w:hAnsiTheme="majorHAnsi" w:cs="Arial"/>
                                <w:b/>
                                <w:bCs/>
                                <w:color w:val="0D0D0D" w:themeColor="text1" w:themeTint="F2"/>
                                <w:sz w:val="36"/>
                                <w:szCs w:val="22"/>
                                <w:lang w:val="es-ES_tradnl"/>
                              </w:rPr>
                              <w:t>2</w:t>
                            </w:r>
                            <w:r w:rsidR="00401D83">
                              <w:rPr>
                                <w:rFonts w:asciiTheme="majorHAnsi" w:hAnsiTheme="majorHAnsi" w:cs="Arial"/>
                                <w:b/>
                                <w:bCs/>
                                <w:color w:val="0D0D0D" w:themeColor="text1" w:themeTint="F2"/>
                                <w:sz w:val="36"/>
                                <w:szCs w:val="22"/>
                                <w:lang w:val="es-ES_tradnl"/>
                              </w:rPr>
                              <w:t>3</w:t>
                            </w:r>
                          </w:p>
                          <w:p w14:paraId="09C54AB3" w14:textId="66E8CFD8" w:rsidR="007B05C4" w:rsidRDefault="005B52B0" w:rsidP="00997BC5">
                            <w:pPr>
                              <w:spacing w:line="276" w:lineRule="auto"/>
                              <w:rPr>
                                <w:rFonts w:asciiTheme="majorHAnsi" w:hAnsiTheme="majorHAnsi" w:cs="Arial"/>
                                <w:b/>
                                <w:color w:val="0D0D0D" w:themeColor="text1" w:themeTint="F2"/>
                                <w:sz w:val="36"/>
                                <w:szCs w:val="22"/>
                                <w:lang w:val="es-ES_tradnl"/>
                              </w:rPr>
                            </w:pPr>
                            <w:r w:rsidRPr="004E2649">
                              <w:rPr>
                                <w:rFonts w:asciiTheme="majorHAnsi" w:hAnsiTheme="majorHAnsi" w:cs="Arial"/>
                                <w:b/>
                                <w:color w:val="0D0D0D" w:themeColor="text1" w:themeTint="F2"/>
                                <w:sz w:val="36"/>
                                <w:szCs w:val="22"/>
                                <w:lang w:val="es-ES_tradnl"/>
                              </w:rPr>
                              <w:t xml:space="preserve">PETICIÓN </w:t>
                            </w:r>
                            <w:r w:rsidR="00B82E09">
                              <w:rPr>
                                <w:rFonts w:asciiTheme="majorHAnsi" w:hAnsiTheme="majorHAnsi" w:cs="Arial"/>
                                <w:b/>
                                <w:color w:val="0D0D0D" w:themeColor="text1" w:themeTint="F2"/>
                                <w:sz w:val="36"/>
                                <w:szCs w:val="22"/>
                                <w:lang w:val="es-ES_tradnl"/>
                              </w:rPr>
                              <w:t>1359</w:t>
                            </w:r>
                            <w:r w:rsidR="00246D1F" w:rsidRPr="004E2649">
                              <w:rPr>
                                <w:rFonts w:asciiTheme="majorHAnsi" w:hAnsiTheme="majorHAnsi" w:cs="Arial"/>
                                <w:b/>
                                <w:color w:val="0D0D0D" w:themeColor="text1" w:themeTint="F2"/>
                                <w:sz w:val="36"/>
                                <w:szCs w:val="22"/>
                                <w:lang w:val="es-ES_tradnl"/>
                              </w:rPr>
                              <w:t>-</w:t>
                            </w:r>
                            <w:r w:rsidR="00401D83">
                              <w:rPr>
                                <w:rFonts w:asciiTheme="majorHAnsi" w:hAnsiTheme="majorHAnsi" w:cs="Arial"/>
                                <w:b/>
                                <w:color w:val="0D0D0D" w:themeColor="text1" w:themeTint="F2"/>
                                <w:sz w:val="36"/>
                                <w:szCs w:val="22"/>
                                <w:lang w:val="es-ES_tradnl"/>
                              </w:rPr>
                              <w:t>0</w:t>
                            </w:r>
                            <w:r w:rsidR="00B82E09">
                              <w:rPr>
                                <w:rFonts w:asciiTheme="majorHAnsi" w:hAnsiTheme="majorHAnsi" w:cs="Arial"/>
                                <w:b/>
                                <w:color w:val="0D0D0D" w:themeColor="text1" w:themeTint="F2"/>
                                <w:sz w:val="36"/>
                                <w:szCs w:val="22"/>
                                <w:lang w:val="es-ES_tradnl"/>
                              </w:rPr>
                              <w:t>7</w:t>
                            </w:r>
                            <w:r w:rsidR="00246D1F" w:rsidRPr="004E2649">
                              <w:rPr>
                                <w:rFonts w:asciiTheme="majorHAnsi" w:hAnsiTheme="majorHAnsi" w:cs="Arial"/>
                                <w:b/>
                                <w:color w:val="0D0D0D" w:themeColor="text1" w:themeTint="F2"/>
                                <w:sz w:val="36"/>
                                <w:szCs w:val="22"/>
                                <w:lang w:val="es-ES_tradnl"/>
                              </w:rPr>
                              <w:t xml:space="preserve"> </w:t>
                            </w:r>
                          </w:p>
                          <w:p w14:paraId="70CF6833" w14:textId="37C59BDF" w:rsidR="00CD046C" w:rsidRPr="0010736F" w:rsidRDefault="005B52B0" w:rsidP="00997BC5">
                            <w:pPr>
                              <w:spacing w:line="276" w:lineRule="auto"/>
                              <w:rPr>
                                <w:rFonts w:asciiTheme="majorHAnsi" w:hAnsiTheme="majorHAnsi" w:cs="Arial"/>
                                <w:color w:val="0D0D0D" w:themeColor="text1" w:themeTint="F2"/>
                                <w:szCs w:val="22"/>
                                <w:lang w:val="es-ES_tradnl"/>
                              </w:rPr>
                            </w:pPr>
                            <w:r w:rsidRPr="0010736F">
                              <w:rPr>
                                <w:rFonts w:asciiTheme="majorHAnsi" w:hAnsiTheme="majorHAnsi" w:cs="Arial"/>
                                <w:color w:val="0D0D0D" w:themeColor="text1" w:themeTint="F2"/>
                                <w:szCs w:val="22"/>
                                <w:lang w:val="es-ES_tradnl"/>
                              </w:rPr>
                              <w:t>INFORME DE ADMISIBILIDAD</w:t>
                            </w:r>
                          </w:p>
                          <w:p w14:paraId="5FDD6F0D" w14:textId="77777777" w:rsidR="008F1912" w:rsidRPr="0010736F" w:rsidRDefault="008F1912" w:rsidP="00997BC5">
                            <w:pPr>
                              <w:spacing w:line="276" w:lineRule="auto"/>
                              <w:rPr>
                                <w:rFonts w:asciiTheme="majorHAnsi" w:hAnsiTheme="majorHAnsi" w:cs="Arial"/>
                                <w:color w:val="0D0D0D" w:themeColor="text1" w:themeTint="F2"/>
                                <w:szCs w:val="22"/>
                                <w:lang w:val="es-ES_tradnl"/>
                              </w:rPr>
                            </w:pPr>
                            <w:bookmarkStart w:id="0" w:name="_ftnref1"/>
                          </w:p>
                          <w:p w14:paraId="4CFA2FBF" w14:textId="0A93F93A" w:rsidR="005B52B0" w:rsidRPr="0010736F" w:rsidRDefault="00F2665D" w:rsidP="00997BC5">
                            <w:pPr>
                              <w:spacing w:line="276" w:lineRule="auto"/>
                              <w:rPr>
                                <w:rFonts w:asciiTheme="majorHAnsi" w:hAnsiTheme="majorHAnsi" w:cs="Arial"/>
                                <w:color w:val="0D0D0D" w:themeColor="text1" w:themeTint="F2"/>
                                <w:szCs w:val="22"/>
                                <w:lang w:val="es-ES_tradnl"/>
                              </w:rPr>
                            </w:pPr>
                            <w:r w:rsidRPr="0012133A">
                              <w:rPr>
                                <w:rFonts w:asciiTheme="majorHAnsi" w:hAnsiTheme="majorHAnsi" w:cs="Arial"/>
                                <w:color w:val="0D0D0D" w:themeColor="text1" w:themeTint="F2"/>
                                <w:szCs w:val="22"/>
                                <w:lang w:val="es-ES_tradnl"/>
                              </w:rPr>
                              <w:t xml:space="preserve">MASACRE DE </w:t>
                            </w:r>
                            <w:r w:rsidR="00453D87" w:rsidRPr="0012133A">
                              <w:rPr>
                                <w:rFonts w:asciiTheme="majorHAnsi" w:hAnsiTheme="majorHAnsi" w:cs="Arial"/>
                                <w:color w:val="0D0D0D" w:themeColor="text1" w:themeTint="F2"/>
                                <w:szCs w:val="22"/>
                                <w:lang w:val="es-ES_tradnl"/>
                              </w:rPr>
                              <w:t>S</w:t>
                            </w:r>
                            <w:r w:rsidR="00453D87">
                              <w:rPr>
                                <w:rFonts w:asciiTheme="majorHAnsi" w:hAnsiTheme="majorHAnsi" w:cs="Arial"/>
                                <w:color w:val="0D0D0D" w:themeColor="text1" w:themeTint="F2"/>
                                <w:szCs w:val="22"/>
                                <w:lang w:val="es-ES_tradnl"/>
                              </w:rPr>
                              <w:t>ANTA RITA</w:t>
                            </w:r>
                          </w:p>
                          <w:bookmarkEnd w:id="0"/>
                          <w:p w14:paraId="35068D0D" w14:textId="6050CC39" w:rsidR="005B52B0" w:rsidRPr="0010736F" w:rsidRDefault="00B17BFE" w:rsidP="00997BC5">
                            <w:pPr>
                              <w:spacing w:line="276" w:lineRule="auto"/>
                              <w:rPr>
                                <w:rFonts w:asciiTheme="majorHAnsi" w:hAnsiTheme="majorHAnsi" w:cs="Arial"/>
                                <w:color w:val="0D0D0D" w:themeColor="text1" w:themeTint="F2"/>
                                <w:szCs w:val="22"/>
                                <w:lang w:val="es-ES"/>
                              </w:rPr>
                            </w:pPr>
                            <w:r>
                              <w:rPr>
                                <w:rFonts w:asciiTheme="majorHAnsi" w:hAnsiTheme="majorHAnsi" w:cs="Arial"/>
                                <w:color w:val="0D0D0D" w:themeColor="text1" w:themeTint="F2"/>
                                <w:szCs w:val="22"/>
                                <w:lang w:val="es-ES_tradnl"/>
                              </w:rPr>
                              <w:t>COLOMBIA</w:t>
                            </w:r>
                          </w:p>
                          <w:p w14:paraId="575DFD52" w14:textId="77777777" w:rsidR="005B52B0" w:rsidRPr="00AE5488" w:rsidRDefault="005B52B0" w:rsidP="007A5817">
                            <w:pPr>
                              <w:rPr>
                                <w:color w:val="0D0D0D" w:themeColor="text1" w:themeTint="F2"/>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0ED94" id="Text Box 5" o:spid="_x0000_s1027" type="#_x0000_t202" style="position:absolute;left:0;text-align:left;margin-left:106.5pt;margin-top:8.45pt;width:349.7pt;height:17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" filled="f" stroked="f" strokeweight=".5pt">
                <v:textbox>
                  <w:txbxContent>
                    <w:p w14:paraId="4D9FE29C" w14:textId="61B58C7E" w:rsidR="005B52B0" w:rsidRPr="004E2649" w:rsidRDefault="005B52B0" w:rsidP="00997BC5">
                      <w:pPr>
                        <w:spacing w:line="276" w:lineRule="auto"/>
                        <w:rPr>
                          <w:rFonts w:asciiTheme="majorHAnsi" w:hAnsiTheme="majorHAnsi" w:cs="Arial"/>
                          <w:b/>
                          <w:bCs/>
                          <w:color w:val="0D0D0D" w:themeColor="text1" w:themeTint="F2"/>
                          <w:sz w:val="36"/>
                          <w:szCs w:val="22"/>
                          <w:lang w:val="es-ES_tradnl"/>
                        </w:rPr>
                      </w:pPr>
                      <w:r w:rsidRPr="004E2649">
                        <w:rPr>
                          <w:rFonts w:asciiTheme="majorHAnsi" w:hAnsiTheme="majorHAnsi" w:cs="Arial"/>
                          <w:b/>
                          <w:bCs/>
                          <w:color w:val="0D0D0D" w:themeColor="text1" w:themeTint="F2"/>
                          <w:sz w:val="36"/>
                          <w:szCs w:val="22"/>
                          <w:lang w:val="es-ES_tradnl"/>
                        </w:rPr>
                        <w:t xml:space="preserve">INFORME </w:t>
                      </w:r>
                      <w:r w:rsidR="00477592" w:rsidRPr="00DC7023">
                        <w:rPr>
                          <w:rFonts w:asciiTheme="majorHAnsi" w:hAnsiTheme="majorHAnsi" w:cs="Arial"/>
                          <w:b/>
                          <w:bCs/>
                          <w:color w:val="0D0D0D" w:themeColor="text1" w:themeTint="F2"/>
                          <w:sz w:val="36"/>
                          <w:szCs w:val="40"/>
                          <w:lang w:val="es-ES_tradnl"/>
                        </w:rPr>
                        <w:t>No.</w:t>
                      </w:r>
                      <w:r w:rsidR="007B05C4">
                        <w:rPr>
                          <w:rFonts w:asciiTheme="majorHAnsi" w:hAnsiTheme="majorHAnsi" w:cs="Arial"/>
                          <w:b/>
                          <w:bCs/>
                          <w:color w:val="0D0D0D" w:themeColor="text1" w:themeTint="F2"/>
                          <w:sz w:val="36"/>
                          <w:szCs w:val="22"/>
                          <w:lang w:val="es-ES_tradnl"/>
                        </w:rPr>
                        <w:t xml:space="preserve"> </w:t>
                      </w:r>
                      <w:r w:rsidR="00652A7C">
                        <w:rPr>
                          <w:rFonts w:asciiTheme="majorHAnsi" w:hAnsiTheme="majorHAnsi" w:cs="Arial"/>
                          <w:b/>
                          <w:bCs/>
                          <w:color w:val="0D0D0D" w:themeColor="text1" w:themeTint="F2"/>
                          <w:sz w:val="36"/>
                          <w:szCs w:val="22"/>
                          <w:lang w:val="es-ES_tradnl"/>
                        </w:rPr>
                        <w:t>27</w:t>
                      </w:r>
                      <w:r w:rsidR="007B05C4">
                        <w:rPr>
                          <w:rFonts w:asciiTheme="majorHAnsi" w:hAnsiTheme="majorHAnsi" w:cs="Arial"/>
                          <w:b/>
                          <w:bCs/>
                          <w:color w:val="0D0D0D" w:themeColor="text1" w:themeTint="F2"/>
                          <w:sz w:val="36"/>
                          <w:szCs w:val="22"/>
                          <w:lang w:val="es-ES_tradnl"/>
                        </w:rPr>
                        <w:t>/</w:t>
                      </w:r>
                      <w:r w:rsidR="00C23BA4">
                        <w:rPr>
                          <w:rFonts w:asciiTheme="majorHAnsi" w:hAnsiTheme="majorHAnsi" w:cs="Arial"/>
                          <w:b/>
                          <w:bCs/>
                          <w:color w:val="0D0D0D" w:themeColor="text1" w:themeTint="F2"/>
                          <w:sz w:val="36"/>
                          <w:szCs w:val="22"/>
                          <w:lang w:val="es-ES_tradnl"/>
                        </w:rPr>
                        <w:t>2</w:t>
                      </w:r>
                      <w:r w:rsidR="00401D83">
                        <w:rPr>
                          <w:rFonts w:asciiTheme="majorHAnsi" w:hAnsiTheme="majorHAnsi" w:cs="Arial"/>
                          <w:b/>
                          <w:bCs/>
                          <w:color w:val="0D0D0D" w:themeColor="text1" w:themeTint="F2"/>
                          <w:sz w:val="36"/>
                          <w:szCs w:val="22"/>
                          <w:lang w:val="es-ES_tradnl"/>
                        </w:rPr>
                        <w:t>3</w:t>
                      </w:r>
                    </w:p>
                    <w:p w14:paraId="09C54AB3" w14:textId="66E8CFD8" w:rsidR="007B05C4" w:rsidRDefault="005B52B0" w:rsidP="00997BC5">
                      <w:pPr>
                        <w:spacing w:line="276" w:lineRule="auto"/>
                        <w:rPr>
                          <w:rFonts w:asciiTheme="majorHAnsi" w:hAnsiTheme="majorHAnsi" w:cs="Arial"/>
                          <w:b/>
                          <w:color w:val="0D0D0D" w:themeColor="text1" w:themeTint="F2"/>
                          <w:sz w:val="36"/>
                          <w:szCs w:val="22"/>
                          <w:lang w:val="es-ES_tradnl"/>
                        </w:rPr>
                      </w:pPr>
                      <w:r w:rsidRPr="004E2649">
                        <w:rPr>
                          <w:rFonts w:asciiTheme="majorHAnsi" w:hAnsiTheme="majorHAnsi" w:cs="Arial"/>
                          <w:b/>
                          <w:color w:val="0D0D0D" w:themeColor="text1" w:themeTint="F2"/>
                          <w:sz w:val="36"/>
                          <w:szCs w:val="22"/>
                          <w:lang w:val="es-ES_tradnl"/>
                        </w:rPr>
                        <w:t xml:space="preserve">PETICIÓN </w:t>
                      </w:r>
                      <w:r w:rsidR="00B82E09">
                        <w:rPr>
                          <w:rFonts w:asciiTheme="majorHAnsi" w:hAnsiTheme="majorHAnsi" w:cs="Arial"/>
                          <w:b/>
                          <w:color w:val="0D0D0D" w:themeColor="text1" w:themeTint="F2"/>
                          <w:sz w:val="36"/>
                          <w:szCs w:val="22"/>
                          <w:lang w:val="es-ES_tradnl"/>
                        </w:rPr>
                        <w:t>1359</w:t>
                      </w:r>
                      <w:r w:rsidR="00246D1F" w:rsidRPr="004E2649">
                        <w:rPr>
                          <w:rFonts w:asciiTheme="majorHAnsi" w:hAnsiTheme="majorHAnsi" w:cs="Arial"/>
                          <w:b/>
                          <w:color w:val="0D0D0D" w:themeColor="text1" w:themeTint="F2"/>
                          <w:sz w:val="36"/>
                          <w:szCs w:val="22"/>
                          <w:lang w:val="es-ES_tradnl"/>
                        </w:rPr>
                        <w:t>-</w:t>
                      </w:r>
                      <w:r w:rsidR="00401D83">
                        <w:rPr>
                          <w:rFonts w:asciiTheme="majorHAnsi" w:hAnsiTheme="majorHAnsi" w:cs="Arial"/>
                          <w:b/>
                          <w:color w:val="0D0D0D" w:themeColor="text1" w:themeTint="F2"/>
                          <w:sz w:val="36"/>
                          <w:szCs w:val="22"/>
                          <w:lang w:val="es-ES_tradnl"/>
                        </w:rPr>
                        <w:t>0</w:t>
                      </w:r>
                      <w:r w:rsidR="00B82E09">
                        <w:rPr>
                          <w:rFonts w:asciiTheme="majorHAnsi" w:hAnsiTheme="majorHAnsi" w:cs="Arial"/>
                          <w:b/>
                          <w:color w:val="0D0D0D" w:themeColor="text1" w:themeTint="F2"/>
                          <w:sz w:val="36"/>
                          <w:szCs w:val="22"/>
                          <w:lang w:val="es-ES_tradnl"/>
                        </w:rPr>
                        <w:t>7</w:t>
                      </w:r>
                      <w:r w:rsidR="00246D1F" w:rsidRPr="004E2649">
                        <w:rPr>
                          <w:rFonts w:asciiTheme="majorHAnsi" w:hAnsiTheme="majorHAnsi" w:cs="Arial"/>
                          <w:b/>
                          <w:color w:val="0D0D0D" w:themeColor="text1" w:themeTint="F2"/>
                          <w:sz w:val="36"/>
                          <w:szCs w:val="22"/>
                          <w:lang w:val="es-ES_tradnl"/>
                        </w:rPr>
                        <w:t xml:space="preserve"> </w:t>
                      </w:r>
                    </w:p>
                    <w:p w14:paraId="70CF6833" w14:textId="37C59BDF" w:rsidR="00CD046C" w:rsidRPr="0010736F" w:rsidRDefault="005B52B0" w:rsidP="00997BC5">
                      <w:pPr>
                        <w:spacing w:line="276" w:lineRule="auto"/>
                        <w:rPr>
                          <w:rFonts w:asciiTheme="majorHAnsi" w:hAnsiTheme="majorHAnsi" w:cs="Arial"/>
                          <w:color w:val="0D0D0D" w:themeColor="text1" w:themeTint="F2"/>
                          <w:szCs w:val="22"/>
                          <w:lang w:val="es-ES_tradnl"/>
                        </w:rPr>
                      </w:pPr>
                      <w:r w:rsidRPr="0010736F">
                        <w:rPr>
                          <w:rFonts w:asciiTheme="majorHAnsi" w:hAnsiTheme="majorHAnsi" w:cs="Arial"/>
                          <w:color w:val="0D0D0D" w:themeColor="text1" w:themeTint="F2"/>
                          <w:szCs w:val="22"/>
                          <w:lang w:val="es-ES_tradnl"/>
                        </w:rPr>
                        <w:t>INFORME DE ADMISIBILIDAD</w:t>
                      </w:r>
                    </w:p>
                    <w:p w14:paraId="5FDD6F0D" w14:textId="77777777" w:rsidR="008F1912" w:rsidRPr="0010736F" w:rsidRDefault="008F1912" w:rsidP="00997BC5">
                      <w:pPr>
                        <w:spacing w:line="276" w:lineRule="auto"/>
                        <w:rPr>
                          <w:rFonts w:asciiTheme="majorHAnsi" w:hAnsiTheme="majorHAnsi" w:cs="Arial"/>
                          <w:color w:val="0D0D0D" w:themeColor="text1" w:themeTint="F2"/>
                          <w:szCs w:val="22"/>
                          <w:lang w:val="es-ES_tradnl"/>
                        </w:rPr>
                      </w:pPr>
                      <w:bookmarkStart w:id="1" w:name="_ftnref1"/>
                    </w:p>
                    <w:p w14:paraId="4CFA2FBF" w14:textId="0A93F93A" w:rsidR="005B52B0" w:rsidRPr="0010736F" w:rsidRDefault="00F2665D" w:rsidP="00997BC5">
                      <w:pPr>
                        <w:spacing w:line="276" w:lineRule="auto"/>
                        <w:rPr>
                          <w:rFonts w:asciiTheme="majorHAnsi" w:hAnsiTheme="majorHAnsi" w:cs="Arial"/>
                          <w:color w:val="0D0D0D" w:themeColor="text1" w:themeTint="F2"/>
                          <w:szCs w:val="22"/>
                          <w:lang w:val="es-ES_tradnl"/>
                        </w:rPr>
                      </w:pPr>
                      <w:r w:rsidRPr="0012133A">
                        <w:rPr>
                          <w:rFonts w:asciiTheme="majorHAnsi" w:hAnsiTheme="majorHAnsi" w:cs="Arial"/>
                          <w:color w:val="0D0D0D" w:themeColor="text1" w:themeTint="F2"/>
                          <w:szCs w:val="22"/>
                          <w:lang w:val="es-ES_tradnl"/>
                        </w:rPr>
                        <w:t xml:space="preserve">MASACRE DE </w:t>
                      </w:r>
                      <w:r w:rsidR="00453D87" w:rsidRPr="0012133A">
                        <w:rPr>
                          <w:rFonts w:asciiTheme="majorHAnsi" w:hAnsiTheme="majorHAnsi" w:cs="Arial"/>
                          <w:color w:val="0D0D0D" w:themeColor="text1" w:themeTint="F2"/>
                          <w:szCs w:val="22"/>
                          <w:lang w:val="es-ES_tradnl"/>
                        </w:rPr>
                        <w:t>S</w:t>
                      </w:r>
                      <w:r w:rsidR="00453D87">
                        <w:rPr>
                          <w:rFonts w:asciiTheme="majorHAnsi" w:hAnsiTheme="majorHAnsi" w:cs="Arial"/>
                          <w:color w:val="0D0D0D" w:themeColor="text1" w:themeTint="F2"/>
                          <w:szCs w:val="22"/>
                          <w:lang w:val="es-ES_tradnl"/>
                        </w:rPr>
                        <w:t>ANTA RITA</w:t>
                      </w:r>
                    </w:p>
                    <w:bookmarkEnd w:id="1"/>
                    <w:p w14:paraId="35068D0D" w14:textId="6050CC39" w:rsidR="005B52B0" w:rsidRPr="0010736F" w:rsidRDefault="00B17BFE" w:rsidP="00997BC5">
                      <w:pPr>
                        <w:spacing w:line="276" w:lineRule="auto"/>
                        <w:rPr>
                          <w:rFonts w:asciiTheme="majorHAnsi" w:hAnsiTheme="majorHAnsi" w:cs="Arial"/>
                          <w:color w:val="0D0D0D" w:themeColor="text1" w:themeTint="F2"/>
                          <w:szCs w:val="22"/>
                          <w:lang w:val="es-ES"/>
                        </w:rPr>
                      </w:pPr>
                      <w:r>
                        <w:rPr>
                          <w:rFonts w:asciiTheme="majorHAnsi" w:hAnsiTheme="majorHAnsi" w:cs="Arial"/>
                          <w:color w:val="0D0D0D" w:themeColor="text1" w:themeTint="F2"/>
                          <w:szCs w:val="22"/>
                          <w:lang w:val="es-ES_tradnl"/>
                        </w:rPr>
                        <w:t>COLOMBIA</w:t>
                      </w:r>
                    </w:p>
                    <w:p w14:paraId="575DFD52" w14:textId="77777777" w:rsidR="005B52B0" w:rsidRPr="00AE5488" w:rsidRDefault="005B52B0" w:rsidP="007A5817">
                      <w:pPr>
                        <w:rPr>
                          <w:color w:val="0D0D0D" w:themeColor="text1" w:themeTint="F2"/>
                          <w:lang w:val="es-ES_tradnl"/>
                        </w:rPr>
                      </w:pPr>
                    </w:p>
                  </w:txbxContent>
                </v:textbox>
              </v:shape>
            </w:pict>
          </mc:Fallback>
        </mc:AlternateContent>
      </w:r>
      <w:r w:rsidR="004E2649" w:rsidRPr="0090270B">
        <w:rPr>
          <w:rFonts w:asciiTheme="majorHAnsi" w:hAnsiTheme="majorHAnsi"/>
          <w:noProof/>
          <w:sz w:val="22"/>
          <w:szCs w:val="22"/>
          <w:lang w:val="es-419" w:eastAsia="es-419"/>
        </w:rPr>
        <mc:AlternateContent>
          <mc:Choice Requires="wps">
            <w:drawing>
              <wp:anchor distT="0" distB="0" distL="114300" distR="114300" simplePos="0" relativeHeight="251671552" behindDoc="0" locked="0" layoutInCell="1" allowOverlap="1" wp14:anchorId="73BE5919" wp14:editId="686CF99C">
                <wp:simplePos x="0" y="0"/>
                <wp:positionH relativeFrom="column">
                  <wp:posOffset>-342900</wp:posOffset>
                </wp:positionH>
                <wp:positionV relativeFrom="paragraph">
                  <wp:posOffset>164465</wp:posOffset>
                </wp:positionV>
                <wp:extent cx="1390650" cy="1377315"/>
                <wp:effectExtent l="0" t="0" r="0" b="0"/>
                <wp:wrapNone/>
                <wp:docPr id="8" name="Text Box 8"/>
                <wp:cNvGraphicFramePr/>
                <a:graphic xmlns:a="http://schemas.openxmlformats.org/drawingml/2006/main">
                  <a:graphicData uri="http://schemas.microsoft.com/office/word/2010/wordprocessingShape">
                    <wps:wsp>
                      <wps:cNvSpPr txBox="1"/>
                      <wps:spPr>
                        <a:xfrm>
                          <a:off x="0" y="0"/>
                          <a:ext cx="1390650" cy="1377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F0BAF6" w14:textId="5FC44EA9" w:rsidR="00627C9F" w:rsidRPr="00A212B7" w:rsidRDefault="00834D49" w:rsidP="007A5817">
                            <w:pPr>
                              <w:spacing w:line="276" w:lineRule="auto"/>
                              <w:jc w:val="right"/>
                              <w:rPr>
                                <w:rFonts w:asciiTheme="minorHAnsi" w:hAnsiTheme="minorHAnsi"/>
                                <w:color w:val="FFFFFF" w:themeColor="background1"/>
                                <w:sz w:val="22"/>
                                <w:lang w:val="es-ES"/>
                              </w:rPr>
                            </w:pPr>
                            <w:r w:rsidRPr="00A212B7">
                              <w:rPr>
                                <w:rFonts w:asciiTheme="minorHAnsi" w:hAnsiTheme="minorHAnsi"/>
                                <w:color w:val="FFFFFF" w:themeColor="background1"/>
                                <w:sz w:val="22"/>
                                <w:lang w:val="es-ES"/>
                              </w:rPr>
                              <w:t>OEA/Ser.L/V/II</w:t>
                            </w:r>
                          </w:p>
                          <w:p w14:paraId="6A41611B" w14:textId="7948CEDA" w:rsidR="00627C9F" w:rsidRPr="00A212B7" w:rsidRDefault="00627C9F" w:rsidP="007A5817">
                            <w:pPr>
                              <w:spacing w:line="276" w:lineRule="auto"/>
                              <w:jc w:val="right"/>
                              <w:rPr>
                                <w:rFonts w:asciiTheme="minorHAnsi" w:hAnsiTheme="minorHAnsi"/>
                                <w:color w:val="FFFFFF" w:themeColor="background1"/>
                                <w:sz w:val="22"/>
                                <w:lang w:val="es-ES"/>
                              </w:rPr>
                            </w:pPr>
                            <w:r w:rsidRPr="00A212B7">
                              <w:rPr>
                                <w:rFonts w:asciiTheme="minorHAnsi" w:hAnsiTheme="minorHAnsi"/>
                                <w:color w:val="FFFFFF" w:themeColor="background1"/>
                                <w:sz w:val="22"/>
                                <w:lang w:val="es-ES"/>
                              </w:rPr>
                              <w:t xml:space="preserve">Doc. </w:t>
                            </w:r>
                            <w:r w:rsidR="00652A7C" w:rsidRPr="00A212B7">
                              <w:rPr>
                                <w:rFonts w:asciiTheme="minorHAnsi" w:hAnsiTheme="minorHAnsi"/>
                                <w:color w:val="FFFFFF" w:themeColor="background1"/>
                                <w:sz w:val="22"/>
                                <w:lang w:val="es-ES"/>
                              </w:rPr>
                              <w:t>29</w:t>
                            </w:r>
                          </w:p>
                          <w:p w14:paraId="69373ED2" w14:textId="2DEB066B" w:rsidR="00627C9F" w:rsidRPr="00C25ADB" w:rsidRDefault="008F5DC8" w:rsidP="007A5817">
                            <w:pPr>
                              <w:spacing w:line="276" w:lineRule="auto"/>
                              <w:jc w:val="right"/>
                              <w:rPr>
                                <w:rFonts w:asciiTheme="minorHAnsi" w:hAnsiTheme="minorHAnsi"/>
                                <w:color w:val="FFFFFF" w:themeColor="background1"/>
                                <w:sz w:val="22"/>
                                <w:lang w:val="es-PA"/>
                              </w:rPr>
                            </w:pPr>
                            <w:r>
                              <w:rPr>
                                <w:rFonts w:asciiTheme="minorHAnsi" w:hAnsiTheme="minorHAnsi"/>
                                <w:color w:val="FFFFFF" w:themeColor="background1"/>
                                <w:sz w:val="22"/>
                                <w:lang w:val="es-PA"/>
                              </w:rPr>
                              <w:t>26 febrero</w:t>
                            </w:r>
                            <w:r w:rsidR="007B05C4" w:rsidRPr="00C25ADB">
                              <w:rPr>
                                <w:rFonts w:asciiTheme="minorHAnsi" w:hAnsiTheme="minorHAnsi"/>
                                <w:color w:val="FFFFFF" w:themeColor="background1"/>
                                <w:sz w:val="22"/>
                                <w:lang w:val="es-PA"/>
                              </w:rPr>
                              <w:t xml:space="preserve"> </w:t>
                            </w:r>
                            <w:r w:rsidR="00627C9F" w:rsidRPr="00C25ADB">
                              <w:rPr>
                                <w:rFonts w:asciiTheme="minorHAnsi" w:hAnsiTheme="minorHAnsi"/>
                                <w:color w:val="FFFFFF" w:themeColor="background1"/>
                                <w:sz w:val="22"/>
                                <w:lang w:val="es-PA"/>
                              </w:rPr>
                              <w:t>20</w:t>
                            </w:r>
                            <w:r w:rsidR="00C23BA4" w:rsidRPr="00C25ADB">
                              <w:rPr>
                                <w:rFonts w:asciiTheme="minorHAnsi" w:hAnsiTheme="minorHAnsi"/>
                                <w:color w:val="FFFFFF" w:themeColor="background1"/>
                                <w:sz w:val="22"/>
                                <w:lang w:val="es-PA"/>
                              </w:rPr>
                              <w:t>2</w:t>
                            </w:r>
                            <w:r w:rsidR="00401D83">
                              <w:rPr>
                                <w:rFonts w:asciiTheme="minorHAnsi" w:hAnsiTheme="minorHAnsi"/>
                                <w:color w:val="FFFFFF" w:themeColor="background1"/>
                                <w:sz w:val="22"/>
                                <w:lang w:val="es-PA"/>
                              </w:rPr>
                              <w:t>3</w:t>
                            </w:r>
                          </w:p>
                          <w:p w14:paraId="0771DB5B" w14:textId="77777777" w:rsidR="00627C9F" w:rsidRPr="00C25ADB" w:rsidRDefault="00E0340B" w:rsidP="007A5817">
                            <w:pPr>
                              <w:spacing w:line="276" w:lineRule="auto"/>
                              <w:jc w:val="right"/>
                              <w:rPr>
                                <w:rFonts w:asciiTheme="minorHAnsi" w:hAnsiTheme="minorHAnsi"/>
                                <w:color w:val="FFFFFF" w:themeColor="background1"/>
                                <w:sz w:val="22"/>
                                <w:lang w:val="es-PA"/>
                              </w:rPr>
                            </w:pPr>
                            <w:r w:rsidRPr="00C25ADB">
                              <w:rPr>
                                <w:rFonts w:asciiTheme="minorHAnsi" w:hAnsiTheme="minorHAnsi"/>
                                <w:color w:val="FFFFFF" w:themeColor="background1"/>
                                <w:sz w:val="22"/>
                                <w:lang w:val="es-PA"/>
                              </w:rPr>
                              <w:t xml:space="preserve">Original: </w:t>
                            </w:r>
                            <w:r w:rsidR="008B12F5" w:rsidRPr="00C25ADB">
                              <w:rPr>
                                <w:rFonts w:asciiTheme="minorHAnsi" w:hAnsiTheme="minorHAnsi"/>
                                <w:color w:val="FFFFFF" w:themeColor="background1"/>
                                <w:sz w:val="22"/>
                                <w:lang w:val="es-PA"/>
                              </w:rPr>
                              <w:t>e</w:t>
                            </w:r>
                            <w:r w:rsidR="00627C9F" w:rsidRPr="00C25ADB">
                              <w:rPr>
                                <w:rFonts w:asciiTheme="minorHAnsi" w:hAnsiTheme="minorHAnsi"/>
                                <w:color w:val="FFFFFF" w:themeColor="background1"/>
                                <w:sz w:val="22"/>
                                <w:lang w:val="es-PA"/>
                              </w:rPr>
                              <w:t>spañol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E5919" id="Text Box 8" o:spid="_x0000_s1028" type="#_x0000_t202" style="position:absolute;left:0;text-align:left;margin-left:-27pt;margin-top:12.95pt;width:109.5pt;height:108.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" filled="f" stroked="f" strokeweight=".5pt">
                <v:textbox>
                  <w:txbxContent>
                    <w:p w14:paraId="6CF0BAF6" w14:textId="5FC44EA9" w:rsidR="00627C9F" w:rsidRPr="00A212B7" w:rsidRDefault="00834D49" w:rsidP="007A5817">
                      <w:pPr>
                        <w:spacing w:line="276" w:lineRule="auto"/>
                        <w:jc w:val="right"/>
                        <w:rPr>
                          <w:rFonts w:asciiTheme="minorHAnsi" w:hAnsiTheme="minorHAnsi"/>
                          <w:color w:val="FFFFFF" w:themeColor="background1"/>
                          <w:sz w:val="22"/>
                          <w:lang w:val="es-ES"/>
                        </w:rPr>
                      </w:pPr>
                      <w:r w:rsidRPr="00A212B7">
                        <w:rPr>
                          <w:rFonts w:asciiTheme="minorHAnsi" w:hAnsiTheme="minorHAnsi"/>
                          <w:color w:val="FFFFFF" w:themeColor="background1"/>
                          <w:sz w:val="22"/>
                          <w:lang w:val="es-ES"/>
                        </w:rPr>
                        <w:t>OEA/Ser.L/V/II</w:t>
                      </w:r>
                    </w:p>
                    <w:p w14:paraId="6A41611B" w14:textId="7948CEDA" w:rsidR="00627C9F" w:rsidRPr="00A212B7" w:rsidRDefault="00627C9F" w:rsidP="007A5817">
                      <w:pPr>
                        <w:spacing w:line="276" w:lineRule="auto"/>
                        <w:jc w:val="right"/>
                        <w:rPr>
                          <w:rFonts w:asciiTheme="minorHAnsi" w:hAnsiTheme="minorHAnsi"/>
                          <w:color w:val="FFFFFF" w:themeColor="background1"/>
                          <w:sz w:val="22"/>
                          <w:lang w:val="es-ES"/>
                        </w:rPr>
                      </w:pPr>
                      <w:r w:rsidRPr="00A212B7">
                        <w:rPr>
                          <w:rFonts w:asciiTheme="minorHAnsi" w:hAnsiTheme="minorHAnsi"/>
                          <w:color w:val="FFFFFF" w:themeColor="background1"/>
                          <w:sz w:val="22"/>
                          <w:lang w:val="es-ES"/>
                        </w:rPr>
                        <w:t xml:space="preserve">Doc. </w:t>
                      </w:r>
                      <w:r w:rsidR="00652A7C" w:rsidRPr="00A212B7">
                        <w:rPr>
                          <w:rFonts w:asciiTheme="minorHAnsi" w:hAnsiTheme="minorHAnsi"/>
                          <w:color w:val="FFFFFF" w:themeColor="background1"/>
                          <w:sz w:val="22"/>
                          <w:lang w:val="es-ES"/>
                        </w:rPr>
                        <w:t>29</w:t>
                      </w:r>
                    </w:p>
                    <w:p w14:paraId="69373ED2" w14:textId="2DEB066B" w:rsidR="00627C9F" w:rsidRPr="00C25ADB" w:rsidRDefault="008F5DC8" w:rsidP="007A5817">
                      <w:pPr>
                        <w:spacing w:line="276" w:lineRule="auto"/>
                        <w:jc w:val="right"/>
                        <w:rPr>
                          <w:rFonts w:asciiTheme="minorHAnsi" w:hAnsiTheme="minorHAnsi"/>
                          <w:color w:val="FFFFFF" w:themeColor="background1"/>
                          <w:sz w:val="22"/>
                          <w:lang w:val="es-PA"/>
                        </w:rPr>
                      </w:pPr>
                      <w:r>
                        <w:rPr>
                          <w:rFonts w:asciiTheme="minorHAnsi" w:hAnsiTheme="minorHAnsi"/>
                          <w:color w:val="FFFFFF" w:themeColor="background1"/>
                          <w:sz w:val="22"/>
                          <w:lang w:val="es-PA"/>
                        </w:rPr>
                        <w:t>26 febrero</w:t>
                      </w:r>
                      <w:r w:rsidR="007B05C4" w:rsidRPr="00C25ADB">
                        <w:rPr>
                          <w:rFonts w:asciiTheme="minorHAnsi" w:hAnsiTheme="minorHAnsi"/>
                          <w:color w:val="FFFFFF" w:themeColor="background1"/>
                          <w:sz w:val="22"/>
                          <w:lang w:val="es-PA"/>
                        </w:rPr>
                        <w:t xml:space="preserve"> </w:t>
                      </w:r>
                      <w:r w:rsidR="00627C9F" w:rsidRPr="00C25ADB">
                        <w:rPr>
                          <w:rFonts w:asciiTheme="minorHAnsi" w:hAnsiTheme="minorHAnsi"/>
                          <w:color w:val="FFFFFF" w:themeColor="background1"/>
                          <w:sz w:val="22"/>
                          <w:lang w:val="es-PA"/>
                        </w:rPr>
                        <w:t>20</w:t>
                      </w:r>
                      <w:r w:rsidR="00C23BA4" w:rsidRPr="00C25ADB">
                        <w:rPr>
                          <w:rFonts w:asciiTheme="minorHAnsi" w:hAnsiTheme="minorHAnsi"/>
                          <w:color w:val="FFFFFF" w:themeColor="background1"/>
                          <w:sz w:val="22"/>
                          <w:lang w:val="es-PA"/>
                        </w:rPr>
                        <w:t>2</w:t>
                      </w:r>
                      <w:r w:rsidR="00401D83">
                        <w:rPr>
                          <w:rFonts w:asciiTheme="minorHAnsi" w:hAnsiTheme="minorHAnsi"/>
                          <w:color w:val="FFFFFF" w:themeColor="background1"/>
                          <w:sz w:val="22"/>
                          <w:lang w:val="es-PA"/>
                        </w:rPr>
                        <w:t>3</w:t>
                      </w:r>
                    </w:p>
                    <w:p w14:paraId="0771DB5B" w14:textId="77777777" w:rsidR="00627C9F" w:rsidRPr="00C25ADB" w:rsidRDefault="00E0340B" w:rsidP="007A5817">
                      <w:pPr>
                        <w:spacing w:line="276" w:lineRule="auto"/>
                        <w:jc w:val="right"/>
                        <w:rPr>
                          <w:rFonts w:asciiTheme="minorHAnsi" w:hAnsiTheme="minorHAnsi"/>
                          <w:color w:val="FFFFFF" w:themeColor="background1"/>
                          <w:sz w:val="22"/>
                          <w:lang w:val="es-PA"/>
                        </w:rPr>
                      </w:pPr>
                      <w:r w:rsidRPr="00C25ADB">
                        <w:rPr>
                          <w:rFonts w:asciiTheme="minorHAnsi" w:hAnsiTheme="minorHAnsi"/>
                          <w:color w:val="FFFFFF" w:themeColor="background1"/>
                          <w:sz w:val="22"/>
                          <w:lang w:val="es-PA"/>
                        </w:rPr>
                        <w:t xml:space="preserve">Original: </w:t>
                      </w:r>
                      <w:r w:rsidR="008B12F5" w:rsidRPr="00C25ADB">
                        <w:rPr>
                          <w:rFonts w:asciiTheme="minorHAnsi" w:hAnsiTheme="minorHAnsi"/>
                          <w:color w:val="FFFFFF" w:themeColor="background1"/>
                          <w:sz w:val="22"/>
                          <w:lang w:val="es-PA"/>
                        </w:rPr>
                        <w:t>e</w:t>
                      </w:r>
                      <w:r w:rsidR="00627C9F" w:rsidRPr="00C25ADB">
                        <w:rPr>
                          <w:rFonts w:asciiTheme="minorHAnsi" w:hAnsiTheme="minorHAnsi"/>
                          <w:color w:val="FFFFFF" w:themeColor="background1"/>
                          <w:sz w:val="22"/>
                          <w:lang w:val="es-PA"/>
                        </w:rPr>
                        <w:t>spañol</w:t>
                      </w:r>
                    </w:p>
                  </w:txbxContent>
                </v:textbox>
              </v:shape>
            </w:pict>
          </mc:Fallback>
        </mc:AlternateContent>
      </w:r>
    </w:p>
    <w:p w14:paraId="155B0536"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5FE3AB87"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3C383BC0" w14:textId="77777777" w:rsidR="00040C3A" w:rsidRPr="0090270B" w:rsidRDefault="00040C3A" w:rsidP="00040C3A">
      <w:pPr>
        <w:tabs>
          <w:tab w:val="center" w:pos="5400"/>
        </w:tabs>
        <w:suppressAutoHyphens/>
        <w:jc w:val="center"/>
        <w:rPr>
          <w:rFonts w:asciiTheme="majorHAnsi" w:hAnsiTheme="majorHAnsi" w:cs="Arial"/>
          <w:sz w:val="22"/>
          <w:szCs w:val="22"/>
          <w:lang w:val="es-ES_tradnl"/>
        </w:rPr>
      </w:pPr>
    </w:p>
    <w:p w14:paraId="54590931"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76C291D6"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2161B44F"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3C4EEE07"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3B0E4647" w14:textId="77777777" w:rsidR="005128E4" w:rsidRPr="0090270B" w:rsidRDefault="005128E4" w:rsidP="00040C3A">
      <w:pPr>
        <w:tabs>
          <w:tab w:val="center" w:pos="5400"/>
        </w:tabs>
        <w:suppressAutoHyphens/>
        <w:jc w:val="center"/>
        <w:rPr>
          <w:rFonts w:asciiTheme="majorHAnsi" w:hAnsiTheme="majorHAnsi"/>
          <w:sz w:val="22"/>
          <w:szCs w:val="22"/>
          <w:lang w:val="es-ES_tradnl"/>
        </w:rPr>
      </w:pPr>
    </w:p>
    <w:p w14:paraId="2DAAF36D"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12496A14" w14:textId="77777777" w:rsidR="005128E4" w:rsidRPr="0090270B" w:rsidRDefault="005128E4" w:rsidP="00040C3A">
      <w:pPr>
        <w:tabs>
          <w:tab w:val="center" w:pos="5400"/>
        </w:tabs>
        <w:suppressAutoHyphens/>
        <w:jc w:val="center"/>
        <w:rPr>
          <w:rFonts w:asciiTheme="majorHAnsi" w:hAnsiTheme="majorHAnsi"/>
          <w:sz w:val="22"/>
          <w:szCs w:val="22"/>
          <w:lang w:val="es-ES_tradnl"/>
        </w:rPr>
      </w:pPr>
    </w:p>
    <w:p w14:paraId="25772DB3" w14:textId="77777777" w:rsidR="005128E4" w:rsidRPr="0090270B" w:rsidRDefault="005128E4" w:rsidP="00040C3A">
      <w:pPr>
        <w:tabs>
          <w:tab w:val="center" w:pos="5400"/>
        </w:tabs>
        <w:suppressAutoHyphens/>
        <w:jc w:val="center"/>
        <w:rPr>
          <w:rFonts w:asciiTheme="majorHAnsi" w:hAnsiTheme="majorHAnsi"/>
          <w:sz w:val="22"/>
          <w:szCs w:val="22"/>
          <w:lang w:val="es-ES_tradnl"/>
        </w:rPr>
      </w:pPr>
    </w:p>
    <w:p w14:paraId="6820FADA" w14:textId="77777777" w:rsidR="005128E4" w:rsidRPr="0090270B" w:rsidRDefault="005128E4" w:rsidP="00040C3A">
      <w:pPr>
        <w:tabs>
          <w:tab w:val="center" w:pos="5400"/>
        </w:tabs>
        <w:suppressAutoHyphens/>
        <w:jc w:val="center"/>
        <w:rPr>
          <w:rFonts w:asciiTheme="majorHAnsi" w:hAnsiTheme="majorHAnsi"/>
          <w:sz w:val="22"/>
          <w:szCs w:val="22"/>
          <w:lang w:val="es-ES_tradnl"/>
        </w:rPr>
      </w:pPr>
    </w:p>
    <w:p w14:paraId="54445A55"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5D4A4040" w14:textId="77777777" w:rsidR="00040C3A" w:rsidRPr="0090270B" w:rsidRDefault="00040C3A" w:rsidP="00040C3A">
      <w:pPr>
        <w:tabs>
          <w:tab w:val="center" w:pos="5400"/>
        </w:tabs>
        <w:suppressAutoHyphens/>
        <w:jc w:val="center"/>
        <w:rPr>
          <w:rFonts w:asciiTheme="majorHAnsi" w:hAnsiTheme="majorHAnsi"/>
          <w:sz w:val="22"/>
          <w:szCs w:val="22"/>
          <w:lang w:val="es-ES_tradnl"/>
        </w:rPr>
      </w:pPr>
    </w:p>
    <w:p w14:paraId="048FBB22"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190ABFB3"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4C690048"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733CA438"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7874DEEB"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3698D0D6"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1F907823"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045D9AC1"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16068EE5"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14A4A430"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0B3B735F"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02C5C441"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7806A2B0"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319C392B"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514A0182" w14:textId="77777777" w:rsidR="00A50FCF" w:rsidRPr="0090270B" w:rsidRDefault="0090270B" w:rsidP="00040C3A">
      <w:pPr>
        <w:tabs>
          <w:tab w:val="center" w:pos="5400"/>
        </w:tabs>
        <w:suppressAutoHyphens/>
        <w:jc w:val="center"/>
        <w:rPr>
          <w:rFonts w:asciiTheme="majorHAnsi" w:hAnsiTheme="majorHAnsi"/>
          <w:sz w:val="18"/>
          <w:szCs w:val="22"/>
          <w:lang w:val="es-ES_tradnl"/>
        </w:rPr>
      </w:pPr>
      <w:r w:rsidRPr="0090270B">
        <w:rPr>
          <w:rFonts w:asciiTheme="majorHAnsi" w:hAnsiTheme="majorHAnsi"/>
          <w:noProof/>
          <w:sz w:val="22"/>
          <w:szCs w:val="22"/>
          <w:lang w:val="es-419" w:eastAsia="es-419"/>
        </w:rPr>
        <mc:AlternateContent>
          <mc:Choice Requires="wps">
            <w:drawing>
              <wp:anchor distT="0" distB="0" distL="114300" distR="114300" simplePos="0" relativeHeight="251670528" behindDoc="0" locked="0" layoutInCell="1" allowOverlap="1" wp14:anchorId="37B0B44F" wp14:editId="1101FDFD">
                <wp:simplePos x="0" y="0"/>
                <wp:positionH relativeFrom="column">
                  <wp:posOffset>1341755</wp:posOffset>
                </wp:positionH>
                <wp:positionV relativeFrom="paragraph">
                  <wp:posOffset>22860</wp:posOffset>
                </wp:positionV>
                <wp:extent cx="4933950" cy="664845"/>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4933950" cy="6648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44B4F7" w14:textId="06395C25" w:rsidR="00DD3D86" w:rsidRPr="00890650" w:rsidRDefault="00DD3D86" w:rsidP="00DD3D86">
                            <w:pPr>
                              <w:tabs>
                                <w:tab w:val="center" w:pos="5400"/>
                              </w:tabs>
                              <w:suppressAutoHyphens/>
                              <w:spacing w:before="60"/>
                              <w:rPr>
                                <w:rFonts w:asciiTheme="majorHAnsi" w:hAnsiTheme="majorHAnsi"/>
                                <w:color w:val="0D0D0D" w:themeColor="text1" w:themeTint="F2"/>
                                <w:sz w:val="18"/>
                                <w:szCs w:val="22"/>
                                <w:lang w:val="es-ES"/>
                              </w:rPr>
                            </w:pPr>
                            <w:r w:rsidRPr="00890650">
                              <w:rPr>
                                <w:rFonts w:asciiTheme="majorHAnsi" w:hAnsiTheme="majorHAnsi"/>
                                <w:color w:val="0D0D0D" w:themeColor="text1" w:themeTint="F2"/>
                                <w:sz w:val="18"/>
                                <w:szCs w:val="22"/>
                                <w:lang w:val="es-ES"/>
                              </w:rPr>
                              <w:t>Aprobado electr</w:t>
                            </w:r>
                            <w:r w:rsidRPr="00890650">
                              <w:rPr>
                                <w:rFonts w:asciiTheme="majorHAnsi" w:hAnsiTheme="majorHAnsi"/>
                                <w:color w:val="0D0D0D" w:themeColor="text1" w:themeTint="F2"/>
                                <w:sz w:val="18"/>
                                <w:szCs w:val="22"/>
                                <w:lang w:val="es-ES_tradnl"/>
                              </w:rPr>
                              <w:t>ónicamente</w:t>
                            </w:r>
                            <w:r w:rsidRPr="00890650">
                              <w:rPr>
                                <w:rFonts w:asciiTheme="majorHAnsi" w:hAnsiTheme="majorHAnsi"/>
                                <w:color w:val="0D0D0D" w:themeColor="text1" w:themeTint="F2"/>
                                <w:sz w:val="18"/>
                                <w:szCs w:val="22"/>
                                <w:lang w:val="es-ES"/>
                              </w:rPr>
                              <w:t xml:space="preserve"> por la Comisión el </w:t>
                            </w:r>
                            <w:r w:rsidR="00566742">
                              <w:rPr>
                                <w:rFonts w:asciiTheme="majorHAnsi" w:hAnsiTheme="majorHAnsi"/>
                                <w:color w:val="0D0D0D" w:themeColor="text1" w:themeTint="F2"/>
                                <w:sz w:val="18"/>
                                <w:szCs w:val="22"/>
                                <w:lang w:val="es-ES"/>
                              </w:rPr>
                              <w:t>26</w:t>
                            </w:r>
                            <w:r w:rsidRPr="00890650">
                              <w:rPr>
                                <w:rFonts w:asciiTheme="majorHAnsi" w:hAnsiTheme="majorHAnsi"/>
                                <w:color w:val="0D0D0D" w:themeColor="text1" w:themeTint="F2"/>
                                <w:sz w:val="18"/>
                                <w:szCs w:val="22"/>
                                <w:lang w:val="es-ES"/>
                              </w:rPr>
                              <w:t xml:space="preserve"> de </w:t>
                            </w:r>
                            <w:r w:rsidR="00566742">
                              <w:rPr>
                                <w:rFonts w:asciiTheme="majorHAnsi" w:hAnsiTheme="majorHAnsi"/>
                                <w:color w:val="0D0D0D" w:themeColor="text1" w:themeTint="F2"/>
                                <w:sz w:val="18"/>
                                <w:szCs w:val="22"/>
                                <w:lang w:val="es-ES"/>
                              </w:rPr>
                              <w:t>febrero</w:t>
                            </w:r>
                            <w:r w:rsidR="00F81BB8">
                              <w:rPr>
                                <w:rFonts w:asciiTheme="majorHAnsi" w:hAnsiTheme="majorHAnsi"/>
                                <w:color w:val="0D0D0D" w:themeColor="text1" w:themeTint="F2"/>
                                <w:sz w:val="18"/>
                                <w:szCs w:val="22"/>
                                <w:lang w:val="es-ES"/>
                              </w:rPr>
                              <w:t xml:space="preserve"> </w:t>
                            </w:r>
                            <w:r w:rsidRPr="00890650">
                              <w:rPr>
                                <w:rFonts w:asciiTheme="majorHAnsi" w:hAnsiTheme="majorHAnsi"/>
                                <w:color w:val="0D0D0D" w:themeColor="text1" w:themeTint="F2"/>
                                <w:sz w:val="18"/>
                                <w:szCs w:val="22"/>
                                <w:lang w:val="es-ES"/>
                              </w:rPr>
                              <w:t>de 20</w:t>
                            </w:r>
                            <w:r w:rsidR="00C23BA4">
                              <w:rPr>
                                <w:rFonts w:asciiTheme="majorHAnsi" w:hAnsiTheme="majorHAnsi"/>
                                <w:color w:val="0D0D0D" w:themeColor="text1" w:themeTint="F2"/>
                                <w:sz w:val="18"/>
                                <w:szCs w:val="22"/>
                                <w:lang w:val="es-ES"/>
                              </w:rPr>
                              <w:t>2</w:t>
                            </w:r>
                            <w:r w:rsidR="00401D83">
                              <w:rPr>
                                <w:rFonts w:asciiTheme="majorHAnsi" w:hAnsiTheme="majorHAnsi"/>
                                <w:color w:val="0D0D0D" w:themeColor="text1" w:themeTint="F2"/>
                                <w:sz w:val="18"/>
                                <w:szCs w:val="22"/>
                                <w:lang w:val="es-ES"/>
                              </w:rPr>
                              <w:t>3</w:t>
                            </w:r>
                            <w:r w:rsidR="00566742">
                              <w:rPr>
                                <w:rFonts w:asciiTheme="majorHAnsi" w:hAnsiTheme="majorHAnsi"/>
                                <w:color w:val="0D0D0D" w:themeColor="text1" w:themeTint="F2"/>
                                <w:sz w:val="18"/>
                                <w:szCs w:val="22"/>
                                <w:lang w:val="es-ES"/>
                              </w:rPr>
                              <w:t>.</w:t>
                            </w:r>
                          </w:p>
                          <w:p w14:paraId="4BDF3581" w14:textId="77777777" w:rsidR="00DD3D86" w:rsidRPr="007A5817" w:rsidRDefault="00DD3D86" w:rsidP="00247403">
                            <w:pPr>
                              <w:tabs>
                                <w:tab w:val="center" w:pos="5400"/>
                              </w:tabs>
                              <w:suppressAutoHyphens/>
                              <w:spacing w:before="60"/>
                              <w:rPr>
                                <w:rFonts w:asciiTheme="minorHAnsi" w:hAnsiTheme="minorHAnsi" w:cs="Univers"/>
                                <w:color w:val="0D0D0D" w:themeColor="text1" w:themeTint="F2"/>
                                <w:sz w:val="20"/>
                                <w:szCs w:val="20"/>
                                <w:lang w:val="es-ES"/>
                              </w:rPr>
                            </w:pPr>
                          </w:p>
                          <w:p w14:paraId="4D148488" w14:textId="77777777" w:rsidR="005B52B0" w:rsidRPr="00167A34" w:rsidRDefault="005B52B0" w:rsidP="0059191A">
                            <w:pPr>
                              <w:tabs>
                                <w:tab w:val="center" w:pos="5400"/>
                              </w:tabs>
                              <w:suppressAutoHyphens/>
                              <w:spacing w:before="60"/>
                              <w:rPr>
                                <w:rFonts w:ascii="Calibri" w:hAnsi="Calibri"/>
                                <w:color w:val="FFFFFF" w:themeColor="background1"/>
                                <w:spacing w:val="-2"/>
                                <w:sz w:val="16"/>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0B44F" id="Text Box 7" o:spid="_x0000_s1029" type="#_x0000_t202" style="position:absolute;left:0;text-align:left;margin-left:105.65pt;margin-top:1.8pt;width:388.5pt;height:5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" filled="f" stroked="f" strokeweight=".5pt">
                <v:textbox>
                  <w:txbxContent>
                    <w:p w14:paraId="2944B4F7" w14:textId="06395C25" w:rsidR="00DD3D86" w:rsidRPr="00890650" w:rsidRDefault="00DD3D86" w:rsidP="00DD3D86">
                      <w:pPr>
                        <w:tabs>
                          <w:tab w:val="center" w:pos="5400"/>
                        </w:tabs>
                        <w:suppressAutoHyphens/>
                        <w:spacing w:before="60"/>
                        <w:rPr>
                          <w:rFonts w:asciiTheme="majorHAnsi" w:hAnsiTheme="majorHAnsi"/>
                          <w:color w:val="0D0D0D" w:themeColor="text1" w:themeTint="F2"/>
                          <w:sz w:val="18"/>
                          <w:szCs w:val="22"/>
                          <w:lang w:val="es-ES"/>
                        </w:rPr>
                      </w:pPr>
                      <w:r w:rsidRPr="00890650">
                        <w:rPr>
                          <w:rFonts w:asciiTheme="majorHAnsi" w:hAnsiTheme="majorHAnsi"/>
                          <w:color w:val="0D0D0D" w:themeColor="text1" w:themeTint="F2"/>
                          <w:sz w:val="18"/>
                          <w:szCs w:val="22"/>
                          <w:lang w:val="es-ES"/>
                        </w:rPr>
                        <w:t>Aprobado electr</w:t>
                      </w:r>
                      <w:r w:rsidRPr="00890650">
                        <w:rPr>
                          <w:rFonts w:asciiTheme="majorHAnsi" w:hAnsiTheme="majorHAnsi"/>
                          <w:color w:val="0D0D0D" w:themeColor="text1" w:themeTint="F2"/>
                          <w:sz w:val="18"/>
                          <w:szCs w:val="22"/>
                          <w:lang w:val="es-ES_tradnl"/>
                        </w:rPr>
                        <w:t>ónicamente</w:t>
                      </w:r>
                      <w:r w:rsidRPr="00890650">
                        <w:rPr>
                          <w:rFonts w:asciiTheme="majorHAnsi" w:hAnsiTheme="majorHAnsi"/>
                          <w:color w:val="0D0D0D" w:themeColor="text1" w:themeTint="F2"/>
                          <w:sz w:val="18"/>
                          <w:szCs w:val="22"/>
                          <w:lang w:val="es-ES"/>
                        </w:rPr>
                        <w:t xml:space="preserve"> por la Comisión el </w:t>
                      </w:r>
                      <w:r w:rsidR="00566742">
                        <w:rPr>
                          <w:rFonts w:asciiTheme="majorHAnsi" w:hAnsiTheme="majorHAnsi"/>
                          <w:color w:val="0D0D0D" w:themeColor="text1" w:themeTint="F2"/>
                          <w:sz w:val="18"/>
                          <w:szCs w:val="22"/>
                          <w:lang w:val="es-ES"/>
                        </w:rPr>
                        <w:t>26</w:t>
                      </w:r>
                      <w:r w:rsidRPr="00890650">
                        <w:rPr>
                          <w:rFonts w:asciiTheme="majorHAnsi" w:hAnsiTheme="majorHAnsi"/>
                          <w:color w:val="0D0D0D" w:themeColor="text1" w:themeTint="F2"/>
                          <w:sz w:val="18"/>
                          <w:szCs w:val="22"/>
                          <w:lang w:val="es-ES"/>
                        </w:rPr>
                        <w:t xml:space="preserve"> de </w:t>
                      </w:r>
                      <w:r w:rsidR="00566742">
                        <w:rPr>
                          <w:rFonts w:asciiTheme="majorHAnsi" w:hAnsiTheme="majorHAnsi"/>
                          <w:color w:val="0D0D0D" w:themeColor="text1" w:themeTint="F2"/>
                          <w:sz w:val="18"/>
                          <w:szCs w:val="22"/>
                          <w:lang w:val="es-ES"/>
                        </w:rPr>
                        <w:t>febrero</w:t>
                      </w:r>
                      <w:r w:rsidR="00F81BB8">
                        <w:rPr>
                          <w:rFonts w:asciiTheme="majorHAnsi" w:hAnsiTheme="majorHAnsi"/>
                          <w:color w:val="0D0D0D" w:themeColor="text1" w:themeTint="F2"/>
                          <w:sz w:val="18"/>
                          <w:szCs w:val="22"/>
                          <w:lang w:val="es-ES"/>
                        </w:rPr>
                        <w:t xml:space="preserve"> </w:t>
                      </w:r>
                      <w:r w:rsidRPr="00890650">
                        <w:rPr>
                          <w:rFonts w:asciiTheme="majorHAnsi" w:hAnsiTheme="majorHAnsi"/>
                          <w:color w:val="0D0D0D" w:themeColor="text1" w:themeTint="F2"/>
                          <w:sz w:val="18"/>
                          <w:szCs w:val="22"/>
                          <w:lang w:val="es-ES"/>
                        </w:rPr>
                        <w:t>de 20</w:t>
                      </w:r>
                      <w:r w:rsidR="00C23BA4">
                        <w:rPr>
                          <w:rFonts w:asciiTheme="majorHAnsi" w:hAnsiTheme="majorHAnsi"/>
                          <w:color w:val="0D0D0D" w:themeColor="text1" w:themeTint="F2"/>
                          <w:sz w:val="18"/>
                          <w:szCs w:val="22"/>
                          <w:lang w:val="es-ES"/>
                        </w:rPr>
                        <w:t>2</w:t>
                      </w:r>
                      <w:r w:rsidR="00401D83">
                        <w:rPr>
                          <w:rFonts w:asciiTheme="majorHAnsi" w:hAnsiTheme="majorHAnsi"/>
                          <w:color w:val="0D0D0D" w:themeColor="text1" w:themeTint="F2"/>
                          <w:sz w:val="18"/>
                          <w:szCs w:val="22"/>
                          <w:lang w:val="es-ES"/>
                        </w:rPr>
                        <w:t>3</w:t>
                      </w:r>
                      <w:r w:rsidR="00566742">
                        <w:rPr>
                          <w:rFonts w:asciiTheme="majorHAnsi" w:hAnsiTheme="majorHAnsi"/>
                          <w:color w:val="0D0D0D" w:themeColor="text1" w:themeTint="F2"/>
                          <w:sz w:val="18"/>
                          <w:szCs w:val="22"/>
                          <w:lang w:val="es-ES"/>
                        </w:rPr>
                        <w:t>.</w:t>
                      </w:r>
                    </w:p>
                    <w:p w14:paraId="4BDF3581" w14:textId="77777777" w:rsidR="00DD3D86" w:rsidRPr="007A5817" w:rsidRDefault="00DD3D86" w:rsidP="00247403">
                      <w:pPr>
                        <w:tabs>
                          <w:tab w:val="center" w:pos="5400"/>
                        </w:tabs>
                        <w:suppressAutoHyphens/>
                        <w:spacing w:before="60"/>
                        <w:rPr>
                          <w:rFonts w:asciiTheme="minorHAnsi" w:hAnsiTheme="minorHAnsi" w:cs="Univers"/>
                          <w:color w:val="0D0D0D" w:themeColor="text1" w:themeTint="F2"/>
                          <w:sz w:val="20"/>
                          <w:szCs w:val="20"/>
                          <w:lang w:val="es-ES"/>
                        </w:rPr>
                      </w:pPr>
                    </w:p>
                    <w:p w14:paraId="4D148488" w14:textId="77777777" w:rsidR="005B52B0" w:rsidRPr="00167A34" w:rsidRDefault="005B52B0" w:rsidP="0059191A">
                      <w:pPr>
                        <w:tabs>
                          <w:tab w:val="center" w:pos="5400"/>
                        </w:tabs>
                        <w:suppressAutoHyphens/>
                        <w:spacing w:before="60"/>
                        <w:rPr>
                          <w:rFonts w:ascii="Calibri" w:hAnsi="Calibri"/>
                          <w:color w:val="FFFFFF" w:themeColor="background1"/>
                          <w:spacing w:val="-2"/>
                          <w:sz w:val="16"/>
                          <w:lang w:val="es-ES"/>
                        </w:rPr>
                      </w:pPr>
                    </w:p>
                  </w:txbxContent>
                </v:textbox>
              </v:shape>
            </w:pict>
          </mc:Fallback>
        </mc:AlternateContent>
      </w:r>
    </w:p>
    <w:p w14:paraId="1F28BEBB"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7929D1FD"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5469D0BE"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7A79F059"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330672AE" w14:textId="77777777" w:rsidR="00A50FCF" w:rsidRPr="0090270B" w:rsidRDefault="0090270B" w:rsidP="00040C3A">
      <w:pPr>
        <w:tabs>
          <w:tab w:val="center" w:pos="5400"/>
        </w:tabs>
        <w:suppressAutoHyphens/>
        <w:jc w:val="center"/>
        <w:rPr>
          <w:rFonts w:asciiTheme="majorHAnsi" w:hAnsiTheme="majorHAnsi"/>
          <w:sz w:val="18"/>
          <w:szCs w:val="22"/>
          <w:lang w:val="es-ES_tradnl"/>
        </w:rPr>
      </w:pPr>
      <w:r w:rsidRPr="0090270B">
        <w:rPr>
          <w:rFonts w:asciiTheme="majorHAnsi" w:hAnsiTheme="majorHAnsi"/>
          <w:noProof/>
          <w:sz w:val="18"/>
          <w:szCs w:val="22"/>
          <w:lang w:val="es-419" w:eastAsia="es-419"/>
        </w:rPr>
        <mc:AlternateContent>
          <mc:Choice Requires="wps">
            <w:drawing>
              <wp:anchor distT="0" distB="0" distL="114300" distR="114300" simplePos="0" relativeHeight="251678720" behindDoc="0" locked="0" layoutInCell="1" allowOverlap="1" wp14:anchorId="14798ABC" wp14:editId="15CC0E24">
                <wp:simplePos x="0" y="0"/>
                <wp:positionH relativeFrom="column">
                  <wp:posOffset>1333500</wp:posOffset>
                </wp:positionH>
                <wp:positionV relativeFrom="paragraph">
                  <wp:posOffset>5715</wp:posOffset>
                </wp:positionV>
                <wp:extent cx="4943475" cy="6572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4943475"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1B22CF" w14:textId="4E0652A1" w:rsidR="00113F73" w:rsidRPr="007B05C4" w:rsidRDefault="00113F73" w:rsidP="00113F73">
                            <w:pPr>
                              <w:spacing w:line="276" w:lineRule="auto"/>
                              <w:rPr>
                                <w:rFonts w:asciiTheme="majorHAnsi" w:hAnsiTheme="majorHAnsi"/>
                                <w:color w:val="595959" w:themeColor="text1" w:themeTint="A6"/>
                                <w:sz w:val="18"/>
                                <w:szCs w:val="18"/>
                                <w:lang w:val="es-ES"/>
                              </w:rPr>
                            </w:pPr>
                            <w:r w:rsidRPr="00890650">
                              <w:rPr>
                                <w:rFonts w:asciiTheme="majorHAnsi" w:hAnsiTheme="majorHAnsi"/>
                                <w:b/>
                                <w:color w:val="595959" w:themeColor="text1" w:themeTint="A6"/>
                                <w:sz w:val="18"/>
                                <w:szCs w:val="18"/>
                                <w:lang w:val="pt-BR"/>
                              </w:rPr>
                              <w:t>Citar como:</w:t>
                            </w:r>
                            <w:r w:rsidRPr="00890650">
                              <w:rPr>
                                <w:rFonts w:asciiTheme="majorHAnsi" w:hAnsiTheme="majorHAnsi"/>
                                <w:color w:val="595959" w:themeColor="text1" w:themeTint="A6"/>
                                <w:sz w:val="18"/>
                                <w:szCs w:val="18"/>
                                <w:lang w:val="pt-BR"/>
                              </w:rPr>
                              <w:t xml:space="preserve"> CIDH, Informe No. </w:t>
                            </w:r>
                            <w:r w:rsidR="00B83CB6" w:rsidRPr="00B83CB6">
                              <w:rPr>
                                <w:rFonts w:asciiTheme="majorHAnsi" w:hAnsiTheme="majorHAnsi"/>
                                <w:color w:val="595959" w:themeColor="text1" w:themeTint="A6"/>
                                <w:sz w:val="18"/>
                                <w:szCs w:val="18"/>
                                <w:lang w:val="pt-BR"/>
                              </w:rPr>
                              <w:t>27</w:t>
                            </w:r>
                            <w:r w:rsidR="007B05C4" w:rsidRPr="00B83CB6">
                              <w:rPr>
                                <w:rFonts w:asciiTheme="majorHAnsi" w:hAnsiTheme="majorHAnsi"/>
                                <w:color w:val="595959" w:themeColor="text1" w:themeTint="A6"/>
                                <w:sz w:val="18"/>
                                <w:szCs w:val="18"/>
                                <w:lang w:val="pt-BR"/>
                              </w:rPr>
                              <w:t>/</w:t>
                            </w:r>
                            <w:r w:rsidR="00B83CB6" w:rsidRPr="00B83CB6">
                              <w:rPr>
                                <w:rFonts w:asciiTheme="majorHAnsi" w:hAnsiTheme="majorHAnsi"/>
                                <w:color w:val="595959" w:themeColor="text1" w:themeTint="A6"/>
                                <w:sz w:val="18"/>
                                <w:szCs w:val="18"/>
                                <w:lang w:val="pt-BR"/>
                              </w:rPr>
                              <w:t>23</w:t>
                            </w:r>
                            <w:r w:rsidRPr="00B83CB6">
                              <w:rPr>
                                <w:rFonts w:asciiTheme="majorHAnsi" w:hAnsiTheme="majorHAnsi"/>
                                <w:color w:val="595959" w:themeColor="text1" w:themeTint="A6"/>
                                <w:sz w:val="18"/>
                                <w:szCs w:val="18"/>
                                <w:lang w:val="pt-BR"/>
                              </w:rPr>
                              <w:t xml:space="preserve">. </w:t>
                            </w:r>
                            <w:r w:rsidR="000433C9">
                              <w:rPr>
                                <w:rFonts w:asciiTheme="majorHAnsi" w:hAnsiTheme="majorHAnsi"/>
                                <w:color w:val="595959" w:themeColor="text1" w:themeTint="A6"/>
                                <w:sz w:val="18"/>
                                <w:szCs w:val="18"/>
                                <w:lang w:val="es-ES_tradnl"/>
                              </w:rPr>
                              <w:t>Petici</w:t>
                            </w:r>
                            <w:r w:rsidR="000433C9">
                              <w:rPr>
                                <w:rFonts w:asciiTheme="majorHAnsi" w:hAnsiTheme="majorHAnsi"/>
                                <w:color w:val="595959" w:themeColor="text1" w:themeTint="A6"/>
                                <w:sz w:val="18"/>
                                <w:szCs w:val="18"/>
                                <w:lang w:val="es-ES"/>
                              </w:rPr>
                              <w:t xml:space="preserve">ón </w:t>
                            </w:r>
                            <w:r w:rsidR="00B83CB6">
                              <w:rPr>
                                <w:rFonts w:asciiTheme="majorHAnsi" w:hAnsiTheme="majorHAnsi"/>
                                <w:color w:val="595959" w:themeColor="text1" w:themeTint="A6"/>
                                <w:sz w:val="18"/>
                                <w:szCs w:val="18"/>
                                <w:lang w:val="es-ES"/>
                              </w:rPr>
                              <w:t>1359</w:t>
                            </w:r>
                            <w:r w:rsidR="000433C9">
                              <w:rPr>
                                <w:rFonts w:asciiTheme="majorHAnsi" w:hAnsiTheme="majorHAnsi"/>
                                <w:color w:val="595959" w:themeColor="text1" w:themeTint="A6"/>
                                <w:sz w:val="18"/>
                                <w:szCs w:val="18"/>
                                <w:lang w:val="es-ES"/>
                              </w:rPr>
                              <w:t>-</w:t>
                            </w:r>
                            <w:r w:rsidR="00B83CB6">
                              <w:rPr>
                                <w:rFonts w:asciiTheme="majorHAnsi" w:hAnsiTheme="majorHAnsi"/>
                                <w:color w:val="595959" w:themeColor="text1" w:themeTint="A6"/>
                                <w:sz w:val="18"/>
                                <w:szCs w:val="18"/>
                                <w:lang w:val="es-ES"/>
                              </w:rPr>
                              <w:t>07</w:t>
                            </w:r>
                            <w:r w:rsidR="000433C9">
                              <w:rPr>
                                <w:rFonts w:asciiTheme="majorHAnsi" w:hAnsiTheme="majorHAnsi"/>
                                <w:color w:val="595959" w:themeColor="text1" w:themeTint="A6"/>
                                <w:sz w:val="18"/>
                                <w:szCs w:val="18"/>
                                <w:lang w:val="es-ES"/>
                              </w:rPr>
                              <w:t xml:space="preserve">. </w:t>
                            </w:r>
                            <w:r w:rsidRPr="00890650">
                              <w:rPr>
                                <w:rFonts w:asciiTheme="majorHAnsi" w:hAnsiTheme="majorHAnsi"/>
                                <w:color w:val="595959" w:themeColor="text1" w:themeTint="A6"/>
                                <w:sz w:val="18"/>
                                <w:szCs w:val="18"/>
                                <w:lang w:val="es-ES_tradnl"/>
                              </w:rPr>
                              <w:t xml:space="preserve">Admisibilidad. </w:t>
                            </w:r>
                            <w:r w:rsidR="001A2009">
                              <w:rPr>
                                <w:rFonts w:asciiTheme="majorHAnsi" w:hAnsiTheme="majorHAnsi"/>
                                <w:color w:val="595959" w:themeColor="text1" w:themeTint="A6"/>
                                <w:sz w:val="18"/>
                                <w:szCs w:val="18"/>
                                <w:lang w:val="es-ES_tradnl"/>
                              </w:rPr>
                              <w:t xml:space="preserve">Masacre de </w:t>
                            </w:r>
                            <w:r w:rsidR="00453D87">
                              <w:rPr>
                                <w:rFonts w:asciiTheme="majorHAnsi" w:hAnsiTheme="majorHAnsi"/>
                                <w:color w:val="595959" w:themeColor="text1" w:themeTint="A6"/>
                                <w:sz w:val="18"/>
                                <w:szCs w:val="18"/>
                                <w:lang w:val="es-ES_tradnl"/>
                              </w:rPr>
                              <w:t>Santa Rita</w:t>
                            </w:r>
                            <w:r w:rsidRPr="00890650">
                              <w:rPr>
                                <w:rFonts w:asciiTheme="majorHAnsi" w:hAnsiTheme="majorHAnsi"/>
                                <w:color w:val="595959" w:themeColor="text1" w:themeTint="A6"/>
                                <w:sz w:val="18"/>
                                <w:szCs w:val="18"/>
                                <w:lang w:val="es-ES_tradnl"/>
                              </w:rPr>
                              <w:t xml:space="preserve">. </w:t>
                            </w:r>
                            <w:r w:rsidR="00453D87">
                              <w:rPr>
                                <w:rFonts w:asciiTheme="majorHAnsi" w:hAnsiTheme="majorHAnsi"/>
                                <w:color w:val="595959" w:themeColor="text1" w:themeTint="A6"/>
                                <w:sz w:val="18"/>
                                <w:szCs w:val="18"/>
                                <w:lang w:val="es-ES_tradnl"/>
                              </w:rPr>
                              <w:t>Colombia</w:t>
                            </w:r>
                            <w:r w:rsidRPr="00890650">
                              <w:rPr>
                                <w:rFonts w:asciiTheme="majorHAnsi" w:hAnsiTheme="majorHAnsi"/>
                                <w:color w:val="595959" w:themeColor="text1" w:themeTint="A6"/>
                                <w:sz w:val="18"/>
                                <w:szCs w:val="18"/>
                                <w:lang w:val="es-ES_tradnl"/>
                              </w:rPr>
                              <w:t xml:space="preserve">. </w:t>
                            </w:r>
                            <w:r w:rsidR="001A2009">
                              <w:rPr>
                                <w:rFonts w:asciiTheme="majorHAnsi" w:hAnsiTheme="majorHAnsi"/>
                                <w:color w:val="595959" w:themeColor="text1" w:themeTint="A6"/>
                                <w:sz w:val="18"/>
                                <w:szCs w:val="18"/>
                                <w:lang w:val="es-ES"/>
                              </w:rPr>
                              <w:t>26 de febrero de 2023</w:t>
                            </w:r>
                            <w:r w:rsidRPr="007B05C4">
                              <w:rPr>
                                <w:rFonts w:asciiTheme="majorHAnsi" w:hAnsiTheme="majorHAnsi"/>
                                <w:color w:val="595959" w:themeColor="text1" w:themeTint="A6"/>
                                <w:sz w:val="18"/>
                                <w:szCs w:val="18"/>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98ABC" id="Text Box 10" o:spid="_x0000_s1030" type="#_x0000_t202" style="position:absolute;left:0;text-align:left;margin-left:105pt;margin-top:.45pt;width:389.25pt;height:5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" filled="f" stroked="f" strokeweight=".5pt">
                <v:textbox>
                  <w:txbxContent>
                    <w:p w14:paraId="0D1B22CF" w14:textId="4E0652A1" w:rsidR="00113F73" w:rsidRPr="007B05C4" w:rsidRDefault="00113F73" w:rsidP="00113F73">
                      <w:pPr>
                        <w:spacing w:line="276" w:lineRule="auto"/>
                        <w:rPr>
                          <w:rFonts w:asciiTheme="majorHAnsi" w:hAnsiTheme="majorHAnsi"/>
                          <w:color w:val="595959" w:themeColor="text1" w:themeTint="A6"/>
                          <w:sz w:val="18"/>
                          <w:szCs w:val="18"/>
                          <w:lang w:val="es-ES"/>
                        </w:rPr>
                      </w:pPr>
                      <w:r w:rsidRPr="00890650">
                        <w:rPr>
                          <w:rFonts w:asciiTheme="majorHAnsi" w:hAnsiTheme="majorHAnsi"/>
                          <w:b/>
                          <w:color w:val="595959" w:themeColor="text1" w:themeTint="A6"/>
                          <w:sz w:val="18"/>
                          <w:szCs w:val="18"/>
                          <w:lang w:val="pt-BR"/>
                        </w:rPr>
                        <w:t>Citar como:</w:t>
                      </w:r>
                      <w:r w:rsidRPr="00890650">
                        <w:rPr>
                          <w:rFonts w:asciiTheme="majorHAnsi" w:hAnsiTheme="majorHAnsi"/>
                          <w:color w:val="595959" w:themeColor="text1" w:themeTint="A6"/>
                          <w:sz w:val="18"/>
                          <w:szCs w:val="18"/>
                          <w:lang w:val="pt-BR"/>
                        </w:rPr>
                        <w:t xml:space="preserve"> CIDH, Informe No. </w:t>
                      </w:r>
                      <w:r w:rsidR="00B83CB6" w:rsidRPr="00B83CB6">
                        <w:rPr>
                          <w:rFonts w:asciiTheme="majorHAnsi" w:hAnsiTheme="majorHAnsi"/>
                          <w:color w:val="595959" w:themeColor="text1" w:themeTint="A6"/>
                          <w:sz w:val="18"/>
                          <w:szCs w:val="18"/>
                          <w:lang w:val="pt-BR"/>
                        </w:rPr>
                        <w:t>27</w:t>
                      </w:r>
                      <w:r w:rsidR="007B05C4" w:rsidRPr="00B83CB6">
                        <w:rPr>
                          <w:rFonts w:asciiTheme="majorHAnsi" w:hAnsiTheme="majorHAnsi"/>
                          <w:color w:val="595959" w:themeColor="text1" w:themeTint="A6"/>
                          <w:sz w:val="18"/>
                          <w:szCs w:val="18"/>
                          <w:lang w:val="pt-BR"/>
                        </w:rPr>
                        <w:t>/</w:t>
                      </w:r>
                      <w:r w:rsidR="00B83CB6" w:rsidRPr="00B83CB6">
                        <w:rPr>
                          <w:rFonts w:asciiTheme="majorHAnsi" w:hAnsiTheme="majorHAnsi"/>
                          <w:color w:val="595959" w:themeColor="text1" w:themeTint="A6"/>
                          <w:sz w:val="18"/>
                          <w:szCs w:val="18"/>
                          <w:lang w:val="pt-BR"/>
                        </w:rPr>
                        <w:t>23</w:t>
                      </w:r>
                      <w:r w:rsidRPr="00B83CB6">
                        <w:rPr>
                          <w:rFonts w:asciiTheme="majorHAnsi" w:hAnsiTheme="majorHAnsi"/>
                          <w:color w:val="595959" w:themeColor="text1" w:themeTint="A6"/>
                          <w:sz w:val="18"/>
                          <w:szCs w:val="18"/>
                          <w:lang w:val="pt-BR"/>
                        </w:rPr>
                        <w:t xml:space="preserve">. </w:t>
                      </w:r>
                      <w:r w:rsidR="000433C9">
                        <w:rPr>
                          <w:rFonts w:asciiTheme="majorHAnsi" w:hAnsiTheme="majorHAnsi"/>
                          <w:color w:val="595959" w:themeColor="text1" w:themeTint="A6"/>
                          <w:sz w:val="18"/>
                          <w:szCs w:val="18"/>
                          <w:lang w:val="es-ES_tradnl"/>
                        </w:rPr>
                        <w:t>Petici</w:t>
                      </w:r>
                      <w:r w:rsidR="000433C9">
                        <w:rPr>
                          <w:rFonts w:asciiTheme="majorHAnsi" w:hAnsiTheme="majorHAnsi"/>
                          <w:color w:val="595959" w:themeColor="text1" w:themeTint="A6"/>
                          <w:sz w:val="18"/>
                          <w:szCs w:val="18"/>
                          <w:lang w:val="es-ES"/>
                        </w:rPr>
                        <w:t xml:space="preserve">ón </w:t>
                      </w:r>
                      <w:r w:rsidR="00B83CB6">
                        <w:rPr>
                          <w:rFonts w:asciiTheme="majorHAnsi" w:hAnsiTheme="majorHAnsi"/>
                          <w:color w:val="595959" w:themeColor="text1" w:themeTint="A6"/>
                          <w:sz w:val="18"/>
                          <w:szCs w:val="18"/>
                          <w:lang w:val="es-ES"/>
                        </w:rPr>
                        <w:t>1359</w:t>
                      </w:r>
                      <w:r w:rsidR="000433C9">
                        <w:rPr>
                          <w:rFonts w:asciiTheme="majorHAnsi" w:hAnsiTheme="majorHAnsi"/>
                          <w:color w:val="595959" w:themeColor="text1" w:themeTint="A6"/>
                          <w:sz w:val="18"/>
                          <w:szCs w:val="18"/>
                          <w:lang w:val="es-ES"/>
                        </w:rPr>
                        <w:t>-</w:t>
                      </w:r>
                      <w:r w:rsidR="00B83CB6">
                        <w:rPr>
                          <w:rFonts w:asciiTheme="majorHAnsi" w:hAnsiTheme="majorHAnsi"/>
                          <w:color w:val="595959" w:themeColor="text1" w:themeTint="A6"/>
                          <w:sz w:val="18"/>
                          <w:szCs w:val="18"/>
                          <w:lang w:val="es-ES"/>
                        </w:rPr>
                        <w:t>07</w:t>
                      </w:r>
                      <w:r w:rsidR="000433C9">
                        <w:rPr>
                          <w:rFonts w:asciiTheme="majorHAnsi" w:hAnsiTheme="majorHAnsi"/>
                          <w:color w:val="595959" w:themeColor="text1" w:themeTint="A6"/>
                          <w:sz w:val="18"/>
                          <w:szCs w:val="18"/>
                          <w:lang w:val="es-ES"/>
                        </w:rPr>
                        <w:t xml:space="preserve">. </w:t>
                      </w:r>
                      <w:r w:rsidRPr="00890650">
                        <w:rPr>
                          <w:rFonts w:asciiTheme="majorHAnsi" w:hAnsiTheme="majorHAnsi"/>
                          <w:color w:val="595959" w:themeColor="text1" w:themeTint="A6"/>
                          <w:sz w:val="18"/>
                          <w:szCs w:val="18"/>
                          <w:lang w:val="es-ES_tradnl"/>
                        </w:rPr>
                        <w:t xml:space="preserve">Admisibilidad. </w:t>
                      </w:r>
                      <w:r w:rsidR="001A2009">
                        <w:rPr>
                          <w:rFonts w:asciiTheme="majorHAnsi" w:hAnsiTheme="majorHAnsi"/>
                          <w:color w:val="595959" w:themeColor="text1" w:themeTint="A6"/>
                          <w:sz w:val="18"/>
                          <w:szCs w:val="18"/>
                          <w:lang w:val="es-ES_tradnl"/>
                        </w:rPr>
                        <w:t xml:space="preserve">Masacre de </w:t>
                      </w:r>
                      <w:r w:rsidR="00453D87">
                        <w:rPr>
                          <w:rFonts w:asciiTheme="majorHAnsi" w:hAnsiTheme="majorHAnsi"/>
                          <w:color w:val="595959" w:themeColor="text1" w:themeTint="A6"/>
                          <w:sz w:val="18"/>
                          <w:szCs w:val="18"/>
                          <w:lang w:val="es-ES_tradnl"/>
                        </w:rPr>
                        <w:t>Santa Rita</w:t>
                      </w:r>
                      <w:r w:rsidRPr="00890650">
                        <w:rPr>
                          <w:rFonts w:asciiTheme="majorHAnsi" w:hAnsiTheme="majorHAnsi"/>
                          <w:color w:val="595959" w:themeColor="text1" w:themeTint="A6"/>
                          <w:sz w:val="18"/>
                          <w:szCs w:val="18"/>
                          <w:lang w:val="es-ES_tradnl"/>
                        </w:rPr>
                        <w:t xml:space="preserve">. </w:t>
                      </w:r>
                      <w:r w:rsidR="00453D87">
                        <w:rPr>
                          <w:rFonts w:asciiTheme="majorHAnsi" w:hAnsiTheme="majorHAnsi"/>
                          <w:color w:val="595959" w:themeColor="text1" w:themeTint="A6"/>
                          <w:sz w:val="18"/>
                          <w:szCs w:val="18"/>
                          <w:lang w:val="es-ES_tradnl"/>
                        </w:rPr>
                        <w:t>Colombia</w:t>
                      </w:r>
                      <w:r w:rsidRPr="00890650">
                        <w:rPr>
                          <w:rFonts w:asciiTheme="majorHAnsi" w:hAnsiTheme="majorHAnsi"/>
                          <w:color w:val="595959" w:themeColor="text1" w:themeTint="A6"/>
                          <w:sz w:val="18"/>
                          <w:szCs w:val="18"/>
                          <w:lang w:val="es-ES_tradnl"/>
                        </w:rPr>
                        <w:t xml:space="preserve">. </w:t>
                      </w:r>
                      <w:r w:rsidR="001A2009">
                        <w:rPr>
                          <w:rFonts w:asciiTheme="majorHAnsi" w:hAnsiTheme="majorHAnsi"/>
                          <w:color w:val="595959" w:themeColor="text1" w:themeTint="A6"/>
                          <w:sz w:val="18"/>
                          <w:szCs w:val="18"/>
                          <w:lang w:val="es-ES"/>
                        </w:rPr>
                        <w:t>26 de febrero de 2023</w:t>
                      </w:r>
                      <w:r w:rsidRPr="007B05C4">
                        <w:rPr>
                          <w:rFonts w:asciiTheme="majorHAnsi" w:hAnsiTheme="majorHAnsi"/>
                          <w:color w:val="595959" w:themeColor="text1" w:themeTint="A6"/>
                          <w:sz w:val="18"/>
                          <w:szCs w:val="18"/>
                          <w:lang w:val="es-ES"/>
                        </w:rPr>
                        <w:t>.</w:t>
                      </w:r>
                    </w:p>
                  </w:txbxContent>
                </v:textbox>
              </v:shape>
            </w:pict>
          </mc:Fallback>
        </mc:AlternateContent>
      </w:r>
    </w:p>
    <w:p w14:paraId="196A49DE" w14:textId="77777777" w:rsidR="00A50FCF" w:rsidRPr="0090270B" w:rsidRDefault="00A50FCF" w:rsidP="00040C3A">
      <w:pPr>
        <w:tabs>
          <w:tab w:val="center" w:pos="5400"/>
        </w:tabs>
        <w:suppressAutoHyphens/>
        <w:jc w:val="center"/>
        <w:rPr>
          <w:rFonts w:asciiTheme="majorHAnsi" w:hAnsiTheme="majorHAnsi"/>
          <w:sz w:val="18"/>
          <w:szCs w:val="22"/>
          <w:lang w:val="es-ES_tradnl"/>
        </w:rPr>
      </w:pPr>
    </w:p>
    <w:p w14:paraId="1DA07629" w14:textId="77777777" w:rsidR="0090270B" w:rsidRDefault="00D306D1" w:rsidP="005516A1">
      <w:pPr>
        <w:tabs>
          <w:tab w:val="center" w:pos="5400"/>
        </w:tabs>
        <w:suppressAutoHyphens/>
        <w:jc w:val="center"/>
        <w:rPr>
          <w:rFonts w:asciiTheme="majorHAnsi" w:hAnsiTheme="majorHAnsi"/>
          <w:b/>
          <w:sz w:val="20"/>
          <w:lang w:val="es-ES_tradnl"/>
        </w:rPr>
      </w:pPr>
      <w:r>
        <w:rPr>
          <w:rFonts w:asciiTheme="majorHAnsi" w:hAnsiTheme="majorHAnsi"/>
          <w:noProof/>
          <w:sz w:val="18"/>
          <w:szCs w:val="22"/>
          <w:lang w:val="es-419" w:eastAsia="es-419"/>
        </w:rPr>
        <mc:AlternateContent>
          <mc:Choice Requires="wps">
            <w:drawing>
              <wp:anchor distT="0" distB="0" distL="114300" distR="114300" simplePos="0" relativeHeight="251680768" behindDoc="0" locked="0" layoutInCell="1" allowOverlap="1" wp14:anchorId="50472543" wp14:editId="546D5F4B">
                <wp:simplePos x="0" y="0"/>
                <wp:positionH relativeFrom="column">
                  <wp:posOffset>1329690</wp:posOffset>
                </wp:positionH>
                <wp:positionV relativeFrom="paragraph">
                  <wp:posOffset>638497</wp:posOffset>
                </wp:positionV>
                <wp:extent cx="4096385" cy="567055"/>
                <wp:effectExtent l="0" t="0" r="0" b="4445"/>
                <wp:wrapNone/>
                <wp:docPr id="9" name="Text Box 9"/>
                <wp:cNvGraphicFramePr/>
                <a:graphic xmlns:a="http://schemas.openxmlformats.org/drawingml/2006/main">
                  <a:graphicData uri="http://schemas.microsoft.com/office/word/2010/wordprocessingShape">
                    <wps:wsp>
                      <wps:cNvSpPr txBox="1"/>
                      <wps:spPr>
                        <a:xfrm>
                          <a:off x="0" y="0"/>
                          <a:ext cx="4096385" cy="5670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A1ECD3C" w14:textId="30607A14" w:rsidR="00D72DC6" w:rsidRPr="00D72DC6" w:rsidRDefault="00D92831" w:rsidP="00F02AD1">
                            <w:pPr>
                              <w:rPr>
                                <w:color w:val="FFFFFF" w:themeColor="background1"/>
                                <w14:textFill>
                                  <w14:noFill/>
                                </w14:textFill>
                              </w:rPr>
                            </w:pPr>
                            <w:r>
                              <w:rPr>
                                <w:noProof/>
                                <w:color w:val="FFFFFF" w:themeColor="background1"/>
                              </w:rPr>
                              <w:drawing>
                                <wp:inline distT="0" distB="0" distL="0" distR="0" wp14:anchorId="00381D66" wp14:editId="03CC7427">
                                  <wp:extent cx="1824355" cy="469265"/>
                                  <wp:effectExtent l="0" t="0" r="4445" b="6985"/>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9"/>
                                          <a:stretch>
                                            <a:fillRect/>
                                          </a:stretch>
                                        </pic:blipFill>
                                        <pic:spPr>
                                          <a:xfrm>
                                            <a:off x="0" y="0"/>
                                            <a:ext cx="1824355" cy="469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72543" id="Text Box 9" o:spid="_x0000_s1031" type="#_x0000_t202" style="position:absolute;left:0;text-align:left;margin-left:104.7pt;margin-top:50.3pt;width:322.55pt;height:4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" fillcolor="white [3201]" stroked="f" strokeweight=".5pt">
                <v:textbox>
                  <w:txbxContent>
                    <w:p w14:paraId="2A1ECD3C" w14:textId="30607A14" w:rsidR="00D72DC6" w:rsidRPr="00D72DC6" w:rsidRDefault="00D92831" w:rsidP="00F02AD1">
                      <w:pPr>
                        <w:rPr>
                          <w:color w:val="FFFFFF" w:themeColor="background1"/>
                          <w14:textFill>
                            <w14:noFill/>
                          </w14:textFill>
                        </w:rPr>
                      </w:pPr>
                      <w:r>
                        <w:rPr>
                          <w:noProof/>
                          <w:color w:val="FFFFFF" w:themeColor="background1"/>
                        </w:rPr>
                        <w:drawing>
                          <wp:inline distT="0" distB="0" distL="0" distR="0" wp14:anchorId="00381D66" wp14:editId="03CC7427">
                            <wp:extent cx="1824355" cy="469265"/>
                            <wp:effectExtent l="0" t="0" r="4445" b="6985"/>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9"/>
                                    <a:stretch>
                                      <a:fillRect/>
                                    </a:stretch>
                                  </pic:blipFill>
                                  <pic:spPr>
                                    <a:xfrm>
                                      <a:off x="0" y="0"/>
                                      <a:ext cx="1824355" cy="469265"/>
                                    </a:xfrm>
                                    <a:prstGeom prst="rect">
                                      <a:avLst/>
                                    </a:prstGeom>
                                  </pic:spPr>
                                </pic:pic>
                              </a:graphicData>
                            </a:graphic>
                          </wp:inline>
                        </w:drawing>
                      </w:r>
                    </w:p>
                  </w:txbxContent>
                </v:textbox>
              </v:shape>
            </w:pict>
          </mc:Fallback>
        </mc:AlternateContent>
      </w:r>
      <w:r w:rsidRPr="00625030">
        <w:rPr>
          <w:rFonts w:asciiTheme="majorHAnsi" w:hAnsiTheme="majorHAnsi"/>
          <w:noProof/>
          <w:sz w:val="22"/>
          <w:szCs w:val="22"/>
          <w:lang w:val="es-419" w:eastAsia="es-419"/>
        </w:rPr>
        <mc:AlternateContent>
          <mc:Choice Requires="wps">
            <w:drawing>
              <wp:anchor distT="0" distB="0" distL="114300" distR="114300" simplePos="0" relativeHeight="251682816" behindDoc="0" locked="0" layoutInCell="1" allowOverlap="1" wp14:anchorId="02EDA5EE" wp14:editId="72033B3A">
                <wp:simplePos x="0" y="0"/>
                <wp:positionH relativeFrom="column">
                  <wp:posOffset>-272225</wp:posOffset>
                </wp:positionH>
                <wp:positionV relativeFrom="paragraph">
                  <wp:posOffset>915035</wp:posOffset>
                </wp:positionV>
                <wp:extent cx="1181100" cy="332740"/>
                <wp:effectExtent l="0" t="0" r="0" b="0"/>
                <wp:wrapNone/>
                <wp:docPr id="4" name="Text Box 4"/>
                <wp:cNvGraphicFramePr/>
                <a:graphic xmlns:a="http://schemas.openxmlformats.org/drawingml/2006/main">
                  <a:graphicData uri="http://schemas.microsoft.com/office/word/2010/wordprocessingShape">
                    <wps:wsp>
                      <wps:cNvSpPr txBox="1"/>
                      <wps:spPr>
                        <a:xfrm>
                          <a:off x="0" y="0"/>
                          <a:ext cx="1181100" cy="332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A0DBC3" w14:textId="77777777" w:rsidR="00D306D1" w:rsidRPr="004B7EB6" w:rsidRDefault="00D306D1" w:rsidP="00D306D1">
                            <w:pPr>
                              <w:jc w:val="center"/>
                              <w:rPr>
                                <w:rFonts w:asciiTheme="minorHAnsi" w:hAnsiTheme="minorHAnsi"/>
                                <w:b/>
                                <w:color w:val="FFFFFF" w:themeColor="background1"/>
                              </w:rPr>
                            </w:pPr>
                            <w:r w:rsidRPr="004B7EB6">
                              <w:rPr>
                                <w:rFonts w:asciiTheme="minorHAnsi" w:hAnsiTheme="minorHAnsi"/>
                                <w:b/>
                                <w:color w:val="FFFFFF" w:themeColor="background1"/>
                                <w:lang w:val="pt-BR"/>
                              </w:rPr>
                              <w:t>www.cidh.org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DA5EE" id="Text Box 4" o:spid="_x0000_s1032" type="#_x0000_t202" style="position:absolute;left:0;text-align:left;margin-left:-21.45pt;margin-top:72.05pt;width:93pt;height:26.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" filled="f" stroked="f" strokeweight=".5pt">
                <v:textbox>
                  <w:txbxContent>
                    <w:p w14:paraId="6EA0DBC3" w14:textId="77777777" w:rsidR="00D306D1" w:rsidRPr="004B7EB6" w:rsidRDefault="00D306D1" w:rsidP="00D306D1">
                      <w:pPr>
                        <w:jc w:val="center"/>
                        <w:rPr>
                          <w:rFonts w:asciiTheme="minorHAnsi" w:hAnsiTheme="minorHAnsi"/>
                          <w:b/>
                          <w:color w:val="FFFFFF" w:themeColor="background1"/>
                        </w:rPr>
                      </w:pPr>
                      <w:r w:rsidRPr="004B7EB6">
                        <w:rPr>
                          <w:rFonts w:asciiTheme="minorHAnsi" w:hAnsiTheme="minorHAnsi"/>
                          <w:b/>
                          <w:color w:val="FFFFFF" w:themeColor="background1"/>
                          <w:lang w:val="pt-BR"/>
                        </w:rPr>
                        <w:t>www.cidh.org</w:t>
                      </w:r>
                    </w:p>
                  </w:txbxContent>
                </v:textbox>
              </v:shape>
            </w:pict>
          </mc:Fallback>
        </mc:AlternateContent>
      </w:r>
    </w:p>
    <w:p w14:paraId="2FE1B253" w14:textId="4E43B8E7" w:rsidR="0070697F" w:rsidRDefault="004A6A54" w:rsidP="005516A1">
      <w:pPr>
        <w:tabs>
          <w:tab w:val="center" w:pos="5400"/>
        </w:tabs>
        <w:suppressAutoHyphens/>
        <w:jc w:val="center"/>
        <w:rPr>
          <w:rFonts w:asciiTheme="majorHAnsi" w:hAnsiTheme="majorHAnsi"/>
          <w:b/>
          <w:sz w:val="20"/>
          <w:lang w:val="es-ES_tradnl"/>
        </w:rPr>
        <w:sectPr w:rsidR="0070697F" w:rsidSect="00C054DF">
          <w:headerReference w:type="even" r:id="rId10"/>
          <w:headerReference w:type="default" r:id="rId11"/>
          <w:footerReference w:type="default" r:id="rId12"/>
          <w:footerReference w:type="first" r:id="rId13"/>
          <w:type w:val="oddPage"/>
          <w:pgSz w:w="12240" w:h="15840"/>
          <w:pgMar w:top="1440" w:right="1440" w:bottom="1440" w:left="1440" w:header="720" w:footer="720" w:gutter="0"/>
          <w:pgNumType w:start="0"/>
          <w:cols w:space="720"/>
          <w:titlePg/>
          <w:docGrid w:linePitch="326"/>
        </w:sectPr>
      </w:pPr>
      <w:r>
        <w:rPr>
          <w:rFonts w:asciiTheme="majorHAnsi" w:hAnsiTheme="majorHAnsi"/>
          <w:b/>
          <w:sz w:val="20"/>
          <w:lang w:val="es-ES_tradnl"/>
        </w:rPr>
        <w:tab/>
      </w:r>
    </w:p>
    <w:p w14:paraId="376DDC8B" w14:textId="77777777" w:rsidR="003239B8" w:rsidRPr="000419AD" w:rsidRDefault="003239B8" w:rsidP="004A6A54">
      <w:pPr>
        <w:spacing w:after="240"/>
        <w:ind w:firstLine="720"/>
        <w:jc w:val="both"/>
        <w:rPr>
          <w:rFonts w:asciiTheme="majorHAnsi" w:hAnsiTheme="majorHAnsi"/>
          <w:b/>
          <w:bCs/>
          <w:sz w:val="20"/>
          <w:szCs w:val="20"/>
          <w:lang w:val="es-ES"/>
        </w:rPr>
      </w:pPr>
      <w:r w:rsidRPr="000419AD">
        <w:rPr>
          <w:rFonts w:asciiTheme="majorHAnsi" w:hAnsiTheme="majorHAnsi"/>
          <w:b/>
          <w:bCs/>
          <w:sz w:val="20"/>
          <w:szCs w:val="20"/>
          <w:lang w:val="es-ES"/>
        </w:rPr>
        <w:lastRenderedPageBreak/>
        <w:t>I.</w:t>
      </w:r>
      <w:r w:rsidRPr="000419AD">
        <w:rPr>
          <w:rFonts w:asciiTheme="majorHAnsi" w:hAnsiTheme="majorHAnsi"/>
          <w:b/>
          <w:bCs/>
          <w:sz w:val="20"/>
          <w:szCs w:val="20"/>
          <w:lang w:val="es-ES"/>
        </w:rPr>
        <w:tab/>
        <w:t xml:space="preserve">DATOS DE LA PETICIÓN </w:t>
      </w:r>
    </w:p>
    <w:tbl>
      <w:tblPr>
        <w:tblStyle w:val="TableGrid"/>
        <w:tblW w:w="9247" w:type="dxa"/>
        <w:tblInd w:w="108" w:type="dxa"/>
        <w:tblBorders>
          <w:insideH w:val="single" w:sz="6" w:space="0" w:color="auto"/>
          <w:insideV w:val="single" w:sz="6" w:space="0" w:color="auto"/>
        </w:tblBorders>
        <w:tblLook w:val="04A0" w:firstRow="1" w:lastRow="0" w:firstColumn="1" w:lastColumn="0" w:noHBand="0" w:noVBand="1"/>
      </w:tblPr>
      <w:tblGrid>
        <w:gridCol w:w="3600"/>
        <w:gridCol w:w="5647"/>
      </w:tblGrid>
      <w:tr w:rsidR="003239B8" w:rsidRPr="006E5822" w14:paraId="5A79D1F7" w14:textId="77777777" w:rsidTr="001B1538">
        <w:tc>
          <w:tcPr>
            <w:tcW w:w="3600" w:type="dxa"/>
            <w:tcBorders>
              <w:top w:val="single" w:sz="4" w:space="0" w:color="auto"/>
              <w:bottom w:val="single" w:sz="6" w:space="0" w:color="auto"/>
            </w:tcBorders>
            <w:shd w:val="clear" w:color="auto" w:fill="386294"/>
            <w:vAlign w:val="center"/>
          </w:tcPr>
          <w:p w14:paraId="0CB2A43B" w14:textId="77777777" w:rsidR="003239B8" w:rsidRPr="000D05CB" w:rsidRDefault="003239B8" w:rsidP="008D2290">
            <w:pPr>
              <w:jc w:val="center"/>
              <w:rPr>
                <w:rFonts w:ascii="Cambria" w:hAnsi="Cambria"/>
                <w:b/>
                <w:bCs/>
                <w:color w:val="FFFFFF" w:themeColor="background1"/>
                <w:sz w:val="20"/>
                <w:szCs w:val="20"/>
              </w:rPr>
            </w:pPr>
            <w:r w:rsidRPr="000D05CB">
              <w:rPr>
                <w:rFonts w:ascii="Cambria" w:hAnsi="Cambria"/>
                <w:b/>
                <w:bCs/>
                <w:color w:val="FFFFFF" w:themeColor="background1"/>
                <w:sz w:val="20"/>
                <w:szCs w:val="20"/>
              </w:rPr>
              <w:t>Parte peticionaria:</w:t>
            </w:r>
          </w:p>
        </w:tc>
        <w:tc>
          <w:tcPr>
            <w:tcW w:w="5647" w:type="dxa"/>
            <w:vAlign w:val="center"/>
          </w:tcPr>
          <w:p w14:paraId="3C5315D8" w14:textId="4ED62A15" w:rsidR="003239B8" w:rsidRPr="00B845F1" w:rsidRDefault="00B845F1" w:rsidP="008D2290">
            <w:pPr>
              <w:jc w:val="both"/>
              <w:rPr>
                <w:rFonts w:ascii="Cambria" w:hAnsi="Cambria"/>
                <w:bCs/>
                <w:sz w:val="20"/>
                <w:szCs w:val="20"/>
                <w:lang w:val="fr-CA"/>
              </w:rPr>
            </w:pPr>
            <w:r w:rsidRPr="00B845F1">
              <w:rPr>
                <w:rFonts w:ascii="Cambria" w:hAnsi="Cambria"/>
                <w:bCs/>
                <w:sz w:val="20"/>
                <w:szCs w:val="20"/>
                <w:lang w:val="fr-CA"/>
              </w:rPr>
              <w:t>Nelson Javier de Lavalle R</w:t>
            </w:r>
            <w:r>
              <w:rPr>
                <w:rFonts w:ascii="Cambria" w:hAnsi="Cambria"/>
                <w:bCs/>
                <w:sz w:val="20"/>
                <w:szCs w:val="20"/>
                <w:lang w:val="fr-CA"/>
              </w:rPr>
              <w:t>estrepo</w:t>
            </w:r>
          </w:p>
        </w:tc>
      </w:tr>
      <w:tr w:rsidR="003239B8" w:rsidRPr="004C4004" w14:paraId="593A7E45" w14:textId="77777777" w:rsidTr="001B1538">
        <w:tc>
          <w:tcPr>
            <w:tcW w:w="3600" w:type="dxa"/>
            <w:tcBorders>
              <w:top w:val="single" w:sz="6" w:space="0" w:color="auto"/>
              <w:bottom w:val="single" w:sz="6" w:space="0" w:color="auto"/>
            </w:tcBorders>
            <w:shd w:val="clear" w:color="auto" w:fill="386294"/>
            <w:vAlign w:val="center"/>
          </w:tcPr>
          <w:p w14:paraId="0E78CA0C" w14:textId="77777777" w:rsidR="003239B8" w:rsidRPr="00B845F1" w:rsidRDefault="00A17861" w:rsidP="008D2290">
            <w:pPr>
              <w:jc w:val="center"/>
              <w:rPr>
                <w:rFonts w:asciiTheme="majorHAnsi" w:hAnsiTheme="majorHAnsi"/>
                <w:b/>
                <w:bCs/>
                <w:color w:val="FFFFFF" w:themeColor="background1"/>
                <w:sz w:val="20"/>
                <w:szCs w:val="20"/>
              </w:rPr>
            </w:pPr>
            <w:sdt>
              <w:sdtPr>
                <w:rPr>
                  <w:rFonts w:asciiTheme="majorHAnsi" w:hAnsiTheme="majorHAnsi"/>
                  <w:b/>
                  <w:bCs/>
                  <w:color w:val="FFFFFF" w:themeColor="background1"/>
                  <w:sz w:val="20"/>
                  <w:szCs w:val="20"/>
                </w:rPr>
                <w:alias w:val="Elegir una opción"/>
                <w:tag w:val="Elegir una opción"/>
                <w:id w:val="931095713"/>
                <w:placeholder>
                  <w:docPart w:val="EF85E8F873F2494CB1B0EF413DA4B061"/>
                </w:placeholder>
                <w:dropDownList>
                  <w:listItem w:value="Choose an item."/>
                  <w:listItem w:displayText="Presunta víctima" w:value="Presunta víctima"/>
                  <w:listItem w:displayText="Presuntas víctimas" w:value="Presuntas víctimas"/>
                </w:dropDownList>
              </w:sdtPr>
              <w:sdtEndPr/>
              <w:sdtContent>
                <w:r w:rsidR="003239B8" w:rsidRPr="00B845F1">
                  <w:rPr>
                    <w:rFonts w:asciiTheme="majorHAnsi" w:hAnsiTheme="majorHAnsi"/>
                    <w:b/>
                    <w:bCs/>
                    <w:color w:val="FFFFFF" w:themeColor="background1"/>
                    <w:sz w:val="20"/>
                    <w:szCs w:val="20"/>
                  </w:rPr>
                  <w:t>Presunta víctima</w:t>
                </w:r>
              </w:sdtContent>
            </w:sdt>
            <w:r w:rsidR="003239B8" w:rsidRPr="00B845F1">
              <w:rPr>
                <w:rFonts w:asciiTheme="majorHAnsi" w:hAnsiTheme="majorHAnsi"/>
                <w:b/>
                <w:bCs/>
                <w:color w:val="FFFFFF" w:themeColor="background1"/>
                <w:sz w:val="20"/>
                <w:szCs w:val="20"/>
              </w:rPr>
              <w:t>:</w:t>
            </w:r>
          </w:p>
        </w:tc>
        <w:tc>
          <w:tcPr>
            <w:tcW w:w="5647" w:type="dxa"/>
            <w:vAlign w:val="center"/>
          </w:tcPr>
          <w:p w14:paraId="4AEBF59E" w14:textId="337ABBD4" w:rsidR="003239B8" w:rsidRPr="004C4004" w:rsidRDefault="004C4004" w:rsidP="00684BFC">
            <w:pPr>
              <w:rPr>
                <w:rFonts w:asciiTheme="majorHAnsi" w:hAnsiTheme="majorHAnsi"/>
                <w:sz w:val="20"/>
                <w:szCs w:val="20"/>
                <w:lang w:val="es-US"/>
              </w:rPr>
            </w:pPr>
            <w:r w:rsidRPr="004C4004">
              <w:rPr>
                <w:rFonts w:asciiTheme="majorHAnsi" w:hAnsiTheme="majorHAnsi"/>
                <w:sz w:val="20"/>
                <w:szCs w:val="20"/>
                <w:lang w:val="es-US"/>
              </w:rPr>
              <w:t>Habitantes del corregimiento de Sa</w:t>
            </w:r>
            <w:r>
              <w:rPr>
                <w:rFonts w:asciiTheme="majorHAnsi" w:hAnsiTheme="majorHAnsi"/>
                <w:sz w:val="20"/>
                <w:szCs w:val="20"/>
                <w:lang w:val="es-US"/>
              </w:rPr>
              <w:t>nta Rita</w:t>
            </w:r>
            <w:r>
              <w:rPr>
                <w:rStyle w:val="FootnoteReference"/>
                <w:rFonts w:asciiTheme="majorHAnsi" w:hAnsiTheme="majorHAnsi"/>
                <w:sz w:val="20"/>
                <w:szCs w:val="20"/>
                <w:lang w:val="es-US"/>
              </w:rPr>
              <w:footnoteReference w:id="2"/>
            </w:r>
          </w:p>
        </w:tc>
      </w:tr>
      <w:tr w:rsidR="003239B8" w14:paraId="3E62E1D3" w14:textId="77777777" w:rsidTr="001B1538">
        <w:tc>
          <w:tcPr>
            <w:tcW w:w="3600" w:type="dxa"/>
            <w:tcBorders>
              <w:top w:val="single" w:sz="6" w:space="0" w:color="auto"/>
              <w:bottom w:val="single" w:sz="6" w:space="0" w:color="auto"/>
            </w:tcBorders>
            <w:shd w:val="clear" w:color="auto" w:fill="386294"/>
            <w:vAlign w:val="center"/>
          </w:tcPr>
          <w:p w14:paraId="340B0F09" w14:textId="77777777" w:rsidR="003239B8" w:rsidRPr="00B845F1" w:rsidRDefault="003239B8" w:rsidP="008D2290">
            <w:pPr>
              <w:jc w:val="center"/>
              <w:rPr>
                <w:rFonts w:asciiTheme="majorHAnsi" w:hAnsiTheme="majorHAnsi"/>
                <w:b/>
                <w:bCs/>
                <w:color w:val="FFFFFF" w:themeColor="background1"/>
                <w:sz w:val="20"/>
                <w:szCs w:val="20"/>
              </w:rPr>
            </w:pPr>
            <w:r w:rsidRPr="00B845F1">
              <w:rPr>
                <w:rFonts w:asciiTheme="majorHAnsi" w:hAnsiTheme="majorHAnsi"/>
                <w:b/>
                <w:bCs/>
                <w:color w:val="FFFFFF" w:themeColor="background1"/>
                <w:sz w:val="20"/>
                <w:szCs w:val="20"/>
              </w:rPr>
              <w:t>Estado denunciado:</w:t>
            </w:r>
          </w:p>
        </w:tc>
        <w:tc>
          <w:tcPr>
            <w:tcW w:w="5647" w:type="dxa"/>
            <w:vAlign w:val="center"/>
          </w:tcPr>
          <w:p w14:paraId="274C8A50" w14:textId="12009B43" w:rsidR="003239B8" w:rsidRPr="00B845F1" w:rsidRDefault="00B845F1" w:rsidP="008D2290">
            <w:pPr>
              <w:jc w:val="both"/>
              <w:rPr>
                <w:rFonts w:asciiTheme="majorHAnsi" w:hAnsiTheme="majorHAnsi"/>
                <w:bCs/>
                <w:sz w:val="20"/>
                <w:szCs w:val="20"/>
              </w:rPr>
            </w:pPr>
            <w:r w:rsidRPr="00B845F1">
              <w:rPr>
                <w:rFonts w:asciiTheme="majorHAnsi" w:hAnsiTheme="majorHAnsi"/>
                <w:bCs/>
                <w:sz w:val="20"/>
                <w:szCs w:val="20"/>
              </w:rPr>
              <w:t>Colombia</w:t>
            </w:r>
            <w:r w:rsidRPr="00B845F1">
              <w:rPr>
                <w:rStyle w:val="FootnoteReference"/>
                <w:rFonts w:asciiTheme="majorHAnsi" w:hAnsiTheme="majorHAnsi"/>
                <w:bCs/>
                <w:sz w:val="20"/>
                <w:szCs w:val="20"/>
              </w:rPr>
              <w:footnoteReference w:id="3"/>
            </w:r>
          </w:p>
        </w:tc>
      </w:tr>
      <w:tr w:rsidR="00223A29" w:rsidRPr="006E5822" w14:paraId="632511BC" w14:textId="77777777" w:rsidTr="001B1538">
        <w:tc>
          <w:tcPr>
            <w:tcW w:w="3600" w:type="dxa"/>
            <w:tcBorders>
              <w:top w:val="single" w:sz="6" w:space="0" w:color="auto"/>
              <w:bottom w:val="single" w:sz="6" w:space="0" w:color="auto"/>
            </w:tcBorders>
            <w:shd w:val="clear" w:color="auto" w:fill="386294"/>
            <w:vAlign w:val="center"/>
          </w:tcPr>
          <w:p w14:paraId="727E2F6B" w14:textId="60AEE329" w:rsidR="00223A29" w:rsidRPr="00B845F1" w:rsidRDefault="001B3A00" w:rsidP="00E4118C">
            <w:pPr>
              <w:jc w:val="center"/>
              <w:rPr>
                <w:rFonts w:asciiTheme="majorHAnsi" w:hAnsiTheme="majorHAnsi"/>
                <w:b/>
                <w:bCs/>
                <w:color w:val="FFFFFF" w:themeColor="background1"/>
                <w:sz w:val="20"/>
                <w:szCs w:val="20"/>
              </w:rPr>
            </w:pPr>
            <w:r w:rsidRPr="00B845F1">
              <w:rPr>
                <w:rFonts w:asciiTheme="majorHAnsi" w:hAnsiTheme="majorHAnsi"/>
                <w:b/>
                <w:bCs/>
                <w:color w:val="FFFFFF" w:themeColor="background1"/>
                <w:sz w:val="20"/>
                <w:szCs w:val="20"/>
              </w:rPr>
              <w:t xml:space="preserve">Derechos </w:t>
            </w:r>
            <w:r w:rsidR="00E4118C" w:rsidRPr="00B845F1">
              <w:rPr>
                <w:rFonts w:asciiTheme="majorHAnsi" w:hAnsiTheme="majorHAnsi"/>
                <w:b/>
                <w:bCs/>
                <w:color w:val="FFFFFF" w:themeColor="background1"/>
                <w:sz w:val="20"/>
                <w:szCs w:val="20"/>
              </w:rPr>
              <w:t>invocados</w:t>
            </w:r>
            <w:r w:rsidRPr="00B845F1">
              <w:rPr>
                <w:rFonts w:asciiTheme="majorHAnsi" w:hAnsiTheme="majorHAnsi"/>
                <w:b/>
                <w:bCs/>
                <w:color w:val="FFFFFF" w:themeColor="background1"/>
                <w:sz w:val="20"/>
                <w:szCs w:val="20"/>
              </w:rPr>
              <w:t>:</w:t>
            </w:r>
          </w:p>
        </w:tc>
        <w:tc>
          <w:tcPr>
            <w:tcW w:w="5647" w:type="dxa"/>
            <w:vAlign w:val="center"/>
          </w:tcPr>
          <w:p w14:paraId="6DEE1EEB" w14:textId="766723BD" w:rsidR="00223A29" w:rsidRPr="00B845F1" w:rsidRDefault="006C5D7D" w:rsidP="008D2290">
            <w:pPr>
              <w:jc w:val="both"/>
              <w:rPr>
                <w:rFonts w:asciiTheme="majorHAnsi" w:hAnsiTheme="majorHAnsi"/>
                <w:bCs/>
                <w:sz w:val="20"/>
                <w:szCs w:val="20"/>
                <w:lang w:val="es-US"/>
              </w:rPr>
            </w:pPr>
            <w:r>
              <w:rPr>
                <w:rFonts w:asciiTheme="majorHAnsi" w:hAnsiTheme="majorHAnsi"/>
                <w:bCs/>
                <w:sz w:val="20"/>
                <w:szCs w:val="20"/>
                <w:lang w:val="es-ES"/>
              </w:rPr>
              <w:t xml:space="preserve">Artículos 4 (vida), 5 (integridad personal), 21 (propiedad privada), 22 (circulación y residencia), 24 (igualdad ante la ley) y 25 (protección judicial) </w:t>
            </w:r>
            <w:r w:rsidR="00406D7B" w:rsidRPr="00B845F1">
              <w:rPr>
                <w:rFonts w:asciiTheme="majorHAnsi" w:hAnsiTheme="majorHAnsi"/>
                <w:bCs/>
                <w:sz w:val="20"/>
                <w:szCs w:val="20"/>
                <w:lang w:val="es-ES"/>
              </w:rPr>
              <w:t>de la Convención Americana sobre Derechos Humanos</w:t>
            </w:r>
            <w:r w:rsidR="00504640">
              <w:rPr>
                <w:rStyle w:val="FootnoteReference"/>
                <w:rFonts w:asciiTheme="majorHAnsi" w:hAnsiTheme="majorHAnsi"/>
                <w:bCs/>
                <w:sz w:val="20"/>
                <w:szCs w:val="20"/>
                <w:lang w:val="es-ES"/>
              </w:rPr>
              <w:footnoteReference w:id="4"/>
            </w:r>
          </w:p>
        </w:tc>
      </w:tr>
    </w:tbl>
    <w:p w14:paraId="20263696" w14:textId="77777777" w:rsidR="003239B8" w:rsidRPr="00E4118C" w:rsidRDefault="003239B8" w:rsidP="003239B8">
      <w:pPr>
        <w:spacing w:before="240" w:after="240"/>
        <w:ind w:firstLine="720"/>
        <w:jc w:val="both"/>
        <w:rPr>
          <w:rFonts w:asciiTheme="majorHAnsi" w:hAnsiTheme="majorHAnsi"/>
          <w:b/>
          <w:bCs/>
          <w:sz w:val="20"/>
          <w:szCs w:val="20"/>
          <w:lang w:val="es-ES"/>
        </w:rPr>
      </w:pPr>
      <w:r w:rsidRPr="004C2312">
        <w:rPr>
          <w:rFonts w:asciiTheme="majorHAnsi" w:hAnsiTheme="majorHAnsi"/>
          <w:b/>
          <w:bCs/>
          <w:sz w:val="20"/>
          <w:szCs w:val="20"/>
          <w:lang w:val="es-ES"/>
        </w:rPr>
        <w:t>II.</w:t>
      </w:r>
      <w:r w:rsidRPr="004C2312">
        <w:rPr>
          <w:rFonts w:asciiTheme="majorHAnsi" w:hAnsiTheme="majorHAnsi"/>
          <w:b/>
          <w:bCs/>
          <w:sz w:val="20"/>
          <w:szCs w:val="20"/>
          <w:lang w:val="es-ES"/>
        </w:rPr>
        <w:tab/>
        <w:t>TRÁMITE ANTE LA CIDH</w:t>
      </w:r>
      <w:r w:rsidR="008E3BFE" w:rsidRPr="008E3BFE">
        <w:rPr>
          <w:rStyle w:val="FootnoteReference"/>
          <w:rFonts w:ascii="Cambria" w:hAnsi="Cambria"/>
          <w:b/>
          <w:sz w:val="20"/>
          <w:szCs w:val="20"/>
        </w:rPr>
        <w:footnoteReference w:id="5"/>
      </w:r>
    </w:p>
    <w:tbl>
      <w:tblPr>
        <w:tblStyle w:val="TableGrid"/>
        <w:tblW w:w="9247" w:type="dxa"/>
        <w:tblInd w:w="108" w:type="dxa"/>
        <w:tblBorders>
          <w:insideH w:val="single" w:sz="6" w:space="0" w:color="auto"/>
          <w:insideV w:val="single" w:sz="6" w:space="0" w:color="auto"/>
        </w:tblBorders>
        <w:tblLook w:val="04A0" w:firstRow="1" w:lastRow="0" w:firstColumn="1" w:lastColumn="0" w:noHBand="0" w:noVBand="1"/>
      </w:tblPr>
      <w:tblGrid>
        <w:gridCol w:w="3600"/>
        <w:gridCol w:w="5647"/>
      </w:tblGrid>
      <w:tr w:rsidR="004C2312" w:rsidRPr="004A6A54" w14:paraId="306EFCB0" w14:textId="77777777" w:rsidTr="001B1538">
        <w:tc>
          <w:tcPr>
            <w:tcW w:w="3600" w:type="dxa"/>
            <w:tcBorders>
              <w:top w:val="single" w:sz="6" w:space="0" w:color="auto"/>
              <w:bottom w:val="single" w:sz="6" w:space="0" w:color="auto"/>
            </w:tcBorders>
            <w:shd w:val="clear" w:color="auto" w:fill="386294"/>
            <w:vAlign w:val="center"/>
          </w:tcPr>
          <w:p w14:paraId="7508D16F" w14:textId="653461D7" w:rsidR="004C2312" w:rsidRPr="00F2665D" w:rsidRDefault="004A6A54" w:rsidP="004A6A54">
            <w:pPr>
              <w:jc w:val="center"/>
              <w:rPr>
                <w:rFonts w:ascii="Cambria" w:hAnsi="Cambria"/>
                <w:b/>
                <w:bCs/>
                <w:color w:val="FFFFFF" w:themeColor="background1"/>
                <w:sz w:val="20"/>
                <w:szCs w:val="20"/>
                <w:lang w:val="es-PE"/>
              </w:rPr>
            </w:pPr>
            <w:r w:rsidRPr="00F2665D">
              <w:rPr>
                <w:rFonts w:ascii="Cambria" w:hAnsi="Cambria"/>
                <w:b/>
                <w:bCs/>
                <w:color w:val="FFFFFF" w:themeColor="background1"/>
                <w:sz w:val="20"/>
                <w:szCs w:val="20"/>
                <w:lang w:val="es-PE"/>
              </w:rPr>
              <w:t>P</w:t>
            </w:r>
            <w:r w:rsidR="004C2312" w:rsidRPr="00F2665D">
              <w:rPr>
                <w:rFonts w:ascii="Cambria" w:hAnsi="Cambria"/>
                <w:b/>
                <w:bCs/>
                <w:color w:val="FFFFFF" w:themeColor="background1"/>
                <w:sz w:val="20"/>
                <w:szCs w:val="20"/>
                <w:lang w:val="es-PE"/>
              </w:rPr>
              <w:t>resentación de la petición:</w:t>
            </w:r>
          </w:p>
        </w:tc>
        <w:tc>
          <w:tcPr>
            <w:tcW w:w="5647" w:type="dxa"/>
            <w:vAlign w:val="center"/>
          </w:tcPr>
          <w:p w14:paraId="6E579153" w14:textId="29988305" w:rsidR="004C2312" w:rsidRPr="00F2665D" w:rsidRDefault="00B845F1" w:rsidP="002625EA">
            <w:pPr>
              <w:jc w:val="both"/>
              <w:rPr>
                <w:rFonts w:ascii="Cambria" w:hAnsi="Cambria"/>
                <w:bCs/>
                <w:sz w:val="20"/>
                <w:szCs w:val="20"/>
                <w:lang w:val="es-PE"/>
              </w:rPr>
            </w:pPr>
            <w:r w:rsidRPr="00F2665D">
              <w:rPr>
                <w:rFonts w:ascii="Cambria" w:hAnsi="Cambria"/>
                <w:bCs/>
                <w:sz w:val="20"/>
                <w:szCs w:val="20"/>
                <w:lang w:val="es-PE"/>
              </w:rPr>
              <w:t>19 de octubre de 2007</w:t>
            </w:r>
          </w:p>
        </w:tc>
      </w:tr>
      <w:tr w:rsidR="00131425" w:rsidRPr="006E5822" w14:paraId="337129E8" w14:textId="77777777" w:rsidTr="001B1538">
        <w:tc>
          <w:tcPr>
            <w:tcW w:w="3600" w:type="dxa"/>
            <w:tcBorders>
              <w:top w:val="single" w:sz="6" w:space="0" w:color="auto"/>
              <w:bottom w:val="single" w:sz="6" w:space="0" w:color="auto"/>
            </w:tcBorders>
            <w:shd w:val="clear" w:color="auto" w:fill="386294"/>
            <w:vAlign w:val="center"/>
          </w:tcPr>
          <w:p w14:paraId="3D52E482" w14:textId="0FA8B3B3" w:rsidR="00131425" w:rsidRPr="00F2665D" w:rsidRDefault="00131425" w:rsidP="004A6A54">
            <w:pPr>
              <w:jc w:val="center"/>
              <w:rPr>
                <w:rFonts w:ascii="Cambria" w:hAnsi="Cambria"/>
                <w:b/>
                <w:bCs/>
                <w:color w:val="FFFFFF" w:themeColor="background1"/>
                <w:sz w:val="20"/>
                <w:szCs w:val="20"/>
                <w:lang w:val="es-PE"/>
              </w:rPr>
            </w:pPr>
            <w:r w:rsidRPr="00F2665D">
              <w:rPr>
                <w:rFonts w:ascii="Cambria" w:hAnsi="Cambria"/>
                <w:b/>
                <w:bCs/>
                <w:color w:val="FFFFFF" w:themeColor="background1"/>
                <w:sz w:val="20"/>
                <w:szCs w:val="20"/>
                <w:lang w:val="es-PE"/>
              </w:rPr>
              <w:t>Información adicional recibida durante la etapa de estudio:</w:t>
            </w:r>
          </w:p>
        </w:tc>
        <w:tc>
          <w:tcPr>
            <w:tcW w:w="5647" w:type="dxa"/>
            <w:vAlign w:val="center"/>
          </w:tcPr>
          <w:p w14:paraId="30151270" w14:textId="03072B6A" w:rsidR="00131425" w:rsidRPr="00F2665D" w:rsidRDefault="000500AE" w:rsidP="002625EA">
            <w:pPr>
              <w:jc w:val="both"/>
              <w:rPr>
                <w:rFonts w:ascii="Cambria" w:hAnsi="Cambria"/>
                <w:bCs/>
                <w:sz w:val="20"/>
                <w:szCs w:val="20"/>
                <w:lang w:val="es-PE"/>
              </w:rPr>
            </w:pPr>
            <w:r w:rsidRPr="00F2665D">
              <w:rPr>
                <w:rFonts w:ascii="Cambria" w:hAnsi="Cambria"/>
                <w:bCs/>
                <w:sz w:val="20"/>
                <w:szCs w:val="20"/>
                <w:lang w:val="es-PE"/>
              </w:rPr>
              <w:t>20 de agosto de 2012</w:t>
            </w:r>
            <w:r w:rsidR="00443A3B" w:rsidRPr="00F2665D">
              <w:rPr>
                <w:rFonts w:ascii="Cambria" w:hAnsi="Cambria"/>
                <w:bCs/>
                <w:sz w:val="20"/>
                <w:szCs w:val="20"/>
                <w:lang w:val="es-PE"/>
              </w:rPr>
              <w:t>, 17 de agosto de 2018 y 20 de septiembre de 2018</w:t>
            </w:r>
          </w:p>
        </w:tc>
      </w:tr>
      <w:tr w:rsidR="004C2312" w:rsidRPr="00B82E09" w14:paraId="1BDCD5C6" w14:textId="77777777" w:rsidTr="001B1538">
        <w:tc>
          <w:tcPr>
            <w:tcW w:w="3600" w:type="dxa"/>
            <w:tcBorders>
              <w:top w:val="single" w:sz="6" w:space="0" w:color="auto"/>
              <w:bottom w:val="single" w:sz="6" w:space="0" w:color="auto"/>
            </w:tcBorders>
            <w:shd w:val="clear" w:color="auto" w:fill="386294"/>
            <w:vAlign w:val="center"/>
          </w:tcPr>
          <w:p w14:paraId="7A18664F" w14:textId="73FE510C" w:rsidR="004C2312" w:rsidRPr="00F2665D" w:rsidRDefault="004A6A54" w:rsidP="004A6A54">
            <w:pPr>
              <w:jc w:val="center"/>
              <w:rPr>
                <w:rFonts w:ascii="Cambria" w:hAnsi="Cambria"/>
                <w:b/>
                <w:bCs/>
                <w:color w:val="FFFFFF" w:themeColor="background1"/>
                <w:sz w:val="20"/>
                <w:szCs w:val="20"/>
                <w:lang w:val="es-PE"/>
              </w:rPr>
            </w:pPr>
            <w:r w:rsidRPr="00F2665D">
              <w:rPr>
                <w:rFonts w:ascii="Cambria" w:hAnsi="Cambria"/>
                <w:b/>
                <w:color w:val="FFFFFF" w:themeColor="background1"/>
                <w:sz w:val="20"/>
                <w:szCs w:val="20"/>
                <w:lang w:val="es-PE"/>
              </w:rPr>
              <w:t>N</w:t>
            </w:r>
            <w:r w:rsidR="004C2312" w:rsidRPr="00F2665D">
              <w:rPr>
                <w:rFonts w:ascii="Cambria" w:hAnsi="Cambria"/>
                <w:b/>
                <w:color w:val="FFFFFF" w:themeColor="background1"/>
                <w:sz w:val="20"/>
                <w:szCs w:val="20"/>
                <w:lang w:val="es-PE"/>
              </w:rPr>
              <w:t>otificación de la petición al Estado:</w:t>
            </w:r>
          </w:p>
        </w:tc>
        <w:tc>
          <w:tcPr>
            <w:tcW w:w="5647" w:type="dxa"/>
            <w:vAlign w:val="center"/>
          </w:tcPr>
          <w:p w14:paraId="1519DA6A" w14:textId="77A87319" w:rsidR="004C2312" w:rsidRPr="00F2665D" w:rsidRDefault="00B845F1" w:rsidP="008D2290">
            <w:pPr>
              <w:jc w:val="both"/>
              <w:rPr>
                <w:rFonts w:ascii="Cambria" w:hAnsi="Cambria"/>
                <w:bCs/>
                <w:sz w:val="20"/>
                <w:szCs w:val="20"/>
                <w:lang w:val="es-PE"/>
              </w:rPr>
            </w:pPr>
            <w:r w:rsidRPr="00F2665D">
              <w:rPr>
                <w:rFonts w:ascii="Cambria" w:hAnsi="Cambria"/>
                <w:bCs/>
                <w:sz w:val="20"/>
                <w:szCs w:val="20"/>
                <w:lang w:val="es-PE"/>
              </w:rPr>
              <w:t>26 de septiembre de 2011</w:t>
            </w:r>
          </w:p>
        </w:tc>
      </w:tr>
      <w:tr w:rsidR="004C2312" w:rsidRPr="004A6A54" w14:paraId="6147A8D5" w14:textId="77777777" w:rsidTr="001B1538">
        <w:tc>
          <w:tcPr>
            <w:tcW w:w="3600" w:type="dxa"/>
            <w:tcBorders>
              <w:top w:val="single" w:sz="6" w:space="0" w:color="auto"/>
              <w:bottom w:val="single" w:sz="6" w:space="0" w:color="auto"/>
            </w:tcBorders>
            <w:shd w:val="clear" w:color="auto" w:fill="386294"/>
            <w:vAlign w:val="center"/>
          </w:tcPr>
          <w:p w14:paraId="0201C86D" w14:textId="4A5EC6F9" w:rsidR="004C2312" w:rsidRPr="00F2665D" w:rsidRDefault="004A6A54" w:rsidP="004A6A54">
            <w:pPr>
              <w:jc w:val="center"/>
              <w:rPr>
                <w:rFonts w:ascii="Cambria" w:hAnsi="Cambria"/>
                <w:b/>
                <w:bCs/>
                <w:color w:val="FFFFFF" w:themeColor="background1"/>
                <w:sz w:val="20"/>
                <w:szCs w:val="20"/>
                <w:lang w:val="es-PE"/>
              </w:rPr>
            </w:pPr>
            <w:r w:rsidRPr="00F2665D">
              <w:rPr>
                <w:rFonts w:ascii="Cambria" w:hAnsi="Cambria"/>
                <w:b/>
                <w:color w:val="FFFFFF" w:themeColor="background1"/>
                <w:sz w:val="20"/>
                <w:szCs w:val="20"/>
                <w:lang w:val="es-PE"/>
              </w:rPr>
              <w:t>P</w:t>
            </w:r>
            <w:r w:rsidR="004C2312" w:rsidRPr="00F2665D">
              <w:rPr>
                <w:rFonts w:ascii="Cambria" w:hAnsi="Cambria"/>
                <w:b/>
                <w:color w:val="FFFFFF" w:themeColor="background1"/>
                <w:sz w:val="20"/>
                <w:szCs w:val="20"/>
                <w:lang w:val="es-PE"/>
              </w:rPr>
              <w:t>rimera respuesta del Estado:</w:t>
            </w:r>
          </w:p>
        </w:tc>
        <w:tc>
          <w:tcPr>
            <w:tcW w:w="5647" w:type="dxa"/>
            <w:vAlign w:val="center"/>
          </w:tcPr>
          <w:p w14:paraId="1972B99E" w14:textId="0A45B087" w:rsidR="004C2312" w:rsidRPr="00F2665D" w:rsidRDefault="00443A3B" w:rsidP="008D2290">
            <w:pPr>
              <w:jc w:val="both"/>
              <w:rPr>
                <w:rFonts w:ascii="Cambria" w:hAnsi="Cambria"/>
                <w:bCs/>
                <w:sz w:val="20"/>
                <w:szCs w:val="20"/>
                <w:lang w:val="es-PE"/>
              </w:rPr>
            </w:pPr>
            <w:r w:rsidRPr="00F2665D">
              <w:rPr>
                <w:rFonts w:ascii="Cambria" w:hAnsi="Cambria"/>
                <w:bCs/>
                <w:sz w:val="20"/>
                <w:szCs w:val="20"/>
                <w:lang w:val="es-PE"/>
              </w:rPr>
              <w:t>29 de diciembre de 2020</w:t>
            </w:r>
          </w:p>
        </w:tc>
      </w:tr>
      <w:tr w:rsidR="004C2312" w:rsidRPr="006E5822" w14:paraId="322668B6" w14:textId="77777777" w:rsidTr="001B1538">
        <w:tc>
          <w:tcPr>
            <w:tcW w:w="3600" w:type="dxa"/>
            <w:tcBorders>
              <w:top w:val="single" w:sz="6" w:space="0" w:color="auto"/>
              <w:bottom w:val="single" w:sz="6" w:space="0" w:color="auto"/>
            </w:tcBorders>
            <w:shd w:val="clear" w:color="auto" w:fill="386294"/>
            <w:vAlign w:val="center"/>
          </w:tcPr>
          <w:p w14:paraId="1524DA55" w14:textId="77777777" w:rsidR="004C2312" w:rsidRPr="00F2665D" w:rsidRDefault="008E3BFE" w:rsidP="008E3BFE">
            <w:pPr>
              <w:jc w:val="center"/>
              <w:rPr>
                <w:rFonts w:ascii="Cambria" w:hAnsi="Cambria"/>
                <w:b/>
                <w:bCs/>
                <w:color w:val="FFFFFF" w:themeColor="background1"/>
                <w:sz w:val="20"/>
                <w:szCs w:val="20"/>
                <w:lang w:val="es-PE"/>
              </w:rPr>
            </w:pPr>
            <w:r w:rsidRPr="00F2665D">
              <w:rPr>
                <w:rFonts w:ascii="Cambria" w:hAnsi="Cambria"/>
                <w:b/>
                <w:bCs/>
                <w:color w:val="FFFFFF" w:themeColor="background1"/>
                <w:sz w:val="20"/>
                <w:szCs w:val="20"/>
                <w:lang w:val="es-PE"/>
              </w:rPr>
              <w:t>Observaciones adicionales de la parte peticionaria:</w:t>
            </w:r>
          </w:p>
        </w:tc>
        <w:tc>
          <w:tcPr>
            <w:tcW w:w="5647" w:type="dxa"/>
            <w:vAlign w:val="center"/>
          </w:tcPr>
          <w:p w14:paraId="41D8B862" w14:textId="66147FF1" w:rsidR="004C2312" w:rsidRPr="00F2665D" w:rsidRDefault="00443A3B" w:rsidP="008D2290">
            <w:pPr>
              <w:jc w:val="both"/>
              <w:rPr>
                <w:rFonts w:ascii="Cambria" w:hAnsi="Cambria"/>
                <w:bCs/>
                <w:sz w:val="20"/>
                <w:szCs w:val="20"/>
                <w:lang w:val="es-PE"/>
              </w:rPr>
            </w:pPr>
            <w:r w:rsidRPr="00F2665D">
              <w:rPr>
                <w:rFonts w:ascii="Cambria" w:hAnsi="Cambria"/>
                <w:bCs/>
                <w:sz w:val="20"/>
                <w:szCs w:val="20"/>
                <w:lang w:val="es-PE"/>
              </w:rPr>
              <w:t>7 de febrero de 2021</w:t>
            </w:r>
            <w:r w:rsidR="00F2665D" w:rsidRPr="00F2665D">
              <w:rPr>
                <w:rFonts w:ascii="Cambria" w:hAnsi="Cambria"/>
                <w:bCs/>
                <w:sz w:val="20"/>
                <w:szCs w:val="20"/>
                <w:lang w:val="es-PE"/>
              </w:rPr>
              <w:t xml:space="preserve"> y 11 de septiembre de 2022</w:t>
            </w:r>
          </w:p>
        </w:tc>
      </w:tr>
      <w:tr w:rsidR="004C2312" w:rsidRPr="009111EC" w14:paraId="291ACE7A" w14:textId="77777777" w:rsidTr="001B1538">
        <w:tc>
          <w:tcPr>
            <w:tcW w:w="3600" w:type="dxa"/>
            <w:tcBorders>
              <w:top w:val="single" w:sz="6" w:space="0" w:color="auto"/>
              <w:bottom w:val="single" w:sz="6" w:space="0" w:color="auto"/>
            </w:tcBorders>
            <w:shd w:val="clear" w:color="auto" w:fill="386294"/>
            <w:vAlign w:val="center"/>
          </w:tcPr>
          <w:p w14:paraId="068BD12F" w14:textId="77777777" w:rsidR="004C2312" w:rsidRPr="00F2665D" w:rsidRDefault="004C2312" w:rsidP="008E3BFE">
            <w:pPr>
              <w:jc w:val="center"/>
              <w:rPr>
                <w:rFonts w:ascii="Cambria" w:hAnsi="Cambria"/>
                <w:b/>
                <w:bCs/>
                <w:color w:val="FFFFFF" w:themeColor="background1"/>
                <w:sz w:val="20"/>
                <w:szCs w:val="20"/>
                <w:lang w:val="es-PE"/>
              </w:rPr>
            </w:pPr>
            <w:r w:rsidRPr="00F2665D">
              <w:rPr>
                <w:rFonts w:ascii="Cambria" w:hAnsi="Cambria"/>
                <w:b/>
                <w:bCs/>
                <w:color w:val="FFFFFF" w:themeColor="background1"/>
                <w:sz w:val="20"/>
                <w:szCs w:val="20"/>
                <w:lang w:val="es-PE"/>
              </w:rPr>
              <w:t>Observaciones adicionales del Estado:</w:t>
            </w:r>
          </w:p>
        </w:tc>
        <w:tc>
          <w:tcPr>
            <w:tcW w:w="5647" w:type="dxa"/>
            <w:vAlign w:val="center"/>
          </w:tcPr>
          <w:p w14:paraId="3CE49AFE" w14:textId="374C4884" w:rsidR="004C2312" w:rsidRPr="00F2665D" w:rsidRDefault="00443A3B" w:rsidP="008D2290">
            <w:pPr>
              <w:jc w:val="both"/>
              <w:rPr>
                <w:rFonts w:ascii="Cambria" w:hAnsi="Cambria"/>
                <w:bCs/>
                <w:sz w:val="20"/>
                <w:szCs w:val="20"/>
                <w:lang w:val="es-PE"/>
              </w:rPr>
            </w:pPr>
            <w:r w:rsidRPr="00F2665D">
              <w:rPr>
                <w:rFonts w:ascii="Cambria" w:hAnsi="Cambria"/>
                <w:bCs/>
                <w:sz w:val="20"/>
                <w:szCs w:val="20"/>
                <w:lang w:val="es-PE"/>
              </w:rPr>
              <w:t>12 de julio de 2021</w:t>
            </w:r>
          </w:p>
        </w:tc>
      </w:tr>
    </w:tbl>
    <w:p w14:paraId="21DAA666" w14:textId="77777777" w:rsidR="003239B8" w:rsidRPr="003239B8" w:rsidRDefault="003239B8" w:rsidP="003239B8">
      <w:pPr>
        <w:spacing w:before="240" w:after="240"/>
        <w:ind w:firstLine="720"/>
        <w:jc w:val="both"/>
        <w:rPr>
          <w:rFonts w:asciiTheme="majorHAnsi" w:hAnsiTheme="majorHAnsi"/>
          <w:b/>
          <w:bCs/>
          <w:sz w:val="20"/>
          <w:szCs w:val="20"/>
          <w:lang w:val="es-ES"/>
        </w:rPr>
      </w:pPr>
      <w:r w:rsidRPr="003239B8">
        <w:rPr>
          <w:rFonts w:asciiTheme="majorHAnsi" w:hAnsiTheme="majorHAnsi"/>
          <w:b/>
          <w:bCs/>
          <w:sz w:val="20"/>
          <w:szCs w:val="20"/>
          <w:lang w:val="es-ES"/>
        </w:rPr>
        <w:t xml:space="preserve">III. </w:t>
      </w:r>
      <w:r w:rsidRPr="003239B8">
        <w:rPr>
          <w:rFonts w:asciiTheme="majorHAnsi" w:hAnsiTheme="majorHAnsi"/>
          <w:b/>
          <w:bCs/>
          <w:sz w:val="20"/>
          <w:szCs w:val="20"/>
          <w:lang w:val="es-ES"/>
        </w:rPr>
        <w:tab/>
        <w:t>COMPETENCIA</w:t>
      </w:r>
      <w:r w:rsidR="00EE00E9">
        <w:rPr>
          <w:rFonts w:asciiTheme="majorHAnsi" w:hAnsiTheme="majorHAnsi"/>
          <w:b/>
          <w:bCs/>
          <w:sz w:val="20"/>
          <w:szCs w:val="20"/>
          <w:lang w:val="es-ES"/>
        </w:rPr>
        <w:t xml:space="preserve"> </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3561"/>
        <w:gridCol w:w="5681"/>
      </w:tblGrid>
      <w:tr w:rsidR="003239B8" w:rsidRPr="00540F17" w14:paraId="072532AD" w14:textId="77777777" w:rsidTr="004A6A54">
        <w:trPr>
          <w:cantSplit/>
        </w:trPr>
        <w:tc>
          <w:tcPr>
            <w:tcW w:w="3600" w:type="dxa"/>
            <w:tcBorders>
              <w:top w:val="single" w:sz="4" w:space="0" w:color="auto"/>
              <w:bottom w:val="single" w:sz="6" w:space="0" w:color="auto"/>
            </w:tcBorders>
            <w:shd w:val="clear" w:color="auto" w:fill="386294"/>
            <w:vAlign w:val="center"/>
          </w:tcPr>
          <w:p w14:paraId="5C2E4B34" w14:textId="77777777" w:rsidR="003239B8" w:rsidRPr="00B3745F" w:rsidRDefault="003239B8" w:rsidP="008D2290">
            <w:pPr>
              <w:jc w:val="center"/>
              <w:rPr>
                <w:rFonts w:ascii="Cambria" w:hAnsi="Cambria"/>
                <w:b/>
                <w:bCs/>
                <w:i/>
                <w:color w:val="FFFFFF" w:themeColor="background1"/>
                <w:sz w:val="20"/>
                <w:szCs w:val="20"/>
              </w:rPr>
            </w:pPr>
            <w:r w:rsidRPr="00B3745F">
              <w:rPr>
                <w:rFonts w:ascii="Cambria" w:hAnsi="Cambria"/>
                <w:b/>
                <w:bCs/>
                <w:color w:val="FFFFFF" w:themeColor="background1"/>
                <w:sz w:val="20"/>
                <w:szCs w:val="20"/>
              </w:rPr>
              <w:t>Competencia</w:t>
            </w:r>
            <w:r w:rsidRPr="00B3745F">
              <w:rPr>
                <w:rFonts w:ascii="Cambria" w:hAnsi="Cambria"/>
                <w:b/>
                <w:bCs/>
                <w:i/>
                <w:color w:val="FFFFFF" w:themeColor="background1"/>
                <w:sz w:val="20"/>
                <w:szCs w:val="20"/>
              </w:rPr>
              <w:t xml:space="preserve"> Ratione personae:</w:t>
            </w:r>
          </w:p>
        </w:tc>
        <w:tc>
          <w:tcPr>
            <w:tcW w:w="5760" w:type="dxa"/>
            <w:vAlign w:val="center"/>
          </w:tcPr>
          <w:p w14:paraId="7707F3E9" w14:textId="4D9BDFBC" w:rsidR="003239B8" w:rsidRPr="00B3745F" w:rsidRDefault="00F2665D" w:rsidP="008D2290">
            <w:pPr>
              <w:rPr>
                <w:rFonts w:ascii="Cambria" w:hAnsi="Cambria"/>
                <w:bCs/>
                <w:sz w:val="20"/>
                <w:szCs w:val="20"/>
              </w:rPr>
            </w:pPr>
            <w:r>
              <w:rPr>
                <w:rFonts w:ascii="Cambria" w:hAnsi="Cambria"/>
                <w:bCs/>
                <w:sz w:val="20"/>
                <w:szCs w:val="20"/>
              </w:rPr>
              <w:t>Sí</w:t>
            </w:r>
          </w:p>
        </w:tc>
      </w:tr>
      <w:tr w:rsidR="003239B8" w:rsidRPr="00540F17" w14:paraId="4B8802DA" w14:textId="77777777" w:rsidTr="004A6A54">
        <w:trPr>
          <w:cantSplit/>
        </w:trPr>
        <w:tc>
          <w:tcPr>
            <w:tcW w:w="3600" w:type="dxa"/>
            <w:tcBorders>
              <w:top w:val="single" w:sz="6" w:space="0" w:color="auto"/>
              <w:bottom w:val="single" w:sz="6" w:space="0" w:color="auto"/>
            </w:tcBorders>
            <w:shd w:val="clear" w:color="auto" w:fill="386294"/>
            <w:vAlign w:val="center"/>
          </w:tcPr>
          <w:p w14:paraId="3915C23B" w14:textId="77777777" w:rsidR="003239B8" w:rsidRPr="00B3745F" w:rsidRDefault="003239B8" w:rsidP="008D2290">
            <w:pPr>
              <w:jc w:val="center"/>
              <w:rPr>
                <w:rFonts w:ascii="Cambria" w:hAnsi="Cambria"/>
                <w:b/>
                <w:bCs/>
                <w:color w:val="FFFFFF" w:themeColor="background1"/>
                <w:sz w:val="20"/>
                <w:szCs w:val="20"/>
              </w:rPr>
            </w:pPr>
            <w:r w:rsidRPr="00B3745F">
              <w:rPr>
                <w:rFonts w:ascii="Cambria" w:hAnsi="Cambria"/>
                <w:b/>
                <w:bCs/>
                <w:color w:val="FFFFFF" w:themeColor="background1"/>
                <w:sz w:val="20"/>
                <w:szCs w:val="20"/>
              </w:rPr>
              <w:t>Competencia</w:t>
            </w:r>
            <w:r w:rsidRPr="00B3745F">
              <w:rPr>
                <w:rFonts w:ascii="Cambria" w:hAnsi="Cambria"/>
                <w:b/>
                <w:bCs/>
                <w:i/>
                <w:color w:val="FFFFFF" w:themeColor="background1"/>
                <w:sz w:val="20"/>
                <w:szCs w:val="20"/>
              </w:rPr>
              <w:t xml:space="preserve"> Ratione loci</w:t>
            </w:r>
            <w:r w:rsidRPr="00B3745F">
              <w:rPr>
                <w:rFonts w:ascii="Cambria" w:hAnsi="Cambria"/>
                <w:b/>
                <w:bCs/>
                <w:color w:val="FFFFFF" w:themeColor="background1"/>
                <w:sz w:val="20"/>
                <w:szCs w:val="20"/>
              </w:rPr>
              <w:t>:</w:t>
            </w:r>
          </w:p>
        </w:tc>
        <w:tc>
          <w:tcPr>
            <w:tcW w:w="5760" w:type="dxa"/>
            <w:vAlign w:val="center"/>
          </w:tcPr>
          <w:p w14:paraId="12C931CB" w14:textId="73A3183B" w:rsidR="003239B8" w:rsidRPr="00B3745F" w:rsidRDefault="00F2665D" w:rsidP="008D2290">
            <w:pPr>
              <w:rPr>
                <w:rFonts w:ascii="Cambria" w:hAnsi="Cambria"/>
                <w:bCs/>
                <w:sz w:val="20"/>
                <w:szCs w:val="20"/>
              </w:rPr>
            </w:pPr>
            <w:r>
              <w:rPr>
                <w:rFonts w:ascii="Cambria" w:hAnsi="Cambria"/>
                <w:bCs/>
                <w:sz w:val="20"/>
                <w:szCs w:val="20"/>
              </w:rPr>
              <w:t>Sí</w:t>
            </w:r>
          </w:p>
        </w:tc>
      </w:tr>
      <w:tr w:rsidR="003239B8" w:rsidRPr="00540F17" w14:paraId="4362FDF3" w14:textId="77777777" w:rsidTr="004A6A54">
        <w:trPr>
          <w:cantSplit/>
        </w:trPr>
        <w:tc>
          <w:tcPr>
            <w:tcW w:w="3600" w:type="dxa"/>
            <w:tcBorders>
              <w:top w:val="single" w:sz="6" w:space="0" w:color="auto"/>
              <w:bottom w:val="single" w:sz="6" w:space="0" w:color="auto"/>
            </w:tcBorders>
            <w:shd w:val="clear" w:color="auto" w:fill="386294"/>
            <w:vAlign w:val="center"/>
          </w:tcPr>
          <w:p w14:paraId="3BE23153" w14:textId="77777777" w:rsidR="003239B8" w:rsidRPr="00B3745F" w:rsidRDefault="003239B8" w:rsidP="008D2290">
            <w:pPr>
              <w:jc w:val="center"/>
              <w:rPr>
                <w:rFonts w:ascii="Cambria" w:hAnsi="Cambria"/>
                <w:b/>
                <w:bCs/>
                <w:color w:val="FFFFFF" w:themeColor="background1"/>
                <w:sz w:val="20"/>
                <w:szCs w:val="20"/>
              </w:rPr>
            </w:pPr>
            <w:r w:rsidRPr="00B3745F">
              <w:rPr>
                <w:rFonts w:ascii="Cambria" w:hAnsi="Cambria"/>
                <w:b/>
                <w:bCs/>
                <w:color w:val="FFFFFF" w:themeColor="background1"/>
                <w:sz w:val="20"/>
                <w:szCs w:val="20"/>
              </w:rPr>
              <w:t>Competencia</w:t>
            </w:r>
            <w:r w:rsidRPr="00B3745F">
              <w:rPr>
                <w:rFonts w:ascii="Cambria" w:hAnsi="Cambria"/>
                <w:b/>
                <w:bCs/>
                <w:i/>
                <w:color w:val="FFFFFF" w:themeColor="background1"/>
                <w:sz w:val="20"/>
                <w:szCs w:val="20"/>
              </w:rPr>
              <w:t xml:space="preserve"> Ratione temporis</w:t>
            </w:r>
            <w:r w:rsidRPr="00B3745F">
              <w:rPr>
                <w:rFonts w:ascii="Cambria" w:hAnsi="Cambria"/>
                <w:b/>
                <w:bCs/>
                <w:color w:val="FFFFFF" w:themeColor="background1"/>
                <w:sz w:val="20"/>
                <w:szCs w:val="20"/>
              </w:rPr>
              <w:t>:</w:t>
            </w:r>
          </w:p>
        </w:tc>
        <w:tc>
          <w:tcPr>
            <w:tcW w:w="5760" w:type="dxa"/>
            <w:vAlign w:val="center"/>
          </w:tcPr>
          <w:p w14:paraId="6F8B059B" w14:textId="4809DCE6" w:rsidR="003239B8" w:rsidRPr="00B3745F" w:rsidRDefault="00F2665D" w:rsidP="008D2290">
            <w:pPr>
              <w:rPr>
                <w:rFonts w:ascii="Cambria" w:hAnsi="Cambria"/>
                <w:bCs/>
                <w:sz w:val="20"/>
                <w:szCs w:val="20"/>
              </w:rPr>
            </w:pPr>
            <w:r>
              <w:rPr>
                <w:rFonts w:ascii="Cambria" w:hAnsi="Cambria"/>
                <w:bCs/>
                <w:sz w:val="20"/>
                <w:szCs w:val="20"/>
              </w:rPr>
              <w:t>Sí</w:t>
            </w:r>
          </w:p>
        </w:tc>
      </w:tr>
      <w:tr w:rsidR="003239B8" w:rsidRPr="006E5822" w14:paraId="30ABEC3E" w14:textId="77777777" w:rsidTr="004A6A54">
        <w:trPr>
          <w:cantSplit/>
        </w:trPr>
        <w:tc>
          <w:tcPr>
            <w:tcW w:w="3600" w:type="dxa"/>
            <w:tcBorders>
              <w:top w:val="single" w:sz="6" w:space="0" w:color="auto"/>
              <w:bottom w:val="single" w:sz="6" w:space="0" w:color="auto"/>
            </w:tcBorders>
            <w:shd w:val="clear" w:color="auto" w:fill="386294"/>
            <w:vAlign w:val="center"/>
          </w:tcPr>
          <w:p w14:paraId="47B529D2" w14:textId="77777777" w:rsidR="003239B8" w:rsidRPr="00B3745F" w:rsidRDefault="003239B8" w:rsidP="008D2290">
            <w:pPr>
              <w:jc w:val="center"/>
              <w:rPr>
                <w:rFonts w:ascii="Cambria" w:hAnsi="Cambria"/>
                <w:b/>
                <w:bCs/>
                <w:color w:val="FFFFFF" w:themeColor="background1"/>
                <w:sz w:val="20"/>
                <w:szCs w:val="20"/>
              </w:rPr>
            </w:pPr>
            <w:r w:rsidRPr="00B3745F">
              <w:rPr>
                <w:rFonts w:ascii="Cambria" w:hAnsi="Cambria"/>
                <w:b/>
                <w:bCs/>
                <w:color w:val="FFFFFF" w:themeColor="background1"/>
                <w:sz w:val="20"/>
                <w:szCs w:val="20"/>
              </w:rPr>
              <w:t>Competencia</w:t>
            </w:r>
            <w:r w:rsidRPr="00B3745F">
              <w:rPr>
                <w:rFonts w:ascii="Cambria" w:hAnsi="Cambria"/>
                <w:b/>
                <w:bCs/>
                <w:i/>
                <w:color w:val="FFFFFF" w:themeColor="background1"/>
                <w:sz w:val="20"/>
                <w:szCs w:val="20"/>
              </w:rPr>
              <w:t xml:space="preserve"> Ratione materia</w:t>
            </w:r>
            <w:r w:rsidR="00EE00E9" w:rsidRPr="00B3745F">
              <w:rPr>
                <w:rFonts w:ascii="Cambria" w:hAnsi="Cambria"/>
                <w:b/>
                <w:bCs/>
                <w:i/>
                <w:color w:val="FFFFFF" w:themeColor="background1"/>
                <w:sz w:val="20"/>
                <w:szCs w:val="20"/>
              </w:rPr>
              <w:t>e</w:t>
            </w:r>
            <w:r w:rsidRPr="00B3745F">
              <w:rPr>
                <w:rFonts w:ascii="Cambria" w:hAnsi="Cambria"/>
                <w:b/>
                <w:bCs/>
                <w:color w:val="FFFFFF" w:themeColor="background1"/>
                <w:sz w:val="20"/>
                <w:szCs w:val="20"/>
              </w:rPr>
              <w:t>:</w:t>
            </w:r>
          </w:p>
        </w:tc>
        <w:tc>
          <w:tcPr>
            <w:tcW w:w="5760" w:type="dxa"/>
            <w:vAlign w:val="center"/>
          </w:tcPr>
          <w:p w14:paraId="0C122F44" w14:textId="5AE11B85" w:rsidR="003239B8" w:rsidRPr="00B3745F" w:rsidRDefault="00F2665D" w:rsidP="008D2290">
            <w:pPr>
              <w:jc w:val="both"/>
              <w:rPr>
                <w:rFonts w:ascii="Cambria" w:hAnsi="Cambria"/>
                <w:bCs/>
                <w:sz w:val="20"/>
                <w:szCs w:val="20"/>
                <w:lang w:val="es-ES"/>
              </w:rPr>
            </w:pPr>
            <w:r>
              <w:rPr>
                <w:rFonts w:ascii="Cambria" w:hAnsi="Cambria"/>
                <w:bCs/>
                <w:sz w:val="20"/>
                <w:szCs w:val="20"/>
                <w:lang w:val="es-ES"/>
              </w:rPr>
              <w:t>Sí, Convención Americana (depósito del instrumento de ratificación realizado el 31 de julio de 1973)</w:t>
            </w:r>
          </w:p>
        </w:tc>
      </w:tr>
    </w:tbl>
    <w:p w14:paraId="4E92C444" w14:textId="140CB1E7" w:rsidR="003239B8" w:rsidRPr="003239B8" w:rsidRDefault="003239B8" w:rsidP="003239B8">
      <w:pPr>
        <w:spacing w:before="240" w:after="240"/>
        <w:ind w:firstLine="720"/>
        <w:jc w:val="both"/>
        <w:rPr>
          <w:rFonts w:asciiTheme="majorHAnsi" w:hAnsiTheme="majorHAnsi"/>
          <w:b/>
          <w:bCs/>
          <w:sz w:val="20"/>
          <w:szCs w:val="20"/>
          <w:lang w:val="es-ES"/>
        </w:rPr>
      </w:pPr>
      <w:r w:rsidRPr="003239B8">
        <w:rPr>
          <w:rFonts w:asciiTheme="majorHAnsi" w:hAnsiTheme="majorHAnsi"/>
          <w:b/>
          <w:bCs/>
          <w:sz w:val="20"/>
          <w:szCs w:val="20"/>
          <w:lang w:val="es-ES"/>
        </w:rPr>
        <w:t xml:space="preserve">IV. </w:t>
      </w:r>
      <w:r w:rsidRPr="003239B8">
        <w:rPr>
          <w:rFonts w:asciiTheme="majorHAnsi" w:hAnsiTheme="majorHAnsi"/>
          <w:b/>
          <w:bCs/>
          <w:sz w:val="20"/>
          <w:szCs w:val="20"/>
          <w:lang w:val="es-ES"/>
        </w:rPr>
        <w:tab/>
      </w:r>
      <w:r w:rsidR="00EE00E9" w:rsidRPr="003239B8">
        <w:rPr>
          <w:rFonts w:asciiTheme="majorHAnsi" w:hAnsiTheme="majorHAnsi"/>
          <w:b/>
          <w:bCs/>
          <w:sz w:val="20"/>
          <w:szCs w:val="20"/>
          <w:lang w:val="es-ES"/>
        </w:rPr>
        <w:t>DUPLICACIÓN</w:t>
      </w:r>
      <w:r w:rsidR="00EE00E9" w:rsidRPr="003239B8">
        <w:rPr>
          <w:rFonts w:asciiTheme="majorHAnsi" w:hAnsiTheme="majorHAnsi"/>
          <w:b/>
          <w:bCs/>
          <w:color w:val="FFFFFF" w:themeColor="background1"/>
          <w:sz w:val="20"/>
          <w:szCs w:val="20"/>
          <w:lang w:val="es-ES"/>
        </w:rPr>
        <w:t xml:space="preserve"> </w:t>
      </w:r>
      <w:r w:rsidR="00EE00E9" w:rsidRPr="003239B8">
        <w:rPr>
          <w:rFonts w:asciiTheme="majorHAnsi" w:hAnsiTheme="majorHAnsi"/>
          <w:b/>
          <w:bCs/>
          <w:sz w:val="20"/>
          <w:szCs w:val="20"/>
          <w:lang w:val="es-ES"/>
        </w:rPr>
        <w:t>DE PROCEDIMIENTOS Y COSA JUZGADA</w:t>
      </w:r>
      <w:r w:rsidR="00EE00E9" w:rsidRPr="003239B8">
        <w:rPr>
          <w:rFonts w:asciiTheme="majorHAnsi" w:hAnsiTheme="majorHAnsi"/>
          <w:b/>
          <w:bCs/>
          <w:i/>
          <w:sz w:val="20"/>
          <w:szCs w:val="20"/>
          <w:lang w:val="es-ES"/>
        </w:rPr>
        <w:t xml:space="preserve"> </w:t>
      </w:r>
      <w:r w:rsidR="00EE00E9" w:rsidRPr="003239B8">
        <w:rPr>
          <w:rFonts w:asciiTheme="majorHAnsi" w:hAnsiTheme="majorHAnsi"/>
          <w:b/>
          <w:bCs/>
          <w:sz w:val="20"/>
          <w:szCs w:val="20"/>
          <w:lang w:val="es-ES"/>
        </w:rPr>
        <w:t>INTERNACIONAL</w:t>
      </w:r>
      <w:r w:rsidR="005D38F9">
        <w:rPr>
          <w:rFonts w:asciiTheme="majorHAnsi" w:hAnsiTheme="majorHAnsi"/>
          <w:b/>
          <w:bCs/>
          <w:sz w:val="20"/>
          <w:szCs w:val="20"/>
          <w:lang w:val="es-ES"/>
        </w:rPr>
        <w:t>,</w:t>
      </w:r>
      <w:r w:rsidRPr="003239B8">
        <w:rPr>
          <w:rFonts w:asciiTheme="majorHAnsi" w:hAnsiTheme="majorHAnsi"/>
          <w:b/>
          <w:bCs/>
          <w:sz w:val="20"/>
          <w:szCs w:val="20"/>
          <w:lang w:val="es-ES"/>
        </w:rPr>
        <w:t xml:space="preserve"> CARACTERIZACIÓN, </w:t>
      </w:r>
      <w:r w:rsidRPr="003239B8">
        <w:rPr>
          <w:rFonts w:asciiTheme="majorHAnsi" w:hAnsiTheme="majorHAnsi"/>
          <w:b/>
          <w:sz w:val="20"/>
          <w:szCs w:val="20"/>
          <w:lang w:val="es-ES"/>
        </w:rPr>
        <w:t>AGOTAMIENTO DE LOS RECURSOS INTERNOS Y PLAZO DE PRESENTACIÓN</w:t>
      </w:r>
    </w:p>
    <w:tbl>
      <w:tblPr>
        <w:tblStyle w:val="TableGrid"/>
        <w:tblW w:w="0" w:type="auto"/>
        <w:tblInd w:w="108" w:type="dxa"/>
        <w:tblBorders>
          <w:insideH w:val="single" w:sz="6" w:space="0" w:color="auto"/>
          <w:insideV w:val="single" w:sz="6" w:space="0" w:color="auto"/>
        </w:tblBorders>
        <w:tblLook w:val="04A0" w:firstRow="1" w:lastRow="0" w:firstColumn="1" w:lastColumn="0" w:noHBand="0" w:noVBand="1"/>
      </w:tblPr>
      <w:tblGrid>
        <w:gridCol w:w="3565"/>
        <w:gridCol w:w="5677"/>
      </w:tblGrid>
      <w:tr w:rsidR="00EE00E9" w:rsidRPr="006E5822" w14:paraId="1231C988" w14:textId="77777777" w:rsidTr="004A6A54">
        <w:trPr>
          <w:cantSplit/>
        </w:trPr>
        <w:tc>
          <w:tcPr>
            <w:tcW w:w="3600" w:type="dxa"/>
            <w:tcBorders>
              <w:top w:val="single" w:sz="4" w:space="0" w:color="auto"/>
              <w:bottom w:val="single" w:sz="6" w:space="0" w:color="auto"/>
            </w:tcBorders>
            <w:shd w:val="clear" w:color="auto" w:fill="386294"/>
            <w:vAlign w:val="center"/>
          </w:tcPr>
          <w:p w14:paraId="6F8031F4" w14:textId="77777777" w:rsidR="00EE00E9" w:rsidRPr="00DC24E3" w:rsidRDefault="00EE00E9" w:rsidP="008D2290">
            <w:pPr>
              <w:jc w:val="center"/>
              <w:rPr>
                <w:rFonts w:ascii="Cambria" w:hAnsi="Cambria"/>
                <w:b/>
                <w:bCs/>
                <w:color w:val="FFFFFF" w:themeColor="background1"/>
                <w:sz w:val="20"/>
                <w:szCs w:val="20"/>
                <w:lang w:val="es-ES"/>
              </w:rPr>
            </w:pPr>
            <w:r w:rsidRPr="00DC24E3">
              <w:rPr>
                <w:rFonts w:ascii="Cambria" w:hAnsi="Cambria"/>
                <w:b/>
                <w:bCs/>
                <w:color w:val="FFFFFF" w:themeColor="background1"/>
                <w:sz w:val="20"/>
                <w:szCs w:val="20"/>
                <w:lang w:val="es-ES"/>
              </w:rPr>
              <w:t>Duplicación de procedimientos y cosa juzgada internacional:</w:t>
            </w:r>
          </w:p>
        </w:tc>
        <w:tc>
          <w:tcPr>
            <w:tcW w:w="5760" w:type="dxa"/>
            <w:vAlign w:val="center"/>
          </w:tcPr>
          <w:p w14:paraId="240941E6" w14:textId="77777777" w:rsidR="00EE00E9" w:rsidRPr="00DC24E3" w:rsidRDefault="00EE00E9" w:rsidP="008D2290">
            <w:pPr>
              <w:jc w:val="both"/>
              <w:rPr>
                <w:rFonts w:ascii="Cambria" w:hAnsi="Cambria"/>
                <w:bCs/>
                <w:sz w:val="20"/>
                <w:szCs w:val="20"/>
                <w:lang w:val="es-ES"/>
              </w:rPr>
            </w:pPr>
          </w:p>
        </w:tc>
      </w:tr>
      <w:tr w:rsidR="003239B8" w:rsidRPr="006E5822" w14:paraId="15FAA7D1" w14:textId="77777777" w:rsidTr="004A6A54">
        <w:trPr>
          <w:cantSplit/>
        </w:trPr>
        <w:tc>
          <w:tcPr>
            <w:tcW w:w="3600" w:type="dxa"/>
            <w:tcBorders>
              <w:top w:val="single" w:sz="4" w:space="0" w:color="auto"/>
              <w:bottom w:val="single" w:sz="6" w:space="0" w:color="auto"/>
            </w:tcBorders>
            <w:shd w:val="clear" w:color="auto" w:fill="386294"/>
            <w:vAlign w:val="center"/>
          </w:tcPr>
          <w:p w14:paraId="1B0D29FF" w14:textId="77777777" w:rsidR="003239B8" w:rsidRPr="00DC24E3" w:rsidRDefault="003239B8" w:rsidP="008D2290">
            <w:pPr>
              <w:jc w:val="center"/>
              <w:rPr>
                <w:rFonts w:ascii="Cambria" w:hAnsi="Cambria"/>
                <w:b/>
                <w:bCs/>
                <w:i/>
                <w:color w:val="FFFFFF" w:themeColor="background1"/>
                <w:sz w:val="20"/>
                <w:szCs w:val="20"/>
              </w:rPr>
            </w:pPr>
            <w:r w:rsidRPr="00DC24E3">
              <w:rPr>
                <w:rFonts w:ascii="Cambria" w:hAnsi="Cambria"/>
                <w:b/>
                <w:bCs/>
                <w:color w:val="FFFFFF" w:themeColor="background1"/>
                <w:sz w:val="20"/>
                <w:szCs w:val="20"/>
              </w:rPr>
              <w:t>Derechos declarados admisibles</w:t>
            </w:r>
            <w:r w:rsidRPr="00DC24E3">
              <w:rPr>
                <w:rFonts w:ascii="Cambria" w:hAnsi="Cambria"/>
                <w:b/>
                <w:bCs/>
                <w:i/>
                <w:color w:val="FFFFFF" w:themeColor="background1"/>
                <w:sz w:val="20"/>
                <w:szCs w:val="20"/>
              </w:rPr>
              <w:t>:</w:t>
            </w:r>
          </w:p>
        </w:tc>
        <w:tc>
          <w:tcPr>
            <w:tcW w:w="5760" w:type="dxa"/>
            <w:vAlign w:val="center"/>
          </w:tcPr>
          <w:p w14:paraId="6310C8F7" w14:textId="6DAF443C" w:rsidR="003239B8" w:rsidRPr="00504640" w:rsidRDefault="00504640" w:rsidP="008D2290">
            <w:pPr>
              <w:jc w:val="both"/>
              <w:rPr>
                <w:rFonts w:ascii="Cambria" w:hAnsi="Cambria"/>
                <w:bCs/>
                <w:sz w:val="20"/>
                <w:szCs w:val="20"/>
                <w:lang w:val="es-US"/>
              </w:rPr>
            </w:pPr>
            <w:r>
              <w:rPr>
                <w:rFonts w:asciiTheme="majorHAnsi" w:hAnsiTheme="majorHAnsi"/>
                <w:bCs/>
                <w:sz w:val="20"/>
                <w:szCs w:val="20"/>
                <w:lang w:val="es-ES"/>
              </w:rPr>
              <w:t xml:space="preserve">Artículos 4 (vida), 5 (integridad personal), 21 (propiedad privada), 22 (circulación y residencia), 24 (igualdad ante la ley) y 25 (protección judicial) </w:t>
            </w:r>
            <w:r w:rsidRPr="00B845F1">
              <w:rPr>
                <w:rFonts w:asciiTheme="majorHAnsi" w:hAnsiTheme="majorHAnsi"/>
                <w:bCs/>
                <w:sz w:val="20"/>
                <w:szCs w:val="20"/>
                <w:lang w:val="es-ES"/>
              </w:rPr>
              <w:t>de la Convención American</w:t>
            </w:r>
            <w:r>
              <w:rPr>
                <w:rFonts w:asciiTheme="majorHAnsi" w:hAnsiTheme="majorHAnsi"/>
                <w:bCs/>
                <w:sz w:val="20"/>
                <w:szCs w:val="20"/>
                <w:lang w:val="es-ES"/>
              </w:rPr>
              <w:t>a</w:t>
            </w:r>
          </w:p>
        </w:tc>
      </w:tr>
      <w:tr w:rsidR="003239B8" w:rsidRPr="006E5822" w14:paraId="4EFD141E" w14:textId="77777777" w:rsidTr="004A6A54">
        <w:trPr>
          <w:cantSplit/>
        </w:trPr>
        <w:tc>
          <w:tcPr>
            <w:tcW w:w="3600" w:type="dxa"/>
            <w:tcBorders>
              <w:top w:val="single" w:sz="6" w:space="0" w:color="auto"/>
              <w:bottom w:val="single" w:sz="6" w:space="0" w:color="auto"/>
            </w:tcBorders>
            <w:shd w:val="clear" w:color="auto" w:fill="386294"/>
            <w:vAlign w:val="center"/>
          </w:tcPr>
          <w:p w14:paraId="4C04A89C" w14:textId="77777777" w:rsidR="003239B8" w:rsidRPr="00DC24E3" w:rsidRDefault="003239B8" w:rsidP="008D2290">
            <w:pPr>
              <w:jc w:val="center"/>
              <w:rPr>
                <w:rFonts w:ascii="Cambria" w:hAnsi="Cambria"/>
                <w:b/>
                <w:bCs/>
                <w:color w:val="FFFFFF" w:themeColor="background1"/>
                <w:sz w:val="20"/>
                <w:szCs w:val="20"/>
                <w:lang w:val="es-ES"/>
              </w:rPr>
            </w:pPr>
            <w:r w:rsidRPr="00DC24E3">
              <w:rPr>
                <w:rFonts w:ascii="Cambria" w:hAnsi="Cambria"/>
                <w:b/>
                <w:bCs/>
                <w:color w:val="FFFFFF" w:themeColor="background1"/>
                <w:sz w:val="20"/>
                <w:szCs w:val="20"/>
                <w:lang w:val="es-ES"/>
              </w:rPr>
              <w:t>Agotamiento de recursos internos</w:t>
            </w:r>
            <w:r w:rsidR="00EE00E9" w:rsidRPr="00DC24E3">
              <w:rPr>
                <w:rFonts w:ascii="Cambria" w:hAnsi="Cambria"/>
                <w:b/>
                <w:bCs/>
                <w:color w:val="FFFFFF" w:themeColor="background1"/>
                <w:sz w:val="20"/>
                <w:szCs w:val="20"/>
                <w:lang w:val="es-ES"/>
              </w:rPr>
              <w:t xml:space="preserve"> o procedencia de una excepción</w:t>
            </w:r>
            <w:r w:rsidRPr="00DC24E3">
              <w:rPr>
                <w:rFonts w:ascii="Cambria" w:hAnsi="Cambria"/>
                <w:b/>
                <w:bCs/>
                <w:color w:val="FFFFFF" w:themeColor="background1"/>
                <w:sz w:val="20"/>
                <w:szCs w:val="20"/>
                <w:lang w:val="es-ES"/>
              </w:rPr>
              <w:t>:</w:t>
            </w:r>
          </w:p>
        </w:tc>
        <w:tc>
          <w:tcPr>
            <w:tcW w:w="5760" w:type="dxa"/>
            <w:vAlign w:val="center"/>
          </w:tcPr>
          <w:p w14:paraId="69C53E8A" w14:textId="5500D876" w:rsidR="003239B8" w:rsidRPr="00DC24E3" w:rsidRDefault="00504640" w:rsidP="008D2290">
            <w:pPr>
              <w:rPr>
                <w:rFonts w:ascii="Cambria" w:hAnsi="Cambria"/>
                <w:bCs/>
                <w:sz w:val="20"/>
                <w:szCs w:val="20"/>
                <w:lang w:val="es-ES"/>
              </w:rPr>
            </w:pPr>
            <w:r>
              <w:rPr>
                <w:rFonts w:ascii="Cambria" w:hAnsi="Cambria"/>
                <w:bCs/>
                <w:sz w:val="20"/>
                <w:szCs w:val="20"/>
                <w:lang w:val="es-ES"/>
              </w:rPr>
              <w:t>Sí, en los términos de la sección VI</w:t>
            </w:r>
          </w:p>
        </w:tc>
      </w:tr>
      <w:tr w:rsidR="003239B8" w:rsidRPr="006E5822" w14:paraId="52B5BA17" w14:textId="77777777" w:rsidTr="004A6A54">
        <w:trPr>
          <w:cantSplit/>
        </w:trPr>
        <w:tc>
          <w:tcPr>
            <w:tcW w:w="3600" w:type="dxa"/>
            <w:tcBorders>
              <w:top w:val="single" w:sz="6" w:space="0" w:color="auto"/>
              <w:bottom w:val="single" w:sz="6" w:space="0" w:color="auto"/>
            </w:tcBorders>
            <w:shd w:val="clear" w:color="auto" w:fill="386294"/>
            <w:vAlign w:val="center"/>
          </w:tcPr>
          <w:p w14:paraId="5DF99086" w14:textId="77777777" w:rsidR="003239B8" w:rsidRPr="00DC24E3" w:rsidRDefault="003239B8" w:rsidP="008D2290">
            <w:pPr>
              <w:jc w:val="center"/>
              <w:rPr>
                <w:rFonts w:ascii="Cambria" w:hAnsi="Cambria"/>
                <w:b/>
                <w:bCs/>
                <w:color w:val="FFFFFF" w:themeColor="background1"/>
                <w:sz w:val="20"/>
                <w:szCs w:val="20"/>
              </w:rPr>
            </w:pPr>
            <w:r w:rsidRPr="00DC24E3">
              <w:rPr>
                <w:rFonts w:ascii="Cambria" w:hAnsi="Cambria"/>
                <w:b/>
                <w:bCs/>
                <w:color w:val="FFFFFF" w:themeColor="background1"/>
                <w:sz w:val="20"/>
                <w:szCs w:val="20"/>
              </w:rPr>
              <w:t>Presentación dentro de plazo:</w:t>
            </w:r>
          </w:p>
        </w:tc>
        <w:tc>
          <w:tcPr>
            <w:tcW w:w="5760" w:type="dxa"/>
            <w:vAlign w:val="center"/>
          </w:tcPr>
          <w:p w14:paraId="4A2A4569" w14:textId="041581A8" w:rsidR="003239B8" w:rsidRPr="00504640" w:rsidRDefault="00504640" w:rsidP="008D2290">
            <w:pPr>
              <w:rPr>
                <w:rFonts w:ascii="Cambria" w:hAnsi="Cambria"/>
                <w:bCs/>
                <w:sz w:val="20"/>
                <w:szCs w:val="20"/>
                <w:lang w:val="es-US"/>
              </w:rPr>
            </w:pPr>
            <w:r w:rsidRPr="00504640">
              <w:rPr>
                <w:rFonts w:ascii="Cambria" w:hAnsi="Cambria"/>
                <w:bCs/>
                <w:sz w:val="20"/>
                <w:szCs w:val="20"/>
                <w:lang w:val="es-US"/>
              </w:rPr>
              <w:t>Sí, en los términos d</w:t>
            </w:r>
            <w:r>
              <w:rPr>
                <w:rFonts w:ascii="Cambria" w:hAnsi="Cambria"/>
                <w:bCs/>
                <w:sz w:val="20"/>
                <w:szCs w:val="20"/>
                <w:lang w:val="es-US"/>
              </w:rPr>
              <w:t>e la sección VI</w:t>
            </w:r>
          </w:p>
        </w:tc>
      </w:tr>
    </w:tbl>
    <w:p w14:paraId="0087A59F" w14:textId="77777777" w:rsidR="00B624C1" w:rsidRDefault="00B624C1" w:rsidP="00C2052E">
      <w:pPr>
        <w:spacing w:before="120" w:after="240"/>
        <w:ind w:firstLine="720"/>
        <w:jc w:val="both"/>
        <w:rPr>
          <w:rFonts w:asciiTheme="majorHAnsi" w:hAnsiTheme="majorHAnsi"/>
          <w:b/>
          <w:sz w:val="20"/>
          <w:szCs w:val="20"/>
          <w:lang w:val="es-UY"/>
        </w:rPr>
      </w:pPr>
    </w:p>
    <w:p w14:paraId="0DFE6A9A" w14:textId="77777777" w:rsidR="00B624C1" w:rsidRDefault="00B624C1" w:rsidP="00C2052E">
      <w:pPr>
        <w:spacing w:before="120" w:after="240"/>
        <w:ind w:firstLine="720"/>
        <w:jc w:val="both"/>
        <w:rPr>
          <w:rFonts w:asciiTheme="majorHAnsi" w:hAnsiTheme="majorHAnsi"/>
          <w:b/>
          <w:sz w:val="20"/>
          <w:szCs w:val="20"/>
          <w:lang w:val="es-UY"/>
        </w:rPr>
      </w:pPr>
    </w:p>
    <w:p w14:paraId="18E6423B" w14:textId="692319EB" w:rsidR="003239B8" w:rsidRPr="00037EC6" w:rsidRDefault="00223A29" w:rsidP="00C2052E">
      <w:pPr>
        <w:spacing w:before="120" w:after="240"/>
        <w:ind w:firstLine="720"/>
        <w:jc w:val="both"/>
        <w:rPr>
          <w:rFonts w:asciiTheme="majorHAnsi" w:hAnsiTheme="majorHAnsi"/>
          <w:b/>
          <w:sz w:val="20"/>
          <w:szCs w:val="20"/>
          <w:lang w:val="es-UY"/>
        </w:rPr>
      </w:pPr>
      <w:r>
        <w:rPr>
          <w:rFonts w:asciiTheme="majorHAnsi" w:hAnsiTheme="majorHAnsi"/>
          <w:b/>
          <w:sz w:val="20"/>
          <w:szCs w:val="20"/>
          <w:lang w:val="es-UY"/>
        </w:rPr>
        <w:lastRenderedPageBreak/>
        <w:t xml:space="preserve">V. </w:t>
      </w:r>
      <w:r>
        <w:rPr>
          <w:rFonts w:asciiTheme="majorHAnsi" w:hAnsiTheme="majorHAnsi"/>
          <w:b/>
          <w:sz w:val="20"/>
          <w:szCs w:val="20"/>
          <w:lang w:val="es-UY"/>
        </w:rPr>
        <w:tab/>
      </w:r>
      <w:r w:rsidR="00612AE2" w:rsidRPr="00037EC6">
        <w:rPr>
          <w:rFonts w:asciiTheme="majorHAnsi" w:hAnsiTheme="majorHAnsi"/>
          <w:b/>
          <w:sz w:val="20"/>
          <w:szCs w:val="20"/>
          <w:lang w:val="es-UY"/>
        </w:rPr>
        <w:t>POSICIÓN DE LAS PARTES</w:t>
      </w:r>
      <w:r w:rsidR="003239B8" w:rsidRPr="00037EC6">
        <w:rPr>
          <w:rFonts w:asciiTheme="majorHAnsi" w:hAnsiTheme="majorHAnsi"/>
          <w:b/>
          <w:sz w:val="20"/>
          <w:szCs w:val="20"/>
          <w:lang w:val="es-UY"/>
        </w:rPr>
        <w:t xml:space="preserve"> </w:t>
      </w:r>
    </w:p>
    <w:p w14:paraId="67DB54C0" w14:textId="6FD82073" w:rsidR="00F2665D" w:rsidRPr="00037EC6" w:rsidRDefault="00F2665D" w:rsidP="00C2052E">
      <w:pPr>
        <w:tabs>
          <w:tab w:val="center" w:pos="5040"/>
        </w:tabs>
        <w:spacing w:before="120" w:after="240"/>
        <w:ind w:firstLine="720"/>
        <w:jc w:val="both"/>
        <w:rPr>
          <w:rFonts w:asciiTheme="majorHAnsi" w:hAnsiTheme="majorHAnsi"/>
          <w:bCs/>
          <w:i/>
          <w:iCs/>
          <w:sz w:val="20"/>
          <w:szCs w:val="20"/>
          <w:lang w:val="es-UY"/>
        </w:rPr>
      </w:pPr>
      <w:r w:rsidRPr="00037EC6">
        <w:rPr>
          <w:rFonts w:asciiTheme="majorHAnsi" w:hAnsiTheme="majorHAnsi"/>
          <w:bCs/>
          <w:i/>
          <w:iCs/>
          <w:sz w:val="20"/>
          <w:szCs w:val="20"/>
          <w:lang w:val="es-UY"/>
        </w:rPr>
        <w:t>Alegatos de la parte peticionaria</w:t>
      </w:r>
      <w:r w:rsidR="00C2052E" w:rsidRPr="00037EC6">
        <w:rPr>
          <w:rFonts w:asciiTheme="majorHAnsi" w:hAnsiTheme="majorHAnsi"/>
          <w:bCs/>
          <w:i/>
          <w:iCs/>
          <w:sz w:val="20"/>
          <w:szCs w:val="20"/>
          <w:lang w:val="es-UY"/>
        </w:rPr>
        <w:tab/>
      </w:r>
    </w:p>
    <w:p w14:paraId="19EBAEB3" w14:textId="26678596" w:rsidR="008C5E2D" w:rsidRPr="00037EC6" w:rsidRDefault="00C2427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La parte peticionaria denuncia que el Estado no ha identificado y sancionado a los responsables de la denominada “Masacre de Santa Rita”, en la cual las Autodefensas Unidas de Córdoba y Urabá asesinaron, secuestraron </w:t>
      </w:r>
      <w:r w:rsidR="003E564B" w:rsidRPr="00037EC6">
        <w:rPr>
          <w:rFonts w:asciiTheme="majorHAnsi" w:hAnsiTheme="majorHAnsi"/>
          <w:sz w:val="20"/>
          <w:szCs w:val="20"/>
          <w:lang w:val="es-AR"/>
        </w:rPr>
        <w:t xml:space="preserve">y provocaron el desplazamiento forzado de las presuntas víctimas. Asimismo, arguye que </w:t>
      </w:r>
      <w:r w:rsidR="004D5627" w:rsidRPr="00037EC6">
        <w:rPr>
          <w:rFonts w:asciiTheme="majorHAnsi" w:hAnsiTheme="majorHAnsi"/>
          <w:sz w:val="20"/>
          <w:szCs w:val="20"/>
          <w:lang w:val="es-AR"/>
        </w:rPr>
        <w:t>estas</w:t>
      </w:r>
      <w:r w:rsidR="003E564B" w:rsidRPr="00037EC6">
        <w:rPr>
          <w:rFonts w:asciiTheme="majorHAnsi" w:hAnsiTheme="majorHAnsi"/>
          <w:sz w:val="20"/>
          <w:szCs w:val="20"/>
          <w:lang w:val="es-AR"/>
        </w:rPr>
        <w:t xml:space="preserve"> personas hasta la fecha no han recibido una indemnización por tales acontecimientos. </w:t>
      </w:r>
    </w:p>
    <w:p w14:paraId="5EDD505F" w14:textId="08409189" w:rsidR="006C5D7D" w:rsidRPr="00037EC6" w:rsidRDefault="00122630">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El peticionario narra que e</w:t>
      </w:r>
      <w:r w:rsidR="006C5D7D" w:rsidRPr="00037EC6">
        <w:rPr>
          <w:rFonts w:asciiTheme="majorHAnsi" w:hAnsiTheme="majorHAnsi"/>
          <w:sz w:val="20"/>
          <w:szCs w:val="20"/>
          <w:lang w:val="es-AR"/>
        </w:rPr>
        <w:t>ntre julio de 1997 y febrero de 2000 miembros del grupo armado ilegal “Autodefensas Unidas de Córdoba y Urabá” ingresaron</w:t>
      </w:r>
      <w:r w:rsidR="004C4004" w:rsidRPr="00037EC6">
        <w:rPr>
          <w:rFonts w:asciiTheme="majorHAnsi" w:hAnsiTheme="majorHAnsi"/>
          <w:sz w:val="20"/>
          <w:szCs w:val="20"/>
          <w:lang w:val="es-AR"/>
        </w:rPr>
        <w:t xml:space="preserve"> </w:t>
      </w:r>
      <w:r w:rsidR="00814450" w:rsidRPr="00037EC6">
        <w:rPr>
          <w:rFonts w:asciiTheme="majorHAnsi" w:hAnsiTheme="majorHAnsi"/>
          <w:sz w:val="20"/>
          <w:szCs w:val="20"/>
          <w:lang w:val="es-AR"/>
        </w:rPr>
        <w:t>en varias ocasiones</w:t>
      </w:r>
      <w:r w:rsidR="006C5D7D" w:rsidRPr="00037EC6">
        <w:rPr>
          <w:rFonts w:asciiTheme="majorHAnsi" w:hAnsiTheme="majorHAnsi"/>
          <w:sz w:val="20"/>
          <w:szCs w:val="20"/>
          <w:lang w:val="es-AR"/>
        </w:rPr>
        <w:t xml:space="preserve"> al corregimiento de Santa Rita y cometieron </w:t>
      </w:r>
      <w:r w:rsidR="00F729D4" w:rsidRPr="00037EC6">
        <w:rPr>
          <w:rFonts w:asciiTheme="majorHAnsi" w:hAnsiTheme="majorHAnsi"/>
          <w:sz w:val="20"/>
          <w:szCs w:val="20"/>
          <w:lang w:val="es-AR"/>
        </w:rPr>
        <w:t>diversos</w:t>
      </w:r>
      <w:r w:rsidR="006C5D7D" w:rsidRPr="00037EC6">
        <w:rPr>
          <w:rFonts w:asciiTheme="majorHAnsi" w:hAnsiTheme="majorHAnsi"/>
          <w:sz w:val="20"/>
          <w:szCs w:val="20"/>
          <w:lang w:val="es-AR"/>
        </w:rPr>
        <w:t xml:space="preserve"> crímenes contra la población civil, los cuales dejaron como resultado nueve muertos, tres desaparecidos y más de tres mil personas desplazadas y noventa fincas abandonadas. </w:t>
      </w:r>
    </w:p>
    <w:p w14:paraId="50808130" w14:textId="3B935F77" w:rsidR="003D4B39" w:rsidRPr="00037EC6" w:rsidRDefault="00545AB2">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S</w:t>
      </w:r>
      <w:r w:rsidR="00F729D4" w:rsidRPr="00037EC6">
        <w:rPr>
          <w:rFonts w:asciiTheme="majorHAnsi" w:hAnsiTheme="majorHAnsi"/>
          <w:sz w:val="20"/>
          <w:szCs w:val="20"/>
          <w:lang w:val="es-AR"/>
        </w:rPr>
        <w:t>ostiene</w:t>
      </w:r>
      <w:r w:rsidR="003D4B39" w:rsidRPr="00037EC6">
        <w:rPr>
          <w:rFonts w:asciiTheme="majorHAnsi" w:hAnsiTheme="majorHAnsi"/>
          <w:sz w:val="20"/>
          <w:szCs w:val="20"/>
          <w:lang w:val="es-AR"/>
        </w:rPr>
        <w:t xml:space="preserve"> que </w:t>
      </w:r>
      <w:r w:rsidR="00F729D4" w:rsidRPr="00037EC6">
        <w:rPr>
          <w:rFonts w:asciiTheme="majorHAnsi" w:hAnsiTheme="majorHAnsi"/>
          <w:sz w:val="20"/>
          <w:szCs w:val="20"/>
          <w:lang w:val="es-AR"/>
        </w:rPr>
        <w:t>en esa</w:t>
      </w:r>
      <w:r w:rsidR="003D4B39" w:rsidRPr="00037EC6">
        <w:rPr>
          <w:rFonts w:asciiTheme="majorHAnsi" w:hAnsiTheme="majorHAnsi"/>
          <w:sz w:val="20"/>
          <w:szCs w:val="20"/>
          <w:lang w:val="es-AR"/>
        </w:rPr>
        <w:t xml:space="preserve"> época existió un patrón de complicidad y ausencia de interés del Estado por prevenir e investigar los delitos cometidos por grupos paramilitares</w:t>
      </w:r>
      <w:r w:rsidRPr="00037EC6">
        <w:rPr>
          <w:rFonts w:asciiTheme="majorHAnsi" w:hAnsiTheme="majorHAnsi"/>
          <w:sz w:val="20"/>
          <w:szCs w:val="20"/>
          <w:lang w:val="es-AR"/>
        </w:rPr>
        <w:t>;</w:t>
      </w:r>
      <w:r w:rsidR="0012133A" w:rsidRPr="00037EC6">
        <w:rPr>
          <w:rFonts w:asciiTheme="majorHAnsi" w:hAnsiTheme="majorHAnsi"/>
          <w:sz w:val="20"/>
          <w:szCs w:val="20"/>
          <w:lang w:val="es-AR"/>
        </w:rPr>
        <w:t xml:space="preserve"> y</w:t>
      </w:r>
      <w:r w:rsidR="003D4B39" w:rsidRPr="00037EC6">
        <w:rPr>
          <w:rFonts w:asciiTheme="majorHAnsi" w:hAnsiTheme="majorHAnsi"/>
          <w:sz w:val="20"/>
          <w:szCs w:val="20"/>
          <w:lang w:val="es-AR"/>
        </w:rPr>
        <w:t xml:space="preserve"> </w:t>
      </w:r>
      <w:r w:rsidR="0012133A" w:rsidRPr="00037EC6">
        <w:rPr>
          <w:rFonts w:asciiTheme="majorHAnsi" w:hAnsiTheme="majorHAnsi"/>
          <w:sz w:val="20"/>
          <w:szCs w:val="20"/>
          <w:lang w:val="es-AR"/>
        </w:rPr>
        <w:t>e</w:t>
      </w:r>
      <w:r w:rsidR="003D4B39" w:rsidRPr="00037EC6">
        <w:rPr>
          <w:rFonts w:asciiTheme="majorHAnsi" w:hAnsiTheme="majorHAnsi"/>
          <w:sz w:val="20"/>
          <w:szCs w:val="20"/>
          <w:lang w:val="es-AR"/>
        </w:rPr>
        <w:t>n el caso concreto refiere que la Policía</w:t>
      </w:r>
      <w:r w:rsidR="0012133A" w:rsidRPr="00037EC6">
        <w:rPr>
          <w:rFonts w:asciiTheme="majorHAnsi" w:hAnsiTheme="majorHAnsi"/>
          <w:sz w:val="20"/>
          <w:szCs w:val="20"/>
          <w:lang w:val="es-AR"/>
        </w:rPr>
        <w:t xml:space="preserve"> y autoridades del sistema de justicia</w:t>
      </w:r>
      <w:r w:rsidR="003D4B39" w:rsidRPr="00037EC6">
        <w:rPr>
          <w:rFonts w:asciiTheme="majorHAnsi" w:hAnsiTheme="majorHAnsi"/>
          <w:sz w:val="20"/>
          <w:szCs w:val="20"/>
          <w:lang w:val="es-AR"/>
        </w:rPr>
        <w:t xml:space="preserve"> se neg</w:t>
      </w:r>
      <w:r w:rsidR="0012133A" w:rsidRPr="00037EC6">
        <w:rPr>
          <w:rFonts w:asciiTheme="majorHAnsi" w:hAnsiTheme="majorHAnsi"/>
          <w:sz w:val="20"/>
          <w:szCs w:val="20"/>
          <w:lang w:val="es-AR"/>
        </w:rPr>
        <w:t>aron</w:t>
      </w:r>
      <w:r w:rsidR="003D4B39" w:rsidRPr="00037EC6">
        <w:rPr>
          <w:rFonts w:asciiTheme="majorHAnsi" w:hAnsiTheme="majorHAnsi"/>
          <w:sz w:val="20"/>
          <w:szCs w:val="20"/>
          <w:lang w:val="es-AR"/>
        </w:rPr>
        <w:t xml:space="preserve"> a realizar la exhumación de los cadáveres de las personas que fueron asesinadas </w:t>
      </w:r>
      <w:r w:rsidR="0012133A" w:rsidRPr="00037EC6">
        <w:rPr>
          <w:rFonts w:asciiTheme="majorHAnsi" w:hAnsiTheme="majorHAnsi"/>
          <w:sz w:val="20"/>
          <w:szCs w:val="20"/>
          <w:lang w:val="es-AR"/>
        </w:rPr>
        <w:t xml:space="preserve">e </w:t>
      </w:r>
      <w:r w:rsidR="003D4B39" w:rsidRPr="00037EC6">
        <w:rPr>
          <w:rFonts w:asciiTheme="majorHAnsi" w:hAnsiTheme="majorHAnsi"/>
          <w:sz w:val="20"/>
          <w:szCs w:val="20"/>
          <w:lang w:val="es-AR"/>
        </w:rPr>
        <w:t xml:space="preserve">investigar lo ocurrido, a pesar de que conocían sobre las incursiones paramilitares en la zona. </w:t>
      </w:r>
      <w:r w:rsidR="00F833C7" w:rsidRPr="00037EC6">
        <w:rPr>
          <w:rFonts w:asciiTheme="majorHAnsi" w:hAnsiTheme="majorHAnsi"/>
          <w:sz w:val="20"/>
          <w:szCs w:val="20"/>
          <w:lang w:val="es-AR"/>
        </w:rPr>
        <w:t xml:space="preserve">Así, afirma que a la fecha los hechos se mantienen impunes. </w:t>
      </w:r>
    </w:p>
    <w:p w14:paraId="4F67151B" w14:textId="70EFD3D7" w:rsidR="006364E9" w:rsidRPr="00037EC6" w:rsidRDefault="008C4A98">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Asimismo</w:t>
      </w:r>
      <w:r w:rsidR="000E42BC" w:rsidRPr="00037EC6">
        <w:rPr>
          <w:rFonts w:asciiTheme="majorHAnsi" w:hAnsiTheme="majorHAnsi"/>
          <w:sz w:val="20"/>
          <w:szCs w:val="20"/>
          <w:lang w:val="es-AR"/>
        </w:rPr>
        <w:t>,</w:t>
      </w:r>
      <w:r w:rsidRPr="00037EC6">
        <w:rPr>
          <w:rFonts w:asciiTheme="majorHAnsi" w:hAnsiTheme="majorHAnsi"/>
          <w:sz w:val="20"/>
          <w:szCs w:val="20"/>
          <w:lang w:val="es-AR"/>
        </w:rPr>
        <w:t xml:space="preserve"> alega</w:t>
      </w:r>
      <w:r w:rsidR="00E605A9" w:rsidRPr="00037EC6">
        <w:rPr>
          <w:rFonts w:asciiTheme="majorHAnsi" w:hAnsiTheme="majorHAnsi"/>
          <w:sz w:val="20"/>
          <w:szCs w:val="20"/>
          <w:lang w:val="es-AR"/>
        </w:rPr>
        <w:t xml:space="preserve"> que</w:t>
      </w:r>
      <w:r w:rsidR="00E92EF0" w:rsidRPr="00037EC6">
        <w:rPr>
          <w:rFonts w:asciiTheme="majorHAnsi" w:hAnsiTheme="majorHAnsi"/>
          <w:sz w:val="20"/>
          <w:szCs w:val="20"/>
          <w:lang w:val="es-AR"/>
        </w:rPr>
        <w:t xml:space="preserve"> existe una demora del Estado en indemnizar a las presuntas víctimas. Al respecto, detalla el 24 de abril de 2013 la Corte Constitucional de Colombia emitió la sentencia de unificación SU-254 de 2013, mediante el cual</w:t>
      </w:r>
      <w:r w:rsidR="006364E9" w:rsidRPr="00037EC6">
        <w:rPr>
          <w:rFonts w:asciiTheme="majorHAnsi" w:hAnsiTheme="majorHAnsi"/>
          <w:sz w:val="20"/>
          <w:szCs w:val="20"/>
          <w:lang w:val="es-AR"/>
        </w:rPr>
        <w:t xml:space="preserve"> reivindicó el derecho fundamental a la reparación integral e indemnización administrativa de la población desplazada, disponiendo que las autoridades cumplan dicho deber, de conformidad con determinados parámetros jurídicos. Destaca que tal decisión tiene efectos </w:t>
      </w:r>
      <w:r w:rsidR="006364E9" w:rsidRPr="00037EC6">
        <w:rPr>
          <w:rFonts w:asciiTheme="majorHAnsi" w:hAnsiTheme="majorHAnsi"/>
          <w:i/>
          <w:iCs/>
          <w:sz w:val="20"/>
          <w:szCs w:val="20"/>
          <w:lang w:val="es-AR"/>
        </w:rPr>
        <w:t>inter comunis</w:t>
      </w:r>
      <w:r w:rsidR="005D603D" w:rsidRPr="00037EC6">
        <w:rPr>
          <w:rFonts w:asciiTheme="majorHAnsi" w:hAnsiTheme="majorHAnsi"/>
          <w:sz w:val="20"/>
          <w:szCs w:val="20"/>
          <w:lang w:val="es-AR"/>
        </w:rPr>
        <w:t>;</w:t>
      </w:r>
      <w:r w:rsidR="006364E9" w:rsidRPr="00037EC6">
        <w:rPr>
          <w:rFonts w:asciiTheme="majorHAnsi" w:hAnsiTheme="majorHAnsi"/>
          <w:sz w:val="20"/>
          <w:szCs w:val="20"/>
          <w:lang w:val="es-AR"/>
        </w:rPr>
        <w:t xml:space="preserve"> y, por ende, tutela incluso a las personas no se encontraban como accionantes en dicho proceso.</w:t>
      </w:r>
    </w:p>
    <w:p w14:paraId="234BE2BA" w14:textId="4378C8A9" w:rsidR="00F20BE9" w:rsidRPr="00037EC6" w:rsidRDefault="000E42BC">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Luego de la referida sentencia</w:t>
      </w:r>
      <w:r w:rsidR="006364E9" w:rsidRPr="00037EC6">
        <w:rPr>
          <w:rFonts w:asciiTheme="majorHAnsi" w:hAnsiTheme="majorHAnsi"/>
          <w:sz w:val="20"/>
          <w:szCs w:val="20"/>
          <w:lang w:val="es-AR"/>
        </w:rPr>
        <w:t>, el 1 de agosto de 2013 un conjunto de presuntas víctimas</w:t>
      </w:r>
      <w:r w:rsidR="009D5E84" w:rsidRPr="00037EC6">
        <w:rPr>
          <w:rStyle w:val="FootnoteReference"/>
          <w:rFonts w:asciiTheme="majorHAnsi" w:hAnsiTheme="majorHAnsi"/>
          <w:sz w:val="20"/>
          <w:szCs w:val="20"/>
          <w:lang w:val="es-AR"/>
        </w:rPr>
        <w:footnoteReference w:id="6"/>
      </w:r>
      <w:r w:rsidR="006364E9" w:rsidRPr="00037EC6">
        <w:rPr>
          <w:rFonts w:asciiTheme="majorHAnsi" w:hAnsiTheme="majorHAnsi"/>
          <w:sz w:val="20"/>
          <w:szCs w:val="20"/>
          <w:lang w:val="es-AR"/>
        </w:rPr>
        <w:t xml:space="preserve"> solicitó a la Agencia Presidencial para la Acción Social y la Cooperación Internacional que, en virtud del citado fallo, se les otorgue un pago por los daños causados </w:t>
      </w:r>
      <w:r w:rsidR="00A866BA" w:rsidRPr="00037EC6">
        <w:rPr>
          <w:rFonts w:asciiTheme="majorHAnsi" w:hAnsiTheme="majorHAnsi"/>
          <w:sz w:val="20"/>
          <w:szCs w:val="20"/>
          <w:lang w:val="es-AR"/>
        </w:rPr>
        <w:t>debido a</w:t>
      </w:r>
      <w:r w:rsidR="006364E9" w:rsidRPr="00037EC6">
        <w:rPr>
          <w:rFonts w:asciiTheme="majorHAnsi" w:hAnsiTheme="majorHAnsi"/>
          <w:sz w:val="20"/>
          <w:szCs w:val="20"/>
          <w:lang w:val="es-AR"/>
        </w:rPr>
        <w:t xml:space="preserve"> su desplazamiento. Afirma </w:t>
      </w:r>
      <w:r w:rsidR="00A866BA" w:rsidRPr="00037EC6">
        <w:rPr>
          <w:rFonts w:asciiTheme="majorHAnsi" w:hAnsiTheme="majorHAnsi"/>
          <w:sz w:val="20"/>
          <w:szCs w:val="20"/>
          <w:lang w:val="es-AR"/>
        </w:rPr>
        <w:t>que,</w:t>
      </w:r>
      <w:r w:rsidR="006364E9" w:rsidRPr="00037EC6">
        <w:rPr>
          <w:rFonts w:asciiTheme="majorHAnsi" w:hAnsiTheme="majorHAnsi"/>
          <w:sz w:val="20"/>
          <w:szCs w:val="20"/>
          <w:lang w:val="es-AR"/>
        </w:rPr>
        <w:t xml:space="preserve"> si bien tal autoridad remitió la solicitud a la Unidad para la Atención y Reparación Integral a las Víctimas, </w:t>
      </w:r>
      <w:r w:rsidR="00F20BE9" w:rsidRPr="00037EC6">
        <w:rPr>
          <w:rFonts w:asciiTheme="majorHAnsi" w:hAnsiTheme="majorHAnsi"/>
          <w:sz w:val="20"/>
          <w:szCs w:val="20"/>
          <w:lang w:val="es-AR"/>
        </w:rPr>
        <w:t xml:space="preserve">dicha entidad calificó su pedido como derecho de petición para el reconocimiento de ayuda humanitaria y no como un requerimiento de una reparación integral. </w:t>
      </w:r>
    </w:p>
    <w:p w14:paraId="336D00B6" w14:textId="4F5BB456" w:rsidR="009D5E84" w:rsidRPr="00037EC6" w:rsidRDefault="00A866BA">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US"/>
        </w:rPr>
      </w:pPr>
      <w:r w:rsidRPr="00037EC6">
        <w:rPr>
          <w:rFonts w:asciiTheme="majorHAnsi" w:hAnsiTheme="majorHAnsi"/>
          <w:sz w:val="20"/>
          <w:szCs w:val="20"/>
          <w:lang w:val="es-US"/>
        </w:rPr>
        <w:t>A pesar de ello, destaca que no cuenta con una vía para cuestionar dicha situación</w:t>
      </w:r>
      <w:r w:rsidR="00F20BE9" w:rsidRPr="00037EC6">
        <w:rPr>
          <w:rFonts w:asciiTheme="majorHAnsi" w:hAnsiTheme="majorHAnsi"/>
          <w:sz w:val="20"/>
          <w:szCs w:val="20"/>
          <w:lang w:val="es-US"/>
        </w:rPr>
        <w:t>, toda vez</w:t>
      </w:r>
      <w:r w:rsidRPr="00037EC6">
        <w:rPr>
          <w:rFonts w:asciiTheme="majorHAnsi" w:hAnsiTheme="majorHAnsi"/>
          <w:sz w:val="20"/>
          <w:szCs w:val="20"/>
          <w:lang w:val="es-US"/>
        </w:rPr>
        <w:t xml:space="preserve"> que si bien la Corte Constitucional declaró que tenía competencia dar seguimiento a la </w:t>
      </w:r>
      <w:r w:rsidRPr="00037EC6">
        <w:rPr>
          <w:rFonts w:asciiTheme="majorHAnsi" w:hAnsiTheme="majorHAnsi"/>
          <w:sz w:val="20"/>
          <w:szCs w:val="20"/>
          <w:lang w:val="es-AR"/>
        </w:rPr>
        <w:t xml:space="preserve">sentencia de unificación SU-254 de 2013, a la fecha no ha adoptado acciones eficaces para lograr su adecuado cumplimiento. A modo de ejemplo, destaca que, el 30 de octubre de 2014 </w:t>
      </w:r>
      <w:r w:rsidRPr="00037EC6">
        <w:rPr>
          <w:rFonts w:asciiTheme="majorHAnsi" w:hAnsiTheme="majorHAnsi"/>
          <w:sz w:val="20"/>
          <w:szCs w:val="20"/>
          <w:lang w:val="es-US"/>
        </w:rPr>
        <w:t xml:space="preserve">la Corte Constitucional, mediante Auto 335, </w:t>
      </w:r>
      <w:r w:rsidR="00497121" w:rsidRPr="00037EC6">
        <w:rPr>
          <w:rFonts w:asciiTheme="majorHAnsi" w:hAnsiTheme="majorHAnsi"/>
          <w:sz w:val="20"/>
          <w:szCs w:val="20"/>
          <w:lang w:val="es-US"/>
        </w:rPr>
        <w:t>habría mostrado</w:t>
      </w:r>
      <w:r w:rsidRPr="00037EC6">
        <w:rPr>
          <w:rFonts w:asciiTheme="majorHAnsi" w:hAnsiTheme="majorHAnsi"/>
          <w:sz w:val="20"/>
          <w:szCs w:val="20"/>
          <w:lang w:val="es-US"/>
        </w:rPr>
        <w:t xml:space="preserve"> su nulo interés en hacer cumplir su propio fallo, </w:t>
      </w:r>
      <w:r w:rsidR="002B249D" w:rsidRPr="00037EC6">
        <w:rPr>
          <w:rFonts w:asciiTheme="majorHAnsi" w:hAnsiTheme="majorHAnsi"/>
          <w:sz w:val="20"/>
          <w:szCs w:val="20"/>
          <w:lang w:val="es-US"/>
        </w:rPr>
        <w:t>al emitir las siguientes consideraciones</w:t>
      </w:r>
      <w:r w:rsidRPr="00037EC6">
        <w:rPr>
          <w:rFonts w:asciiTheme="majorHAnsi" w:hAnsiTheme="majorHAnsi"/>
          <w:sz w:val="20"/>
          <w:szCs w:val="20"/>
          <w:lang w:val="es-US"/>
        </w:rPr>
        <w:t xml:space="preserve">: </w:t>
      </w:r>
    </w:p>
    <w:p w14:paraId="1657D4BE" w14:textId="1122EDD8" w:rsidR="009D5E84" w:rsidRPr="00037EC6" w:rsidRDefault="009D5E84"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r w:rsidRPr="00037EC6">
        <w:rPr>
          <w:rFonts w:asciiTheme="majorHAnsi" w:hAnsiTheme="majorHAnsi"/>
          <w:sz w:val="20"/>
          <w:szCs w:val="20"/>
          <w:lang w:val="es-US"/>
        </w:rPr>
        <w:t>Sin embargo, en el presente asunto debe tenerse presente que el seguimiento que esta Sala Especial haga a la sentencia SU-254 de 2013, no estará suscrito al procedimiento ordinario existente para los incidentes de desacato y cumplimiento consagrados en el Decreto 2591 de 1991, esto por cuanto las órdenes impartidas en la sentencia unificadora, más allá de la protección específica de los accionantes, busca que el Gobierno Nacional mediante acciones coordinadas y complejas garantice progresivamente el derecho a la reparación integral de las víctimas, el cual es un componente estructural que ha sido abordado por múltiples autos de seguimiento emitidos por esta Sala Especial de Seguimiento</w:t>
      </w:r>
      <w:r w:rsidR="00D4647A" w:rsidRPr="00037EC6">
        <w:rPr>
          <w:rFonts w:asciiTheme="majorHAnsi" w:hAnsiTheme="majorHAnsi"/>
          <w:sz w:val="20"/>
          <w:szCs w:val="20"/>
          <w:lang w:val="es-US"/>
        </w:rPr>
        <w:t>.</w:t>
      </w:r>
    </w:p>
    <w:p w14:paraId="040B306B" w14:textId="77777777" w:rsidR="00D4647A" w:rsidRPr="00037EC6" w:rsidRDefault="00D4647A"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p>
    <w:p w14:paraId="42893B70" w14:textId="52BA0F0B" w:rsidR="009D5E84" w:rsidRPr="00037EC6" w:rsidRDefault="00D4647A"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r w:rsidRPr="00037EC6">
        <w:rPr>
          <w:rFonts w:asciiTheme="majorHAnsi" w:hAnsiTheme="majorHAnsi"/>
          <w:sz w:val="20"/>
          <w:szCs w:val="20"/>
          <w:lang w:val="es-US"/>
        </w:rPr>
        <w:t>[</w:t>
      </w:r>
      <w:r w:rsidR="009D5E84" w:rsidRPr="00037EC6">
        <w:rPr>
          <w:rFonts w:asciiTheme="majorHAnsi" w:hAnsiTheme="majorHAnsi"/>
          <w:sz w:val="20"/>
          <w:szCs w:val="20"/>
          <w:lang w:val="es-US"/>
        </w:rPr>
        <w:t>…</w:t>
      </w:r>
      <w:r w:rsidRPr="00037EC6">
        <w:rPr>
          <w:rFonts w:asciiTheme="majorHAnsi" w:hAnsiTheme="majorHAnsi"/>
          <w:sz w:val="20"/>
          <w:szCs w:val="20"/>
          <w:lang w:val="es-US"/>
        </w:rPr>
        <w:t>]</w:t>
      </w:r>
    </w:p>
    <w:p w14:paraId="77F020E6" w14:textId="77777777" w:rsidR="00D4647A" w:rsidRPr="00037EC6" w:rsidRDefault="00D4647A"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p>
    <w:p w14:paraId="25BA1D4B" w14:textId="3C4D2E25" w:rsidR="009D5E84" w:rsidRPr="00037EC6" w:rsidRDefault="009D5E84"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r w:rsidRPr="00037EC6">
        <w:rPr>
          <w:rFonts w:asciiTheme="majorHAnsi" w:hAnsiTheme="majorHAnsi"/>
          <w:sz w:val="20"/>
          <w:szCs w:val="20"/>
          <w:lang w:val="es-US"/>
        </w:rPr>
        <w:t xml:space="preserve">En este orden de ideas, es claro que el Gobierno Nacional tiene el deber de garantizar el derecho a la reparación integral de las víctimas afectadas por el desplazamiento interno, de </w:t>
      </w:r>
      <w:r w:rsidRPr="00037EC6">
        <w:rPr>
          <w:rFonts w:asciiTheme="majorHAnsi" w:hAnsiTheme="majorHAnsi"/>
          <w:sz w:val="20"/>
          <w:szCs w:val="20"/>
          <w:lang w:val="es-US"/>
        </w:rPr>
        <w:lastRenderedPageBreak/>
        <w:t>conformidad a los precisos y estrictos términos consagrados en la sentencia SU-254 de 2013, sin embargo debido a la naturaleza compleja de las órdenes conferidas en la referida providencia, esta Sala Especial de Seguimiento no puede suscribir la obligación estatal, únicamente bajo una óptica sancionatoria como lo es el incidente de desacato.</w:t>
      </w:r>
    </w:p>
    <w:p w14:paraId="255D9872" w14:textId="77777777" w:rsidR="00414F6F" w:rsidRPr="00037EC6" w:rsidRDefault="00414F6F"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p>
    <w:p w14:paraId="70028568" w14:textId="4BECC8D2" w:rsidR="009D5E84" w:rsidRPr="00037EC6" w:rsidRDefault="00414F6F"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r w:rsidRPr="00037EC6">
        <w:rPr>
          <w:rFonts w:asciiTheme="majorHAnsi" w:hAnsiTheme="majorHAnsi"/>
          <w:sz w:val="20"/>
          <w:szCs w:val="20"/>
          <w:lang w:val="es-US"/>
        </w:rPr>
        <w:t>[</w:t>
      </w:r>
      <w:r w:rsidR="009D5E84" w:rsidRPr="00037EC6">
        <w:rPr>
          <w:rFonts w:asciiTheme="majorHAnsi" w:hAnsiTheme="majorHAnsi"/>
          <w:sz w:val="20"/>
          <w:szCs w:val="20"/>
          <w:lang w:val="es-US"/>
        </w:rPr>
        <w:t>…</w:t>
      </w:r>
      <w:r w:rsidRPr="00037EC6">
        <w:rPr>
          <w:rFonts w:asciiTheme="majorHAnsi" w:hAnsiTheme="majorHAnsi"/>
          <w:sz w:val="20"/>
          <w:szCs w:val="20"/>
          <w:lang w:val="es-US"/>
        </w:rPr>
        <w:t>]</w:t>
      </w:r>
    </w:p>
    <w:p w14:paraId="3B6D1995" w14:textId="77777777" w:rsidR="00414F6F" w:rsidRPr="00037EC6" w:rsidRDefault="00414F6F"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p>
    <w:p w14:paraId="5647AA29" w14:textId="12AE1520" w:rsidR="009D5E84" w:rsidRPr="00037EC6" w:rsidRDefault="009D5E84" w:rsidP="002B249D">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ind w:right="720"/>
        <w:jc w:val="both"/>
        <w:rPr>
          <w:rFonts w:asciiTheme="majorHAnsi" w:hAnsiTheme="majorHAnsi"/>
          <w:sz w:val="20"/>
          <w:szCs w:val="20"/>
          <w:lang w:val="es-US"/>
        </w:rPr>
      </w:pPr>
      <w:r w:rsidRPr="00037EC6">
        <w:rPr>
          <w:rFonts w:asciiTheme="majorHAnsi" w:hAnsiTheme="majorHAnsi"/>
          <w:sz w:val="20"/>
          <w:szCs w:val="20"/>
          <w:lang w:val="es-US"/>
        </w:rPr>
        <w:t>La Corte es consciente que los beneficiarios de las órdenes “inter comunis” pueden perfectamente llegar a los cientos de miles de desplazados, y bajo esa premisa sería imposible para la UARIV lograr el cumplimiento de las órdenes conferidas en la sentencia SU-254 de 2013 en los estrictos términos consagrados en el Decreto 2591 de 1991. Así las cosas, tal y como lo ha manifestado este tribunal: “</w:t>
      </w:r>
      <w:r w:rsidRPr="00037EC6">
        <w:rPr>
          <w:rFonts w:asciiTheme="majorHAnsi" w:hAnsiTheme="majorHAnsi"/>
          <w:i/>
          <w:iCs/>
          <w:sz w:val="20"/>
          <w:szCs w:val="20"/>
          <w:lang w:val="es-US"/>
        </w:rPr>
        <w:t>no en todos los casos la verificación de un incumplimiento supone necesariamente la imposición de una sanción por desacato</w:t>
      </w:r>
      <w:r w:rsidRPr="00037EC6">
        <w:rPr>
          <w:rFonts w:asciiTheme="majorHAnsi" w:hAnsiTheme="majorHAnsi"/>
          <w:sz w:val="20"/>
          <w:szCs w:val="20"/>
          <w:lang w:val="es-US"/>
        </w:rPr>
        <w:t>”</w:t>
      </w:r>
    </w:p>
    <w:p w14:paraId="394027AB" w14:textId="77777777" w:rsidR="009D5E84" w:rsidRPr="00037EC6" w:rsidRDefault="009D5E84" w:rsidP="009D5E84">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jc w:val="both"/>
        <w:rPr>
          <w:rFonts w:asciiTheme="majorHAnsi" w:hAnsiTheme="majorHAnsi"/>
          <w:sz w:val="20"/>
          <w:szCs w:val="20"/>
          <w:lang w:val="es-US"/>
        </w:rPr>
      </w:pPr>
    </w:p>
    <w:p w14:paraId="5CFB3285" w14:textId="3B117FDD" w:rsidR="009D5E84" w:rsidRPr="00037EC6" w:rsidRDefault="00775FFA">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US"/>
        </w:rPr>
      </w:pPr>
      <w:r w:rsidRPr="00037EC6">
        <w:rPr>
          <w:rFonts w:asciiTheme="majorHAnsi" w:hAnsiTheme="majorHAnsi"/>
          <w:sz w:val="20"/>
          <w:szCs w:val="20"/>
          <w:lang w:val="es-US"/>
        </w:rPr>
        <w:t>Sin perjuicio de ello, refiere que</w:t>
      </w:r>
      <w:r w:rsidR="00F20BE9" w:rsidRPr="00037EC6">
        <w:rPr>
          <w:rFonts w:asciiTheme="majorHAnsi" w:hAnsiTheme="majorHAnsi"/>
          <w:sz w:val="20"/>
          <w:szCs w:val="20"/>
          <w:lang w:val="es-US"/>
        </w:rPr>
        <w:t xml:space="preserve"> las presuntas víctimas presentaron una acción ejecutiva, cuestionando la respuesta que recibieron por parte de </w:t>
      </w:r>
      <w:r w:rsidR="00F20BE9" w:rsidRPr="00037EC6">
        <w:rPr>
          <w:rFonts w:asciiTheme="majorHAnsi" w:hAnsiTheme="majorHAnsi"/>
          <w:sz w:val="20"/>
          <w:szCs w:val="20"/>
          <w:lang w:val="es-AR"/>
        </w:rPr>
        <w:t xml:space="preserve">la Unidad para la Atención y Reparación Integral a las Víctimas, </w:t>
      </w:r>
      <w:r w:rsidR="00F20BE9" w:rsidRPr="00037EC6">
        <w:rPr>
          <w:rFonts w:asciiTheme="majorHAnsi" w:hAnsiTheme="majorHAnsi"/>
          <w:sz w:val="20"/>
          <w:szCs w:val="20"/>
          <w:lang w:val="es-US"/>
        </w:rPr>
        <w:t xml:space="preserve">con base en lo dispuesto por la sentencia de unificación SU-254-2013. </w:t>
      </w:r>
      <w:r w:rsidR="002170EF" w:rsidRPr="00037EC6">
        <w:rPr>
          <w:rFonts w:asciiTheme="majorHAnsi" w:hAnsiTheme="majorHAnsi"/>
          <w:sz w:val="20"/>
          <w:szCs w:val="20"/>
          <w:lang w:val="es-US"/>
        </w:rPr>
        <w:t xml:space="preserve">No obstante, </w:t>
      </w:r>
      <w:r w:rsidR="00A90756" w:rsidRPr="00037EC6">
        <w:rPr>
          <w:rFonts w:asciiTheme="majorHAnsi" w:hAnsiTheme="majorHAnsi"/>
          <w:sz w:val="20"/>
          <w:szCs w:val="20"/>
          <w:lang w:val="es-US"/>
        </w:rPr>
        <w:t>indica</w:t>
      </w:r>
      <w:r w:rsidR="002170EF" w:rsidRPr="00037EC6">
        <w:rPr>
          <w:rFonts w:asciiTheme="majorHAnsi" w:hAnsiTheme="majorHAnsi"/>
          <w:sz w:val="20"/>
          <w:szCs w:val="20"/>
          <w:lang w:val="es-US"/>
        </w:rPr>
        <w:t xml:space="preserve"> que el 28 de febrero de 2017 la Sala de Seguimiento rechazó tal recurso indebidamente, junto con otr</w:t>
      </w:r>
      <w:r w:rsidR="00874CC0" w:rsidRPr="00037EC6">
        <w:rPr>
          <w:rFonts w:asciiTheme="majorHAnsi" w:hAnsiTheme="majorHAnsi"/>
          <w:sz w:val="20"/>
          <w:szCs w:val="20"/>
          <w:lang w:val="es-US"/>
        </w:rPr>
        <w:t>o</w:t>
      </w:r>
      <w:r w:rsidR="002170EF" w:rsidRPr="00037EC6">
        <w:rPr>
          <w:rFonts w:asciiTheme="majorHAnsi" w:hAnsiTheme="majorHAnsi"/>
          <w:sz w:val="20"/>
          <w:szCs w:val="20"/>
          <w:lang w:val="es-US"/>
        </w:rPr>
        <w:t xml:space="preserve">s de diverso origen </w:t>
      </w:r>
      <w:r w:rsidR="00E83A47" w:rsidRPr="00037EC6">
        <w:rPr>
          <w:rFonts w:asciiTheme="majorHAnsi" w:hAnsiTheme="majorHAnsi"/>
          <w:sz w:val="20"/>
          <w:szCs w:val="20"/>
          <w:lang w:val="es-US"/>
        </w:rPr>
        <w:t>–</w:t>
      </w:r>
      <w:r w:rsidR="002170EF" w:rsidRPr="00037EC6">
        <w:rPr>
          <w:rFonts w:asciiTheme="majorHAnsi" w:hAnsiTheme="majorHAnsi"/>
          <w:sz w:val="20"/>
          <w:szCs w:val="20"/>
          <w:lang w:val="es-US"/>
        </w:rPr>
        <w:t>no se brindan más detalles</w:t>
      </w:r>
      <w:r w:rsidR="00E83A47" w:rsidRPr="00037EC6">
        <w:rPr>
          <w:rFonts w:asciiTheme="majorHAnsi" w:hAnsiTheme="majorHAnsi"/>
          <w:sz w:val="20"/>
          <w:szCs w:val="20"/>
          <w:lang w:val="es-US"/>
        </w:rPr>
        <w:t>–</w:t>
      </w:r>
      <w:r w:rsidR="002170EF" w:rsidRPr="00037EC6">
        <w:rPr>
          <w:rFonts w:asciiTheme="majorHAnsi" w:hAnsiTheme="majorHAnsi"/>
          <w:sz w:val="20"/>
          <w:szCs w:val="20"/>
          <w:lang w:val="es-US"/>
        </w:rPr>
        <w:t>. A juicio de la parte peticionaria, la citada decisión ejemplifica que las presuntas víctimas no tiene</w:t>
      </w:r>
      <w:r w:rsidR="008D2122" w:rsidRPr="00037EC6">
        <w:rPr>
          <w:rFonts w:asciiTheme="majorHAnsi" w:hAnsiTheme="majorHAnsi"/>
          <w:sz w:val="20"/>
          <w:szCs w:val="20"/>
          <w:lang w:val="es-US"/>
        </w:rPr>
        <w:t>n</w:t>
      </w:r>
      <w:r w:rsidR="002170EF" w:rsidRPr="00037EC6">
        <w:rPr>
          <w:rFonts w:asciiTheme="majorHAnsi" w:hAnsiTheme="majorHAnsi"/>
          <w:sz w:val="20"/>
          <w:szCs w:val="20"/>
          <w:lang w:val="es-US"/>
        </w:rPr>
        <w:t xml:space="preserve"> acceso a un recurso para hacer efectivo el pago de una indemnización en su favor. </w:t>
      </w:r>
    </w:p>
    <w:p w14:paraId="7E966E1F" w14:textId="2D078E66" w:rsidR="00445C2D" w:rsidRPr="00037EC6" w:rsidRDefault="00F2665D" w:rsidP="00F2665D">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ind w:left="720"/>
        <w:jc w:val="both"/>
        <w:rPr>
          <w:rFonts w:asciiTheme="majorHAnsi" w:hAnsiTheme="majorHAnsi"/>
          <w:i/>
          <w:iCs/>
          <w:sz w:val="20"/>
          <w:szCs w:val="20"/>
          <w:lang w:val="es-AR"/>
        </w:rPr>
      </w:pPr>
      <w:r w:rsidRPr="00037EC6">
        <w:rPr>
          <w:rFonts w:asciiTheme="majorHAnsi" w:hAnsiTheme="majorHAnsi"/>
          <w:i/>
          <w:iCs/>
          <w:sz w:val="20"/>
          <w:szCs w:val="20"/>
          <w:lang w:val="es-AR"/>
        </w:rPr>
        <w:t>Alegatos del Estado</w:t>
      </w:r>
      <w:r w:rsidR="0021138D" w:rsidRPr="00037EC6">
        <w:rPr>
          <w:rFonts w:asciiTheme="majorHAnsi" w:hAnsiTheme="majorHAnsi"/>
          <w:i/>
          <w:iCs/>
          <w:sz w:val="20"/>
          <w:szCs w:val="20"/>
          <w:lang w:val="es-AR"/>
        </w:rPr>
        <w:t xml:space="preserve"> colombiano</w:t>
      </w:r>
    </w:p>
    <w:p w14:paraId="6AE1C828" w14:textId="32D13719" w:rsidR="008C5E2D" w:rsidRPr="00037EC6" w:rsidRDefault="00D32E68">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De manera preliminar, el Estado </w:t>
      </w:r>
      <w:r w:rsidR="00961D5A" w:rsidRPr="00037EC6">
        <w:rPr>
          <w:rFonts w:asciiTheme="majorHAnsi" w:hAnsiTheme="majorHAnsi"/>
          <w:sz w:val="20"/>
          <w:szCs w:val="20"/>
          <w:lang w:val="es-AR"/>
        </w:rPr>
        <w:t>responde</w:t>
      </w:r>
      <w:r w:rsidRPr="00037EC6">
        <w:rPr>
          <w:rFonts w:asciiTheme="majorHAnsi" w:hAnsiTheme="majorHAnsi"/>
          <w:sz w:val="20"/>
          <w:szCs w:val="20"/>
          <w:lang w:val="es-AR"/>
        </w:rPr>
        <w:t xml:space="preserve"> que en la petición se hizo referencia en varias ocasiones a la existencia de un patrón de conducta del Estado colombiano entre 1997 y 2000, en el cual habría existido aquiescencia entre miembros del Ejército Nacional y grupos paramilitares. Al respecto, refiere que, si bien el contexto puede ser utilizado para la adecuada comprensión de los hechos, este no puede derivar por sí mismo en la responsabilidad internacional estatal, pues no se basa en hechos específicos. Además, agrega que las afirmaciones contextuales deben ser debidamente probadas en el procedimiento ante los órganos del Sistema Interamericano. En el presente caso, sostiene que las aseveraciones del peticionario carecen de prueba alguna y son presentadas de manera genérica y, por el contrario, los procesos disciplinarios y judiciales adelantados en sede interna no encontraron responsables particulares que permitieran dar cabida a la tesis propuesta en la petición.</w:t>
      </w:r>
    </w:p>
    <w:p w14:paraId="194DEFAD" w14:textId="77777777" w:rsidR="0012133A" w:rsidRPr="00037EC6" w:rsidRDefault="00D32E68">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Con base en ello, afirma </w:t>
      </w:r>
      <w:r w:rsidR="00E601CC" w:rsidRPr="00037EC6">
        <w:rPr>
          <w:rFonts w:asciiTheme="majorHAnsi" w:hAnsiTheme="majorHAnsi"/>
          <w:sz w:val="20"/>
          <w:szCs w:val="20"/>
          <w:lang w:val="es-AR"/>
        </w:rPr>
        <w:t>que la petición debe ser declarad</w:t>
      </w:r>
      <w:r w:rsidR="00C03903" w:rsidRPr="00037EC6">
        <w:rPr>
          <w:rFonts w:asciiTheme="majorHAnsi" w:hAnsiTheme="majorHAnsi"/>
          <w:sz w:val="20"/>
          <w:szCs w:val="20"/>
          <w:lang w:val="es-AR"/>
        </w:rPr>
        <w:t>a</w:t>
      </w:r>
      <w:r w:rsidR="00E601CC" w:rsidRPr="00037EC6">
        <w:rPr>
          <w:rFonts w:asciiTheme="majorHAnsi" w:hAnsiTheme="majorHAnsi"/>
          <w:sz w:val="20"/>
          <w:szCs w:val="20"/>
          <w:lang w:val="es-AR"/>
        </w:rPr>
        <w:t xml:space="preserve"> inadmisible, toda vez que presenta cargos manifiestamente infundados</w:t>
      </w:r>
      <w:r w:rsidR="0012133A" w:rsidRPr="00037EC6">
        <w:rPr>
          <w:rFonts w:asciiTheme="majorHAnsi" w:hAnsiTheme="majorHAnsi"/>
          <w:sz w:val="20"/>
          <w:szCs w:val="20"/>
          <w:lang w:val="es-AR"/>
        </w:rPr>
        <w:t xml:space="preserve">, toda vez </w:t>
      </w:r>
      <w:r w:rsidR="00E601CC" w:rsidRPr="00037EC6">
        <w:rPr>
          <w:rFonts w:asciiTheme="majorHAnsi" w:hAnsiTheme="majorHAnsi"/>
          <w:sz w:val="20"/>
          <w:szCs w:val="20"/>
          <w:lang w:val="es-AR"/>
        </w:rPr>
        <w:t xml:space="preserve">que la parte peticionaria no ha aportado pruebas que demuestren la responsabilidad del Estado por los hechos ocurridos en Santa Rita y, por el contrario, </w:t>
      </w:r>
      <w:r w:rsidR="0012133A" w:rsidRPr="00037EC6">
        <w:rPr>
          <w:rFonts w:asciiTheme="majorHAnsi" w:hAnsiTheme="majorHAnsi"/>
          <w:sz w:val="20"/>
          <w:szCs w:val="20"/>
          <w:lang w:val="es-AR"/>
        </w:rPr>
        <w:t>su</w:t>
      </w:r>
      <w:r w:rsidR="00E601CC" w:rsidRPr="00037EC6">
        <w:rPr>
          <w:rFonts w:asciiTheme="majorHAnsi" w:hAnsiTheme="majorHAnsi"/>
          <w:sz w:val="20"/>
          <w:szCs w:val="20"/>
          <w:lang w:val="es-AR"/>
        </w:rPr>
        <w:t xml:space="preserve"> relato muestra que estos fueron cometidos por grupos subversivos al margen de la ley, sin que se haya demostrado algún tipo de tolerancia o aquiescencia por parte de las autoridades. </w:t>
      </w:r>
    </w:p>
    <w:p w14:paraId="0B66DBA9" w14:textId="6B6EDECA" w:rsidR="009E55A5" w:rsidRPr="00037EC6" w:rsidRDefault="009E55A5">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Asimismo, agrega que no existen elementos que permitan concluir que </w:t>
      </w:r>
      <w:r w:rsidR="00F833C7" w:rsidRPr="00037EC6">
        <w:rPr>
          <w:rFonts w:asciiTheme="majorHAnsi" w:hAnsiTheme="majorHAnsi"/>
          <w:sz w:val="20"/>
          <w:szCs w:val="20"/>
          <w:lang w:val="es-AR"/>
        </w:rPr>
        <w:t>las autoridades hubiesen tenido conocimiento o podido conocer la situación de riesgo en la que se encontraban las presuntas víctimas,</w:t>
      </w:r>
      <w:r w:rsidRPr="00037EC6">
        <w:rPr>
          <w:rFonts w:asciiTheme="majorHAnsi" w:hAnsiTheme="majorHAnsi"/>
          <w:sz w:val="20"/>
          <w:szCs w:val="20"/>
          <w:lang w:val="es-AR"/>
        </w:rPr>
        <w:t xml:space="preserve"> ya que</w:t>
      </w:r>
      <w:r w:rsidR="00F833C7" w:rsidRPr="00037EC6">
        <w:rPr>
          <w:rFonts w:asciiTheme="majorHAnsi" w:hAnsiTheme="majorHAnsi"/>
          <w:sz w:val="20"/>
          <w:szCs w:val="20"/>
          <w:lang w:val="es-AR"/>
        </w:rPr>
        <w:t xml:space="preserve"> estas</w:t>
      </w:r>
      <w:r w:rsidRPr="00037EC6">
        <w:rPr>
          <w:rFonts w:asciiTheme="majorHAnsi" w:hAnsiTheme="majorHAnsi"/>
          <w:sz w:val="20"/>
          <w:szCs w:val="20"/>
          <w:lang w:val="es-AR"/>
        </w:rPr>
        <w:t xml:space="preserve"> no presentaron denuncias o comunicaciones que den cuenta de una amenaza. En consecuencia, sostiene las autoridades no contaron con posibilidades razonables de adoptar medidas específicas de previsión y protección y, en consecuencia, los crímenes cometidos no le resultan atribuibles en función de su deber de prevención. </w:t>
      </w:r>
    </w:p>
    <w:p w14:paraId="4A535292" w14:textId="5072EDDB" w:rsidR="009E55A5" w:rsidRPr="00037EC6" w:rsidRDefault="009E55A5">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Finalmente, en cuanto a la alegada afectación del derecho a la igualdad ante la ley, arguye que la parte peticionaria no proporciona alegatos ni pruebas sobre la existencia de leyes discriminatorias ni sobre aplicación discriminatoria de alguna normativ</w:t>
      </w:r>
      <w:r w:rsidR="00F80E04" w:rsidRPr="00037EC6">
        <w:rPr>
          <w:rFonts w:asciiTheme="majorHAnsi" w:hAnsiTheme="majorHAnsi"/>
          <w:sz w:val="20"/>
          <w:szCs w:val="20"/>
          <w:lang w:val="es-AR"/>
        </w:rPr>
        <w:t xml:space="preserve">a. Destaca </w:t>
      </w:r>
      <w:r w:rsidR="004151E7" w:rsidRPr="00037EC6">
        <w:rPr>
          <w:rFonts w:asciiTheme="majorHAnsi" w:hAnsiTheme="majorHAnsi"/>
          <w:sz w:val="20"/>
          <w:szCs w:val="20"/>
          <w:lang w:val="es-AR"/>
        </w:rPr>
        <w:t>que,</w:t>
      </w:r>
      <w:r w:rsidR="00F80E04" w:rsidRPr="00037EC6">
        <w:rPr>
          <w:rFonts w:asciiTheme="majorHAnsi" w:hAnsiTheme="majorHAnsi"/>
          <w:sz w:val="20"/>
          <w:szCs w:val="20"/>
          <w:lang w:val="es-AR"/>
        </w:rPr>
        <w:t xml:space="preserve"> si bien en la petición denuncia la falta de aplicación de una sentencia de unificación de la Corte Constitucional a casos concretos, no hace alusión a una norma o ley alguna que</w:t>
      </w:r>
      <w:r w:rsidR="0012133A" w:rsidRPr="00037EC6">
        <w:rPr>
          <w:rFonts w:asciiTheme="majorHAnsi" w:hAnsiTheme="majorHAnsi"/>
          <w:sz w:val="20"/>
          <w:szCs w:val="20"/>
          <w:lang w:val="es-AR"/>
        </w:rPr>
        <w:t>,</w:t>
      </w:r>
      <w:r w:rsidR="00F80E04" w:rsidRPr="00037EC6">
        <w:rPr>
          <w:rFonts w:asciiTheme="majorHAnsi" w:hAnsiTheme="majorHAnsi"/>
          <w:sz w:val="20"/>
          <w:szCs w:val="20"/>
          <w:lang w:val="es-AR"/>
        </w:rPr>
        <w:t xml:space="preserve"> en su literalidad o aplicación</w:t>
      </w:r>
      <w:r w:rsidR="0012133A" w:rsidRPr="00037EC6">
        <w:rPr>
          <w:rFonts w:asciiTheme="majorHAnsi" w:hAnsiTheme="majorHAnsi"/>
          <w:sz w:val="20"/>
          <w:szCs w:val="20"/>
          <w:lang w:val="es-AR"/>
        </w:rPr>
        <w:t>,</w:t>
      </w:r>
      <w:r w:rsidR="00F80E04" w:rsidRPr="00037EC6">
        <w:rPr>
          <w:rFonts w:asciiTheme="majorHAnsi" w:hAnsiTheme="majorHAnsi"/>
          <w:sz w:val="20"/>
          <w:szCs w:val="20"/>
          <w:lang w:val="es-AR"/>
        </w:rPr>
        <w:t xml:space="preserve"> genere </w:t>
      </w:r>
      <w:r w:rsidR="0012133A" w:rsidRPr="00037EC6">
        <w:rPr>
          <w:rFonts w:asciiTheme="majorHAnsi" w:hAnsiTheme="majorHAnsi"/>
          <w:sz w:val="20"/>
          <w:szCs w:val="20"/>
          <w:lang w:val="es-AR"/>
        </w:rPr>
        <w:t>un</w:t>
      </w:r>
      <w:r w:rsidR="00F80E04" w:rsidRPr="00037EC6">
        <w:rPr>
          <w:rFonts w:asciiTheme="majorHAnsi" w:hAnsiTheme="majorHAnsi"/>
          <w:sz w:val="20"/>
          <w:szCs w:val="20"/>
          <w:lang w:val="es-AR"/>
        </w:rPr>
        <w:t xml:space="preserve"> trato discriminatorio. </w:t>
      </w:r>
    </w:p>
    <w:p w14:paraId="6C09F02A" w14:textId="56F5890C" w:rsidR="00F80E04" w:rsidRPr="00037EC6" w:rsidRDefault="00D32E68" w:rsidP="00E23644">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Sin perjuicio de los previamente expuesto, arguye que la petición es inadmisible por falta de agotamiento de la jurisdicción interna.</w:t>
      </w:r>
      <w:r w:rsidR="00F80E04" w:rsidRPr="00037EC6">
        <w:rPr>
          <w:rFonts w:asciiTheme="majorHAnsi" w:hAnsiTheme="majorHAnsi"/>
          <w:sz w:val="20"/>
          <w:szCs w:val="20"/>
          <w:lang w:val="es-AR"/>
        </w:rPr>
        <w:t xml:space="preserve"> En relación con los procesos penales, afirma que estos aún están en </w:t>
      </w:r>
      <w:r w:rsidR="00F80E04" w:rsidRPr="00037EC6">
        <w:rPr>
          <w:rFonts w:asciiTheme="majorHAnsi" w:hAnsiTheme="majorHAnsi"/>
          <w:sz w:val="20"/>
          <w:szCs w:val="20"/>
          <w:lang w:val="es-AR"/>
        </w:rPr>
        <w:lastRenderedPageBreak/>
        <w:t>curso y que su agotamiento resulta necesario, dado que son la vía adecuada y efectiva para esclarecer los hechos, juzgar a los responsables y establecer las correspondientes sanciones penales. Resalta que la parte peticionaria ha tenido acceso en todo momento al proceso penal</w:t>
      </w:r>
      <w:r w:rsidR="00E23644" w:rsidRPr="00037EC6">
        <w:rPr>
          <w:rFonts w:asciiTheme="majorHAnsi" w:hAnsiTheme="majorHAnsi"/>
          <w:sz w:val="20"/>
          <w:szCs w:val="20"/>
          <w:lang w:val="es-AR"/>
        </w:rPr>
        <w:t>;</w:t>
      </w:r>
      <w:r w:rsidR="00F80E04" w:rsidRPr="00037EC6">
        <w:rPr>
          <w:rFonts w:asciiTheme="majorHAnsi" w:hAnsiTheme="majorHAnsi"/>
          <w:sz w:val="20"/>
          <w:szCs w:val="20"/>
          <w:lang w:val="es-AR"/>
        </w:rPr>
        <w:t xml:space="preserve"> y que la Fiscalía</w:t>
      </w:r>
      <w:r w:rsidR="00504640" w:rsidRPr="00037EC6">
        <w:rPr>
          <w:rFonts w:asciiTheme="majorHAnsi" w:hAnsiTheme="majorHAnsi"/>
          <w:sz w:val="20"/>
          <w:szCs w:val="20"/>
          <w:lang w:val="es-AR"/>
        </w:rPr>
        <w:t xml:space="preserve"> </w:t>
      </w:r>
      <w:r w:rsidR="00F80E04" w:rsidRPr="00037EC6">
        <w:rPr>
          <w:rFonts w:asciiTheme="majorHAnsi" w:hAnsiTheme="majorHAnsi"/>
          <w:sz w:val="20"/>
          <w:szCs w:val="20"/>
          <w:lang w:val="es-AR"/>
        </w:rPr>
        <w:t>General de la Nación ha ejercido la acción penal de manera seria e imparcial desde la ocurrencia de los hechos</w:t>
      </w:r>
      <w:r w:rsidR="00E23644" w:rsidRPr="00037EC6">
        <w:rPr>
          <w:rFonts w:asciiTheme="majorHAnsi" w:hAnsiTheme="majorHAnsi"/>
          <w:sz w:val="20"/>
          <w:szCs w:val="20"/>
          <w:lang w:val="es-AR"/>
        </w:rPr>
        <w:t>,</w:t>
      </w:r>
      <w:r w:rsidR="00F80E04" w:rsidRPr="00037EC6">
        <w:rPr>
          <w:rFonts w:asciiTheme="majorHAnsi" w:hAnsiTheme="majorHAnsi"/>
          <w:sz w:val="20"/>
          <w:szCs w:val="20"/>
          <w:lang w:val="es-AR"/>
        </w:rPr>
        <w:t xml:space="preserve"> y ha realizado todos los esfuerzos que han estado a su alcance para esclarecer las circunstancias de tiempo, modo y lugar, y sancionar a los responsables. </w:t>
      </w:r>
    </w:p>
    <w:p w14:paraId="68858374" w14:textId="08656BEB" w:rsidR="00F80E04" w:rsidRPr="00037EC6" w:rsidRDefault="00F80E04">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Así, detalla que por los hechos expuestos en la petición se llevaron a cabo investigaciones en la jurisdicción ordinaria y en la justicia transicional. Explica que la Fiscalía 32 especializada, mediante el proceso 1046422, realizó diferentes actividades judiciales en conjunto con la policía judicial</w:t>
      </w:r>
      <w:r w:rsidR="0045648D" w:rsidRPr="00037EC6">
        <w:rPr>
          <w:rFonts w:asciiTheme="majorHAnsi" w:hAnsiTheme="majorHAnsi"/>
          <w:sz w:val="20"/>
          <w:szCs w:val="20"/>
          <w:lang w:val="es-AR"/>
        </w:rPr>
        <w:t>,</w:t>
      </w:r>
      <w:r w:rsidRPr="00037EC6">
        <w:rPr>
          <w:rFonts w:asciiTheme="majorHAnsi" w:hAnsiTheme="majorHAnsi"/>
          <w:sz w:val="20"/>
          <w:szCs w:val="20"/>
          <w:lang w:val="es-AR"/>
        </w:rPr>
        <w:t xml:space="preserve"> </w:t>
      </w:r>
      <w:r w:rsidR="0045648D" w:rsidRPr="00037EC6">
        <w:rPr>
          <w:rFonts w:asciiTheme="majorHAnsi" w:hAnsiTheme="majorHAnsi"/>
          <w:sz w:val="20"/>
          <w:szCs w:val="20"/>
          <w:lang w:val="es-AR"/>
        </w:rPr>
        <w:t>gracias a las cuales</w:t>
      </w:r>
      <w:r w:rsidRPr="00037EC6">
        <w:rPr>
          <w:rFonts w:asciiTheme="majorHAnsi" w:hAnsiTheme="majorHAnsi"/>
          <w:sz w:val="20"/>
          <w:szCs w:val="20"/>
          <w:lang w:val="es-AR"/>
        </w:rPr>
        <w:t xml:space="preserve"> han identificado e individualizado a la fecha a aproximadamente sesenta persona, las cuales serán vinculadas mediante indagatoria, una vez que se culmine</w:t>
      </w:r>
      <w:r w:rsidR="00F833C7" w:rsidRPr="00037EC6">
        <w:rPr>
          <w:rFonts w:asciiTheme="majorHAnsi" w:hAnsiTheme="majorHAnsi"/>
          <w:sz w:val="20"/>
          <w:szCs w:val="20"/>
          <w:lang w:val="es-AR"/>
        </w:rPr>
        <w:t>n</w:t>
      </w:r>
      <w:r w:rsidRPr="00037EC6">
        <w:rPr>
          <w:rFonts w:asciiTheme="majorHAnsi" w:hAnsiTheme="majorHAnsi"/>
          <w:sz w:val="20"/>
          <w:szCs w:val="20"/>
          <w:lang w:val="es-AR"/>
        </w:rPr>
        <w:t xml:space="preserve"> con las inspecciones judiciales en la Fiscalía 46 de Justicia Transicional de Bogotá, la Fiscalía</w:t>
      </w:r>
      <w:r w:rsidR="000E51C6" w:rsidRPr="00037EC6">
        <w:rPr>
          <w:rFonts w:asciiTheme="majorHAnsi" w:hAnsiTheme="majorHAnsi"/>
          <w:sz w:val="20"/>
          <w:szCs w:val="20"/>
          <w:lang w:val="es-AR"/>
        </w:rPr>
        <w:t xml:space="preserve"> 45 y 54 de Justicia Transicional de Cúcuta, la Fiscalía 13 y 55 de Justicia Transicional de Montería, y la Fiscalía de Justicia Transicional de Bucaramanga, las cuales documentan la macro estructura de grupos paramilitares. </w:t>
      </w:r>
    </w:p>
    <w:p w14:paraId="77D437CC" w14:textId="1120CAB0" w:rsidR="000E51C6" w:rsidRPr="00037EC6" w:rsidRDefault="007A7DA1">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El Estado aclara que </w:t>
      </w:r>
      <w:r w:rsidR="00CA6305" w:rsidRPr="00037EC6">
        <w:rPr>
          <w:rFonts w:asciiTheme="majorHAnsi" w:hAnsiTheme="majorHAnsi"/>
          <w:sz w:val="20"/>
          <w:szCs w:val="20"/>
          <w:lang w:val="es-AR"/>
        </w:rPr>
        <w:t>esta</w:t>
      </w:r>
      <w:r w:rsidR="000E51C6" w:rsidRPr="00037EC6">
        <w:rPr>
          <w:rFonts w:asciiTheme="majorHAnsi" w:hAnsiTheme="majorHAnsi"/>
          <w:sz w:val="20"/>
          <w:szCs w:val="20"/>
          <w:lang w:val="es-AR"/>
        </w:rPr>
        <w:t xml:space="preserve"> investigación sigue en curso y tiene programadas más inspecciones judiciales y toma de declaraciones en diferentes partes del país, ya que las víctimas residen actualmente en diversos lugares del territorio nacional, así como los presuntos victimarios. Agrega que estas diligencias resultan necesarias para ampliar y recaudar mayores elementos de prueba, pues las AUC habrían realizado los crímenes mediante incursiones al municipio con cerca de 1000 hombres. </w:t>
      </w:r>
    </w:p>
    <w:p w14:paraId="5EA467E1" w14:textId="25A9F4D2" w:rsidR="00245B9A" w:rsidRPr="00037EC6" w:rsidRDefault="00245B9A">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Junto a la citada investigación, añade que también existen otras dos investigaciones, radicadas en los expedientes 1039308 y 86086, en la cuáles las fiscalías a cargo han identificado como presuntos responsables al Grupo Minero de las AUC y el Bloque Norte de las Autodefensas Campesinas-Frente de Pivijay, respectivamente. Asimismo, agrega </w:t>
      </w:r>
      <w:r w:rsidR="00833701" w:rsidRPr="00037EC6">
        <w:rPr>
          <w:rFonts w:asciiTheme="majorHAnsi" w:hAnsiTheme="majorHAnsi"/>
          <w:sz w:val="20"/>
          <w:szCs w:val="20"/>
          <w:lang w:val="es-AR"/>
        </w:rPr>
        <w:t>que,</w:t>
      </w:r>
      <w:r w:rsidRPr="00037EC6">
        <w:rPr>
          <w:rFonts w:asciiTheme="majorHAnsi" w:hAnsiTheme="majorHAnsi"/>
          <w:sz w:val="20"/>
          <w:szCs w:val="20"/>
          <w:lang w:val="es-AR"/>
        </w:rPr>
        <w:t xml:space="preserve"> en el proceso especial de Justicia y Paz, la Fiscalía General de la Nación informó que</w:t>
      </w:r>
      <w:r w:rsidR="00F833C7" w:rsidRPr="00037EC6">
        <w:rPr>
          <w:rFonts w:asciiTheme="majorHAnsi" w:hAnsiTheme="majorHAnsi"/>
          <w:sz w:val="20"/>
          <w:szCs w:val="20"/>
          <w:lang w:val="es-AR"/>
        </w:rPr>
        <w:t>,</w:t>
      </w:r>
      <w:r w:rsidRPr="00037EC6">
        <w:rPr>
          <w:rFonts w:asciiTheme="majorHAnsi" w:hAnsiTheme="majorHAnsi"/>
          <w:sz w:val="20"/>
          <w:szCs w:val="20"/>
          <w:lang w:val="es-AR"/>
        </w:rPr>
        <w:t xml:space="preserve"> después de realizar un análisis de los hechos mencionados por diecinueve procesados</w:t>
      </w:r>
      <w:r w:rsidR="00F833C7" w:rsidRPr="00037EC6">
        <w:rPr>
          <w:rFonts w:asciiTheme="majorHAnsi" w:hAnsiTheme="majorHAnsi"/>
          <w:sz w:val="20"/>
          <w:szCs w:val="20"/>
          <w:lang w:val="es-AR"/>
        </w:rPr>
        <w:t xml:space="preserve"> pertenecientes al citado frente “Pivijay”</w:t>
      </w:r>
      <w:r w:rsidRPr="00037EC6">
        <w:rPr>
          <w:rFonts w:asciiTheme="majorHAnsi" w:hAnsiTheme="majorHAnsi"/>
          <w:sz w:val="20"/>
          <w:szCs w:val="20"/>
          <w:lang w:val="es-AR"/>
        </w:rPr>
        <w:t xml:space="preserve"> </w:t>
      </w:r>
      <w:r w:rsidR="00F833C7" w:rsidRPr="00037EC6">
        <w:rPr>
          <w:rFonts w:asciiTheme="majorHAnsi" w:hAnsiTheme="majorHAnsi"/>
          <w:sz w:val="20"/>
          <w:szCs w:val="20"/>
          <w:lang w:val="es-AR"/>
        </w:rPr>
        <w:t>bajo</w:t>
      </w:r>
      <w:r w:rsidRPr="00037EC6">
        <w:rPr>
          <w:rFonts w:asciiTheme="majorHAnsi" w:hAnsiTheme="majorHAnsi"/>
          <w:sz w:val="20"/>
          <w:szCs w:val="20"/>
          <w:lang w:val="es-AR"/>
        </w:rPr>
        <w:t xml:space="preserve"> la Ley 975 de 2005, encontró cinco hechos de desaparición forzada, un daño en bien ajeno, veintinueve homicidios, 131 situaciones de desplazamiento forzado y quince hurtos</w:t>
      </w:r>
      <w:r w:rsidR="00A91BA4">
        <w:rPr>
          <w:rFonts w:asciiTheme="majorHAnsi" w:hAnsiTheme="majorHAnsi"/>
          <w:sz w:val="20"/>
          <w:szCs w:val="20"/>
          <w:lang w:val="es-AR"/>
        </w:rPr>
        <w:t>.</w:t>
      </w:r>
    </w:p>
    <w:p w14:paraId="6CFCD0B4" w14:textId="47634274" w:rsidR="000E51C6" w:rsidRPr="00037EC6" w:rsidRDefault="000E51C6">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Finalmente, aclara que la falta de una decisión final en este caso se debe, particularmente, a la complejidad de los hechos, a la multiplicidad de sujetos investigados y a la difícil situación de orden público que se vivía en la zona al momento de la ocurrencia de los hechos. En esa línea, sostiene que la recolección probatoria ha sido particularmente compleja dado que es una zona de difícil acceso y que ha sido </w:t>
      </w:r>
      <w:r w:rsidR="0012133A" w:rsidRPr="00037EC6">
        <w:rPr>
          <w:rFonts w:asciiTheme="majorHAnsi" w:hAnsiTheme="majorHAnsi"/>
          <w:sz w:val="20"/>
          <w:szCs w:val="20"/>
          <w:lang w:val="es-AR"/>
        </w:rPr>
        <w:t>problemático</w:t>
      </w:r>
      <w:r w:rsidRPr="00037EC6">
        <w:rPr>
          <w:rFonts w:asciiTheme="majorHAnsi" w:hAnsiTheme="majorHAnsi"/>
          <w:sz w:val="20"/>
          <w:szCs w:val="20"/>
          <w:lang w:val="es-AR"/>
        </w:rPr>
        <w:t xml:space="preserve"> el proceso de recolección de evidencia y testimonios debido al temor de las víctimas a represalias por parte de grupos armados. </w:t>
      </w:r>
      <w:r w:rsidR="00245B9A" w:rsidRPr="00037EC6">
        <w:rPr>
          <w:rFonts w:asciiTheme="majorHAnsi" w:hAnsiTheme="majorHAnsi"/>
          <w:sz w:val="20"/>
          <w:szCs w:val="20"/>
          <w:lang w:val="es-AR"/>
        </w:rPr>
        <w:t>En consecuencia, el Estado considera que no ha habido una dilación injustificada del proceso y por lo tanto no se configura</w:t>
      </w:r>
      <w:r w:rsidR="00D53782" w:rsidRPr="00037EC6">
        <w:rPr>
          <w:rFonts w:asciiTheme="majorHAnsi" w:hAnsiTheme="majorHAnsi"/>
          <w:sz w:val="20"/>
          <w:szCs w:val="20"/>
          <w:lang w:val="es-AR"/>
        </w:rPr>
        <w:t>ría</w:t>
      </w:r>
      <w:r w:rsidR="00245B9A" w:rsidRPr="00037EC6">
        <w:rPr>
          <w:rFonts w:asciiTheme="majorHAnsi" w:hAnsiTheme="majorHAnsi"/>
          <w:sz w:val="20"/>
          <w:szCs w:val="20"/>
          <w:lang w:val="es-AR"/>
        </w:rPr>
        <w:t xml:space="preserve"> la excepción a la regla del previo agotamiento de los recursos internos estipulada en el artículo 46.2.c) de la Convención Americana. </w:t>
      </w:r>
    </w:p>
    <w:p w14:paraId="761378EC" w14:textId="0296B1E4" w:rsidR="003922AE" w:rsidRPr="00037EC6" w:rsidRDefault="003922AE">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Por otro lado, respecto a las pretensiones indemnizatorias, refiere que la parte peticionaria no agotó el proceso de reparación directa, el cual es el mecanismo idóneo para obtener una indemnización por daño materiales e inmateriales sufridos como consecuencia del accionar o la omisión de agentes estatales.</w:t>
      </w:r>
      <w:r w:rsidR="00521475" w:rsidRPr="00037EC6">
        <w:rPr>
          <w:rFonts w:asciiTheme="majorHAnsi" w:hAnsiTheme="majorHAnsi"/>
          <w:sz w:val="20"/>
          <w:szCs w:val="20"/>
          <w:lang w:val="es-AR"/>
        </w:rPr>
        <w:t xml:space="preserve"> Destaca que no</w:t>
      </w:r>
      <w:r w:rsidR="001C0053" w:rsidRPr="00037EC6">
        <w:rPr>
          <w:rFonts w:asciiTheme="majorHAnsi" w:hAnsiTheme="majorHAnsi"/>
          <w:sz w:val="20"/>
          <w:szCs w:val="20"/>
          <w:lang w:val="es-AR"/>
        </w:rPr>
        <w:t xml:space="preserve"> se</w:t>
      </w:r>
      <w:r w:rsidR="00521475" w:rsidRPr="00037EC6">
        <w:rPr>
          <w:rFonts w:asciiTheme="majorHAnsi" w:hAnsiTheme="majorHAnsi"/>
          <w:sz w:val="20"/>
          <w:szCs w:val="20"/>
          <w:lang w:val="es-AR"/>
        </w:rPr>
        <w:t xml:space="preserve"> ha impedido el acceso a dicho recurso</w:t>
      </w:r>
      <w:r w:rsidR="001C0053" w:rsidRPr="00037EC6">
        <w:rPr>
          <w:rFonts w:asciiTheme="majorHAnsi" w:hAnsiTheme="majorHAnsi"/>
          <w:sz w:val="20"/>
          <w:szCs w:val="20"/>
          <w:lang w:val="es-AR"/>
        </w:rPr>
        <w:t>;</w:t>
      </w:r>
      <w:r w:rsidR="00521475" w:rsidRPr="00037EC6">
        <w:rPr>
          <w:rFonts w:asciiTheme="majorHAnsi" w:hAnsiTheme="majorHAnsi"/>
          <w:sz w:val="20"/>
          <w:szCs w:val="20"/>
          <w:lang w:val="es-AR"/>
        </w:rPr>
        <w:t xml:space="preserve"> </w:t>
      </w:r>
      <w:r w:rsidR="001C0053" w:rsidRPr="00037EC6">
        <w:rPr>
          <w:rFonts w:asciiTheme="majorHAnsi" w:hAnsiTheme="majorHAnsi"/>
          <w:sz w:val="20"/>
          <w:szCs w:val="20"/>
          <w:lang w:val="es-AR"/>
        </w:rPr>
        <w:t xml:space="preserve">sino </w:t>
      </w:r>
      <w:r w:rsidR="00833701" w:rsidRPr="00037EC6">
        <w:rPr>
          <w:rFonts w:asciiTheme="majorHAnsi" w:hAnsiTheme="majorHAnsi"/>
          <w:sz w:val="20"/>
          <w:szCs w:val="20"/>
          <w:lang w:val="es-AR"/>
        </w:rPr>
        <w:t>que,</w:t>
      </w:r>
      <w:r w:rsidR="001C0053" w:rsidRPr="00037EC6">
        <w:rPr>
          <w:rFonts w:asciiTheme="majorHAnsi" w:hAnsiTheme="majorHAnsi"/>
          <w:sz w:val="20"/>
          <w:szCs w:val="20"/>
          <w:lang w:val="es-AR"/>
        </w:rPr>
        <w:t xml:space="preserve"> </w:t>
      </w:r>
      <w:r w:rsidR="00521475" w:rsidRPr="00037EC6">
        <w:rPr>
          <w:rFonts w:asciiTheme="majorHAnsi" w:hAnsiTheme="majorHAnsi"/>
          <w:sz w:val="20"/>
          <w:szCs w:val="20"/>
          <w:lang w:val="es-AR"/>
        </w:rPr>
        <w:t>por el contrario, este se trata un medio disponible que cuenta con accesibilidad para cualquier ciudadano que sea lesionado o afectado y que busque una reparación del Estado. Por ende, estima que la petición debe ser declarada inadmisible por no cumplir con el artículo 46.1.a) de la Convención.</w:t>
      </w:r>
    </w:p>
    <w:p w14:paraId="52BA4EB6" w14:textId="1054AE47" w:rsidR="00C2052E" w:rsidRPr="00037EC6" w:rsidRDefault="00521475">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AR"/>
        </w:rPr>
        <w:t xml:space="preserve">Finalmente, refiere que algunas presuntas víctimas tampoco interpusieron acción de tutela para cuestionar la </w:t>
      </w:r>
      <w:r w:rsidR="004151E7" w:rsidRPr="00037EC6">
        <w:rPr>
          <w:rFonts w:asciiTheme="majorHAnsi" w:hAnsiTheme="majorHAnsi"/>
          <w:sz w:val="20"/>
          <w:szCs w:val="20"/>
          <w:lang w:val="es-AR"/>
        </w:rPr>
        <w:t>falta</w:t>
      </w:r>
      <w:r w:rsidR="0012133A" w:rsidRPr="00037EC6">
        <w:rPr>
          <w:rFonts w:asciiTheme="majorHAnsi" w:hAnsiTheme="majorHAnsi"/>
          <w:sz w:val="20"/>
          <w:szCs w:val="20"/>
          <w:lang w:val="es-AR"/>
        </w:rPr>
        <w:t xml:space="preserve"> de</w:t>
      </w:r>
      <w:r w:rsidR="004151E7" w:rsidRPr="00037EC6">
        <w:rPr>
          <w:rFonts w:asciiTheme="majorHAnsi" w:hAnsiTheme="majorHAnsi"/>
          <w:sz w:val="20"/>
          <w:szCs w:val="20"/>
          <w:lang w:val="es-AR"/>
        </w:rPr>
        <w:t xml:space="preserve"> </w:t>
      </w:r>
      <w:r w:rsidRPr="00037EC6">
        <w:rPr>
          <w:rFonts w:asciiTheme="majorHAnsi" w:hAnsiTheme="majorHAnsi"/>
          <w:sz w:val="20"/>
          <w:szCs w:val="20"/>
          <w:lang w:val="es-AR"/>
        </w:rPr>
        <w:t>entrega de la indemnización administrativa contemplada en la Ley de Víctimas 1448 de 2011. En tal sentido, reitera que las presuntas víctimas han tenido a su disposición un medio adecuado y seguro para canalizar su reclamo ante las autoridades jurisdiccionales</w:t>
      </w:r>
      <w:r w:rsidR="00224586" w:rsidRPr="00037EC6">
        <w:rPr>
          <w:rFonts w:asciiTheme="majorHAnsi" w:hAnsiTheme="majorHAnsi"/>
          <w:sz w:val="20"/>
          <w:szCs w:val="20"/>
          <w:lang w:val="es-AR"/>
        </w:rPr>
        <w:t>,</w:t>
      </w:r>
      <w:r w:rsidRPr="00037EC6">
        <w:rPr>
          <w:rFonts w:asciiTheme="majorHAnsi" w:hAnsiTheme="majorHAnsi"/>
          <w:sz w:val="20"/>
          <w:szCs w:val="20"/>
          <w:lang w:val="es-AR"/>
        </w:rPr>
        <w:t xml:space="preserve"> </w:t>
      </w:r>
      <w:r w:rsidR="00224586" w:rsidRPr="00037EC6">
        <w:rPr>
          <w:rFonts w:asciiTheme="majorHAnsi" w:hAnsiTheme="majorHAnsi"/>
          <w:sz w:val="20"/>
          <w:szCs w:val="20"/>
          <w:lang w:val="es-AR"/>
        </w:rPr>
        <w:t>pero</w:t>
      </w:r>
      <w:r w:rsidRPr="00037EC6">
        <w:rPr>
          <w:rFonts w:asciiTheme="majorHAnsi" w:hAnsiTheme="majorHAnsi"/>
          <w:sz w:val="20"/>
          <w:szCs w:val="20"/>
          <w:lang w:val="es-AR"/>
        </w:rPr>
        <w:t xml:space="preserve"> optaron por no utilizarlo. En sentido similar, arguye que la parte peticionaria tampoco ha canalizado sus reclamos respecto a</w:t>
      </w:r>
      <w:r w:rsidR="002170EF" w:rsidRPr="00037EC6">
        <w:rPr>
          <w:rFonts w:asciiTheme="majorHAnsi" w:hAnsiTheme="majorHAnsi"/>
          <w:sz w:val="20"/>
          <w:szCs w:val="20"/>
          <w:lang w:val="es-AR"/>
        </w:rPr>
        <w:t xml:space="preserve"> la normativa referida al pago de indemnizaciones a víctimas del conflicto armado interno </w:t>
      </w:r>
      <w:r w:rsidRPr="00037EC6">
        <w:rPr>
          <w:rFonts w:asciiTheme="majorHAnsi" w:hAnsiTheme="majorHAnsi"/>
          <w:sz w:val="20"/>
          <w:szCs w:val="20"/>
          <w:lang w:val="es-AR"/>
        </w:rPr>
        <w:t xml:space="preserve">en la vía </w:t>
      </w:r>
      <w:r w:rsidR="00C34C52" w:rsidRPr="00037EC6">
        <w:rPr>
          <w:rFonts w:asciiTheme="majorHAnsi" w:hAnsiTheme="majorHAnsi"/>
          <w:sz w:val="20"/>
          <w:szCs w:val="20"/>
          <w:lang w:val="es-AR"/>
        </w:rPr>
        <w:t>contencioso-administrativa</w:t>
      </w:r>
      <w:r w:rsidRPr="00037EC6">
        <w:rPr>
          <w:rFonts w:asciiTheme="majorHAnsi" w:hAnsiTheme="majorHAnsi"/>
          <w:sz w:val="20"/>
          <w:szCs w:val="20"/>
          <w:lang w:val="es-AR"/>
        </w:rPr>
        <w:t xml:space="preserve"> mediante un recurso de revisión o nulidad</w:t>
      </w:r>
      <w:r w:rsidR="00C34C52" w:rsidRPr="00037EC6">
        <w:rPr>
          <w:rFonts w:asciiTheme="majorHAnsi" w:hAnsiTheme="majorHAnsi"/>
          <w:sz w:val="20"/>
          <w:szCs w:val="20"/>
          <w:lang w:val="es-AR"/>
        </w:rPr>
        <w:t xml:space="preserve">, o en la jurisdicción constitucional mediante una </w:t>
      </w:r>
      <w:r w:rsidR="00C34C52" w:rsidRPr="00037EC6">
        <w:rPr>
          <w:rFonts w:asciiTheme="majorHAnsi" w:hAnsiTheme="majorHAnsi"/>
          <w:sz w:val="20"/>
          <w:szCs w:val="20"/>
          <w:lang w:val="es-AR"/>
        </w:rPr>
        <w:lastRenderedPageBreak/>
        <w:t xml:space="preserve">acción pública de inconstitucionalidad. Por las citadas razones, reitera que el presente asunto debe ser declarado inadmisible por falta de agotamiento de la jurisdicción nacional. </w:t>
      </w:r>
    </w:p>
    <w:p w14:paraId="212D534E" w14:textId="0B36FE23" w:rsidR="00C2052E" w:rsidRPr="00037EC6" w:rsidRDefault="00C2052E" w:rsidP="00C2052E">
      <w:pPr>
        <w:pStyle w:val="ListParagraph"/>
        <w:spacing w:before="240" w:after="240"/>
        <w:jc w:val="both"/>
        <w:rPr>
          <w:rFonts w:asciiTheme="majorHAnsi" w:hAnsiTheme="majorHAnsi"/>
          <w:sz w:val="20"/>
          <w:szCs w:val="20"/>
          <w:lang w:val="es-UY"/>
        </w:rPr>
      </w:pPr>
      <w:r w:rsidRPr="00037EC6">
        <w:rPr>
          <w:rFonts w:asciiTheme="majorHAnsi" w:hAnsiTheme="majorHAnsi"/>
          <w:b/>
          <w:bCs/>
          <w:sz w:val="20"/>
          <w:szCs w:val="20"/>
          <w:lang w:val="es-ES"/>
        </w:rPr>
        <w:t>VI.</w:t>
      </w:r>
      <w:r w:rsidRPr="00037EC6">
        <w:rPr>
          <w:rFonts w:asciiTheme="majorHAnsi" w:hAnsiTheme="majorHAnsi"/>
          <w:b/>
          <w:bCs/>
          <w:sz w:val="20"/>
          <w:szCs w:val="20"/>
          <w:lang w:val="es-ES"/>
        </w:rPr>
        <w:tab/>
      </w:r>
      <w:r w:rsidRPr="00037EC6">
        <w:rPr>
          <w:rFonts w:asciiTheme="majorHAnsi" w:hAnsiTheme="majorHAnsi"/>
          <w:b/>
          <w:bCs/>
          <w:sz w:val="20"/>
          <w:szCs w:val="20"/>
          <w:lang w:val="es-ES_tradnl"/>
        </w:rPr>
        <w:t xml:space="preserve">ANÁLISIS DE </w:t>
      </w:r>
      <w:r w:rsidRPr="00037EC6">
        <w:rPr>
          <w:rFonts w:asciiTheme="majorHAnsi" w:hAnsiTheme="majorHAnsi"/>
          <w:b/>
          <w:sz w:val="20"/>
          <w:szCs w:val="20"/>
          <w:lang w:val="es-ES"/>
        </w:rPr>
        <w:t>AGOTAMIENTO DE LOS RECURSOS INTERNOS Y PLAZO DE PRESENTACIÓN</w:t>
      </w:r>
      <w:r w:rsidRPr="00037EC6">
        <w:rPr>
          <w:rFonts w:asciiTheme="majorHAnsi" w:hAnsiTheme="majorHAnsi"/>
          <w:b/>
          <w:bCs/>
          <w:sz w:val="20"/>
          <w:szCs w:val="20"/>
          <w:lang w:val="es-ES"/>
        </w:rPr>
        <w:t xml:space="preserve"> </w:t>
      </w:r>
    </w:p>
    <w:p w14:paraId="1554C361" w14:textId="77777777" w:rsidR="00C2052E" w:rsidRPr="00037EC6" w:rsidRDefault="00817374">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ES_tradnl"/>
        </w:rPr>
        <w:t xml:space="preserve">La Comisión recuerda que toda vez que se cometa un delito perseguible de oficio, </w:t>
      </w:r>
      <w:r w:rsidR="00C2427B" w:rsidRPr="00037EC6">
        <w:rPr>
          <w:rFonts w:asciiTheme="majorHAnsi" w:hAnsiTheme="majorHAnsi"/>
          <w:sz w:val="20"/>
          <w:szCs w:val="20"/>
          <w:lang w:val="es-ES_tradnl"/>
        </w:rPr>
        <w:t>como</w:t>
      </w:r>
      <w:r w:rsidR="00291FBA" w:rsidRPr="00037EC6">
        <w:rPr>
          <w:rFonts w:asciiTheme="majorHAnsi" w:hAnsiTheme="majorHAnsi"/>
          <w:sz w:val="20"/>
          <w:szCs w:val="20"/>
          <w:lang w:val="es-ES_tradnl"/>
        </w:rPr>
        <w:t xml:space="preserve">, por ejemplo, </w:t>
      </w:r>
      <w:r w:rsidR="00C2427B" w:rsidRPr="00037EC6">
        <w:rPr>
          <w:rFonts w:asciiTheme="majorHAnsi" w:hAnsiTheme="majorHAnsi"/>
          <w:sz w:val="20"/>
          <w:szCs w:val="20"/>
          <w:lang w:val="es-ES_tradnl"/>
        </w:rPr>
        <w:t>homicidios, secuestros o desplazamientos forzados</w:t>
      </w:r>
      <w:r w:rsidRPr="00037EC6">
        <w:rPr>
          <w:rFonts w:asciiTheme="majorHAnsi" w:hAnsiTheme="majorHAnsi"/>
          <w:sz w:val="20"/>
          <w:szCs w:val="20"/>
          <w:lang w:val="es-ES_tradnl"/>
        </w:rPr>
        <w:t>, el Estado tiene la obligación de promover e impulsar el proceso penal, el cual constituye la vía idónea para esclarecer los hechos, juzgar a los responsables y establecer las sanciones penales correspondientes, además de posibilitar otros modos de reparación de tipo pecuniario</w:t>
      </w:r>
      <w:r w:rsidRPr="00037EC6">
        <w:rPr>
          <w:rStyle w:val="FootnoteReference"/>
          <w:rFonts w:asciiTheme="majorHAnsi" w:hAnsiTheme="majorHAnsi"/>
          <w:sz w:val="20"/>
          <w:szCs w:val="20"/>
          <w:lang w:val="es-ES_tradnl"/>
        </w:rPr>
        <w:footnoteReference w:id="7"/>
      </w:r>
      <w:r w:rsidRPr="00037EC6">
        <w:rPr>
          <w:rFonts w:asciiTheme="majorHAnsi" w:hAnsiTheme="majorHAnsi"/>
          <w:sz w:val="20"/>
          <w:szCs w:val="20"/>
          <w:lang w:val="es-ES_tradnl"/>
        </w:rPr>
        <w:t xml:space="preserve">. </w:t>
      </w:r>
      <w:r w:rsidRPr="00037EC6">
        <w:rPr>
          <w:rFonts w:asciiTheme="majorHAnsi" w:hAnsiTheme="majorHAnsi"/>
          <w:bCs/>
          <w:sz w:val="20"/>
          <w:szCs w:val="20"/>
          <w:lang w:val="es-ES_tradnl"/>
        </w:rPr>
        <w:t xml:space="preserve">En consonancia, la CIDH reitera </w:t>
      </w:r>
      <w:r w:rsidRPr="00037EC6">
        <w:rPr>
          <w:rFonts w:asciiTheme="majorHAnsi" w:hAnsiTheme="majorHAnsi"/>
          <w:sz w:val="20"/>
          <w:szCs w:val="20"/>
          <w:lang w:val="es-ES_tradnl"/>
        </w:rPr>
        <w:t>que, a efectos de determinar la admisibilidad de un reclamo como el presente, la acción de reparación directa no constituye la vía idónea ni resulta necesario su agotamiento, dado que la misma no es adecuada para proporcionar una reparación integral y justicia a los familiares</w:t>
      </w:r>
      <w:r w:rsidRPr="00037EC6">
        <w:rPr>
          <w:rStyle w:val="FootnoteReference"/>
          <w:rFonts w:asciiTheme="majorHAnsi" w:hAnsiTheme="majorHAnsi"/>
          <w:sz w:val="20"/>
          <w:szCs w:val="20"/>
          <w:lang w:val="es-ES_tradnl"/>
        </w:rPr>
        <w:footnoteReference w:id="8"/>
      </w:r>
      <w:r w:rsidRPr="00037EC6">
        <w:rPr>
          <w:rFonts w:asciiTheme="majorHAnsi" w:hAnsiTheme="majorHAnsi"/>
          <w:sz w:val="20"/>
          <w:szCs w:val="20"/>
          <w:lang w:val="es-ES_tradnl"/>
        </w:rPr>
        <w:t>.</w:t>
      </w:r>
    </w:p>
    <w:p w14:paraId="1DB6732E" w14:textId="52D3C4B4" w:rsidR="00817374" w:rsidRPr="00037EC6" w:rsidRDefault="00817374">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AR"/>
        </w:rPr>
      </w:pPr>
      <w:r w:rsidRPr="00037EC6">
        <w:rPr>
          <w:rFonts w:asciiTheme="majorHAnsi" w:hAnsiTheme="majorHAnsi"/>
          <w:sz w:val="20"/>
          <w:szCs w:val="20"/>
          <w:lang w:val="es-ES_tradnl"/>
        </w:rPr>
        <w:t>En el presente caso</w:t>
      </w:r>
      <w:r w:rsidR="002170EF" w:rsidRPr="00037EC6">
        <w:rPr>
          <w:rFonts w:asciiTheme="majorHAnsi" w:hAnsiTheme="majorHAnsi"/>
          <w:sz w:val="20"/>
          <w:szCs w:val="20"/>
          <w:lang w:val="es-ES_tradnl"/>
        </w:rPr>
        <w:t xml:space="preserve">, la Comisión observa que, conforme a lo </w:t>
      </w:r>
      <w:r w:rsidR="00C2427B" w:rsidRPr="00037EC6">
        <w:rPr>
          <w:rFonts w:asciiTheme="majorHAnsi" w:hAnsiTheme="majorHAnsi"/>
          <w:sz w:val="20"/>
          <w:szCs w:val="20"/>
          <w:lang w:val="es-ES_tradnl"/>
        </w:rPr>
        <w:t>informado por el Estado, existen a la fecha al menos</w:t>
      </w:r>
      <w:r w:rsidR="00291FBA" w:rsidRPr="00037EC6">
        <w:rPr>
          <w:rFonts w:asciiTheme="majorHAnsi" w:hAnsiTheme="majorHAnsi"/>
          <w:sz w:val="20"/>
          <w:szCs w:val="20"/>
          <w:lang w:val="es-ES_tradnl"/>
        </w:rPr>
        <w:t xml:space="preserve"> tres</w:t>
      </w:r>
      <w:r w:rsidR="00C2427B" w:rsidRPr="00037EC6">
        <w:rPr>
          <w:rFonts w:asciiTheme="majorHAnsi" w:hAnsiTheme="majorHAnsi"/>
          <w:sz w:val="20"/>
          <w:szCs w:val="20"/>
          <w:lang w:val="es-ES_tradnl"/>
        </w:rPr>
        <w:t xml:space="preserve"> investigaciones destinadas a esclarecer y sancionar a los responsables de los crímenes denunciados en la presente petición, sin que </w:t>
      </w:r>
      <w:r w:rsidR="00E951BF" w:rsidRPr="00037EC6">
        <w:rPr>
          <w:rFonts w:asciiTheme="majorHAnsi" w:hAnsiTheme="majorHAnsi"/>
          <w:sz w:val="20"/>
          <w:szCs w:val="20"/>
          <w:lang w:val="es-ES_tradnl"/>
        </w:rPr>
        <w:t>actualmente</w:t>
      </w:r>
      <w:r w:rsidR="00C2427B" w:rsidRPr="00037EC6">
        <w:rPr>
          <w:rFonts w:asciiTheme="majorHAnsi" w:hAnsiTheme="majorHAnsi"/>
          <w:sz w:val="20"/>
          <w:szCs w:val="20"/>
          <w:lang w:val="es-ES_tradnl"/>
        </w:rPr>
        <w:t xml:space="preserve"> exista una decisión firme</w:t>
      </w:r>
      <w:r w:rsidRPr="00037EC6">
        <w:rPr>
          <w:rFonts w:asciiTheme="majorHAnsi" w:hAnsiTheme="majorHAnsi"/>
          <w:sz w:val="20"/>
          <w:szCs w:val="20"/>
          <w:lang w:val="es-ES_tradnl"/>
        </w:rPr>
        <w:t xml:space="preserve">. </w:t>
      </w:r>
      <w:r w:rsidRPr="00037EC6">
        <w:rPr>
          <w:rFonts w:asciiTheme="majorHAnsi" w:hAnsiTheme="majorHAnsi"/>
          <w:bCs/>
          <w:sz w:val="20"/>
          <w:szCs w:val="20"/>
          <w:lang w:val="es-ES_tradnl"/>
        </w:rPr>
        <w:t>En consecuencia, corresponde a la CIDH determinar si esta demora en adoptar una decisión puede configurar la excepción prevista en el artículo 46.2.c) de la Convención.</w:t>
      </w:r>
    </w:p>
    <w:p w14:paraId="64FF3A37" w14:textId="2F833C82" w:rsidR="00C2427B" w:rsidRPr="00037EC6" w:rsidRDefault="00C2427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bCs/>
          <w:sz w:val="20"/>
          <w:szCs w:val="20"/>
          <w:lang w:val="es-ES_tradnl"/>
        </w:rPr>
        <w:t>Al respecto, l</w:t>
      </w:r>
      <w:r w:rsidR="00817374" w:rsidRPr="00037EC6">
        <w:rPr>
          <w:rFonts w:asciiTheme="majorHAnsi" w:hAnsiTheme="majorHAnsi"/>
          <w:bCs/>
          <w:sz w:val="20"/>
          <w:szCs w:val="20"/>
          <w:lang w:val="es-ES_tradnl"/>
        </w:rPr>
        <w:t xml:space="preserve">a Comisión recuerda que </w:t>
      </w:r>
      <w:r w:rsidR="00817374" w:rsidRPr="00037EC6">
        <w:rPr>
          <w:rFonts w:asciiTheme="majorHAnsi" w:hAnsiTheme="majorHAnsi" w:cs="Calibri"/>
          <w:color w:val="242424"/>
          <w:sz w:val="20"/>
          <w:szCs w:val="20"/>
          <w:lang w:val="es-ES_tradnl"/>
        </w:rPr>
        <w:t>el artículo 46.2 de la Convención, por su naturaleza y objeto, es una norma con contenido autónomo frente a las normas sustantivas de la Convención Americana. Por lo tanto, la determinación de si las excepciones a la regla de agotamiento de los recursos internos resultan aplicables al caso en cuestión debe llevarse a cabo de manera previa y separada del análisis del fondo del asunto, ya que depende de un estándar de apreciación distinto de aquél utilizado para determinar la posible violación de los artículos 8 y 25 de la Convención. La CIDH también ha subrayado que no existen disposiciones convencionales o reglamentarias que regulen de modo específico el lapso que constituye retardo injustificado, por lo cual la Comisión evalúa caso por caso para determinar si se configura dicho retardo</w:t>
      </w:r>
      <w:r w:rsidR="00817374" w:rsidRPr="00037EC6">
        <w:rPr>
          <w:rStyle w:val="FootnoteReference"/>
          <w:rFonts w:asciiTheme="majorHAnsi" w:hAnsiTheme="majorHAnsi" w:cs="Calibri"/>
          <w:color w:val="242424"/>
          <w:sz w:val="20"/>
          <w:szCs w:val="20"/>
          <w:lang w:val="es-ES_tradnl"/>
        </w:rPr>
        <w:footnoteReference w:id="9"/>
      </w:r>
      <w:r w:rsidR="00817374" w:rsidRPr="00037EC6">
        <w:rPr>
          <w:rFonts w:asciiTheme="majorHAnsi" w:hAnsiTheme="majorHAnsi" w:cs="Calibri"/>
          <w:color w:val="242424"/>
          <w:sz w:val="20"/>
          <w:szCs w:val="20"/>
          <w:lang w:val="es-ES_tradnl"/>
        </w:rPr>
        <w:t>. En esta línea, la Corte Interamericana ha establecido como principio rector del análisis del eventual retardo injustificado como excepción a la regla del agotamiento de los recursos internos, que “</w:t>
      </w:r>
      <w:r w:rsidR="00817374" w:rsidRPr="00037EC6">
        <w:rPr>
          <w:rFonts w:asciiTheme="majorHAnsi" w:hAnsiTheme="majorHAnsi" w:cs="Calibri"/>
          <w:i/>
          <w:iCs/>
          <w:color w:val="242424"/>
          <w:sz w:val="20"/>
          <w:szCs w:val="20"/>
          <w:lang w:val="es-ES_tradnl"/>
        </w:rPr>
        <w:t>de ninguna manera la regla del previo agotamiento debe conducir a que se detenga o se demore hasta la inutilidad la actuación internacional en auxilio de la víctima indefensa</w:t>
      </w:r>
      <w:r w:rsidR="00817374" w:rsidRPr="00037EC6">
        <w:rPr>
          <w:rFonts w:asciiTheme="majorHAnsi" w:hAnsiTheme="majorHAnsi" w:cs="Calibri"/>
          <w:color w:val="242424"/>
          <w:sz w:val="20"/>
          <w:szCs w:val="20"/>
          <w:lang w:val="es-ES_tradnl"/>
        </w:rPr>
        <w:t>”</w:t>
      </w:r>
      <w:r w:rsidR="00DE3C5C" w:rsidRPr="00037EC6">
        <w:rPr>
          <w:rStyle w:val="FootnoteReference"/>
          <w:rFonts w:asciiTheme="majorHAnsi" w:hAnsiTheme="majorHAnsi"/>
          <w:sz w:val="20"/>
          <w:szCs w:val="20"/>
          <w:lang w:val="es-ES"/>
        </w:rPr>
        <w:footnoteReference w:id="10"/>
      </w:r>
      <w:r w:rsidR="00817374" w:rsidRPr="00037EC6">
        <w:rPr>
          <w:rFonts w:asciiTheme="majorHAnsi" w:hAnsiTheme="majorHAnsi" w:cs="Calibri"/>
          <w:color w:val="242424"/>
          <w:sz w:val="20"/>
          <w:szCs w:val="20"/>
          <w:lang w:val="es-ES_tradnl"/>
        </w:rPr>
        <w:t>. Es decir, a juicio de la Comisión, la naturaleza complementaria de la protección internacional prevista en la Convención Americana implica también que la intervención de los órganos del Sistema Interamericano sea oportuna para que esta pueda tener algún tipo de efecto útil en la protección de los derechos de las presuntas víctimas</w:t>
      </w:r>
      <w:r w:rsidRPr="00037EC6">
        <w:rPr>
          <w:rFonts w:asciiTheme="majorHAnsi" w:hAnsiTheme="majorHAnsi" w:cs="Calibri"/>
          <w:color w:val="242424"/>
          <w:sz w:val="20"/>
          <w:szCs w:val="20"/>
          <w:lang w:val="es-ES_tradnl"/>
        </w:rPr>
        <w:t>.</w:t>
      </w:r>
    </w:p>
    <w:p w14:paraId="40B015E2" w14:textId="2C94D31D" w:rsidR="00C2427B" w:rsidRPr="00037EC6" w:rsidRDefault="00C2427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bCs/>
          <w:sz w:val="20"/>
          <w:szCs w:val="20"/>
          <w:lang w:val="es-ES_tradnl"/>
        </w:rPr>
        <w:t xml:space="preserve">Así, </w:t>
      </w:r>
      <w:r w:rsidRPr="00037EC6">
        <w:rPr>
          <w:rFonts w:asciiTheme="majorHAnsi" w:hAnsiTheme="majorHAnsi"/>
          <w:sz w:val="20"/>
          <w:szCs w:val="20"/>
          <w:lang w:val="es-ES_tradnl"/>
        </w:rPr>
        <w:t xml:space="preserve">la Comisión </w:t>
      </w:r>
      <w:r w:rsidR="003A3D75" w:rsidRPr="00037EC6">
        <w:rPr>
          <w:rFonts w:asciiTheme="majorHAnsi" w:hAnsiTheme="majorHAnsi"/>
          <w:sz w:val="20"/>
          <w:szCs w:val="20"/>
          <w:lang w:val="es-ES_tradnl"/>
        </w:rPr>
        <w:t>observa</w:t>
      </w:r>
      <w:r w:rsidRPr="00037EC6">
        <w:rPr>
          <w:rFonts w:asciiTheme="majorHAnsi" w:hAnsiTheme="majorHAnsi"/>
          <w:sz w:val="20"/>
          <w:szCs w:val="20"/>
          <w:lang w:val="es-ES_tradnl"/>
        </w:rPr>
        <w:t xml:space="preserve"> </w:t>
      </w:r>
      <w:r w:rsidR="00833701" w:rsidRPr="00037EC6">
        <w:rPr>
          <w:rFonts w:asciiTheme="majorHAnsi" w:hAnsiTheme="majorHAnsi"/>
          <w:sz w:val="20"/>
          <w:szCs w:val="20"/>
          <w:lang w:val="es-ES_tradnl"/>
        </w:rPr>
        <w:t>que,</w:t>
      </w:r>
      <w:r w:rsidRPr="00037EC6">
        <w:rPr>
          <w:rFonts w:asciiTheme="majorHAnsi" w:hAnsiTheme="majorHAnsi"/>
          <w:sz w:val="20"/>
          <w:szCs w:val="20"/>
          <w:lang w:val="es-ES_tradnl"/>
        </w:rPr>
        <w:t xml:space="preserve"> si bien las autoridades internas han realizado una serie de diligencias para </w:t>
      </w:r>
      <w:r w:rsidR="00291FBA" w:rsidRPr="00037EC6">
        <w:rPr>
          <w:rFonts w:asciiTheme="majorHAnsi" w:hAnsiTheme="majorHAnsi"/>
          <w:sz w:val="20"/>
          <w:szCs w:val="20"/>
          <w:lang w:val="es-ES_tradnl"/>
        </w:rPr>
        <w:t xml:space="preserve">identificar y </w:t>
      </w:r>
      <w:r w:rsidRPr="00037EC6">
        <w:rPr>
          <w:rFonts w:asciiTheme="majorHAnsi" w:hAnsiTheme="majorHAnsi"/>
          <w:sz w:val="20"/>
          <w:szCs w:val="20"/>
          <w:lang w:val="es-ES_tradnl"/>
        </w:rPr>
        <w:t>sancionar a los responsables, la documentación brindada no permite justificar, a efectos de determinar la admisibilidad del presente asunto, una demora de casi veintitrés años en la determinación de los responsables. En consecuencia,</w:t>
      </w:r>
      <w:r w:rsidRPr="00037EC6">
        <w:rPr>
          <w:rFonts w:asciiTheme="majorHAnsi" w:hAnsiTheme="majorHAnsi"/>
          <w:bCs/>
          <w:sz w:val="20"/>
          <w:szCs w:val="20"/>
          <w:lang w:val="es-ES_tradnl"/>
        </w:rPr>
        <w:t xml:space="preserve"> la Comisión considera pertinente aplicar en este caso la excepción establecida en el artículo 46.2.c) de la Convención Americana, </w:t>
      </w:r>
      <w:r w:rsidR="00291FBA" w:rsidRPr="00037EC6">
        <w:rPr>
          <w:rFonts w:asciiTheme="majorHAnsi" w:hAnsiTheme="majorHAnsi"/>
          <w:bCs/>
          <w:sz w:val="20"/>
          <w:szCs w:val="20"/>
          <w:lang w:val="es-ES_tradnl"/>
        </w:rPr>
        <w:t xml:space="preserve">a fin </w:t>
      </w:r>
      <w:r w:rsidRPr="00037EC6">
        <w:rPr>
          <w:rFonts w:asciiTheme="majorHAnsi" w:hAnsiTheme="majorHAnsi"/>
          <w:bCs/>
          <w:sz w:val="20"/>
          <w:szCs w:val="20"/>
          <w:lang w:val="es-ES_tradnl"/>
        </w:rPr>
        <w:t>de analizar con más detalle</w:t>
      </w:r>
      <w:r w:rsidR="00291FBA" w:rsidRPr="00037EC6">
        <w:rPr>
          <w:rFonts w:asciiTheme="majorHAnsi" w:hAnsiTheme="majorHAnsi"/>
          <w:bCs/>
          <w:sz w:val="20"/>
          <w:szCs w:val="20"/>
          <w:lang w:val="es-ES_tradnl"/>
        </w:rPr>
        <w:t xml:space="preserve"> en etapa de fondo</w:t>
      </w:r>
      <w:r w:rsidRPr="00037EC6">
        <w:rPr>
          <w:rFonts w:asciiTheme="majorHAnsi" w:hAnsiTheme="majorHAnsi"/>
          <w:bCs/>
          <w:sz w:val="20"/>
          <w:szCs w:val="20"/>
          <w:lang w:val="es-ES_tradnl"/>
        </w:rPr>
        <w:t xml:space="preserve"> los alegatos de la parte peticionaria a la luz de los artículos 8 y 25 de la Convención Americana.</w:t>
      </w:r>
    </w:p>
    <w:p w14:paraId="5064A8E4" w14:textId="26891ECD" w:rsidR="00C2427B" w:rsidRPr="00037EC6" w:rsidRDefault="00C2427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sz w:val="20"/>
          <w:szCs w:val="20"/>
          <w:lang w:val="es-ES"/>
        </w:rPr>
        <w:t xml:space="preserve">Con respecto al plazo de presentación, la Comisión observa que los hechos denunciados provocaron que las presuntas víctimas tuvieran que desplazarse a distintas zonas del país. Asimismo, como se mencionó previamente, resalta que las investigaciones internas aún se encuentran abiertas, por lo que al momento de presentación de la petición aún se habrían estado realizando distintas diligencias sobre este caso. En tal sentido, dado que las investigaciones aún se encuentran abiertas y tomando en consideración la situación </w:t>
      </w:r>
      <w:r w:rsidRPr="00037EC6">
        <w:rPr>
          <w:rFonts w:asciiTheme="majorHAnsi" w:hAnsiTheme="majorHAnsi"/>
          <w:sz w:val="20"/>
          <w:szCs w:val="20"/>
          <w:lang w:val="es-ES"/>
        </w:rPr>
        <w:lastRenderedPageBreak/>
        <w:t xml:space="preserve">particular de las presuntas víctimas, así como la magnitud de los hechos denunciados, la Comisión estima que el presente asunto se presentó en un plazo razonable, de conformidad con el artículo 32.2 de su Reglamento. </w:t>
      </w:r>
    </w:p>
    <w:p w14:paraId="2E2503AD" w14:textId="5BB620C4" w:rsidR="003E564B" w:rsidRPr="00037EC6" w:rsidRDefault="003E564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bCs/>
          <w:sz w:val="20"/>
          <w:szCs w:val="20"/>
          <w:lang w:val="es-ES_tradnl"/>
        </w:rPr>
        <w:t xml:space="preserve">Sin perjuicio de ello, la Comisión nota que, además de la falta de investigación, la presente petición también contiene argumentos orientados a cuestionar la falta de pago de una indemnización en favor de </w:t>
      </w:r>
      <w:r w:rsidR="00291FBA" w:rsidRPr="00037EC6">
        <w:rPr>
          <w:rFonts w:asciiTheme="majorHAnsi" w:hAnsiTheme="majorHAnsi"/>
          <w:bCs/>
          <w:sz w:val="20"/>
          <w:szCs w:val="20"/>
          <w:lang w:val="es-ES_tradnl"/>
        </w:rPr>
        <w:t>un conjunto de las</w:t>
      </w:r>
      <w:r w:rsidRPr="00037EC6">
        <w:rPr>
          <w:rFonts w:asciiTheme="majorHAnsi" w:hAnsiTheme="majorHAnsi"/>
          <w:bCs/>
          <w:sz w:val="20"/>
          <w:szCs w:val="20"/>
          <w:lang w:val="es-ES_tradnl"/>
        </w:rPr>
        <w:t xml:space="preserve"> presuntas víctimas, en su condición de personas desplazadas de manera forzosa. Así, la parte peticionaria </w:t>
      </w:r>
      <w:r w:rsidR="005B2D7F" w:rsidRPr="00037EC6">
        <w:rPr>
          <w:rFonts w:asciiTheme="majorHAnsi" w:hAnsiTheme="majorHAnsi"/>
          <w:bCs/>
          <w:sz w:val="20"/>
          <w:szCs w:val="20"/>
          <w:lang w:val="es-ES_tradnl"/>
        </w:rPr>
        <w:t>aduce</w:t>
      </w:r>
      <w:r w:rsidRPr="00037EC6">
        <w:rPr>
          <w:rFonts w:asciiTheme="majorHAnsi" w:hAnsiTheme="majorHAnsi"/>
          <w:bCs/>
          <w:sz w:val="20"/>
          <w:szCs w:val="20"/>
          <w:lang w:val="es-ES_tradnl"/>
        </w:rPr>
        <w:t xml:space="preserve"> que a pesar de que interpusieron una acción ejecutiva, </w:t>
      </w:r>
      <w:r w:rsidRPr="00037EC6">
        <w:rPr>
          <w:rFonts w:asciiTheme="majorHAnsi" w:hAnsiTheme="majorHAnsi"/>
          <w:sz w:val="20"/>
          <w:szCs w:val="20"/>
          <w:lang w:val="es-US"/>
        </w:rPr>
        <w:t xml:space="preserve">el 28 de febrero de 2017 la Sala de Seguimiento rechazó tal recurso. </w:t>
      </w:r>
      <w:r w:rsidR="00291FBA" w:rsidRPr="00037EC6">
        <w:rPr>
          <w:rFonts w:asciiTheme="majorHAnsi" w:hAnsiTheme="majorHAnsi"/>
          <w:sz w:val="20"/>
          <w:szCs w:val="20"/>
          <w:lang w:val="es-US"/>
        </w:rPr>
        <w:t>Sobre este punto</w:t>
      </w:r>
      <w:r w:rsidRPr="00037EC6">
        <w:rPr>
          <w:rFonts w:asciiTheme="majorHAnsi" w:hAnsiTheme="majorHAnsi"/>
          <w:sz w:val="20"/>
          <w:szCs w:val="20"/>
          <w:lang w:val="es-US"/>
        </w:rPr>
        <w:t xml:space="preserve">, el Estado replica que existe una falta de agotamiento de los recursos internos respecto de este extremo de la petición, ya que dichas personas debieron interponer una acción de tutela o una demanda en la vía contenciosa administrativa, a efectos de obtener una reparación. </w:t>
      </w:r>
    </w:p>
    <w:p w14:paraId="7A44B301" w14:textId="253B5734" w:rsidR="003E564B" w:rsidRPr="00037EC6" w:rsidRDefault="003E564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sz w:val="20"/>
          <w:szCs w:val="20"/>
          <w:lang w:val="es-ES"/>
        </w:rPr>
        <w:t xml:space="preserve">Al respecto, la Comisión recuerda </w:t>
      </w:r>
      <w:r w:rsidRPr="00037EC6">
        <w:rPr>
          <w:rFonts w:asciiTheme="majorHAnsi" w:hAnsiTheme="majorHAnsi"/>
          <w:sz w:val="20"/>
          <w:szCs w:val="20"/>
          <w:lang w:val="es-US"/>
        </w:rPr>
        <w:t>que el requisito de agotamiento de los recursos internos no implica que las presuntas víctimas tengan la obligación de agotar todos los recursos posibles a su disposición. En este sentido, la CIDH ha mantenido que si la presunta víctima planteó la cuestión por alguna de las alternativas válidas y adecuadas según el ordenamiento jurídico interno y el Estado tuvo la oportunidad de remediar la cuestión en su jurisdicción, la finalidad de la norma internacional está cumplida</w:t>
      </w:r>
      <w:r w:rsidRPr="00037EC6">
        <w:rPr>
          <w:rStyle w:val="FootnoteReference"/>
          <w:rFonts w:asciiTheme="majorHAnsi" w:hAnsiTheme="majorHAnsi"/>
          <w:sz w:val="20"/>
          <w:szCs w:val="20"/>
          <w:lang w:val="es-US"/>
        </w:rPr>
        <w:footnoteReference w:id="11"/>
      </w:r>
      <w:r w:rsidRPr="00037EC6">
        <w:rPr>
          <w:rFonts w:asciiTheme="majorHAnsi" w:hAnsiTheme="majorHAnsi"/>
          <w:sz w:val="20"/>
          <w:szCs w:val="20"/>
          <w:lang w:val="es-US"/>
        </w:rPr>
        <w:t xml:space="preserve">. En esa línea, la Comisión nota que, conforme a la información aportada por la parte peticionaria, </w:t>
      </w:r>
      <w:r w:rsidRPr="00037EC6">
        <w:rPr>
          <w:rFonts w:asciiTheme="majorHAnsi" w:hAnsiTheme="majorHAnsi"/>
          <w:sz w:val="20"/>
          <w:szCs w:val="20"/>
          <w:lang w:val="es-AR"/>
        </w:rPr>
        <w:t xml:space="preserve">el 30 de octubre de 2014 </w:t>
      </w:r>
      <w:r w:rsidRPr="00037EC6">
        <w:rPr>
          <w:rFonts w:asciiTheme="majorHAnsi" w:hAnsiTheme="majorHAnsi"/>
          <w:sz w:val="20"/>
          <w:szCs w:val="20"/>
          <w:lang w:val="es-US"/>
        </w:rPr>
        <w:t xml:space="preserve">la Corte Constitucional, mediante Auto 335, indicó, entre otros fundamentos, lo siguiente respecto a las vías adecuadas para reclamar </w:t>
      </w:r>
      <w:r w:rsidR="00291FBA" w:rsidRPr="00037EC6">
        <w:rPr>
          <w:rFonts w:asciiTheme="majorHAnsi" w:hAnsiTheme="majorHAnsi"/>
          <w:sz w:val="20"/>
          <w:szCs w:val="20"/>
          <w:lang w:val="es-US"/>
        </w:rPr>
        <w:t xml:space="preserve">una </w:t>
      </w:r>
      <w:r w:rsidRPr="00037EC6">
        <w:rPr>
          <w:rFonts w:asciiTheme="majorHAnsi" w:hAnsiTheme="majorHAnsi"/>
          <w:sz w:val="20"/>
          <w:szCs w:val="20"/>
          <w:lang w:val="es-US"/>
        </w:rPr>
        <w:t>indemnización</w:t>
      </w:r>
      <w:r w:rsidR="00291FBA" w:rsidRPr="00037EC6">
        <w:rPr>
          <w:rFonts w:asciiTheme="majorHAnsi" w:hAnsiTheme="majorHAnsi"/>
          <w:sz w:val="20"/>
          <w:szCs w:val="20"/>
          <w:lang w:val="es-US"/>
        </w:rPr>
        <w:t xml:space="preserve"> por desplazamiento forzado</w:t>
      </w:r>
      <w:r w:rsidRPr="00037EC6">
        <w:rPr>
          <w:rFonts w:asciiTheme="majorHAnsi" w:hAnsiTheme="majorHAnsi"/>
          <w:sz w:val="20"/>
          <w:szCs w:val="20"/>
          <w:lang w:val="es-US"/>
        </w:rPr>
        <w:t>:</w:t>
      </w:r>
    </w:p>
    <w:p w14:paraId="68FCC6F7" w14:textId="610FAA09" w:rsidR="003E564B" w:rsidRPr="00652A7C" w:rsidRDefault="003E564B" w:rsidP="00327E81">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ind w:right="720"/>
        <w:jc w:val="both"/>
        <w:rPr>
          <w:rFonts w:asciiTheme="majorHAnsi" w:hAnsiTheme="majorHAnsi"/>
          <w:sz w:val="20"/>
          <w:szCs w:val="20"/>
          <w:lang w:val="es-ES"/>
        </w:rPr>
      </w:pPr>
      <w:r w:rsidRPr="00037EC6">
        <w:rPr>
          <w:rFonts w:asciiTheme="majorHAnsi" w:hAnsiTheme="majorHAnsi"/>
          <w:sz w:val="20"/>
          <w:szCs w:val="20"/>
          <w:lang w:val="es-US"/>
        </w:rPr>
        <w:t>Así las cosas, cuando esta corporación adopta una decisión judicial y decide otorgarle efectos “</w:t>
      </w:r>
      <w:r w:rsidRPr="00037EC6">
        <w:rPr>
          <w:rFonts w:asciiTheme="majorHAnsi" w:hAnsiTheme="majorHAnsi"/>
          <w:i/>
          <w:iCs/>
          <w:sz w:val="20"/>
          <w:szCs w:val="20"/>
          <w:lang w:val="es-US"/>
        </w:rPr>
        <w:t>inter comunis</w:t>
      </w:r>
      <w:r w:rsidRPr="00037EC6">
        <w:rPr>
          <w:rFonts w:asciiTheme="majorHAnsi" w:hAnsiTheme="majorHAnsi"/>
          <w:sz w:val="20"/>
          <w:szCs w:val="20"/>
          <w:lang w:val="es-US"/>
        </w:rPr>
        <w:t xml:space="preserve">” los potenciales beneficiarios para lograr su materialización, no tienen que acudir a un nuevo proceso de tutela para solicitar la aplicación del precedente. Por el contrario, aquellas están legitimadas, para directamente requerir el cumplimiento del fallo a la autoridad responsable de garantizar el derecho, y en caso de que la primera sin justa causa se niegue a satisfacer el derecho o a extender los efectos de la providencia, podrán interponer el incidente del desacato ante el juez que tenga la competencia para ello. </w:t>
      </w:r>
      <w:r w:rsidR="007662C9" w:rsidRPr="00037EC6">
        <w:rPr>
          <w:rFonts w:asciiTheme="majorHAnsi" w:hAnsiTheme="majorHAnsi"/>
          <w:sz w:val="20"/>
          <w:szCs w:val="20"/>
          <w:lang w:val="es-US"/>
        </w:rPr>
        <w:t>[</w:t>
      </w:r>
      <w:r w:rsidRPr="00037EC6">
        <w:rPr>
          <w:rFonts w:asciiTheme="majorHAnsi" w:hAnsiTheme="majorHAnsi"/>
          <w:sz w:val="20"/>
          <w:szCs w:val="20"/>
          <w:lang w:val="es-US"/>
        </w:rPr>
        <w:t>…</w:t>
      </w:r>
      <w:r w:rsidR="007662C9" w:rsidRPr="00037EC6">
        <w:rPr>
          <w:rFonts w:asciiTheme="majorHAnsi" w:hAnsiTheme="majorHAnsi"/>
          <w:sz w:val="20"/>
          <w:szCs w:val="20"/>
          <w:lang w:val="es-US"/>
        </w:rPr>
        <w:t>]</w:t>
      </w:r>
    </w:p>
    <w:p w14:paraId="2D45C755" w14:textId="074AC1CB" w:rsidR="003E564B" w:rsidRPr="00037EC6" w:rsidRDefault="003E564B" w:rsidP="00327E81">
      <w:pPr>
        <w:pStyle w:val="ListParagraph"/>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ind w:right="720"/>
        <w:jc w:val="both"/>
        <w:rPr>
          <w:rFonts w:asciiTheme="majorHAnsi" w:hAnsiTheme="majorHAnsi"/>
          <w:sz w:val="20"/>
          <w:szCs w:val="20"/>
          <w:lang w:val="es-US"/>
        </w:rPr>
      </w:pPr>
      <w:r w:rsidRPr="00037EC6">
        <w:rPr>
          <w:rFonts w:asciiTheme="majorHAnsi" w:hAnsiTheme="majorHAnsi"/>
          <w:sz w:val="20"/>
          <w:szCs w:val="20"/>
          <w:lang w:val="es-US"/>
        </w:rPr>
        <w:t>En este orden de ideas, es claro que las personas que consideren ser beneficiarias de una orden “inter comunis” deben acudir primeramente a la autoridad encargada de cumplir la orden y solo en caso de incumplimiento podrán iniciar las acciones e incidentes necesarios para materializar la orden otorgada en la providencia de tutela.</w:t>
      </w:r>
    </w:p>
    <w:p w14:paraId="5D6625BD" w14:textId="10BDCF6A" w:rsidR="009D5E84" w:rsidRPr="00037EC6" w:rsidRDefault="0074046B">
      <w:pPr>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sz w:val="20"/>
          <w:szCs w:val="20"/>
          <w:lang w:val="es-ES"/>
        </w:rPr>
        <w:t>En tal sentido, toda vez que las presuntas víctimas serían beneficiarias de los efectos “</w:t>
      </w:r>
      <w:r w:rsidRPr="00037EC6">
        <w:rPr>
          <w:rFonts w:asciiTheme="majorHAnsi" w:hAnsiTheme="majorHAnsi"/>
          <w:i/>
          <w:iCs/>
          <w:sz w:val="20"/>
          <w:szCs w:val="20"/>
          <w:lang w:val="es-ES"/>
        </w:rPr>
        <w:t>inter comunis</w:t>
      </w:r>
      <w:r w:rsidRPr="00037EC6">
        <w:rPr>
          <w:rFonts w:asciiTheme="majorHAnsi" w:hAnsiTheme="majorHAnsi"/>
          <w:sz w:val="20"/>
          <w:szCs w:val="20"/>
          <w:lang w:val="es-ES"/>
        </w:rPr>
        <w:t xml:space="preserve">” de </w:t>
      </w:r>
      <w:r w:rsidRPr="00037EC6">
        <w:rPr>
          <w:rFonts w:asciiTheme="majorHAnsi" w:hAnsiTheme="majorHAnsi"/>
          <w:sz w:val="20"/>
          <w:szCs w:val="20"/>
          <w:lang w:val="es-US"/>
        </w:rPr>
        <w:t>la sentencia de unificación SU-254-2013, estas no tenían la obligación de iniciar las vías judiciales alegadas por el Estado. Por el contrario, la Comisión considera que, conforme a los parámetros de la citada resolución, las presuntas víctimas habrían utilizado una vía adecuada para presentar su reclamo, dado que presentaron una solicitud de pago indemnizatorio</w:t>
      </w:r>
      <w:r w:rsidR="0021255B" w:rsidRPr="00037EC6">
        <w:rPr>
          <w:rFonts w:asciiTheme="majorHAnsi" w:hAnsiTheme="majorHAnsi"/>
          <w:sz w:val="20"/>
          <w:szCs w:val="20"/>
          <w:lang w:val="es-US"/>
        </w:rPr>
        <w:t>,</w:t>
      </w:r>
      <w:r w:rsidRPr="00037EC6">
        <w:rPr>
          <w:rFonts w:asciiTheme="majorHAnsi" w:hAnsiTheme="majorHAnsi"/>
          <w:sz w:val="20"/>
          <w:szCs w:val="20"/>
          <w:lang w:val="es-US"/>
        </w:rPr>
        <w:t xml:space="preserve"> y posteriormente exigieron su cumplimiento. </w:t>
      </w:r>
      <w:r w:rsidRPr="00037EC6">
        <w:rPr>
          <w:rFonts w:asciiTheme="majorHAnsi" w:hAnsiTheme="majorHAnsi"/>
          <w:sz w:val="20"/>
          <w:szCs w:val="20"/>
          <w:lang w:val="es-ES"/>
        </w:rPr>
        <w:t>Así, tomando en cuenta que el Estado no ha aportado argumentos o pruebas que desacrediten la validez de la vía procesal utilizada por las presuntas víctimas</w:t>
      </w:r>
      <w:r w:rsidR="00291FBA" w:rsidRPr="00037EC6">
        <w:rPr>
          <w:rFonts w:asciiTheme="majorHAnsi" w:hAnsiTheme="majorHAnsi"/>
          <w:sz w:val="20"/>
          <w:szCs w:val="20"/>
          <w:lang w:val="es-ES"/>
        </w:rPr>
        <w:t xml:space="preserve"> ni tampoco cuestionado su verosimilitud</w:t>
      </w:r>
      <w:r w:rsidRPr="00037EC6">
        <w:rPr>
          <w:rFonts w:asciiTheme="majorHAnsi" w:hAnsiTheme="majorHAnsi"/>
          <w:sz w:val="20"/>
          <w:szCs w:val="20"/>
          <w:lang w:val="es-ES"/>
        </w:rPr>
        <w:t xml:space="preserve">, la Comisión considera que el presente extremo de la petición cumple con el requisito previsto en el artículo 46.1.a) de la Convención Americana. Asimismo, toda vez que la decisión sobre este asunto se emitió mientras la petición se encontraba bajo estudio de admisibilidad, considera que también se cumple el requisito previsto en el artículo 46.1.b) de la Convención. </w:t>
      </w:r>
    </w:p>
    <w:p w14:paraId="4FFBE378" w14:textId="64322DE9" w:rsidR="003239B8" w:rsidRPr="00037EC6" w:rsidRDefault="003239B8" w:rsidP="003239B8">
      <w:pPr>
        <w:pStyle w:val="ListParagraph"/>
        <w:spacing w:before="240" w:after="240"/>
        <w:jc w:val="both"/>
        <w:rPr>
          <w:rFonts w:asciiTheme="majorHAnsi" w:hAnsiTheme="majorHAnsi"/>
          <w:b/>
          <w:sz w:val="20"/>
          <w:szCs w:val="20"/>
          <w:lang w:val="es-ES"/>
        </w:rPr>
      </w:pPr>
      <w:r w:rsidRPr="00037EC6">
        <w:rPr>
          <w:rFonts w:asciiTheme="majorHAnsi" w:hAnsiTheme="majorHAnsi"/>
          <w:b/>
          <w:bCs/>
          <w:sz w:val="20"/>
          <w:szCs w:val="20"/>
          <w:lang w:val="es-ES"/>
        </w:rPr>
        <w:t>VII.</w:t>
      </w:r>
      <w:r w:rsidRPr="00037EC6">
        <w:rPr>
          <w:rFonts w:asciiTheme="majorHAnsi" w:hAnsiTheme="majorHAnsi"/>
          <w:b/>
          <w:bCs/>
          <w:sz w:val="20"/>
          <w:szCs w:val="20"/>
          <w:lang w:val="es-ES"/>
        </w:rPr>
        <w:tab/>
      </w:r>
      <w:r w:rsidR="004A6A54" w:rsidRPr="00037EC6">
        <w:rPr>
          <w:rFonts w:asciiTheme="majorHAnsi" w:hAnsiTheme="majorHAnsi"/>
          <w:b/>
          <w:bCs/>
          <w:sz w:val="20"/>
          <w:szCs w:val="20"/>
          <w:lang w:val="es-ES_tradnl"/>
        </w:rPr>
        <w:t xml:space="preserve">ANÁLISIS DE </w:t>
      </w:r>
      <w:r w:rsidR="00C21FEF" w:rsidRPr="00037EC6">
        <w:rPr>
          <w:rFonts w:asciiTheme="majorHAnsi" w:hAnsiTheme="majorHAnsi"/>
          <w:b/>
          <w:bCs/>
          <w:sz w:val="20"/>
          <w:szCs w:val="20"/>
          <w:lang w:val="es-ES"/>
        </w:rPr>
        <w:t xml:space="preserve">CARACTERIZACIÓN </w:t>
      </w:r>
      <w:r w:rsidR="00C21FEF" w:rsidRPr="00037EC6">
        <w:rPr>
          <w:rFonts w:asciiTheme="majorHAnsi" w:hAnsiTheme="majorHAnsi"/>
          <w:b/>
          <w:bCs/>
          <w:sz w:val="20"/>
          <w:szCs w:val="20"/>
          <w:lang w:val="es-UY"/>
        </w:rPr>
        <w:t>DE LOS HECHOS ALEGADOS</w:t>
      </w:r>
    </w:p>
    <w:p w14:paraId="7EFDDF45" w14:textId="77777777" w:rsidR="00037EC6" w:rsidRPr="00037EC6" w:rsidRDefault="0074046B" w:rsidP="007250B5">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_tradnl"/>
        </w:rPr>
      </w:pPr>
      <w:r w:rsidRPr="00037EC6">
        <w:rPr>
          <w:rFonts w:asciiTheme="majorHAnsi" w:hAnsiTheme="majorHAnsi"/>
          <w:sz w:val="20"/>
          <w:szCs w:val="20"/>
          <w:lang w:val="es-ES_tradnl"/>
        </w:rPr>
        <w:t>T</w:t>
      </w:r>
      <w:r w:rsidR="00504640" w:rsidRPr="00037EC6">
        <w:rPr>
          <w:rFonts w:asciiTheme="majorHAnsi" w:hAnsiTheme="majorHAnsi"/>
          <w:sz w:val="20"/>
          <w:szCs w:val="20"/>
          <w:lang w:val="es-ES_tradnl"/>
        </w:rPr>
        <w:t xml:space="preserve">ras examinar los elementos de hecho y de derecho expuestos por las partes en el caso concreto, </w:t>
      </w:r>
      <w:r w:rsidRPr="00037EC6">
        <w:rPr>
          <w:rFonts w:asciiTheme="majorHAnsi" w:hAnsiTheme="majorHAnsi"/>
          <w:sz w:val="20"/>
          <w:szCs w:val="20"/>
          <w:lang w:val="es-ES_tradnl"/>
        </w:rPr>
        <w:t xml:space="preserve">referidos a la demora en las investigaciones y de una reparación, </w:t>
      </w:r>
      <w:r w:rsidR="00504640" w:rsidRPr="00037EC6">
        <w:rPr>
          <w:rFonts w:asciiTheme="majorHAnsi" w:hAnsiTheme="majorHAnsi"/>
          <w:sz w:val="20"/>
          <w:szCs w:val="20"/>
          <w:lang w:val="es-ES_tradnl"/>
        </w:rPr>
        <w:t xml:space="preserve">la Comisión estima que las alegaciones de la parte peticionaria no resultan manifiestamente infundadas y requieren un estudio de fondo; pues los hechos alegados, de corroborarse como ciertos, podrían caracterizar violaciones a los artículos </w:t>
      </w:r>
      <w:r w:rsidR="00504640" w:rsidRPr="00037EC6">
        <w:rPr>
          <w:rFonts w:asciiTheme="majorHAnsi" w:hAnsiTheme="majorHAnsi"/>
          <w:bCs/>
          <w:sz w:val="20"/>
          <w:szCs w:val="20"/>
          <w:lang w:val="es-ES"/>
        </w:rPr>
        <w:t xml:space="preserve">4 (vida), 5 (integridad personal), 21 (derecho a la propiedad privada), 22 (derecho de circulación y residencia), </w:t>
      </w:r>
      <w:r w:rsidR="00504640" w:rsidRPr="00037EC6">
        <w:rPr>
          <w:rFonts w:asciiTheme="majorHAnsi" w:hAnsiTheme="majorHAnsi"/>
          <w:bCs/>
          <w:sz w:val="20"/>
          <w:szCs w:val="20"/>
          <w:lang w:val="es-ES"/>
        </w:rPr>
        <w:lastRenderedPageBreak/>
        <w:t xml:space="preserve">24 (igualdad ante la ley) y 25 (protección judicial) </w:t>
      </w:r>
      <w:r w:rsidR="00504640" w:rsidRPr="00037EC6">
        <w:rPr>
          <w:rFonts w:asciiTheme="majorHAnsi" w:hAnsiTheme="majorHAnsi"/>
          <w:sz w:val="20"/>
          <w:szCs w:val="20"/>
          <w:lang w:val="es-ES_tradnl"/>
        </w:rPr>
        <w:t>de la Convención Americana</w:t>
      </w:r>
      <w:r w:rsidR="00504640" w:rsidRPr="00037EC6">
        <w:rPr>
          <w:rFonts w:asciiTheme="majorHAnsi" w:hAnsiTheme="majorHAnsi"/>
          <w:bCs/>
          <w:sz w:val="20"/>
          <w:szCs w:val="20"/>
          <w:lang w:val="es-ES_tradnl"/>
        </w:rPr>
        <w:t xml:space="preserve">, en relación con su artículo 1.1 (obligación de respetar los derechos), </w:t>
      </w:r>
      <w:r w:rsidR="00504640" w:rsidRPr="00037EC6">
        <w:rPr>
          <w:rFonts w:asciiTheme="majorHAnsi" w:hAnsiTheme="majorHAnsi"/>
          <w:sz w:val="20"/>
          <w:szCs w:val="20"/>
          <w:lang w:val="es-ES_tradnl"/>
        </w:rPr>
        <w:t xml:space="preserve">en perjuicio de las presuntas víctimas en los términos del presente informe.  </w:t>
      </w:r>
    </w:p>
    <w:p w14:paraId="7463EADB" w14:textId="7AD19519" w:rsidR="005E43FE" w:rsidRPr="00037EC6" w:rsidRDefault="00037EC6" w:rsidP="007250B5">
      <w:pPr>
        <w:pStyle w:val="ListParagraph"/>
        <w:numPr>
          <w:ilvl w:val="0"/>
          <w:numId w:val="55"/>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_tradnl"/>
        </w:rPr>
      </w:pPr>
      <w:r w:rsidRPr="00037EC6">
        <w:rPr>
          <w:rFonts w:asciiTheme="majorHAnsi" w:hAnsiTheme="majorHAnsi"/>
          <w:sz w:val="20"/>
          <w:szCs w:val="20"/>
          <w:lang w:val="es-ES"/>
        </w:rPr>
        <w:t xml:space="preserve">La Comisión recuerda que </w:t>
      </w:r>
      <w:r w:rsidRPr="00037EC6">
        <w:rPr>
          <w:rFonts w:asciiTheme="majorHAnsi" w:hAnsiTheme="majorHAnsi" w:cs="Calibri"/>
          <w:sz w:val="20"/>
          <w:szCs w:val="20"/>
          <w:lang w:val="es-ES"/>
        </w:rPr>
        <w:t xml:space="preserve">el criterio de evaluación de la fase de admisibilidad difiere del que se utiliza para pronunciarse sobre el fondo de una petición; la Comisión debe realizar una evaluación </w:t>
      </w:r>
      <w:r w:rsidRPr="00037EC6">
        <w:rPr>
          <w:rFonts w:asciiTheme="majorHAnsi" w:hAnsiTheme="majorHAnsi" w:cs="Calibri"/>
          <w:i/>
          <w:iCs/>
          <w:sz w:val="20"/>
          <w:szCs w:val="20"/>
          <w:lang w:val="es-ES"/>
        </w:rPr>
        <w:t>prima facie</w:t>
      </w:r>
      <w:r w:rsidRPr="00037EC6">
        <w:rPr>
          <w:rFonts w:asciiTheme="majorHAnsi" w:hAnsiTheme="majorHAnsi" w:cs="Calibri"/>
          <w:sz w:val="20"/>
          <w:szCs w:val="20"/>
          <w:lang w:val="es-ES"/>
        </w:rPr>
        <w:t xml:space="preserve"> para determinar si la petición establece el fundamento de la violación, posible o potencial, de un derecho garantizado por la Convención, pero no para establecer la existencia de una violación de derechos. Esta determinación sobre la caracterización de violaciones de la Convención Americana constituye un análisis primario, que no implica prejuzgar sobre el fondo del asunto</w:t>
      </w:r>
      <w:r w:rsidRPr="00037EC6">
        <w:rPr>
          <w:rStyle w:val="FootnoteReference"/>
          <w:rFonts w:asciiTheme="majorHAnsi" w:hAnsiTheme="majorHAnsi" w:cs="Calibri"/>
          <w:sz w:val="20"/>
          <w:szCs w:val="20"/>
          <w:lang w:val="es-ES"/>
        </w:rPr>
        <w:footnoteReference w:id="12"/>
      </w:r>
      <w:r w:rsidRPr="00037EC6">
        <w:rPr>
          <w:rFonts w:asciiTheme="majorHAnsi" w:hAnsiTheme="majorHAnsi" w:cs="Calibri"/>
          <w:sz w:val="20"/>
          <w:szCs w:val="20"/>
          <w:lang w:val="es-ES"/>
        </w:rPr>
        <w:t>. En consecuencia, los temas atinentes a la impunidad reinante en el caso, la aplicación de la figura de la prescripción penal al crimen del señor Borrero, y el cierre unilateral de la investigación por la Fiscalía en virtud del paso del tiempo, habrán de ser materia de un concienzudo estudio en la etapa de fondo del presente procedimiento, sobre el cual la presente decisión no tiene incidencia.</w:t>
      </w:r>
    </w:p>
    <w:p w14:paraId="29BB41F5" w14:textId="0B8E7C3B" w:rsidR="003239B8" w:rsidRPr="00037EC6" w:rsidRDefault="003239B8" w:rsidP="00F2665D">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ind w:left="720"/>
        <w:jc w:val="both"/>
        <w:rPr>
          <w:rFonts w:asciiTheme="majorHAnsi" w:hAnsiTheme="majorHAnsi"/>
          <w:b/>
          <w:bCs/>
          <w:sz w:val="20"/>
          <w:szCs w:val="20"/>
          <w:lang w:val="es-ES"/>
        </w:rPr>
      </w:pPr>
      <w:r w:rsidRPr="00037EC6">
        <w:rPr>
          <w:rFonts w:asciiTheme="majorHAnsi" w:hAnsiTheme="majorHAnsi"/>
          <w:b/>
          <w:bCs/>
          <w:sz w:val="20"/>
          <w:szCs w:val="20"/>
          <w:lang w:val="es-ES"/>
        </w:rPr>
        <w:t xml:space="preserve">VIII. </w:t>
      </w:r>
      <w:r w:rsidRPr="00037EC6">
        <w:rPr>
          <w:rFonts w:asciiTheme="majorHAnsi" w:hAnsiTheme="majorHAnsi"/>
          <w:b/>
          <w:bCs/>
          <w:sz w:val="20"/>
          <w:szCs w:val="20"/>
          <w:lang w:val="es-ES"/>
        </w:rPr>
        <w:tab/>
        <w:t>DECISIÓN</w:t>
      </w:r>
    </w:p>
    <w:p w14:paraId="41AA5BF6" w14:textId="388331B9" w:rsidR="000419AD" w:rsidRPr="00037EC6" w:rsidRDefault="003239B8">
      <w:pPr>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sz w:val="20"/>
          <w:szCs w:val="20"/>
          <w:lang w:val="es-ES"/>
        </w:rPr>
        <w:t xml:space="preserve">Declarar admisible la presente petición en relación con </w:t>
      </w:r>
      <w:r w:rsidR="00504640" w:rsidRPr="00037EC6">
        <w:rPr>
          <w:rFonts w:asciiTheme="majorHAnsi" w:hAnsiTheme="majorHAnsi"/>
          <w:sz w:val="20"/>
          <w:szCs w:val="20"/>
          <w:lang w:val="es-ES"/>
        </w:rPr>
        <w:t>4, 5, 21, 22, 24 y 25 de la Convención</w:t>
      </w:r>
      <w:r w:rsidR="00A758AA" w:rsidRPr="00037EC6">
        <w:rPr>
          <w:rFonts w:asciiTheme="majorHAnsi" w:hAnsiTheme="majorHAnsi"/>
          <w:sz w:val="20"/>
          <w:szCs w:val="20"/>
          <w:lang w:val="es-ES"/>
        </w:rPr>
        <w:t>;</w:t>
      </w:r>
      <w:r w:rsidR="007B76D3" w:rsidRPr="00037EC6">
        <w:rPr>
          <w:rFonts w:asciiTheme="majorHAnsi" w:hAnsiTheme="majorHAnsi"/>
          <w:sz w:val="20"/>
          <w:szCs w:val="20"/>
          <w:lang w:val="es-ES"/>
        </w:rPr>
        <w:t xml:space="preserve"> y</w:t>
      </w:r>
    </w:p>
    <w:p w14:paraId="12A7002C" w14:textId="77777777" w:rsidR="004A6A54" w:rsidRDefault="004A6A54">
      <w:pPr>
        <w:numPr>
          <w:ilvl w:val="0"/>
          <w:numId w:val="56"/>
        </w:num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240"/>
        <w:jc w:val="both"/>
        <w:rPr>
          <w:rFonts w:asciiTheme="majorHAnsi" w:hAnsiTheme="majorHAnsi"/>
          <w:sz w:val="20"/>
          <w:szCs w:val="20"/>
          <w:lang w:val="es-ES"/>
        </w:rPr>
      </w:pPr>
      <w:r w:rsidRPr="00037EC6">
        <w:rPr>
          <w:rFonts w:asciiTheme="majorHAnsi" w:hAnsiTheme="majorHAnsi"/>
          <w:sz w:val="20"/>
          <w:szCs w:val="20"/>
          <w:lang w:val="es-ES"/>
        </w:rPr>
        <w:t>Notificar a las partes la presente decisión; continuar con el análisis del fondo de la cuestión; y publicar esta decisión e incluirla en su Informe Anual a la Asamblea General de la Organización de los Estados Americanos.</w:t>
      </w:r>
    </w:p>
    <w:p w14:paraId="2ACC076E" w14:textId="4476B917" w:rsidR="00A212B7" w:rsidRPr="006E5822" w:rsidRDefault="008E27B5" w:rsidP="006E5822">
      <w:pPr>
        <w:pStyle w:val="paragraph"/>
        <w:spacing w:before="0" w:beforeAutospacing="0" w:after="0" w:afterAutospacing="0"/>
        <w:ind w:firstLine="720"/>
        <w:jc w:val="both"/>
        <w:textAlignment w:val="baseline"/>
        <w:rPr>
          <w:rStyle w:val="eop"/>
          <w:rFonts w:ascii="Segoe UI" w:hAnsi="Segoe UI" w:cs="Segoe UI"/>
          <w:sz w:val="18"/>
          <w:szCs w:val="18"/>
          <w:lang w:val="es-ES"/>
        </w:rPr>
      </w:pPr>
      <w:r>
        <w:rPr>
          <w:rStyle w:val="normaltextrun"/>
          <w:rFonts w:ascii="Cambria" w:eastAsia="Trebuchet MS" w:hAnsi="Cambria" w:cs="Segoe UI"/>
          <w:sz w:val="20"/>
          <w:szCs w:val="20"/>
          <w:lang w:val="es-CL"/>
        </w:rPr>
        <w:t>Aprobado por la Comisión Interamericana de Derechos Humanos a los 26 días del mes de febrero de 2023.</w:t>
      </w:r>
      <w:r w:rsidR="006E5822">
        <w:rPr>
          <w:rStyle w:val="normaltextrun"/>
          <w:rFonts w:ascii="Cambria" w:eastAsia="Trebuchet MS" w:hAnsi="Cambria" w:cs="Segoe UI"/>
          <w:sz w:val="20"/>
          <w:szCs w:val="20"/>
          <w:lang w:val="es-CL"/>
        </w:rPr>
        <w:t xml:space="preserve"> </w:t>
      </w:r>
      <w:r>
        <w:rPr>
          <w:rStyle w:val="normaltextrun"/>
          <w:rFonts w:ascii="Cambria" w:eastAsia="Trebuchet MS" w:hAnsi="Cambria" w:cs="Segoe UI"/>
          <w:sz w:val="20"/>
          <w:szCs w:val="20"/>
          <w:lang w:val="es-CL"/>
        </w:rPr>
        <w:t xml:space="preserve">(Firmado): Julissa Mantilla Falcón, Presidenta; Stuardo Ralón Orellana, Primer Vicepresidente; Esmeralda Arosemena de Troitiño y Joel Hernández, </w:t>
      </w:r>
      <w:r w:rsidR="006E5822">
        <w:rPr>
          <w:rStyle w:val="normaltextrun"/>
          <w:rFonts w:ascii="Cambria" w:eastAsia="Trebuchet MS" w:hAnsi="Cambria" w:cs="Segoe UI"/>
          <w:sz w:val="20"/>
          <w:szCs w:val="20"/>
          <w:lang w:val="es-CL"/>
        </w:rPr>
        <w:t>m</w:t>
      </w:r>
      <w:r>
        <w:rPr>
          <w:rStyle w:val="normaltextrun"/>
          <w:rFonts w:ascii="Cambria" w:eastAsia="Trebuchet MS" w:hAnsi="Cambria" w:cs="Segoe UI"/>
          <w:sz w:val="20"/>
          <w:szCs w:val="20"/>
          <w:lang w:val="es-CL"/>
        </w:rPr>
        <w:t xml:space="preserve">iembros de la Comisión. </w:t>
      </w:r>
      <w:r w:rsidRPr="00407104">
        <w:rPr>
          <w:rStyle w:val="eop"/>
          <w:rFonts w:ascii="Cambria" w:eastAsia="Trebuchet MS" w:hAnsi="Cambria" w:cs="Segoe UI"/>
          <w:sz w:val="20"/>
          <w:szCs w:val="20"/>
          <w:lang w:val="es-ES"/>
        </w:rPr>
        <w:t> </w:t>
      </w:r>
    </w:p>
    <w:p w14:paraId="4069D134"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201B2A5F"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0ED6B10C"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4F0CE272"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17FA9934"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7A5F4A29"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6DA853CF"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4B76BD8D"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6E27CE96"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52E9BBF4" w14:textId="77777777" w:rsidR="00A212B7" w:rsidRPr="006E5822" w:rsidRDefault="00A212B7" w:rsidP="008E27B5">
      <w:pPr>
        <w:pStyle w:val="paragraph"/>
        <w:spacing w:before="0" w:beforeAutospacing="0" w:after="0" w:afterAutospacing="0"/>
        <w:jc w:val="center"/>
        <w:textAlignment w:val="baseline"/>
        <w:rPr>
          <w:rStyle w:val="eop"/>
          <w:rFonts w:ascii="Cambria" w:eastAsia="Trebuchet MS" w:hAnsi="Cambria" w:cs="Segoe UI"/>
          <w:lang w:val="es-AR"/>
        </w:rPr>
      </w:pPr>
    </w:p>
    <w:p w14:paraId="24A2B9F1" w14:textId="77777777" w:rsidR="00A212B7" w:rsidRDefault="00A212B7" w:rsidP="00A212B7">
      <w:pPr>
        <w:jc w:val="center"/>
        <w:rPr>
          <w:rStyle w:val="eop"/>
          <w:rFonts w:ascii="Cambria" w:eastAsia="Times New Roman" w:hAnsi="Cambria" w:cs="Segoe UI"/>
          <w:sz w:val="20"/>
          <w:szCs w:val="20"/>
          <w:bdr w:val="none" w:sz="0" w:space="0" w:color="auto"/>
        </w:rPr>
      </w:pPr>
      <w:r>
        <w:rPr>
          <w:rFonts w:ascii="Cambria" w:hAnsi="Cambria" w:cs="Calibri"/>
          <w:noProof/>
          <w:sz w:val="20"/>
          <w:szCs w:val="20"/>
          <w:lang w:val="es-ES"/>
        </w:rPr>
        <w:lastRenderedPageBreak/>
        <w:drawing>
          <wp:anchor distT="0" distB="0" distL="114300" distR="114300" simplePos="0" relativeHeight="251689984" behindDoc="0" locked="0" layoutInCell="1" allowOverlap="1" wp14:anchorId="0D6B4436" wp14:editId="67248BFB">
            <wp:simplePos x="0" y="0"/>
            <wp:positionH relativeFrom="column">
              <wp:posOffset>1259535</wp:posOffset>
            </wp:positionH>
            <wp:positionV relativeFrom="paragraph">
              <wp:posOffset>19182</wp:posOffset>
            </wp:positionV>
            <wp:extent cx="3283205" cy="383641"/>
            <wp:effectExtent l="0" t="0" r="0" b="0"/>
            <wp:wrapNone/>
            <wp:docPr id="75" name="Picture 75"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ackground pattern&#10;&#10;Description automatically generated with low confidence"/>
                    <pic:cNvPicPr/>
                  </pic:nvPicPr>
                  <pic:blipFill>
                    <a:blip r:embed="rId14"/>
                    <a:stretch>
                      <a:fillRect/>
                    </a:stretch>
                  </pic:blipFill>
                  <pic:spPr>
                    <a:xfrm flipV="1">
                      <a:off x="0" y="0"/>
                      <a:ext cx="3283205" cy="383641"/>
                    </a:xfrm>
                    <a:prstGeom prst="rect">
                      <a:avLst/>
                    </a:prstGeom>
                  </pic:spPr>
                </pic:pic>
              </a:graphicData>
            </a:graphic>
            <wp14:sizeRelH relativeFrom="margin">
              <wp14:pctWidth>0</wp14:pctWidth>
            </wp14:sizeRelH>
            <wp14:sizeRelV relativeFrom="margin">
              <wp14:pctHeight>0</wp14:pctHeight>
            </wp14:sizeRelV>
          </wp:anchor>
        </w:drawing>
      </w:r>
      <w:r w:rsidRPr="00C63C0F">
        <w:rPr>
          <w:rStyle w:val="eop"/>
          <w:rFonts w:ascii="Cambria" w:eastAsia="Times New Roman" w:hAnsi="Cambria" w:cs="Segoe UI"/>
          <w:noProof/>
          <w:sz w:val="20"/>
          <w:szCs w:val="20"/>
          <w:bdr w:val="none" w:sz="0" w:space="0" w:color="auto"/>
        </w:rPr>
        <w:drawing>
          <wp:inline distT="0" distB="0" distL="0" distR="0" wp14:anchorId="001AF727" wp14:editId="258833EA">
            <wp:extent cx="4841240" cy="822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41240" cy="8229600"/>
                    </a:xfrm>
                    <a:prstGeom prst="rect">
                      <a:avLst/>
                    </a:prstGeom>
                  </pic:spPr>
                </pic:pic>
              </a:graphicData>
            </a:graphic>
          </wp:inline>
        </w:drawing>
      </w:r>
    </w:p>
    <w:p w14:paraId="11C41E8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03292A">
        <w:rPr>
          <w:rFonts w:ascii="Cambria" w:hAnsi="Cambria" w:cs="Calibri"/>
          <w:noProof/>
          <w:sz w:val="20"/>
          <w:szCs w:val="20"/>
          <w:lang w:val="es-ES"/>
        </w:rPr>
        <w:lastRenderedPageBreak/>
        <w:drawing>
          <wp:inline distT="0" distB="0" distL="0" distR="0" wp14:anchorId="753C59F1" wp14:editId="27537B26">
            <wp:extent cx="4813300" cy="822960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13300" cy="8229600"/>
                    </a:xfrm>
                    <a:prstGeom prst="rect">
                      <a:avLst/>
                    </a:prstGeom>
                  </pic:spPr>
                </pic:pic>
              </a:graphicData>
            </a:graphic>
          </wp:inline>
        </w:drawing>
      </w:r>
    </w:p>
    <w:p w14:paraId="2BD418E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A0FAC">
        <w:rPr>
          <w:rFonts w:ascii="Cambria" w:hAnsi="Cambria" w:cs="Calibri"/>
          <w:noProof/>
          <w:sz w:val="20"/>
          <w:szCs w:val="20"/>
          <w:lang w:val="es-ES"/>
        </w:rPr>
        <w:lastRenderedPageBreak/>
        <w:drawing>
          <wp:inline distT="0" distB="0" distL="0" distR="0" wp14:anchorId="48A81960" wp14:editId="73E25708">
            <wp:extent cx="4818380" cy="8229600"/>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18380" cy="8229600"/>
                    </a:xfrm>
                    <a:prstGeom prst="rect">
                      <a:avLst/>
                    </a:prstGeom>
                  </pic:spPr>
                </pic:pic>
              </a:graphicData>
            </a:graphic>
          </wp:inline>
        </w:drawing>
      </w:r>
    </w:p>
    <w:p w14:paraId="02CD2DE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001848">
        <w:rPr>
          <w:rFonts w:ascii="Cambria" w:hAnsi="Cambria" w:cs="Calibri"/>
          <w:noProof/>
          <w:sz w:val="20"/>
          <w:szCs w:val="20"/>
          <w:lang w:val="es-ES"/>
        </w:rPr>
        <w:lastRenderedPageBreak/>
        <w:drawing>
          <wp:inline distT="0" distB="0" distL="0" distR="0" wp14:anchorId="4D31C1F8" wp14:editId="08EB2EE0">
            <wp:extent cx="4815205" cy="82296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15205" cy="8229600"/>
                    </a:xfrm>
                    <a:prstGeom prst="rect">
                      <a:avLst/>
                    </a:prstGeom>
                  </pic:spPr>
                </pic:pic>
              </a:graphicData>
            </a:graphic>
          </wp:inline>
        </w:drawing>
      </w:r>
    </w:p>
    <w:p w14:paraId="1467407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532C5">
        <w:rPr>
          <w:rFonts w:ascii="Cambria" w:hAnsi="Cambria" w:cs="Calibri"/>
          <w:noProof/>
          <w:sz w:val="20"/>
          <w:szCs w:val="20"/>
          <w:lang w:val="es-ES"/>
        </w:rPr>
        <w:lastRenderedPageBreak/>
        <w:drawing>
          <wp:inline distT="0" distB="0" distL="0" distR="0" wp14:anchorId="4171EA71" wp14:editId="4A3BCB30">
            <wp:extent cx="4828540" cy="82296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28540" cy="8229600"/>
                    </a:xfrm>
                    <a:prstGeom prst="rect">
                      <a:avLst/>
                    </a:prstGeom>
                  </pic:spPr>
                </pic:pic>
              </a:graphicData>
            </a:graphic>
          </wp:inline>
        </w:drawing>
      </w:r>
    </w:p>
    <w:p w14:paraId="5821535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806E1">
        <w:rPr>
          <w:rFonts w:ascii="Cambria" w:hAnsi="Cambria" w:cs="Calibri"/>
          <w:noProof/>
          <w:sz w:val="20"/>
          <w:szCs w:val="20"/>
          <w:lang w:val="es-ES"/>
        </w:rPr>
        <w:lastRenderedPageBreak/>
        <w:drawing>
          <wp:inline distT="0" distB="0" distL="0" distR="0" wp14:anchorId="72EEDDFB" wp14:editId="50C6D574">
            <wp:extent cx="4823460" cy="8229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23460" cy="8229600"/>
                    </a:xfrm>
                    <a:prstGeom prst="rect">
                      <a:avLst/>
                    </a:prstGeom>
                  </pic:spPr>
                </pic:pic>
              </a:graphicData>
            </a:graphic>
          </wp:inline>
        </w:drawing>
      </w:r>
    </w:p>
    <w:p w14:paraId="1186812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0B764F">
        <w:rPr>
          <w:rFonts w:ascii="Cambria" w:hAnsi="Cambria" w:cs="Calibri"/>
          <w:noProof/>
          <w:sz w:val="20"/>
          <w:szCs w:val="20"/>
          <w:lang w:val="es-ES"/>
        </w:rPr>
        <w:lastRenderedPageBreak/>
        <w:drawing>
          <wp:inline distT="0" distB="0" distL="0" distR="0" wp14:anchorId="76F792F0" wp14:editId="12CCEC30">
            <wp:extent cx="4842510" cy="82296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42510" cy="8229600"/>
                    </a:xfrm>
                    <a:prstGeom prst="rect">
                      <a:avLst/>
                    </a:prstGeom>
                  </pic:spPr>
                </pic:pic>
              </a:graphicData>
            </a:graphic>
          </wp:inline>
        </w:drawing>
      </w:r>
    </w:p>
    <w:p w14:paraId="7016760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E67004">
        <w:rPr>
          <w:rFonts w:ascii="Cambria" w:hAnsi="Cambria" w:cs="Calibri"/>
          <w:noProof/>
          <w:sz w:val="20"/>
          <w:szCs w:val="20"/>
          <w:lang w:val="es-ES"/>
        </w:rPr>
        <w:lastRenderedPageBreak/>
        <w:drawing>
          <wp:inline distT="0" distB="0" distL="0" distR="0" wp14:anchorId="5A8DAF99" wp14:editId="08966956">
            <wp:extent cx="4835525" cy="82296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35525" cy="8229600"/>
                    </a:xfrm>
                    <a:prstGeom prst="rect">
                      <a:avLst/>
                    </a:prstGeom>
                  </pic:spPr>
                </pic:pic>
              </a:graphicData>
            </a:graphic>
          </wp:inline>
        </w:drawing>
      </w:r>
    </w:p>
    <w:p w14:paraId="28BA22B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3D750B">
        <w:rPr>
          <w:rFonts w:ascii="Cambria" w:hAnsi="Cambria" w:cs="Calibri"/>
          <w:noProof/>
          <w:sz w:val="20"/>
          <w:szCs w:val="20"/>
          <w:lang w:val="es-ES"/>
        </w:rPr>
        <w:lastRenderedPageBreak/>
        <w:drawing>
          <wp:inline distT="0" distB="0" distL="0" distR="0" wp14:anchorId="0D53B92C" wp14:editId="5FF397E9">
            <wp:extent cx="4848225" cy="82296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48225" cy="8229600"/>
                    </a:xfrm>
                    <a:prstGeom prst="rect">
                      <a:avLst/>
                    </a:prstGeom>
                  </pic:spPr>
                </pic:pic>
              </a:graphicData>
            </a:graphic>
          </wp:inline>
        </w:drawing>
      </w:r>
    </w:p>
    <w:p w14:paraId="07D18C7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4A204E">
        <w:rPr>
          <w:rFonts w:ascii="Cambria" w:hAnsi="Cambria" w:cs="Calibri"/>
          <w:noProof/>
          <w:sz w:val="20"/>
          <w:szCs w:val="20"/>
          <w:lang w:val="es-ES"/>
        </w:rPr>
        <w:lastRenderedPageBreak/>
        <w:drawing>
          <wp:inline distT="0" distB="0" distL="0" distR="0" wp14:anchorId="1F17B810" wp14:editId="6BFCFF4C">
            <wp:extent cx="4837430" cy="8229600"/>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37430" cy="8229600"/>
                    </a:xfrm>
                    <a:prstGeom prst="rect">
                      <a:avLst/>
                    </a:prstGeom>
                  </pic:spPr>
                </pic:pic>
              </a:graphicData>
            </a:graphic>
          </wp:inline>
        </w:drawing>
      </w:r>
    </w:p>
    <w:p w14:paraId="0D0557A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BE5B61">
        <w:rPr>
          <w:rFonts w:ascii="Cambria" w:hAnsi="Cambria" w:cs="Calibri"/>
          <w:noProof/>
          <w:sz w:val="20"/>
          <w:szCs w:val="20"/>
          <w:lang w:val="es-ES"/>
        </w:rPr>
        <w:lastRenderedPageBreak/>
        <w:drawing>
          <wp:inline distT="0" distB="0" distL="0" distR="0" wp14:anchorId="63DAFD5E" wp14:editId="6336FB9A">
            <wp:extent cx="4826635" cy="8229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26635" cy="8229600"/>
                    </a:xfrm>
                    <a:prstGeom prst="rect">
                      <a:avLst/>
                    </a:prstGeom>
                  </pic:spPr>
                </pic:pic>
              </a:graphicData>
            </a:graphic>
          </wp:inline>
        </w:drawing>
      </w:r>
    </w:p>
    <w:p w14:paraId="20FFF5D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2B04CA">
        <w:rPr>
          <w:rFonts w:ascii="Cambria" w:hAnsi="Cambria" w:cs="Calibri"/>
          <w:noProof/>
          <w:sz w:val="20"/>
          <w:szCs w:val="20"/>
          <w:lang w:val="es-ES"/>
        </w:rPr>
        <w:lastRenderedPageBreak/>
        <w:drawing>
          <wp:inline distT="0" distB="0" distL="0" distR="0" wp14:anchorId="4F5F37D5" wp14:editId="12EDCE02">
            <wp:extent cx="4845685" cy="8229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45685" cy="8229600"/>
                    </a:xfrm>
                    <a:prstGeom prst="rect">
                      <a:avLst/>
                    </a:prstGeom>
                  </pic:spPr>
                </pic:pic>
              </a:graphicData>
            </a:graphic>
          </wp:inline>
        </w:drawing>
      </w:r>
    </w:p>
    <w:p w14:paraId="1686E29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1248AF">
        <w:rPr>
          <w:rFonts w:ascii="Cambria" w:hAnsi="Cambria" w:cs="Calibri"/>
          <w:noProof/>
          <w:sz w:val="20"/>
          <w:szCs w:val="20"/>
          <w:lang w:val="es-ES"/>
        </w:rPr>
        <w:lastRenderedPageBreak/>
        <w:drawing>
          <wp:inline distT="0" distB="0" distL="0" distR="0" wp14:anchorId="4804DE38" wp14:editId="7DCDECB9">
            <wp:extent cx="4820920" cy="8229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20920" cy="8229600"/>
                    </a:xfrm>
                    <a:prstGeom prst="rect">
                      <a:avLst/>
                    </a:prstGeom>
                  </pic:spPr>
                </pic:pic>
              </a:graphicData>
            </a:graphic>
          </wp:inline>
        </w:drawing>
      </w:r>
    </w:p>
    <w:p w14:paraId="4FB0930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9373EC">
        <w:rPr>
          <w:rFonts w:ascii="Cambria" w:hAnsi="Cambria" w:cs="Calibri"/>
          <w:noProof/>
          <w:sz w:val="20"/>
          <w:szCs w:val="20"/>
          <w:lang w:val="es-ES"/>
        </w:rPr>
        <w:lastRenderedPageBreak/>
        <w:drawing>
          <wp:inline distT="0" distB="0" distL="0" distR="0" wp14:anchorId="5FFF6200" wp14:editId="635F904F">
            <wp:extent cx="4845685" cy="8229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45685" cy="8229600"/>
                    </a:xfrm>
                    <a:prstGeom prst="rect">
                      <a:avLst/>
                    </a:prstGeom>
                  </pic:spPr>
                </pic:pic>
              </a:graphicData>
            </a:graphic>
          </wp:inline>
        </w:drawing>
      </w:r>
    </w:p>
    <w:p w14:paraId="44044B6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590CCB">
        <w:rPr>
          <w:rFonts w:ascii="Cambria" w:hAnsi="Cambria" w:cs="Calibri"/>
          <w:noProof/>
          <w:sz w:val="20"/>
          <w:szCs w:val="20"/>
          <w:lang w:val="es-ES"/>
        </w:rPr>
        <w:lastRenderedPageBreak/>
        <w:drawing>
          <wp:inline distT="0" distB="0" distL="0" distR="0" wp14:anchorId="64301FA2" wp14:editId="253A6A23">
            <wp:extent cx="4848225" cy="82296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48225" cy="8229600"/>
                    </a:xfrm>
                    <a:prstGeom prst="rect">
                      <a:avLst/>
                    </a:prstGeom>
                  </pic:spPr>
                </pic:pic>
              </a:graphicData>
            </a:graphic>
          </wp:inline>
        </w:drawing>
      </w:r>
    </w:p>
    <w:p w14:paraId="73CD978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B05560">
        <w:rPr>
          <w:rFonts w:ascii="Cambria" w:hAnsi="Cambria" w:cs="Calibri"/>
          <w:noProof/>
          <w:sz w:val="20"/>
          <w:szCs w:val="20"/>
          <w:lang w:val="es-ES"/>
        </w:rPr>
        <w:lastRenderedPageBreak/>
        <w:drawing>
          <wp:inline distT="0" distB="0" distL="0" distR="0" wp14:anchorId="4D0683DA" wp14:editId="0DFD1272">
            <wp:extent cx="4839970" cy="8229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39970" cy="8229600"/>
                    </a:xfrm>
                    <a:prstGeom prst="rect">
                      <a:avLst/>
                    </a:prstGeom>
                  </pic:spPr>
                </pic:pic>
              </a:graphicData>
            </a:graphic>
          </wp:inline>
        </w:drawing>
      </w:r>
    </w:p>
    <w:p w14:paraId="313B834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711543">
        <w:rPr>
          <w:rFonts w:ascii="Cambria" w:hAnsi="Cambria" w:cs="Calibri"/>
          <w:noProof/>
          <w:sz w:val="20"/>
          <w:szCs w:val="20"/>
          <w:lang w:val="es-ES"/>
        </w:rPr>
        <w:lastRenderedPageBreak/>
        <w:drawing>
          <wp:inline distT="0" distB="0" distL="0" distR="0" wp14:anchorId="40B9677F" wp14:editId="23C442F0">
            <wp:extent cx="4835525" cy="822960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35525" cy="8229600"/>
                    </a:xfrm>
                    <a:prstGeom prst="rect">
                      <a:avLst/>
                    </a:prstGeom>
                  </pic:spPr>
                </pic:pic>
              </a:graphicData>
            </a:graphic>
          </wp:inline>
        </w:drawing>
      </w:r>
    </w:p>
    <w:p w14:paraId="5327A48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2455E">
        <w:rPr>
          <w:rFonts w:ascii="Cambria" w:hAnsi="Cambria" w:cs="Calibri"/>
          <w:noProof/>
          <w:sz w:val="20"/>
          <w:szCs w:val="20"/>
          <w:lang w:val="es-ES"/>
        </w:rPr>
        <w:lastRenderedPageBreak/>
        <w:drawing>
          <wp:inline distT="0" distB="0" distL="0" distR="0" wp14:anchorId="3B48B5D3" wp14:editId="6F7421D0">
            <wp:extent cx="4838700" cy="82296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38700" cy="8229600"/>
                    </a:xfrm>
                    <a:prstGeom prst="rect">
                      <a:avLst/>
                    </a:prstGeom>
                  </pic:spPr>
                </pic:pic>
              </a:graphicData>
            </a:graphic>
          </wp:inline>
        </w:drawing>
      </w:r>
    </w:p>
    <w:p w14:paraId="32E01DF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83189F">
        <w:rPr>
          <w:rFonts w:ascii="Cambria" w:hAnsi="Cambria" w:cs="Calibri"/>
          <w:noProof/>
          <w:sz w:val="20"/>
          <w:szCs w:val="20"/>
          <w:lang w:val="es-ES"/>
        </w:rPr>
        <w:lastRenderedPageBreak/>
        <w:drawing>
          <wp:inline distT="0" distB="0" distL="0" distR="0" wp14:anchorId="55421150" wp14:editId="629F0181">
            <wp:extent cx="4845685" cy="822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45685" cy="8229600"/>
                    </a:xfrm>
                    <a:prstGeom prst="rect">
                      <a:avLst/>
                    </a:prstGeom>
                  </pic:spPr>
                </pic:pic>
              </a:graphicData>
            </a:graphic>
          </wp:inline>
        </w:drawing>
      </w:r>
    </w:p>
    <w:p w14:paraId="5AEB8DA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302FC4">
        <w:rPr>
          <w:rFonts w:ascii="Cambria" w:hAnsi="Cambria" w:cs="Calibri"/>
          <w:noProof/>
          <w:sz w:val="20"/>
          <w:szCs w:val="20"/>
          <w:lang w:val="es-ES"/>
        </w:rPr>
        <w:lastRenderedPageBreak/>
        <w:drawing>
          <wp:inline distT="0" distB="0" distL="0" distR="0" wp14:anchorId="09098ABB" wp14:editId="4E1BEBBE">
            <wp:extent cx="4831715" cy="822960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31715" cy="8229600"/>
                    </a:xfrm>
                    <a:prstGeom prst="rect">
                      <a:avLst/>
                    </a:prstGeom>
                  </pic:spPr>
                </pic:pic>
              </a:graphicData>
            </a:graphic>
          </wp:inline>
        </w:drawing>
      </w:r>
    </w:p>
    <w:p w14:paraId="19A5836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88799C">
        <w:rPr>
          <w:rFonts w:ascii="Cambria" w:hAnsi="Cambria" w:cs="Calibri"/>
          <w:noProof/>
          <w:sz w:val="20"/>
          <w:szCs w:val="20"/>
          <w:lang w:val="es-ES"/>
        </w:rPr>
        <w:lastRenderedPageBreak/>
        <w:drawing>
          <wp:inline distT="0" distB="0" distL="0" distR="0" wp14:anchorId="202FC0A0" wp14:editId="62FD837A">
            <wp:extent cx="4831715" cy="8229600"/>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31715" cy="8229600"/>
                    </a:xfrm>
                    <a:prstGeom prst="rect">
                      <a:avLst/>
                    </a:prstGeom>
                  </pic:spPr>
                </pic:pic>
              </a:graphicData>
            </a:graphic>
          </wp:inline>
        </w:drawing>
      </w:r>
    </w:p>
    <w:p w14:paraId="7DAFC4E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15372C">
        <w:rPr>
          <w:rFonts w:ascii="Cambria" w:hAnsi="Cambria" w:cs="Calibri"/>
          <w:noProof/>
          <w:sz w:val="20"/>
          <w:szCs w:val="20"/>
          <w:lang w:val="es-ES"/>
        </w:rPr>
        <w:lastRenderedPageBreak/>
        <w:drawing>
          <wp:inline distT="0" distB="0" distL="0" distR="0" wp14:anchorId="32A9D8DB" wp14:editId="38F114DD">
            <wp:extent cx="4834255" cy="8229600"/>
            <wp:effectExtent l="0" t="0" r="444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34255" cy="8229600"/>
                    </a:xfrm>
                    <a:prstGeom prst="rect">
                      <a:avLst/>
                    </a:prstGeom>
                  </pic:spPr>
                </pic:pic>
              </a:graphicData>
            </a:graphic>
          </wp:inline>
        </w:drawing>
      </w:r>
    </w:p>
    <w:p w14:paraId="5B230AF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951EB1">
        <w:rPr>
          <w:rFonts w:ascii="Cambria" w:hAnsi="Cambria" w:cs="Calibri"/>
          <w:noProof/>
          <w:sz w:val="20"/>
          <w:szCs w:val="20"/>
          <w:lang w:val="es-ES"/>
        </w:rPr>
        <w:lastRenderedPageBreak/>
        <w:drawing>
          <wp:inline distT="0" distB="0" distL="0" distR="0" wp14:anchorId="13BA2AD2" wp14:editId="6809672B">
            <wp:extent cx="4845685" cy="8229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45685" cy="8229600"/>
                    </a:xfrm>
                    <a:prstGeom prst="rect">
                      <a:avLst/>
                    </a:prstGeom>
                  </pic:spPr>
                </pic:pic>
              </a:graphicData>
            </a:graphic>
          </wp:inline>
        </w:drawing>
      </w:r>
    </w:p>
    <w:p w14:paraId="6A67C525"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051618">
        <w:rPr>
          <w:rFonts w:ascii="Cambria" w:hAnsi="Cambria" w:cs="Calibri"/>
          <w:noProof/>
          <w:sz w:val="20"/>
          <w:szCs w:val="20"/>
          <w:lang w:val="es-ES"/>
        </w:rPr>
        <w:lastRenderedPageBreak/>
        <w:drawing>
          <wp:inline distT="0" distB="0" distL="0" distR="0" wp14:anchorId="4BC7D541" wp14:editId="4C4D0963">
            <wp:extent cx="4835525" cy="82296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35525" cy="8229600"/>
                    </a:xfrm>
                    <a:prstGeom prst="rect">
                      <a:avLst/>
                    </a:prstGeom>
                  </pic:spPr>
                </pic:pic>
              </a:graphicData>
            </a:graphic>
          </wp:inline>
        </w:drawing>
      </w:r>
    </w:p>
    <w:p w14:paraId="2A03177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032902">
        <w:rPr>
          <w:rFonts w:ascii="Cambria" w:hAnsi="Cambria" w:cs="Calibri"/>
          <w:noProof/>
          <w:sz w:val="20"/>
          <w:szCs w:val="20"/>
          <w:lang w:val="es-ES"/>
        </w:rPr>
        <w:lastRenderedPageBreak/>
        <w:drawing>
          <wp:inline distT="0" distB="0" distL="0" distR="0" wp14:anchorId="426DEE96" wp14:editId="0E66BF3F">
            <wp:extent cx="4845685" cy="8229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45685" cy="8229600"/>
                    </a:xfrm>
                    <a:prstGeom prst="rect">
                      <a:avLst/>
                    </a:prstGeom>
                  </pic:spPr>
                </pic:pic>
              </a:graphicData>
            </a:graphic>
          </wp:inline>
        </w:drawing>
      </w:r>
    </w:p>
    <w:p w14:paraId="53A8608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41F9D">
        <w:rPr>
          <w:rFonts w:ascii="Cambria" w:hAnsi="Cambria" w:cs="Calibri"/>
          <w:noProof/>
          <w:sz w:val="20"/>
          <w:szCs w:val="20"/>
          <w:lang w:val="es-ES"/>
        </w:rPr>
        <w:lastRenderedPageBreak/>
        <w:drawing>
          <wp:inline distT="0" distB="0" distL="0" distR="0" wp14:anchorId="16C383B2" wp14:editId="659FF2CB">
            <wp:extent cx="4842510" cy="8229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42510" cy="8229600"/>
                    </a:xfrm>
                    <a:prstGeom prst="rect">
                      <a:avLst/>
                    </a:prstGeom>
                  </pic:spPr>
                </pic:pic>
              </a:graphicData>
            </a:graphic>
          </wp:inline>
        </w:drawing>
      </w:r>
    </w:p>
    <w:p w14:paraId="7D8C50F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B108C">
        <w:rPr>
          <w:rFonts w:ascii="Cambria" w:hAnsi="Cambria" w:cs="Calibri"/>
          <w:noProof/>
          <w:sz w:val="20"/>
          <w:szCs w:val="20"/>
          <w:lang w:val="es-ES"/>
        </w:rPr>
        <w:lastRenderedPageBreak/>
        <w:drawing>
          <wp:inline distT="0" distB="0" distL="0" distR="0" wp14:anchorId="44323940" wp14:editId="55CB2E7B">
            <wp:extent cx="4842510" cy="82296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42510" cy="8229600"/>
                    </a:xfrm>
                    <a:prstGeom prst="rect">
                      <a:avLst/>
                    </a:prstGeom>
                  </pic:spPr>
                </pic:pic>
              </a:graphicData>
            </a:graphic>
          </wp:inline>
        </w:drawing>
      </w:r>
    </w:p>
    <w:p w14:paraId="0B0B14D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B108C">
        <w:rPr>
          <w:rFonts w:ascii="Cambria" w:hAnsi="Cambria" w:cs="Calibri"/>
          <w:noProof/>
          <w:sz w:val="20"/>
          <w:szCs w:val="20"/>
          <w:lang w:val="es-ES"/>
        </w:rPr>
        <w:lastRenderedPageBreak/>
        <w:drawing>
          <wp:inline distT="0" distB="0" distL="0" distR="0" wp14:anchorId="6EC3038A" wp14:editId="4A6BC3B0">
            <wp:extent cx="4845685" cy="8229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45685" cy="8229600"/>
                    </a:xfrm>
                    <a:prstGeom prst="rect">
                      <a:avLst/>
                    </a:prstGeom>
                  </pic:spPr>
                </pic:pic>
              </a:graphicData>
            </a:graphic>
          </wp:inline>
        </w:drawing>
      </w:r>
    </w:p>
    <w:p w14:paraId="432B0805"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A25AD6">
        <w:rPr>
          <w:rFonts w:ascii="Cambria" w:hAnsi="Cambria" w:cs="Calibri"/>
          <w:noProof/>
          <w:sz w:val="20"/>
          <w:szCs w:val="20"/>
          <w:lang w:val="es-ES"/>
        </w:rPr>
        <w:lastRenderedPageBreak/>
        <w:drawing>
          <wp:inline distT="0" distB="0" distL="0" distR="0" wp14:anchorId="233F08D6" wp14:editId="4442C1AC">
            <wp:extent cx="4838700" cy="8229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38700" cy="8229600"/>
                    </a:xfrm>
                    <a:prstGeom prst="rect">
                      <a:avLst/>
                    </a:prstGeom>
                  </pic:spPr>
                </pic:pic>
              </a:graphicData>
            </a:graphic>
          </wp:inline>
        </w:drawing>
      </w:r>
    </w:p>
    <w:p w14:paraId="64DF7D15"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8A6230">
        <w:rPr>
          <w:rFonts w:ascii="Cambria" w:hAnsi="Cambria" w:cs="Calibri"/>
          <w:noProof/>
          <w:sz w:val="20"/>
          <w:szCs w:val="20"/>
          <w:lang w:val="es-ES"/>
        </w:rPr>
        <w:lastRenderedPageBreak/>
        <w:drawing>
          <wp:inline distT="0" distB="0" distL="0" distR="0" wp14:anchorId="500CCBB5" wp14:editId="15EFD1FF">
            <wp:extent cx="4834255" cy="8229600"/>
            <wp:effectExtent l="0" t="0" r="444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34255" cy="8229600"/>
                    </a:xfrm>
                    <a:prstGeom prst="rect">
                      <a:avLst/>
                    </a:prstGeom>
                  </pic:spPr>
                </pic:pic>
              </a:graphicData>
            </a:graphic>
          </wp:inline>
        </w:drawing>
      </w:r>
    </w:p>
    <w:p w14:paraId="6CCE839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8A6230">
        <w:rPr>
          <w:rFonts w:ascii="Cambria" w:hAnsi="Cambria" w:cs="Calibri"/>
          <w:noProof/>
          <w:sz w:val="20"/>
          <w:szCs w:val="20"/>
          <w:lang w:val="es-ES"/>
        </w:rPr>
        <w:lastRenderedPageBreak/>
        <w:drawing>
          <wp:inline distT="0" distB="0" distL="0" distR="0" wp14:anchorId="2C57E50D" wp14:editId="42FAED27">
            <wp:extent cx="4845685" cy="8229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45685" cy="8229600"/>
                    </a:xfrm>
                    <a:prstGeom prst="rect">
                      <a:avLst/>
                    </a:prstGeom>
                  </pic:spPr>
                </pic:pic>
              </a:graphicData>
            </a:graphic>
          </wp:inline>
        </w:drawing>
      </w:r>
    </w:p>
    <w:p w14:paraId="499B267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7D2AF4">
        <w:rPr>
          <w:rFonts w:ascii="Cambria" w:hAnsi="Cambria" w:cs="Calibri"/>
          <w:noProof/>
          <w:sz w:val="20"/>
          <w:szCs w:val="20"/>
          <w:lang w:val="es-ES"/>
        </w:rPr>
        <w:lastRenderedPageBreak/>
        <w:drawing>
          <wp:inline distT="0" distB="0" distL="0" distR="0" wp14:anchorId="2F68CB4F" wp14:editId="624C5CE1">
            <wp:extent cx="4809206" cy="3723024"/>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70997" cy="3770859"/>
                    </a:xfrm>
                    <a:prstGeom prst="rect">
                      <a:avLst/>
                    </a:prstGeom>
                  </pic:spPr>
                </pic:pic>
              </a:graphicData>
            </a:graphic>
          </wp:inline>
        </w:drawing>
      </w:r>
    </w:p>
    <w:p w14:paraId="601EE783" w14:textId="77777777" w:rsidR="00A212B7" w:rsidRDefault="00A212B7" w:rsidP="00A212B7">
      <w:pPr>
        <w:rPr>
          <w:rFonts w:ascii="Cambria" w:eastAsia="Times New Roman" w:hAnsi="Cambria" w:cs="Calibri"/>
          <w:sz w:val="20"/>
          <w:szCs w:val="20"/>
          <w:bdr w:val="none" w:sz="0" w:space="0" w:color="auto"/>
          <w:lang w:val="es-ES"/>
        </w:rPr>
      </w:pPr>
      <w:r>
        <w:rPr>
          <w:rFonts w:ascii="Cambria" w:hAnsi="Cambria" w:cs="Calibri"/>
          <w:sz w:val="20"/>
          <w:szCs w:val="20"/>
          <w:lang w:val="es-ES"/>
        </w:rPr>
        <w:br w:type="page"/>
      </w:r>
    </w:p>
    <w:p w14:paraId="1CA46F5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Pr>
          <w:rFonts w:ascii="Cambria" w:hAnsi="Cambria" w:cs="Calibri"/>
          <w:noProof/>
          <w:sz w:val="20"/>
          <w:szCs w:val="20"/>
          <w:lang w:val="es-ES"/>
        </w:rPr>
        <w:lastRenderedPageBreak/>
        <w:drawing>
          <wp:anchor distT="0" distB="0" distL="114300" distR="114300" simplePos="0" relativeHeight="251688960" behindDoc="0" locked="0" layoutInCell="1" allowOverlap="1" wp14:anchorId="26941302" wp14:editId="19AA0374">
            <wp:simplePos x="0" y="0"/>
            <wp:positionH relativeFrom="column">
              <wp:posOffset>977265</wp:posOffset>
            </wp:positionH>
            <wp:positionV relativeFrom="paragraph">
              <wp:posOffset>78577</wp:posOffset>
            </wp:positionV>
            <wp:extent cx="3616781" cy="485901"/>
            <wp:effectExtent l="0" t="0" r="3175" b="9525"/>
            <wp:wrapNone/>
            <wp:docPr id="73" name="Picture 73"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ackground pattern&#10;&#10;Description automatically generated with low confidence"/>
                    <pic:cNvPicPr/>
                  </pic:nvPicPr>
                  <pic:blipFill>
                    <a:blip r:embed="rId14"/>
                    <a:stretch>
                      <a:fillRect/>
                    </a:stretch>
                  </pic:blipFill>
                  <pic:spPr>
                    <a:xfrm flipV="1">
                      <a:off x="0" y="0"/>
                      <a:ext cx="3616781" cy="485901"/>
                    </a:xfrm>
                    <a:prstGeom prst="rect">
                      <a:avLst/>
                    </a:prstGeom>
                  </pic:spPr>
                </pic:pic>
              </a:graphicData>
            </a:graphic>
            <wp14:sizeRelH relativeFrom="margin">
              <wp14:pctWidth>0</wp14:pctWidth>
            </wp14:sizeRelH>
            <wp14:sizeRelV relativeFrom="margin">
              <wp14:pctHeight>0</wp14:pctHeight>
            </wp14:sizeRelV>
          </wp:anchor>
        </w:drawing>
      </w:r>
      <w:r w:rsidRPr="000144E6">
        <w:rPr>
          <w:rFonts w:ascii="Cambria" w:hAnsi="Cambria" w:cs="Calibri"/>
          <w:noProof/>
          <w:sz w:val="20"/>
          <w:szCs w:val="20"/>
          <w:lang w:val="es-ES"/>
        </w:rPr>
        <w:drawing>
          <wp:inline distT="0" distB="0" distL="0" distR="0" wp14:anchorId="2A5336CF" wp14:editId="556A697B">
            <wp:extent cx="4897755" cy="82296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97755" cy="8229600"/>
                    </a:xfrm>
                    <a:prstGeom prst="rect">
                      <a:avLst/>
                    </a:prstGeom>
                  </pic:spPr>
                </pic:pic>
              </a:graphicData>
            </a:graphic>
          </wp:inline>
        </w:drawing>
      </w:r>
    </w:p>
    <w:p w14:paraId="6B506C3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B371F9">
        <w:rPr>
          <w:rFonts w:ascii="Cambria" w:hAnsi="Cambria" w:cs="Calibri"/>
          <w:noProof/>
          <w:sz w:val="20"/>
          <w:szCs w:val="20"/>
          <w:lang w:val="es-ES"/>
        </w:rPr>
        <w:lastRenderedPageBreak/>
        <w:drawing>
          <wp:inline distT="0" distB="0" distL="0" distR="0" wp14:anchorId="6E5D7C0E" wp14:editId="136D2644">
            <wp:extent cx="4827270" cy="8229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27270" cy="8229600"/>
                    </a:xfrm>
                    <a:prstGeom prst="rect">
                      <a:avLst/>
                    </a:prstGeom>
                  </pic:spPr>
                </pic:pic>
              </a:graphicData>
            </a:graphic>
          </wp:inline>
        </w:drawing>
      </w:r>
    </w:p>
    <w:p w14:paraId="0755683C"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A38A5">
        <w:rPr>
          <w:rFonts w:ascii="Cambria" w:hAnsi="Cambria" w:cs="Calibri"/>
          <w:noProof/>
          <w:sz w:val="20"/>
          <w:szCs w:val="20"/>
          <w:lang w:val="es-ES"/>
        </w:rPr>
        <w:lastRenderedPageBreak/>
        <w:drawing>
          <wp:inline distT="0" distB="0" distL="0" distR="0" wp14:anchorId="5D61B7DF" wp14:editId="08D7D68F">
            <wp:extent cx="4834255" cy="8229600"/>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34255" cy="8229600"/>
                    </a:xfrm>
                    <a:prstGeom prst="rect">
                      <a:avLst/>
                    </a:prstGeom>
                  </pic:spPr>
                </pic:pic>
              </a:graphicData>
            </a:graphic>
          </wp:inline>
        </w:drawing>
      </w:r>
    </w:p>
    <w:p w14:paraId="728C73E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526E9C">
        <w:rPr>
          <w:rFonts w:ascii="Cambria" w:hAnsi="Cambria" w:cs="Calibri"/>
          <w:noProof/>
          <w:sz w:val="20"/>
          <w:szCs w:val="20"/>
          <w:lang w:val="es-ES"/>
        </w:rPr>
        <w:lastRenderedPageBreak/>
        <w:drawing>
          <wp:inline distT="0" distB="0" distL="0" distR="0" wp14:anchorId="5B4ED8AE" wp14:editId="7ADB75E8">
            <wp:extent cx="4834255" cy="8229600"/>
            <wp:effectExtent l="0" t="0" r="444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34255" cy="8229600"/>
                    </a:xfrm>
                    <a:prstGeom prst="rect">
                      <a:avLst/>
                    </a:prstGeom>
                  </pic:spPr>
                </pic:pic>
              </a:graphicData>
            </a:graphic>
          </wp:inline>
        </w:drawing>
      </w:r>
    </w:p>
    <w:p w14:paraId="11464D6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526E9C">
        <w:rPr>
          <w:rFonts w:ascii="Cambria" w:hAnsi="Cambria" w:cs="Calibri"/>
          <w:noProof/>
          <w:sz w:val="20"/>
          <w:szCs w:val="20"/>
          <w:lang w:val="es-ES"/>
        </w:rPr>
        <w:lastRenderedPageBreak/>
        <w:drawing>
          <wp:inline distT="0" distB="0" distL="0" distR="0" wp14:anchorId="5047384C" wp14:editId="57478E8E">
            <wp:extent cx="4843780" cy="8229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43780" cy="8229600"/>
                    </a:xfrm>
                    <a:prstGeom prst="rect">
                      <a:avLst/>
                    </a:prstGeom>
                  </pic:spPr>
                </pic:pic>
              </a:graphicData>
            </a:graphic>
          </wp:inline>
        </w:drawing>
      </w:r>
    </w:p>
    <w:p w14:paraId="5114AAD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4E4AA6">
        <w:rPr>
          <w:rFonts w:ascii="Cambria" w:hAnsi="Cambria" w:cs="Calibri"/>
          <w:noProof/>
          <w:sz w:val="20"/>
          <w:szCs w:val="20"/>
          <w:lang w:val="es-ES"/>
        </w:rPr>
        <w:lastRenderedPageBreak/>
        <w:drawing>
          <wp:inline distT="0" distB="0" distL="0" distR="0" wp14:anchorId="6F34BA58" wp14:editId="54DDBD3A">
            <wp:extent cx="4866005" cy="8229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66005" cy="8229600"/>
                    </a:xfrm>
                    <a:prstGeom prst="rect">
                      <a:avLst/>
                    </a:prstGeom>
                  </pic:spPr>
                </pic:pic>
              </a:graphicData>
            </a:graphic>
          </wp:inline>
        </w:drawing>
      </w:r>
    </w:p>
    <w:p w14:paraId="20EB7B1D"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F5913">
        <w:rPr>
          <w:rFonts w:ascii="Cambria" w:hAnsi="Cambria" w:cs="Calibri"/>
          <w:noProof/>
          <w:sz w:val="20"/>
          <w:szCs w:val="20"/>
          <w:lang w:val="es-ES"/>
        </w:rPr>
        <w:lastRenderedPageBreak/>
        <w:drawing>
          <wp:inline distT="0" distB="0" distL="0" distR="0" wp14:anchorId="59B12C44" wp14:editId="7CFC1081">
            <wp:extent cx="4856480" cy="8229600"/>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56480" cy="8229600"/>
                    </a:xfrm>
                    <a:prstGeom prst="rect">
                      <a:avLst/>
                    </a:prstGeom>
                  </pic:spPr>
                </pic:pic>
              </a:graphicData>
            </a:graphic>
          </wp:inline>
        </w:drawing>
      </w:r>
    </w:p>
    <w:p w14:paraId="04DEBC1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Pr>
          <w:rFonts w:ascii="Cambria" w:hAnsi="Cambria" w:cs="Calibri"/>
          <w:noProof/>
          <w:sz w:val="20"/>
          <w:szCs w:val="20"/>
          <w:lang w:val="es-ES"/>
        </w:rPr>
        <w:lastRenderedPageBreak/>
        <w:drawing>
          <wp:anchor distT="0" distB="0" distL="114300" distR="114300" simplePos="0" relativeHeight="251687936" behindDoc="0" locked="0" layoutInCell="1" allowOverlap="1" wp14:anchorId="6D1222F7" wp14:editId="6BD4528B">
            <wp:simplePos x="0" y="0"/>
            <wp:positionH relativeFrom="column">
              <wp:posOffset>1720158</wp:posOffset>
            </wp:positionH>
            <wp:positionV relativeFrom="paragraph">
              <wp:posOffset>0</wp:posOffset>
            </wp:positionV>
            <wp:extent cx="2598345" cy="518645"/>
            <wp:effectExtent l="0" t="0" r="0" b="0"/>
            <wp:wrapNone/>
            <wp:docPr id="72" name="Picture 72" descr="Background patter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ackground pattern&#10;&#10;Description automatically generated with low confidence"/>
                    <pic:cNvPicPr/>
                  </pic:nvPicPr>
                  <pic:blipFill>
                    <a:blip r:embed="rId14"/>
                    <a:stretch>
                      <a:fillRect/>
                    </a:stretch>
                  </pic:blipFill>
                  <pic:spPr>
                    <a:xfrm>
                      <a:off x="0" y="0"/>
                      <a:ext cx="2598345" cy="518645"/>
                    </a:xfrm>
                    <a:prstGeom prst="rect">
                      <a:avLst/>
                    </a:prstGeom>
                  </pic:spPr>
                </pic:pic>
              </a:graphicData>
            </a:graphic>
            <wp14:sizeRelH relativeFrom="margin">
              <wp14:pctWidth>0</wp14:pctWidth>
            </wp14:sizeRelH>
          </wp:anchor>
        </w:drawing>
      </w:r>
      <w:r w:rsidRPr="00B8124B">
        <w:rPr>
          <w:rFonts w:ascii="Cambria" w:hAnsi="Cambria" w:cs="Calibri"/>
          <w:noProof/>
          <w:sz w:val="20"/>
          <w:szCs w:val="20"/>
          <w:lang w:val="es-ES"/>
        </w:rPr>
        <w:drawing>
          <wp:inline distT="0" distB="0" distL="0" distR="0" wp14:anchorId="4B6F7F3A" wp14:editId="0F70C118">
            <wp:extent cx="5943600" cy="75114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7511415"/>
                    </a:xfrm>
                    <a:prstGeom prst="rect">
                      <a:avLst/>
                    </a:prstGeom>
                  </pic:spPr>
                </pic:pic>
              </a:graphicData>
            </a:graphic>
          </wp:inline>
        </w:drawing>
      </w:r>
    </w:p>
    <w:p w14:paraId="6FE171F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6DD63B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6469D9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E17D82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3CD5D5D"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822D97">
        <w:rPr>
          <w:rFonts w:ascii="Cambria" w:hAnsi="Cambria" w:cs="Calibri"/>
          <w:noProof/>
          <w:sz w:val="20"/>
          <w:szCs w:val="20"/>
          <w:lang w:val="es-ES"/>
        </w:rPr>
        <w:lastRenderedPageBreak/>
        <w:drawing>
          <wp:inline distT="0" distB="0" distL="0" distR="0" wp14:anchorId="73AC7435" wp14:editId="39F301D3">
            <wp:extent cx="5943600" cy="7675880"/>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7675880"/>
                    </a:xfrm>
                    <a:prstGeom prst="rect">
                      <a:avLst/>
                    </a:prstGeom>
                  </pic:spPr>
                </pic:pic>
              </a:graphicData>
            </a:graphic>
          </wp:inline>
        </w:drawing>
      </w:r>
    </w:p>
    <w:p w14:paraId="68838DE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19E7BDF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A6EBD63" w14:textId="45203C7F"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5645BF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237A0D">
        <w:rPr>
          <w:rFonts w:ascii="Cambria" w:hAnsi="Cambria" w:cs="Calibri"/>
          <w:noProof/>
          <w:sz w:val="20"/>
          <w:szCs w:val="20"/>
          <w:lang w:val="es-ES"/>
        </w:rPr>
        <w:lastRenderedPageBreak/>
        <w:drawing>
          <wp:inline distT="0" distB="0" distL="0" distR="0" wp14:anchorId="1A4B63A7" wp14:editId="593ACBBE">
            <wp:extent cx="5943600" cy="76854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7685405"/>
                    </a:xfrm>
                    <a:prstGeom prst="rect">
                      <a:avLst/>
                    </a:prstGeom>
                  </pic:spPr>
                </pic:pic>
              </a:graphicData>
            </a:graphic>
          </wp:inline>
        </w:drawing>
      </w:r>
    </w:p>
    <w:p w14:paraId="6628631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66DBC0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AD3102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E1F065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74638B">
        <w:rPr>
          <w:rFonts w:ascii="Cambria" w:hAnsi="Cambria" w:cs="Calibri"/>
          <w:noProof/>
          <w:sz w:val="20"/>
          <w:szCs w:val="20"/>
          <w:lang w:val="es-ES"/>
        </w:rPr>
        <w:lastRenderedPageBreak/>
        <w:drawing>
          <wp:inline distT="0" distB="0" distL="0" distR="0" wp14:anchorId="3FA71C34" wp14:editId="08F1CB1D">
            <wp:extent cx="5943600" cy="7670800"/>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7670800"/>
                    </a:xfrm>
                    <a:prstGeom prst="rect">
                      <a:avLst/>
                    </a:prstGeom>
                  </pic:spPr>
                </pic:pic>
              </a:graphicData>
            </a:graphic>
          </wp:inline>
        </w:drawing>
      </w:r>
    </w:p>
    <w:p w14:paraId="07446DC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7349AD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825671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DF0217C"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EF2AAD">
        <w:rPr>
          <w:rFonts w:ascii="Cambria" w:hAnsi="Cambria" w:cs="Calibri"/>
          <w:noProof/>
          <w:sz w:val="20"/>
          <w:szCs w:val="20"/>
          <w:lang w:val="es-ES"/>
        </w:rPr>
        <w:lastRenderedPageBreak/>
        <w:drawing>
          <wp:inline distT="0" distB="0" distL="0" distR="0" wp14:anchorId="3F09D14E" wp14:editId="76AF78E5">
            <wp:extent cx="5943600" cy="7636510"/>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7636510"/>
                    </a:xfrm>
                    <a:prstGeom prst="rect">
                      <a:avLst/>
                    </a:prstGeom>
                  </pic:spPr>
                </pic:pic>
              </a:graphicData>
            </a:graphic>
          </wp:inline>
        </w:drawing>
      </w:r>
    </w:p>
    <w:p w14:paraId="00418D3C"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DD3DB9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39BEA7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F7E27A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2781E">
        <w:rPr>
          <w:rFonts w:ascii="Cambria" w:hAnsi="Cambria" w:cs="Calibri"/>
          <w:noProof/>
          <w:sz w:val="20"/>
          <w:szCs w:val="20"/>
          <w:lang w:val="es-ES"/>
        </w:rPr>
        <w:lastRenderedPageBreak/>
        <w:drawing>
          <wp:inline distT="0" distB="0" distL="0" distR="0" wp14:anchorId="44BDE80C" wp14:editId="447BDBC4">
            <wp:extent cx="5943600" cy="76612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7661275"/>
                    </a:xfrm>
                    <a:prstGeom prst="rect">
                      <a:avLst/>
                    </a:prstGeom>
                  </pic:spPr>
                </pic:pic>
              </a:graphicData>
            </a:graphic>
          </wp:inline>
        </w:drawing>
      </w:r>
    </w:p>
    <w:p w14:paraId="65C3FE78"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B06226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56296F8"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524681D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2C5880">
        <w:rPr>
          <w:rFonts w:ascii="Cambria" w:hAnsi="Cambria" w:cs="Calibri"/>
          <w:noProof/>
          <w:sz w:val="20"/>
          <w:szCs w:val="20"/>
          <w:lang w:val="es-ES"/>
        </w:rPr>
        <w:lastRenderedPageBreak/>
        <w:drawing>
          <wp:inline distT="0" distB="0" distL="0" distR="0" wp14:anchorId="5EAACC03" wp14:editId="596178D0">
            <wp:extent cx="5943600" cy="76650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7665085"/>
                    </a:xfrm>
                    <a:prstGeom prst="rect">
                      <a:avLst/>
                    </a:prstGeom>
                  </pic:spPr>
                </pic:pic>
              </a:graphicData>
            </a:graphic>
          </wp:inline>
        </w:drawing>
      </w:r>
    </w:p>
    <w:p w14:paraId="75F09F9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B289AA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4FC12D11"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40EAB47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816FD">
        <w:rPr>
          <w:rFonts w:ascii="Cambria" w:hAnsi="Cambria" w:cs="Calibri"/>
          <w:noProof/>
          <w:sz w:val="20"/>
          <w:szCs w:val="20"/>
          <w:lang w:val="es-ES"/>
        </w:rPr>
        <w:lastRenderedPageBreak/>
        <w:drawing>
          <wp:inline distT="0" distB="0" distL="0" distR="0" wp14:anchorId="0B64A8B8" wp14:editId="2FA95690">
            <wp:extent cx="5943600" cy="7649210"/>
            <wp:effectExtent l="0" t="0" r="0" b="889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7649210"/>
                    </a:xfrm>
                    <a:prstGeom prst="rect">
                      <a:avLst/>
                    </a:prstGeom>
                  </pic:spPr>
                </pic:pic>
              </a:graphicData>
            </a:graphic>
          </wp:inline>
        </w:drawing>
      </w:r>
    </w:p>
    <w:p w14:paraId="0719805D"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85E286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4F41EA1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EBE3E0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111A33">
        <w:rPr>
          <w:rFonts w:ascii="Cambria" w:hAnsi="Cambria" w:cs="Calibri"/>
          <w:noProof/>
          <w:sz w:val="20"/>
          <w:szCs w:val="20"/>
          <w:lang w:val="es-ES"/>
        </w:rPr>
        <w:lastRenderedPageBreak/>
        <w:drawing>
          <wp:inline distT="0" distB="0" distL="0" distR="0" wp14:anchorId="0E6AA33D" wp14:editId="2C05153B">
            <wp:extent cx="5943600" cy="76930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7693025"/>
                    </a:xfrm>
                    <a:prstGeom prst="rect">
                      <a:avLst/>
                    </a:prstGeom>
                  </pic:spPr>
                </pic:pic>
              </a:graphicData>
            </a:graphic>
          </wp:inline>
        </w:drawing>
      </w:r>
    </w:p>
    <w:p w14:paraId="535DC1C5"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4EDF83B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FCE26C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52B28BD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EA4C29">
        <w:rPr>
          <w:rFonts w:ascii="Cambria" w:hAnsi="Cambria" w:cs="Calibri"/>
          <w:noProof/>
          <w:sz w:val="20"/>
          <w:szCs w:val="20"/>
          <w:lang w:val="es-ES"/>
        </w:rPr>
        <w:lastRenderedPageBreak/>
        <w:drawing>
          <wp:inline distT="0" distB="0" distL="0" distR="0" wp14:anchorId="5A0C4981" wp14:editId="246CC83C">
            <wp:extent cx="5943600" cy="768794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3600" cy="7687945"/>
                    </a:xfrm>
                    <a:prstGeom prst="rect">
                      <a:avLst/>
                    </a:prstGeom>
                  </pic:spPr>
                </pic:pic>
              </a:graphicData>
            </a:graphic>
          </wp:inline>
        </w:drawing>
      </w:r>
    </w:p>
    <w:p w14:paraId="26AA9D9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A6C09A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1DBA880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18008DD2"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D7321F">
        <w:rPr>
          <w:rFonts w:ascii="Cambria" w:hAnsi="Cambria" w:cs="Calibri"/>
          <w:noProof/>
          <w:sz w:val="20"/>
          <w:szCs w:val="20"/>
          <w:lang w:val="es-ES"/>
        </w:rPr>
        <w:lastRenderedPageBreak/>
        <w:drawing>
          <wp:inline distT="0" distB="0" distL="0" distR="0" wp14:anchorId="7C4A6EA0" wp14:editId="4E82DF3E">
            <wp:extent cx="5943600" cy="7694930"/>
            <wp:effectExtent l="0" t="0" r="0" b="127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7694930"/>
                    </a:xfrm>
                    <a:prstGeom prst="rect">
                      <a:avLst/>
                    </a:prstGeom>
                  </pic:spPr>
                </pic:pic>
              </a:graphicData>
            </a:graphic>
          </wp:inline>
        </w:drawing>
      </w:r>
    </w:p>
    <w:p w14:paraId="684D63A4"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BF466D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A192A67"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27CA08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D952ED">
        <w:rPr>
          <w:rFonts w:ascii="Cambria" w:hAnsi="Cambria" w:cs="Calibri"/>
          <w:noProof/>
          <w:sz w:val="20"/>
          <w:szCs w:val="20"/>
          <w:lang w:val="es-ES"/>
        </w:rPr>
        <w:lastRenderedPageBreak/>
        <w:drawing>
          <wp:inline distT="0" distB="0" distL="0" distR="0" wp14:anchorId="0DBB35C1" wp14:editId="6209D3A0">
            <wp:extent cx="5943600" cy="76835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7683500"/>
                    </a:xfrm>
                    <a:prstGeom prst="rect">
                      <a:avLst/>
                    </a:prstGeom>
                  </pic:spPr>
                </pic:pic>
              </a:graphicData>
            </a:graphic>
          </wp:inline>
        </w:drawing>
      </w:r>
    </w:p>
    <w:p w14:paraId="62278FE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22C916A5"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17767D7A"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7B87A60"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380605">
        <w:rPr>
          <w:rFonts w:ascii="Cambria" w:hAnsi="Cambria" w:cs="Calibri"/>
          <w:noProof/>
          <w:sz w:val="20"/>
          <w:szCs w:val="20"/>
          <w:lang w:val="es-ES"/>
        </w:rPr>
        <w:lastRenderedPageBreak/>
        <w:drawing>
          <wp:inline distT="0" distB="0" distL="0" distR="0" wp14:anchorId="2E0888E7" wp14:editId="1878CF5A">
            <wp:extent cx="5943600" cy="76803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3600" cy="7680325"/>
                    </a:xfrm>
                    <a:prstGeom prst="rect">
                      <a:avLst/>
                    </a:prstGeom>
                  </pic:spPr>
                </pic:pic>
              </a:graphicData>
            </a:graphic>
          </wp:inline>
        </w:drawing>
      </w:r>
    </w:p>
    <w:p w14:paraId="3B3B9289"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77716D8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5584CDFB"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62DEF783"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CC4600">
        <w:rPr>
          <w:rFonts w:ascii="Cambria" w:hAnsi="Cambria" w:cs="Calibri"/>
          <w:noProof/>
          <w:sz w:val="20"/>
          <w:szCs w:val="20"/>
          <w:lang w:val="es-ES"/>
        </w:rPr>
        <w:lastRenderedPageBreak/>
        <w:drawing>
          <wp:inline distT="0" distB="0" distL="0" distR="0" wp14:anchorId="6DB76378" wp14:editId="2F6FE024">
            <wp:extent cx="5943600" cy="76536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7653655"/>
                    </a:xfrm>
                    <a:prstGeom prst="rect">
                      <a:avLst/>
                    </a:prstGeom>
                  </pic:spPr>
                </pic:pic>
              </a:graphicData>
            </a:graphic>
          </wp:inline>
        </w:drawing>
      </w:r>
    </w:p>
    <w:p w14:paraId="1ECA5AEC"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540ECCA6"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56CDEFFE"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p>
    <w:p w14:paraId="357CCE7F" w14:textId="77777777" w:rsidR="00A212B7" w:rsidRDefault="00A212B7" w:rsidP="00A212B7">
      <w:pPr>
        <w:pStyle w:val="paragraph"/>
        <w:spacing w:before="0" w:beforeAutospacing="0" w:after="0" w:afterAutospacing="0"/>
        <w:jc w:val="center"/>
        <w:textAlignment w:val="baseline"/>
        <w:rPr>
          <w:rFonts w:ascii="Cambria" w:hAnsi="Cambria" w:cs="Calibri"/>
          <w:sz w:val="20"/>
          <w:szCs w:val="20"/>
          <w:lang w:val="es-ES"/>
        </w:rPr>
      </w:pPr>
      <w:r w:rsidRPr="00627D85">
        <w:rPr>
          <w:rFonts w:ascii="Cambria" w:hAnsi="Cambria" w:cs="Calibri"/>
          <w:noProof/>
          <w:sz w:val="20"/>
          <w:szCs w:val="20"/>
          <w:lang w:val="es-ES"/>
        </w:rPr>
        <w:lastRenderedPageBreak/>
        <w:drawing>
          <wp:inline distT="0" distB="0" distL="0" distR="0" wp14:anchorId="71F68E21" wp14:editId="1AB78C04">
            <wp:extent cx="5943600" cy="7922260"/>
            <wp:effectExtent l="0" t="0" r="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7922260"/>
                    </a:xfrm>
                    <a:prstGeom prst="rect">
                      <a:avLst/>
                    </a:prstGeom>
                  </pic:spPr>
                </pic:pic>
              </a:graphicData>
            </a:graphic>
          </wp:inline>
        </w:drawing>
      </w:r>
    </w:p>
    <w:p w14:paraId="6AC80CA6" w14:textId="77777777" w:rsidR="00722C9F" w:rsidRPr="00037EC6" w:rsidRDefault="00722C9F" w:rsidP="00974491">
      <w:pPr>
        <w:rPr>
          <w:rFonts w:asciiTheme="majorHAnsi" w:hAnsiTheme="majorHAnsi" w:cs="Calibri"/>
          <w:sz w:val="20"/>
          <w:szCs w:val="20"/>
          <w:lang w:val="es-ES"/>
        </w:rPr>
      </w:pPr>
    </w:p>
    <w:sectPr w:rsidR="00722C9F" w:rsidRPr="00037EC6" w:rsidSect="00934A2C">
      <w:type w:val="oddPage"/>
      <w:pgSz w:w="12240" w:h="15840"/>
      <w:pgMar w:top="1440" w:right="1440" w:bottom="1440" w:left="144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18ED5C" w14:textId="77777777" w:rsidR="00F41C77" w:rsidRDefault="00F41C77">
      <w:r>
        <w:separator/>
      </w:r>
    </w:p>
  </w:endnote>
  <w:endnote w:type="continuationSeparator" w:id="0">
    <w:p w14:paraId="0B5C20B7" w14:textId="77777777" w:rsidR="00F41C77" w:rsidRDefault="00F41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altName w:val="Univers"/>
    <w:charset w:val="00"/>
    <w:family w:val="swiss"/>
    <w:pitch w:val="variable"/>
    <w:sig w:usb0="80000287" w:usb1="00000000" w:usb2="00000000" w:usb3="00000000" w:csb0="0000000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32081886"/>
      <w:docPartObj>
        <w:docPartGallery w:val="Page Numbers (Bottom of Page)"/>
        <w:docPartUnique/>
      </w:docPartObj>
    </w:sdtPr>
    <w:sdtEndPr>
      <w:rPr>
        <w:noProof/>
        <w:sz w:val="16"/>
        <w:szCs w:val="22"/>
      </w:rPr>
    </w:sdtEndPr>
    <w:sdtContent>
      <w:p w14:paraId="29E243E2" w14:textId="25B7F197" w:rsidR="0070697F" w:rsidRPr="00934A2C" w:rsidRDefault="0070697F">
        <w:pPr>
          <w:pStyle w:val="Footer"/>
          <w:jc w:val="center"/>
          <w:rPr>
            <w:sz w:val="16"/>
            <w:szCs w:val="22"/>
          </w:rPr>
        </w:pPr>
        <w:r w:rsidRPr="00934A2C">
          <w:rPr>
            <w:sz w:val="16"/>
            <w:szCs w:val="22"/>
          </w:rPr>
          <w:fldChar w:fldCharType="begin"/>
        </w:r>
        <w:r w:rsidRPr="00934A2C">
          <w:rPr>
            <w:sz w:val="16"/>
            <w:szCs w:val="22"/>
          </w:rPr>
          <w:instrText xml:space="preserve"> PAGE   \* MERGEFORMAT </w:instrText>
        </w:r>
        <w:r w:rsidRPr="00934A2C">
          <w:rPr>
            <w:sz w:val="16"/>
            <w:szCs w:val="22"/>
          </w:rPr>
          <w:fldChar w:fldCharType="separate"/>
        </w:r>
        <w:r w:rsidR="005D38F9">
          <w:rPr>
            <w:noProof/>
            <w:sz w:val="16"/>
            <w:szCs w:val="22"/>
          </w:rPr>
          <w:t>2</w:t>
        </w:r>
        <w:r w:rsidRPr="00934A2C">
          <w:rPr>
            <w:noProof/>
            <w:sz w:val="16"/>
            <w:szCs w:val="22"/>
          </w:rPr>
          <w:fldChar w:fldCharType="end"/>
        </w:r>
      </w:p>
    </w:sdtContent>
  </w:sdt>
  <w:p w14:paraId="68530E6A" w14:textId="77777777" w:rsidR="0070697F" w:rsidRDefault="0070697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54FDC" w14:textId="77777777" w:rsidR="0070697F" w:rsidRPr="00934A2C" w:rsidRDefault="0070697F">
    <w:pPr>
      <w:pStyle w:val="Footer"/>
      <w:jc w:val="center"/>
      <w:rPr>
        <w:sz w:val="16"/>
        <w:szCs w:val="22"/>
      </w:rPr>
    </w:pPr>
  </w:p>
  <w:p w14:paraId="49059CE3" w14:textId="77777777" w:rsidR="0070697F" w:rsidRDefault="0070697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A68ECB" w14:textId="77777777" w:rsidR="00F41C77" w:rsidRPr="000F35ED" w:rsidRDefault="00F41C77">
      <w:pPr>
        <w:rPr>
          <w:rFonts w:asciiTheme="majorHAnsi" w:hAnsiTheme="majorHAnsi"/>
          <w:sz w:val="16"/>
          <w:szCs w:val="16"/>
        </w:rPr>
      </w:pPr>
      <w:r w:rsidRPr="000F35ED">
        <w:rPr>
          <w:rFonts w:asciiTheme="majorHAnsi" w:hAnsiTheme="majorHAnsi"/>
          <w:sz w:val="16"/>
          <w:szCs w:val="16"/>
        </w:rPr>
        <w:separator/>
      </w:r>
    </w:p>
  </w:footnote>
  <w:footnote w:type="continuationSeparator" w:id="0">
    <w:p w14:paraId="6CB86913" w14:textId="77777777" w:rsidR="00F41C77" w:rsidRPr="000F35ED" w:rsidRDefault="00F41C77" w:rsidP="000F35ED">
      <w:pPr>
        <w:rPr>
          <w:rFonts w:asciiTheme="majorHAnsi" w:hAnsiTheme="majorHAnsi"/>
          <w:sz w:val="16"/>
          <w:szCs w:val="16"/>
        </w:rPr>
      </w:pPr>
      <w:r w:rsidRPr="000F35ED">
        <w:rPr>
          <w:rFonts w:asciiTheme="majorHAnsi" w:hAnsiTheme="majorHAnsi"/>
          <w:sz w:val="16"/>
          <w:szCs w:val="16"/>
        </w:rPr>
        <w:separator/>
      </w:r>
    </w:p>
    <w:p w14:paraId="79A3DC75" w14:textId="77777777" w:rsidR="00F41C77" w:rsidRPr="000F35ED" w:rsidRDefault="00F41C77" w:rsidP="000F35ED">
      <w:pPr>
        <w:pStyle w:val="Footer"/>
        <w:rPr>
          <w:rFonts w:asciiTheme="majorHAnsi" w:hAnsiTheme="majorHAnsi"/>
          <w:sz w:val="16"/>
          <w:szCs w:val="16"/>
        </w:rPr>
      </w:pPr>
      <w:r>
        <w:rPr>
          <w:rFonts w:asciiTheme="majorHAnsi" w:hAnsiTheme="majorHAnsi"/>
          <w:sz w:val="16"/>
          <w:szCs w:val="16"/>
        </w:rPr>
        <w:t>[… c</w:t>
      </w:r>
      <w:r w:rsidRPr="000F35ED">
        <w:rPr>
          <w:rFonts w:asciiTheme="majorHAnsi" w:hAnsiTheme="majorHAnsi"/>
          <w:sz w:val="16"/>
          <w:szCs w:val="16"/>
        </w:rPr>
        <w:t>ontinuación</w:t>
      </w:r>
      <w:r>
        <w:rPr>
          <w:rFonts w:asciiTheme="majorHAnsi" w:hAnsiTheme="majorHAnsi"/>
          <w:sz w:val="16"/>
          <w:szCs w:val="16"/>
        </w:rPr>
        <w:t>]</w:t>
      </w:r>
    </w:p>
  </w:footnote>
  <w:footnote w:type="continuationNotice" w:id="1">
    <w:p w14:paraId="1DDC05FC" w14:textId="77777777" w:rsidR="00F41C77" w:rsidRPr="000F35ED" w:rsidRDefault="00F41C77" w:rsidP="000F35ED">
      <w:pPr>
        <w:jc w:val="right"/>
        <w:rPr>
          <w:rFonts w:asciiTheme="majorHAnsi" w:hAnsiTheme="majorHAnsi"/>
          <w:sz w:val="16"/>
          <w:szCs w:val="16"/>
          <w:lang w:val="es-ES"/>
        </w:rPr>
      </w:pPr>
      <w:r>
        <w:rPr>
          <w:rFonts w:asciiTheme="majorHAnsi" w:hAnsiTheme="majorHAnsi"/>
          <w:sz w:val="16"/>
          <w:szCs w:val="16"/>
          <w:lang w:val="es-ES"/>
        </w:rPr>
        <w:t>[c</w:t>
      </w:r>
      <w:r w:rsidRPr="000F35ED">
        <w:rPr>
          <w:rFonts w:asciiTheme="majorHAnsi" w:hAnsiTheme="majorHAnsi"/>
          <w:sz w:val="16"/>
          <w:szCs w:val="16"/>
          <w:lang w:val="es-ES"/>
        </w:rPr>
        <w:t>ontinúa…</w:t>
      </w:r>
      <w:r>
        <w:rPr>
          <w:rFonts w:asciiTheme="majorHAnsi" w:hAnsiTheme="majorHAnsi"/>
          <w:sz w:val="16"/>
          <w:szCs w:val="16"/>
          <w:lang w:val="es-ES"/>
        </w:rPr>
        <w:t>]</w:t>
      </w:r>
    </w:p>
  </w:footnote>
  <w:footnote w:id="2">
    <w:p w14:paraId="068472CF" w14:textId="07664AD5" w:rsidR="004C4004" w:rsidRPr="00504640" w:rsidRDefault="004C4004" w:rsidP="0090105D">
      <w:pPr>
        <w:pStyle w:val="FootnoteText"/>
        <w:ind w:firstLine="720"/>
        <w:jc w:val="both"/>
        <w:rPr>
          <w:rFonts w:asciiTheme="majorHAnsi" w:hAnsiTheme="majorHAnsi"/>
          <w:sz w:val="16"/>
          <w:szCs w:val="16"/>
          <w:lang w:val="es-US"/>
        </w:rPr>
      </w:pPr>
      <w:r w:rsidRPr="003E564B">
        <w:rPr>
          <w:rStyle w:val="FootnoteReference"/>
          <w:rFonts w:asciiTheme="majorHAnsi" w:hAnsiTheme="majorHAnsi"/>
          <w:sz w:val="16"/>
          <w:szCs w:val="16"/>
        </w:rPr>
        <w:footnoteRef/>
      </w:r>
      <w:r w:rsidRPr="003E564B">
        <w:rPr>
          <w:rFonts w:asciiTheme="majorHAnsi" w:hAnsiTheme="majorHAnsi"/>
          <w:sz w:val="16"/>
          <w:szCs w:val="16"/>
          <w:lang w:val="es-US"/>
        </w:rPr>
        <w:t xml:space="preserve"> </w:t>
      </w:r>
      <w:r w:rsidR="003E564B">
        <w:rPr>
          <w:rFonts w:asciiTheme="majorHAnsi" w:hAnsiTheme="majorHAnsi"/>
          <w:sz w:val="16"/>
          <w:szCs w:val="16"/>
          <w:lang w:val="es-US"/>
        </w:rPr>
        <w:t>Durante el trámite del presente asunto la parte peticionaria ha ido, progresivamente, individualizando a quienes son las presuntas víctimas representadas en esta petición. Tal información está contenida en los denominados Anexos 1, 3 y 4, aportados por el peticionario</w:t>
      </w:r>
      <w:r w:rsidR="00B70A24">
        <w:rPr>
          <w:rFonts w:asciiTheme="majorHAnsi" w:hAnsiTheme="majorHAnsi"/>
          <w:sz w:val="16"/>
          <w:szCs w:val="16"/>
          <w:lang w:val="es-US"/>
        </w:rPr>
        <w:t>, y que se adjuntan al presente informe.</w:t>
      </w:r>
    </w:p>
  </w:footnote>
  <w:footnote w:id="3">
    <w:p w14:paraId="3C5103E6" w14:textId="0F5344F1" w:rsidR="00B845F1" w:rsidRPr="00504640" w:rsidRDefault="00B845F1" w:rsidP="0090105D">
      <w:pPr>
        <w:pStyle w:val="FootnoteText"/>
        <w:ind w:firstLine="720"/>
        <w:jc w:val="both"/>
        <w:rPr>
          <w:rFonts w:asciiTheme="majorHAnsi" w:hAnsiTheme="majorHAnsi"/>
          <w:sz w:val="16"/>
          <w:szCs w:val="16"/>
          <w:lang w:val="es-ES"/>
        </w:rPr>
      </w:pPr>
      <w:r w:rsidRPr="00504640">
        <w:rPr>
          <w:rStyle w:val="FootnoteReference"/>
          <w:rFonts w:asciiTheme="majorHAnsi" w:hAnsiTheme="majorHAnsi"/>
          <w:sz w:val="16"/>
          <w:szCs w:val="16"/>
        </w:rPr>
        <w:footnoteRef/>
      </w:r>
      <w:r w:rsidRPr="00504640">
        <w:rPr>
          <w:rFonts w:asciiTheme="majorHAnsi" w:hAnsiTheme="majorHAnsi"/>
          <w:sz w:val="16"/>
          <w:szCs w:val="16"/>
          <w:lang w:val="es-ES"/>
        </w:rPr>
        <w:t xml:space="preserve"> Conforme a lo dispuesto en el artículo 17.2.a del Reglamento de la Comisión, el Comisionado Carlos Bernal Pulido, de</w:t>
      </w:r>
      <w:r w:rsidR="0090105D">
        <w:rPr>
          <w:rFonts w:asciiTheme="majorHAnsi" w:hAnsiTheme="majorHAnsi"/>
          <w:sz w:val="16"/>
          <w:szCs w:val="16"/>
          <w:lang w:val="es-ES"/>
        </w:rPr>
        <w:t xml:space="preserve"> </w:t>
      </w:r>
      <w:r w:rsidRPr="00504640">
        <w:rPr>
          <w:rFonts w:asciiTheme="majorHAnsi" w:hAnsiTheme="majorHAnsi"/>
          <w:sz w:val="16"/>
          <w:szCs w:val="16"/>
          <w:lang w:val="es-ES"/>
        </w:rPr>
        <w:t>nacionalidad colombiana, no participó en el debate ni en la decisión del presente asunto.</w:t>
      </w:r>
    </w:p>
  </w:footnote>
  <w:footnote w:id="4">
    <w:p w14:paraId="1C50B3BB" w14:textId="626AA3F1" w:rsidR="00504640" w:rsidRPr="00504640" w:rsidRDefault="00504640" w:rsidP="0090105D">
      <w:pPr>
        <w:pStyle w:val="FootnoteText"/>
        <w:ind w:firstLine="720"/>
        <w:jc w:val="both"/>
        <w:rPr>
          <w:rFonts w:asciiTheme="majorHAnsi" w:hAnsiTheme="majorHAnsi"/>
          <w:sz w:val="16"/>
          <w:szCs w:val="16"/>
          <w:lang w:val="es-US"/>
        </w:rPr>
      </w:pPr>
      <w:r w:rsidRPr="00504640">
        <w:rPr>
          <w:rStyle w:val="FootnoteReference"/>
          <w:rFonts w:asciiTheme="majorHAnsi" w:hAnsiTheme="majorHAnsi"/>
          <w:sz w:val="16"/>
          <w:szCs w:val="16"/>
        </w:rPr>
        <w:footnoteRef/>
      </w:r>
      <w:r w:rsidRPr="00504640">
        <w:rPr>
          <w:rFonts w:asciiTheme="majorHAnsi" w:hAnsiTheme="majorHAnsi"/>
          <w:sz w:val="16"/>
          <w:szCs w:val="16"/>
          <w:lang w:val="es-US"/>
        </w:rPr>
        <w:t xml:space="preserve"> En adelante, “la Convención Americana” o “la Convención</w:t>
      </w:r>
    </w:p>
  </w:footnote>
  <w:footnote w:id="5">
    <w:p w14:paraId="79F07139" w14:textId="77777777" w:rsidR="008E3BFE" w:rsidRPr="00537490" w:rsidRDefault="008E3BFE" w:rsidP="0090105D">
      <w:pPr>
        <w:pStyle w:val="FootnoteText"/>
        <w:spacing w:after="120"/>
        <w:ind w:firstLine="720"/>
        <w:jc w:val="both"/>
        <w:rPr>
          <w:rFonts w:ascii="Cambria" w:hAnsi="Cambria"/>
          <w:sz w:val="16"/>
          <w:szCs w:val="16"/>
          <w:lang w:val="es-ES"/>
        </w:rPr>
      </w:pPr>
      <w:r w:rsidRPr="00504640">
        <w:rPr>
          <w:rStyle w:val="FootnoteReference"/>
          <w:rFonts w:asciiTheme="majorHAnsi" w:hAnsiTheme="majorHAnsi"/>
          <w:sz w:val="16"/>
          <w:szCs w:val="16"/>
        </w:rPr>
        <w:footnoteRef/>
      </w:r>
      <w:r w:rsidRPr="00504640">
        <w:rPr>
          <w:rFonts w:asciiTheme="majorHAnsi" w:hAnsiTheme="majorHAnsi"/>
          <w:sz w:val="16"/>
          <w:szCs w:val="16"/>
          <w:lang w:val="es-ES"/>
        </w:rPr>
        <w:t xml:space="preserve"> Las observaciones</w:t>
      </w:r>
      <w:r w:rsidRPr="00504640">
        <w:rPr>
          <w:rFonts w:ascii="Cambria" w:hAnsi="Cambria"/>
          <w:sz w:val="16"/>
          <w:szCs w:val="16"/>
          <w:lang w:val="es-ES"/>
        </w:rPr>
        <w:t xml:space="preserve"> de cada</w:t>
      </w:r>
      <w:r>
        <w:rPr>
          <w:rFonts w:ascii="Cambria" w:hAnsi="Cambria"/>
          <w:sz w:val="16"/>
          <w:szCs w:val="16"/>
          <w:lang w:val="es-ES"/>
        </w:rPr>
        <w:t xml:space="preserve"> parte fueron debidamente trasladadas a la parte contraria.</w:t>
      </w:r>
    </w:p>
  </w:footnote>
  <w:footnote w:id="6">
    <w:p w14:paraId="36C0BC46" w14:textId="31D06778" w:rsidR="009D5E84" w:rsidRPr="009D5E84" w:rsidRDefault="009D5E84" w:rsidP="0090105D">
      <w:pPr>
        <w:pStyle w:val="FootnoteText"/>
        <w:ind w:firstLine="720"/>
        <w:jc w:val="both"/>
        <w:rPr>
          <w:rFonts w:asciiTheme="majorHAnsi" w:hAnsiTheme="majorHAnsi"/>
          <w:sz w:val="16"/>
          <w:szCs w:val="16"/>
          <w:lang w:val="es-US"/>
        </w:rPr>
      </w:pPr>
      <w:r w:rsidRPr="009D5E84">
        <w:rPr>
          <w:rStyle w:val="FootnoteReference"/>
          <w:rFonts w:asciiTheme="majorHAnsi" w:hAnsiTheme="majorHAnsi"/>
          <w:sz w:val="16"/>
          <w:szCs w:val="16"/>
        </w:rPr>
        <w:footnoteRef/>
      </w:r>
      <w:r w:rsidRPr="006E2C1B">
        <w:rPr>
          <w:rFonts w:asciiTheme="majorHAnsi" w:hAnsiTheme="majorHAnsi"/>
          <w:sz w:val="16"/>
          <w:szCs w:val="16"/>
          <w:lang w:val="es-ES"/>
        </w:rPr>
        <w:t xml:space="preserve"> </w:t>
      </w:r>
      <w:r w:rsidRPr="009D5E84">
        <w:rPr>
          <w:rFonts w:asciiTheme="majorHAnsi" w:hAnsiTheme="majorHAnsi"/>
          <w:sz w:val="16"/>
          <w:szCs w:val="16"/>
          <w:lang w:val="es-US"/>
        </w:rPr>
        <w:t>Identificadas en denominado “Anexo 4”</w:t>
      </w:r>
    </w:p>
  </w:footnote>
  <w:footnote w:id="7">
    <w:p w14:paraId="6320A505" w14:textId="77777777" w:rsidR="00817374" w:rsidRPr="001C28F5" w:rsidRDefault="00817374" w:rsidP="0090105D">
      <w:pPr>
        <w:pStyle w:val="FootnoteText"/>
        <w:ind w:firstLine="720"/>
        <w:jc w:val="both"/>
        <w:rPr>
          <w:rFonts w:asciiTheme="majorHAnsi" w:hAnsiTheme="majorHAnsi"/>
          <w:sz w:val="16"/>
          <w:szCs w:val="16"/>
          <w:lang w:val="es-ES"/>
        </w:rPr>
      </w:pPr>
      <w:r w:rsidRPr="001C28F5">
        <w:rPr>
          <w:rStyle w:val="FootnoteReference"/>
          <w:rFonts w:asciiTheme="majorHAnsi" w:hAnsiTheme="majorHAnsi"/>
          <w:sz w:val="16"/>
          <w:szCs w:val="16"/>
        </w:rPr>
        <w:footnoteRef/>
      </w:r>
      <w:r w:rsidRPr="001C28F5">
        <w:rPr>
          <w:rFonts w:asciiTheme="majorHAnsi" w:hAnsiTheme="majorHAnsi"/>
          <w:sz w:val="16"/>
          <w:szCs w:val="16"/>
          <w:lang w:val="es-ES"/>
        </w:rPr>
        <w:t xml:space="preserve"> CIDH, Informe No. 155/17, Petición 1470-08. Admisibilidad. Beatriz Elena San Miguel Bastidas y familia. Colombia. 30 noviembre de 2017, párr. 9. </w:t>
      </w:r>
    </w:p>
  </w:footnote>
  <w:footnote w:id="8">
    <w:p w14:paraId="773D7556" w14:textId="77777777" w:rsidR="00817374" w:rsidRPr="00A018EA" w:rsidRDefault="00817374" w:rsidP="0090105D">
      <w:pPr>
        <w:pStyle w:val="FootnoteText"/>
        <w:ind w:firstLine="720"/>
        <w:jc w:val="both"/>
        <w:rPr>
          <w:rFonts w:asciiTheme="majorHAnsi" w:hAnsiTheme="majorHAnsi"/>
          <w:sz w:val="16"/>
          <w:szCs w:val="16"/>
          <w:lang w:val="es-ES"/>
        </w:rPr>
      </w:pPr>
      <w:r w:rsidRPr="00A018EA">
        <w:rPr>
          <w:rStyle w:val="FootnoteReference"/>
          <w:rFonts w:asciiTheme="majorHAnsi" w:hAnsiTheme="majorHAnsi"/>
          <w:sz w:val="16"/>
          <w:szCs w:val="16"/>
        </w:rPr>
        <w:footnoteRef/>
      </w:r>
      <w:r w:rsidRPr="00A018EA">
        <w:rPr>
          <w:rFonts w:asciiTheme="majorHAnsi" w:hAnsiTheme="majorHAnsi"/>
          <w:sz w:val="16"/>
          <w:szCs w:val="16"/>
          <w:lang w:val="es-ES"/>
        </w:rPr>
        <w:t xml:space="preserve"> CIDH, Informe No. 40/18, Petición 607-07. Admisibilidad. Nelson Enrique Giraldo Ramírez y familia. Colombia. 4 de mayo de 2018, párr.15.</w:t>
      </w:r>
    </w:p>
  </w:footnote>
  <w:footnote w:id="9">
    <w:p w14:paraId="6DC1BAF8" w14:textId="77777777" w:rsidR="00817374" w:rsidRPr="00812D06" w:rsidRDefault="00817374" w:rsidP="0090105D">
      <w:pPr>
        <w:pStyle w:val="FootnoteText"/>
        <w:ind w:firstLine="720"/>
        <w:jc w:val="both"/>
        <w:rPr>
          <w:rFonts w:asciiTheme="majorHAnsi" w:hAnsiTheme="majorHAnsi"/>
          <w:sz w:val="16"/>
          <w:szCs w:val="16"/>
          <w:lang w:val="es-US"/>
        </w:rPr>
      </w:pPr>
      <w:r w:rsidRPr="006D3768">
        <w:rPr>
          <w:rStyle w:val="FootnoteReference"/>
          <w:rFonts w:asciiTheme="majorHAnsi" w:hAnsiTheme="majorHAnsi"/>
          <w:sz w:val="16"/>
          <w:szCs w:val="16"/>
        </w:rPr>
        <w:footnoteRef/>
      </w:r>
      <w:r w:rsidRPr="006D3768">
        <w:rPr>
          <w:rFonts w:asciiTheme="majorHAnsi" w:hAnsiTheme="majorHAnsi"/>
          <w:sz w:val="16"/>
          <w:szCs w:val="16"/>
          <w:lang w:val="es-ES"/>
        </w:rPr>
        <w:t xml:space="preserve"> CIDH, Informe N° 14/08, Petición 652-04. Admisibilidad. Hugo Humberto Ruíz Fuentes. Guatemala. 5 de marzo de 2008, párr. </w:t>
      </w:r>
      <w:r w:rsidRPr="009C54B1">
        <w:rPr>
          <w:rFonts w:asciiTheme="majorHAnsi" w:hAnsiTheme="majorHAnsi"/>
          <w:sz w:val="16"/>
          <w:szCs w:val="16"/>
          <w:lang w:val="es-US"/>
        </w:rPr>
        <w:t>68</w:t>
      </w:r>
      <w:r w:rsidRPr="009C54B1">
        <w:rPr>
          <w:lang w:val="es-US"/>
        </w:rPr>
        <w:t xml:space="preserve"> </w:t>
      </w:r>
    </w:p>
  </w:footnote>
  <w:footnote w:id="10">
    <w:p w14:paraId="5A763FCB" w14:textId="77777777" w:rsidR="00DE3C5C" w:rsidRPr="002E19AD" w:rsidRDefault="00DE3C5C" w:rsidP="0090105D">
      <w:pPr>
        <w:pStyle w:val="FootnoteText"/>
        <w:ind w:firstLine="720"/>
        <w:jc w:val="both"/>
        <w:rPr>
          <w:rFonts w:ascii="Cambria" w:hAnsi="Cambria"/>
          <w:sz w:val="16"/>
          <w:szCs w:val="16"/>
          <w:lang w:val="es-ES"/>
        </w:rPr>
      </w:pPr>
      <w:r w:rsidRPr="002E19AD">
        <w:rPr>
          <w:rStyle w:val="FootnoteReference"/>
          <w:rFonts w:ascii="Cambria" w:hAnsi="Cambria"/>
          <w:sz w:val="16"/>
          <w:szCs w:val="16"/>
        </w:rPr>
        <w:footnoteRef/>
      </w:r>
      <w:r w:rsidRPr="002E19AD">
        <w:rPr>
          <w:rFonts w:ascii="Cambria" w:hAnsi="Cambria"/>
          <w:sz w:val="16"/>
          <w:szCs w:val="16"/>
          <w:lang w:val="es-SV"/>
        </w:rPr>
        <w:t xml:space="preserve"> </w:t>
      </w:r>
      <w:r w:rsidRPr="002E19AD">
        <w:rPr>
          <w:rFonts w:ascii="Cambria" w:hAnsi="Cambria"/>
          <w:sz w:val="16"/>
          <w:szCs w:val="16"/>
          <w:lang w:val="es-ES"/>
        </w:rPr>
        <w:t>Corte Interamericana de Derechos Humanos, Velásquez Rodríguez vs Honduras, Excepciones preliminares, sentencia del 26 de junio de 1987, párr. 93</w:t>
      </w:r>
    </w:p>
  </w:footnote>
  <w:footnote w:id="11">
    <w:p w14:paraId="59D9EB5A" w14:textId="04243566" w:rsidR="003E564B" w:rsidRPr="00DE3C5C" w:rsidRDefault="003E564B" w:rsidP="0090105D">
      <w:pPr>
        <w:pStyle w:val="FootnoteText"/>
        <w:ind w:firstLine="720"/>
        <w:jc w:val="both"/>
        <w:rPr>
          <w:rFonts w:asciiTheme="majorHAnsi" w:hAnsiTheme="majorHAnsi"/>
          <w:sz w:val="16"/>
          <w:szCs w:val="16"/>
          <w:lang w:val="es-ES"/>
        </w:rPr>
      </w:pPr>
      <w:r w:rsidRPr="003E564B">
        <w:rPr>
          <w:rStyle w:val="FootnoteReference"/>
          <w:rFonts w:asciiTheme="majorHAnsi" w:hAnsiTheme="majorHAnsi"/>
          <w:sz w:val="16"/>
          <w:szCs w:val="16"/>
        </w:rPr>
        <w:footnoteRef/>
      </w:r>
      <w:r w:rsidRPr="003E564B">
        <w:rPr>
          <w:rFonts w:asciiTheme="majorHAnsi" w:hAnsiTheme="majorHAnsi"/>
          <w:sz w:val="16"/>
          <w:szCs w:val="16"/>
          <w:lang w:val="es-US"/>
        </w:rPr>
        <w:t xml:space="preserve"> CIDH, Informe No. 70/04, Petición 667/01, Admisibilidad, Jesús Manuel Naranjo Cárdenas y otros, Jubilados de la empresa venezolana de aviación VIASA. </w:t>
      </w:r>
      <w:r w:rsidRPr="00DE3C5C">
        <w:rPr>
          <w:rFonts w:asciiTheme="majorHAnsi" w:hAnsiTheme="majorHAnsi"/>
          <w:sz w:val="16"/>
          <w:szCs w:val="16"/>
          <w:lang w:val="es-ES"/>
        </w:rPr>
        <w:t>Venezuela, 15 de octubre de 2004, párr. 52</w:t>
      </w:r>
    </w:p>
  </w:footnote>
  <w:footnote w:id="12">
    <w:p w14:paraId="245D96F9" w14:textId="77777777" w:rsidR="00037EC6" w:rsidRPr="002E19AD" w:rsidRDefault="00037EC6" w:rsidP="0090105D">
      <w:pPr>
        <w:pStyle w:val="FootnoteText"/>
        <w:ind w:firstLine="720"/>
        <w:jc w:val="both"/>
        <w:rPr>
          <w:rFonts w:ascii="Cambria" w:hAnsi="Cambria"/>
          <w:sz w:val="16"/>
          <w:szCs w:val="16"/>
          <w:lang w:val="es-ES"/>
        </w:rPr>
      </w:pPr>
      <w:r w:rsidRPr="002E19AD">
        <w:rPr>
          <w:rStyle w:val="FootnoteReference"/>
          <w:rFonts w:ascii="Cambria" w:hAnsi="Cambria"/>
          <w:sz w:val="16"/>
          <w:szCs w:val="16"/>
        </w:rPr>
        <w:footnoteRef/>
      </w:r>
      <w:r w:rsidRPr="002E19AD">
        <w:rPr>
          <w:rFonts w:ascii="Cambria" w:hAnsi="Cambria"/>
          <w:sz w:val="16"/>
          <w:szCs w:val="16"/>
          <w:lang w:val="es-ES"/>
        </w:rPr>
        <w:t xml:space="preserve"> </w:t>
      </w:r>
      <w:r w:rsidRPr="002E19AD">
        <w:rPr>
          <w:rFonts w:ascii="Cambria" w:hAnsi="Cambria"/>
          <w:sz w:val="16"/>
          <w:szCs w:val="16"/>
          <w:lang w:val="es-ES_tradnl"/>
        </w:rPr>
        <w:t>CIDH, Informe No. 69/08, Petición 681-00. Admisibilidad. Guillermo Patricio Lynn. Argentina. 16 de octubre de 2008, párr. 48.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A00DB" w14:textId="77777777" w:rsidR="00040C3A" w:rsidRDefault="00040C3A" w:rsidP="00B54CDF">
    <w:pPr>
      <w:pStyle w:val="Header"/>
      <w:framePr w:wrap="around" w:vAnchor="text" w:hAnchor="margin" w:xAlign="center" w:y="1"/>
      <w:rPr>
        <w:rStyle w:val="PageNumber"/>
        <w:rFonts w:eastAsia="Trebuchet MS"/>
      </w:rPr>
    </w:pPr>
    <w:r>
      <w:rPr>
        <w:rStyle w:val="PageNumber"/>
        <w:rFonts w:eastAsia="Trebuchet MS"/>
      </w:rPr>
      <w:fldChar w:fldCharType="begin"/>
    </w:r>
    <w:r>
      <w:rPr>
        <w:rStyle w:val="PageNumber"/>
        <w:rFonts w:eastAsia="Trebuchet MS"/>
      </w:rPr>
      <w:instrText xml:space="preserve">PAGE  </w:instrText>
    </w:r>
    <w:r>
      <w:rPr>
        <w:rStyle w:val="PageNumber"/>
        <w:rFonts w:eastAsia="Trebuchet MS"/>
      </w:rPr>
      <w:fldChar w:fldCharType="end"/>
    </w:r>
  </w:p>
  <w:p w14:paraId="598FAFAB" w14:textId="77777777" w:rsidR="00040C3A" w:rsidRDefault="00040C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401BB" w14:textId="77777777" w:rsidR="00A50FCF" w:rsidRDefault="00A50FCF" w:rsidP="00A50FCF">
    <w:pPr>
      <w:pStyle w:val="Header"/>
      <w:tabs>
        <w:tab w:val="clear" w:pos="4320"/>
        <w:tab w:val="clear" w:pos="8640"/>
      </w:tabs>
      <w:jc w:val="center"/>
      <w:rPr>
        <w:sz w:val="22"/>
        <w:szCs w:val="22"/>
      </w:rPr>
    </w:pPr>
    <w:r>
      <w:rPr>
        <w:noProof/>
        <w:sz w:val="22"/>
        <w:szCs w:val="22"/>
        <w:lang w:val="es-419" w:eastAsia="es-419"/>
      </w:rPr>
      <w:drawing>
        <wp:inline distT="0" distB="0" distL="0" distR="0" wp14:anchorId="49B70CC6" wp14:editId="0E71EB96">
          <wp:extent cx="1972237" cy="104775"/>
          <wp:effectExtent l="0" t="0" r="9525" b="0"/>
          <wp:docPr id="16" name="Picture 16" descr="C:\Users\mfontana\Documents\Eva Fontana\GRAFICA CIDH\cartas\logos\cidh-p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fontana\Documents\Eva Fontana\GRAFICA CIDH\cartas\logos\cidh-peq.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2237" cy="104775"/>
                  </a:xfrm>
                  <a:prstGeom prst="rect">
                    <a:avLst/>
                  </a:prstGeom>
                  <a:noFill/>
                  <a:ln>
                    <a:noFill/>
                  </a:ln>
                </pic:spPr>
              </pic:pic>
            </a:graphicData>
          </a:graphic>
        </wp:inline>
      </w:drawing>
    </w:r>
  </w:p>
  <w:p w14:paraId="1CF3204D" w14:textId="77777777" w:rsidR="00040C3A" w:rsidRPr="00EC7D62" w:rsidRDefault="00A17861" w:rsidP="00A50FCF">
    <w:pPr>
      <w:pStyle w:val="Header"/>
      <w:tabs>
        <w:tab w:val="clear" w:pos="4320"/>
        <w:tab w:val="clear" w:pos="8640"/>
      </w:tabs>
      <w:jc w:val="center"/>
      <w:rPr>
        <w:sz w:val="22"/>
        <w:szCs w:val="22"/>
      </w:rPr>
    </w:pPr>
    <w:r>
      <w:rPr>
        <w:sz w:val="22"/>
        <w:szCs w:val="22"/>
      </w:rPr>
      <w:pict w14:anchorId="4367A34C">
        <v:rect id="_x0000_i1025" style="width:0;height:1.5pt" o:hralign="center" o:hrstd="t" o:hr="t" fillcolor="#a0a0a0"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96D6D"/>
    <w:multiLevelType w:val="multilevel"/>
    <w:tmpl w:val="37C4B254"/>
    <w:styleLink w:val="List16"/>
    <w:lvl w:ilvl="0">
      <w:start w:val="1"/>
      <w:numFmt w:val="decimal"/>
      <w:lvlText w:val="%1."/>
      <w:lvlJc w:val="left"/>
      <w:pPr>
        <w:tabs>
          <w:tab w:val="num" w:pos="690"/>
        </w:tabs>
        <w:ind w:left="690" w:hanging="330"/>
      </w:pPr>
      <w:rPr>
        <w:rFonts w:ascii="Calibri" w:eastAsia="Calibri" w:hAnsi="Calibri" w:cs="Calibri"/>
        <w:b/>
        <w:bCs/>
        <w:color w:val="000000"/>
        <w:position w:val="0"/>
        <w:sz w:val="22"/>
        <w:szCs w:val="22"/>
        <w:u w:val="single" w:color="000000"/>
        <w:lang w:val="es-ES_tradnl"/>
      </w:rPr>
    </w:lvl>
    <w:lvl w:ilvl="1">
      <w:start w:val="1"/>
      <w:numFmt w:val="decimal"/>
      <w:lvlText w:val="%1.%2."/>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2">
      <w:start w:val="1"/>
      <w:numFmt w:val="decimal"/>
      <w:lvlText w:val="%1.%2.%3."/>
      <w:lvlJc w:val="left"/>
      <w:pPr>
        <w:tabs>
          <w:tab w:val="num" w:pos="1020"/>
        </w:tabs>
        <w:ind w:left="1020" w:hanging="660"/>
      </w:pPr>
      <w:rPr>
        <w:rFonts w:ascii="Calibri" w:eastAsia="Calibri" w:hAnsi="Calibri" w:cs="Calibri"/>
        <w:b/>
        <w:bCs/>
        <w:color w:val="000000"/>
        <w:position w:val="0"/>
        <w:sz w:val="22"/>
        <w:szCs w:val="22"/>
        <w:u w:val="single" w:color="000000"/>
        <w:lang w:val="es-ES_tradnl"/>
      </w:rPr>
    </w:lvl>
    <w:lvl w:ilvl="3">
      <w:start w:val="1"/>
      <w:numFmt w:val="decimal"/>
      <w:lvlText w:val="%1.%2.%3.%4."/>
      <w:lvlJc w:val="left"/>
      <w:pPr>
        <w:tabs>
          <w:tab w:val="num" w:pos="1020"/>
        </w:tabs>
        <w:ind w:left="1020" w:hanging="660"/>
      </w:pPr>
      <w:rPr>
        <w:rFonts w:ascii="Calibri" w:eastAsia="Calibri" w:hAnsi="Calibri" w:cs="Calibri"/>
        <w:b/>
        <w:bCs/>
        <w:color w:val="000000"/>
        <w:position w:val="0"/>
        <w:sz w:val="22"/>
        <w:szCs w:val="22"/>
        <w:u w:val="single" w:color="000000"/>
        <w:lang w:val="es-ES_tradnl"/>
      </w:rPr>
    </w:lvl>
    <w:lvl w:ilvl="4">
      <w:start w:val="1"/>
      <w:numFmt w:val="decimal"/>
      <w:lvlText w:val="%1.%2.%3.%4.%5."/>
      <w:lvlJc w:val="left"/>
      <w:pPr>
        <w:tabs>
          <w:tab w:val="num" w:pos="1350"/>
        </w:tabs>
        <w:ind w:left="1350" w:hanging="990"/>
      </w:pPr>
      <w:rPr>
        <w:rFonts w:ascii="Calibri" w:eastAsia="Calibri" w:hAnsi="Calibri" w:cs="Calibri"/>
        <w:b/>
        <w:bCs/>
        <w:color w:val="000000"/>
        <w:position w:val="0"/>
        <w:sz w:val="22"/>
        <w:szCs w:val="22"/>
        <w:u w:val="single" w:color="000000"/>
        <w:lang w:val="es-ES_tradnl"/>
      </w:rPr>
    </w:lvl>
    <w:lvl w:ilvl="5">
      <w:start w:val="1"/>
      <w:numFmt w:val="decimal"/>
      <w:lvlText w:val="%1.%2.%3.%4.%5.%6."/>
      <w:lvlJc w:val="left"/>
      <w:pPr>
        <w:tabs>
          <w:tab w:val="num" w:pos="1350"/>
        </w:tabs>
        <w:ind w:left="1350" w:hanging="990"/>
      </w:pPr>
      <w:rPr>
        <w:rFonts w:ascii="Calibri" w:eastAsia="Calibri" w:hAnsi="Calibri" w:cs="Calibri"/>
        <w:b/>
        <w:bCs/>
        <w:color w:val="000000"/>
        <w:position w:val="0"/>
        <w:sz w:val="22"/>
        <w:szCs w:val="22"/>
        <w:u w:val="single" w:color="000000"/>
        <w:lang w:val="es-ES_tradnl"/>
      </w:rPr>
    </w:lvl>
    <w:lvl w:ilvl="6">
      <w:start w:val="1"/>
      <w:numFmt w:val="decimal"/>
      <w:lvlText w:val="%1.%2.%3.%4.%5.%6.%7."/>
      <w:lvlJc w:val="left"/>
      <w:pPr>
        <w:tabs>
          <w:tab w:val="num" w:pos="1680"/>
        </w:tabs>
        <w:ind w:left="1680" w:hanging="1320"/>
      </w:pPr>
      <w:rPr>
        <w:rFonts w:ascii="Calibri" w:eastAsia="Calibri" w:hAnsi="Calibri" w:cs="Calibri"/>
        <w:b/>
        <w:bCs/>
        <w:color w:val="000000"/>
        <w:position w:val="0"/>
        <w:sz w:val="22"/>
        <w:szCs w:val="22"/>
        <w:u w:val="single" w:color="000000"/>
        <w:lang w:val="es-ES_tradnl"/>
      </w:rPr>
    </w:lvl>
    <w:lvl w:ilvl="7">
      <w:start w:val="1"/>
      <w:numFmt w:val="decimal"/>
      <w:lvlText w:val="%1.%2.%3.%4.%5.%6.%7.%8."/>
      <w:lvlJc w:val="left"/>
      <w:pPr>
        <w:tabs>
          <w:tab w:val="num" w:pos="1680"/>
        </w:tabs>
        <w:ind w:left="1680" w:hanging="1320"/>
      </w:pPr>
      <w:rPr>
        <w:rFonts w:ascii="Calibri" w:eastAsia="Calibri" w:hAnsi="Calibri" w:cs="Calibri"/>
        <w:b/>
        <w:bCs/>
        <w:color w:val="000000"/>
        <w:position w:val="0"/>
        <w:sz w:val="22"/>
        <w:szCs w:val="22"/>
        <w:u w:val="single" w:color="000000"/>
        <w:lang w:val="es-ES_tradnl"/>
      </w:rPr>
    </w:lvl>
    <w:lvl w:ilvl="8">
      <w:start w:val="1"/>
      <w:numFmt w:val="decimal"/>
      <w:lvlText w:val="%1.%2.%3.%4.%5.%6.%7.%8.%9."/>
      <w:lvlJc w:val="left"/>
      <w:pPr>
        <w:tabs>
          <w:tab w:val="num" w:pos="2010"/>
        </w:tabs>
        <w:ind w:left="2010" w:hanging="1650"/>
      </w:pPr>
      <w:rPr>
        <w:rFonts w:ascii="Calibri" w:eastAsia="Calibri" w:hAnsi="Calibri" w:cs="Calibri"/>
        <w:b/>
        <w:bCs/>
        <w:color w:val="000000"/>
        <w:position w:val="0"/>
        <w:sz w:val="22"/>
        <w:szCs w:val="22"/>
        <w:u w:val="single" w:color="000000"/>
        <w:lang w:val="es-ES_tradnl"/>
      </w:rPr>
    </w:lvl>
  </w:abstractNum>
  <w:abstractNum w:abstractNumId="1" w15:restartNumberingAfterBreak="0">
    <w:nsid w:val="06080900"/>
    <w:multiLevelType w:val="multilevel"/>
    <w:tmpl w:val="6724711E"/>
    <w:styleLink w:val="List36"/>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 w15:restartNumberingAfterBreak="0">
    <w:nsid w:val="0A481FED"/>
    <w:multiLevelType w:val="multilevel"/>
    <w:tmpl w:val="4C060580"/>
    <w:styleLink w:val="List25"/>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 w15:restartNumberingAfterBreak="0">
    <w:nsid w:val="0E0C22D1"/>
    <w:multiLevelType w:val="multilevel"/>
    <w:tmpl w:val="C8D88BBA"/>
    <w:styleLink w:val="List1"/>
    <w:lvl w:ilvl="0">
      <w:start w:val="1"/>
      <w:numFmt w:val="bullet"/>
      <w:lvlText w:val="•"/>
      <w:lvlJc w:val="left"/>
      <w:pPr>
        <w:tabs>
          <w:tab w:val="num" w:pos="720"/>
        </w:tabs>
        <w:ind w:left="720" w:hanging="360"/>
      </w:pPr>
      <w:rPr>
        <w:rFonts w:ascii="Trebuchet MS" w:eastAsia="Trebuchet MS" w:hAnsi="Trebuchet MS" w:cs="Trebuchet MS"/>
        <w:color w:val="000000"/>
        <w:position w:val="0"/>
        <w:sz w:val="24"/>
        <w:szCs w:val="24"/>
        <w:u w:color="000000"/>
        <w:lang w:val="es-ES_tradnl"/>
      </w:rPr>
    </w:lvl>
    <w:lvl w:ilvl="1">
      <w:start w:val="1"/>
      <w:numFmt w:val="bullet"/>
      <w:lvlText w:val="o"/>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bullet"/>
      <w:lvlText w:val="▪"/>
      <w:lvlJc w:val="left"/>
      <w:pPr>
        <w:tabs>
          <w:tab w:val="num" w:pos="2130"/>
        </w:tabs>
        <w:ind w:left="2130" w:hanging="330"/>
      </w:pPr>
      <w:rPr>
        <w:rFonts w:ascii="Calibri" w:eastAsia="Calibri" w:hAnsi="Calibri" w:cs="Calibri"/>
        <w:color w:val="000000"/>
        <w:position w:val="0"/>
        <w:sz w:val="22"/>
        <w:szCs w:val="22"/>
        <w:u w:color="000000"/>
        <w:lang w:val="es-ES_tradnl"/>
      </w:rPr>
    </w:lvl>
    <w:lvl w:ilvl="3">
      <w:start w:val="1"/>
      <w:numFmt w:val="bullet"/>
      <w:lvlText w:val="•"/>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bullet"/>
      <w:lvlText w:val="o"/>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bullet"/>
      <w:lvlText w:val="▪"/>
      <w:lvlJc w:val="left"/>
      <w:pPr>
        <w:tabs>
          <w:tab w:val="num" w:pos="4290"/>
        </w:tabs>
        <w:ind w:left="4290" w:hanging="330"/>
      </w:pPr>
      <w:rPr>
        <w:rFonts w:ascii="Calibri" w:eastAsia="Calibri" w:hAnsi="Calibri" w:cs="Calibri"/>
        <w:color w:val="000000"/>
        <w:position w:val="0"/>
        <w:sz w:val="22"/>
        <w:szCs w:val="22"/>
        <w:u w:color="000000"/>
        <w:lang w:val="es-ES_tradnl"/>
      </w:rPr>
    </w:lvl>
    <w:lvl w:ilvl="6">
      <w:start w:val="1"/>
      <w:numFmt w:val="bullet"/>
      <w:lvlText w:val="•"/>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bullet"/>
      <w:lvlText w:val="o"/>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bullet"/>
      <w:lvlText w:val="▪"/>
      <w:lvlJc w:val="left"/>
      <w:pPr>
        <w:tabs>
          <w:tab w:val="num" w:pos="6450"/>
        </w:tabs>
        <w:ind w:left="6450" w:hanging="330"/>
      </w:pPr>
      <w:rPr>
        <w:rFonts w:ascii="Calibri" w:eastAsia="Calibri" w:hAnsi="Calibri" w:cs="Calibri"/>
        <w:color w:val="000000"/>
        <w:position w:val="0"/>
        <w:sz w:val="22"/>
        <w:szCs w:val="22"/>
        <w:u w:color="000000"/>
        <w:lang w:val="es-ES_tradnl"/>
      </w:rPr>
    </w:lvl>
  </w:abstractNum>
  <w:abstractNum w:abstractNumId="4" w15:restartNumberingAfterBreak="0">
    <w:nsid w:val="0E1D2261"/>
    <w:multiLevelType w:val="hybridMultilevel"/>
    <w:tmpl w:val="2D825008"/>
    <w:lvl w:ilvl="0" w:tplc="A9FEF18C">
      <w:start w:val="1"/>
      <w:numFmt w:val="decimal"/>
      <w:lvlText w:val="%1."/>
      <w:lvlJc w:val="left"/>
      <w:pPr>
        <w:tabs>
          <w:tab w:val="num" w:pos="720"/>
        </w:tabs>
        <w:ind w:left="0" w:firstLine="720"/>
      </w:pPr>
      <w:rPr>
        <w:rFonts w:hint="default"/>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2BA2819"/>
    <w:multiLevelType w:val="multilevel"/>
    <w:tmpl w:val="DE3EA646"/>
    <w:styleLink w:val="List41"/>
    <w:lvl w:ilvl="0">
      <w:start w:val="1"/>
      <w:numFmt w:val="bullet"/>
      <w:lvlText w:val="•"/>
      <w:lvlJc w:val="left"/>
      <w:pPr>
        <w:tabs>
          <w:tab w:val="num" w:pos="720"/>
        </w:tabs>
        <w:ind w:left="720" w:hanging="360"/>
      </w:pPr>
      <w:rPr>
        <w:rFonts w:ascii="Trebuchet MS" w:eastAsia="Trebuchet MS" w:hAnsi="Trebuchet MS" w:cs="Trebuchet MS"/>
        <w:color w:val="000000"/>
        <w:position w:val="0"/>
        <w:sz w:val="24"/>
        <w:szCs w:val="24"/>
        <w:u w:color="000000"/>
        <w:lang w:val="es-ES_tradnl"/>
      </w:rPr>
    </w:lvl>
    <w:lvl w:ilvl="1">
      <w:start w:val="1"/>
      <w:numFmt w:val="bullet"/>
      <w:lvlText w:val="o"/>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bullet"/>
      <w:lvlText w:val="▪"/>
      <w:lvlJc w:val="left"/>
      <w:pPr>
        <w:tabs>
          <w:tab w:val="num" w:pos="2130"/>
        </w:tabs>
        <w:ind w:left="2130" w:hanging="330"/>
      </w:pPr>
      <w:rPr>
        <w:rFonts w:ascii="Calibri" w:eastAsia="Calibri" w:hAnsi="Calibri" w:cs="Calibri"/>
        <w:color w:val="000000"/>
        <w:position w:val="0"/>
        <w:sz w:val="22"/>
        <w:szCs w:val="22"/>
        <w:u w:color="000000"/>
        <w:lang w:val="es-ES_tradnl"/>
      </w:rPr>
    </w:lvl>
    <w:lvl w:ilvl="3">
      <w:start w:val="1"/>
      <w:numFmt w:val="bullet"/>
      <w:lvlText w:val="•"/>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bullet"/>
      <w:lvlText w:val="o"/>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bullet"/>
      <w:lvlText w:val="▪"/>
      <w:lvlJc w:val="left"/>
      <w:pPr>
        <w:tabs>
          <w:tab w:val="num" w:pos="4290"/>
        </w:tabs>
        <w:ind w:left="4290" w:hanging="330"/>
      </w:pPr>
      <w:rPr>
        <w:rFonts w:ascii="Calibri" w:eastAsia="Calibri" w:hAnsi="Calibri" w:cs="Calibri"/>
        <w:color w:val="000000"/>
        <w:position w:val="0"/>
        <w:sz w:val="22"/>
        <w:szCs w:val="22"/>
        <w:u w:color="000000"/>
        <w:lang w:val="es-ES_tradnl"/>
      </w:rPr>
    </w:lvl>
    <w:lvl w:ilvl="6">
      <w:start w:val="1"/>
      <w:numFmt w:val="bullet"/>
      <w:lvlText w:val="•"/>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bullet"/>
      <w:lvlText w:val="o"/>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bullet"/>
      <w:lvlText w:val="▪"/>
      <w:lvlJc w:val="left"/>
      <w:pPr>
        <w:tabs>
          <w:tab w:val="num" w:pos="6450"/>
        </w:tabs>
        <w:ind w:left="6450" w:hanging="330"/>
      </w:pPr>
      <w:rPr>
        <w:rFonts w:ascii="Calibri" w:eastAsia="Calibri" w:hAnsi="Calibri" w:cs="Calibri"/>
        <w:color w:val="000000"/>
        <w:position w:val="0"/>
        <w:sz w:val="22"/>
        <w:szCs w:val="22"/>
        <w:u w:color="000000"/>
        <w:lang w:val="es-ES_tradnl"/>
      </w:rPr>
    </w:lvl>
  </w:abstractNum>
  <w:abstractNum w:abstractNumId="6" w15:restartNumberingAfterBreak="0">
    <w:nsid w:val="1CB44B54"/>
    <w:multiLevelType w:val="multilevel"/>
    <w:tmpl w:val="10C6C0C6"/>
    <w:styleLink w:val="List11"/>
    <w:lvl w:ilvl="0">
      <w:start w:val="1"/>
      <w:numFmt w:val="decimal"/>
      <w:lvlText w:val="%1."/>
      <w:lvlJc w:val="left"/>
      <w:pPr>
        <w:tabs>
          <w:tab w:val="num" w:pos="690"/>
        </w:tabs>
        <w:ind w:left="690" w:hanging="330"/>
      </w:pPr>
      <w:rPr>
        <w:rFonts w:ascii="Calibri" w:eastAsia="Calibri" w:hAnsi="Calibri" w:cs="Calibri"/>
        <w:color w:val="000000"/>
        <w:position w:val="0"/>
        <w:sz w:val="22"/>
        <w:szCs w:val="22"/>
        <w:u w:color="000000"/>
        <w:lang w:val="es-ES_tradnl"/>
      </w:rPr>
    </w:lvl>
    <w:lvl w:ilvl="1">
      <w:start w:val="1"/>
      <w:numFmt w:val="lowerLetter"/>
      <w:lvlText w:val="%2."/>
      <w:lvlJc w:val="left"/>
      <w:pPr>
        <w:tabs>
          <w:tab w:val="num" w:pos="1440"/>
        </w:tabs>
        <w:ind w:left="1440" w:hanging="360"/>
      </w:pPr>
      <w:rPr>
        <w:rFonts w:ascii="Trebuchet MS" w:eastAsia="Trebuchet MS" w:hAnsi="Trebuchet MS" w:cs="Trebuchet M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690"/>
        </w:tabs>
        <w:ind w:left="69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7" w15:restartNumberingAfterBreak="0">
    <w:nsid w:val="1CC26445"/>
    <w:multiLevelType w:val="multilevel"/>
    <w:tmpl w:val="F8FA56EE"/>
    <w:styleLink w:val="List15"/>
    <w:lvl w:ilvl="0">
      <w:start w:val="2"/>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decimal"/>
      <w:lvlText w:val="%1.%2."/>
      <w:lvlJc w:val="left"/>
      <w:pPr>
        <w:tabs>
          <w:tab w:val="num" w:pos="690"/>
        </w:tabs>
        <w:ind w:left="690" w:hanging="330"/>
      </w:pPr>
      <w:rPr>
        <w:rFonts w:ascii="Calibri" w:eastAsia="Calibri" w:hAnsi="Calibri" w:cs="Calibri"/>
        <w:b/>
        <w:bCs/>
        <w:color w:val="000000"/>
        <w:position w:val="0"/>
        <w:sz w:val="22"/>
        <w:szCs w:val="22"/>
        <w:u w:color="000000"/>
        <w:lang w:val="es-ES_tradnl"/>
      </w:rPr>
    </w:lvl>
    <w:lvl w:ilvl="2">
      <w:start w:val="1"/>
      <w:numFmt w:val="decimal"/>
      <w:lvlText w:val="%1.%2.%3."/>
      <w:lvlJc w:val="left"/>
      <w:pPr>
        <w:tabs>
          <w:tab w:val="num" w:pos="1020"/>
        </w:tabs>
        <w:ind w:left="1020" w:hanging="660"/>
      </w:pPr>
      <w:rPr>
        <w:rFonts w:ascii="Calibri" w:eastAsia="Calibri" w:hAnsi="Calibri" w:cs="Calibri"/>
        <w:b/>
        <w:bCs/>
        <w:color w:val="000000"/>
        <w:position w:val="0"/>
        <w:sz w:val="22"/>
        <w:szCs w:val="22"/>
        <w:u w:color="000000"/>
        <w:lang w:val="es-ES_tradnl"/>
      </w:rPr>
    </w:lvl>
    <w:lvl w:ilvl="3">
      <w:start w:val="1"/>
      <w:numFmt w:val="decimal"/>
      <w:lvlText w:val="%1.%2.%3.%4."/>
      <w:lvlJc w:val="left"/>
      <w:pPr>
        <w:tabs>
          <w:tab w:val="num" w:pos="1020"/>
        </w:tabs>
        <w:ind w:left="1020" w:hanging="660"/>
      </w:pPr>
      <w:rPr>
        <w:rFonts w:ascii="Calibri" w:eastAsia="Calibri" w:hAnsi="Calibri" w:cs="Calibri"/>
        <w:b/>
        <w:bCs/>
        <w:color w:val="000000"/>
        <w:position w:val="0"/>
        <w:sz w:val="22"/>
        <w:szCs w:val="22"/>
        <w:u w:color="000000"/>
        <w:lang w:val="es-ES_tradnl"/>
      </w:rPr>
    </w:lvl>
    <w:lvl w:ilvl="4">
      <w:start w:val="1"/>
      <w:numFmt w:val="decimal"/>
      <w:lvlText w:val="%1.%2.%3.%4.%5."/>
      <w:lvlJc w:val="left"/>
      <w:pPr>
        <w:tabs>
          <w:tab w:val="num" w:pos="1350"/>
        </w:tabs>
        <w:ind w:left="1350" w:hanging="990"/>
      </w:pPr>
      <w:rPr>
        <w:rFonts w:ascii="Calibri" w:eastAsia="Calibri" w:hAnsi="Calibri" w:cs="Calibri"/>
        <w:b/>
        <w:bCs/>
        <w:color w:val="000000"/>
        <w:position w:val="0"/>
        <w:sz w:val="22"/>
        <w:szCs w:val="22"/>
        <w:u w:color="000000"/>
        <w:lang w:val="es-ES_tradnl"/>
      </w:rPr>
    </w:lvl>
    <w:lvl w:ilvl="5">
      <w:start w:val="1"/>
      <w:numFmt w:val="decimal"/>
      <w:lvlText w:val="%1.%2.%3.%4.%5.%6."/>
      <w:lvlJc w:val="left"/>
      <w:pPr>
        <w:tabs>
          <w:tab w:val="num" w:pos="1350"/>
        </w:tabs>
        <w:ind w:left="1350" w:hanging="990"/>
      </w:pPr>
      <w:rPr>
        <w:rFonts w:ascii="Calibri" w:eastAsia="Calibri" w:hAnsi="Calibri" w:cs="Calibri"/>
        <w:b/>
        <w:bCs/>
        <w:color w:val="000000"/>
        <w:position w:val="0"/>
        <w:sz w:val="22"/>
        <w:szCs w:val="22"/>
        <w:u w:color="000000"/>
        <w:lang w:val="es-ES_tradnl"/>
      </w:rPr>
    </w:lvl>
    <w:lvl w:ilvl="6">
      <w:start w:val="1"/>
      <w:numFmt w:val="decimal"/>
      <w:lvlText w:val="%1.%2.%3.%4.%5.%6.%7."/>
      <w:lvlJc w:val="left"/>
      <w:pPr>
        <w:tabs>
          <w:tab w:val="num" w:pos="1680"/>
        </w:tabs>
        <w:ind w:left="1680" w:hanging="1320"/>
      </w:pPr>
      <w:rPr>
        <w:rFonts w:ascii="Calibri" w:eastAsia="Calibri" w:hAnsi="Calibri" w:cs="Calibri"/>
        <w:b/>
        <w:bCs/>
        <w:color w:val="000000"/>
        <w:position w:val="0"/>
        <w:sz w:val="22"/>
        <w:szCs w:val="22"/>
        <w:u w:color="000000"/>
        <w:lang w:val="es-ES_tradnl"/>
      </w:rPr>
    </w:lvl>
    <w:lvl w:ilvl="7">
      <w:start w:val="1"/>
      <w:numFmt w:val="decimal"/>
      <w:lvlText w:val="%1.%2.%3.%4.%5.%6.%7.%8."/>
      <w:lvlJc w:val="left"/>
      <w:pPr>
        <w:tabs>
          <w:tab w:val="num" w:pos="1680"/>
        </w:tabs>
        <w:ind w:left="1680" w:hanging="1320"/>
      </w:pPr>
      <w:rPr>
        <w:rFonts w:ascii="Calibri" w:eastAsia="Calibri" w:hAnsi="Calibri" w:cs="Calibri"/>
        <w:b/>
        <w:bCs/>
        <w:color w:val="000000"/>
        <w:position w:val="0"/>
        <w:sz w:val="22"/>
        <w:szCs w:val="22"/>
        <w:u w:color="000000"/>
        <w:lang w:val="es-ES_tradnl"/>
      </w:rPr>
    </w:lvl>
    <w:lvl w:ilvl="8">
      <w:start w:val="1"/>
      <w:numFmt w:val="decimal"/>
      <w:lvlText w:val="%1.%2.%3.%4.%5.%6.%7.%8.%9."/>
      <w:lvlJc w:val="left"/>
      <w:pPr>
        <w:tabs>
          <w:tab w:val="num" w:pos="2010"/>
        </w:tabs>
        <w:ind w:left="2010" w:hanging="1650"/>
      </w:pPr>
      <w:rPr>
        <w:rFonts w:ascii="Calibri" w:eastAsia="Calibri" w:hAnsi="Calibri" w:cs="Calibri"/>
        <w:b/>
        <w:bCs/>
        <w:color w:val="000000"/>
        <w:position w:val="0"/>
        <w:sz w:val="22"/>
        <w:szCs w:val="22"/>
        <w:u w:color="000000"/>
        <w:lang w:val="es-ES_tradnl"/>
      </w:rPr>
    </w:lvl>
  </w:abstractNum>
  <w:abstractNum w:abstractNumId="8" w15:restartNumberingAfterBreak="0">
    <w:nsid w:val="1DE80067"/>
    <w:multiLevelType w:val="multilevel"/>
    <w:tmpl w:val="3FC4BF5E"/>
    <w:styleLink w:val="List14"/>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9" w15:restartNumberingAfterBreak="0">
    <w:nsid w:val="1E932978"/>
    <w:multiLevelType w:val="multilevel"/>
    <w:tmpl w:val="E8F2423E"/>
    <w:styleLink w:val="List23"/>
    <w:lvl w:ilvl="0">
      <w:start w:val="6"/>
      <w:numFmt w:val="decimal"/>
      <w:lvlText w:val="%1."/>
      <w:lvlJc w:val="left"/>
      <w:pPr>
        <w:tabs>
          <w:tab w:val="num" w:pos="360"/>
        </w:tabs>
        <w:ind w:left="36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0" w15:restartNumberingAfterBreak="0">
    <w:nsid w:val="1F0B1FF7"/>
    <w:multiLevelType w:val="multilevel"/>
    <w:tmpl w:val="788E63B4"/>
    <w:styleLink w:val="List19"/>
    <w:lvl w:ilvl="0">
      <w:start w:val="2"/>
      <w:numFmt w:val="upperLetter"/>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11" w15:restartNumberingAfterBreak="0">
    <w:nsid w:val="1F7A4C80"/>
    <w:multiLevelType w:val="multilevel"/>
    <w:tmpl w:val="3886B7F0"/>
    <w:styleLink w:val="List45"/>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2" w15:restartNumberingAfterBreak="0">
    <w:nsid w:val="2252647F"/>
    <w:multiLevelType w:val="multilevel"/>
    <w:tmpl w:val="BB5E788C"/>
    <w:styleLink w:val="List40"/>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3" w15:restartNumberingAfterBreak="0">
    <w:nsid w:val="227B0583"/>
    <w:multiLevelType w:val="multilevel"/>
    <w:tmpl w:val="A344CEF6"/>
    <w:styleLink w:val="List9"/>
    <w:lvl w:ilvl="0">
      <w:start w:val="1"/>
      <w:numFmt w:val="upperLetter"/>
      <w:lvlText w:val="%1."/>
      <w:lvlJc w:val="left"/>
      <w:pPr>
        <w:tabs>
          <w:tab w:val="num" w:pos="1080"/>
        </w:tabs>
        <w:ind w:left="1080" w:hanging="72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14" w15:restartNumberingAfterBreak="0">
    <w:nsid w:val="271929A4"/>
    <w:multiLevelType w:val="multilevel"/>
    <w:tmpl w:val="67BE493C"/>
    <w:styleLink w:val="List43"/>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5" w15:restartNumberingAfterBreak="0">
    <w:nsid w:val="274D5C2C"/>
    <w:multiLevelType w:val="multilevel"/>
    <w:tmpl w:val="CA4E8B5A"/>
    <w:styleLink w:val="List46"/>
    <w:lvl w:ilvl="0">
      <w:start w:val="1"/>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6" w15:restartNumberingAfterBreak="0">
    <w:nsid w:val="2BCE4512"/>
    <w:multiLevelType w:val="multilevel"/>
    <w:tmpl w:val="140087A8"/>
    <w:styleLink w:val="List35"/>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7" w15:restartNumberingAfterBreak="0">
    <w:nsid w:val="2C89495E"/>
    <w:multiLevelType w:val="multilevel"/>
    <w:tmpl w:val="DF9876EC"/>
    <w:styleLink w:val="List17"/>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8" w15:restartNumberingAfterBreak="0">
    <w:nsid w:val="2D5856E2"/>
    <w:multiLevelType w:val="multilevel"/>
    <w:tmpl w:val="CA84D204"/>
    <w:styleLink w:val="List33"/>
    <w:lvl w:ilvl="0">
      <w:start w:val="1"/>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19" w15:restartNumberingAfterBreak="0">
    <w:nsid w:val="31CB6708"/>
    <w:multiLevelType w:val="multilevel"/>
    <w:tmpl w:val="B6544A0C"/>
    <w:styleLink w:val="List31"/>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20" w15:restartNumberingAfterBreak="0">
    <w:nsid w:val="329F3307"/>
    <w:multiLevelType w:val="multilevel"/>
    <w:tmpl w:val="A7887534"/>
    <w:styleLink w:val="List7"/>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21" w15:restartNumberingAfterBreak="0">
    <w:nsid w:val="33D07097"/>
    <w:multiLevelType w:val="multilevel"/>
    <w:tmpl w:val="D0E0C7B8"/>
    <w:styleLink w:val="List18"/>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2" w15:restartNumberingAfterBreak="0">
    <w:nsid w:val="34031D1B"/>
    <w:multiLevelType w:val="multilevel"/>
    <w:tmpl w:val="E5488B9E"/>
    <w:styleLink w:val="List22"/>
    <w:lvl w:ilvl="0">
      <w:start w:val="1"/>
      <w:numFmt w:val="decimal"/>
      <w:lvlText w:val="%1."/>
      <w:lvlJc w:val="left"/>
      <w:pPr>
        <w:tabs>
          <w:tab w:val="num" w:pos="690"/>
        </w:tabs>
        <w:ind w:left="690" w:hanging="330"/>
      </w:pPr>
      <w:rPr>
        <w:rFonts w:ascii="Calibri" w:eastAsia="Calibri" w:hAnsi="Calibri" w:cs="Calibri"/>
        <w:color w:val="000000"/>
        <w:position w:val="0"/>
        <w:sz w:val="22"/>
        <w:szCs w:val="22"/>
        <w:u w:color="000000"/>
        <w:lang w:val="es-ES_tradnl"/>
      </w:rPr>
    </w:lvl>
    <w:lvl w:ilvl="1">
      <w:start w:val="1"/>
      <w:numFmt w:val="lowerLetter"/>
      <w:lvlText w:val="%2."/>
      <w:lvlJc w:val="left"/>
      <w:pPr>
        <w:tabs>
          <w:tab w:val="num" w:pos="1440"/>
        </w:tabs>
        <w:ind w:left="1440" w:hanging="360"/>
      </w:pPr>
      <w:rPr>
        <w:rFonts w:ascii="Trebuchet MS" w:eastAsia="Trebuchet MS" w:hAnsi="Trebuchet MS" w:cs="Trebuchet M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3" w15:restartNumberingAfterBreak="0">
    <w:nsid w:val="34042DBA"/>
    <w:multiLevelType w:val="hybridMultilevel"/>
    <w:tmpl w:val="08B08EF2"/>
    <w:lvl w:ilvl="0" w:tplc="6D945CCA">
      <w:start w:val="25"/>
      <w:numFmt w:val="decimal"/>
      <w:lvlText w:val="%1."/>
      <w:lvlJc w:val="left"/>
      <w:pPr>
        <w:ind w:left="720" w:firstLine="360"/>
      </w:pPr>
      <w:rPr>
        <w:rFonts w:ascii="Cambria" w:hAnsi="Cambria" w:hint="default"/>
        <w:b w:val="0"/>
        <w:bCs w:val="0"/>
        <w:i w:val="0"/>
        <w:iCs w:val="0"/>
        <w:color w:val="auto"/>
        <w:sz w:val="20"/>
        <w:szCs w:val="2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24" w15:restartNumberingAfterBreak="0">
    <w:nsid w:val="34276F4B"/>
    <w:multiLevelType w:val="multilevel"/>
    <w:tmpl w:val="4FF24EAA"/>
    <w:styleLink w:val="List47"/>
    <w:lvl w:ilvl="0">
      <w:start w:val="1"/>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5" w15:restartNumberingAfterBreak="0">
    <w:nsid w:val="38776F36"/>
    <w:multiLevelType w:val="multilevel"/>
    <w:tmpl w:val="86862554"/>
    <w:styleLink w:val="List28"/>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6" w15:restartNumberingAfterBreak="0">
    <w:nsid w:val="39F534D0"/>
    <w:multiLevelType w:val="multilevel"/>
    <w:tmpl w:val="9F6C6C32"/>
    <w:styleLink w:val="List10"/>
    <w:lvl w:ilvl="0">
      <w:start w:val="1"/>
      <w:numFmt w:val="bullet"/>
      <w:lvlText w:val="•"/>
      <w:lvlJc w:val="left"/>
      <w:pPr>
        <w:tabs>
          <w:tab w:val="num" w:pos="720"/>
        </w:tabs>
        <w:ind w:left="720" w:hanging="360"/>
      </w:pPr>
      <w:rPr>
        <w:rFonts w:ascii="Trebuchet MS" w:eastAsia="Trebuchet MS" w:hAnsi="Trebuchet MS" w:cs="Trebuchet MS"/>
        <w:color w:val="000000"/>
        <w:position w:val="0"/>
        <w:sz w:val="24"/>
        <w:szCs w:val="24"/>
        <w:u w:color="000000"/>
        <w:lang w:val="es-ES_tradnl"/>
      </w:rPr>
    </w:lvl>
    <w:lvl w:ilvl="1">
      <w:start w:val="1"/>
      <w:numFmt w:val="bullet"/>
      <w:lvlText w:val="o"/>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bullet"/>
      <w:lvlText w:val="▪"/>
      <w:lvlJc w:val="left"/>
      <w:pPr>
        <w:tabs>
          <w:tab w:val="num" w:pos="2130"/>
        </w:tabs>
        <w:ind w:left="2130" w:hanging="330"/>
      </w:pPr>
      <w:rPr>
        <w:rFonts w:ascii="Calibri" w:eastAsia="Calibri" w:hAnsi="Calibri" w:cs="Calibri"/>
        <w:color w:val="000000"/>
        <w:position w:val="0"/>
        <w:sz w:val="22"/>
        <w:szCs w:val="22"/>
        <w:u w:color="000000"/>
        <w:lang w:val="es-ES_tradnl"/>
      </w:rPr>
    </w:lvl>
    <w:lvl w:ilvl="3">
      <w:start w:val="1"/>
      <w:numFmt w:val="bullet"/>
      <w:lvlText w:val="•"/>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bullet"/>
      <w:lvlText w:val="o"/>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bullet"/>
      <w:lvlText w:val="▪"/>
      <w:lvlJc w:val="left"/>
      <w:pPr>
        <w:tabs>
          <w:tab w:val="num" w:pos="4290"/>
        </w:tabs>
        <w:ind w:left="4290" w:hanging="330"/>
      </w:pPr>
      <w:rPr>
        <w:rFonts w:ascii="Calibri" w:eastAsia="Calibri" w:hAnsi="Calibri" w:cs="Calibri"/>
        <w:color w:val="000000"/>
        <w:position w:val="0"/>
        <w:sz w:val="22"/>
        <w:szCs w:val="22"/>
        <w:u w:color="000000"/>
        <w:lang w:val="es-ES_tradnl"/>
      </w:rPr>
    </w:lvl>
    <w:lvl w:ilvl="6">
      <w:start w:val="1"/>
      <w:numFmt w:val="bullet"/>
      <w:lvlText w:val="•"/>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bullet"/>
      <w:lvlText w:val="o"/>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bullet"/>
      <w:lvlText w:val="▪"/>
      <w:lvlJc w:val="left"/>
      <w:pPr>
        <w:tabs>
          <w:tab w:val="num" w:pos="6450"/>
        </w:tabs>
        <w:ind w:left="6450" w:hanging="330"/>
      </w:pPr>
      <w:rPr>
        <w:rFonts w:ascii="Calibri" w:eastAsia="Calibri" w:hAnsi="Calibri" w:cs="Calibri"/>
        <w:color w:val="000000"/>
        <w:position w:val="0"/>
        <w:sz w:val="22"/>
        <w:szCs w:val="22"/>
        <w:u w:color="000000"/>
        <w:lang w:val="es-ES_tradnl"/>
      </w:rPr>
    </w:lvl>
  </w:abstractNum>
  <w:abstractNum w:abstractNumId="27" w15:restartNumberingAfterBreak="0">
    <w:nsid w:val="3ACB3728"/>
    <w:multiLevelType w:val="multilevel"/>
    <w:tmpl w:val="024A16C2"/>
    <w:styleLink w:val="List0"/>
    <w:lvl w:ilvl="0">
      <w:start w:val="1"/>
      <w:numFmt w:val="upperRoman"/>
      <w:lvlText w:val="%1."/>
      <w:lvlJc w:val="left"/>
      <w:pPr>
        <w:tabs>
          <w:tab w:val="num" w:pos="1080"/>
        </w:tabs>
        <w:ind w:left="1080" w:hanging="72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28" w15:restartNumberingAfterBreak="0">
    <w:nsid w:val="40AB1693"/>
    <w:multiLevelType w:val="multilevel"/>
    <w:tmpl w:val="93E42B6E"/>
    <w:styleLink w:val="List30"/>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29" w15:restartNumberingAfterBreak="0">
    <w:nsid w:val="42DF19D7"/>
    <w:multiLevelType w:val="multilevel"/>
    <w:tmpl w:val="E7265BB0"/>
    <w:styleLink w:val="List51"/>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0" w15:restartNumberingAfterBreak="0">
    <w:nsid w:val="431F2FA9"/>
    <w:multiLevelType w:val="multilevel"/>
    <w:tmpl w:val="7D50E14C"/>
    <w:styleLink w:val="List29"/>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1" w15:restartNumberingAfterBreak="0">
    <w:nsid w:val="444006B9"/>
    <w:multiLevelType w:val="multilevel"/>
    <w:tmpl w:val="1090D1D4"/>
    <w:styleLink w:val="List38"/>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bullet"/>
      <w:lvlText w:val="•"/>
      <w:lvlJc w:val="left"/>
      <w:pPr>
        <w:tabs>
          <w:tab w:val="num" w:pos="1740"/>
        </w:tabs>
        <w:ind w:left="1740" w:hanging="66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2" w15:restartNumberingAfterBreak="0">
    <w:nsid w:val="46685386"/>
    <w:multiLevelType w:val="multilevel"/>
    <w:tmpl w:val="340C02A0"/>
    <w:styleLink w:val="List12"/>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3" w15:restartNumberingAfterBreak="0">
    <w:nsid w:val="489949EB"/>
    <w:multiLevelType w:val="multilevel"/>
    <w:tmpl w:val="3844DD14"/>
    <w:styleLink w:val="List50"/>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4" w15:restartNumberingAfterBreak="0">
    <w:nsid w:val="492723E7"/>
    <w:multiLevelType w:val="multilevel"/>
    <w:tmpl w:val="0CF8CC36"/>
    <w:styleLink w:val="List21"/>
    <w:lvl w:ilvl="0">
      <w:start w:val="1"/>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5" w15:restartNumberingAfterBreak="0">
    <w:nsid w:val="4C7B4261"/>
    <w:multiLevelType w:val="multilevel"/>
    <w:tmpl w:val="BA48D7F6"/>
    <w:styleLink w:val="List34"/>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1">
      <w:start w:val="1"/>
      <w:numFmt w:val="lowerLetter"/>
      <w:lvlText w:val="%2."/>
      <w:lvlJc w:val="left"/>
      <w:pPr>
        <w:tabs>
          <w:tab w:val="num" w:pos="1770"/>
        </w:tabs>
        <w:ind w:left="1770" w:hanging="330"/>
      </w:pPr>
      <w:rPr>
        <w:rFonts w:ascii="Calibri" w:eastAsia="Calibri" w:hAnsi="Calibri" w:cs="Calibri"/>
        <w:b/>
        <w:bCs/>
        <w:color w:val="000000"/>
        <w:position w:val="0"/>
        <w:sz w:val="22"/>
        <w:szCs w:val="22"/>
        <w:u w:val="single" w:color="000000"/>
        <w:lang w:val="es-ES_tradnl"/>
      </w:rPr>
    </w:lvl>
    <w:lvl w:ilvl="2">
      <w:start w:val="1"/>
      <w:numFmt w:val="lowerRoman"/>
      <w:lvlText w:val="%3."/>
      <w:lvlJc w:val="left"/>
      <w:pPr>
        <w:tabs>
          <w:tab w:val="num" w:pos="2495"/>
        </w:tabs>
        <w:ind w:left="2495" w:hanging="271"/>
      </w:pPr>
      <w:rPr>
        <w:rFonts w:ascii="Calibri" w:eastAsia="Calibri" w:hAnsi="Calibri" w:cs="Calibri"/>
        <w:b/>
        <w:bCs/>
        <w:color w:val="000000"/>
        <w:position w:val="0"/>
        <w:sz w:val="22"/>
        <w:szCs w:val="22"/>
        <w:u w:val="single" w:color="000000"/>
        <w:lang w:val="es-ES_tradnl"/>
      </w:rPr>
    </w:lvl>
    <w:lvl w:ilvl="3">
      <w:start w:val="1"/>
      <w:numFmt w:val="decimal"/>
      <w:lvlText w:val="%4."/>
      <w:lvlJc w:val="left"/>
      <w:pPr>
        <w:tabs>
          <w:tab w:val="num" w:pos="3210"/>
        </w:tabs>
        <w:ind w:left="3210" w:hanging="330"/>
      </w:pPr>
      <w:rPr>
        <w:rFonts w:ascii="Calibri" w:eastAsia="Calibri" w:hAnsi="Calibri" w:cs="Calibri"/>
        <w:b/>
        <w:bCs/>
        <w:color w:val="000000"/>
        <w:position w:val="0"/>
        <w:sz w:val="22"/>
        <w:szCs w:val="22"/>
        <w:u w:val="single" w:color="000000"/>
        <w:lang w:val="es-ES_tradnl"/>
      </w:rPr>
    </w:lvl>
    <w:lvl w:ilvl="4">
      <w:start w:val="1"/>
      <w:numFmt w:val="lowerLetter"/>
      <w:lvlText w:val="%5."/>
      <w:lvlJc w:val="left"/>
      <w:pPr>
        <w:tabs>
          <w:tab w:val="num" w:pos="3930"/>
        </w:tabs>
        <w:ind w:left="3930" w:hanging="330"/>
      </w:pPr>
      <w:rPr>
        <w:rFonts w:ascii="Calibri" w:eastAsia="Calibri" w:hAnsi="Calibri" w:cs="Calibri"/>
        <w:b/>
        <w:bCs/>
        <w:color w:val="000000"/>
        <w:position w:val="0"/>
        <w:sz w:val="22"/>
        <w:szCs w:val="22"/>
        <w:u w:val="single" w:color="000000"/>
        <w:lang w:val="es-ES_tradnl"/>
      </w:rPr>
    </w:lvl>
    <w:lvl w:ilvl="5">
      <w:start w:val="1"/>
      <w:numFmt w:val="lowerRoman"/>
      <w:lvlText w:val="%6."/>
      <w:lvlJc w:val="left"/>
      <w:pPr>
        <w:tabs>
          <w:tab w:val="num" w:pos="4655"/>
        </w:tabs>
        <w:ind w:left="4655" w:hanging="271"/>
      </w:pPr>
      <w:rPr>
        <w:rFonts w:ascii="Calibri" w:eastAsia="Calibri" w:hAnsi="Calibri" w:cs="Calibri"/>
        <w:b/>
        <w:bCs/>
        <w:color w:val="000000"/>
        <w:position w:val="0"/>
        <w:sz w:val="22"/>
        <w:szCs w:val="22"/>
        <w:u w:val="single" w:color="000000"/>
        <w:lang w:val="es-ES_tradnl"/>
      </w:rPr>
    </w:lvl>
    <w:lvl w:ilvl="6">
      <w:start w:val="1"/>
      <w:numFmt w:val="decimal"/>
      <w:lvlText w:val="%7."/>
      <w:lvlJc w:val="left"/>
      <w:pPr>
        <w:tabs>
          <w:tab w:val="num" w:pos="5370"/>
        </w:tabs>
        <w:ind w:left="5370" w:hanging="330"/>
      </w:pPr>
      <w:rPr>
        <w:rFonts w:ascii="Calibri" w:eastAsia="Calibri" w:hAnsi="Calibri" w:cs="Calibri"/>
        <w:b/>
        <w:bCs/>
        <w:color w:val="000000"/>
        <w:position w:val="0"/>
        <w:sz w:val="22"/>
        <w:szCs w:val="22"/>
        <w:u w:val="single" w:color="000000"/>
        <w:lang w:val="es-ES_tradnl"/>
      </w:rPr>
    </w:lvl>
    <w:lvl w:ilvl="7">
      <w:start w:val="1"/>
      <w:numFmt w:val="lowerLetter"/>
      <w:lvlText w:val="%8."/>
      <w:lvlJc w:val="left"/>
      <w:pPr>
        <w:tabs>
          <w:tab w:val="num" w:pos="6090"/>
        </w:tabs>
        <w:ind w:left="6090" w:hanging="330"/>
      </w:pPr>
      <w:rPr>
        <w:rFonts w:ascii="Calibri" w:eastAsia="Calibri" w:hAnsi="Calibri" w:cs="Calibri"/>
        <w:b/>
        <w:bCs/>
        <w:color w:val="000000"/>
        <w:position w:val="0"/>
        <w:sz w:val="22"/>
        <w:szCs w:val="22"/>
        <w:u w:val="single" w:color="000000"/>
        <w:lang w:val="es-ES_tradnl"/>
      </w:rPr>
    </w:lvl>
    <w:lvl w:ilvl="8">
      <w:start w:val="1"/>
      <w:numFmt w:val="lowerRoman"/>
      <w:lvlText w:val="%9."/>
      <w:lvlJc w:val="left"/>
      <w:pPr>
        <w:tabs>
          <w:tab w:val="num" w:pos="6815"/>
        </w:tabs>
        <w:ind w:left="6815" w:hanging="271"/>
      </w:pPr>
      <w:rPr>
        <w:rFonts w:ascii="Calibri" w:eastAsia="Calibri" w:hAnsi="Calibri" w:cs="Calibri"/>
        <w:b/>
        <w:bCs/>
        <w:color w:val="000000"/>
        <w:position w:val="0"/>
        <w:sz w:val="22"/>
        <w:szCs w:val="22"/>
        <w:u w:val="single" w:color="000000"/>
        <w:lang w:val="es-ES_tradnl"/>
      </w:rPr>
    </w:lvl>
  </w:abstractNum>
  <w:abstractNum w:abstractNumId="36" w15:restartNumberingAfterBreak="0">
    <w:nsid w:val="4CF77151"/>
    <w:multiLevelType w:val="multilevel"/>
    <w:tmpl w:val="CEEAA058"/>
    <w:styleLink w:val="List42"/>
    <w:lvl w:ilvl="0">
      <w:start w:val="1"/>
      <w:numFmt w:val="decimal"/>
      <w:lvlText w:val="%1."/>
      <w:lvlJc w:val="left"/>
      <w:pPr>
        <w:tabs>
          <w:tab w:val="num" w:pos="690"/>
        </w:tabs>
        <w:ind w:left="690" w:hanging="330"/>
      </w:pPr>
      <w:rPr>
        <w:rFonts w:ascii="Calibri" w:eastAsia="Calibri" w:hAnsi="Calibri" w:cs="Calibri"/>
        <w:b/>
        <w:bCs/>
        <w:color w:val="000000"/>
        <w:position w:val="0"/>
        <w:sz w:val="22"/>
        <w:szCs w:val="22"/>
        <w:u w:val="single"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val="single"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val="single" w:color="000000"/>
        <w:lang w:val="es-ES_tradnl"/>
      </w:rPr>
    </w:lvl>
    <w:lvl w:ilvl="3">
      <w:start w:val="1"/>
      <w:numFmt w:val="decimal"/>
      <w:lvlText w:val="%4."/>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val="single"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val="single"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val="single"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val="single"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val="single" w:color="000000"/>
        <w:lang w:val="es-ES_tradnl"/>
      </w:rPr>
    </w:lvl>
  </w:abstractNum>
  <w:abstractNum w:abstractNumId="37" w15:restartNumberingAfterBreak="0">
    <w:nsid w:val="4FB46B4D"/>
    <w:multiLevelType w:val="multilevel"/>
    <w:tmpl w:val="85382D78"/>
    <w:styleLink w:val="List49"/>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8" w15:restartNumberingAfterBreak="0">
    <w:nsid w:val="50521DA1"/>
    <w:multiLevelType w:val="multilevel"/>
    <w:tmpl w:val="06207D7E"/>
    <w:styleLink w:val="List44"/>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39" w15:restartNumberingAfterBreak="0">
    <w:nsid w:val="5087187A"/>
    <w:multiLevelType w:val="multilevel"/>
    <w:tmpl w:val="D5303458"/>
    <w:styleLink w:val="List210"/>
    <w:lvl w:ilvl="0">
      <w:start w:val="1"/>
      <w:numFmt w:val="upperLetter"/>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40" w15:restartNumberingAfterBreak="0">
    <w:nsid w:val="54533009"/>
    <w:multiLevelType w:val="multilevel"/>
    <w:tmpl w:val="E592B904"/>
    <w:styleLink w:val="List52"/>
    <w:lvl w:ilvl="0">
      <w:start w:val="3"/>
      <w:numFmt w:val="upperRoman"/>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41" w15:restartNumberingAfterBreak="0">
    <w:nsid w:val="560E281B"/>
    <w:multiLevelType w:val="hybridMultilevel"/>
    <w:tmpl w:val="D4EA90BE"/>
    <w:lvl w:ilvl="0" w:tplc="11044AE4">
      <w:start w:val="1"/>
      <w:numFmt w:val="decimal"/>
      <w:lvlText w:val="%1."/>
      <w:lvlJc w:val="left"/>
      <w:pPr>
        <w:tabs>
          <w:tab w:val="num" w:pos="720"/>
        </w:tabs>
        <w:ind w:left="0" w:firstLine="720"/>
      </w:pPr>
      <w:rPr>
        <w:rFonts w:hint="default"/>
        <w:i w:val="0"/>
        <w:color w:val="auto"/>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5A931108"/>
    <w:multiLevelType w:val="multilevel"/>
    <w:tmpl w:val="901AD374"/>
    <w:styleLink w:val="List24"/>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val="single"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val="single"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val="single"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val="single"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val="single"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val="single"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val="single"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val="single" w:color="000000"/>
        <w:lang w:val="es-ES_tradnl"/>
      </w:rPr>
    </w:lvl>
  </w:abstractNum>
  <w:abstractNum w:abstractNumId="43" w15:restartNumberingAfterBreak="0">
    <w:nsid w:val="5BF62682"/>
    <w:multiLevelType w:val="multilevel"/>
    <w:tmpl w:val="44B09150"/>
    <w:styleLink w:val="List510"/>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44" w15:restartNumberingAfterBreak="0">
    <w:nsid w:val="61291D94"/>
    <w:multiLevelType w:val="multilevel"/>
    <w:tmpl w:val="6C22F246"/>
    <w:styleLink w:val="List27"/>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45" w15:restartNumberingAfterBreak="0">
    <w:nsid w:val="66260CBE"/>
    <w:multiLevelType w:val="multilevel"/>
    <w:tmpl w:val="1D885D8E"/>
    <w:styleLink w:val="List8"/>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color="000000"/>
        <w:lang w:val="es-ES_tradnl"/>
      </w:rPr>
    </w:lvl>
  </w:abstractNum>
  <w:abstractNum w:abstractNumId="46" w15:restartNumberingAfterBreak="0">
    <w:nsid w:val="6A074BF8"/>
    <w:multiLevelType w:val="multilevel"/>
    <w:tmpl w:val="E1B8E896"/>
    <w:styleLink w:val="List13"/>
    <w:lvl w:ilvl="0">
      <w:start w:val="1"/>
      <w:numFmt w:val="upperRoman"/>
      <w:lvlText w:val="%1."/>
      <w:lvlJc w:val="left"/>
      <w:pPr>
        <w:tabs>
          <w:tab w:val="num" w:pos="1020"/>
        </w:tabs>
        <w:ind w:left="1020" w:hanging="660"/>
      </w:pPr>
      <w:rPr>
        <w:rFonts w:ascii="Calibri" w:eastAsia="Calibri" w:hAnsi="Calibri" w:cs="Calibri"/>
        <w:b/>
        <w:bCs/>
        <w:color w:val="000000"/>
        <w:position w:val="0"/>
        <w:sz w:val="22"/>
        <w:szCs w:val="22"/>
        <w:u w:val="single" w:color="000000"/>
        <w:lang w:val="es-ES_tradnl"/>
      </w:rPr>
    </w:lvl>
    <w:lvl w:ilvl="1">
      <w:start w:val="2"/>
      <w:numFmt w:val="decimal"/>
      <w:lvlText w:val="%1.%2."/>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2">
      <w:start w:val="1"/>
      <w:numFmt w:val="decimal"/>
      <w:lvlText w:val="%1.%2.%3."/>
      <w:lvlJc w:val="left"/>
      <w:pPr>
        <w:tabs>
          <w:tab w:val="num" w:pos="1020"/>
        </w:tabs>
        <w:ind w:left="1020" w:hanging="660"/>
      </w:pPr>
      <w:rPr>
        <w:rFonts w:ascii="Calibri" w:eastAsia="Calibri" w:hAnsi="Calibri" w:cs="Calibri"/>
        <w:b/>
        <w:bCs/>
        <w:color w:val="000000"/>
        <w:position w:val="0"/>
        <w:sz w:val="22"/>
        <w:szCs w:val="22"/>
        <w:u w:val="single" w:color="000000"/>
        <w:lang w:val="es-ES_tradnl"/>
      </w:rPr>
    </w:lvl>
    <w:lvl w:ilvl="3">
      <w:start w:val="1"/>
      <w:numFmt w:val="decimal"/>
      <w:lvlText w:val="%1.%2.%3.%4."/>
      <w:lvlJc w:val="left"/>
      <w:pPr>
        <w:tabs>
          <w:tab w:val="num" w:pos="1020"/>
        </w:tabs>
        <w:ind w:left="1020" w:hanging="660"/>
      </w:pPr>
      <w:rPr>
        <w:rFonts w:ascii="Calibri" w:eastAsia="Calibri" w:hAnsi="Calibri" w:cs="Calibri"/>
        <w:b/>
        <w:bCs/>
        <w:color w:val="000000"/>
        <w:position w:val="0"/>
        <w:sz w:val="22"/>
        <w:szCs w:val="22"/>
        <w:u w:val="single" w:color="000000"/>
        <w:lang w:val="es-ES_tradnl"/>
      </w:rPr>
    </w:lvl>
    <w:lvl w:ilvl="4">
      <w:start w:val="1"/>
      <w:numFmt w:val="decimal"/>
      <w:lvlText w:val="%1.%2.%3.%4.%5."/>
      <w:lvlJc w:val="left"/>
      <w:pPr>
        <w:tabs>
          <w:tab w:val="num" w:pos="1350"/>
        </w:tabs>
        <w:ind w:left="1350" w:hanging="990"/>
      </w:pPr>
      <w:rPr>
        <w:rFonts w:ascii="Calibri" w:eastAsia="Calibri" w:hAnsi="Calibri" w:cs="Calibri"/>
        <w:b/>
        <w:bCs/>
        <w:color w:val="000000"/>
        <w:position w:val="0"/>
        <w:sz w:val="22"/>
        <w:szCs w:val="22"/>
        <w:u w:val="single" w:color="000000"/>
        <w:lang w:val="es-ES_tradnl"/>
      </w:rPr>
    </w:lvl>
    <w:lvl w:ilvl="5">
      <w:start w:val="1"/>
      <w:numFmt w:val="decimal"/>
      <w:lvlText w:val="%1.%2.%3.%4.%5.%6."/>
      <w:lvlJc w:val="left"/>
      <w:pPr>
        <w:tabs>
          <w:tab w:val="num" w:pos="1350"/>
        </w:tabs>
        <w:ind w:left="1350" w:hanging="990"/>
      </w:pPr>
      <w:rPr>
        <w:rFonts w:ascii="Calibri" w:eastAsia="Calibri" w:hAnsi="Calibri" w:cs="Calibri"/>
        <w:b/>
        <w:bCs/>
        <w:color w:val="000000"/>
        <w:position w:val="0"/>
        <w:sz w:val="22"/>
        <w:szCs w:val="22"/>
        <w:u w:val="single" w:color="000000"/>
        <w:lang w:val="es-ES_tradnl"/>
      </w:rPr>
    </w:lvl>
    <w:lvl w:ilvl="6">
      <w:start w:val="1"/>
      <w:numFmt w:val="decimal"/>
      <w:lvlText w:val="%1.%2.%3.%4.%5.%6.%7."/>
      <w:lvlJc w:val="left"/>
      <w:pPr>
        <w:tabs>
          <w:tab w:val="num" w:pos="1680"/>
        </w:tabs>
        <w:ind w:left="1680" w:hanging="1320"/>
      </w:pPr>
      <w:rPr>
        <w:rFonts w:ascii="Calibri" w:eastAsia="Calibri" w:hAnsi="Calibri" w:cs="Calibri"/>
        <w:b/>
        <w:bCs/>
        <w:color w:val="000000"/>
        <w:position w:val="0"/>
        <w:sz w:val="22"/>
        <w:szCs w:val="22"/>
        <w:u w:val="single" w:color="000000"/>
        <w:lang w:val="es-ES_tradnl"/>
      </w:rPr>
    </w:lvl>
    <w:lvl w:ilvl="7">
      <w:start w:val="1"/>
      <w:numFmt w:val="decimal"/>
      <w:lvlText w:val="%1.%2.%3.%4.%5.%6.%7.%8."/>
      <w:lvlJc w:val="left"/>
      <w:pPr>
        <w:tabs>
          <w:tab w:val="num" w:pos="1680"/>
        </w:tabs>
        <w:ind w:left="1680" w:hanging="1320"/>
      </w:pPr>
      <w:rPr>
        <w:rFonts w:ascii="Calibri" w:eastAsia="Calibri" w:hAnsi="Calibri" w:cs="Calibri"/>
        <w:b/>
        <w:bCs/>
        <w:color w:val="000000"/>
        <w:position w:val="0"/>
        <w:sz w:val="22"/>
        <w:szCs w:val="22"/>
        <w:u w:val="single" w:color="000000"/>
        <w:lang w:val="es-ES_tradnl"/>
      </w:rPr>
    </w:lvl>
    <w:lvl w:ilvl="8">
      <w:start w:val="1"/>
      <w:numFmt w:val="decimal"/>
      <w:lvlText w:val="%1.%2.%3.%4.%5.%6.%7.%8.%9."/>
      <w:lvlJc w:val="left"/>
      <w:pPr>
        <w:tabs>
          <w:tab w:val="num" w:pos="2010"/>
        </w:tabs>
        <w:ind w:left="2010" w:hanging="1650"/>
      </w:pPr>
      <w:rPr>
        <w:rFonts w:ascii="Calibri" w:eastAsia="Calibri" w:hAnsi="Calibri" w:cs="Calibri"/>
        <w:b/>
        <w:bCs/>
        <w:color w:val="000000"/>
        <w:position w:val="0"/>
        <w:sz w:val="22"/>
        <w:szCs w:val="22"/>
        <w:u w:val="single" w:color="000000"/>
        <w:lang w:val="es-ES_tradnl"/>
      </w:rPr>
    </w:lvl>
  </w:abstractNum>
  <w:abstractNum w:abstractNumId="47" w15:restartNumberingAfterBreak="0">
    <w:nsid w:val="6EC377F7"/>
    <w:multiLevelType w:val="multilevel"/>
    <w:tmpl w:val="46768850"/>
    <w:styleLink w:val="List20"/>
    <w:lvl w:ilvl="0">
      <w:start w:val="2"/>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690"/>
        </w:tabs>
        <w:ind w:left="69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48" w15:restartNumberingAfterBreak="0">
    <w:nsid w:val="70786ED7"/>
    <w:multiLevelType w:val="hybridMultilevel"/>
    <w:tmpl w:val="0004DB54"/>
    <w:lvl w:ilvl="0" w:tplc="69020C3E">
      <w:start w:val="1"/>
      <w:numFmt w:val="upperRoman"/>
      <w:pStyle w:val="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45A711E"/>
    <w:multiLevelType w:val="multilevel"/>
    <w:tmpl w:val="ED88159C"/>
    <w:styleLink w:val="List410"/>
    <w:lvl w:ilvl="0">
      <w:start w:val="1"/>
      <w:numFmt w:val="decimal"/>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0" w15:restartNumberingAfterBreak="0">
    <w:nsid w:val="78C26FCF"/>
    <w:multiLevelType w:val="multilevel"/>
    <w:tmpl w:val="2FCAD168"/>
    <w:styleLink w:val="List310"/>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1" w15:restartNumberingAfterBreak="0">
    <w:nsid w:val="78D002EC"/>
    <w:multiLevelType w:val="multilevel"/>
    <w:tmpl w:val="83CCC372"/>
    <w:styleLink w:val="List6"/>
    <w:lvl w:ilvl="0">
      <w:start w:val="1"/>
      <w:numFmt w:val="bullet"/>
      <w:lvlText w:val="•"/>
      <w:lvlJc w:val="left"/>
      <w:pPr>
        <w:tabs>
          <w:tab w:val="num" w:pos="720"/>
        </w:tabs>
        <w:ind w:left="720" w:hanging="360"/>
      </w:pPr>
      <w:rPr>
        <w:rFonts w:ascii="Trebuchet MS" w:eastAsia="Trebuchet MS" w:hAnsi="Trebuchet MS" w:cs="Trebuchet MS"/>
        <w:b/>
        <w:bCs/>
        <w:color w:val="000000"/>
        <w:position w:val="0"/>
        <w:sz w:val="24"/>
        <w:szCs w:val="24"/>
        <w:u w:color="000000"/>
        <w:lang w:val="es-ES_tradnl"/>
      </w:rPr>
    </w:lvl>
    <w:lvl w:ilvl="1">
      <w:start w:val="1"/>
      <w:numFmt w:val="bullet"/>
      <w:lvlText w:val="o"/>
      <w:lvlJc w:val="left"/>
      <w:pPr>
        <w:tabs>
          <w:tab w:val="num" w:pos="1410"/>
        </w:tabs>
        <w:ind w:left="1410" w:hanging="330"/>
      </w:pPr>
      <w:rPr>
        <w:rFonts w:ascii="Calibri" w:eastAsia="Calibri" w:hAnsi="Calibri" w:cs="Calibri"/>
        <w:b/>
        <w:bCs/>
        <w:color w:val="000000"/>
        <w:position w:val="0"/>
        <w:sz w:val="22"/>
        <w:szCs w:val="22"/>
        <w:u w:color="000000"/>
        <w:lang w:val="es-ES_tradnl"/>
      </w:rPr>
    </w:lvl>
    <w:lvl w:ilvl="2">
      <w:start w:val="1"/>
      <w:numFmt w:val="bullet"/>
      <w:lvlText w:val="▪"/>
      <w:lvlJc w:val="left"/>
      <w:pPr>
        <w:tabs>
          <w:tab w:val="num" w:pos="2130"/>
        </w:tabs>
        <w:ind w:left="2130" w:hanging="330"/>
      </w:pPr>
      <w:rPr>
        <w:rFonts w:ascii="Calibri" w:eastAsia="Calibri" w:hAnsi="Calibri" w:cs="Calibri"/>
        <w:b/>
        <w:bCs/>
        <w:color w:val="000000"/>
        <w:position w:val="0"/>
        <w:sz w:val="22"/>
        <w:szCs w:val="22"/>
        <w:u w:color="000000"/>
        <w:lang w:val="es-ES_tradnl"/>
      </w:rPr>
    </w:lvl>
    <w:lvl w:ilvl="3">
      <w:start w:val="1"/>
      <w:numFmt w:val="bullet"/>
      <w:lvlText w:val="•"/>
      <w:lvlJc w:val="left"/>
      <w:pPr>
        <w:tabs>
          <w:tab w:val="num" w:pos="2850"/>
        </w:tabs>
        <w:ind w:left="2850" w:hanging="330"/>
      </w:pPr>
      <w:rPr>
        <w:rFonts w:ascii="Calibri" w:eastAsia="Calibri" w:hAnsi="Calibri" w:cs="Calibri"/>
        <w:b/>
        <w:bCs/>
        <w:color w:val="000000"/>
        <w:position w:val="0"/>
        <w:sz w:val="22"/>
        <w:szCs w:val="22"/>
        <w:u w:color="000000"/>
        <w:lang w:val="es-ES_tradnl"/>
      </w:rPr>
    </w:lvl>
    <w:lvl w:ilvl="4">
      <w:start w:val="1"/>
      <w:numFmt w:val="bullet"/>
      <w:lvlText w:val="o"/>
      <w:lvlJc w:val="left"/>
      <w:pPr>
        <w:tabs>
          <w:tab w:val="num" w:pos="3570"/>
        </w:tabs>
        <w:ind w:left="3570" w:hanging="330"/>
      </w:pPr>
      <w:rPr>
        <w:rFonts w:ascii="Calibri" w:eastAsia="Calibri" w:hAnsi="Calibri" w:cs="Calibri"/>
        <w:b/>
        <w:bCs/>
        <w:color w:val="000000"/>
        <w:position w:val="0"/>
        <w:sz w:val="22"/>
        <w:szCs w:val="22"/>
        <w:u w:color="000000"/>
        <w:lang w:val="es-ES_tradnl"/>
      </w:rPr>
    </w:lvl>
    <w:lvl w:ilvl="5">
      <w:start w:val="1"/>
      <w:numFmt w:val="bullet"/>
      <w:lvlText w:val="▪"/>
      <w:lvlJc w:val="left"/>
      <w:pPr>
        <w:tabs>
          <w:tab w:val="num" w:pos="4290"/>
        </w:tabs>
        <w:ind w:left="4290" w:hanging="330"/>
      </w:pPr>
      <w:rPr>
        <w:rFonts w:ascii="Calibri" w:eastAsia="Calibri" w:hAnsi="Calibri" w:cs="Calibri"/>
        <w:b/>
        <w:bCs/>
        <w:color w:val="000000"/>
        <w:position w:val="0"/>
        <w:sz w:val="22"/>
        <w:szCs w:val="22"/>
        <w:u w:color="000000"/>
        <w:lang w:val="es-ES_tradnl"/>
      </w:rPr>
    </w:lvl>
    <w:lvl w:ilvl="6">
      <w:start w:val="1"/>
      <w:numFmt w:val="bullet"/>
      <w:lvlText w:val="•"/>
      <w:lvlJc w:val="left"/>
      <w:pPr>
        <w:tabs>
          <w:tab w:val="num" w:pos="5010"/>
        </w:tabs>
        <w:ind w:left="5010" w:hanging="330"/>
      </w:pPr>
      <w:rPr>
        <w:rFonts w:ascii="Calibri" w:eastAsia="Calibri" w:hAnsi="Calibri" w:cs="Calibri"/>
        <w:b/>
        <w:bCs/>
        <w:color w:val="000000"/>
        <w:position w:val="0"/>
        <w:sz w:val="22"/>
        <w:szCs w:val="22"/>
        <w:u w:color="000000"/>
        <w:lang w:val="es-ES_tradnl"/>
      </w:rPr>
    </w:lvl>
    <w:lvl w:ilvl="7">
      <w:start w:val="1"/>
      <w:numFmt w:val="bullet"/>
      <w:lvlText w:val="o"/>
      <w:lvlJc w:val="left"/>
      <w:pPr>
        <w:tabs>
          <w:tab w:val="num" w:pos="5730"/>
        </w:tabs>
        <w:ind w:left="5730" w:hanging="330"/>
      </w:pPr>
      <w:rPr>
        <w:rFonts w:ascii="Calibri" w:eastAsia="Calibri" w:hAnsi="Calibri" w:cs="Calibri"/>
        <w:b/>
        <w:bCs/>
        <w:color w:val="000000"/>
        <w:position w:val="0"/>
        <w:sz w:val="22"/>
        <w:szCs w:val="22"/>
        <w:u w:color="000000"/>
        <w:lang w:val="es-ES_tradnl"/>
      </w:rPr>
    </w:lvl>
    <w:lvl w:ilvl="8">
      <w:start w:val="1"/>
      <w:numFmt w:val="bullet"/>
      <w:lvlText w:val="▪"/>
      <w:lvlJc w:val="left"/>
      <w:pPr>
        <w:tabs>
          <w:tab w:val="num" w:pos="6450"/>
        </w:tabs>
        <w:ind w:left="6450" w:hanging="330"/>
      </w:pPr>
      <w:rPr>
        <w:rFonts w:ascii="Calibri" w:eastAsia="Calibri" w:hAnsi="Calibri" w:cs="Calibri"/>
        <w:b/>
        <w:bCs/>
        <w:color w:val="000000"/>
        <w:position w:val="0"/>
        <w:sz w:val="22"/>
        <w:szCs w:val="22"/>
        <w:u w:color="000000"/>
        <w:lang w:val="es-ES_tradnl"/>
      </w:rPr>
    </w:lvl>
  </w:abstractNum>
  <w:abstractNum w:abstractNumId="52" w15:restartNumberingAfterBreak="0">
    <w:nsid w:val="79D11DEC"/>
    <w:multiLevelType w:val="multilevel"/>
    <w:tmpl w:val="CA907696"/>
    <w:styleLink w:val="List39"/>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3" w15:restartNumberingAfterBreak="0">
    <w:nsid w:val="7C2D1397"/>
    <w:multiLevelType w:val="multilevel"/>
    <w:tmpl w:val="0D6A0264"/>
    <w:styleLink w:val="List37"/>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4" w15:restartNumberingAfterBreak="0">
    <w:nsid w:val="7C5B116A"/>
    <w:multiLevelType w:val="multilevel"/>
    <w:tmpl w:val="6C927F16"/>
    <w:styleLink w:val="List32"/>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5" w15:restartNumberingAfterBreak="0">
    <w:nsid w:val="7EAB4C36"/>
    <w:multiLevelType w:val="multilevel"/>
    <w:tmpl w:val="DBBC6382"/>
    <w:styleLink w:val="List26"/>
    <w:lvl w:ilvl="0">
      <w:start w:val="1"/>
      <w:numFmt w:val="lowerLetter"/>
      <w:lvlText w:val="%1."/>
      <w:lvlJc w:val="left"/>
      <w:pPr>
        <w:tabs>
          <w:tab w:val="num" w:pos="720"/>
        </w:tabs>
        <w:ind w:left="720" w:hanging="360"/>
      </w:pPr>
      <w:rPr>
        <w:rFonts w:ascii="Trebuchet MS" w:eastAsia="Trebuchet MS" w:hAnsi="Trebuchet MS" w:cs="Trebuchet MS"/>
        <w:color w:val="000000"/>
        <w:position w:val="0"/>
        <w:sz w:val="22"/>
        <w:szCs w:val="22"/>
        <w:u w:color="000000"/>
        <w:lang w:val="es-ES_tradnl"/>
      </w:rPr>
    </w:lvl>
    <w:lvl w:ilvl="1">
      <w:start w:val="1"/>
      <w:numFmt w:val="lowerLetter"/>
      <w:lvlText w:val="%2."/>
      <w:lvlJc w:val="left"/>
      <w:pPr>
        <w:tabs>
          <w:tab w:val="num" w:pos="1410"/>
        </w:tabs>
        <w:ind w:left="1410" w:hanging="330"/>
      </w:pPr>
      <w:rPr>
        <w:rFonts w:ascii="Calibri" w:eastAsia="Calibri" w:hAnsi="Calibri" w:cs="Calibri"/>
        <w:color w:val="000000"/>
        <w:position w:val="0"/>
        <w:sz w:val="22"/>
        <w:szCs w:val="22"/>
        <w:u w:color="000000"/>
        <w:lang w:val="es-ES_tradnl"/>
      </w:rPr>
    </w:lvl>
    <w:lvl w:ilvl="2">
      <w:start w:val="1"/>
      <w:numFmt w:val="lowerRoman"/>
      <w:lvlText w:val="%3."/>
      <w:lvlJc w:val="left"/>
      <w:pPr>
        <w:tabs>
          <w:tab w:val="num" w:pos="2135"/>
        </w:tabs>
        <w:ind w:left="2135" w:hanging="271"/>
      </w:pPr>
      <w:rPr>
        <w:rFonts w:ascii="Calibri" w:eastAsia="Calibri" w:hAnsi="Calibri" w:cs="Calibri"/>
        <w:color w:val="000000"/>
        <w:position w:val="0"/>
        <w:sz w:val="22"/>
        <w:szCs w:val="22"/>
        <w:u w:color="000000"/>
        <w:lang w:val="es-ES_tradnl"/>
      </w:rPr>
    </w:lvl>
    <w:lvl w:ilvl="3">
      <w:start w:val="1"/>
      <w:numFmt w:val="decimal"/>
      <w:lvlText w:val="%4."/>
      <w:lvlJc w:val="left"/>
      <w:pPr>
        <w:tabs>
          <w:tab w:val="num" w:pos="2850"/>
        </w:tabs>
        <w:ind w:left="2850" w:hanging="330"/>
      </w:pPr>
      <w:rPr>
        <w:rFonts w:ascii="Calibri" w:eastAsia="Calibri" w:hAnsi="Calibri" w:cs="Calibri"/>
        <w:color w:val="000000"/>
        <w:position w:val="0"/>
        <w:sz w:val="22"/>
        <w:szCs w:val="22"/>
        <w:u w:color="000000"/>
        <w:lang w:val="es-ES_tradnl"/>
      </w:rPr>
    </w:lvl>
    <w:lvl w:ilvl="4">
      <w:start w:val="1"/>
      <w:numFmt w:val="lowerLetter"/>
      <w:lvlText w:val="%5."/>
      <w:lvlJc w:val="left"/>
      <w:pPr>
        <w:tabs>
          <w:tab w:val="num" w:pos="3570"/>
        </w:tabs>
        <w:ind w:left="3570" w:hanging="330"/>
      </w:pPr>
      <w:rPr>
        <w:rFonts w:ascii="Calibri" w:eastAsia="Calibri" w:hAnsi="Calibri" w:cs="Calibri"/>
        <w:color w:val="000000"/>
        <w:position w:val="0"/>
        <w:sz w:val="22"/>
        <w:szCs w:val="22"/>
        <w:u w:color="000000"/>
        <w:lang w:val="es-ES_tradnl"/>
      </w:rPr>
    </w:lvl>
    <w:lvl w:ilvl="5">
      <w:start w:val="1"/>
      <w:numFmt w:val="lowerRoman"/>
      <w:lvlText w:val="%6."/>
      <w:lvlJc w:val="left"/>
      <w:pPr>
        <w:tabs>
          <w:tab w:val="num" w:pos="4295"/>
        </w:tabs>
        <w:ind w:left="4295" w:hanging="271"/>
      </w:pPr>
      <w:rPr>
        <w:rFonts w:ascii="Calibri" w:eastAsia="Calibri" w:hAnsi="Calibri" w:cs="Calibri"/>
        <w:color w:val="000000"/>
        <w:position w:val="0"/>
        <w:sz w:val="22"/>
        <w:szCs w:val="22"/>
        <w:u w:color="000000"/>
        <w:lang w:val="es-ES_tradnl"/>
      </w:rPr>
    </w:lvl>
    <w:lvl w:ilvl="6">
      <w:start w:val="1"/>
      <w:numFmt w:val="decimal"/>
      <w:lvlText w:val="%7."/>
      <w:lvlJc w:val="left"/>
      <w:pPr>
        <w:tabs>
          <w:tab w:val="num" w:pos="5010"/>
        </w:tabs>
        <w:ind w:left="5010" w:hanging="330"/>
      </w:pPr>
      <w:rPr>
        <w:rFonts w:ascii="Calibri" w:eastAsia="Calibri" w:hAnsi="Calibri" w:cs="Calibri"/>
        <w:color w:val="000000"/>
        <w:position w:val="0"/>
        <w:sz w:val="22"/>
        <w:szCs w:val="22"/>
        <w:u w:color="000000"/>
        <w:lang w:val="es-ES_tradnl"/>
      </w:rPr>
    </w:lvl>
    <w:lvl w:ilvl="7">
      <w:start w:val="1"/>
      <w:numFmt w:val="lowerLetter"/>
      <w:lvlText w:val="%8."/>
      <w:lvlJc w:val="left"/>
      <w:pPr>
        <w:tabs>
          <w:tab w:val="num" w:pos="5730"/>
        </w:tabs>
        <w:ind w:left="5730" w:hanging="330"/>
      </w:pPr>
      <w:rPr>
        <w:rFonts w:ascii="Calibri" w:eastAsia="Calibri" w:hAnsi="Calibri" w:cs="Calibri"/>
        <w:color w:val="000000"/>
        <w:position w:val="0"/>
        <w:sz w:val="22"/>
        <w:szCs w:val="22"/>
        <w:u w:color="000000"/>
        <w:lang w:val="es-ES_tradnl"/>
      </w:rPr>
    </w:lvl>
    <w:lvl w:ilvl="8">
      <w:start w:val="1"/>
      <w:numFmt w:val="lowerRoman"/>
      <w:lvlText w:val="%9."/>
      <w:lvlJc w:val="left"/>
      <w:pPr>
        <w:tabs>
          <w:tab w:val="num" w:pos="6455"/>
        </w:tabs>
        <w:ind w:left="6455" w:hanging="271"/>
      </w:pPr>
      <w:rPr>
        <w:rFonts w:ascii="Calibri" w:eastAsia="Calibri" w:hAnsi="Calibri" w:cs="Calibri"/>
        <w:color w:val="000000"/>
        <w:position w:val="0"/>
        <w:sz w:val="22"/>
        <w:szCs w:val="22"/>
        <w:u w:color="000000"/>
        <w:lang w:val="es-ES_tradnl"/>
      </w:rPr>
    </w:lvl>
  </w:abstractNum>
  <w:abstractNum w:abstractNumId="56" w15:restartNumberingAfterBreak="0">
    <w:nsid w:val="7F215946"/>
    <w:multiLevelType w:val="multilevel"/>
    <w:tmpl w:val="15D01EAA"/>
    <w:styleLink w:val="List48"/>
    <w:lvl w:ilvl="0">
      <w:start w:val="1"/>
      <w:numFmt w:val="decimal"/>
      <w:lvlText w:val="%1."/>
      <w:lvlJc w:val="left"/>
      <w:pPr>
        <w:tabs>
          <w:tab w:val="num" w:pos="720"/>
        </w:tabs>
        <w:ind w:left="720" w:hanging="360"/>
      </w:pPr>
      <w:rPr>
        <w:rFonts w:ascii="Trebuchet MS" w:eastAsia="Trebuchet MS" w:hAnsi="Trebuchet MS" w:cs="Trebuchet MS"/>
        <w:b/>
        <w:bCs/>
        <w:color w:val="000000"/>
        <w:position w:val="0"/>
        <w:sz w:val="22"/>
        <w:szCs w:val="22"/>
        <w:u w:val="single" w:color="000000"/>
        <w:lang w:val="es-ES_tradnl"/>
      </w:rPr>
    </w:lvl>
    <w:lvl w:ilvl="1">
      <w:start w:val="1"/>
      <w:numFmt w:val="lowerLetter"/>
      <w:lvlText w:val="%2."/>
      <w:lvlJc w:val="left"/>
      <w:pPr>
        <w:tabs>
          <w:tab w:val="num" w:pos="1410"/>
        </w:tabs>
        <w:ind w:left="1410" w:hanging="330"/>
      </w:pPr>
      <w:rPr>
        <w:rFonts w:ascii="Calibri" w:eastAsia="Calibri" w:hAnsi="Calibri" w:cs="Calibri"/>
        <w:b/>
        <w:bCs/>
        <w:color w:val="000000"/>
        <w:position w:val="0"/>
        <w:sz w:val="22"/>
        <w:szCs w:val="22"/>
        <w:u w:val="single" w:color="000000"/>
        <w:lang w:val="es-ES_tradnl"/>
      </w:rPr>
    </w:lvl>
    <w:lvl w:ilvl="2">
      <w:start w:val="1"/>
      <w:numFmt w:val="lowerRoman"/>
      <w:lvlText w:val="%3."/>
      <w:lvlJc w:val="left"/>
      <w:pPr>
        <w:tabs>
          <w:tab w:val="num" w:pos="2135"/>
        </w:tabs>
        <w:ind w:left="2135" w:hanging="271"/>
      </w:pPr>
      <w:rPr>
        <w:rFonts w:ascii="Calibri" w:eastAsia="Calibri" w:hAnsi="Calibri" w:cs="Calibri"/>
        <w:b/>
        <w:bCs/>
        <w:color w:val="000000"/>
        <w:position w:val="0"/>
        <w:sz w:val="22"/>
        <w:szCs w:val="22"/>
        <w:u w:val="single" w:color="000000"/>
        <w:lang w:val="es-ES_tradnl"/>
      </w:rPr>
    </w:lvl>
    <w:lvl w:ilvl="3">
      <w:start w:val="1"/>
      <w:numFmt w:val="decimal"/>
      <w:lvlText w:val="%4."/>
      <w:lvlJc w:val="left"/>
      <w:pPr>
        <w:tabs>
          <w:tab w:val="num" w:pos="2850"/>
        </w:tabs>
        <w:ind w:left="2850" w:hanging="330"/>
      </w:pPr>
      <w:rPr>
        <w:rFonts w:ascii="Calibri" w:eastAsia="Calibri" w:hAnsi="Calibri" w:cs="Calibri"/>
        <w:b/>
        <w:bCs/>
        <w:color w:val="000000"/>
        <w:position w:val="0"/>
        <w:sz w:val="22"/>
        <w:szCs w:val="22"/>
        <w:u w:val="single" w:color="000000"/>
        <w:lang w:val="es-ES_tradnl"/>
      </w:rPr>
    </w:lvl>
    <w:lvl w:ilvl="4">
      <w:start w:val="1"/>
      <w:numFmt w:val="lowerLetter"/>
      <w:lvlText w:val="%5."/>
      <w:lvlJc w:val="left"/>
      <w:pPr>
        <w:tabs>
          <w:tab w:val="num" w:pos="3570"/>
        </w:tabs>
        <w:ind w:left="3570" w:hanging="330"/>
      </w:pPr>
      <w:rPr>
        <w:rFonts w:ascii="Calibri" w:eastAsia="Calibri" w:hAnsi="Calibri" w:cs="Calibri"/>
        <w:b/>
        <w:bCs/>
        <w:color w:val="000000"/>
        <w:position w:val="0"/>
        <w:sz w:val="22"/>
        <w:szCs w:val="22"/>
        <w:u w:val="single" w:color="000000"/>
        <w:lang w:val="es-ES_tradnl"/>
      </w:rPr>
    </w:lvl>
    <w:lvl w:ilvl="5">
      <w:start w:val="1"/>
      <w:numFmt w:val="lowerRoman"/>
      <w:lvlText w:val="%6."/>
      <w:lvlJc w:val="left"/>
      <w:pPr>
        <w:tabs>
          <w:tab w:val="num" w:pos="4295"/>
        </w:tabs>
        <w:ind w:left="4295" w:hanging="271"/>
      </w:pPr>
      <w:rPr>
        <w:rFonts w:ascii="Calibri" w:eastAsia="Calibri" w:hAnsi="Calibri" w:cs="Calibri"/>
        <w:b/>
        <w:bCs/>
        <w:color w:val="000000"/>
        <w:position w:val="0"/>
        <w:sz w:val="22"/>
        <w:szCs w:val="22"/>
        <w:u w:val="single" w:color="000000"/>
        <w:lang w:val="es-ES_tradnl"/>
      </w:rPr>
    </w:lvl>
    <w:lvl w:ilvl="6">
      <w:start w:val="1"/>
      <w:numFmt w:val="decimal"/>
      <w:lvlText w:val="%7."/>
      <w:lvlJc w:val="left"/>
      <w:pPr>
        <w:tabs>
          <w:tab w:val="num" w:pos="5010"/>
        </w:tabs>
        <w:ind w:left="5010" w:hanging="330"/>
      </w:pPr>
      <w:rPr>
        <w:rFonts w:ascii="Calibri" w:eastAsia="Calibri" w:hAnsi="Calibri" w:cs="Calibri"/>
        <w:b/>
        <w:bCs/>
        <w:color w:val="000000"/>
        <w:position w:val="0"/>
        <w:sz w:val="22"/>
        <w:szCs w:val="22"/>
        <w:u w:val="single" w:color="000000"/>
        <w:lang w:val="es-ES_tradnl"/>
      </w:rPr>
    </w:lvl>
    <w:lvl w:ilvl="7">
      <w:start w:val="1"/>
      <w:numFmt w:val="lowerLetter"/>
      <w:lvlText w:val="%8."/>
      <w:lvlJc w:val="left"/>
      <w:pPr>
        <w:tabs>
          <w:tab w:val="num" w:pos="5730"/>
        </w:tabs>
        <w:ind w:left="5730" w:hanging="330"/>
      </w:pPr>
      <w:rPr>
        <w:rFonts w:ascii="Calibri" w:eastAsia="Calibri" w:hAnsi="Calibri" w:cs="Calibri"/>
        <w:b/>
        <w:bCs/>
        <w:color w:val="000000"/>
        <w:position w:val="0"/>
        <w:sz w:val="22"/>
        <w:szCs w:val="22"/>
        <w:u w:val="single" w:color="000000"/>
        <w:lang w:val="es-ES_tradnl"/>
      </w:rPr>
    </w:lvl>
    <w:lvl w:ilvl="8">
      <w:start w:val="1"/>
      <w:numFmt w:val="lowerRoman"/>
      <w:lvlText w:val="%9."/>
      <w:lvlJc w:val="left"/>
      <w:pPr>
        <w:tabs>
          <w:tab w:val="num" w:pos="6455"/>
        </w:tabs>
        <w:ind w:left="6455" w:hanging="271"/>
      </w:pPr>
      <w:rPr>
        <w:rFonts w:ascii="Calibri" w:eastAsia="Calibri" w:hAnsi="Calibri" w:cs="Calibri"/>
        <w:b/>
        <w:bCs/>
        <w:color w:val="000000"/>
        <w:position w:val="0"/>
        <w:sz w:val="22"/>
        <w:szCs w:val="22"/>
        <w:u w:val="single" w:color="000000"/>
        <w:lang w:val="es-ES_tradnl"/>
      </w:rPr>
    </w:lvl>
  </w:abstractNum>
  <w:num w:numId="1" w16cid:durableId="872813378">
    <w:abstractNumId w:val="3"/>
  </w:num>
  <w:num w:numId="2" w16cid:durableId="1813330237">
    <w:abstractNumId w:val="5"/>
  </w:num>
  <w:num w:numId="3" w16cid:durableId="1532187907">
    <w:abstractNumId w:val="51"/>
  </w:num>
  <w:num w:numId="4" w16cid:durableId="1933658824">
    <w:abstractNumId w:val="20"/>
  </w:num>
  <w:num w:numId="5" w16cid:durableId="102309653">
    <w:abstractNumId w:val="45"/>
  </w:num>
  <w:num w:numId="6" w16cid:durableId="119616561">
    <w:abstractNumId w:val="26"/>
  </w:num>
  <w:num w:numId="7" w16cid:durableId="1374312286">
    <w:abstractNumId w:val="6"/>
  </w:num>
  <w:num w:numId="8" w16cid:durableId="1356929234">
    <w:abstractNumId w:val="16"/>
  </w:num>
  <w:num w:numId="9" w16cid:durableId="382481005">
    <w:abstractNumId w:val="36"/>
  </w:num>
  <w:num w:numId="10" w16cid:durableId="1767651536">
    <w:abstractNumId w:val="40"/>
  </w:num>
  <w:num w:numId="11" w16cid:durableId="993338501">
    <w:abstractNumId w:val="0"/>
  </w:num>
  <w:num w:numId="12" w16cid:durableId="783113306">
    <w:abstractNumId w:val="35"/>
  </w:num>
  <w:num w:numId="13" w16cid:durableId="906108081">
    <w:abstractNumId w:val="42"/>
  </w:num>
  <w:num w:numId="14" w16cid:durableId="1662195483">
    <w:abstractNumId w:val="1"/>
  </w:num>
  <w:num w:numId="15" w16cid:durableId="1422067352">
    <w:abstractNumId w:val="2"/>
  </w:num>
  <w:num w:numId="16" w16cid:durableId="728697696">
    <w:abstractNumId w:val="7"/>
  </w:num>
  <w:num w:numId="17" w16cid:durableId="532697137">
    <w:abstractNumId w:val="8"/>
  </w:num>
  <w:num w:numId="18" w16cid:durableId="1882203984">
    <w:abstractNumId w:val="9"/>
  </w:num>
  <w:num w:numId="19" w16cid:durableId="1351371818">
    <w:abstractNumId w:val="10"/>
  </w:num>
  <w:num w:numId="20" w16cid:durableId="1675113195">
    <w:abstractNumId w:val="11"/>
  </w:num>
  <w:num w:numId="21" w16cid:durableId="1955670201">
    <w:abstractNumId w:val="12"/>
  </w:num>
  <w:num w:numId="22" w16cid:durableId="574364452">
    <w:abstractNumId w:val="13"/>
  </w:num>
  <w:num w:numId="23" w16cid:durableId="223028224">
    <w:abstractNumId w:val="14"/>
  </w:num>
  <w:num w:numId="24" w16cid:durableId="839083034">
    <w:abstractNumId w:val="15"/>
  </w:num>
  <w:num w:numId="25" w16cid:durableId="1048453737">
    <w:abstractNumId w:val="17"/>
  </w:num>
  <w:num w:numId="26" w16cid:durableId="1026640194">
    <w:abstractNumId w:val="18"/>
  </w:num>
  <w:num w:numId="27" w16cid:durableId="1329288156">
    <w:abstractNumId w:val="21"/>
  </w:num>
  <w:num w:numId="28" w16cid:durableId="1809085151">
    <w:abstractNumId w:val="22"/>
  </w:num>
  <w:num w:numId="29" w16cid:durableId="1080827732">
    <w:abstractNumId w:val="24"/>
  </w:num>
  <w:num w:numId="30" w16cid:durableId="2036301683">
    <w:abstractNumId w:val="25"/>
  </w:num>
  <w:num w:numId="31" w16cid:durableId="126708259">
    <w:abstractNumId w:val="27"/>
  </w:num>
  <w:num w:numId="32" w16cid:durableId="2058167483">
    <w:abstractNumId w:val="28"/>
  </w:num>
  <w:num w:numId="33" w16cid:durableId="2058311766">
    <w:abstractNumId w:val="29"/>
  </w:num>
  <w:num w:numId="34" w16cid:durableId="410128829">
    <w:abstractNumId w:val="30"/>
  </w:num>
  <w:num w:numId="35" w16cid:durableId="1761218776">
    <w:abstractNumId w:val="31"/>
  </w:num>
  <w:num w:numId="36" w16cid:durableId="1781222947">
    <w:abstractNumId w:val="32"/>
  </w:num>
  <w:num w:numId="37" w16cid:durableId="1311638866">
    <w:abstractNumId w:val="33"/>
  </w:num>
  <w:num w:numId="38" w16cid:durableId="1285455016">
    <w:abstractNumId w:val="34"/>
  </w:num>
  <w:num w:numId="39" w16cid:durableId="1160926393">
    <w:abstractNumId w:val="37"/>
  </w:num>
  <w:num w:numId="40" w16cid:durableId="1364018377">
    <w:abstractNumId w:val="38"/>
  </w:num>
  <w:num w:numId="41" w16cid:durableId="80612354">
    <w:abstractNumId w:val="44"/>
  </w:num>
  <w:num w:numId="42" w16cid:durableId="1691254366">
    <w:abstractNumId w:val="46"/>
  </w:num>
  <w:num w:numId="43" w16cid:durableId="580339032">
    <w:abstractNumId w:val="47"/>
  </w:num>
  <w:num w:numId="44" w16cid:durableId="379717792">
    <w:abstractNumId w:val="49"/>
  </w:num>
  <w:num w:numId="45" w16cid:durableId="1044066421">
    <w:abstractNumId w:val="50"/>
  </w:num>
  <w:num w:numId="46" w16cid:durableId="2091930067">
    <w:abstractNumId w:val="52"/>
  </w:num>
  <w:num w:numId="47" w16cid:durableId="532546517">
    <w:abstractNumId w:val="53"/>
  </w:num>
  <w:num w:numId="48" w16cid:durableId="414666162">
    <w:abstractNumId w:val="54"/>
  </w:num>
  <w:num w:numId="49" w16cid:durableId="1269311212">
    <w:abstractNumId w:val="55"/>
  </w:num>
  <w:num w:numId="50" w16cid:durableId="1631939513">
    <w:abstractNumId w:val="56"/>
  </w:num>
  <w:num w:numId="51" w16cid:durableId="1834564849">
    <w:abstractNumId w:val="19"/>
  </w:num>
  <w:num w:numId="52" w16cid:durableId="205724164">
    <w:abstractNumId w:val="39"/>
  </w:num>
  <w:num w:numId="53" w16cid:durableId="949429864">
    <w:abstractNumId w:val="48"/>
  </w:num>
  <w:num w:numId="54" w16cid:durableId="952714129">
    <w:abstractNumId w:val="43"/>
  </w:num>
  <w:num w:numId="55" w16cid:durableId="219633537">
    <w:abstractNumId w:val="4"/>
  </w:num>
  <w:num w:numId="56" w16cid:durableId="546839422">
    <w:abstractNumId w:val="41"/>
  </w:num>
  <w:num w:numId="57" w16cid:durableId="1801879345">
    <w:abstractNumId w:val="23"/>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2D5C"/>
    <w:rsid w:val="0000036F"/>
    <w:rsid w:val="00000CDA"/>
    <w:rsid w:val="000037C4"/>
    <w:rsid w:val="00006E1F"/>
    <w:rsid w:val="000070D7"/>
    <w:rsid w:val="0001788C"/>
    <w:rsid w:val="000337EF"/>
    <w:rsid w:val="00037EC6"/>
    <w:rsid w:val="00040C3A"/>
    <w:rsid w:val="000419AD"/>
    <w:rsid w:val="000433C9"/>
    <w:rsid w:val="000500AE"/>
    <w:rsid w:val="000716C5"/>
    <w:rsid w:val="00075E23"/>
    <w:rsid w:val="0009344A"/>
    <w:rsid w:val="000A0341"/>
    <w:rsid w:val="000A392E"/>
    <w:rsid w:val="000A575F"/>
    <w:rsid w:val="000D05CB"/>
    <w:rsid w:val="000D10DB"/>
    <w:rsid w:val="000E42BC"/>
    <w:rsid w:val="000E51C6"/>
    <w:rsid w:val="000E5EB5"/>
    <w:rsid w:val="000F35ED"/>
    <w:rsid w:val="00107131"/>
    <w:rsid w:val="0010736F"/>
    <w:rsid w:val="00113F73"/>
    <w:rsid w:val="0012133A"/>
    <w:rsid w:val="00121CC2"/>
    <w:rsid w:val="00122630"/>
    <w:rsid w:val="00131425"/>
    <w:rsid w:val="00133EE5"/>
    <w:rsid w:val="00167A34"/>
    <w:rsid w:val="001807EC"/>
    <w:rsid w:val="001A2009"/>
    <w:rsid w:val="001A316E"/>
    <w:rsid w:val="001A7870"/>
    <w:rsid w:val="001B1538"/>
    <w:rsid w:val="001B3A00"/>
    <w:rsid w:val="001C0053"/>
    <w:rsid w:val="001C1B41"/>
    <w:rsid w:val="001D65EF"/>
    <w:rsid w:val="001E49E7"/>
    <w:rsid w:val="001E557A"/>
    <w:rsid w:val="001F7201"/>
    <w:rsid w:val="0021138D"/>
    <w:rsid w:val="0021255B"/>
    <w:rsid w:val="002170EF"/>
    <w:rsid w:val="0022164B"/>
    <w:rsid w:val="00223A29"/>
    <w:rsid w:val="00224586"/>
    <w:rsid w:val="002250A3"/>
    <w:rsid w:val="00235217"/>
    <w:rsid w:val="00245B9A"/>
    <w:rsid w:val="00246D1F"/>
    <w:rsid w:val="00247403"/>
    <w:rsid w:val="00247542"/>
    <w:rsid w:val="00266B61"/>
    <w:rsid w:val="0026712A"/>
    <w:rsid w:val="002704DB"/>
    <w:rsid w:val="00291FBA"/>
    <w:rsid w:val="002A0AAE"/>
    <w:rsid w:val="002A5820"/>
    <w:rsid w:val="002B249D"/>
    <w:rsid w:val="002D2B26"/>
    <w:rsid w:val="002D7EA2"/>
    <w:rsid w:val="002E187C"/>
    <w:rsid w:val="002E7D35"/>
    <w:rsid w:val="00302733"/>
    <w:rsid w:val="00314078"/>
    <w:rsid w:val="0031535D"/>
    <w:rsid w:val="003239B8"/>
    <w:rsid w:val="00327E81"/>
    <w:rsid w:val="0033169F"/>
    <w:rsid w:val="00344977"/>
    <w:rsid w:val="00346C95"/>
    <w:rsid w:val="00356185"/>
    <w:rsid w:val="00360380"/>
    <w:rsid w:val="003629C4"/>
    <w:rsid w:val="0037519E"/>
    <w:rsid w:val="00386CF0"/>
    <w:rsid w:val="003922AE"/>
    <w:rsid w:val="003A3D75"/>
    <w:rsid w:val="003B70FB"/>
    <w:rsid w:val="003C676B"/>
    <w:rsid w:val="003D3BC2"/>
    <w:rsid w:val="003D4B39"/>
    <w:rsid w:val="003E564B"/>
    <w:rsid w:val="003E6CA1"/>
    <w:rsid w:val="0040134F"/>
    <w:rsid w:val="00401D83"/>
    <w:rsid w:val="00405F9C"/>
    <w:rsid w:val="004065A8"/>
    <w:rsid w:val="00406D7B"/>
    <w:rsid w:val="00414F6F"/>
    <w:rsid w:val="004151E7"/>
    <w:rsid w:val="004165C2"/>
    <w:rsid w:val="00441ECB"/>
    <w:rsid w:val="00443A3B"/>
    <w:rsid w:val="00445193"/>
    <w:rsid w:val="00445C2D"/>
    <w:rsid w:val="00453D87"/>
    <w:rsid w:val="0045648D"/>
    <w:rsid w:val="00462C1B"/>
    <w:rsid w:val="00467B7E"/>
    <w:rsid w:val="00473BB4"/>
    <w:rsid w:val="00477592"/>
    <w:rsid w:val="00486F1C"/>
    <w:rsid w:val="0049419D"/>
    <w:rsid w:val="00497121"/>
    <w:rsid w:val="004A6A54"/>
    <w:rsid w:val="004B542E"/>
    <w:rsid w:val="004C20D2"/>
    <w:rsid w:val="004C2312"/>
    <w:rsid w:val="004C4004"/>
    <w:rsid w:val="004C4B62"/>
    <w:rsid w:val="004C54C9"/>
    <w:rsid w:val="004D4ABA"/>
    <w:rsid w:val="004D5627"/>
    <w:rsid w:val="004D6025"/>
    <w:rsid w:val="004E2649"/>
    <w:rsid w:val="004E7A41"/>
    <w:rsid w:val="004F626F"/>
    <w:rsid w:val="00501399"/>
    <w:rsid w:val="00504640"/>
    <w:rsid w:val="0050633D"/>
    <w:rsid w:val="00507BC4"/>
    <w:rsid w:val="005128E4"/>
    <w:rsid w:val="005133DB"/>
    <w:rsid w:val="00514504"/>
    <w:rsid w:val="00521475"/>
    <w:rsid w:val="00525560"/>
    <w:rsid w:val="00544C49"/>
    <w:rsid w:val="00545AB2"/>
    <w:rsid w:val="005516A1"/>
    <w:rsid w:val="005559EF"/>
    <w:rsid w:val="00563557"/>
    <w:rsid w:val="00566742"/>
    <w:rsid w:val="0057402A"/>
    <w:rsid w:val="005771D0"/>
    <w:rsid w:val="0059191A"/>
    <w:rsid w:val="005921FF"/>
    <w:rsid w:val="005A24ED"/>
    <w:rsid w:val="005A6D0E"/>
    <w:rsid w:val="005B2D7F"/>
    <w:rsid w:val="005B52B0"/>
    <w:rsid w:val="005B6806"/>
    <w:rsid w:val="005C4225"/>
    <w:rsid w:val="005D38F9"/>
    <w:rsid w:val="005D603D"/>
    <w:rsid w:val="005D7C25"/>
    <w:rsid w:val="005E43FE"/>
    <w:rsid w:val="005F0DAD"/>
    <w:rsid w:val="005F0F33"/>
    <w:rsid w:val="00600DEB"/>
    <w:rsid w:val="00612AE2"/>
    <w:rsid w:val="00625DE3"/>
    <w:rsid w:val="00627C9F"/>
    <w:rsid w:val="006311E9"/>
    <w:rsid w:val="00632354"/>
    <w:rsid w:val="00635421"/>
    <w:rsid w:val="006364E9"/>
    <w:rsid w:val="00642810"/>
    <w:rsid w:val="00647235"/>
    <w:rsid w:val="00652333"/>
    <w:rsid w:val="00652A7C"/>
    <w:rsid w:val="0066384B"/>
    <w:rsid w:val="0068009E"/>
    <w:rsid w:val="00684BFC"/>
    <w:rsid w:val="00692219"/>
    <w:rsid w:val="006A17D2"/>
    <w:rsid w:val="006A73E6"/>
    <w:rsid w:val="006B2D5C"/>
    <w:rsid w:val="006C4EB1"/>
    <w:rsid w:val="006C5D7D"/>
    <w:rsid w:val="006E0166"/>
    <w:rsid w:val="006E2C1B"/>
    <w:rsid w:val="006E2FFB"/>
    <w:rsid w:val="006E5822"/>
    <w:rsid w:val="006E7B34"/>
    <w:rsid w:val="0070697F"/>
    <w:rsid w:val="0072199C"/>
    <w:rsid w:val="00722C9F"/>
    <w:rsid w:val="007250B5"/>
    <w:rsid w:val="007253B8"/>
    <w:rsid w:val="00727B48"/>
    <w:rsid w:val="0073741F"/>
    <w:rsid w:val="0074046B"/>
    <w:rsid w:val="00753AAA"/>
    <w:rsid w:val="007662C9"/>
    <w:rsid w:val="0076643F"/>
    <w:rsid w:val="007700E8"/>
    <w:rsid w:val="00775FFA"/>
    <w:rsid w:val="00777F63"/>
    <w:rsid w:val="007A20DA"/>
    <w:rsid w:val="007A5817"/>
    <w:rsid w:val="007A7DA1"/>
    <w:rsid w:val="007B05C4"/>
    <w:rsid w:val="007B60E9"/>
    <w:rsid w:val="007B6CC3"/>
    <w:rsid w:val="007B76D3"/>
    <w:rsid w:val="007C3334"/>
    <w:rsid w:val="007D2B98"/>
    <w:rsid w:val="007E21BC"/>
    <w:rsid w:val="007E7C82"/>
    <w:rsid w:val="007F2AA1"/>
    <w:rsid w:val="007F588D"/>
    <w:rsid w:val="00803F1C"/>
    <w:rsid w:val="0080600E"/>
    <w:rsid w:val="00814450"/>
    <w:rsid w:val="00814688"/>
    <w:rsid w:val="00817374"/>
    <w:rsid w:val="00817612"/>
    <w:rsid w:val="0082263C"/>
    <w:rsid w:val="0082547E"/>
    <w:rsid w:val="00833701"/>
    <w:rsid w:val="008338A4"/>
    <w:rsid w:val="00834D49"/>
    <w:rsid w:val="00837C45"/>
    <w:rsid w:val="00844730"/>
    <w:rsid w:val="008457C2"/>
    <w:rsid w:val="00857A82"/>
    <w:rsid w:val="00873836"/>
    <w:rsid w:val="00874CC0"/>
    <w:rsid w:val="00885737"/>
    <w:rsid w:val="00890650"/>
    <w:rsid w:val="00897E12"/>
    <w:rsid w:val="008A7E0F"/>
    <w:rsid w:val="008B12F5"/>
    <w:rsid w:val="008C4A98"/>
    <w:rsid w:val="008C5E2D"/>
    <w:rsid w:val="008D2122"/>
    <w:rsid w:val="008D768D"/>
    <w:rsid w:val="008E27B5"/>
    <w:rsid w:val="008E3759"/>
    <w:rsid w:val="008E3BFE"/>
    <w:rsid w:val="008F0D24"/>
    <w:rsid w:val="008F1912"/>
    <w:rsid w:val="008F5DC8"/>
    <w:rsid w:val="0090105D"/>
    <w:rsid w:val="0090270B"/>
    <w:rsid w:val="009041DC"/>
    <w:rsid w:val="00917B5A"/>
    <w:rsid w:val="00920A58"/>
    <w:rsid w:val="00920A8C"/>
    <w:rsid w:val="00934A2C"/>
    <w:rsid w:val="0094054F"/>
    <w:rsid w:val="00961D5A"/>
    <w:rsid w:val="0096706E"/>
    <w:rsid w:val="00974491"/>
    <w:rsid w:val="00975C4E"/>
    <w:rsid w:val="00980924"/>
    <w:rsid w:val="00981FBA"/>
    <w:rsid w:val="009908AA"/>
    <w:rsid w:val="00997BC5"/>
    <w:rsid w:val="009A4F41"/>
    <w:rsid w:val="009B381B"/>
    <w:rsid w:val="009D1753"/>
    <w:rsid w:val="009D5E84"/>
    <w:rsid w:val="009D7611"/>
    <w:rsid w:val="009E0B61"/>
    <w:rsid w:val="009E53DE"/>
    <w:rsid w:val="009E55A5"/>
    <w:rsid w:val="00A11212"/>
    <w:rsid w:val="00A11E44"/>
    <w:rsid w:val="00A17861"/>
    <w:rsid w:val="00A212B7"/>
    <w:rsid w:val="00A30100"/>
    <w:rsid w:val="00A328B3"/>
    <w:rsid w:val="00A50FCF"/>
    <w:rsid w:val="00A528D1"/>
    <w:rsid w:val="00A610CD"/>
    <w:rsid w:val="00A71202"/>
    <w:rsid w:val="00A758AA"/>
    <w:rsid w:val="00A866BA"/>
    <w:rsid w:val="00A90756"/>
    <w:rsid w:val="00A91BA4"/>
    <w:rsid w:val="00AA09A2"/>
    <w:rsid w:val="00AA19C1"/>
    <w:rsid w:val="00AA7996"/>
    <w:rsid w:val="00AC19CB"/>
    <w:rsid w:val="00AD17C6"/>
    <w:rsid w:val="00AE5488"/>
    <w:rsid w:val="00AE6F91"/>
    <w:rsid w:val="00AF5571"/>
    <w:rsid w:val="00B07341"/>
    <w:rsid w:val="00B17BFE"/>
    <w:rsid w:val="00B30539"/>
    <w:rsid w:val="00B314DB"/>
    <w:rsid w:val="00B34A9C"/>
    <w:rsid w:val="00B361F2"/>
    <w:rsid w:val="00B3718B"/>
    <w:rsid w:val="00B3745F"/>
    <w:rsid w:val="00B4632A"/>
    <w:rsid w:val="00B530F1"/>
    <w:rsid w:val="00B624C1"/>
    <w:rsid w:val="00B70A24"/>
    <w:rsid w:val="00B82E09"/>
    <w:rsid w:val="00B83CB6"/>
    <w:rsid w:val="00B845F1"/>
    <w:rsid w:val="00BA276C"/>
    <w:rsid w:val="00BB306F"/>
    <w:rsid w:val="00BD4B89"/>
    <w:rsid w:val="00BD5922"/>
    <w:rsid w:val="00BF02CB"/>
    <w:rsid w:val="00BF6FD8"/>
    <w:rsid w:val="00C03680"/>
    <w:rsid w:val="00C03903"/>
    <w:rsid w:val="00C054DF"/>
    <w:rsid w:val="00C2052E"/>
    <w:rsid w:val="00C21762"/>
    <w:rsid w:val="00C21FEF"/>
    <w:rsid w:val="00C23BA4"/>
    <w:rsid w:val="00C2427B"/>
    <w:rsid w:val="00C24543"/>
    <w:rsid w:val="00C256A2"/>
    <w:rsid w:val="00C25ADB"/>
    <w:rsid w:val="00C34C52"/>
    <w:rsid w:val="00C51515"/>
    <w:rsid w:val="00C5660B"/>
    <w:rsid w:val="00C66B72"/>
    <w:rsid w:val="00C852B1"/>
    <w:rsid w:val="00C87AC4"/>
    <w:rsid w:val="00C9567A"/>
    <w:rsid w:val="00CA6305"/>
    <w:rsid w:val="00CB212D"/>
    <w:rsid w:val="00CB2660"/>
    <w:rsid w:val="00CC5E90"/>
    <w:rsid w:val="00CD046C"/>
    <w:rsid w:val="00CE076C"/>
    <w:rsid w:val="00CE5199"/>
    <w:rsid w:val="00CE66D5"/>
    <w:rsid w:val="00CE78B0"/>
    <w:rsid w:val="00CF637A"/>
    <w:rsid w:val="00D059DE"/>
    <w:rsid w:val="00D05ABD"/>
    <w:rsid w:val="00D13FCE"/>
    <w:rsid w:val="00D306D1"/>
    <w:rsid w:val="00D30800"/>
    <w:rsid w:val="00D32E68"/>
    <w:rsid w:val="00D34786"/>
    <w:rsid w:val="00D37BFC"/>
    <w:rsid w:val="00D4647A"/>
    <w:rsid w:val="00D47A8E"/>
    <w:rsid w:val="00D52D14"/>
    <w:rsid w:val="00D53782"/>
    <w:rsid w:val="00D712D3"/>
    <w:rsid w:val="00D71422"/>
    <w:rsid w:val="00D72DC6"/>
    <w:rsid w:val="00D7558D"/>
    <w:rsid w:val="00D81D92"/>
    <w:rsid w:val="00D876F9"/>
    <w:rsid w:val="00D92831"/>
    <w:rsid w:val="00DA613A"/>
    <w:rsid w:val="00DA7B5F"/>
    <w:rsid w:val="00DC11E7"/>
    <w:rsid w:val="00DC24E3"/>
    <w:rsid w:val="00DC7023"/>
    <w:rsid w:val="00DC769A"/>
    <w:rsid w:val="00DD3D86"/>
    <w:rsid w:val="00DD4AD2"/>
    <w:rsid w:val="00DE3C5C"/>
    <w:rsid w:val="00DE6A13"/>
    <w:rsid w:val="00DF1EC4"/>
    <w:rsid w:val="00E0340B"/>
    <w:rsid w:val="00E04A90"/>
    <w:rsid w:val="00E0551F"/>
    <w:rsid w:val="00E219C7"/>
    <w:rsid w:val="00E23644"/>
    <w:rsid w:val="00E4118C"/>
    <w:rsid w:val="00E43157"/>
    <w:rsid w:val="00E461CE"/>
    <w:rsid w:val="00E573E4"/>
    <w:rsid w:val="00E601CC"/>
    <w:rsid w:val="00E605A9"/>
    <w:rsid w:val="00E6163A"/>
    <w:rsid w:val="00E64C3D"/>
    <w:rsid w:val="00E720CA"/>
    <w:rsid w:val="00E83A47"/>
    <w:rsid w:val="00E84EB5"/>
    <w:rsid w:val="00E85662"/>
    <w:rsid w:val="00E8789F"/>
    <w:rsid w:val="00E92EF0"/>
    <w:rsid w:val="00E951BF"/>
    <w:rsid w:val="00E97B71"/>
    <w:rsid w:val="00EA3D34"/>
    <w:rsid w:val="00EB454D"/>
    <w:rsid w:val="00ED549D"/>
    <w:rsid w:val="00ED76BE"/>
    <w:rsid w:val="00EE00E9"/>
    <w:rsid w:val="00EF1AAA"/>
    <w:rsid w:val="00EF619B"/>
    <w:rsid w:val="00F00B55"/>
    <w:rsid w:val="00F02AD1"/>
    <w:rsid w:val="00F20BE9"/>
    <w:rsid w:val="00F253CC"/>
    <w:rsid w:val="00F2665D"/>
    <w:rsid w:val="00F37106"/>
    <w:rsid w:val="00F41C77"/>
    <w:rsid w:val="00F44E25"/>
    <w:rsid w:val="00F519CF"/>
    <w:rsid w:val="00F56BA5"/>
    <w:rsid w:val="00F576A3"/>
    <w:rsid w:val="00F60E22"/>
    <w:rsid w:val="00F729D4"/>
    <w:rsid w:val="00F80E04"/>
    <w:rsid w:val="00F81395"/>
    <w:rsid w:val="00F81BB8"/>
    <w:rsid w:val="00F833C7"/>
    <w:rsid w:val="00F90C64"/>
    <w:rsid w:val="00F917D1"/>
    <w:rsid w:val="00F9653B"/>
    <w:rsid w:val="00FB62CF"/>
    <w:rsid w:val="00FD3C3B"/>
    <w:rsid w:val="00FD4228"/>
    <w:rsid w:val="00FE07DD"/>
    <w:rsid w:val="00FE6B45"/>
    <w:rsid w:val="00FF0B6A"/>
    <w:rsid w:val="00FF55F3"/>
    <w:rsid w:val="00FF5851"/>
    <w:rsid w:val="00FF7B79"/>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2CE1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s-ES" w:eastAsia="es-E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Pr>
      <w:sz w:val="24"/>
      <w:szCs w:val="24"/>
      <w:lang w:val="en-US" w:eastAsia="en-US"/>
    </w:rPr>
  </w:style>
  <w:style w:type="paragraph" w:styleId="Heading1">
    <w:name w:val="heading 1"/>
    <w:basedOn w:val="Normal"/>
    <w:next w:val="Normal"/>
    <w:link w:val="Heading1Char"/>
    <w:uiPriority w:val="9"/>
    <w:qFormat/>
    <w:rsid w:val="00D81D92"/>
    <w:pPr>
      <w:keepNext/>
      <w:keepLines/>
      <w:numPr>
        <w:numId w:val="53"/>
      </w:numPr>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rsid w:val="00DF1EC4"/>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1"/>
    </w:pPr>
    <w:rPr>
      <w:rFonts w:ascii="Arial" w:eastAsia="Times New Roman" w:hAnsi="Arial" w:cs="Arial"/>
      <w:b/>
      <w:bCs/>
      <w:i/>
      <w:iCs/>
      <w:sz w:val="28"/>
      <w:szCs w:val="28"/>
      <w:bdr w:val="none" w:sz="0" w:space="0" w:color="auto"/>
    </w:rPr>
  </w:style>
  <w:style w:type="paragraph" w:styleId="Heading3">
    <w:name w:val="heading 3"/>
    <w:basedOn w:val="Normal"/>
    <w:next w:val="Normal"/>
    <w:link w:val="Heading3Char"/>
    <w:qFormat/>
    <w:rsid w:val="00DF1EC4"/>
    <w:pPr>
      <w:keepNext/>
      <w:pBdr>
        <w:top w:val="none" w:sz="0" w:space="0" w:color="auto"/>
        <w:left w:val="none" w:sz="0" w:space="0" w:color="auto"/>
        <w:bottom w:val="none" w:sz="0" w:space="0" w:color="auto"/>
        <w:right w:val="none" w:sz="0" w:space="0" w:color="auto"/>
        <w:between w:val="none" w:sz="0" w:space="0" w:color="auto"/>
        <w:bar w:val="none" w:sz="0" w:color="auto"/>
      </w:pBdr>
      <w:spacing w:before="240" w:after="60"/>
      <w:outlineLvl w:val="2"/>
    </w:pPr>
    <w:rPr>
      <w:rFonts w:ascii="Arial" w:eastAsia="Times New Roman" w:hAnsi="Arial" w:cs="Arial"/>
      <w:b/>
      <w:bCs/>
      <w:sz w:val="26"/>
      <w:szCs w:val="26"/>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Cabeceraypie">
    <w:name w:val="Cabecera y pie"/>
    <w:pPr>
      <w:tabs>
        <w:tab w:val="right" w:pos="9020"/>
      </w:tabs>
    </w:pPr>
    <w:rPr>
      <w:rFonts w:ascii="Helvetica" w:hAnsi="Arial Unicode MS" w:cs="Arial Unicode MS"/>
      <w:color w:val="000000"/>
      <w:sz w:val="24"/>
      <w:szCs w:val="24"/>
    </w:rPr>
  </w:style>
  <w:style w:type="paragraph" w:styleId="Footer">
    <w:name w:val="footer"/>
    <w:link w:val="FooterChar"/>
    <w:uiPriority w:val="99"/>
    <w:pPr>
      <w:tabs>
        <w:tab w:val="center" w:pos="4513"/>
        <w:tab w:val="right" w:pos="9026"/>
      </w:tabs>
    </w:pPr>
    <w:rPr>
      <w:rFonts w:ascii="Cambria" w:eastAsia="Cambria" w:hAnsi="Cambria" w:cs="Cambria"/>
      <w:color w:val="000000"/>
      <w:sz w:val="24"/>
      <w:szCs w:val="24"/>
      <w:u w:color="000000"/>
      <w:lang w:val="en-US"/>
    </w:rPr>
  </w:style>
  <w:style w:type="paragraph" w:customStyle="1" w:styleId="Cuerpo">
    <w:name w:val="Cuerpo"/>
    <w:rPr>
      <w:rFonts w:ascii="Cambria" w:eastAsia="Cambria" w:hAnsi="Cambria" w:cs="Cambria"/>
      <w:color w:val="000000"/>
      <w:sz w:val="24"/>
      <w:szCs w:val="24"/>
      <w:u w:color="000000"/>
    </w:rPr>
  </w:style>
  <w:style w:type="paragraph" w:styleId="BodyTextIndent">
    <w:name w:val="Body Text Indent"/>
    <w:pPr>
      <w:ind w:left="2160" w:hanging="720"/>
    </w:pPr>
    <w:rPr>
      <w:rFonts w:eastAsia="Times New Roman"/>
      <w:color w:val="000000"/>
      <w:sz w:val="24"/>
      <w:szCs w:val="24"/>
      <w:u w:color="000000"/>
      <w:lang w:val="es-ES_tradnl"/>
    </w:rPr>
  </w:style>
  <w:style w:type="paragraph" w:styleId="ListParagraph">
    <w:name w:val="List Paragraph"/>
    <w:uiPriority w:val="34"/>
    <w:qFormat/>
    <w:pPr>
      <w:ind w:left="720"/>
    </w:pPr>
    <w:rPr>
      <w:rFonts w:ascii="Cambria" w:eastAsia="Cambria" w:hAnsi="Cambria" w:cs="Cambria"/>
      <w:color w:val="000000"/>
      <w:sz w:val="24"/>
      <w:szCs w:val="24"/>
      <w:u w:color="000000"/>
      <w:lang w:val="en-US"/>
    </w:rPr>
  </w:style>
  <w:style w:type="numbering" w:customStyle="1" w:styleId="List0">
    <w:name w:val="List 0"/>
    <w:pPr>
      <w:numPr>
        <w:numId w:val="31"/>
      </w:numPr>
    </w:pPr>
  </w:style>
  <w:style w:type="paragraph" w:customStyle="1" w:styleId="paragraph">
    <w:name w:val="paragraph"/>
    <w:basedOn w:val="Normal"/>
    <w:rsid w:val="008E27B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numbering" w:customStyle="1" w:styleId="List1">
    <w:name w:val="List 1"/>
    <w:pPr>
      <w:numPr>
        <w:numId w:val="1"/>
      </w:numPr>
    </w:pPr>
  </w:style>
  <w:style w:type="character" w:customStyle="1" w:styleId="normaltextrun">
    <w:name w:val="normaltextrun"/>
    <w:basedOn w:val="DefaultParagraphFont"/>
    <w:rsid w:val="008E27B5"/>
  </w:style>
  <w:style w:type="numbering" w:customStyle="1" w:styleId="List210">
    <w:name w:val="List 21"/>
    <w:pPr>
      <w:numPr>
        <w:numId w:val="52"/>
      </w:numPr>
    </w:pPr>
  </w:style>
  <w:style w:type="character" w:customStyle="1" w:styleId="eop">
    <w:name w:val="eop"/>
    <w:basedOn w:val="DefaultParagraphFont"/>
    <w:rsid w:val="008E27B5"/>
  </w:style>
  <w:style w:type="numbering" w:customStyle="1" w:styleId="List31">
    <w:name w:val="List 31"/>
    <w:pPr>
      <w:numPr>
        <w:numId w:val="51"/>
      </w:numPr>
    </w:pPr>
  </w:style>
  <w:style w:type="numbering" w:customStyle="1" w:styleId="List41">
    <w:name w:val="List 41"/>
    <w:pPr>
      <w:numPr>
        <w:numId w:val="2"/>
      </w:numPr>
    </w:pPr>
  </w:style>
  <w:style w:type="numbering" w:customStyle="1" w:styleId="List510">
    <w:name w:val="List 51"/>
    <w:pPr>
      <w:numPr>
        <w:numId w:val="54"/>
      </w:numPr>
    </w:pPr>
  </w:style>
  <w:style w:type="numbering" w:customStyle="1" w:styleId="List6">
    <w:name w:val="List 6"/>
    <w:pPr>
      <w:numPr>
        <w:numId w:val="3"/>
      </w:numPr>
    </w:pPr>
  </w:style>
  <w:style w:type="numbering" w:customStyle="1" w:styleId="List7">
    <w:name w:val="List 7"/>
    <w:pPr>
      <w:numPr>
        <w:numId w:val="4"/>
      </w:numPr>
    </w:pPr>
  </w:style>
  <w:style w:type="numbering" w:customStyle="1" w:styleId="List8">
    <w:name w:val="List 8"/>
    <w:pPr>
      <w:numPr>
        <w:numId w:val="5"/>
      </w:numPr>
    </w:pPr>
  </w:style>
  <w:style w:type="numbering" w:customStyle="1" w:styleId="List9">
    <w:name w:val="List 9"/>
    <w:pPr>
      <w:numPr>
        <w:numId w:val="22"/>
      </w:numPr>
    </w:pPr>
  </w:style>
  <w:style w:type="numbering" w:customStyle="1" w:styleId="List10">
    <w:name w:val="List 10"/>
    <w:pPr>
      <w:numPr>
        <w:numId w:val="6"/>
      </w:numPr>
    </w:pPr>
  </w:style>
  <w:style w:type="numbering" w:customStyle="1" w:styleId="List11">
    <w:name w:val="List 11"/>
    <w:pPr>
      <w:numPr>
        <w:numId w:val="7"/>
      </w:numPr>
    </w:pPr>
  </w:style>
  <w:style w:type="numbering" w:customStyle="1" w:styleId="List12">
    <w:name w:val="List 12"/>
    <w:pPr>
      <w:numPr>
        <w:numId w:val="36"/>
      </w:numPr>
    </w:pPr>
  </w:style>
  <w:style w:type="numbering" w:customStyle="1" w:styleId="List13">
    <w:name w:val="List 13"/>
    <w:pPr>
      <w:numPr>
        <w:numId w:val="42"/>
      </w:numPr>
    </w:pPr>
  </w:style>
  <w:style w:type="numbering" w:customStyle="1" w:styleId="List14">
    <w:name w:val="List 14"/>
    <w:pPr>
      <w:numPr>
        <w:numId w:val="17"/>
      </w:numPr>
    </w:pPr>
  </w:style>
  <w:style w:type="numbering" w:customStyle="1" w:styleId="List15">
    <w:name w:val="List 15"/>
    <w:pPr>
      <w:numPr>
        <w:numId w:val="16"/>
      </w:numPr>
    </w:pPr>
  </w:style>
  <w:style w:type="numbering" w:customStyle="1" w:styleId="List16">
    <w:name w:val="List 16"/>
    <w:pPr>
      <w:numPr>
        <w:numId w:val="11"/>
      </w:numPr>
    </w:pPr>
  </w:style>
  <w:style w:type="numbering" w:customStyle="1" w:styleId="List17">
    <w:name w:val="List 17"/>
    <w:pPr>
      <w:numPr>
        <w:numId w:val="25"/>
      </w:numPr>
    </w:pPr>
  </w:style>
  <w:style w:type="numbering" w:customStyle="1" w:styleId="List18">
    <w:name w:val="List 18"/>
    <w:pPr>
      <w:numPr>
        <w:numId w:val="27"/>
      </w:numPr>
    </w:pPr>
  </w:style>
  <w:style w:type="numbering" w:customStyle="1" w:styleId="List19">
    <w:name w:val="List 19"/>
    <w:pPr>
      <w:numPr>
        <w:numId w:val="19"/>
      </w:numPr>
    </w:pPr>
  </w:style>
  <w:style w:type="numbering" w:customStyle="1" w:styleId="List20">
    <w:name w:val="List 20"/>
    <w:pPr>
      <w:numPr>
        <w:numId w:val="43"/>
      </w:numPr>
    </w:pPr>
  </w:style>
  <w:style w:type="numbering" w:customStyle="1" w:styleId="List21">
    <w:name w:val="List 21"/>
    <w:pPr>
      <w:numPr>
        <w:numId w:val="38"/>
      </w:numPr>
    </w:pPr>
  </w:style>
  <w:style w:type="numbering" w:customStyle="1" w:styleId="List22">
    <w:name w:val="List 22"/>
    <w:pPr>
      <w:numPr>
        <w:numId w:val="28"/>
      </w:numPr>
    </w:pPr>
  </w:style>
  <w:style w:type="numbering" w:customStyle="1" w:styleId="List23">
    <w:name w:val="List 23"/>
    <w:pPr>
      <w:numPr>
        <w:numId w:val="18"/>
      </w:numPr>
    </w:pPr>
  </w:style>
  <w:style w:type="numbering" w:customStyle="1" w:styleId="List24">
    <w:name w:val="List 24"/>
    <w:pPr>
      <w:numPr>
        <w:numId w:val="13"/>
      </w:numPr>
    </w:pPr>
  </w:style>
  <w:style w:type="numbering" w:customStyle="1" w:styleId="List25">
    <w:name w:val="List 25"/>
    <w:pPr>
      <w:numPr>
        <w:numId w:val="15"/>
      </w:numPr>
    </w:pPr>
  </w:style>
  <w:style w:type="numbering" w:customStyle="1" w:styleId="List26">
    <w:name w:val="List 26"/>
    <w:pPr>
      <w:numPr>
        <w:numId w:val="49"/>
      </w:numPr>
    </w:pPr>
  </w:style>
  <w:style w:type="numbering" w:customStyle="1" w:styleId="List27">
    <w:name w:val="List 27"/>
    <w:pPr>
      <w:numPr>
        <w:numId w:val="41"/>
      </w:numPr>
    </w:pPr>
  </w:style>
  <w:style w:type="numbering" w:customStyle="1" w:styleId="List28">
    <w:name w:val="List 28"/>
    <w:pPr>
      <w:numPr>
        <w:numId w:val="30"/>
      </w:numPr>
    </w:pPr>
  </w:style>
  <w:style w:type="numbering" w:customStyle="1" w:styleId="List29">
    <w:name w:val="List 29"/>
    <w:pPr>
      <w:numPr>
        <w:numId w:val="34"/>
      </w:numPr>
    </w:pPr>
  </w:style>
  <w:style w:type="numbering" w:customStyle="1" w:styleId="List30">
    <w:name w:val="List 30"/>
    <w:pPr>
      <w:numPr>
        <w:numId w:val="32"/>
      </w:numPr>
    </w:pPr>
  </w:style>
  <w:style w:type="numbering" w:customStyle="1" w:styleId="List310">
    <w:name w:val="List 31"/>
    <w:pPr>
      <w:numPr>
        <w:numId w:val="45"/>
      </w:numPr>
    </w:pPr>
  </w:style>
  <w:style w:type="numbering" w:customStyle="1" w:styleId="List32">
    <w:name w:val="List 32"/>
    <w:pPr>
      <w:numPr>
        <w:numId w:val="48"/>
      </w:numPr>
    </w:pPr>
  </w:style>
  <w:style w:type="paragraph" w:styleId="FootnoteText">
    <w:name w:val="footnote text"/>
    <w:aliases w:val="Footnote Text Char Char Char Char Char,Footnote Text Char Char Char Char,Footnote reference,FA Fu,Footnote Text Char Char Char,Footnote Text Cha,FA Fußnotentext,FA Fuﬂnotentext,Texto nota pie Car,Footnote Text Char Char,footnote text,Ca,ft"/>
    <w:link w:val="FootnoteTextChar"/>
    <w:qFormat/>
    <w:rPr>
      <w:rFonts w:ascii="Calibri" w:eastAsia="Calibri" w:hAnsi="Calibri" w:cs="Calibri"/>
      <w:color w:val="000000"/>
      <w:u w:color="000000"/>
      <w:lang w:val="en-US"/>
    </w:rPr>
  </w:style>
  <w:style w:type="numbering" w:customStyle="1" w:styleId="List33">
    <w:name w:val="List 33"/>
    <w:pPr>
      <w:numPr>
        <w:numId w:val="26"/>
      </w:numPr>
    </w:pPr>
  </w:style>
  <w:style w:type="numbering" w:customStyle="1" w:styleId="List34">
    <w:name w:val="List 34"/>
    <w:pPr>
      <w:numPr>
        <w:numId w:val="12"/>
      </w:numPr>
    </w:pPr>
  </w:style>
  <w:style w:type="numbering" w:customStyle="1" w:styleId="List35">
    <w:name w:val="List 35"/>
    <w:pPr>
      <w:numPr>
        <w:numId w:val="8"/>
      </w:numPr>
    </w:pPr>
  </w:style>
  <w:style w:type="numbering" w:customStyle="1" w:styleId="List36">
    <w:name w:val="List 36"/>
    <w:pPr>
      <w:numPr>
        <w:numId w:val="14"/>
      </w:numPr>
    </w:pPr>
  </w:style>
  <w:style w:type="numbering" w:customStyle="1" w:styleId="List37">
    <w:name w:val="List 37"/>
    <w:pPr>
      <w:numPr>
        <w:numId w:val="47"/>
      </w:numPr>
    </w:pPr>
  </w:style>
  <w:style w:type="numbering" w:customStyle="1" w:styleId="List38">
    <w:name w:val="List 38"/>
    <w:pPr>
      <w:numPr>
        <w:numId w:val="35"/>
      </w:numPr>
    </w:pPr>
  </w:style>
  <w:style w:type="numbering" w:customStyle="1" w:styleId="List39">
    <w:name w:val="List 39"/>
    <w:pPr>
      <w:numPr>
        <w:numId w:val="46"/>
      </w:numPr>
    </w:pPr>
  </w:style>
  <w:style w:type="numbering" w:customStyle="1" w:styleId="List40">
    <w:name w:val="List 40"/>
    <w:pPr>
      <w:numPr>
        <w:numId w:val="21"/>
      </w:numPr>
    </w:pPr>
  </w:style>
  <w:style w:type="numbering" w:customStyle="1" w:styleId="List410">
    <w:name w:val="List 41"/>
    <w:pPr>
      <w:numPr>
        <w:numId w:val="44"/>
      </w:numPr>
    </w:pPr>
  </w:style>
  <w:style w:type="numbering" w:customStyle="1" w:styleId="List42">
    <w:name w:val="List 42"/>
    <w:pPr>
      <w:numPr>
        <w:numId w:val="9"/>
      </w:numPr>
    </w:pPr>
  </w:style>
  <w:style w:type="numbering" w:customStyle="1" w:styleId="List43">
    <w:name w:val="List 43"/>
    <w:basedOn w:val="NoList"/>
    <w:pPr>
      <w:numPr>
        <w:numId w:val="23"/>
      </w:numPr>
    </w:pPr>
  </w:style>
  <w:style w:type="numbering" w:customStyle="1" w:styleId="List44">
    <w:name w:val="List 44"/>
    <w:pPr>
      <w:numPr>
        <w:numId w:val="40"/>
      </w:numPr>
    </w:pPr>
  </w:style>
  <w:style w:type="numbering" w:customStyle="1" w:styleId="List45">
    <w:name w:val="List 45"/>
    <w:pPr>
      <w:numPr>
        <w:numId w:val="20"/>
      </w:numPr>
    </w:pPr>
  </w:style>
  <w:style w:type="numbering" w:customStyle="1" w:styleId="List46">
    <w:name w:val="List 46"/>
    <w:pPr>
      <w:numPr>
        <w:numId w:val="24"/>
      </w:numPr>
    </w:pPr>
  </w:style>
  <w:style w:type="numbering" w:customStyle="1" w:styleId="List47">
    <w:name w:val="List 47"/>
    <w:pPr>
      <w:numPr>
        <w:numId w:val="29"/>
      </w:numPr>
    </w:pPr>
  </w:style>
  <w:style w:type="numbering" w:customStyle="1" w:styleId="List48">
    <w:name w:val="List 48"/>
    <w:pPr>
      <w:numPr>
        <w:numId w:val="50"/>
      </w:numPr>
    </w:pPr>
  </w:style>
  <w:style w:type="numbering" w:customStyle="1" w:styleId="List49">
    <w:name w:val="List 49"/>
    <w:pPr>
      <w:numPr>
        <w:numId w:val="39"/>
      </w:numPr>
    </w:pPr>
  </w:style>
  <w:style w:type="numbering" w:customStyle="1" w:styleId="List50">
    <w:name w:val="List 50"/>
    <w:pPr>
      <w:numPr>
        <w:numId w:val="37"/>
      </w:numPr>
    </w:pPr>
  </w:style>
  <w:style w:type="numbering" w:customStyle="1" w:styleId="List51">
    <w:name w:val="List 51"/>
    <w:pPr>
      <w:numPr>
        <w:numId w:val="33"/>
      </w:numPr>
    </w:pPr>
  </w:style>
  <w:style w:type="numbering" w:customStyle="1" w:styleId="List52">
    <w:name w:val="List 52"/>
    <w:pPr>
      <w:numPr>
        <w:numId w:val="10"/>
      </w:numPr>
    </w:pPr>
  </w:style>
  <w:style w:type="paragraph" w:styleId="BalloonText">
    <w:name w:val="Balloon Text"/>
    <w:basedOn w:val="Normal"/>
    <w:link w:val="BalloonTextChar"/>
    <w:uiPriority w:val="99"/>
    <w:semiHidden/>
    <w:unhideWhenUsed/>
    <w:rsid w:val="009B381B"/>
    <w:rPr>
      <w:rFonts w:ascii="Tahoma" w:hAnsi="Tahoma" w:cs="Tahoma"/>
      <w:sz w:val="16"/>
      <w:szCs w:val="16"/>
    </w:rPr>
  </w:style>
  <w:style w:type="character" w:customStyle="1" w:styleId="BalloonTextChar">
    <w:name w:val="Balloon Text Char"/>
    <w:basedOn w:val="DefaultParagraphFont"/>
    <w:link w:val="BalloonText"/>
    <w:uiPriority w:val="99"/>
    <w:semiHidden/>
    <w:rsid w:val="009B381B"/>
    <w:rPr>
      <w:rFonts w:ascii="Tahoma" w:hAnsi="Tahoma" w:cs="Tahoma"/>
      <w:sz w:val="16"/>
      <w:szCs w:val="16"/>
      <w:lang w:val="en-US" w:eastAsia="en-US"/>
    </w:rPr>
  </w:style>
  <w:style w:type="paragraph" w:styleId="Header">
    <w:name w:val="header"/>
    <w:aliases w:val="encabezado"/>
    <w:basedOn w:val="Normal"/>
    <w:link w:val="HeaderChar"/>
    <w:rsid w:val="00D81D92"/>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center" w:pos="4320"/>
        <w:tab w:val="right" w:pos="8640"/>
      </w:tabs>
      <w:snapToGrid w:val="0"/>
    </w:pPr>
    <w:rPr>
      <w:rFonts w:ascii="Univers" w:eastAsia="Times New Roman" w:hAnsi="Univers" w:cs="Univers"/>
      <w:bdr w:val="none" w:sz="0" w:space="0" w:color="auto"/>
    </w:rPr>
  </w:style>
  <w:style w:type="character" w:customStyle="1" w:styleId="HeaderChar">
    <w:name w:val="Header Char"/>
    <w:aliases w:val="encabezado Char"/>
    <w:basedOn w:val="DefaultParagraphFont"/>
    <w:link w:val="Header"/>
    <w:uiPriority w:val="99"/>
    <w:rsid w:val="00D81D92"/>
    <w:rPr>
      <w:rFonts w:ascii="Univers" w:eastAsia="Times New Roman" w:hAnsi="Univers" w:cs="Univers"/>
      <w:sz w:val="24"/>
      <w:szCs w:val="24"/>
      <w:bdr w:val="none" w:sz="0" w:space="0" w:color="auto"/>
      <w:lang w:val="en-US" w:eastAsia="en-US"/>
    </w:rPr>
  </w:style>
  <w:style w:type="character" w:customStyle="1" w:styleId="Heading1Char">
    <w:name w:val="Heading 1 Char"/>
    <w:basedOn w:val="DefaultParagraphFont"/>
    <w:link w:val="Heading1"/>
    <w:uiPriority w:val="9"/>
    <w:rsid w:val="00D81D92"/>
    <w:rPr>
      <w:rFonts w:asciiTheme="majorHAnsi" w:eastAsiaTheme="majorEastAsia" w:hAnsiTheme="majorHAnsi" w:cstheme="majorBidi"/>
      <w:b/>
      <w:bCs/>
      <w:color w:val="365F91" w:themeColor="accent1" w:themeShade="BF"/>
      <w:sz w:val="28"/>
      <w:szCs w:val="28"/>
      <w:lang w:val="en-US" w:eastAsia="en-US"/>
    </w:rPr>
  </w:style>
  <w:style w:type="table" w:styleId="MediumShading1-Accent1">
    <w:name w:val="Medium Shading 1 Accent 1"/>
    <w:basedOn w:val="TableNormal"/>
    <w:uiPriority w:val="63"/>
    <w:rsid w:val="006A17D2"/>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OC2">
    <w:name w:val="toc 2"/>
    <w:basedOn w:val="Normal"/>
    <w:next w:val="Normal"/>
    <w:autoRedefine/>
    <w:uiPriority w:val="39"/>
    <w:unhideWhenUsed/>
    <w:rsid w:val="005C4225"/>
    <w:pPr>
      <w:tabs>
        <w:tab w:val="left" w:pos="1440"/>
        <w:tab w:val="right" w:leader="dot" w:pos="9350"/>
      </w:tabs>
      <w:spacing w:after="100"/>
      <w:ind w:left="1440" w:hanging="720"/>
    </w:pPr>
  </w:style>
  <w:style w:type="paragraph" w:styleId="TOC1">
    <w:name w:val="toc 1"/>
    <w:basedOn w:val="Normal"/>
    <w:next w:val="Normal"/>
    <w:autoRedefine/>
    <w:uiPriority w:val="39"/>
    <w:unhideWhenUsed/>
    <w:rsid w:val="005C4225"/>
    <w:pPr>
      <w:spacing w:after="100"/>
    </w:pPr>
    <w:rPr>
      <w:rFonts w:asciiTheme="minorHAnsi" w:hAnsiTheme="minorHAnsi"/>
      <w:sz w:val="22"/>
    </w:rPr>
  </w:style>
  <w:style w:type="paragraph" w:styleId="TOC3">
    <w:name w:val="toc 3"/>
    <w:basedOn w:val="Normal"/>
    <w:next w:val="Normal"/>
    <w:autoRedefine/>
    <w:uiPriority w:val="39"/>
    <w:unhideWhenUsed/>
    <w:rsid w:val="005C4225"/>
    <w:pPr>
      <w:tabs>
        <w:tab w:val="left" w:pos="880"/>
        <w:tab w:val="right" w:leader="dot" w:pos="9350"/>
      </w:tabs>
      <w:spacing w:after="100"/>
      <w:ind w:left="2160" w:hanging="720"/>
    </w:pPr>
  </w:style>
  <w:style w:type="paragraph" w:styleId="TOC4">
    <w:name w:val="toc 4"/>
    <w:basedOn w:val="Normal"/>
    <w:next w:val="Normal"/>
    <w:autoRedefine/>
    <w:uiPriority w:val="39"/>
    <w:unhideWhenUsed/>
    <w:rsid w:val="005C4225"/>
    <w:pPr>
      <w:spacing w:after="100"/>
      <w:ind w:left="720"/>
    </w:pPr>
  </w:style>
  <w:style w:type="character" w:styleId="PageNumber">
    <w:name w:val="page number"/>
    <w:basedOn w:val="DefaultParagraphFont"/>
    <w:rsid w:val="00040C3A"/>
  </w:style>
  <w:style w:type="character" w:customStyle="1" w:styleId="FooterChar">
    <w:name w:val="Footer Char"/>
    <w:basedOn w:val="DefaultParagraphFont"/>
    <w:link w:val="Footer"/>
    <w:uiPriority w:val="99"/>
    <w:rsid w:val="00A50FCF"/>
    <w:rPr>
      <w:rFonts w:ascii="Cambria" w:eastAsia="Cambria" w:hAnsi="Cambria" w:cs="Cambria"/>
      <w:color w:val="000000"/>
      <w:sz w:val="24"/>
      <w:szCs w:val="24"/>
      <w:u w:color="000000"/>
      <w:lang w:val="en-US"/>
    </w:rPr>
  </w:style>
  <w:style w:type="character" w:styleId="FootnoteReference">
    <w:name w:val="footnote reference"/>
    <w:aliases w:val="Footnotes refss,Ref. de nota al pie.,Texto de nota al pie,Appel note de bas de page,referencia nota al pie,BVI fnr,Footnote number,f,Footnote symbol,Footnote,4_G,16 Point,Superscript 6 Point,Texto nota al pie,Ref,de nota al pie,norma"/>
    <w:basedOn w:val="DefaultParagraphFont"/>
    <w:link w:val="Char2"/>
    <w:unhideWhenUsed/>
    <w:qFormat/>
    <w:rsid w:val="000F35ED"/>
    <w:rPr>
      <w:vertAlign w:val="superscript"/>
    </w:rPr>
  </w:style>
  <w:style w:type="paragraph" w:styleId="BodyTextIndent2">
    <w:name w:val="Body Text Indent 2"/>
    <w:basedOn w:val="Normal"/>
    <w:link w:val="BodyTextIndent2Char"/>
    <w:uiPriority w:val="99"/>
    <w:semiHidden/>
    <w:unhideWhenUsed/>
    <w:rsid w:val="000F35ED"/>
    <w:pPr>
      <w:spacing w:after="120" w:line="480" w:lineRule="auto"/>
      <w:ind w:left="360"/>
    </w:pPr>
  </w:style>
  <w:style w:type="character" w:customStyle="1" w:styleId="BodyTextIndent2Char">
    <w:name w:val="Body Text Indent 2 Char"/>
    <w:basedOn w:val="DefaultParagraphFont"/>
    <w:link w:val="BodyTextIndent2"/>
    <w:uiPriority w:val="99"/>
    <w:semiHidden/>
    <w:rsid w:val="000F35ED"/>
    <w:rPr>
      <w:sz w:val="24"/>
      <w:szCs w:val="24"/>
      <w:lang w:val="en-US" w:eastAsia="en-US"/>
    </w:rPr>
  </w:style>
  <w:style w:type="paragraph" w:styleId="BodyText">
    <w:name w:val="Body Text"/>
    <w:basedOn w:val="Normal"/>
    <w:link w:val="BodyTextChar"/>
    <w:uiPriority w:val="99"/>
    <w:semiHidden/>
    <w:unhideWhenUsed/>
    <w:rsid w:val="0031535D"/>
    <w:pPr>
      <w:spacing w:after="120"/>
    </w:pPr>
  </w:style>
  <w:style w:type="character" w:customStyle="1" w:styleId="BodyTextChar">
    <w:name w:val="Body Text Char"/>
    <w:basedOn w:val="DefaultParagraphFont"/>
    <w:link w:val="BodyText"/>
    <w:uiPriority w:val="99"/>
    <w:semiHidden/>
    <w:rsid w:val="0031535D"/>
    <w:rPr>
      <w:sz w:val="24"/>
      <w:szCs w:val="24"/>
      <w:lang w:val="en-US" w:eastAsia="en-US"/>
    </w:rPr>
  </w:style>
  <w:style w:type="character" w:customStyle="1" w:styleId="FootnoteTextChar">
    <w:name w:val="Footnote Text Char"/>
    <w:aliases w:val="Footnote Text Char Char Char Char Char Char,Footnote Text Char Char Char Char Char1,Footnote reference Char,FA Fu Char,Footnote Text Char Char Char Char1,Footnote Text Cha Char,FA Fußnotentext Char,FA Fuﬂnotentext Char,Ca Char,ft Char"/>
    <w:link w:val="FootnoteText"/>
    <w:qFormat/>
    <w:locked/>
    <w:rsid w:val="0031535D"/>
    <w:rPr>
      <w:rFonts w:ascii="Calibri" w:eastAsia="Calibri" w:hAnsi="Calibri" w:cs="Calibri"/>
      <w:color w:val="000000"/>
      <w:u w:color="000000"/>
      <w:lang w:val="en-US"/>
    </w:rPr>
  </w:style>
  <w:style w:type="character" w:customStyle="1" w:styleId="Heading2Char">
    <w:name w:val="Heading 2 Char"/>
    <w:basedOn w:val="DefaultParagraphFont"/>
    <w:link w:val="Heading2"/>
    <w:rsid w:val="00DF1EC4"/>
    <w:rPr>
      <w:rFonts w:ascii="Arial" w:eastAsia="Times New Roman" w:hAnsi="Arial" w:cs="Arial"/>
      <w:b/>
      <w:bCs/>
      <w:i/>
      <w:iCs/>
      <w:sz w:val="28"/>
      <w:szCs w:val="28"/>
      <w:bdr w:val="none" w:sz="0" w:space="0" w:color="auto"/>
      <w:lang w:val="en-US" w:eastAsia="en-US"/>
    </w:rPr>
  </w:style>
  <w:style w:type="character" w:customStyle="1" w:styleId="Heading3Char">
    <w:name w:val="Heading 3 Char"/>
    <w:basedOn w:val="DefaultParagraphFont"/>
    <w:link w:val="Heading3"/>
    <w:rsid w:val="00DF1EC4"/>
    <w:rPr>
      <w:rFonts w:ascii="Arial" w:eastAsia="Times New Roman" w:hAnsi="Arial" w:cs="Arial"/>
      <w:b/>
      <w:bCs/>
      <w:sz w:val="26"/>
      <w:szCs w:val="26"/>
      <w:bdr w:val="none" w:sz="0" w:space="0" w:color="auto"/>
      <w:lang w:val="en-US" w:eastAsia="en-US"/>
    </w:rPr>
  </w:style>
  <w:style w:type="paragraph" w:customStyle="1" w:styleId="Default">
    <w:name w:val="Default"/>
    <w:link w:val="DefaultChar"/>
    <w:rsid w:val="00DF1EC4"/>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eastAsia="Times New Roman"/>
      <w:color w:val="000000"/>
      <w:sz w:val="24"/>
      <w:szCs w:val="24"/>
      <w:bdr w:val="none" w:sz="0" w:space="0" w:color="auto"/>
      <w:lang w:val="en-US" w:eastAsia="en-US"/>
    </w:rPr>
  </w:style>
  <w:style w:type="paragraph" w:styleId="EndnoteText">
    <w:name w:val="endnote text"/>
    <w:basedOn w:val="Normal"/>
    <w:link w:val="EndnoteTextChar"/>
    <w:rsid w:val="00DF1EC4"/>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EndnoteTextChar">
    <w:name w:val="Endnote Text Char"/>
    <w:basedOn w:val="DefaultParagraphFont"/>
    <w:link w:val="EndnoteText"/>
    <w:rsid w:val="00DF1EC4"/>
    <w:rPr>
      <w:rFonts w:eastAsia="Times New Roman"/>
      <w:sz w:val="24"/>
      <w:szCs w:val="24"/>
      <w:bdr w:val="none" w:sz="0" w:space="0" w:color="auto"/>
      <w:lang w:val="en-US" w:eastAsia="en-US"/>
    </w:rPr>
  </w:style>
  <w:style w:type="character" w:customStyle="1" w:styleId="DefaultChar">
    <w:name w:val="Default Char"/>
    <w:link w:val="Default"/>
    <w:rsid w:val="00DF1EC4"/>
    <w:rPr>
      <w:rFonts w:eastAsia="Times New Roman"/>
      <w:color w:val="000000"/>
      <w:sz w:val="24"/>
      <w:szCs w:val="24"/>
      <w:bdr w:val="none" w:sz="0" w:space="0" w:color="auto"/>
      <w:lang w:val="en-US" w:eastAsia="en-US"/>
    </w:rPr>
  </w:style>
  <w:style w:type="table" w:styleId="TableGrid">
    <w:name w:val="Table Grid"/>
    <w:basedOn w:val="TableNormal"/>
    <w:uiPriority w:val="59"/>
    <w:rsid w:val="003239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2">
    <w:name w:val="Char2"/>
    <w:basedOn w:val="Normal"/>
    <w:link w:val="FootnoteReference"/>
    <w:uiPriority w:val="99"/>
    <w:rsid w:val="00817374"/>
    <w:pPr>
      <w:pBdr>
        <w:top w:val="none" w:sz="0" w:space="0" w:color="auto"/>
        <w:left w:val="none" w:sz="0" w:space="0" w:color="auto"/>
        <w:bottom w:val="none" w:sz="0" w:space="0" w:color="auto"/>
        <w:right w:val="none" w:sz="0" w:space="0" w:color="auto"/>
        <w:between w:val="none" w:sz="0" w:space="0" w:color="auto"/>
        <w:bar w:val="none" w:sz="0" w:color="auto"/>
      </w:pBdr>
      <w:spacing w:after="160" w:line="240" w:lineRule="exact"/>
    </w:pPr>
    <w:rPr>
      <w:sz w:val="20"/>
      <w:szCs w:val="20"/>
      <w:vertAlign w:val="superscript"/>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2959834">
      <w:bodyDiv w:val="1"/>
      <w:marLeft w:val="0"/>
      <w:marRight w:val="0"/>
      <w:marTop w:val="0"/>
      <w:marBottom w:val="0"/>
      <w:divBdr>
        <w:top w:val="none" w:sz="0" w:space="0" w:color="auto"/>
        <w:left w:val="none" w:sz="0" w:space="0" w:color="auto"/>
        <w:bottom w:val="none" w:sz="0" w:space="0" w:color="auto"/>
        <w:right w:val="none" w:sz="0" w:space="0" w:color="auto"/>
      </w:divBdr>
    </w:div>
    <w:div w:id="1789354569">
      <w:bodyDiv w:val="1"/>
      <w:marLeft w:val="0"/>
      <w:marRight w:val="0"/>
      <w:marTop w:val="0"/>
      <w:marBottom w:val="0"/>
      <w:divBdr>
        <w:top w:val="none" w:sz="0" w:space="0" w:color="auto"/>
        <w:left w:val="none" w:sz="0" w:space="0" w:color="auto"/>
        <w:bottom w:val="none" w:sz="0" w:space="0" w:color="auto"/>
        <w:right w:val="none" w:sz="0" w:space="0" w:color="auto"/>
      </w:divBdr>
    </w:div>
    <w:div w:id="19429076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1.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F85E8F873F2494CB1B0EF413DA4B061"/>
        <w:category>
          <w:name w:val="General"/>
          <w:gallery w:val="placeholder"/>
        </w:category>
        <w:types>
          <w:type w:val="bbPlcHdr"/>
        </w:types>
        <w:behaviors>
          <w:behavior w:val="content"/>
        </w:behaviors>
        <w:guid w:val="{D8906C78-F73E-46FC-BA4D-5AB127412529}"/>
      </w:docPartPr>
      <w:docPartBody>
        <w:p w:rsidR="009A261B" w:rsidRDefault="00394049" w:rsidP="00394049">
          <w:pPr>
            <w:pStyle w:val="EF85E8F873F2494CB1B0EF413DA4B061"/>
          </w:pPr>
          <w:r w:rsidRPr="003C6892">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w:altName w:val="Univers"/>
    <w:charset w:val="00"/>
    <w:family w:val="swiss"/>
    <w:pitch w:val="variable"/>
    <w:sig w:usb0="80000287" w:usb1="00000000" w:usb2="00000000" w:usb3="00000000" w:csb0="0000000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4049"/>
    <w:rsid w:val="001D2BBE"/>
    <w:rsid w:val="00200821"/>
    <w:rsid w:val="0025245B"/>
    <w:rsid w:val="002A3923"/>
    <w:rsid w:val="002E795D"/>
    <w:rsid w:val="00394049"/>
    <w:rsid w:val="004B5BBB"/>
    <w:rsid w:val="004F2DF8"/>
    <w:rsid w:val="0050518D"/>
    <w:rsid w:val="00683E32"/>
    <w:rsid w:val="006F24A1"/>
    <w:rsid w:val="00886A41"/>
    <w:rsid w:val="009A261B"/>
    <w:rsid w:val="00A94AD1"/>
    <w:rsid w:val="00AA2E17"/>
    <w:rsid w:val="00AC15A4"/>
    <w:rsid w:val="00B0336C"/>
    <w:rsid w:val="00C23727"/>
    <w:rsid w:val="00D241E9"/>
    <w:rsid w:val="00D7750D"/>
    <w:rsid w:val="00E632CF"/>
    <w:rsid w:val="00F00D2F"/>
    <w:rsid w:val="00F128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0336C"/>
    <w:rPr>
      <w:color w:val="808080"/>
    </w:rPr>
  </w:style>
  <w:style w:type="paragraph" w:customStyle="1" w:styleId="EF85E8F873F2494CB1B0EF413DA4B061">
    <w:name w:val="EF85E8F873F2494CB1B0EF413DA4B061"/>
    <w:rsid w:val="0039404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6126BE-6309-409F-9A97-9BD99ECB8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3784</Words>
  <Characters>21575</Characters>
  <Application>Microsoft Office Word</Application>
  <DocSecurity>0</DocSecurity>
  <Lines>179</Lines>
  <Paragraphs>50</Paragraphs>
  <ScaleCrop>false</ScaleCrop>
  <Company/>
  <LinksUpToDate>false</LinksUpToDate>
  <CharactersWithSpaces>25309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2023-05-11T14:07:00Z</dcterms:created>
  <dcterms:modified xsi:type="dcterms:W3CDTF">2023-05-11T14:07:00Z</dcterms:modified>
</cp:coreProperties>
</file>