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DE1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96F55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F41AC">
                              <w:rPr>
                                <w:rFonts w:asciiTheme="majorHAnsi" w:hAnsiTheme="majorHAnsi" w:cs="Arial"/>
                                <w:b/>
                                <w:bCs/>
                                <w:color w:val="0D0D0D" w:themeColor="text1" w:themeTint="F2"/>
                                <w:sz w:val="36"/>
                                <w:szCs w:val="22"/>
                                <w:lang w:val="es-ES_tradnl"/>
                              </w:rPr>
                              <w:t>124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7396D">
                              <w:rPr>
                                <w:rFonts w:asciiTheme="majorHAnsi" w:hAnsiTheme="majorHAnsi" w:cs="Arial"/>
                                <w:b/>
                                <w:bCs/>
                                <w:color w:val="0D0D0D" w:themeColor="text1" w:themeTint="F2"/>
                                <w:sz w:val="36"/>
                                <w:szCs w:val="22"/>
                                <w:lang w:val="es-ES_tradnl"/>
                              </w:rPr>
                              <w:t>3</w:t>
                            </w:r>
                          </w:p>
                          <w:p w14:paraId="09C54AB3" w14:textId="763EB0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396D">
                              <w:rPr>
                                <w:rFonts w:asciiTheme="majorHAnsi" w:hAnsiTheme="majorHAnsi" w:cs="Arial"/>
                                <w:b/>
                                <w:color w:val="0D0D0D" w:themeColor="text1" w:themeTint="F2"/>
                                <w:sz w:val="36"/>
                                <w:szCs w:val="22"/>
                                <w:lang w:val="es-ES_tradnl"/>
                              </w:rPr>
                              <w:t>192</w:t>
                            </w:r>
                            <w:r w:rsidR="00246D1F" w:rsidRPr="004E2649">
                              <w:rPr>
                                <w:rFonts w:asciiTheme="majorHAnsi" w:hAnsiTheme="majorHAnsi" w:cs="Arial"/>
                                <w:b/>
                                <w:color w:val="0D0D0D" w:themeColor="text1" w:themeTint="F2"/>
                                <w:sz w:val="36"/>
                                <w:szCs w:val="22"/>
                                <w:lang w:val="es-ES_tradnl"/>
                              </w:rPr>
                              <w:t>-</w:t>
                            </w:r>
                            <w:r w:rsidR="0037396D">
                              <w:rPr>
                                <w:rFonts w:asciiTheme="majorHAnsi" w:hAnsiTheme="majorHAnsi" w:cs="Arial"/>
                                <w:b/>
                                <w:color w:val="0D0D0D" w:themeColor="text1" w:themeTint="F2"/>
                                <w:sz w:val="36"/>
                                <w:szCs w:val="22"/>
                                <w:lang w:val="es-ES_tradnl"/>
                              </w:rPr>
                              <w:t>10</w:t>
                            </w:r>
                          </w:p>
                          <w:p w14:paraId="70CF6833" w14:textId="786FEC7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930B7C">
                              <w:rPr>
                                <w:rFonts w:asciiTheme="majorHAnsi" w:hAnsiTheme="majorHAnsi" w:cs="Arial"/>
                                <w:color w:val="0D0D0D" w:themeColor="text1" w:themeTint="F2"/>
                                <w:szCs w:val="22"/>
                                <w:lang w:val="es-ES_tradnl"/>
                              </w:rPr>
                              <w:t xml:space="preserve">INFORME DE </w:t>
                            </w:r>
                            <w:r w:rsidR="00BE5CDD" w:rsidRPr="00930B7C">
                              <w:rPr>
                                <w:rFonts w:asciiTheme="majorHAnsi" w:hAnsiTheme="majorHAnsi" w:cs="Arial"/>
                                <w:color w:val="0D0D0D" w:themeColor="text1" w:themeTint="F2"/>
                                <w:szCs w:val="22"/>
                                <w:lang w:val="es-ES_tradnl"/>
                              </w:rPr>
                              <w:t>IN</w:t>
                            </w:r>
                            <w:r w:rsidRPr="00930B7C">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0C779D2" w:rsidR="005B52B0" w:rsidRPr="0037396D" w:rsidRDefault="0037396D" w:rsidP="00997BC5">
                            <w:pPr>
                              <w:spacing w:line="276" w:lineRule="auto"/>
                              <w:rPr>
                                <w:rFonts w:asciiTheme="majorHAnsi" w:hAnsiTheme="majorHAnsi" w:cs="Arial"/>
                                <w:color w:val="0D0D0D" w:themeColor="text1" w:themeTint="F2"/>
                                <w:szCs w:val="22"/>
                                <w:lang w:val="pt-BR"/>
                              </w:rPr>
                            </w:pPr>
                            <w:r w:rsidRPr="0037396D">
                              <w:rPr>
                                <w:rFonts w:asciiTheme="majorHAnsi" w:hAnsiTheme="majorHAnsi" w:cs="Arial"/>
                                <w:color w:val="0D0D0D" w:themeColor="text1" w:themeTint="F2"/>
                                <w:szCs w:val="22"/>
                                <w:lang w:val="pt-BR"/>
                              </w:rPr>
                              <w:t>CARLOS ALBERTO ALV</w:t>
                            </w:r>
                            <w:r>
                              <w:rPr>
                                <w:rFonts w:asciiTheme="majorHAnsi" w:hAnsiTheme="majorHAnsi" w:cs="Arial"/>
                                <w:color w:val="0D0D0D" w:themeColor="text1" w:themeTint="F2"/>
                                <w:szCs w:val="22"/>
                                <w:lang w:val="pt-BR"/>
                              </w:rPr>
                              <w:t>ARADO MOYA</w:t>
                            </w:r>
                          </w:p>
                          <w:bookmarkEnd w:id="0"/>
                          <w:p w14:paraId="35068D0D" w14:textId="6E57B3A1" w:rsidR="005B52B0" w:rsidRPr="0037396D" w:rsidRDefault="0037396D" w:rsidP="00997BC5">
                            <w:pPr>
                              <w:spacing w:line="276" w:lineRule="auto"/>
                              <w:rPr>
                                <w:rFonts w:asciiTheme="majorHAnsi" w:hAnsiTheme="majorHAnsi" w:cs="Arial"/>
                                <w:color w:val="0D0D0D" w:themeColor="text1" w:themeTint="F2"/>
                                <w:szCs w:val="22"/>
                                <w:lang w:val="pt-BR"/>
                              </w:rPr>
                            </w:pPr>
                            <w:r w:rsidRPr="0037396D">
                              <w:rPr>
                                <w:rFonts w:asciiTheme="majorHAnsi" w:hAnsiTheme="majorHAnsi" w:cs="Arial"/>
                                <w:color w:val="0D0D0D" w:themeColor="text1" w:themeTint="F2"/>
                                <w:szCs w:val="22"/>
                                <w:lang w:val="pt-BR"/>
                              </w:rPr>
                              <w:t>COSTA RICA</w:t>
                            </w:r>
                          </w:p>
                          <w:p w14:paraId="575DFD52" w14:textId="77777777" w:rsidR="005B52B0" w:rsidRPr="0037396D"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96F55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F41AC">
                        <w:rPr>
                          <w:rFonts w:asciiTheme="majorHAnsi" w:hAnsiTheme="majorHAnsi" w:cs="Arial"/>
                          <w:b/>
                          <w:bCs/>
                          <w:color w:val="0D0D0D" w:themeColor="text1" w:themeTint="F2"/>
                          <w:sz w:val="36"/>
                          <w:szCs w:val="22"/>
                          <w:lang w:val="es-ES_tradnl"/>
                        </w:rPr>
                        <w:t>124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7396D">
                        <w:rPr>
                          <w:rFonts w:asciiTheme="majorHAnsi" w:hAnsiTheme="majorHAnsi" w:cs="Arial"/>
                          <w:b/>
                          <w:bCs/>
                          <w:color w:val="0D0D0D" w:themeColor="text1" w:themeTint="F2"/>
                          <w:sz w:val="36"/>
                          <w:szCs w:val="22"/>
                          <w:lang w:val="es-ES_tradnl"/>
                        </w:rPr>
                        <w:t>3</w:t>
                      </w:r>
                    </w:p>
                    <w:p w14:paraId="09C54AB3" w14:textId="763EB0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396D">
                        <w:rPr>
                          <w:rFonts w:asciiTheme="majorHAnsi" w:hAnsiTheme="majorHAnsi" w:cs="Arial"/>
                          <w:b/>
                          <w:color w:val="0D0D0D" w:themeColor="text1" w:themeTint="F2"/>
                          <w:sz w:val="36"/>
                          <w:szCs w:val="22"/>
                          <w:lang w:val="es-ES_tradnl"/>
                        </w:rPr>
                        <w:t>192</w:t>
                      </w:r>
                      <w:r w:rsidR="00246D1F" w:rsidRPr="004E2649">
                        <w:rPr>
                          <w:rFonts w:asciiTheme="majorHAnsi" w:hAnsiTheme="majorHAnsi" w:cs="Arial"/>
                          <w:b/>
                          <w:color w:val="0D0D0D" w:themeColor="text1" w:themeTint="F2"/>
                          <w:sz w:val="36"/>
                          <w:szCs w:val="22"/>
                          <w:lang w:val="es-ES_tradnl"/>
                        </w:rPr>
                        <w:t>-</w:t>
                      </w:r>
                      <w:r w:rsidR="0037396D">
                        <w:rPr>
                          <w:rFonts w:asciiTheme="majorHAnsi" w:hAnsiTheme="majorHAnsi" w:cs="Arial"/>
                          <w:b/>
                          <w:color w:val="0D0D0D" w:themeColor="text1" w:themeTint="F2"/>
                          <w:sz w:val="36"/>
                          <w:szCs w:val="22"/>
                          <w:lang w:val="es-ES_tradnl"/>
                        </w:rPr>
                        <w:t>10</w:t>
                      </w:r>
                    </w:p>
                    <w:p w14:paraId="70CF6833" w14:textId="786FEC7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930B7C">
                        <w:rPr>
                          <w:rFonts w:asciiTheme="majorHAnsi" w:hAnsiTheme="majorHAnsi" w:cs="Arial"/>
                          <w:color w:val="0D0D0D" w:themeColor="text1" w:themeTint="F2"/>
                          <w:szCs w:val="22"/>
                          <w:lang w:val="es-ES_tradnl"/>
                        </w:rPr>
                        <w:t xml:space="preserve">INFORME DE </w:t>
                      </w:r>
                      <w:r w:rsidR="00BE5CDD" w:rsidRPr="00930B7C">
                        <w:rPr>
                          <w:rFonts w:asciiTheme="majorHAnsi" w:hAnsiTheme="majorHAnsi" w:cs="Arial"/>
                          <w:color w:val="0D0D0D" w:themeColor="text1" w:themeTint="F2"/>
                          <w:szCs w:val="22"/>
                          <w:lang w:val="es-ES_tradnl"/>
                        </w:rPr>
                        <w:t>IN</w:t>
                      </w:r>
                      <w:r w:rsidRPr="00930B7C">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C779D2" w:rsidR="005B52B0" w:rsidRPr="0037396D" w:rsidRDefault="0037396D" w:rsidP="00997BC5">
                      <w:pPr>
                        <w:spacing w:line="276" w:lineRule="auto"/>
                        <w:rPr>
                          <w:rFonts w:asciiTheme="majorHAnsi" w:hAnsiTheme="majorHAnsi" w:cs="Arial"/>
                          <w:color w:val="0D0D0D" w:themeColor="text1" w:themeTint="F2"/>
                          <w:szCs w:val="22"/>
                          <w:lang w:val="pt-BR"/>
                        </w:rPr>
                      </w:pPr>
                      <w:r w:rsidRPr="0037396D">
                        <w:rPr>
                          <w:rFonts w:asciiTheme="majorHAnsi" w:hAnsiTheme="majorHAnsi" w:cs="Arial"/>
                          <w:color w:val="0D0D0D" w:themeColor="text1" w:themeTint="F2"/>
                          <w:szCs w:val="22"/>
                          <w:lang w:val="pt-BR"/>
                        </w:rPr>
                        <w:t>CARLOS ALBERTO ALV</w:t>
                      </w:r>
                      <w:r>
                        <w:rPr>
                          <w:rFonts w:asciiTheme="majorHAnsi" w:hAnsiTheme="majorHAnsi" w:cs="Arial"/>
                          <w:color w:val="0D0D0D" w:themeColor="text1" w:themeTint="F2"/>
                          <w:szCs w:val="22"/>
                          <w:lang w:val="pt-BR"/>
                        </w:rPr>
                        <w:t>ARADO MOYA</w:t>
                      </w:r>
                    </w:p>
                    <w:bookmarkEnd w:id="1"/>
                    <w:p w14:paraId="35068D0D" w14:textId="6E57B3A1" w:rsidR="005B52B0" w:rsidRPr="0037396D" w:rsidRDefault="0037396D" w:rsidP="00997BC5">
                      <w:pPr>
                        <w:spacing w:line="276" w:lineRule="auto"/>
                        <w:rPr>
                          <w:rFonts w:asciiTheme="majorHAnsi" w:hAnsiTheme="majorHAnsi" w:cs="Arial"/>
                          <w:color w:val="0D0D0D" w:themeColor="text1" w:themeTint="F2"/>
                          <w:szCs w:val="22"/>
                          <w:lang w:val="pt-BR"/>
                        </w:rPr>
                      </w:pPr>
                      <w:r w:rsidRPr="0037396D">
                        <w:rPr>
                          <w:rFonts w:asciiTheme="majorHAnsi" w:hAnsiTheme="majorHAnsi" w:cs="Arial"/>
                          <w:color w:val="0D0D0D" w:themeColor="text1" w:themeTint="F2"/>
                          <w:szCs w:val="22"/>
                          <w:lang w:val="pt-BR"/>
                        </w:rPr>
                        <w:t>COSTA RICA</w:t>
                      </w:r>
                    </w:p>
                    <w:p w14:paraId="575DFD52" w14:textId="77777777" w:rsidR="005B52B0" w:rsidRPr="0037396D"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EB1EB2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293D14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F41AC">
                              <w:rPr>
                                <w:rFonts w:asciiTheme="minorHAnsi" w:hAnsiTheme="minorHAnsi"/>
                                <w:color w:val="FFFFFF" w:themeColor="background1"/>
                                <w:sz w:val="22"/>
                                <w:lang w:val="pt-BR"/>
                              </w:rPr>
                              <w:t>134</w:t>
                            </w:r>
                          </w:p>
                          <w:p w14:paraId="69373ED2" w14:textId="6383D68B" w:rsidR="00627C9F" w:rsidRPr="0039150E" w:rsidRDefault="009F41AC" w:rsidP="007A5817">
                            <w:pPr>
                              <w:spacing w:line="276" w:lineRule="auto"/>
                              <w:jc w:val="right"/>
                              <w:rPr>
                                <w:rFonts w:asciiTheme="minorHAnsi" w:hAnsiTheme="minorHAnsi"/>
                                <w:color w:val="FFFFFF" w:themeColor="background1"/>
                                <w:sz w:val="22"/>
                                <w:lang w:val="pt-BR"/>
                              </w:rPr>
                            </w:pPr>
                            <w:r w:rsidRPr="0039150E">
                              <w:rPr>
                                <w:rFonts w:asciiTheme="minorHAnsi" w:hAnsiTheme="minorHAnsi"/>
                                <w:color w:val="FFFFFF" w:themeColor="background1"/>
                                <w:sz w:val="22"/>
                                <w:lang w:val="pt-BR"/>
                              </w:rPr>
                              <w:t>1 agosto</w:t>
                            </w:r>
                            <w:r w:rsidR="007B05C4" w:rsidRPr="0039150E">
                              <w:rPr>
                                <w:rFonts w:asciiTheme="minorHAnsi" w:hAnsiTheme="minorHAnsi"/>
                                <w:color w:val="FFFFFF" w:themeColor="background1"/>
                                <w:sz w:val="22"/>
                                <w:lang w:val="pt-BR"/>
                              </w:rPr>
                              <w:t xml:space="preserve"> </w:t>
                            </w:r>
                            <w:r w:rsidR="00627C9F" w:rsidRPr="0039150E">
                              <w:rPr>
                                <w:rFonts w:asciiTheme="minorHAnsi" w:hAnsiTheme="minorHAnsi"/>
                                <w:color w:val="FFFFFF" w:themeColor="background1"/>
                                <w:sz w:val="22"/>
                                <w:lang w:val="pt-BR"/>
                              </w:rPr>
                              <w:t>20</w:t>
                            </w:r>
                            <w:r w:rsidR="00C23BA4" w:rsidRPr="0039150E">
                              <w:rPr>
                                <w:rFonts w:asciiTheme="minorHAnsi" w:hAnsiTheme="minorHAnsi"/>
                                <w:color w:val="FFFFFF" w:themeColor="background1"/>
                                <w:sz w:val="22"/>
                                <w:lang w:val="pt-BR"/>
                              </w:rPr>
                              <w:t>2</w:t>
                            </w:r>
                            <w:r w:rsidR="0037396D" w:rsidRPr="0039150E">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EB1EB2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293D14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F41AC">
                        <w:rPr>
                          <w:rFonts w:asciiTheme="minorHAnsi" w:hAnsiTheme="minorHAnsi"/>
                          <w:color w:val="FFFFFF" w:themeColor="background1"/>
                          <w:sz w:val="22"/>
                          <w:lang w:val="pt-BR"/>
                        </w:rPr>
                        <w:t>134</w:t>
                      </w:r>
                    </w:p>
                    <w:p w14:paraId="69373ED2" w14:textId="6383D68B" w:rsidR="00627C9F" w:rsidRPr="0039150E" w:rsidRDefault="009F41AC" w:rsidP="007A5817">
                      <w:pPr>
                        <w:spacing w:line="276" w:lineRule="auto"/>
                        <w:jc w:val="right"/>
                        <w:rPr>
                          <w:rFonts w:asciiTheme="minorHAnsi" w:hAnsiTheme="minorHAnsi"/>
                          <w:color w:val="FFFFFF" w:themeColor="background1"/>
                          <w:sz w:val="22"/>
                          <w:lang w:val="pt-BR"/>
                        </w:rPr>
                      </w:pPr>
                      <w:r w:rsidRPr="0039150E">
                        <w:rPr>
                          <w:rFonts w:asciiTheme="minorHAnsi" w:hAnsiTheme="minorHAnsi"/>
                          <w:color w:val="FFFFFF" w:themeColor="background1"/>
                          <w:sz w:val="22"/>
                          <w:lang w:val="pt-BR"/>
                        </w:rPr>
                        <w:t>1 agosto</w:t>
                      </w:r>
                      <w:r w:rsidR="007B05C4" w:rsidRPr="0039150E">
                        <w:rPr>
                          <w:rFonts w:asciiTheme="minorHAnsi" w:hAnsiTheme="minorHAnsi"/>
                          <w:color w:val="FFFFFF" w:themeColor="background1"/>
                          <w:sz w:val="22"/>
                          <w:lang w:val="pt-BR"/>
                        </w:rPr>
                        <w:t xml:space="preserve"> </w:t>
                      </w:r>
                      <w:r w:rsidR="00627C9F" w:rsidRPr="0039150E">
                        <w:rPr>
                          <w:rFonts w:asciiTheme="minorHAnsi" w:hAnsiTheme="minorHAnsi"/>
                          <w:color w:val="FFFFFF" w:themeColor="background1"/>
                          <w:sz w:val="22"/>
                          <w:lang w:val="pt-BR"/>
                        </w:rPr>
                        <w:t>20</w:t>
                      </w:r>
                      <w:r w:rsidR="00C23BA4" w:rsidRPr="0039150E">
                        <w:rPr>
                          <w:rFonts w:asciiTheme="minorHAnsi" w:hAnsiTheme="minorHAnsi"/>
                          <w:color w:val="FFFFFF" w:themeColor="background1"/>
                          <w:sz w:val="22"/>
                          <w:lang w:val="pt-BR"/>
                        </w:rPr>
                        <w:t>2</w:t>
                      </w:r>
                      <w:r w:rsidR="0037396D" w:rsidRPr="0039150E">
                        <w:rPr>
                          <w:rFonts w:asciiTheme="minorHAnsi" w:hAnsiTheme="minorHAnsi"/>
                          <w:color w:val="FFFFFF" w:themeColor="background1"/>
                          <w:sz w:val="22"/>
                          <w:lang w:val="pt-BR"/>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5976E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F41AC">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9F41A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65C84">
                              <w:rPr>
                                <w:rFonts w:asciiTheme="majorHAnsi" w:hAnsiTheme="majorHAnsi"/>
                                <w:color w:val="0D0D0D" w:themeColor="text1" w:themeTint="F2"/>
                                <w:sz w:val="18"/>
                                <w:szCs w:val="22"/>
                                <w:lang w:val="es-ES"/>
                              </w:rPr>
                              <w:t>3</w:t>
                            </w:r>
                            <w:r w:rsidR="009F41A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15976E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F41AC">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9F41A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65C84">
                        <w:rPr>
                          <w:rFonts w:asciiTheme="majorHAnsi" w:hAnsiTheme="majorHAnsi"/>
                          <w:color w:val="0D0D0D" w:themeColor="text1" w:themeTint="F2"/>
                          <w:sz w:val="18"/>
                          <w:szCs w:val="22"/>
                          <w:lang w:val="es-ES"/>
                        </w:rPr>
                        <w:t>3</w:t>
                      </w:r>
                      <w:r w:rsidR="009F41A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29AA4219">
                <wp:simplePos x="0" y="0"/>
                <wp:positionH relativeFrom="column">
                  <wp:posOffset>1333500</wp:posOffset>
                </wp:positionH>
                <wp:positionV relativeFrom="paragraph">
                  <wp:posOffset>11001</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8657D7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41AC" w:rsidRPr="009F41AC">
                              <w:rPr>
                                <w:rFonts w:asciiTheme="majorHAnsi" w:hAnsiTheme="majorHAnsi"/>
                                <w:color w:val="595959" w:themeColor="text1" w:themeTint="A6"/>
                                <w:sz w:val="18"/>
                                <w:szCs w:val="18"/>
                                <w:lang w:val="pt-BR"/>
                              </w:rPr>
                              <w:t>124</w:t>
                            </w:r>
                            <w:r w:rsidR="007B05C4" w:rsidRPr="009F41AC">
                              <w:rPr>
                                <w:rFonts w:asciiTheme="majorHAnsi" w:hAnsiTheme="majorHAnsi"/>
                                <w:color w:val="595959" w:themeColor="text1" w:themeTint="A6"/>
                                <w:sz w:val="18"/>
                                <w:szCs w:val="18"/>
                                <w:lang w:val="pt-BR"/>
                              </w:rPr>
                              <w:t>/</w:t>
                            </w:r>
                            <w:r w:rsidR="009F41AC" w:rsidRPr="009F41AC">
                              <w:rPr>
                                <w:rFonts w:asciiTheme="majorHAnsi" w:hAnsiTheme="majorHAnsi"/>
                                <w:color w:val="595959" w:themeColor="text1" w:themeTint="A6"/>
                                <w:sz w:val="18"/>
                                <w:szCs w:val="18"/>
                                <w:lang w:val="pt-BR"/>
                              </w:rPr>
                              <w:t>23</w:t>
                            </w:r>
                            <w:r w:rsidRPr="009F41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sidRPr="00930B7C">
                              <w:rPr>
                                <w:rFonts w:asciiTheme="majorHAnsi" w:hAnsiTheme="majorHAnsi"/>
                                <w:color w:val="595959" w:themeColor="text1" w:themeTint="A6"/>
                                <w:sz w:val="18"/>
                                <w:szCs w:val="18"/>
                                <w:lang w:val="es-ES"/>
                              </w:rPr>
                              <w:t xml:space="preserve">ón </w:t>
                            </w:r>
                            <w:r w:rsidR="00865C84" w:rsidRPr="00930B7C">
                              <w:rPr>
                                <w:rFonts w:asciiTheme="majorHAnsi" w:hAnsiTheme="majorHAnsi"/>
                                <w:color w:val="595959" w:themeColor="text1" w:themeTint="A6"/>
                                <w:sz w:val="18"/>
                                <w:szCs w:val="18"/>
                                <w:lang w:val="es-ES"/>
                              </w:rPr>
                              <w:t>192</w:t>
                            </w:r>
                            <w:r w:rsidR="000433C9" w:rsidRPr="00930B7C">
                              <w:rPr>
                                <w:rFonts w:asciiTheme="majorHAnsi" w:hAnsiTheme="majorHAnsi"/>
                                <w:color w:val="595959" w:themeColor="text1" w:themeTint="A6"/>
                                <w:sz w:val="18"/>
                                <w:szCs w:val="18"/>
                                <w:lang w:val="es-ES"/>
                              </w:rPr>
                              <w:t>-</w:t>
                            </w:r>
                            <w:r w:rsidR="00865C84" w:rsidRPr="00930B7C">
                              <w:rPr>
                                <w:rFonts w:asciiTheme="majorHAnsi" w:hAnsiTheme="majorHAnsi"/>
                                <w:color w:val="595959" w:themeColor="text1" w:themeTint="A6"/>
                                <w:sz w:val="18"/>
                                <w:szCs w:val="18"/>
                                <w:lang w:val="es-ES"/>
                              </w:rPr>
                              <w:t>10</w:t>
                            </w:r>
                            <w:r w:rsidR="000433C9" w:rsidRPr="00930B7C">
                              <w:rPr>
                                <w:rFonts w:asciiTheme="majorHAnsi" w:hAnsiTheme="majorHAnsi"/>
                                <w:color w:val="595959" w:themeColor="text1" w:themeTint="A6"/>
                                <w:sz w:val="18"/>
                                <w:szCs w:val="18"/>
                                <w:lang w:val="es-ES"/>
                              </w:rPr>
                              <w:t xml:space="preserve">. </w:t>
                            </w:r>
                            <w:r w:rsidR="00BE5CDD" w:rsidRPr="00930B7C">
                              <w:rPr>
                                <w:rFonts w:asciiTheme="majorHAnsi" w:hAnsiTheme="majorHAnsi"/>
                                <w:color w:val="595959" w:themeColor="text1" w:themeTint="A6"/>
                                <w:sz w:val="18"/>
                                <w:szCs w:val="18"/>
                                <w:lang w:val="es-ES_tradnl"/>
                              </w:rPr>
                              <w:t>Ina</w:t>
                            </w:r>
                            <w:r w:rsidRPr="00930B7C">
                              <w:rPr>
                                <w:rFonts w:asciiTheme="majorHAnsi" w:hAnsiTheme="majorHAnsi"/>
                                <w:color w:val="595959" w:themeColor="text1" w:themeTint="A6"/>
                                <w:sz w:val="18"/>
                                <w:szCs w:val="18"/>
                                <w:lang w:val="es-ES_tradnl"/>
                              </w:rPr>
                              <w:t xml:space="preserve">dmisibilidad. </w:t>
                            </w:r>
                            <w:r w:rsidR="00865C84" w:rsidRPr="00930B7C">
                              <w:rPr>
                                <w:rFonts w:asciiTheme="majorHAnsi" w:hAnsiTheme="majorHAnsi"/>
                                <w:color w:val="595959" w:themeColor="text1" w:themeTint="A6"/>
                                <w:sz w:val="18"/>
                                <w:szCs w:val="18"/>
                                <w:lang w:val="es-ES_tradnl"/>
                              </w:rPr>
                              <w:t>Carlos Alberto Alvarado Moya</w:t>
                            </w:r>
                            <w:r w:rsidRPr="00930B7C">
                              <w:rPr>
                                <w:rFonts w:asciiTheme="majorHAnsi" w:hAnsiTheme="majorHAnsi"/>
                                <w:color w:val="595959" w:themeColor="text1" w:themeTint="A6"/>
                                <w:sz w:val="18"/>
                                <w:szCs w:val="18"/>
                                <w:lang w:val="es-ES_tradnl"/>
                              </w:rPr>
                              <w:t xml:space="preserve">. </w:t>
                            </w:r>
                            <w:r w:rsidR="00865C84" w:rsidRPr="00930B7C">
                              <w:rPr>
                                <w:rFonts w:asciiTheme="majorHAnsi" w:hAnsiTheme="majorHAnsi"/>
                                <w:color w:val="595959" w:themeColor="text1" w:themeTint="A6"/>
                                <w:sz w:val="18"/>
                                <w:szCs w:val="18"/>
                                <w:lang w:val="es-ES_tradnl"/>
                              </w:rPr>
                              <w:t>Costa Rica</w:t>
                            </w:r>
                            <w:r w:rsidRPr="00930B7C">
                              <w:rPr>
                                <w:rFonts w:asciiTheme="majorHAnsi" w:hAnsiTheme="majorHAnsi"/>
                                <w:color w:val="595959" w:themeColor="text1" w:themeTint="A6"/>
                                <w:sz w:val="18"/>
                                <w:szCs w:val="18"/>
                                <w:lang w:val="es-ES_tradnl"/>
                              </w:rPr>
                              <w:t xml:space="preserve">. </w:t>
                            </w:r>
                            <w:r w:rsidR="009F41AC">
                              <w:rPr>
                                <w:rFonts w:asciiTheme="majorHAnsi" w:hAnsiTheme="majorHAnsi"/>
                                <w:color w:val="595959" w:themeColor="text1" w:themeTint="A6"/>
                                <w:sz w:val="18"/>
                                <w:szCs w:val="18"/>
                                <w:lang w:val="es-ES"/>
                              </w:rPr>
                              <w:t>1º de agosto de 2023</w:t>
                            </w:r>
                            <w:r w:rsidRPr="00930B7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8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" filled="f" stroked="f" strokeweight=".5pt">
                <v:textbox>
                  <w:txbxContent>
                    <w:p w14:paraId="0D1B22CF" w14:textId="78657D7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41AC" w:rsidRPr="009F41AC">
                        <w:rPr>
                          <w:rFonts w:asciiTheme="majorHAnsi" w:hAnsiTheme="majorHAnsi"/>
                          <w:color w:val="595959" w:themeColor="text1" w:themeTint="A6"/>
                          <w:sz w:val="18"/>
                          <w:szCs w:val="18"/>
                          <w:lang w:val="pt-BR"/>
                        </w:rPr>
                        <w:t>124</w:t>
                      </w:r>
                      <w:r w:rsidR="007B05C4" w:rsidRPr="009F41AC">
                        <w:rPr>
                          <w:rFonts w:asciiTheme="majorHAnsi" w:hAnsiTheme="majorHAnsi"/>
                          <w:color w:val="595959" w:themeColor="text1" w:themeTint="A6"/>
                          <w:sz w:val="18"/>
                          <w:szCs w:val="18"/>
                          <w:lang w:val="pt-BR"/>
                        </w:rPr>
                        <w:t>/</w:t>
                      </w:r>
                      <w:r w:rsidR="009F41AC" w:rsidRPr="009F41AC">
                        <w:rPr>
                          <w:rFonts w:asciiTheme="majorHAnsi" w:hAnsiTheme="majorHAnsi"/>
                          <w:color w:val="595959" w:themeColor="text1" w:themeTint="A6"/>
                          <w:sz w:val="18"/>
                          <w:szCs w:val="18"/>
                          <w:lang w:val="pt-BR"/>
                        </w:rPr>
                        <w:t>23</w:t>
                      </w:r>
                      <w:r w:rsidRPr="009F41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sidRPr="00930B7C">
                        <w:rPr>
                          <w:rFonts w:asciiTheme="majorHAnsi" w:hAnsiTheme="majorHAnsi"/>
                          <w:color w:val="595959" w:themeColor="text1" w:themeTint="A6"/>
                          <w:sz w:val="18"/>
                          <w:szCs w:val="18"/>
                          <w:lang w:val="es-ES"/>
                        </w:rPr>
                        <w:t xml:space="preserve">ón </w:t>
                      </w:r>
                      <w:r w:rsidR="00865C84" w:rsidRPr="00930B7C">
                        <w:rPr>
                          <w:rFonts w:asciiTheme="majorHAnsi" w:hAnsiTheme="majorHAnsi"/>
                          <w:color w:val="595959" w:themeColor="text1" w:themeTint="A6"/>
                          <w:sz w:val="18"/>
                          <w:szCs w:val="18"/>
                          <w:lang w:val="es-ES"/>
                        </w:rPr>
                        <w:t>192</w:t>
                      </w:r>
                      <w:r w:rsidR="000433C9" w:rsidRPr="00930B7C">
                        <w:rPr>
                          <w:rFonts w:asciiTheme="majorHAnsi" w:hAnsiTheme="majorHAnsi"/>
                          <w:color w:val="595959" w:themeColor="text1" w:themeTint="A6"/>
                          <w:sz w:val="18"/>
                          <w:szCs w:val="18"/>
                          <w:lang w:val="es-ES"/>
                        </w:rPr>
                        <w:t>-</w:t>
                      </w:r>
                      <w:r w:rsidR="00865C84" w:rsidRPr="00930B7C">
                        <w:rPr>
                          <w:rFonts w:asciiTheme="majorHAnsi" w:hAnsiTheme="majorHAnsi"/>
                          <w:color w:val="595959" w:themeColor="text1" w:themeTint="A6"/>
                          <w:sz w:val="18"/>
                          <w:szCs w:val="18"/>
                          <w:lang w:val="es-ES"/>
                        </w:rPr>
                        <w:t>10</w:t>
                      </w:r>
                      <w:r w:rsidR="000433C9" w:rsidRPr="00930B7C">
                        <w:rPr>
                          <w:rFonts w:asciiTheme="majorHAnsi" w:hAnsiTheme="majorHAnsi"/>
                          <w:color w:val="595959" w:themeColor="text1" w:themeTint="A6"/>
                          <w:sz w:val="18"/>
                          <w:szCs w:val="18"/>
                          <w:lang w:val="es-ES"/>
                        </w:rPr>
                        <w:t xml:space="preserve">. </w:t>
                      </w:r>
                      <w:r w:rsidR="00BE5CDD" w:rsidRPr="00930B7C">
                        <w:rPr>
                          <w:rFonts w:asciiTheme="majorHAnsi" w:hAnsiTheme="majorHAnsi"/>
                          <w:color w:val="595959" w:themeColor="text1" w:themeTint="A6"/>
                          <w:sz w:val="18"/>
                          <w:szCs w:val="18"/>
                          <w:lang w:val="es-ES_tradnl"/>
                        </w:rPr>
                        <w:t>Ina</w:t>
                      </w:r>
                      <w:r w:rsidRPr="00930B7C">
                        <w:rPr>
                          <w:rFonts w:asciiTheme="majorHAnsi" w:hAnsiTheme="majorHAnsi"/>
                          <w:color w:val="595959" w:themeColor="text1" w:themeTint="A6"/>
                          <w:sz w:val="18"/>
                          <w:szCs w:val="18"/>
                          <w:lang w:val="es-ES_tradnl"/>
                        </w:rPr>
                        <w:t xml:space="preserve">dmisibilidad. </w:t>
                      </w:r>
                      <w:r w:rsidR="00865C84" w:rsidRPr="00930B7C">
                        <w:rPr>
                          <w:rFonts w:asciiTheme="majorHAnsi" w:hAnsiTheme="majorHAnsi"/>
                          <w:color w:val="595959" w:themeColor="text1" w:themeTint="A6"/>
                          <w:sz w:val="18"/>
                          <w:szCs w:val="18"/>
                          <w:lang w:val="es-ES_tradnl"/>
                        </w:rPr>
                        <w:t>Carlos Alberto Alvarado Moya</w:t>
                      </w:r>
                      <w:r w:rsidRPr="00930B7C">
                        <w:rPr>
                          <w:rFonts w:asciiTheme="majorHAnsi" w:hAnsiTheme="majorHAnsi"/>
                          <w:color w:val="595959" w:themeColor="text1" w:themeTint="A6"/>
                          <w:sz w:val="18"/>
                          <w:szCs w:val="18"/>
                          <w:lang w:val="es-ES_tradnl"/>
                        </w:rPr>
                        <w:t xml:space="preserve">. </w:t>
                      </w:r>
                      <w:r w:rsidR="00865C84" w:rsidRPr="00930B7C">
                        <w:rPr>
                          <w:rFonts w:asciiTheme="majorHAnsi" w:hAnsiTheme="majorHAnsi"/>
                          <w:color w:val="595959" w:themeColor="text1" w:themeTint="A6"/>
                          <w:sz w:val="18"/>
                          <w:szCs w:val="18"/>
                          <w:lang w:val="es-ES_tradnl"/>
                        </w:rPr>
                        <w:t>Costa Rica</w:t>
                      </w:r>
                      <w:r w:rsidRPr="00930B7C">
                        <w:rPr>
                          <w:rFonts w:asciiTheme="majorHAnsi" w:hAnsiTheme="majorHAnsi"/>
                          <w:color w:val="595959" w:themeColor="text1" w:themeTint="A6"/>
                          <w:sz w:val="18"/>
                          <w:szCs w:val="18"/>
                          <w:lang w:val="es-ES_tradnl"/>
                        </w:rPr>
                        <w:t xml:space="preserve">. </w:t>
                      </w:r>
                      <w:r w:rsidR="009F41AC">
                        <w:rPr>
                          <w:rFonts w:asciiTheme="majorHAnsi" w:hAnsiTheme="majorHAnsi"/>
                          <w:color w:val="595959" w:themeColor="text1" w:themeTint="A6"/>
                          <w:sz w:val="18"/>
                          <w:szCs w:val="18"/>
                          <w:lang w:val="es-ES"/>
                        </w:rPr>
                        <w:t>1º de agosto de 2023</w:t>
                      </w:r>
                      <w:r w:rsidRPr="00930B7C">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EDE3121" w:rsidR="00D72DC6" w:rsidRPr="00D72DC6" w:rsidRDefault="00D30D31" w:rsidP="00F02AD1">
                            <w:pPr>
                              <w:rPr>
                                <w:color w:val="FFFFFF" w:themeColor="background1"/>
                                <w14:textFill>
                                  <w14:noFill/>
                                </w14:textFill>
                              </w:rPr>
                            </w:pPr>
                            <w:r>
                              <w:rPr>
                                <w:noProof/>
                                <w:color w:val="FFFFFF" w:themeColor="background1"/>
                              </w:rPr>
                              <w:drawing>
                                <wp:inline distT="0" distB="0" distL="0" distR="0" wp14:anchorId="0D0FB0F5" wp14:editId="2E04650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EDE3121" w:rsidR="00D72DC6" w:rsidRPr="00D72DC6" w:rsidRDefault="00D30D31" w:rsidP="00F02AD1">
                      <w:pPr>
                        <w:rPr>
                          <w:color w:val="FFFFFF" w:themeColor="background1"/>
                          <w14:textFill>
                            <w14:noFill/>
                          </w14:textFill>
                        </w:rPr>
                      </w:pPr>
                      <w:r>
                        <w:rPr>
                          <w:noProof/>
                          <w:color w:val="FFFFFF" w:themeColor="background1"/>
                        </w:rPr>
                        <w:drawing>
                          <wp:inline distT="0" distB="0" distL="0" distR="0" wp14:anchorId="0D0FB0F5" wp14:editId="2E04650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1985DA0" w:rsidR="003239B8" w:rsidRPr="000D05CB" w:rsidRDefault="00783CCF" w:rsidP="008D2290">
            <w:pPr>
              <w:jc w:val="both"/>
              <w:rPr>
                <w:rFonts w:ascii="Cambria" w:hAnsi="Cambria"/>
                <w:bCs/>
                <w:sz w:val="20"/>
                <w:szCs w:val="20"/>
              </w:rPr>
            </w:pPr>
            <w:r>
              <w:rPr>
                <w:rFonts w:ascii="Cambria" w:hAnsi="Cambria"/>
                <w:bCs/>
                <w:sz w:val="20"/>
                <w:szCs w:val="20"/>
              </w:rPr>
              <w:t>Carlos Alberto Alvarado Moya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225E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C0AE860" w:rsidR="003239B8" w:rsidRPr="000D05CB" w:rsidRDefault="00783CCF" w:rsidP="008D2290">
            <w:pPr>
              <w:jc w:val="both"/>
              <w:rPr>
                <w:rFonts w:ascii="Cambria" w:hAnsi="Cambria"/>
                <w:bCs/>
                <w:sz w:val="20"/>
                <w:szCs w:val="20"/>
                <w:lang w:val="es-ES"/>
              </w:rPr>
            </w:pPr>
            <w:r>
              <w:rPr>
                <w:rFonts w:ascii="Cambria" w:hAnsi="Cambria"/>
                <w:bCs/>
                <w:sz w:val="20"/>
                <w:szCs w:val="20"/>
                <w:lang w:val="es-ES"/>
              </w:rPr>
              <w:t>Carlos Alberto Alvarado Moya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14B5F65" w:rsidR="003239B8" w:rsidRPr="000D05CB" w:rsidRDefault="00865C84" w:rsidP="008D2290">
            <w:pPr>
              <w:jc w:val="both"/>
              <w:rPr>
                <w:rFonts w:ascii="Cambria" w:hAnsi="Cambria"/>
                <w:bCs/>
                <w:sz w:val="20"/>
                <w:szCs w:val="20"/>
              </w:rPr>
            </w:pPr>
            <w:r>
              <w:rPr>
                <w:rFonts w:ascii="Cambria" w:hAnsi="Cambria"/>
                <w:bCs/>
                <w:sz w:val="20"/>
                <w:szCs w:val="20"/>
              </w:rPr>
              <w:t>Costa Rica</w:t>
            </w:r>
          </w:p>
        </w:tc>
      </w:tr>
      <w:tr w:rsidR="00223A29" w:rsidRPr="0039150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8524B15" w:rsidR="00223A29" w:rsidRPr="00B77BFD" w:rsidRDefault="00B77BFD" w:rsidP="008D2290">
            <w:pPr>
              <w:jc w:val="both"/>
              <w:rPr>
                <w:rFonts w:ascii="Cambria" w:hAnsi="Cambria"/>
                <w:bCs/>
                <w:sz w:val="20"/>
                <w:szCs w:val="20"/>
                <w:lang w:val="es-US"/>
              </w:rPr>
            </w:pPr>
            <w:r w:rsidRPr="00B77BFD">
              <w:rPr>
                <w:rFonts w:ascii="Cambria" w:hAnsi="Cambria"/>
                <w:bCs/>
                <w:sz w:val="20"/>
                <w:szCs w:val="20"/>
                <w:lang w:val="es-US"/>
              </w:rPr>
              <w:t>Artículos</w:t>
            </w:r>
            <w:r w:rsidR="002714CB">
              <w:rPr>
                <w:rFonts w:ascii="Cambria" w:hAnsi="Cambria"/>
                <w:bCs/>
                <w:sz w:val="20"/>
                <w:szCs w:val="20"/>
                <w:lang w:val="es-US"/>
              </w:rPr>
              <w:t xml:space="preserve"> </w:t>
            </w:r>
            <w:r w:rsidR="00492607">
              <w:rPr>
                <w:rFonts w:ascii="Cambria" w:hAnsi="Cambria"/>
                <w:bCs/>
                <w:sz w:val="20"/>
                <w:szCs w:val="20"/>
                <w:lang w:val="es-ES"/>
              </w:rPr>
              <w:t xml:space="preserve">5 (derecho a la integridad personal) </w:t>
            </w:r>
            <w:r>
              <w:rPr>
                <w:rFonts w:ascii="Cambria" w:hAnsi="Cambria"/>
                <w:bCs/>
                <w:sz w:val="20"/>
                <w:szCs w:val="20"/>
                <w:lang w:val="es-ES"/>
              </w:rPr>
              <w:t>8 (garantías judiciales)</w:t>
            </w:r>
            <w:r w:rsidR="00492607">
              <w:rPr>
                <w:rFonts w:ascii="Cambria" w:hAnsi="Cambria"/>
                <w:bCs/>
                <w:sz w:val="20"/>
                <w:szCs w:val="20"/>
                <w:lang w:val="es-ES"/>
              </w:rPr>
              <w:t>, 9 (principio de legalidad y de retroactividad)</w:t>
            </w:r>
            <w:r w:rsidR="006B2524">
              <w:rPr>
                <w:rFonts w:ascii="Cambria" w:hAnsi="Cambria"/>
                <w:bCs/>
                <w:sz w:val="20"/>
                <w:szCs w:val="20"/>
                <w:lang w:val="es-ES"/>
              </w:rPr>
              <w:t>, 24 (igualdad ante la ley)</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r w:rsidR="00492607">
              <w:rPr>
                <w:rFonts w:ascii="Cambria" w:hAnsi="Cambria"/>
                <w:bCs/>
                <w:sz w:val="20"/>
                <w:szCs w:val="20"/>
                <w:lang w:val="es-ES"/>
              </w:rPr>
              <w:t>; y los artículos 6 y 7 de la Convención Interamericana para Prevenir y Sancionar la Tortura</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B4288E2" w:rsidR="004C2312" w:rsidRPr="003239B8" w:rsidRDefault="00CE5C2A" w:rsidP="002625EA">
            <w:pPr>
              <w:jc w:val="both"/>
              <w:rPr>
                <w:rFonts w:ascii="Cambria" w:hAnsi="Cambria"/>
                <w:bCs/>
                <w:sz w:val="20"/>
                <w:szCs w:val="20"/>
                <w:lang w:val="es-ES"/>
              </w:rPr>
            </w:pPr>
            <w:r>
              <w:rPr>
                <w:rFonts w:ascii="Cambria" w:hAnsi="Cambria"/>
                <w:bCs/>
                <w:sz w:val="20"/>
                <w:szCs w:val="20"/>
                <w:lang w:val="es-ES"/>
              </w:rPr>
              <w:t>5 de agosto de 2010</w:t>
            </w:r>
          </w:p>
        </w:tc>
      </w:tr>
      <w:tr w:rsidR="004C2312" w:rsidRPr="00FC0D9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FC0D9B" w:rsidRDefault="004A6A54" w:rsidP="004A6A54">
            <w:pPr>
              <w:jc w:val="center"/>
              <w:rPr>
                <w:rFonts w:ascii="Cambria" w:hAnsi="Cambria"/>
                <w:b/>
                <w:bCs/>
                <w:color w:val="FFFFFF" w:themeColor="background1"/>
                <w:sz w:val="20"/>
                <w:szCs w:val="20"/>
                <w:lang w:val="es-PE"/>
              </w:rPr>
            </w:pPr>
            <w:r w:rsidRPr="00FC0D9B">
              <w:rPr>
                <w:rFonts w:ascii="Cambria" w:hAnsi="Cambria"/>
                <w:b/>
                <w:color w:val="FFFFFF" w:themeColor="background1"/>
                <w:sz w:val="20"/>
                <w:szCs w:val="20"/>
                <w:lang w:val="es-PE"/>
              </w:rPr>
              <w:t>N</w:t>
            </w:r>
            <w:r w:rsidR="004C2312" w:rsidRPr="00FC0D9B">
              <w:rPr>
                <w:rFonts w:ascii="Cambria" w:hAnsi="Cambria"/>
                <w:b/>
                <w:color w:val="FFFFFF" w:themeColor="background1"/>
                <w:sz w:val="20"/>
                <w:szCs w:val="20"/>
                <w:lang w:val="es-PE"/>
              </w:rPr>
              <w:t>otificación de la petición al Estado:</w:t>
            </w:r>
          </w:p>
        </w:tc>
        <w:tc>
          <w:tcPr>
            <w:tcW w:w="5760" w:type="dxa"/>
            <w:vAlign w:val="center"/>
          </w:tcPr>
          <w:p w14:paraId="1519DA6A" w14:textId="53C29F1A" w:rsidR="004C2312" w:rsidRPr="00FC0D9B" w:rsidRDefault="00B447B8" w:rsidP="008D2290">
            <w:pPr>
              <w:jc w:val="both"/>
              <w:rPr>
                <w:rFonts w:ascii="Cambria" w:hAnsi="Cambria"/>
                <w:bCs/>
                <w:sz w:val="20"/>
                <w:szCs w:val="20"/>
                <w:lang w:val="es-PE"/>
              </w:rPr>
            </w:pPr>
            <w:r w:rsidRPr="00FC0D9B">
              <w:rPr>
                <w:rFonts w:ascii="Cambria" w:hAnsi="Cambria"/>
                <w:bCs/>
                <w:sz w:val="20"/>
                <w:szCs w:val="20"/>
                <w:lang w:val="es-PE"/>
              </w:rPr>
              <w:t>25 de abril de 2017</w:t>
            </w:r>
          </w:p>
        </w:tc>
      </w:tr>
      <w:tr w:rsidR="004C2312" w:rsidRPr="00FC0D9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FC0D9B" w:rsidRDefault="004A6A54" w:rsidP="004A6A54">
            <w:pPr>
              <w:jc w:val="center"/>
              <w:rPr>
                <w:rFonts w:ascii="Cambria" w:hAnsi="Cambria"/>
                <w:b/>
                <w:bCs/>
                <w:color w:val="FFFFFF" w:themeColor="background1"/>
                <w:sz w:val="20"/>
                <w:szCs w:val="20"/>
                <w:lang w:val="es-PE"/>
              </w:rPr>
            </w:pPr>
            <w:r w:rsidRPr="00FC0D9B">
              <w:rPr>
                <w:rFonts w:ascii="Cambria" w:hAnsi="Cambria"/>
                <w:b/>
                <w:color w:val="FFFFFF" w:themeColor="background1"/>
                <w:sz w:val="20"/>
                <w:szCs w:val="20"/>
                <w:lang w:val="es-PE"/>
              </w:rPr>
              <w:t>P</w:t>
            </w:r>
            <w:r w:rsidR="004C2312" w:rsidRPr="00FC0D9B">
              <w:rPr>
                <w:rFonts w:ascii="Cambria" w:hAnsi="Cambria"/>
                <w:b/>
                <w:color w:val="FFFFFF" w:themeColor="background1"/>
                <w:sz w:val="20"/>
                <w:szCs w:val="20"/>
                <w:lang w:val="es-PE"/>
              </w:rPr>
              <w:t>rimera respuesta del Estado:</w:t>
            </w:r>
          </w:p>
        </w:tc>
        <w:tc>
          <w:tcPr>
            <w:tcW w:w="5760" w:type="dxa"/>
            <w:vAlign w:val="center"/>
          </w:tcPr>
          <w:p w14:paraId="1972B99E" w14:textId="782DBF14" w:rsidR="004C2312" w:rsidRPr="00FC0D9B" w:rsidRDefault="00AB7728" w:rsidP="008D2290">
            <w:pPr>
              <w:jc w:val="both"/>
              <w:rPr>
                <w:rFonts w:ascii="Cambria" w:hAnsi="Cambria"/>
                <w:bCs/>
                <w:sz w:val="20"/>
                <w:szCs w:val="20"/>
                <w:lang w:val="es-PE"/>
              </w:rPr>
            </w:pPr>
            <w:r w:rsidRPr="00FC0D9B">
              <w:rPr>
                <w:rFonts w:ascii="Cambria" w:hAnsi="Cambria"/>
                <w:bCs/>
                <w:sz w:val="20"/>
                <w:szCs w:val="20"/>
                <w:lang w:val="es-PE"/>
              </w:rPr>
              <w:t>20 de septiembre de 2017</w:t>
            </w:r>
          </w:p>
        </w:tc>
      </w:tr>
      <w:tr w:rsidR="004C2312" w:rsidRPr="0039150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FC0D9B" w:rsidRDefault="008E3BFE" w:rsidP="008E3BFE">
            <w:pPr>
              <w:jc w:val="center"/>
              <w:rPr>
                <w:rFonts w:ascii="Cambria" w:hAnsi="Cambria"/>
                <w:b/>
                <w:bCs/>
                <w:color w:val="FFFFFF" w:themeColor="background1"/>
                <w:sz w:val="20"/>
                <w:szCs w:val="20"/>
                <w:lang w:val="es-PE"/>
              </w:rPr>
            </w:pPr>
            <w:r w:rsidRPr="00FC0D9B">
              <w:rPr>
                <w:rFonts w:ascii="Cambria" w:hAnsi="Cambria"/>
                <w:b/>
                <w:bCs/>
                <w:color w:val="FFFFFF" w:themeColor="background1"/>
                <w:sz w:val="20"/>
                <w:szCs w:val="20"/>
                <w:lang w:val="es-PE"/>
              </w:rPr>
              <w:t>Observaciones adicionales de la parte peticionaria:</w:t>
            </w:r>
          </w:p>
        </w:tc>
        <w:tc>
          <w:tcPr>
            <w:tcW w:w="5760" w:type="dxa"/>
            <w:vAlign w:val="center"/>
          </w:tcPr>
          <w:p w14:paraId="41D8B862" w14:textId="4B78C63C" w:rsidR="004C2312" w:rsidRPr="00FC0D9B" w:rsidRDefault="000E7287" w:rsidP="008D2290">
            <w:pPr>
              <w:jc w:val="both"/>
              <w:rPr>
                <w:rFonts w:ascii="Cambria" w:hAnsi="Cambria"/>
                <w:bCs/>
                <w:sz w:val="20"/>
                <w:szCs w:val="20"/>
                <w:lang w:val="es-PE"/>
              </w:rPr>
            </w:pPr>
            <w:r w:rsidRPr="00FC0D9B">
              <w:rPr>
                <w:rFonts w:ascii="Cambria" w:hAnsi="Cambria"/>
                <w:bCs/>
                <w:sz w:val="20"/>
                <w:szCs w:val="20"/>
                <w:lang w:val="es-PE"/>
              </w:rPr>
              <w:t>10 de julio de 2018</w:t>
            </w:r>
            <w:r w:rsidR="008F215C">
              <w:rPr>
                <w:rFonts w:ascii="Cambria" w:hAnsi="Cambria"/>
                <w:bCs/>
                <w:sz w:val="20"/>
                <w:szCs w:val="20"/>
                <w:lang w:val="es-PE"/>
              </w:rPr>
              <w:t xml:space="preserve">, </w:t>
            </w:r>
            <w:r w:rsidR="00495E56" w:rsidRPr="00FC0D9B">
              <w:rPr>
                <w:rFonts w:ascii="Cambria" w:hAnsi="Cambria"/>
                <w:bCs/>
                <w:sz w:val="20"/>
                <w:szCs w:val="20"/>
                <w:lang w:val="es-PE"/>
              </w:rPr>
              <w:t>12 de julio de 2018</w:t>
            </w:r>
            <w:r w:rsidR="008F215C">
              <w:rPr>
                <w:rFonts w:ascii="Cambria" w:hAnsi="Cambria"/>
                <w:bCs/>
                <w:sz w:val="20"/>
                <w:szCs w:val="20"/>
                <w:lang w:val="es-PE"/>
              </w:rPr>
              <w:t xml:space="preserve"> y 10 de mayo de </w:t>
            </w:r>
            <w:r w:rsidR="00442906">
              <w:rPr>
                <w:rFonts w:ascii="Cambria" w:hAnsi="Cambria"/>
                <w:bCs/>
                <w:sz w:val="20"/>
                <w:szCs w:val="20"/>
                <w:lang w:val="es-PE"/>
              </w:rPr>
              <w:t>2021</w:t>
            </w:r>
          </w:p>
        </w:tc>
      </w:tr>
      <w:tr w:rsidR="004C2312" w:rsidRPr="0039150E"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FC0D9B" w:rsidRDefault="004C2312" w:rsidP="008E3BFE">
            <w:pPr>
              <w:jc w:val="center"/>
              <w:rPr>
                <w:rFonts w:ascii="Cambria" w:hAnsi="Cambria"/>
                <w:b/>
                <w:bCs/>
                <w:color w:val="FFFFFF" w:themeColor="background1"/>
                <w:sz w:val="20"/>
                <w:szCs w:val="20"/>
                <w:lang w:val="es-PE"/>
              </w:rPr>
            </w:pPr>
            <w:r w:rsidRPr="00FC0D9B">
              <w:rPr>
                <w:rFonts w:ascii="Cambria" w:hAnsi="Cambria"/>
                <w:b/>
                <w:bCs/>
                <w:color w:val="FFFFFF" w:themeColor="background1"/>
                <w:sz w:val="20"/>
                <w:szCs w:val="20"/>
                <w:lang w:val="es-PE"/>
              </w:rPr>
              <w:t>Observaciones adicionales del Estado:</w:t>
            </w:r>
          </w:p>
        </w:tc>
        <w:tc>
          <w:tcPr>
            <w:tcW w:w="5760" w:type="dxa"/>
            <w:vAlign w:val="center"/>
          </w:tcPr>
          <w:p w14:paraId="3CE49AFE" w14:textId="2A0637F4" w:rsidR="004C2312" w:rsidRPr="00FC0D9B" w:rsidRDefault="005954E8" w:rsidP="008D2290">
            <w:pPr>
              <w:jc w:val="both"/>
              <w:rPr>
                <w:rFonts w:ascii="Cambria" w:hAnsi="Cambria"/>
                <w:bCs/>
                <w:sz w:val="20"/>
                <w:szCs w:val="20"/>
                <w:lang w:val="es-PE"/>
              </w:rPr>
            </w:pPr>
            <w:r>
              <w:rPr>
                <w:rFonts w:ascii="Cambria" w:hAnsi="Cambria"/>
                <w:bCs/>
                <w:sz w:val="20"/>
                <w:szCs w:val="20"/>
                <w:lang w:val="es-PE"/>
              </w:rPr>
              <w:t>12 de marzo de 2021</w:t>
            </w:r>
            <w:r w:rsidR="008C11F6">
              <w:rPr>
                <w:rFonts w:ascii="Cambria" w:hAnsi="Cambria"/>
                <w:bCs/>
                <w:sz w:val="20"/>
                <w:szCs w:val="20"/>
                <w:lang w:val="es-PE"/>
              </w:rPr>
              <w:t xml:space="preserve"> y 22 de septiembre de 2021</w:t>
            </w:r>
          </w:p>
        </w:tc>
      </w:tr>
    </w:tbl>
    <w:p w14:paraId="21DAA666" w14:textId="77777777" w:rsidR="003239B8" w:rsidRPr="00FC0D9B" w:rsidRDefault="003239B8" w:rsidP="003239B8">
      <w:pPr>
        <w:spacing w:before="240" w:after="240"/>
        <w:ind w:firstLine="720"/>
        <w:jc w:val="both"/>
        <w:rPr>
          <w:rFonts w:asciiTheme="majorHAnsi" w:hAnsiTheme="majorHAnsi"/>
          <w:b/>
          <w:bCs/>
          <w:sz w:val="20"/>
          <w:szCs w:val="20"/>
          <w:lang w:val="es-PE"/>
        </w:rPr>
      </w:pPr>
      <w:r w:rsidRPr="00FC0D9B">
        <w:rPr>
          <w:rFonts w:asciiTheme="majorHAnsi" w:hAnsiTheme="majorHAnsi"/>
          <w:b/>
          <w:bCs/>
          <w:sz w:val="20"/>
          <w:szCs w:val="20"/>
          <w:lang w:val="es-PE"/>
        </w:rPr>
        <w:t xml:space="preserve">III. </w:t>
      </w:r>
      <w:r w:rsidRPr="00FC0D9B">
        <w:rPr>
          <w:rFonts w:asciiTheme="majorHAnsi" w:hAnsiTheme="majorHAnsi"/>
          <w:b/>
          <w:bCs/>
          <w:sz w:val="20"/>
          <w:szCs w:val="20"/>
          <w:lang w:val="es-PE"/>
        </w:rPr>
        <w:tab/>
        <w:t>COMPETENCIA</w:t>
      </w:r>
      <w:r w:rsidR="00EE00E9" w:rsidRPr="00FC0D9B">
        <w:rPr>
          <w:rFonts w:asciiTheme="majorHAnsi" w:hAnsiTheme="majorHAnsi"/>
          <w:b/>
          <w:bCs/>
          <w:sz w:val="20"/>
          <w:szCs w:val="20"/>
          <w:lang w:val="es-P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FFA2AF6" w:rsidR="003239B8" w:rsidRPr="00B3745F" w:rsidRDefault="00307E2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6882EB15" w:rsidR="003239B8" w:rsidRPr="00B3745F" w:rsidRDefault="00307E2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B6B0F41" w:rsidR="003239B8" w:rsidRPr="00B3745F" w:rsidRDefault="00307E25" w:rsidP="008D2290">
            <w:pPr>
              <w:rPr>
                <w:rFonts w:ascii="Cambria" w:hAnsi="Cambria"/>
                <w:bCs/>
                <w:sz w:val="20"/>
                <w:szCs w:val="20"/>
              </w:rPr>
            </w:pPr>
            <w:r>
              <w:rPr>
                <w:rFonts w:ascii="Cambria" w:hAnsi="Cambria"/>
                <w:bCs/>
                <w:sz w:val="20"/>
                <w:szCs w:val="20"/>
              </w:rPr>
              <w:t>Sí</w:t>
            </w:r>
          </w:p>
        </w:tc>
      </w:tr>
      <w:tr w:rsidR="003239B8" w:rsidRPr="0039150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1F309066" w:rsidR="003239B8" w:rsidRPr="00B3745F" w:rsidRDefault="00BB4B20"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r w:rsidR="002714CB">
              <w:rPr>
                <w:rFonts w:ascii="Cambria" w:hAnsi="Cambria"/>
                <w:bCs/>
                <w:sz w:val="20"/>
                <w:szCs w:val="20"/>
                <w:lang w:val="es-ES"/>
              </w:rPr>
              <w:t>; y Convención Interamericana para Prevenir y Sancionar la Tortura (depósito del instrumento de ratificación realizado el 8 de febrero del 2000)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E422C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3555C09" w:rsidR="00EE00E9" w:rsidRPr="00930B7C" w:rsidRDefault="00925743" w:rsidP="008D2290">
            <w:pPr>
              <w:jc w:val="both"/>
              <w:rPr>
                <w:rFonts w:ascii="Cambria" w:hAnsi="Cambria"/>
                <w:bCs/>
                <w:sz w:val="20"/>
                <w:szCs w:val="20"/>
                <w:lang w:val="es-ES"/>
              </w:rPr>
            </w:pPr>
            <w:r w:rsidRPr="00930B7C">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065CE1F9" w:rsidR="003239B8" w:rsidRPr="00930B7C" w:rsidRDefault="00925743" w:rsidP="008D2290">
            <w:pPr>
              <w:jc w:val="both"/>
              <w:rPr>
                <w:rFonts w:ascii="Cambria" w:hAnsi="Cambria"/>
                <w:bCs/>
                <w:sz w:val="20"/>
                <w:szCs w:val="20"/>
              </w:rPr>
            </w:pPr>
            <w:r w:rsidRPr="00930B7C">
              <w:rPr>
                <w:rFonts w:ascii="Cambria" w:hAnsi="Cambria"/>
                <w:bCs/>
                <w:sz w:val="20"/>
                <w:szCs w:val="20"/>
              </w:rPr>
              <w:t>N/a</w:t>
            </w:r>
          </w:p>
        </w:tc>
      </w:tr>
      <w:tr w:rsidR="003239B8" w:rsidRPr="0039150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F00346C" w:rsidR="003239B8" w:rsidRPr="00930B7C" w:rsidRDefault="0038733A" w:rsidP="008D2290">
            <w:pPr>
              <w:rPr>
                <w:rFonts w:ascii="Cambria" w:hAnsi="Cambria"/>
                <w:bCs/>
                <w:sz w:val="20"/>
                <w:szCs w:val="20"/>
                <w:lang w:val="es-ES"/>
              </w:rPr>
            </w:pPr>
            <w:r w:rsidRPr="00930B7C">
              <w:rPr>
                <w:rFonts w:ascii="Cambria" w:hAnsi="Cambria"/>
                <w:bCs/>
                <w:sz w:val="20"/>
                <w:szCs w:val="20"/>
                <w:lang w:val="es-ES"/>
              </w:rPr>
              <w:t>Sí</w:t>
            </w:r>
            <w:r w:rsidR="00925743" w:rsidRPr="00930B7C">
              <w:rPr>
                <w:rFonts w:ascii="Cambria" w:hAnsi="Cambria"/>
                <w:bCs/>
                <w:sz w:val="20"/>
                <w:szCs w:val="20"/>
                <w:lang w:val="es-ES"/>
              </w:rPr>
              <w:t>, en los términos de la sección VII</w:t>
            </w:r>
          </w:p>
        </w:tc>
      </w:tr>
      <w:tr w:rsidR="003239B8" w:rsidRPr="00E379A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5C5B71DE" w:rsidR="003239B8" w:rsidRPr="00930B7C" w:rsidRDefault="00E379AC" w:rsidP="008D2290">
            <w:pPr>
              <w:rPr>
                <w:rFonts w:ascii="Cambria" w:hAnsi="Cambria"/>
                <w:bCs/>
                <w:sz w:val="20"/>
                <w:szCs w:val="20"/>
                <w:lang w:val="es-US"/>
              </w:rPr>
            </w:pPr>
            <w:r w:rsidRPr="00930B7C">
              <w:rPr>
                <w:rFonts w:ascii="Cambria" w:hAnsi="Cambria"/>
                <w:bCs/>
                <w:sz w:val="20"/>
                <w:szCs w:val="20"/>
                <w:lang w:val="es-ES"/>
              </w:rPr>
              <w:t>N/a</w:t>
            </w:r>
          </w:p>
        </w:tc>
      </w:tr>
    </w:tbl>
    <w:p w14:paraId="18E6423B" w14:textId="5C0084E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1AF898BF" w14:textId="5449AFAF" w:rsidR="00E422CF" w:rsidRPr="00E422CF" w:rsidRDefault="00E422CF" w:rsidP="003239B8">
      <w:pPr>
        <w:spacing w:before="240" w:after="240"/>
        <w:ind w:firstLine="720"/>
        <w:jc w:val="both"/>
        <w:rPr>
          <w:rFonts w:asciiTheme="majorHAnsi" w:hAnsiTheme="majorHAnsi"/>
          <w:bCs/>
          <w:i/>
          <w:iCs/>
          <w:sz w:val="20"/>
          <w:szCs w:val="20"/>
          <w:lang w:val="es-UY"/>
        </w:rPr>
      </w:pPr>
      <w:r>
        <w:rPr>
          <w:rFonts w:asciiTheme="majorHAnsi" w:hAnsiTheme="majorHAnsi"/>
          <w:bCs/>
          <w:i/>
          <w:iCs/>
          <w:sz w:val="20"/>
          <w:szCs w:val="20"/>
          <w:lang w:val="es-UY"/>
        </w:rPr>
        <w:t>Alegatos de la parte peticionaria</w:t>
      </w:r>
    </w:p>
    <w:p w14:paraId="138E9D76" w14:textId="42F9EEDC" w:rsidR="00E422CF" w:rsidRPr="00E77F50" w:rsidRDefault="00E422CF" w:rsidP="00E422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9E7B35">
        <w:rPr>
          <w:rFonts w:ascii="Cambria" w:hAnsi="Cambria"/>
          <w:sz w:val="20"/>
          <w:szCs w:val="20"/>
          <w:lang w:val="es-ES_tradnl"/>
        </w:rPr>
        <w:t xml:space="preserve">La parte peticionaria denuncia que el señor </w:t>
      </w:r>
      <w:r w:rsidR="006B2524">
        <w:rPr>
          <w:rFonts w:ascii="Cambria" w:hAnsi="Cambria"/>
          <w:sz w:val="20"/>
          <w:szCs w:val="20"/>
          <w:lang w:val="es-ES_tradnl"/>
        </w:rPr>
        <w:t xml:space="preserve">Alvarado Moya </w:t>
      </w:r>
      <w:r w:rsidRPr="009E7B35">
        <w:rPr>
          <w:rFonts w:ascii="Cambria" w:hAnsi="Cambria"/>
          <w:sz w:val="20"/>
          <w:szCs w:val="20"/>
          <w:lang w:val="es-ES_tradnl"/>
        </w:rPr>
        <w:t xml:space="preserve">no tuvo acceso a un recurso que permita la revisión integral de su condena </w:t>
      </w:r>
      <w:r w:rsidR="00E50591">
        <w:rPr>
          <w:rFonts w:ascii="Cambria" w:hAnsi="Cambria"/>
          <w:sz w:val="20"/>
          <w:szCs w:val="20"/>
          <w:lang w:val="es-ES_tradnl"/>
        </w:rPr>
        <w:t>penal</w:t>
      </w:r>
      <w:r w:rsidRPr="009E7B35">
        <w:rPr>
          <w:rFonts w:ascii="Cambria" w:hAnsi="Cambria"/>
          <w:sz w:val="20"/>
          <w:szCs w:val="20"/>
          <w:lang w:val="es-ES_tradnl"/>
        </w:rPr>
        <w:t xml:space="preserve">. Asimismo, afirma que tal decisión </w:t>
      </w:r>
      <w:r>
        <w:rPr>
          <w:rFonts w:ascii="Cambria" w:hAnsi="Cambria"/>
          <w:sz w:val="20"/>
          <w:szCs w:val="20"/>
          <w:lang w:val="es-ES_tradnl"/>
        </w:rPr>
        <w:t xml:space="preserve">también afectó otras </w:t>
      </w:r>
      <w:r>
        <w:rPr>
          <w:rFonts w:ascii="Cambria" w:hAnsi="Cambria"/>
          <w:sz w:val="20"/>
          <w:szCs w:val="20"/>
          <w:lang w:val="es-ES_tradnl"/>
        </w:rPr>
        <w:lastRenderedPageBreak/>
        <w:t>garantías judiciales, debido a las irregularidades cometidas durante el proceso</w:t>
      </w:r>
      <w:r w:rsidR="00A37F89">
        <w:rPr>
          <w:rFonts w:ascii="Cambria" w:hAnsi="Cambria"/>
          <w:sz w:val="20"/>
          <w:szCs w:val="20"/>
          <w:lang w:val="es-ES_tradnl"/>
        </w:rPr>
        <w:t xml:space="preserve">, y que la pena impuesta constituyó un trato cruel, inhumano y degradante. </w:t>
      </w:r>
      <w:r w:rsidR="006B2524">
        <w:rPr>
          <w:rFonts w:ascii="Cambria" w:hAnsi="Cambria"/>
          <w:sz w:val="20"/>
          <w:szCs w:val="20"/>
          <w:lang w:val="es-ES_tradnl"/>
        </w:rPr>
        <w:t xml:space="preserve"> </w:t>
      </w:r>
    </w:p>
    <w:p w14:paraId="0B46318E" w14:textId="0F7B486D" w:rsidR="00E50591" w:rsidRDefault="00E422CF" w:rsidP="00244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E3921">
        <w:rPr>
          <w:rFonts w:ascii="Cambria" w:hAnsi="Cambria"/>
          <w:sz w:val="20"/>
          <w:szCs w:val="20"/>
          <w:lang w:val="es-AR"/>
        </w:rPr>
        <w:t>Al respecto, explica que, tras la realización de distintas diligencias, el</w:t>
      </w:r>
      <w:r w:rsidRPr="004A6F4C">
        <w:rPr>
          <w:rFonts w:ascii="Cambria" w:hAnsi="Cambria"/>
          <w:color w:val="FF0000"/>
          <w:sz w:val="20"/>
          <w:szCs w:val="20"/>
          <w:lang w:val="es-AR"/>
        </w:rPr>
        <w:t xml:space="preserve"> </w:t>
      </w:r>
      <w:r>
        <w:rPr>
          <w:rFonts w:ascii="Cambria" w:hAnsi="Cambria"/>
          <w:sz w:val="20"/>
          <w:szCs w:val="20"/>
          <w:lang w:val="es-AR"/>
        </w:rPr>
        <w:t>30</w:t>
      </w:r>
      <w:r w:rsidRPr="00DA1923">
        <w:rPr>
          <w:rFonts w:ascii="Cambria" w:hAnsi="Cambria"/>
          <w:sz w:val="20"/>
          <w:szCs w:val="20"/>
          <w:lang w:val="es-AR"/>
        </w:rPr>
        <w:t xml:space="preserve"> de </w:t>
      </w:r>
      <w:r>
        <w:rPr>
          <w:rFonts w:ascii="Cambria" w:hAnsi="Cambria"/>
          <w:sz w:val="20"/>
          <w:szCs w:val="20"/>
          <w:lang w:val="es-AR"/>
        </w:rPr>
        <w:t>abril</w:t>
      </w:r>
      <w:r w:rsidRPr="00DA1923">
        <w:rPr>
          <w:rFonts w:ascii="Cambria" w:hAnsi="Cambria"/>
          <w:sz w:val="20"/>
          <w:szCs w:val="20"/>
          <w:lang w:val="es-AR"/>
        </w:rPr>
        <w:t xml:space="preserve"> de 200</w:t>
      </w:r>
      <w:r>
        <w:rPr>
          <w:rFonts w:ascii="Cambria" w:hAnsi="Cambria"/>
          <w:sz w:val="20"/>
          <w:szCs w:val="20"/>
          <w:lang w:val="es-AR"/>
        </w:rPr>
        <w:t>8</w:t>
      </w:r>
      <w:r w:rsidRPr="00DA1923">
        <w:rPr>
          <w:rFonts w:ascii="Cambria" w:hAnsi="Cambria"/>
          <w:sz w:val="20"/>
          <w:szCs w:val="20"/>
          <w:lang w:val="es-AR"/>
        </w:rPr>
        <w:t xml:space="preserve"> el Tribunal </w:t>
      </w:r>
      <w:r>
        <w:rPr>
          <w:rFonts w:ascii="Cambria" w:hAnsi="Cambria"/>
          <w:sz w:val="20"/>
          <w:szCs w:val="20"/>
          <w:lang w:val="es-AR"/>
        </w:rPr>
        <w:t>de Juicio del Segundo Circuito Judicial de San José, mediante la sentencia</w:t>
      </w:r>
      <w:r w:rsidR="00E50591">
        <w:rPr>
          <w:rFonts w:ascii="Cambria" w:hAnsi="Cambria"/>
          <w:sz w:val="20"/>
          <w:szCs w:val="20"/>
          <w:lang w:val="es-AR"/>
        </w:rPr>
        <w:t xml:space="preserve"> 04-005374-0647, </w:t>
      </w:r>
      <w:r>
        <w:rPr>
          <w:rFonts w:ascii="Cambria" w:hAnsi="Cambria"/>
          <w:sz w:val="20"/>
          <w:szCs w:val="20"/>
          <w:lang w:val="es-AR"/>
        </w:rPr>
        <w:t>condenó a la presunta víctima</w:t>
      </w:r>
      <w:r w:rsidR="00E50591">
        <w:rPr>
          <w:rFonts w:ascii="Cambria" w:hAnsi="Cambria"/>
          <w:sz w:val="20"/>
          <w:szCs w:val="20"/>
          <w:lang w:val="es-AR"/>
        </w:rPr>
        <w:t xml:space="preserve"> </w:t>
      </w:r>
      <w:r>
        <w:rPr>
          <w:rFonts w:ascii="Cambria" w:hAnsi="Cambria"/>
          <w:sz w:val="20"/>
          <w:szCs w:val="20"/>
          <w:lang w:val="es-AR"/>
        </w:rPr>
        <w:t xml:space="preserve">a </w:t>
      </w:r>
      <w:r w:rsidR="00E50591">
        <w:rPr>
          <w:rFonts w:ascii="Cambria" w:hAnsi="Cambria"/>
          <w:sz w:val="20"/>
          <w:szCs w:val="20"/>
          <w:lang w:val="es-AR"/>
        </w:rPr>
        <w:t>veintitrés</w:t>
      </w:r>
      <w:r>
        <w:rPr>
          <w:rFonts w:ascii="Cambria" w:hAnsi="Cambria"/>
          <w:sz w:val="20"/>
          <w:szCs w:val="20"/>
          <w:lang w:val="es-AR"/>
        </w:rPr>
        <w:t xml:space="preserve"> años de pena privativa de libertad por la comisión de</w:t>
      </w:r>
      <w:r w:rsidR="00E50591">
        <w:rPr>
          <w:rFonts w:ascii="Cambria" w:hAnsi="Cambria"/>
          <w:sz w:val="20"/>
          <w:szCs w:val="20"/>
          <w:lang w:val="es-AR"/>
        </w:rPr>
        <w:t xml:space="preserve"> </w:t>
      </w:r>
      <w:r>
        <w:rPr>
          <w:rFonts w:ascii="Cambria" w:hAnsi="Cambria"/>
          <w:sz w:val="20"/>
          <w:szCs w:val="20"/>
          <w:lang w:val="es-AR"/>
        </w:rPr>
        <w:t>l</w:t>
      </w:r>
      <w:r w:rsidR="00E50591">
        <w:rPr>
          <w:rFonts w:ascii="Cambria" w:hAnsi="Cambria"/>
          <w:sz w:val="20"/>
          <w:szCs w:val="20"/>
          <w:lang w:val="es-AR"/>
        </w:rPr>
        <w:t>os</w:t>
      </w:r>
      <w:r>
        <w:rPr>
          <w:rFonts w:ascii="Cambria" w:hAnsi="Cambria"/>
          <w:sz w:val="20"/>
          <w:szCs w:val="20"/>
          <w:lang w:val="es-AR"/>
        </w:rPr>
        <w:t xml:space="preserve"> delito</w:t>
      </w:r>
      <w:r w:rsidR="00E50591">
        <w:rPr>
          <w:rFonts w:ascii="Cambria" w:hAnsi="Cambria"/>
          <w:sz w:val="20"/>
          <w:szCs w:val="20"/>
          <w:lang w:val="es-AR"/>
        </w:rPr>
        <w:t>s de esta</w:t>
      </w:r>
      <w:r w:rsidR="002D32BF">
        <w:rPr>
          <w:rFonts w:ascii="Cambria" w:hAnsi="Cambria"/>
          <w:sz w:val="20"/>
          <w:szCs w:val="20"/>
          <w:lang w:val="es-AR"/>
        </w:rPr>
        <w:t>fa</w:t>
      </w:r>
      <w:r w:rsidR="00E50591">
        <w:rPr>
          <w:rFonts w:ascii="Cambria" w:hAnsi="Cambria"/>
          <w:sz w:val="20"/>
          <w:szCs w:val="20"/>
          <w:lang w:val="es-AR"/>
        </w:rPr>
        <w:t xml:space="preserve"> mayor agravada, administración fraudulenta de mayor cuantía, uso de información privilegiada y suministro de información bancaria</w:t>
      </w:r>
      <w:r w:rsidR="00E50591" w:rsidRPr="002447DB">
        <w:rPr>
          <w:rFonts w:ascii="Cambria" w:hAnsi="Cambria"/>
          <w:sz w:val="20"/>
          <w:szCs w:val="20"/>
          <w:lang w:val="es-AR"/>
        </w:rPr>
        <w:t>.</w:t>
      </w:r>
    </w:p>
    <w:p w14:paraId="0AD7434C" w14:textId="1402B0C5" w:rsidR="002447DB" w:rsidRDefault="002447DB" w:rsidP="00792A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66F05">
        <w:rPr>
          <w:rFonts w:ascii="Cambria" w:hAnsi="Cambria"/>
          <w:sz w:val="20"/>
          <w:szCs w:val="20"/>
          <w:lang w:val="es-AR"/>
        </w:rPr>
        <w:t xml:space="preserve">Afirma que el </w:t>
      </w:r>
      <w:r w:rsidR="002D32BF">
        <w:rPr>
          <w:rFonts w:ascii="Cambria" w:hAnsi="Cambria"/>
          <w:sz w:val="20"/>
          <w:szCs w:val="20"/>
          <w:lang w:val="es-AR"/>
        </w:rPr>
        <w:t xml:space="preserve">señor </w:t>
      </w:r>
      <w:r w:rsidRPr="00266F05">
        <w:rPr>
          <w:rFonts w:ascii="Cambria" w:hAnsi="Cambria"/>
          <w:sz w:val="20"/>
          <w:szCs w:val="20"/>
          <w:lang w:val="es-AR"/>
        </w:rPr>
        <w:t xml:space="preserve">Alvarado Moya interpuso </w:t>
      </w:r>
      <w:r w:rsidR="002D32BF">
        <w:rPr>
          <w:rFonts w:ascii="Cambria" w:hAnsi="Cambria"/>
          <w:sz w:val="20"/>
          <w:szCs w:val="20"/>
          <w:lang w:val="es-AR"/>
        </w:rPr>
        <w:t xml:space="preserve">un </w:t>
      </w:r>
      <w:r w:rsidRPr="00266F05">
        <w:rPr>
          <w:rFonts w:ascii="Cambria" w:hAnsi="Cambria"/>
          <w:sz w:val="20"/>
          <w:szCs w:val="20"/>
          <w:lang w:val="es-AR"/>
        </w:rPr>
        <w:t>recurso de casación contra esta decisión, arguyendo</w:t>
      </w:r>
      <w:r w:rsidR="0029738A" w:rsidRPr="00266F05">
        <w:rPr>
          <w:rFonts w:ascii="Cambria" w:hAnsi="Cambria"/>
          <w:sz w:val="20"/>
          <w:szCs w:val="20"/>
          <w:lang w:val="es-AR"/>
        </w:rPr>
        <w:t>, principalmente, la falta de autenticidad, idoneidad y suficiencia de las pruebas utilizadas para fundamentar la condena</w:t>
      </w:r>
      <w:r w:rsidR="00266F05" w:rsidRPr="00266F05">
        <w:rPr>
          <w:rFonts w:ascii="Cambria" w:hAnsi="Cambria"/>
          <w:sz w:val="20"/>
          <w:szCs w:val="20"/>
          <w:lang w:val="es-AR"/>
        </w:rPr>
        <w:t>.</w:t>
      </w:r>
      <w:r w:rsidR="00266F05">
        <w:rPr>
          <w:rFonts w:ascii="Cambria" w:hAnsi="Cambria"/>
          <w:sz w:val="20"/>
          <w:szCs w:val="20"/>
          <w:lang w:val="es-AR"/>
        </w:rPr>
        <w:t xml:space="preserve"> </w:t>
      </w:r>
      <w:r w:rsidR="002D32BF">
        <w:rPr>
          <w:rFonts w:ascii="Cambria" w:hAnsi="Cambria"/>
          <w:sz w:val="20"/>
          <w:szCs w:val="20"/>
          <w:lang w:val="es-AR"/>
        </w:rPr>
        <w:t>Asimismo</w:t>
      </w:r>
      <w:r w:rsidR="00792A9E">
        <w:rPr>
          <w:rFonts w:ascii="Cambria" w:hAnsi="Cambria"/>
          <w:sz w:val="20"/>
          <w:szCs w:val="20"/>
          <w:lang w:val="es-AR"/>
        </w:rPr>
        <w:t>, refiere que la presunta víctima aportó nuev</w:t>
      </w:r>
      <w:r w:rsidR="002D32BF">
        <w:rPr>
          <w:rFonts w:ascii="Cambria" w:hAnsi="Cambria"/>
          <w:sz w:val="20"/>
          <w:szCs w:val="20"/>
          <w:lang w:val="es-AR"/>
        </w:rPr>
        <w:t>o</w:t>
      </w:r>
      <w:r w:rsidR="00792A9E">
        <w:rPr>
          <w:rFonts w:ascii="Cambria" w:hAnsi="Cambria"/>
          <w:sz w:val="20"/>
          <w:szCs w:val="20"/>
          <w:lang w:val="es-AR"/>
        </w:rPr>
        <w:t xml:space="preserve">s </w:t>
      </w:r>
      <w:r w:rsidR="002D32BF">
        <w:rPr>
          <w:rFonts w:ascii="Cambria" w:hAnsi="Cambria"/>
          <w:sz w:val="20"/>
          <w:szCs w:val="20"/>
          <w:lang w:val="es-AR"/>
        </w:rPr>
        <w:t>elementos probatorios</w:t>
      </w:r>
      <w:r w:rsidR="00792A9E">
        <w:rPr>
          <w:rFonts w:ascii="Cambria" w:hAnsi="Cambria"/>
          <w:sz w:val="20"/>
          <w:szCs w:val="20"/>
          <w:lang w:val="es-AR"/>
        </w:rPr>
        <w:t xml:space="preserve"> y reiteró </w:t>
      </w:r>
      <w:r w:rsidR="00CB3ADC">
        <w:rPr>
          <w:rFonts w:ascii="Cambria" w:hAnsi="Cambria"/>
          <w:sz w:val="20"/>
          <w:szCs w:val="20"/>
          <w:lang w:val="es-AR"/>
        </w:rPr>
        <w:t xml:space="preserve">sus </w:t>
      </w:r>
      <w:r w:rsidR="00792A9E">
        <w:rPr>
          <w:rFonts w:ascii="Cambria" w:hAnsi="Cambria"/>
          <w:sz w:val="20"/>
          <w:szCs w:val="20"/>
          <w:lang w:val="es-AR"/>
        </w:rPr>
        <w:t xml:space="preserve">alegatos sobre algunos medios probatorios actuados en primera instancia. </w:t>
      </w:r>
      <w:r w:rsidRPr="00792A9E">
        <w:rPr>
          <w:rFonts w:ascii="Cambria" w:hAnsi="Cambria"/>
          <w:sz w:val="20"/>
          <w:szCs w:val="20"/>
          <w:lang w:val="es-AR"/>
        </w:rPr>
        <w:t xml:space="preserve">No obstante, </w:t>
      </w:r>
      <w:r w:rsidR="00792A9E">
        <w:rPr>
          <w:rFonts w:ascii="Cambria" w:hAnsi="Cambria"/>
          <w:sz w:val="20"/>
          <w:szCs w:val="20"/>
          <w:lang w:val="es-AR"/>
        </w:rPr>
        <w:t xml:space="preserve">denuncia que </w:t>
      </w:r>
      <w:r w:rsidRPr="00792A9E">
        <w:rPr>
          <w:rFonts w:ascii="Cambria" w:hAnsi="Cambria"/>
          <w:sz w:val="20"/>
          <w:szCs w:val="20"/>
          <w:lang w:val="es-AR"/>
        </w:rPr>
        <w:t xml:space="preserve">el </w:t>
      </w:r>
      <w:r w:rsidR="00492607" w:rsidRPr="00792A9E">
        <w:rPr>
          <w:rFonts w:ascii="Cambria" w:hAnsi="Cambria"/>
          <w:sz w:val="20"/>
          <w:szCs w:val="20"/>
          <w:lang w:val="es-AR"/>
        </w:rPr>
        <w:t>9 de julio de 2009</w:t>
      </w:r>
      <w:r w:rsidRPr="00792A9E">
        <w:rPr>
          <w:rFonts w:ascii="Cambria" w:hAnsi="Cambria"/>
          <w:sz w:val="20"/>
          <w:szCs w:val="20"/>
          <w:lang w:val="es-AR"/>
        </w:rPr>
        <w:t xml:space="preserve"> la Sala Tercera de la Corte Suprema</w:t>
      </w:r>
      <w:r w:rsidR="000B49AA">
        <w:rPr>
          <w:rFonts w:ascii="Cambria" w:hAnsi="Cambria"/>
          <w:sz w:val="20"/>
          <w:szCs w:val="20"/>
          <w:lang w:val="es-AR"/>
        </w:rPr>
        <w:t xml:space="preserve"> de Justicia</w:t>
      </w:r>
      <w:r w:rsidRPr="00792A9E">
        <w:rPr>
          <w:rFonts w:ascii="Cambria" w:hAnsi="Cambria"/>
          <w:sz w:val="20"/>
          <w:szCs w:val="20"/>
          <w:lang w:val="es-AR"/>
        </w:rPr>
        <w:t xml:space="preserve"> rechazó dicha acción, </w:t>
      </w:r>
      <w:r w:rsidR="00792A9E">
        <w:rPr>
          <w:rFonts w:ascii="Cambria" w:hAnsi="Cambria"/>
          <w:sz w:val="20"/>
          <w:szCs w:val="20"/>
          <w:lang w:val="es-AR"/>
        </w:rPr>
        <w:t>al considerar que la sentencia estuvo adecuadamente motiva</w:t>
      </w:r>
      <w:r w:rsidR="00DB79EC">
        <w:rPr>
          <w:rFonts w:ascii="Cambria" w:hAnsi="Cambria"/>
          <w:sz w:val="20"/>
          <w:szCs w:val="20"/>
          <w:lang w:val="es-AR"/>
        </w:rPr>
        <w:t>da</w:t>
      </w:r>
      <w:r w:rsidR="00792A9E">
        <w:rPr>
          <w:rFonts w:ascii="Cambria" w:hAnsi="Cambria"/>
          <w:sz w:val="20"/>
          <w:szCs w:val="20"/>
          <w:lang w:val="es-AR"/>
        </w:rPr>
        <w:t xml:space="preserve">. Para llegar a tal conclusión, resalta que el citado organismo desestimó toda la prueba testimonial y solo aceptó </w:t>
      </w:r>
      <w:r w:rsidR="00CB3ADC">
        <w:rPr>
          <w:rFonts w:ascii="Cambria" w:hAnsi="Cambria"/>
          <w:sz w:val="20"/>
          <w:szCs w:val="20"/>
          <w:lang w:val="es-AR"/>
        </w:rPr>
        <w:t xml:space="preserve">para el análisis </w:t>
      </w:r>
      <w:r w:rsidR="00792A9E">
        <w:rPr>
          <w:rFonts w:ascii="Cambria" w:hAnsi="Cambria"/>
          <w:sz w:val="20"/>
          <w:szCs w:val="20"/>
          <w:lang w:val="es-AR"/>
        </w:rPr>
        <w:t>unos pocos documentos</w:t>
      </w:r>
      <w:r w:rsidR="00CB3ADC">
        <w:rPr>
          <w:rFonts w:ascii="Cambria" w:hAnsi="Cambria"/>
          <w:sz w:val="20"/>
          <w:szCs w:val="20"/>
          <w:lang w:val="es-AR"/>
        </w:rPr>
        <w:t xml:space="preserve"> escritos</w:t>
      </w:r>
      <w:r w:rsidR="00792A9E">
        <w:rPr>
          <w:rFonts w:ascii="Cambria" w:hAnsi="Cambria"/>
          <w:sz w:val="20"/>
          <w:szCs w:val="20"/>
          <w:lang w:val="es-AR"/>
        </w:rPr>
        <w:t xml:space="preserve">. </w:t>
      </w:r>
      <w:r w:rsidR="00266F05" w:rsidRPr="00792A9E">
        <w:rPr>
          <w:rFonts w:ascii="Cambria" w:hAnsi="Cambria"/>
          <w:sz w:val="20"/>
          <w:szCs w:val="20"/>
          <w:lang w:val="es-AR"/>
        </w:rPr>
        <w:t>Detalla que</w:t>
      </w:r>
      <w:r w:rsidR="00197D85">
        <w:rPr>
          <w:rFonts w:ascii="Cambria" w:hAnsi="Cambria"/>
          <w:sz w:val="20"/>
          <w:szCs w:val="20"/>
          <w:lang w:val="es-AR"/>
        </w:rPr>
        <w:t>,</w:t>
      </w:r>
      <w:r w:rsidR="00266F05" w:rsidRPr="00792A9E">
        <w:rPr>
          <w:rFonts w:ascii="Cambria" w:hAnsi="Cambria"/>
          <w:sz w:val="20"/>
          <w:szCs w:val="20"/>
          <w:lang w:val="es-AR"/>
        </w:rPr>
        <w:t xml:space="preserve"> el </w:t>
      </w:r>
      <w:r w:rsidR="00197D85">
        <w:rPr>
          <w:rFonts w:ascii="Cambria" w:hAnsi="Cambria"/>
          <w:sz w:val="20"/>
          <w:szCs w:val="20"/>
          <w:lang w:val="es-AR"/>
        </w:rPr>
        <w:t>mismo día,</w:t>
      </w:r>
      <w:r w:rsidR="00266F05" w:rsidRPr="00792A9E">
        <w:rPr>
          <w:rFonts w:ascii="Cambria" w:hAnsi="Cambria"/>
          <w:sz w:val="20"/>
          <w:szCs w:val="20"/>
          <w:lang w:val="es-AR"/>
        </w:rPr>
        <w:t xml:space="preserve"> el representante de la presunta víctima presentó un recurso de aclaración y adición contra esta decisión, </w:t>
      </w:r>
      <w:r w:rsidR="0042161A" w:rsidRPr="00792A9E">
        <w:rPr>
          <w:rFonts w:ascii="Cambria" w:hAnsi="Cambria"/>
          <w:sz w:val="20"/>
          <w:szCs w:val="20"/>
          <w:lang w:val="es-AR"/>
        </w:rPr>
        <w:t>pero</w:t>
      </w:r>
      <w:r w:rsidR="00266F05" w:rsidRPr="00792A9E">
        <w:rPr>
          <w:rFonts w:ascii="Cambria" w:hAnsi="Cambria"/>
          <w:sz w:val="20"/>
          <w:szCs w:val="20"/>
          <w:lang w:val="es-AR"/>
        </w:rPr>
        <w:t xml:space="preserve"> el 2 de octubre de 2009 la citada Sala Tercera</w:t>
      </w:r>
      <w:r w:rsidR="0042161A" w:rsidRPr="00792A9E">
        <w:rPr>
          <w:rFonts w:ascii="Cambria" w:hAnsi="Cambria"/>
          <w:sz w:val="20"/>
          <w:szCs w:val="20"/>
          <w:lang w:val="es-AR"/>
        </w:rPr>
        <w:t xml:space="preserve"> desestimó tal acción, argumentando que no resultaba necesario aclarar ningún punto de la resolución de casación. </w:t>
      </w:r>
    </w:p>
    <w:p w14:paraId="2E253416" w14:textId="4348CEE1" w:rsidR="00D754C0" w:rsidRPr="00792A9E" w:rsidRDefault="00D754C0" w:rsidP="00792A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este punto, la parte peticionaria </w:t>
      </w:r>
      <w:r w:rsidR="00FB17FF">
        <w:rPr>
          <w:rFonts w:ascii="Cambria" w:hAnsi="Cambria"/>
          <w:sz w:val="20"/>
          <w:szCs w:val="20"/>
          <w:lang w:val="es-AR"/>
        </w:rPr>
        <w:t>destaca</w:t>
      </w:r>
      <w:r>
        <w:rPr>
          <w:rFonts w:ascii="Cambria" w:hAnsi="Cambria"/>
          <w:sz w:val="20"/>
          <w:szCs w:val="20"/>
          <w:lang w:val="es-AR"/>
        </w:rPr>
        <w:t xml:space="preserve"> que, contrario a lo sostenido por Costa Rica, no resultaba razonable presentar el recurso de revisión regulado</w:t>
      </w:r>
      <w:r w:rsidR="00B8099B">
        <w:rPr>
          <w:rFonts w:ascii="Cambria" w:hAnsi="Cambria"/>
          <w:sz w:val="20"/>
          <w:szCs w:val="20"/>
          <w:lang w:val="es-AR"/>
        </w:rPr>
        <w:t xml:space="preserve"> en el Transitorio </w:t>
      </w:r>
      <w:r w:rsidR="00FA255D">
        <w:rPr>
          <w:rFonts w:ascii="Cambria" w:hAnsi="Cambria"/>
          <w:sz w:val="20"/>
          <w:szCs w:val="20"/>
          <w:lang w:val="es-AR"/>
        </w:rPr>
        <w:t>I</w:t>
      </w:r>
      <w:r w:rsidR="00B8099B">
        <w:rPr>
          <w:rFonts w:ascii="Cambria" w:hAnsi="Cambria"/>
          <w:sz w:val="20"/>
          <w:szCs w:val="20"/>
          <w:lang w:val="es-AR"/>
        </w:rPr>
        <w:t xml:space="preserve"> de la </w:t>
      </w:r>
      <w:r w:rsidR="00B8099B" w:rsidRPr="00921C22">
        <w:rPr>
          <w:rFonts w:ascii="Cambria" w:hAnsi="Cambria"/>
          <w:sz w:val="20"/>
          <w:szCs w:val="20"/>
          <w:lang w:val="es-ES_tradnl"/>
        </w:rPr>
        <w:t>Ley No. 8503</w:t>
      </w:r>
      <w:r w:rsidR="00B8099B">
        <w:rPr>
          <w:rFonts w:ascii="Cambria" w:hAnsi="Cambria"/>
          <w:sz w:val="20"/>
          <w:szCs w:val="20"/>
          <w:lang w:val="es-ES_tradnl"/>
        </w:rPr>
        <w:t xml:space="preserve">, dado que dicha normativa </w:t>
      </w:r>
      <w:r w:rsidR="00FA255D">
        <w:rPr>
          <w:rFonts w:ascii="Cambria" w:hAnsi="Cambria"/>
          <w:sz w:val="20"/>
          <w:szCs w:val="20"/>
          <w:lang w:val="es-ES_tradnl"/>
        </w:rPr>
        <w:t>establece</w:t>
      </w:r>
      <w:r w:rsidR="00B8099B">
        <w:rPr>
          <w:rFonts w:ascii="Cambria" w:hAnsi="Cambria"/>
          <w:sz w:val="20"/>
          <w:szCs w:val="20"/>
          <w:lang w:val="es-ES_tradnl"/>
        </w:rPr>
        <w:t xml:space="preserve"> que no resulta admisible plantear “</w:t>
      </w:r>
      <w:r w:rsidR="00B8099B" w:rsidRPr="00FA255D">
        <w:rPr>
          <w:rFonts w:ascii="Cambria" w:hAnsi="Cambria"/>
          <w:i/>
          <w:iCs/>
          <w:sz w:val="20"/>
          <w:szCs w:val="20"/>
          <w:lang w:val="es-ES_tradnl"/>
        </w:rPr>
        <w:t>por vía de revisión, asuntos que ya fueron</w:t>
      </w:r>
      <w:r w:rsidR="00147694">
        <w:rPr>
          <w:rFonts w:ascii="Cambria" w:hAnsi="Cambria"/>
          <w:i/>
          <w:iCs/>
          <w:sz w:val="20"/>
          <w:szCs w:val="20"/>
          <w:lang w:val="es-ES_tradnl"/>
        </w:rPr>
        <w:t xml:space="preserve"> discutidos </w:t>
      </w:r>
      <w:r w:rsidR="00333C18">
        <w:rPr>
          <w:rFonts w:ascii="Cambria" w:hAnsi="Cambria"/>
          <w:i/>
          <w:iCs/>
          <w:sz w:val="20"/>
          <w:szCs w:val="20"/>
          <w:lang w:val="es-ES_tradnl"/>
        </w:rPr>
        <w:t>y resueltos en casación, salvo que se fundamenten en nuevas</w:t>
      </w:r>
      <w:r w:rsidR="00B8099B" w:rsidRPr="00FA255D">
        <w:rPr>
          <w:rFonts w:ascii="Cambria" w:hAnsi="Cambria"/>
          <w:i/>
          <w:iCs/>
          <w:sz w:val="20"/>
          <w:szCs w:val="20"/>
          <w:lang w:val="es-ES_tradnl"/>
        </w:rPr>
        <w:t xml:space="preserve"> razones o nuevos elementos de prueba</w:t>
      </w:r>
      <w:r w:rsidR="00B8099B">
        <w:rPr>
          <w:rFonts w:ascii="Cambria" w:hAnsi="Cambria"/>
          <w:sz w:val="20"/>
          <w:szCs w:val="20"/>
          <w:lang w:val="es-ES_tradnl"/>
        </w:rPr>
        <w:t>”. A juicio del peticionario, esto demuestra que la revisión era una vía restringida, dado que solo podían conocerse aspectos de hecho y de derecho que no fueron posibles de ser conocidos en la vía de casación. Por ende, dadas las características del caso de la presunta víctima, en el que hubo alegatos y ofrecimientos de prueba en casación que fueron rechazados, no era resultaba posible obtener algo distinto en vía de revisión.</w:t>
      </w:r>
    </w:p>
    <w:p w14:paraId="64844014" w14:textId="11EC323E" w:rsidR="00AF76C1" w:rsidRDefault="00B8099B" w:rsidP="00AF76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Sin perjuicio de ello</w:t>
      </w:r>
      <w:r w:rsidR="000A6949" w:rsidRPr="00980C07">
        <w:rPr>
          <w:rFonts w:ascii="Cambria" w:hAnsi="Cambria"/>
          <w:sz w:val="20"/>
          <w:szCs w:val="20"/>
          <w:lang w:val="es-AR"/>
        </w:rPr>
        <w:t xml:space="preserve">, explica que </w:t>
      </w:r>
      <w:r w:rsidR="00980C07" w:rsidRPr="00980C07">
        <w:rPr>
          <w:rFonts w:ascii="Cambria" w:hAnsi="Cambria"/>
          <w:sz w:val="20"/>
          <w:szCs w:val="20"/>
          <w:lang w:val="es-AR"/>
        </w:rPr>
        <w:t>el 26</w:t>
      </w:r>
      <w:r w:rsidR="00980C07">
        <w:rPr>
          <w:rFonts w:ascii="Cambria" w:hAnsi="Cambria"/>
          <w:sz w:val="20"/>
          <w:szCs w:val="20"/>
          <w:lang w:val="es-AR"/>
        </w:rPr>
        <w:t xml:space="preserve"> de noviembre de 2010 la representación del señor Alvarado Moya</w:t>
      </w:r>
      <w:r w:rsidR="00792A9E">
        <w:rPr>
          <w:rFonts w:ascii="Cambria" w:hAnsi="Cambria"/>
          <w:sz w:val="20"/>
          <w:szCs w:val="20"/>
          <w:lang w:val="es-AR"/>
        </w:rPr>
        <w:t xml:space="preserve"> presentó un recurso de revisión, arguyendo </w:t>
      </w:r>
      <w:r w:rsidR="00AF76C1">
        <w:rPr>
          <w:rFonts w:ascii="Cambria" w:hAnsi="Cambria"/>
          <w:sz w:val="20"/>
          <w:szCs w:val="20"/>
          <w:lang w:val="es-AR"/>
        </w:rPr>
        <w:t xml:space="preserve">la falta de valoración de los medios de prueba aportados en vía de casación e incluyendo </w:t>
      </w:r>
      <w:r w:rsidR="00792A9E">
        <w:rPr>
          <w:rFonts w:ascii="Cambria" w:hAnsi="Cambria"/>
          <w:sz w:val="20"/>
          <w:szCs w:val="20"/>
          <w:lang w:val="es-AR"/>
        </w:rPr>
        <w:t>como parte de sus fundamento</w:t>
      </w:r>
      <w:r w:rsidR="00AF76C1">
        <w:rPr>
          <w:rFonts w:ascii="Cambria" w:hAnsi="Cambria"/>
          <w:sz w:val="20"/>
          <w:szCs w:val="20"/>
          <w:lang w:val="es-AR"/>
        </w:rPr>
        <w:t>s la aprobación</w:t>
      </w:r>
      <w:r w:rsidR="00792A9E">
        <w:rPr>
          <w:rFonts w:ascii="Cambria" w:hAnsi="Cambria"/>
          <w:sz w:val="20"/>
          <w:szCs w:val="20"/>
          <w:lang w:val="es-AR"/>
        </w:rPr>
        <w:t xml:space="preserve"> </w:t>
      </w:r>
      <w:r w:rsidR="00AF76C1">
        <w:rPr>
          <w:rFonts w:ascii="Cambria" w:hAnsi="Cambria"/>
          <w:sz w:val="20"/>
          <w:szCs w:val="20"/>
          <w:lang w:val="es-AR"/>
        </w:rPr>
        <w:t>d</w:t>
      </w:r>
      <w:r w:rsidR="00792A9E">
        <w:rPr>
          <w:rFonts w:ascii="Cambria" w:hAnsi="Cambria"/>
          <w:sz w:val="20"/>
          <w:szCs w:val="20"/>
          <w:lang w:val="es-AR"/>
        </w:rPr>
        <w:t>el transitorio III de la Ley 8837.</w:t>
      </w:r>
      <w:r w:rsidR="00AF76C1">
        <w:rPr>
          <w:rFonts w:ascii="Cambria" w:hAnsi="Cambria"/>
          <w:sz w:val="20"/>
          <w:szCs w:val="20"/>
          <w:lang w:val="es-AR"/>
        </w:rPr>
        <w:t xml:space="preserve"> Sin embargo, el 14 de junio de 2013 </w:t>
      </w:r>
      <w:r w:rsidR="00AF76C1" w:rsidRPr="00AF76C1">
        <w:rPr>
          <w:rFonts w:ascii="Cambria" w:hAnsi="Cambria"/>
          <w:sz w:val="20"/>
          <w:szCs w:val="20"/>
          <w:lang w:val="es-AR"/>
        </w:rPr>
        <w:t>la Sala Tercera de la Corte Suprema de Justicia</w:t>
      </w:r>
      <w:r w:rsidR="00AF76C1">
        <w:rPr>
          <w:rFonts w:ascii="Cambria" w:hAnsi="Cambria"/>
          <w:sz w:val="20"/>
          <w:szCs w:val="20"/>
          <w:lang w:val="es-AR"/>
        </w:rPr>
        <w:t xml:space="preserve"> desestimó esta acción,</w:t>
      </w:r>
      <w:r w:rsidR="004A74EC" w:rsidRPr="004A74EC">
        <w:rPr>
          <w:rFonts w:ascii="Cambria" w:hAnsi="Cambria"/>
          <w:sz w:val="20"/>
          <w:szCs w:val="20"/>
          <w:lang w:val="es-ES_tradnl"/>
        </w:rPr>
        <w:t xml:space="preserve"> </w:t>
      </w:r>
      <w:r w:rsidR="004A74EC">
        <w:rPr>
          <w:rFonts w:ascii="Cambria" w:hAnsi="Cambria"/>
          <w:sz w:val="20"/>
          <w:szCs w:val="20"/>
          <w:lang w:val="es-ES_tradnl"/>
        </w:rPr>
        <w:t xml:space="preserve">argumentando principalmente que el artículo 411 del Código Procesal Penal impide revisar </w:t>
      </w:r>
      <w:r w:rsidR="0078001A">
        <w:rPr>
          <w:rFonts w:ascii="Cambria" w:hAnsi="Cambria"/>
          <w:sz w:val="20"/>
          <w:szCs w:val="20"/>
          <w:lang w:val="es-ES_tradnl"/>
        </w:rPr>
        <w:t xml:space="preserve">los </w:t>
      </w:r>
      <w:r w:rsidR="004A74EC">
        <w:rPr>
          <w:rFonts w:ascii="Cambria" w:hAnsi="Cambria"/>
          <w:sz w:val="20"/>
          <w:szCs w:val="20"/>
          <w:lang w:val="es-ES_tradnl"/>
        </w:rPr>
        <w:t xml:space="preserve">motivos que ya fueron discutidos en </w:t>
      </w:r>
      <w:r w:rsidR="0078001A">
        <w:rPr>
          <w:rFonts w:ascii="Cambria" w:hAnsi="Cambria"/>
          <w:sz w:val="20"/>
          <w:szCs w:val="20"/>
          <w:lang w:val="es-ES_tradnl"/>
        </w:rPr>
        <w:t>sede de c</w:t>
      </w:r>
      <w:r w:rsidR="004A74EC">
        <w:rPr>
          <w:rFonts w:ascii="Cambria" w:hAnsi="Cambria"/>
          <w:sz w:val="20"/>
          <w:szCs w:val="20"/>
          <w:lang w:val="es-ES_tradnl"/>
        </w:rPr>
        <w:t xml:space="preserve">asación y reiterando que la prueba ofrecida no interesaba ni era novedosa. </w:t>
      </w:r>
      <w:r w:rsidR="00AF76C1">
        <w:rPr>
          <w:rFonts w:ascii="Cambria" w:hAnsi="Cambria"/>
          <w:sz w:val="20"/>
          <w:szCs w:val="20"/>
          <w:lang w:val="es-AR"/>
        </w:rPr>
        <w:t xml:space="preserve"> </w:t>
      </w:r>
      <w:r w:rsidR="004A74EC">
        <w:rPr>
          <w:rFonts w:ascii="Cambria" w:hAnsi="Cambria"/>
          <w:sz w:val="20"/>
          <w:szCs w:val="20"/>
          <w:lang w:val="es-AR"/>
        </w:rPr>
        <w:t xml:space="preserve">A modo de ejemplo, el peticionario cita </w:t>
      </w:r>
      <w:r w:rsidR="00432958">
        <w:rPr>
          <w:rFonts w:ascii="Cambria" w:hAnsi="Cambria"/>
          <w:sz w:val="20"/>
          <w:szCs w:val="20"/>
          <w:lang w:val="es-AR"/>
        </w:rPr>
        <w:t xml:space="preserve">el siguiente argumento </w:t>
      </w:r>
      <w:r w:rsidR="004A74EC">
        <w:rPr>
          <w:rFonts w:ascii="Cambria" w:hAnsi="Cambria"/>
          <w:sz w:val="20"/>
          <w:szCs w:val="20"/>
          <w:lang w:val="es-AR"/>
        </w:rPr>
        <w:t>utilizad</w:t>
      </w:r>
      <w:r w:rsidR="00831BF3">
        <w:rPr>
          <w:rFonts w:ascii="Cambria" w:hAnsi="Cambria"/>
          <w:sz w:val="20"/>
          <w:szCs w:val="20"/>
          <w:lang w:val="es-AR"/>
        </w:rPr>
        <w:t>o</w:t>
      </w:r>
      <w:r w:rsidR="004A74EC">
        <w:rPr>
          <w:rFonts w:ascii="Cambria" w:hAnsi="Cambria"/>
          <w:sz w:val="20"/>
          <w:szCs w:val="20"/>
          <w:lang w:val="es-AR"/>
        </w:rPr>
        <w:t xml:space="preserve"> por la referida sala:</w:t>
      </w:r>
    </w:p>
    <w:p w14:paraId="014C485E" w14:textId="03779E40" w:rsidR="00AF76C1" w:rsidRPr="00AF76C1" w:rsidRDefault="00AF76C1" w:rsidP="00AF76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AR"/>
        </w:rPr>
      </w:pPr>
      <w:r>
        <w:rPr>
          <w:rFonts w:ascii="Cambria" w:hAnsi="Cambria"/>
          <w:sz w:val="20"/>
          <w:szCs w:val="20"/>
          <w:lang w:val="es-AR"/>
        </w:rPr>
        <w:t xml:space="preserve">Las posibilidades probatorias abiertas por nuestra legislación para esta etapa del proceso no son ilimitadas, sino que conforme a la reforma efectuada en el artículo 449 del Código Procesal Penal por la denominada “Ley de Apertura de Casación Penal”, es preciso que la probanza sea indispensable para acreditar el agravio que se alega o concuerde con aquellos casos en que se admite para la revisión. En el presente caso ninguna de las dos circunstancias concurren, porque el agravio planteada por los petentes </w:t>
      </w:r>
      <w:r w:rsidR="00734BC2">
        <w:rPr>
          <w:rFonts w:ascii="Cambria" w:hAnsi="Cambria"/>
          <w:sz w:val="20"/>
          <w:szCs w:val="20"/>
          <w:lang w:val="es-AR"/>
        </w:rPr>
        <w:t xml:space="preserve">(sic) </w:t>
      </w:r>
      <w:r>
        <w:rPr>
          <w:rFonts w:ascii="Cambria" w:hAnsi="Cambria"/>
          <w:sz w:val="20"/>
          <w:szCs w:val="20"/>
          <w:lang w:val="es-AR"/>
        </w:rPr>
        <w:t xml:space="preserve">puede ser demostrado por vía de la prueba ya evacuada (o incluso corresponden a otro trámite, como podría ser ante el Juez de Ejecución de la Pena en un eventual incidente para tomar las medidas oportunas respecto a la situación del endilgado); y, por otra parte, no son elementos novedosos o que fueran desconocidos al momento del juicio, pese a lo cual no se ofrecieron en su oportunidad. En consecuencia, por no ser indispensables, ni novedosas, ha de rechazarse la recepción de esas deposiciones. </w:t>
      </w:r>
    </w:p>
    <w:p w14:paraId="4A9254DC" w14:textId="5D7F9348" w:rsidR="00EB7726" w:rsidRDefault="00C470C5" w:rsidP="00E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AR"/>
        </w:rPr>
        <w:t>Así, a</w:t>
      </w:r>
      <w:r w:rsidR="006B2524" w:rsidRPr="004923CA">
        <w:rPr>
          <w:rFonts w:ascii="Cambria" w:hAnsi="Cambria"/>
          <w:sz w:val="20"/>
          <w:szCs w:val="20"/>
          <w:lang w:val="es-AR"/>
        </w:rPr>
        <w:t xml:space="preserve"> juicio de la parte peticionaria, </w:t>
      </w:r>
      <w:r>
        <w:rPr>
          <w:rFonts w:ascii="Cambria" w:hAnsi="Cambria"/>
          <w:sz w:val="20"/>
          <w:szCs w:val="20"/>
          <w:lang w:val="es-AR"/>
        </w:rPr>
        <w:t>la situación previamente descrita</w:t>
      </w:r>
      <w:r w:rsidR="006B2524" w:rsidRPr="004923CA">
        <w:rPr>
          <w:rFonts w:ascii="Cambria" w:hAnsi="Cambria"/>
          <w:sz w:val="20"/>
          <w:szCs w:val="20"/>
          <w:lang w:val="es-AR"/>
        </w:rPr>
        <w:t xml:space="preserve"> demuestra que su condena adquirió la calidad de cosa juzgada sin que haya tenido la oportunidad de ejercer su derecho a la revisión del fallo condenatorio. </w:t>
      </w:r>
      <w:r w:rsidR="006B2524">
        <w:rPr>
          <w:rFonts w:ascii="Cambria" w:hAnsi="Cambria"/>
          <w:sz w:val="20"/>
          <w:szCs w:val="20"/>
          <w:lang w:val="es-AR"/>
        </w:rPr>
        <w:t xml:space="preserve">Al respecto, denuncia que, si bien el Estado promulgó </w:t>
      </w:r>
      <w:r w:rsidR="006B2524" w:rsidRPr="00921C22">
        <w:rPr>
          <w:rFonts w:ascii="Cambria" w:hAnsi="Cambria"/>
          <w:sz w:val="20"/>
          <w:szCs w:val="20"/>
          <w:lang w:val="es-ES_tradnl"/>
        </w:rPr>
        <w:t xml:space="preserve">la Ley </w:t>
      </w:r>
      <w:r w:rsidR="006B2524" w:rsidRPr="00DA4F19">
        <w:rPr>
          <w:rFonts w:ascii="Cambria" w:hAnsi="Cambria"/>
          <w:sz w:val="20"/>
          <w:szCs w:val="20"/>
          <w:lang w:val="es-AR"/>
        </w:rPr>
        <w:t>N.º</w:t>
      </w:r>
      <w:r w:rsidR="006B2524" w:rsidRPr="00921C22">
        <w:rPr>
          <w:rFonts w:ascii="Cambria" w:hAnsi="Cambria"/>
          <w:sz w:val="20"/>
          <w:szCs w:val="20"/>
          <w:lang w:val="es-ES_tradnl"/>
        </w:rPr>
        <w:t xml:space="preserve"> 8</w:t>
      </w:r>
      <w:r w:rsidR="006B2524">
        <w:rPr>
          <w:rFonts w:ascii="Cambria" w:hAnsi="Cambria"/>
          <w:sz w:val="20"/>
          <w:szCs w:val="20"/>
          <w:lang w:val="es-ES_tradnl"/>
        </w:rPr>
        <w:t>8</w:t>
      </w:r>
      <w:r w:rsidR="006B2524" w:rsidRPr="00921C22">
        <w:rPr>
          <w:rFonts w:ascii="Cambria" w:hAnsi="Cambria"/>
          <w:sz w:val="20"/>
          <w:szCs w:val="20"/>
          <w:lang w:val="es-ES_tradnl"/>
        </w:rPr>
        <w:t>3</w:t>
      </w:r>
      <w:r w:rsidR="006B2524">
        <w:rPr>
          <w:rFonts w:ascii="Cambria" w:hAnsi="Cambria"/>
          <w:sz w:val="20"/>
          <w:szCs w:val="20"/>
          <w:lang w:val="es-ES_tradnl"/>
        </w:rPr>
        <w:t>7 a efectos de garantizar a las personas el derecho contemplado en el artículo 8.2.h) de la Convención, tal vía no resarció la violación de derechos cometida contra el señor Alvarado Moya, dado qu</w:t>
      </w:r>
      <w:r w:rsidR="00EB7726">
        <w:rPr>
          <w:rFonts w:ascii="Cambria" w:hAnsi="Cambria"/>
          <w:sz w:val="20"/>
          <w:szCs w:val="20"/>
          <w:lang w:val="es-ES_tradnl"/>
        </w:rPr>
        <w:t xml:space="preserve">e la regulación resultó discriminatoria al condicionar su acceso a que previamente se haya cuestionado la vulneración del derecho a </w:t>
      </w:r>
      <w:r w:rsidR="00EB7726">
        <w:rPr>
          <w:rFonts w:ascii="Cambria" w:hAnsi="Cambria"/>
          <w:sz w:val="20"/>
          <w:szCs w:val="20"/>
          <w:lang w:val="es-ES_tradnl"/>
        </w:rPr>
        <w:lastRenderedPageBreak/>
        <w:t>recurrir el fallo mediante un recurso de casación. Asimismo, señala que la citada normativa no permite propiamente la presentación de un recurso de apelación, sino</w:t>
      </w:r>
      <w:r w:rsidR="00F309C5">
        <w:rPr>
          <w:rFonts w:ascii="Cambria" w:hAnsi="Cambria"/>
          <w:sz w:val="20"/>
          <w:szCs w:val="20"/>
          <w:lang w:val="es-ES_tradnl"/>
        </w:rPr>
        <w:t xml:space="preserve"> únicamente</w:t>
      </w:r>
      <w:r w:rsidR="00EB7726">
        <w:rPr>
          <w:rFonts w:ascii="Cambria" w:hAnsi="Cambria"/>
          <w:sz w:val="20"/>
          <w:szCs w:val="20"/>
          <w:lang w:val="es-ES_tradnl"/>
        </w:rPr>
        <w:t xml:space="preserve"> uno de revisión</w:t>
      </w:r>
      <w:r>
        <w:rPr>
          <w:rFonts w:ascii="Cambria" w:hAnsi="Cambria"/>
          <w:sz w:val="20"/>
          <w:szCs w:val="20"/>
          <w:lang w:val="es-ES_tradnl"/>
        </w:rPr>
        <w:t xml:space="preserve">, y que </w:t>
      </w:r>
      <w:r w:rsidR="00F309C5">
        <w:rPr>
          <w:rFonts w:ascii="Cambria" w:hAnsi="Cambria"/>
          <w:sz w:val="20"/>
          <w:szCs w:val="20"/>
          <w:lang w:val="es-ES_tradnl"/>
        </w:rPr>
        <w:t>é</w:t>
      </w:r>
      <w:r>
        <w:rPr>
          <w:rFonts w:ascii="Cambria" w:hAnsi="Cambria"/>
          <w:sz w:val="20"/>
          <w:szCs w:val="20"/>
          <w:lang w:val="es-ES_tradnl"/>
        </w:rPr>
        <w:t xml:space="preserve">sta recién </w:t>
      </w:r>
      <w:r w:rsidR="00AF76C1">
        <w:rPr>
          <w:rFonts w:ascii="Cambria" w:hAnsi="Cambria"/>
          <w:sz w:val="20"/>
          <w:szCs w:val="20"/>
          <w:lang w:val="es-ES_tradnl"/>
        </w:rPr>
        <w:t>entro en vigor</w:t>
      </w:r>
      <w:r>
        <w:rPr>
          <w:rFonts w:ascii="Cambria" w:hAnsi="Cambria"/>
          <w:sz w:val="20"/>
          <w:szCs w:val="20"/>
          <w:lang w:val="es-ES_tradnl"/>
        </w:rPr>
        <w:t xml:space="preserve"> meses después de la presentación de esta petición.</w:t>
      </w:r>
    </w:p>
    <w:p w14:paraId="5DD44E33" w14:textId="19FAF35F" w:rsidR="00303CEB" w:rsidRDefault="00CE3C83" w:rsidP="00E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Asimismo</w:t>
      </w:r>
      <w:r w:rsidR="00303CEB">
        <w:rPr>
          <w:rFonts w:ascii="Cambria" w:hAnsi="Cambria"/>
          <w:sz w:val="20"/>
          <w:szCs w:val="20"/>
          <w:lang w:val="es-ES_tradnl"/>
        </w:rPr>
        <w:t>, denuncia que, toda vez que la presunta víctima tenía cincuenta años al momento de su condena, las autoridades, en la práctica, han decretado que el señor Alvarado Moya pase los dos últimos tercios de su vida en la cárcel, lo que constituye un trato cruel</w:t>
      </w:r>
      <w:r w:rsidR="001D42FE">
        <w:rPr>
          <w:rFonts w:ascii="Cambria" w:hAnsi="Cambria"/>
          <w:sz w:val="20"/>
          <w:szCs w:val="20"/>
          <w:lang w:val="es-ES_tradnl"/>
        </w:rPr>
        <w:t>, inhumano y degradante</w:t>
      </w:r>
      <w:r w:rsidR="00303CEB">
        <w:rPr>
          <w:rFonts w:ascii="Cambria" w:hAnsi="Cambria"/>
          <w:sz w:val="20"/>
          <w:szCs w:val="20"/>
          <w:lang w:val="es-ES_tradnl"/>
        </w:rPr>
        <w:t xml:space="preserve"> y</w:t>
      </w:r>
      <w:r w:rsidR="004942BA">
        <w:rPr>
          <w:rFonts w:ascii="Cambria" w:hAnsi="Cambria"/>
          <w:sz w:val="20"/>
          <w:szCs w:val="20"/>
          <w:lang w:val="es-ES_tradnl"/>
        </w:rPr>
        <w:t>, además,</w:t>
      </w:r>
      <w:r w:rsidR="00303CEB">
        <w:rPr>
          <w:rFonts w:ascii="Cambria" w:hAnsi="Cambria"/>
          <w:sz w:val="20"/>
          <w:szCs w:val="20"/>
          <w:lang w:val="es-ES_tradnl"/>
        </w:rPr>
        <w:t xml:space="preserve"> no es acorde a las razones que subyacen a la regla de no imponer cadenas perpetuas. </w:t>
      </w:r>
      <w:r>
        <w:rPr>
          <w:rFonts w:ascii="Cambria" w:hAnsi="Cambria"/>
          <w:sz w:val="20"/>
          <w:szCs w:val="20"/>
          <w:lang w:val="es-ES_tradnl"/>
        </w:rPr>
        <w:t>A</w:t>
      </w:r>
      <w:r w:rsidR="00303CEB">
        <w:rPr>
          <w:rFonts w:ascii="Cambria" w:hAnsi="Cambria"/>
          <w:sz w:val="20"/>
          <w:szCs w:val="20"/>
          <w:lang w:val="es-ES_tradnl"/>
        </w:rPr>
        <w:t>ñade que esta situación de encarcelamiento provocó que la salud de la presunta víctima se vea afectada, provocando que tenga distintos problemas urológicos, digestivos, metabólicos y cardiológicos</w:t>
      </w:r>
      <w:r>
        <w:rPr>
          <w:rFonts w:ascii="Cambria" w:hAnsi="Cambria"/>
          <w:sz w:val="20"/>
          <w:szCs w:val="20"/>
          <w:lang w:val="es-ES_tradnl"/>
        </w:rPr>
        <w:t>, lo que confirma la afectación a su derecho a la integridad personal.</w:t>
      </w:r>
    </w:p>
    <w:p w14:paraId="05E1D6F6" w14:textId="67D7E974" w:rsidR="0089328E" w:rsidRDefault="00CE3C83" w:rsidP="00E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Finalmente, sostiene que se vulneró el artículo 9 de la Convención, pues</w:t>
      </w:r>
      <w:r w:rsidR="0089328E">
        <w:rPr>
          <w:rFonts w:ascii="Cambria" w:hAnsi="Cambria"/>
          <w:sz w:val="20"/>
          <w:szCs w:val="20"/>
          <w:lang w:val="es-ES_tradnl"/>
        </w:rPr>
        <w:t xml:space="preserve"> las conductas que le atribuyeron al señor Alvarado Moya no configuran los tipos penales utilizados para condenarlo debido a la ausencia de dolo. </w:t>
      </w:r>
    </w:p>
    <w:p w14:paraId="20A03EC6" w14:textId="4AE8B1F9" w:rsidR="00E422CF" w:rsidRPr="00E422CF" w:rsidRDefault="00E422CF" w:rsidP="00E422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E422CF">
        <w:rPr>
          <w:rFonts w:ascii="Cambria" w:hAnsi="Cambria"/>
          <w:i/>
          <w:iCs/>
          <w:sz w:val="20"/>
          <w:szCs w:val="20"/>
          <w:lang w:val="es-AR"/>
        </w:rPr>
        <w:t>Alegatos del Estado</w:t>
      </w:r>
    </w:p>
    <w:p w14:paraId="3437D51A" w14:textId="3F6455B1" w:rsidR="008253CA" w:rsidRDefault="008253CA" w:rsidP="00825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replica que la petición es inadmisible por falta de agotamiento de la jurisdicción doméstica. Afirma que el señor </w:t>
      </w:r>
      <w:r w:rsidR="00F553FD">
        <w:rPr>
          <w:rFonts w:ascii="Cambria" w:hAnsi="Cambria"/>
          <w:sz w:val="20"/>
          <w:szCs w:val="20"/>
          <w:lang w:val="es-AR"/>
        </w:rPr>
        <w:t>Alvarado Moya</w:t>
      </w:r>
      <w:r>
        <w:rPr>
          <w:rFonts w:ascii="Cambria" w:hAnsi="Cambria"/>
          <w:sz w:val="20"/>
          <w:szCs w:val="20"/>
          <w:lang w:val="es-AR"/>
        </w:rPr>
        <w:t xml:space="preserve"> no cumplió con agotar las vías internas antes de interponer su petición, toda vez que no utilizó el recurso de revisión ordinario ni los mecanismos especiales de revisión creados a partir de las reformas procesales realizadas en favor de las personas con sentencia firme. </w:t>
      </w:r>
      <w:r w:rsidR="00452F55">
        <w:rPr>
          <w:rFonts w:ascii="Cambria" w:hAnsi="Cambria"/>
          <w:sz w:val="20"/>
          <w:szCs w:val="20"/>
          <w:lang w:val="es-AR"/>
        </w:rPr>
        <w:t>Asimismo, sostiene que tampoco</w:t>
      </w:r>
      <w:r w:rsidR="004D1D0F">
        <w:rPr>
          <w:rFonts w:ascii="Cambria" w:hAnsi="Cambria"/>
          <w:sz w:val="20"/>
          <w:szCs w:val="20"/>
          <w:lang w:val="es-AR"/>
        </w:rPr>
        <w:t xml:space="preserve"> empleo</w:t>
      </w:r>
      <w:r w:rsidR="00452F55">
        <w:rPr>
          <w:rFonts w:ascii="Cambria" w:hAnsi="Cambria"/>
          <w:sz w:val="20"/>
          <w:szCs w:val="20"/>
          <w:lang w:val="es-AR"/>
        </w:rPr>
        <w:t xml:space="preserve"> los mecanismos adecuados para reclamar la</w:t>
      </w:r>
      <w:r w:rsidR="00887855">
        <w:rPr>
          <w:rFonts w:ascii="Cambria" w:hAnsi="Cambria"/>
          <w:sz w:val="20"/>
          <w:szCs w:val="20"/>
          <w:lang w:val="es-AR"/>
        </w:rPr>
        <w:t>s</w:t>
      </w:r>
      <w:r w:rsidR="00452F55">
        <w:rPr>
          <w:rFonts w:ascii="Cambria" w:hAnsi="Cambria"/>
          <w:sz w:val="20"/>
          <w:szCs w:val="20"/>
          <w:lang w:val="es-AR"/>
        </w:rPr>
        <w:t xml:space="preserve"> </w:t>
      </w:r>
      <w:r w:rsidR="00A37F89">
        <w:rPr>
          <w:rFonts w:ascii="Cambria" w:hAnsi="Cambria"/>
          <w:sz w:val="20"/>
          <w:szCs w:val="20"/>
          <w:lang w:val="es-AR"/>
        </w:rPr>
        <w:t>presuntas afectaciones</w:t>
      </w:r>
      <w:r w:rsidR="00452F55">
        <w:rPr>
          <w:rFonts w:ascii="Cambria" w:hAnsi="Cambria"/>
          <w:sz w:val="20"/>
          <w:szCs w:val="20"/>
          <w:lang w:val="es-AR"/>
        </w:rPr>
        <w:t xml:space="preserve"> a los derechos contemplados en los artículos 5 y 9 de la Convención. </w:t>
      </w:r>
    </w:p>
    <w:p w14:paraId="5CF70622" w14:textId="64CF45AE" w:rsidR="008253CA" w:rsidRPr="00A37F89" w:rsidRDefault="008253CA" w:rsidP="00825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37F89">
        <w:rPr>
          <w:rFonts w:ascii="Cambria" w:hAnsi="Cambria"/>
          <w:sz w:val="20"/>
          <w:szCs w:val="20"/>
          <w:lang w:val="es-AR"/>
        </w:rPr>
        <w:t>Respecto al primer recurso, detalla que recién el 2</w:t>
      </w:r>
      <w:r w:rsidR="00980C07">
        <w:rPr>
          <w:rFonts w:ascii="Cambria" w:hAnsi="Cambria"/>
          <w:sz w:val="20"/>
          <w:szCs w:val="20"/>
          <w:lang w:val="es-AR"/>
        </w:rPr>
        <w:t>6</w:t>
      </w:r>
      <w:r w:rsidRPr="00A37F89">
        <w:rPr>
          <w:rFonts w:ascii="Cambria" w:hAnsi="Cambria"/>
          <w:sz w:val="20"/>
          <w:szCs w:val="20"/>
          <w:lang w:val="es-AR"/>
        </w:rPr>
        <w:t xml:space="preserve"> de </w:t>
      </w:r>
      <w:r w:rsidR="0046083F" w:rsidRPr="00A37F89">
        <w:rPr>
          <w:rFonts w:ascii="Cambria" w:hAnsi="Cambria"/>
          <w:sz w:val="20"/>
          <w:szCs w:val="20"/>
          <w:lang w:val="es-AR"/>
        </w:rPr>
        <w:t>noviembre</w:t>
      </w:r>
      <w:r w:rsidRPr="00A37F89">
        <w:rPr>
          <w:rFonts w:ascii="Cambria" w:hAnsi="Cambria"/>
          <w:sz w:val="20"/>
          <w:szCs w:val="20"/>
          <w:lang w:val="es-AR"/>
        </w:rPr>
        <w:t xml:space="preserve"> de 201</w:t>
      </w:r>
      <w:r w:rsidR="0046083F" w:rsidRPr="00A37F89">
        <w:rPr>
          <w:rFonts w:ascii="Cambria" w:hAnsi="Cambria"/>
          <w:sz w:val="20"/>
          <w:szCs w:val="20"/>
          <w:lang w:val="es-AR"/>
        </w:rPr>
        <w:t>0</w:t>
      </w:r>
      <w:r w:rsidRPr="00A37F89">
        <w:rPr>
          <w:rFonts w:ascii="Cambria" w:hAnsi="Cambria"/>
          <w:sz w:val="20"/>
          <w:szCs w:val="20"/>
          <w:lang w:val="es-AR"/>
        </w:rPr>
        <w:t xml:space="preserve">, es decir, </w:t>
      </w:r>
      <w:r w:rsidR="0046083F" w:rsidRPr="00A37F89">
        <w:rPr>
          <w:rFonts w:ascii="Cambria" w:hAnsi="Cambria"/>
          <w:sz w:val="20"/>
          <w:szCs w:val="20"/>
          <w:lang w:val="es-AR"/>
        </w:rPr>
        <w:t xml:space="preserve">nueve meses </w:t>
      </w:r>
      <w:r w:rsidRPr="00A37F89">
        <w:rPr>
          <w:rFonts w:ascii="Cambria" w:hAnsi="Cambria"/>
          <w:sz w:val="20"/>
          <w:szCs w:val="20"/>
          <w:lang w:val="es-AR"/>
        </w:rPr>
        <w:t>después de presentar este reclamo, la presunta víctima interpuso</w:t>
      </w:r>
      <w:r w:rsidR="00A37F89">
        <w:rPr>
          <w:rFonts w:ascii="Cambria" w:hAnsi="Cambria"/>
          <w:sz w:val="20"/>
          <w:szCs w:val="20"/>
          <w:lang w:val="es-AR"/>
        </w:rPr>
        <w:t xml:space="preserve"> </w:t>
      </w:r>
      <w:r w:rsidR="00A37F89" w:rsidRPr="00A37F89">
        <w:rPr>
          <w:rFonts w:ascii="Cambria" w:hAnsi="Cambria"/>
          <w:sz w:val="20"/>
          <w:szCs w:val="20"/>
          <w:lang w:val="es-AR"/>
        </w:rPr>
        <w:t>un</w:t>
      </w:r>
      <w:r w:rsidR="00C52046">
        <w:rPr>
          <w:rFonts w:ascii="Cambria" w:hAnsi="Cambria"/>
          <w:sz w:val="20"/>
          <w:szCs w:val="20"/>
          <w:lang w:val="es-AR"/>
        </w:rPr>
        <w:t xml:space="preserve"> </w:t>
      </w:r>
      <w:r w:rsidRPr="00A37F89">
        <w:rPr>
          <w:rFonts w:ascii="Cambria" w:hAnsi="Cambria"/>
          <w:sz w:val="20"/>
          <w:szCs w:val="20"/>
          <w:lang w:val="es-AR"/>
        </w:rPr>
        <w:t xml:space="preserve">procedimiento de revisión de sentencia ante la Sala Tercera de la Corte Suprema de Justicia, la cual el </w:t>
      </w:r>
      <w:r w:rsidR="00D10BB4">
        <w:rPr>
          <w:rFonts w:ascii="Cambria" w:hAnsi="Cambria"/>
          <w:sz w:val="20"/>
          <w:szCs w:val="20"/>
          <w:lang w:val="es-AR"/>
        </w:rPr>
        <w:t>14</w:t>
      </w:r>
      <w:r w:rsidRPr="00A37F89">
        <w:rPr>
          <w:rFonts w:ascii="Cambria" w:hAnsi="Cambria"/>
          <w:sz w:val="20"/>
          <w:szCs w:val="20"/>
          <w:lang w:val="es-AR"/>
        </w:rPr>
        <w:t xml:space="preserve"> de junio de 201</w:t>
      </w:r>
      <w:r w:rsidR="00D10BB4">
        <w:rPr>
          <w:rFonts w:ascii="Cambria" w:hAnsi="Cambria"/>
          <w:sz w:val="20"/>
          <w:szCs w:val="20"/>
          <w:lang w:val="es-AR"/>
        </w:rPr>
        <w:t>3</w:t>
      </w:r>
      <w:r w:rsidRPr="00A37F89">
        <w:rPr>
          <w:rFonts w:ascii="Cambria" w:hAnsi="Cambria"/>
          <w:sz w:val="20"/>
          <w:szCs w:val="20"/>
          <w:lang w:val="es-AR"/>
        </w:rPr>
        <w:t xml:space="preserve"> declaró inadmisible tal recurso. </w:t>
      </w:r>
      <w:r w:rsidR="00C52046">
        <w:rPr>
          <w:rFonts w:ascii="Cambria" w:hAnsi="Cambria"/>
          <w:sz w:val="20"/>
          <w:szCs w:val="20"/>
          <w:lang w:val="es-AR"/>
        </w:rPr>
        <w:t xml:space="preserve">Por ende, a criterio del Estado, la presunta víctima no empleo de manera correcta dicha vía procesal antes de la presentación de su petición. </w:t>
      </w:r>
    </w:p>
    <w:p w14:paraId="0BB32F54" w14:textId="60C49476" w:rsidR="008253CA" w:rsidRPr="00F42786" w:rsidRDefault="008253CA" w:rsidP="00825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relación con los mecanismos especiales de revisión, destaca que la presunta víctima no utilizó dichas vías, a pesar de que están ideadas precisamente para aquellas personas con sentencias condenatorias en firme, que consideran vulnerado su derecho a recurrir su fallo condenatorio de conformidad con el artículo 8.2.h) de la Convención. En esa línea, el Estado manifiesta que el señor </w:t>
      </w:r>
      <w:r w:rsidR="00F553FD">
        <w:rPr>
          <w:rFonts w:ascii="Cambria" w:hAnsi="Cambria"/>
          <w:sz w:val="20"/>
          <w:szCs w:val="20"/>
          <w:lang w:val="es-AR"/>
        </w:rPr>
        <w:t>Alvarado Moya</w:t>
      </w:r>
      <w:r>
        <w:rPr>
          <w:rFonts w:ascii="Cambria" w:hAnsi="Cambria"/>
          <w:sz w:val="20"/>
          <w:szCs w:val="20"/>
          <w:lang w:val="es-AR"/>
        </w:rPr>
        <w:t xml:space="preserve"> tuvo la oportunidad de interponer el procedimiento establecido en las disposiciones transitorias de la Ley N</w:t>
      </w:r>
      <w:r w:rsidRPr="00026103">
        <w:rPr>
          <w:rFonts w:ascii="Cambria" w:hAnsi="Cambria"/>
          <w:sz w:val="20"/>
          <w:szCs w:val="20"/>
          <w:lang w:val="es-AR"/>
        </w:rPr>
        <w:t>.º</w:t>
      </w:r>
      <w:r>
        <w:rPr>
          <w:rFonts w:ascii="Cambria" w:hAnsi="Cambria"/>
          <w:sz w:val="20"/>
          <w:szCs w:val="20"/>
          <w:lang w:val="es-AR"/>
        </w:rPr>
        <w:t xml:space="preserve"> 8503</w:t>
      </w:r>
      <w:r>
        <w:rPr>
          <w:rStyle w:val="FootnoteReference"/>
          <w:rFonts w:ascii="Cambria" w:hAnsi="Cambria"/>
          <w:sz w:val="20"/>
          <w:szCs w:val="20"/>
          <w:lang w:val="es-AR"/>
        </w:rPr>
        <w:footnoteReference w:id="4"/>
      </w:r>
      <w:r>
        <w:rPr>
          <w:rFonts w:ascii="Cambria" w:hAnsi="Cambria"/>
          <w:sz w:val="20"/>
          <w:szCs w:val="20"/>
          <w:lang w:val="es-AR"/>
        </w:rPr>
        <w:t>, y en su defecto, posteriormente podía utilizar el mecanismo especial de revisión previsto en el Transitorio III de la Ley</w:t>
      </w:r>
      <w:r w:rsidRPr="00F46822">
        <w:rPr>
          <w:rFonts w:ascii="Cambria" w:hAnsi="Cambria"/>
          <w:sz w:val="20"/>
          <w:szCs w:val="20"/>
          <w:lang w:val="es-AR"/>
        </w:rPr>
        <w:t xml:space="preserve"> </w:t>
      </w:r>
      <w:r>
        <w:rPr>
          <w:rFonts w:ascii="Cambria" w:hAnsi="Cambria"/>
          <w:sz w:val="20"/>
          <w:szCs w:val="20"/>
          <w:lang w:val="es-AR"/>
        </w:rPr>
        <w:t>N</w:t>
      </w:r>
      <w:r w:rsidRPr="00026103">
        <w:rPr>
          <w:rFonts w:ascii="Cambria" w:hAnsi="Cambria"/>
          <w:sz w:val="20"/>
          <w:szCs w:val="20"/>
          <w:lang w:val="es-AR"/>
        </w:rPr>
        <w:t>.º</w:t>
      </w:r>
      <w:r>
        <w:rPr>
          <w:rFonts w:ascii="Cambria" w:hAnsi="Cambria"/>
          <w:sz w:val="20"/>
          <w:szCs w:val="20"/>
          <w:lang w:val="es-AR"/>
        </w:rPr>
        <w:t xml:space="preserve"> 8837</w:t>
      </w:r>
      <w:r>
        <w:rPr>
          <w:rStyle w:val="FootnoteReference"/>
          <w:rFonts w:ascii="Cambria" w:hAnsi="Cambria"/>
          <w:sz w:val="20"/>
          <w:szCs w:val="20"/>
          <w:lang w:val="es-AR"/>
        </w:rPr>
        <w:footnoteReference w:id="5"/>
      </w:r>
      <w:r w:rsidRPr="00F42786">
        <w:rPr>
          <w:rFonts w:ascii="Cambria" w:hAnsi="Cambria"/>
          <w:sz w:val="20"/>
          <w:szCs w:val="20"/>
          <w:lang w:val="es-AR"/>
        </w:rPr>
        <w:t>. Por ende, arguye que el ordenamiento interno disponía opci</w:t>
      </w:r>
      <w:r>
        <w:rPr>
          <w:rFonts w:ascii="Cambria" w:hAnsi="Cambria"/>
          <w:sz w:val="20"/>
          <w:szCs w:val="20"/>
          <w:lang w:val="es-AR"/>
        </w:rPr>
        <w:t>ones</w:t>
      </w:r>
      <w:r w:rsidRPr="00F42786">
        <w:rPr>
          <w:rFonts w:ascii="Cambria" w:hAnsi="Cambria"/>
          <w:sz w:val="20"/>
          <w:szCs w:val="20"/>
          <w:lang w:val="es-AR"/>
        </w:rPr>
        <w:t xml:space="preserve"> adicional</w:t>
      </w:r>
      <w:r>
        <w:rPr>
          <w:rFonts w:ascii="Cambria" w:hAnsi="Cambria"/>
          <w:sz w:val="20"/>
          <w:szCs w:val="20"/>
          <w:lang w:val="es-AR"/>
        </w:rPr>
        <w:t xml:space="preserve">es </w:t>
      </w:r>
      <w:r w:rsidRPr="00F42786">
        <w:rPr>
          <w:rFonts w:ascii="Cambria" w:hAnsi="Cambria"/>
          <w:sz w:val="20"/>
          <w:szCs w:val="20"/>
          <w:lang w:val="es-AR"/>
        </w:rPr>
        <w:t xml:space="preserve">para </w:t>
      </w:r>
      <w:r>
        <w:rPr>
          <w:rFonts w:ascii="Cambria" w:hAnsi="Cambria"/>
          <w:sz w:val="20"/>
          <w:szCs w:val="20"/>
          <w:lang w:val="es-AR"/>
        </w:rPr>
        <w:t xml:space="preserve">que el </w:t>
      </w:r>
      <w:r w:rsidR="0046083F">
        <w:rPr>
          <w:rFonts w:ascii="Cambria" w:hAnsi="Cambria"/>
          <w:sz w:val="20"/>
          <w:szCs w:val="20"/>
          <w:lang w:val="es-AR"/>
        </w:rPr>
        <w:t>Alvarado Moya</w:t>
      </w:r>
      <w:r w:rsidRPr="00F42786">
        <w:rPr>
          <w:rFonts w:ascii="Cambria" w:hAnsi="Cambria"/>
          <w:sz w:val="20"/>
          <w:szCs w:val="20"/>
          <w:lang w:val="es-AR"/>
        </w:rPr>
        <w:t xml:space="preserve"> </w:t>
      </w:r>
      <w:r>
        <w:rPr>
          <w:rFonts w:ascii="Cambria" w:hAnsi="Cambria"/>
          <w:sz w:val="20"/>
          <w:szCs w:val="20"/>
          <w:lang w:val="es-AR"/>
        </w:rPr>
        <w:t>pudiera utilizarlas</w:t>
      </w:r>
      <w:r w:rsidRPr="00F42786">
        <w:rPr>
          <w:rFonts w:ascii="Cambria" w:hAnsi="Cambria"/>
          <w:sz w:val="20"/>
          <w:szCs w:val="20"/>
          <w:lang w:val="es-AR"/>
        </w:rPr>
        <w:t xml:space="preserve"> en el momento procesal oportuno</w:t>
      </w:r>
      <w:r w:rsidR="0095027D">
        <w:rPr>
          <w:rFonts w:ascii="Cambria" w:hAnsi="Cambria"/>
          <w:sz w:val="20"/>
          <w:szCs w:val="20"/>
          <w:lang w:val="es-AR"/>
        </w:rPr>
        <w:t xml:space="preserve"> y, </w:t>
      </w:r>
      <w:r>
        <w:rPr>
          <w:rFonts w:ascii="Cambria" w:hAnsi="Cambria"/>
          <w:sz w:val="20"/>
          <w:szCs w:val="20"/>
          <w:lang w:val="es-AR"/>
        </w:rPr>
        <w:t>sin embargo, no lo hizo</w:t>
      </w:r>
      <w:r w:rsidRPr="00F42786">
        <w:rPr>
          <w:rFonts w:ascii="Cambria" w:hAnsi="Cambria"/>
          <w:sz w:val="20"/>
          <w:szCs w:val="20"/>
          <w:lang w:val="es-AR"/>
        </w:rPr>
        <w:t xml:space="preserve">. </w:t>
      </w:r>
    </w:p>
    <w:p w14:paraId="02074F6A" w14:textId="6B9C4F32" w:rsidR="00E422CF" w:rsidRDefault="008253CA" w:rsidP="008253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A00EA">
        <w:rPr>
          <w:rFonts w:ascii="Cambria" w:hAnsi="Cambria"/>
          <w:sz w:val="20"/>
          <w:szCs w:val="20"/>
          <w:lang w:val="es-AR"/>
        </w:rPr>
        <w:t xml:space="preserve">Sin perjuicio de ello, el Estado agrega que la parte peticionaria tampoco </w:t>
      </w:r>
      <w:r>
        <w:rPr>
          <w:rFonts w:ascii="Cambria" w:hAnsi="Cambria"/>
          <w:sz w:val="20"/>
          <w:szCs w:val="20"/>
          <w:lang w:val="es-AR"/>
        </w:rPr>
        <w:t xml:space="preserve">utilizó </w:t>
      </w:r>
      <w:r w:rsidRPr="00BA00EA">
        <w:rPr>
          <w:rFonts w:ascii="Cambria" w:hAnsi="Cambria"/>
          <w:sz w:val="20"/>
          <w:szCs w:val="20"/>
          <w:lang w:val="es-AR"/>
        </w:rPr>
        <w:t>los recursos que tenía a su disposición en la jurisdicción constitucional.</w:t>
      </w:r>
      <w:r w:rsidR="0046083F">
        <w:rPr>
          <w:rFonts w:ascii="Cambria" w:hAnsi="Cambria"/>
          <w:sz w:val="20"/>
          <w:szCs w:val="20"/>
          <w:lang w:val="es-AR"/>
        </w:rPr>
        <w:t xml:space="preserve"> En particular, sostiene que a pesar de que el señor Alvarado Moya tenía a su disposición la acción de inconstitucionalidad para reclamar la afectación al principio </w:t>
      </w:r>
      <w:r w:rsidR="0046083F">
        <w:rPr>
          <w:rFonts w:ascii="Cambria" w:hAnsi="Cambria"/>
          <w:sz w:val="20"/>
          <w:szCs w:val="20"/>
          <w:lang w:val="es-AR"/>
        </w:rPr>
        <w:lastRenderedPageBreak/>
        <w:t>de legalidad, este decidió no utilizar dicha</w:t>
      </w:r>
      <w:r w:rsidR="0042161A">
        <w:rPr>
          <w:rFonts w:ascii="Cambria" w:hAnsi="Cambria"/>
          <w:sz w:val="20"/>
          <w:szCs w:val="20"/>
          <w:lang w:val="es-AR"/>
        </w:rPr>
        <w:t xml:space="preserve"> vía</w:t>
      </w:r>
      <w:r w:rsidR="0046083F">
        <w:rPr>
          <w:rFonts w:ascii="Cambria" w:hAnsi="Cambria"/>
          <w:sz w:val="20"/>
          <w:szCs w:val="20"/>
          <w:lang w:val="es-AR"/>
        </w:rPr>
        <w:t>. Resalta que, conforme al artículo 73 de la Ley N</w:t>
      </w:r>
      <w:r w:rsidR="0046083F" w:rsidRPr="00026103">
        <w:rPr>
          <w:rFonts w:ascii="Cambria" w:hAnsi="Cambria"/>
          <w:sz w:val="20"/>
          <w:szCs w:val="20"/>
          <w:lang w:val="es-AR"/>
        </w:rPr>
        <w:t>.º</w:t>
      </w:r>
      <w:r w:rsidR="0046083F">
        <w:rPr>
          <w:rFonts w:ascii="Cambria" w:hAnsi="Cambria"/>
          <w:sz w:val="20"/>
          <w:szCs w:val="20"/>
          <w:lang w:val="es-AR"/>
        </w:rPr>
        <w:t xml:space="preserve"> 7135</w:t>
      </w:r>
      <w:r w:rsidR="002E3B87">
        <w:rPr>
          <w:rFonts w:ascii="Cambria" w:hAnsi="Cambria"/>
          <w:sz w:val="20"/>
          <w:szCs w:val="20"/>
          <w:lang w:val="es-AR"/>
        </w:rPr>
        <w:t>, el citado recurso procede “</w:t>
      </w:r>
      <w:r w:rsidR="002E3B87" w:rsidRPr="002E3B87">
        <w:rPr>
          <w:rFonts w:ascii="Cambria" w:hAnsi="Cambria"/>
          <w:i/>
          <w:iCs/>
          <w:sz w:val="20"/>
          <w:szCs w:val="20"/>
          <w:lang w:val="es-AR"/>
        </w:rPr>
        <w:t>contra leyes y otras disposiciones generales, incluso las originadas en actos de sujetos privados, que infrinjan, por acción u omisión, alguna norma o principio constitucional</w:t>
      </w:r>
      <w:r w:rsidR="002E3B87">
        <w:rPr>
          <w:rFonts w:ascii="Cambria" w:hAnsi="Cambria"/>
          <w:sz w:val="20"/>
          <w:szCs w:val="20"/>
          <w:lang w:val="es-AR"/>
        </w:rPr>
        <w:t>”.</w:t>
      </w:r>
      <w:r w:rsidR="00452F55">
        <w:rPr>
          <w:rFonts w:ascii="Cambria" w:hAnsi="Cambria"/>
          <w:sz w:val="20"/>
          <w:szCs w:val="20"/>
          <w:lang w:val="es-AR"/>
        </w:rPr>
        <w:t xml:space="preserve"> En consecuencia, Costa Rica sostiene que este extremo de la petición tampoco puede prosperar.</w:t>
      </w:r>
    </w:p>
    <w:p w14:paraId="775FF0F0" w14:textId="0D52EA6D" w:rsidR="00F824A2" w:rsidRPr="00452F55" w:rsidRDefault="00F824A2" w:rsidP="00452F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F824A2">
        <w:rPr>
          <w:rFonts w:ascii="Cambria" w:hAnsi="Cambria"/>
          <w:sz w:val="20"/>
          <w:szCs w:val="20"/>
          <w:lang w:val="es-US"/>
        </w:rPr>
        <w:t>Finalmente, agrega</w:t>
      </w:r>
      <w:r w:rsidR="004072BA">
        <w:rPr>
          <w:rFonts w:ascii="Cambria" w:hAnsi="Cambria"/>
          <w:sz w:val="20"/>
          <w:szCs w:val="20"/>
          <w:lang w:val="es-US"/>
        </w:rPr>
        <w:t xml:space="preserve"> que</w:t>
      </w:r>
      <w:r w:rsidR="00533093">
        <w:rPr>
          <w:rFonts w:ascii="Cambria" w:hAnsi="Cambria"/>
          <w:sz w:val="20"/>
          <w:szCs w:val="20"/>
          <w:lang w:val="es-US"/>
        </w:rPr>
        <w:t>,</w:t>
      </w:r>
      <w:r w:rsidR="004072BA">
        <w:rPr>
          <w:rFonts w:ascii="Cambria" w:hAnsi="Cambria"/>
          <w:sz w:val="20"/>
          <w:szCs w:val="20"/>
          <w:lang w:val="es-US"/>
        </w:rPr>
        <w:t xml:space="preserve"> </w:t>
      </w:r>
      <w:r w:rsidR="00452F55">
        <w:rPr>
          <w:rFonts w:ascii="Cambria" w:hAnsi="Cambria"/>
          <w:sz w:val="20"/>
          <w:szCs w:val="20"/>
          <w:lang w:val="es-US"/>
        </w:rPr>
        <w:t>si pretendía cuestionar una eventual práctica de tortura,</w:t>
      </w:r>
      <w:r w:rsidR="00533093">
        <w:rPr>
          <w:rFonts w:ascii="Cambria" w:hAnsi="Cambria"/>
          <w:sz w:val="20"/>
          <w:szCs w:val="20"/>
          <w:lang w:val="es-US"/>
        </w:rPr>
        <w:t xml:space="preserve"> la presunta víctima</w:t>
      </w:r>
      <w:r w:rsidR="00452F55">
        <w:rPr>
          <w:rFonts w:ascii="Cambria" w:hAnsi="Cambria"/>
          <w:sz w:val="20"/>
          <w:szCs w:val="20"/>
          <w:lang w:val="es-US"/>
        </w:rPr>
        <w:t xml:space="preserve"> debió presentar una denuncia penal narrando los hechos que sustentaban su reclamo. </w:t>
      </w:r>
      <w:r w:rsidRPr="00452F55">
        <w:rPr>
          <w:rFonts w:ascii="Cambria" w:hAnsi="Cambria"/>
          <w:sz w:val="20"/>
          <w:szCs w:val="20"/>
          <w:lang w:val="es-US"/>
        </w:rPr>
        <w:t xml:space="preserve">Por las citadas razones, solicita a la CIDH que declare inadmisible el presente asunto por no cumplir el requisito previsto en el artículo 46.1.a) de la Convención Americana. </w:t>
      </w:r>
    </w:p>
    <w:p w14:paraId="035D2266" w14:textId="77777777" w:rsidR="00452F55" w:rsidRPr="00424C59" w:rsidRDefault="00452F55" w:rsidP="00452F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24C59">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35AB22C4" w14:textId="61D99016" w:rsidR="00F824A2" w:rsidRPr="007470EE" w:rsidRDefault="00452F55" w:rsidP="00452F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24C59">
        <w:rPr>
          <w:rFonts w:ascii="Cambria" w:hAnsi="Cambria"/>
          <w:sz w:val="20"/>
          <w:szCs w:val="20"/>
          <w:lang w:val="es-ES_tradnl"/>
        </w:rPr>
        <w:t xml:space="preserve">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w:t>
      </w:r>
      <w:r w:rsidR="009C04CC">
        <w:rPr>
          <w:rFonts w:ascii="Cambria" w:hAnsi="Cambria"/>
          <w:sz w:val="20"/>
          <w:szCs w:val="20"/>
          <w:lang w:val="es-ES_tradnl"/>
        </w:rPr>
        <w:t xml:space="preserve">permiten </w:t>
      </w:r>
      <w:r w:rsidRPr="00424C59">
        <w:rPr>
          <w:rFonts w:ascii="Cambria" w:hAnsi="Cambria"/>
          <w:sz w:val="20"/>
          <w:szCs w:val="20"/>
          <w:lang w:val="es-ES_tradnl"/>
        </w:rPr>
        <w:t>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219D547B" w14:textId="7EE94793" w:rsidR="007470EE" w:rsidRPr="00190E23" w:rsidRDefault="007470EE" w:rsidP="00452F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ES_tradnl"/>
        </w:rPr>
        <w:t xml:space="preserve">Adicionalmente, en relación con el derecho a la integridad personal y al principio de legalidad, Costa Rica sostiene que la parte peticionaria no puntualiza el agravio concreto que se causó a la presunta víctima, ni tampoco aporta elementos de prueba que permitan determinar violación alguna de los citados derechos. En sentido similar, respecto a los artículos 6 y 7 de la Convención Interamericana para Prevenir y Sancionar la Tortura, destaca que el peticionario </w:t>
      </w:r>
      <w:r w:rsidR="0057730E">
        <w:rPr>
          <w:rFonts w:ascii="Cambria" w:hAnsi="Cambria"/>
          <w:sz w:val="20"/>
          <w:szCs w:val="20"/>
          <w:lang w:val="es-ES_tradnl"/>
        </w:rPr>
        <w:t>no</w:t>
      </w:r>
      <w:r>
        <w:rPr>
          <w:rFonts w:ascii="Cambria" w:hAnsi="Cambria"/>
          <w:sz w:val="20"/>
          <w:szCs w:val="20"/>
          <w:lang w:val="es-ES_tradnl"/>
        </w:rPr>
        <w:t xml:space="preserve"> brinda alegatos concretos que permitan identificar que se haya com</w:t>
      </w:r>
      <w:r w:rsidRPr="00190E23">
        <w:rPr>
          <w:rFonts w:ascii="Cambria" w:hAnsi="Cambria"/>
          <w:sz w:val="20"/>
          <w:szCs w:val="20"/>
          <w:lang w:val="es-ES_tradnl"/>
        </w:rPr>
        <w:t xml:space="preserve">etido algún acto de tortura. </w:t>
      </w:r>
    </w:p>
    <w:p w14:paraId="40840480" w14:textId="77777777" w:rsidR="00FC643C" w:rsidRPr="00190E23" w:rsidRDefault="00FC643C" w:rsidP="00FC64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lang w:val="es-AR"/>
        </w:rPr>
      </w:pPr>
      <w:r w:rsidRPr="00190E23">
        <w:rPr>
          <w:rFonts w:ascii="Cambria" w:hAnsi="Cambria"/>
          <w:b/>
          <w:bCs/>
          <w:sz w:val="20"/>
          <w:szCs w:val="20"/>
          <w:lang w:val="es-AR"/>
        </w:rPr>
        <w:t xml:space="preserve">VI. </w:t>
      </w:r>
      <w:r w:rsidRPr="00190E23">
        <w:rPr>
          <w:rFonts w:ascii="Cambria" w:hAnsi="Cambria"/>
          <w:b/>
          <w:bCs/>
          <w:sz w:val="20"/>
          <w:szCs w:val="20"/>
          <w:lang w:val="es-AR"/>
        </w:rPr>
        <w:tab/>
        <w:t>CONSIDERACIONES PREVIAS</w:t>
      </w:r>
    </w:p>
    <w:p w14:paraId="23AD72FA" w14:textId="77777777"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190E23">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50209771" w14:textId="77777777"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90E23">
        <w:rPr>
          <w:rFonts w:asciiTheme="majorHAnsi" w:hAnsiTheme="majorHAnsi"/>
          <w:bCs/>
          <w:sz w:val="20"/>
          <w:szCs w:val="20"/>
          <w:lang w:val="es-ES_tradnl"/>
        </w:rPr>
        <w:t xml:space="preserve">Así, en la sentencia del caso </w:t>
      </w:r>
      <w:r w:rsidRPr="00190E23">
        <w:rPr>
          <w:rFonts w:asciiTheme="majorHAnsi" w:hAnsiTheme="majorHAnsi"/>
          <w:bCs/>
          <w:i/>
          <w:iCs/>
          <w:sz w:val="20"/>
          <w:szCs w:val="20"/>
          <w:lang w:val="es-ES_tradnl"/>
        </w:rPr>
        <w:t xml:space="preserve">Herrera Ulloa vs. Costa Rica </w:t>
      </w:r>
      <w:r w:rsidRPr="00190E23">
        <w:rPr>
          <w:rFonts w:asciiTheme="majorHAnsi" w:hAnsiTheme="majorHAnsi"/>
          <w:bCs/>
          <w:sz w:val="20"/>
          <w:szCs w:val="20"/>
          <w:lang w:val="es-ES_tradnl"/>
        </w:rPr>
        <w:t>del 2 de julio de 2004, la Corte Interamericana de Derechos Humanos</w:t>
      </w:r>
      <w:r w:rsidRPr="00190E23">
        <w:rPr>
          <w:rStyle w:val="FootnoteReference"/>
          <w:rFonts w:asciiTheme="majorHAnsi" w:hAnsiTheme="majorHAnsi"/>
          <w:bCs/>
          <w:sz w:val="20"/>
          <w:szCs w:val="20"/>
          <w:lang w:val="es-ES_tradnl"/>
        </w:rPr>
        <w:footnoteReference w:id="6"/>
      </w:r>
      <w:r w:rsidRPr="00190E23">
        <w:rPr>
          <w:rFonts w:asciiTheme="majorHAnsi" w:hAnsiTheme="majorHAnsi"/>
          <w:bCs/>
          <w:sz w:val="20"/>
          <w:szCs w:val="20"/>
          <w:lang w:val="es-ES_tradnl"/>
        </w:rPr>
        <w:t xml:space="preserve"> examinó la regulación establecida en el Código Procesal Penal vigente desde 1998; y concluyó que no contaba con “</w:t>
      </w:r>
      <w:r w:rsidRPr="00190E23">
        <w:rPr>
          <w:rFonts w:asciiTheme="majorHAnsi" w:hAnsiTheme="majorHAnsi"/>
          <w:bCs/>
          <w:i/>
          <w:iCs/>
          <w:sz w:val="20"/>
          <w:szCs w:val="20"/>
          <w:lang w:val="es-ES_tradnl"/>
        </w:rPr>
        <w:t xml:space="preserve">un recurso que </w:t>
      </w:r>
      <w:r w:rsidRPr="00190E23">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190E23">
        <w:rPr>
          <w:rFonts w:asciiTheme="majorHAnsi" w:hAnsiTheme="majorHAnsi"/>
          <w:sz w:val="20"/>
          <w:szCs w:val="20"/>
          <w:lang w:val="es-ES_tradnl"/>
        </w:rPr>
        <w:t>”, dada las limitaciones que tenía la regulación del recurso de casación en el ámbito penal</w:t>
      </w:r>
      <w:r w:rsidRPr="00190E23">
        <w:rPr>
          <w:rStyle w:val="FootnoteReference"/>
          <w:rFonts w:asciiTheme="majorHAnsi" w:hAnsiTheme="majorHAnsi"/>
          <w:sz w:val="20"/>
          <w:szCs w:val="20"/>
          <w:lang w:val="es-ES_tradnl"/>
        </w:rPr>
        <w:footnoteReference w:id="7"/>
      </w:r>
      <w:r w:rsidRPr="00190E23">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190E23">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190E23">
        <w:rPr>
          <w:rFonts w:asciiTheme="majorHAnsi" w:hAnsiTheme="majorHAnsi"/>
          <w:sz w:val="20"/>
          <w:szCs w:val="20"/>
          <w:lang w:val="es-ES_tradnl"/>
        </w:rPr>
        <w:t>”</w:t>
      </w:r>
      <w:r w:rsidRPr="00190E23">
        <w:rPr>
          <w:rStyle w:val="FootnoteReference"/>
          <w:rFonts w:asciiTheme="majorHAnsi" w:hAnsiTheme="majorHAnsi"/>
          <w:sz w:val="20"/>
          <w:szCs w:val="20"/>
          <w:lang w:val="es-ES_tradnl"/>
        </w:rPr>
        <w:footnoteReference w:id="8"/>
      </w:r>
      <w:r w:rsidRPr="00190E23">
        <w:rPr>
          <w:rFonts w:asciiTheme="majorHAnsi" w:hAnsiTheme="majorHAnsi"/>
          <w:sz w:val="20"/>
          <w:szCs w:val="20"/>
          <w:lang w:val="es-ES_tradnl"/>
        </w:rPr>
        <w:t>.</w:t>
      </w:r>
    </w:p>
    <w:p w14:paraId="0D5EB3DA" w14:textId="78F3AE1C"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90E23">
        <w:rPr>
          <w:rFonts w:asciiTheme="majorHAnsi" w:hAnsiTheme="majorHAnsi"/>
          <w:bCs/>
          <w:sz w:val="20"/>
          <w:szCs w:val="20"/>
          <w:lang w:val="es-ES_tradnl"/>
        </w:rPr>
        <w:lastRenderedPageBreak/>
        <w:t>Como consecuencia de esta sentencia, Costa Rica reformó la regulación de su sistema procesal penal a efectos de contar con una regulación acorde con las obligaciones contempladas en el artículo 8.2.h) de la Convención Americana. Así, el 6 de</w:t>
      </w:r>
      <w:r w:rsidRPr="00190E23">
        <w:rPr>
          <w:rFonts w:ascii="Cambria" w:hAnsi="Cambria"/>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190E23">
        <w:rPr>
          <w:rFonts w:ascii="Cambria" w:hAnsi="Cambria"/>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190E23">
        <w:rPr>
          <w:rFonts w:ascii="Cambria" w:hAnsi="Cambria"/>
          <w:sz w:val="20"/>
          <w:szCs w:val="20"/>
          <w:lang w:val="es-ES_tradnl"/>
        </w:rPr>
        <w:t>”. En virtud de ello, la Corte Interamericana consideró que “</w:t>
      </w:r>
      <w:r w:rsidRPr="00190E23">
        <w:rPr>
          <w:rFonts w:ascii="Cambria" w:hAnsi="Cambria"/>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190E23">
        <w:rPr>
          <w:rFonts w:ascii="Cambria" w:hAnsi="Cambria"/>
          <w:sz w:val="20"/>
          <w:szCs w:val="20"/>
          <w:lang w:val="es-ES_tradnl"/>
        </w:rPr>
        <w:t>”</w:t>
      </w:r>
      <w:r w:rsidRPr="00190E23">
        <w:rPr>
          <w:rStyle w:val="FootnoteReference"/>
          <w:rFonts w:ascii="Cambria" w:hAnsi="Cambria"/>
          <w:sz w:val="20"/>
          <w:szCs w:val="20"/>
          <w:lang w:val="es-ES_tradnl"/>
        </w:rPr>
        <w:footnoteReference w:id="9"/>
      </w:r>
      <w:r w:rsidRPr="00190E23">
        <w:rPr>
          <w:rFonts w:ascii="Cambria" w:hAnsi="Cambria"/>
          <w:sz w:val="20"/>
          <w:szCs w:val="20"/>
          <w:lang w:val="es-ES_tradnl"/>
        </w:rPr>
        <w:t>.</w:t>
      </w:r>
    </w:p>
    <w:p w14:paraId="2AFDE5C0" w14:textId="77777777" w:rsidR="000B49AA" w:rsidRPr="00190E23" w:rsidRDefault="000B49AA" w:rsidP="000B49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90E23">
        <w:rPr>
          <w:rFonts w:asciiTheme="majorHAnsi" w:hAnsiTheme="majorHAnsi"/>
          <w:sz w:val="20"/>
          <w:szCs w:val="20"/>
          <w:lang w:val="es-ES_tradnl"/>
        </w:rPr>
        <w:t xml:space="preserve">Asimismo, la citada ley incorporó </w:t>
      </w:r>
      <w:r w:rsidRPr="00190E23">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w:t>
      </w:r>
      <w:r w:rsidRPr="00190E23">
        <w:rPr>
          <w:rFonts w:ascii="Cambria" w:hAnsi="Cambria"/>
          <w:sz w:val="20"/>
          <w:szCs w:val="20"/>
          <w:lang w:val="es-ES_tradnl"/>
        </w:rPr>
        <w:t>N.º</w:t>
      </w:r>
      <w:r w:rsidRPr="00190E23">
        <w:rPr>
          <w:rFonts w:asciiTheme="majorHAnsi" w:hAnsiTheme="majorHAnsi"/>
          <w:sz w:val="20"/>
          <w:szCs w:val="20"/>
          <w:lang w:val="es-ES"/>
        </w:rPr>
        <w:t xml:space="preserve"> 8503 incorporó el artículo 449 bis al Código Procesal Penal, el cual reza: </w:t>
      </w:r>
    </w:p>
    <w:p w14:paraId="6963B6E3" w14:textId="77777777" w:rsidR="000B49AA" w:rsidRPr="00190E23" w:rsidRDefault="000B49AA" w:rsidP="000B49AA">
      <w:pPr>
        <w:pStyle w:val="NormalWeb"/>
        <w:spacing w:before="0" w:beforeAutospacing="0" w:after="0" w:afterAutospacing="0"/>
        <w:ind w:left="709" w:right="798"/>
        <w:jc w:val="both"/>
        <w:rPr>
          <w:rFonts w:asciiTheme="majorHAnsi" w:hAnsiTheme="majorHAnsi" w:cs="Calibri"/>
          <w:sz w:val="20"/>
          <w:szCs w:val="20"/>
          <w:lang w:val="es-ES"/>
        </w:rPr>
      </w:pPr>
      <w:r w:rsidRPr="00190E23">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316C0EE3" w14:textId="77777777" w:rsidR="000B49AA" w:rsidRPr="00190E23" w:rsidRDefault="000B49AA" w:rsidP="000B49AA">
      <w:pPr>
        <w:pStyle w:val="NormalWeb"/>
        <w:spacing w:before="0" w:beforeAutospacing="0" w:after="0" w:afterAutospacing="0"/>
        <w:ind w:left="709" w:right="798"/>
        <w:jc w:val="both"/>
        <w:rPr>
          <w:rFonts w:asciiTheme="majorHAnsi" w:hAnsiTheme="majorHAnsi"/>
          <w:sz w:val="20"/>
          <w:szCs w:val="20"/>
          <w:lang w:val="es-ES"/>
        </w:rPr>
      </w:pPr>
    </w:p>
    <w:p w14:paraId="376B508C" w14:textId="1CEDD6C1" w:rsidR="000B49AA" w:rsidRPr="00190E23" w:rsidRDefault="000B49AA" w:rsidP="000B49AA">
      <w:pPr>
        <w:pStyle w:val="NormalWeb"/>
        <w:spacing w:before="0" w:beforeAutospacing="0" w:after="0" w:afterAutospacing="0"/>
        <w:ind w:left="709" w:right="798"/>
        <w:jc w:val="both"/>
        <w:rPr>
          <w:rFonts w:asciiTheme="majorHAnsi" w:hAnsiTheme="majorHAnsi" w:cs="Calibri"/>
          <w:sz w:val="20"/>
          <w:szCs w:val="20"/>
          <w:lang w:val="es-ES"/>
        </w:rPr>
      </w:pPr>
      <w:r w:rsidRPr="00190E23">
        <w:rPr>
          <w:rFonts w:asciiTheme="majorHAnsi" w:hAnsiTheme="majorHAnsi" w:cs="Calibri"/>
          <w:sz w:val="20"/>
          <w:szCs w:val="20"/>
          <w:lang w:val="es-ES"/>
        </w:rPr>
        <w:t>De igual manera, podrá valorar en forma directa la prueba que se haya introducido por escrito al juicio.</w:t>
      </w:r>
    </w:p>
    <w:p w14:paraId="052677F5" w14:textId="77777777"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90E23">
        <w:rPr>
          <w:rFonts w:asciiTheme="majorHAnsi" w:hAnsiTheme="majorHAnsi"/>
          <w:bCs/>
          <w:sz w:val="20"/>
          <w:szCs w:val="20"/>
          <w:lang w:val="es-ES_tradnl"/>
        </w:rPr>
        <w:t>Adicionalmente, tanto la Comisión como la Corte IDH también constataron que e</w:t>
      </w:r>
      <w:r w:rsidRPr="00190E23">
        <w:rPr>
          <w:rFonts w:ascii="Cambria" w:hAnsi="Cambria"/>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2FD4A99A" w14:textId="77777777"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90E23">
        <w:rPr>
          <w:rFonts w:ascii="Cambria" w:hAnsi="Cambria"/>
          <w:sz w:val="20"/>
          <w:szCs w:val="20"/>
          <w:lang w:val="es-ES_tradnl"/>
        </w:rPr>
        <w:t xml:space="preserve">Como consecuencia de las citadas modificaciones, en la sentencia del caso </w:t>
      </w:r>
      <w:r w:rsidRPr="00190E23">
        <w:rPr>
          <w:rFonts w:ascii="Cambria" w:hAnsi="Cambria"/>
          <w:i/>
          <w:iCs/>
          <w:sz w:val="20"/>
          <w:szCs w:val="20"/>
          <w:lang w:val="es-ES_tradnl"/>
        </w:rPr>
        <w:t>Amrhein y otros vs. Costa Rica</w:t>
      </w:r>
      <w:r w:rsidRPr="00190E23">
        <w:rPr>
          <w:rFonts w:ascii="Cambria" w:hAnsi="Cambria"/>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0C7B4A3F" w14:textId="77777777"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90E23">
        <w:rPr>
          <w:rFonts w:ascii="Cambria" w:hAnsi="Cambria"/>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190E23">
        <w:rPr>
          <w:rFonts w:ascii="Cambria" w:hAnsi="Cambria"/>
          <w:i/>
          <w:iCs/>
          <w:sz w:val="20"/>
          <w:szCs w:val="20"/>
          <w:lang w:val="es-ES_tradnl"/>
        </w:rPr>
        <w:t>el hecho de que se trataría de un recurso extraordinario no puede ser determinante, per se, para concluir su inefectividad”</w:t>
      </w:r>
      <w:r w:rsidRPr="00190E23">
        <w:rPr>
          <w:rStyle w:val="FootnoteReference"/>
          <w:rFonts w:ascii="Cambria" w:hAnsi="Cambria"/>
          <w:i/>
          <w:iCs/>
          <w:sz w:val="20"/>
          <w:szCs w:val="20"/>
          <w:lang w:val="es-ES_tradnl"/>
        </w:rPr>
        <w:footnoteReference w:id="10"/>
      </w:r>
      <w:r w:rsidRPr="00190E23">
        <w:rPr>
          <w:rFonts w:ascii="Cambria" w:hAnsi="Cambria"/>
          <w:i/>
          <w:iCs/>
          <w:sz w:val="20"/>
          <w:szCs w:val="20"/>
          <w:lang w:val="es-ES_tradnl"/>
        </w:rPr>
        <w:t xml:space="preserve">. </w:t>
      </w:r>
      <w:r w:rsidRPr="00190E23">
        <w:rPr>
          <w:rFonts w:ascii="Cambria" w:hAnsi="Cambria"/>
          <w:sz w:val="20"/>
          <w:szCs w:val="20"/>
          <w:lang w:val="es-ES_tradnl"/>
        </w:rPr>
        <w:t xml:space="preserve">En consecuencia, siguiendo la citada jurisprudencia, la Comisión considera que, a efectos de determinar la admisibilidad de un asunto sobre </w:t>
      </w:r>
      <w:r w:rsidRPr="00190E23">
        <w:rPr>
          <w:rFonts w:ascii="Cambria" w:hAnsi="Cambria"/>
          <w:sz w:val="20"/>
          <w:szCs w:val="20"/>
          <w:lang w:val="es-ES_tradnl"/>
        </w:rPr>
        <w:lastRenderedPageBreak/>
        <w:t xml:space="preserve">esta temática, debe determinar si la citada vía recursiva estuvo a disposición de las presuntas víctimas tras la emisión de su condena, y de ser este el supuesto, verificar si agotaron o no tal recurso. </w:t>
      </w:r>
    </w:p>
    <w:p w14:paraId="70DC096F" w14:textId="77777777"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90E23">
        <w:rPr>
          <w:rFonts w:ascii="Cambria" w:hAnsi="Cambria"/>
          <w:sz w:val="20"/>
          <w:szCs w:val="20"/>
          <w:lang w:val="es-ES_tradnl"/>
        </w:rPr>
        <w:t>Finalmente, a efectos del análisis de caracterización de las peticiones, la Comisión nota que la Corte Interamericana concluyó en la citada sentencia que no correspondía “</w:t>
      </w:r>
      <w:r w:rsidRPr="00190E23">
        <w:rPr>
          <w:rFonts w:ascii="Cambria" w:hAnsi="Cambria"/>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190E23">
        <w:rPr>
          <w:rFonts w:ascii="Cambria" w:hAnsi="Cambria"/>
          <w:sz w:val="20"/>
          <w:szCs w:val="20"/>
          <w:lang w:val="es-ES_tradnl"/>
        </w:rPr>
        <w:t xml:space="preserve"> […]”</w:t>
      </w:r>
      <w:r w:rsidRPr="00190E23">
        <w:rPr>
          <w:rStyle w:val="FootnoteReference"/>
          <w:rFonts w:ascii="Cambria" w:hAnsi="Cambria"/>
          <w:sz w:val="20"/>
          <w:szCs w:val="20"/>
          <w:lang w:val="es-ES_tradnl"/>
        </w:rPr>
        <w:footnoteReference w:id="11"/>
      </w:r>
      <w:r w:rsidRPr="00190E23">
        <w:rPr>
          <w:rFonts w:ascii="Cambria" w:hAnsi="Cambria"/>
          <w:sz w:val="20"/>
          <w:szCs w:val="20"/>
          <w:lang w:val="es-ES_tradnl"/>
        </w:rPr>
        <w:t xml:space="preserve">. Asimismo, recuerda que en la resolución de supervisión de cumplimiento del 22 de noviembre de 2010 del caso </w:t>
      </w:r>
      <w:r w:rsidRPr="00190E23">
        <w:rPr>
          <w:rFonts w:ascii="Cambria" w:hAnsi="Cambria"/>
          <w:i/>
          <w:iCs/>
          <w:sz w:val="20"/>
          <w:szCs w:val="20"/>
          <w:lang w:val="es-ES_tradnl"/>
        </w:rPr>
        <w:t xml:space="preserve">Herrera Ulloa vs. Costa Rica, </w:t>
      </w:r>
      <w:r w:rsidRPr="00190E23">
        <w:rPr>
          <w:rFonts w:ascii="Cambria" w:hAnsi="Cambria"/>
          <w:sz w:val="20"/>
          <w:szCs w:val="20"/>
          <w:lang w:val="es-ES_tradnl"/>
        </w:rPr>
        <w:t>el Tribunal valoró positivamente las reformas introducidas en la legislación procesal penal y, en virtud de tales modificaciones, concluyó que “</w:t>
      </w:r>
      <w:r w:rsidRPr="00190E23">
        <w:rPr>
          <w:rFonts w:ascii="Cambria" w:hAnsi="Cambria"/>
          <w:i/>
          <w:iCs/>
          <w:sz w:val="20"/>
          <w:szCs w:val="20"/>
          <w:lang w:val="es-ES_tradnl"/>
        </w:rPr>
        <w:t>al garantizar la posibilidad de un amplio control de la sentencia emitida por un tribunal de juicio en materia penal a nivel interno</w:t>
      </w:r>
      <w:r w:rsidRPr="00190E23">
        <w:rPr>
          <w:rFonts w:ascii="Cambria" w:hAnsi="Cambria"/>
          <w:sz w:val="20"/>
          <w:szCs w:val="20"/>
          <w:lang w:val="es-ES_tradnl"/>
        </w:rPr>
        <w:t>”</w:t>
      </w:r>
      <w:r w:rsidRPr="00190E23">
        <w:rPr>
          <w:rStyle w:val="FootnoteReference"/>
          <w:rFonts w:ascii="Cambria" w:hAnsi="Cambria"/>
          <w:sz w:val="20"/>
          <w:szCs w:val="20"/>
          <w:lang w:val="es-ES_tradnl"/>
        </w:rPr>
        <w:footnoteReference w:id="12"/>
      </w:r>
      <w:r w:rsidRPr="00190E23">
        <w:rPr>
          <w:rFonts w:ascii="Cambria" w:hAnsi="Cambria"/>
          <w:sz w:val="20"/>
          <w:szCs w:val="20"/>
          <w:lang w:val="es-ES_tradnl"/>
        </w:rPr>
        <w:t xml:space="preserve">, Costa Rica había cumplido con adecuar su legislación interna. </w:t>
      </w:r>
    </w:p>
    <w:p w14:paraId="4462CA28" w14:textId="52FEA0A0" w:rsidR="00FC643C" w:rsidRPr="00190E23" w:rsidRDefault="00FC643C" w:rsidP="00FC64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190E23">
        <w:rPr>
          <w:rFonts w:ascii="Cambria" w:hAnsi="Cambria"/>
          <w:sz w:val="20"/>
          <w:szCs w:val="20"/>
          <w:lang w:val="es-ES_tradnl"/>
        </w:rPr>
        <w:t>Sin perjuicio de ello, la Comisión destaca que las citadas normas</w:t>
      </w:r>
      <w:r w:rsidRPr="00190E23">
        <w:rPr>
          <w:rFonts w:ascii="Cambria" w:hAnsi="Cambria" w:cs="Calibri"/>
          <w:sz w:val="20"/>
          <w:szCs w:val="20"/>
          <w:lang w:val="es-ES_tradnl"/>
        </w:rPr>
        <w:t xml:space="preserve"> reconocieron a aquell</w:t>
      </w:r>
      <w:r w:rsidR="00CF2E3B" w:rsidRPr="00190E23">
        <w:rPr>
          <w:rFonts w:ascii="Cambria" w:hAnsi="Cambria" w:cs="Calibri"/>
          <w:sz w:val="20"/>
          <w:szCs w:val="20"/>
          <w:lang w:val="es-ES_tradnl"/>
        </w:rPr>
        <w:t>a</w:t>
      </w:r>
      <w:r w:rsidRPr="00190E23">
        <w:rPr>
          <w:rFonts w:ascii="Cambria" w:hAnsi="Cambria" w:cs="Calibri"/>
          <w:sz w:val="20"/>
          <w:szCs w:val="20"/>
          <w:lang w:val="es-ES_tradnl"/>
        </w:rPr>
        <w:t>s</w:t>
      </w:r>
      <w:r w:rsidR="00CF2E3B" w:rsidRPr="00190E23">
        <w:rPr>
          <w:rFonts w:ascii="Cambria" w:hAnsi="Cambria" w:cs="Calibri"/>
          <w:sz w:val="20"/>
          <w:szCs w:val="20"/>
          <w:lang w:val="es-ES_tradnl"/>
        </w:rPr>
        <w:t xml:space="preserve"> personas</w:t>
      </w:r>
      <w:r w:rsidRPr="00190E23">
        <w:rPr>
          <w:rFonts w:ascii="Cambria" w:hAnsi="Cambria" w:cs="Calibri"/>
          <w:sz w:val="20"/>
          <w:szCs w:val="20"/>
          <w:lang w:val="es-ES_tradnl"/>
        </w:rPr>
        <w:t xml:space="preserve">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190E23">
        <w:rPr>
          <w:rFonts w:ascii="Cambria" w:hAnsi="Cambria" w:cs="Calibri"/>
          <w:i/>
          <w:iCs/>
          <w:sz w:val="20"/>
          <w:szCs w:val="20"/>
          <w:lang w:val="es-ES_tradnl"/>
        </w:rPr>
        <w:t>el agravio y los aspectos de hecho y derecho que no fueron posibles de conocer en casación</w:t>
      </w:r>
      <w:r w:rsidRPr="00190E23">
        <w:rPr>
          <w:rFonts w:ascii="Cambria" w:hAnsi="Cambria" w:cs="Calibri"/>
          <w:sz w:val="20"/>
          <w:szCs w:val="20"/>
          <w:lang w:val="es-ES_tradnl"/>
        </w:rPr>
        <w:t>”. Por su parte, el Transitorio III de la ley 8837 demandaba para la procedencia del procedimiento de revisión que el condenado “</w:t>
      </w:r>
      <w:r w:rsidRPr="00190E23">
        <w:rPr>
          <w:rFonts w:ascii="Cambria" w:hAnsi="Cambria" w:cs="Calibri"/>
          <w:i/>
          <w:iCs/>
          <w:sz w:val="20"/>
          <w:szCs w:val="20"/>
          <w:lang w:val="es-ES_tradnl"/>
        </w:rPr>
        <w:t>haya alegado con anterioridad la vulneración del artículo 8.2.h de la Convención</w:t>
      </w:r>
      <w:r w:rsidRPr="00190E23">
        <w:rPr>
          <w:rFonts w:ascii="Cambria" w:hAnsi="Cambria" w:cs="Calibri"/>
          <w:sz w:val="20"/>
          <w:szCs w:val="20"/>
          <w:lang w:val="es-ES_tradnl"/>
        </w:rPr>
        <w:t xml:space="preserve">”.   </w:t>
      </w:r>
    </w:p>
    <w:p w14:paraId="1CF22A7D" w14:textId="77777777" w:rsidR="00FC643C" w:rsidRPr="00190E23" w:rsidRDefault="00FC643C" w:rsidP="00FC64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190E23">
        <w:rPr>
          <w:rFonts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190E23">
        <w:rPr>
          <w:rStyle w:val="FootnoteReference"/>
          <w:rFonts w:cs="Calibri"/>
          <w:sz w:val="20"/>
          <w:szCs w:val="20"/>
          <w:lang w:val="es-ES_tradnl"/>
        </w:rPr>
        <w:footnoteReference w:id="13"/>
      </w:r>
      <w:r w:rsidRPr="00190E23">
        <w:rPr>
          <w:rFonts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1154BB9B" w14:textId="77777777" w:rsidR="00FC643C" w:rsidRPr="00190E23" w:rsidRDefault="00FC643C" w:rsidP="00FC64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7AADD3A4" w14:textId="77777777" w:rsidR="00FC643C" w:rsidRPr="00190E23" w:rsidRDefault="00FC643C" w:rsidP="00FC64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190E23">
        <w:rPr>
          <w:sz w:val="20"/>
          <w:szCs w:val="20"/>
          <w:lang w:val="es-ES_tradnl"/>
        </w:rPr>
        <w:t>No obstante, la Comisión reconoce, en primer término, que la Sala Constitucional de la Corte Suprema de Justicia de Costa Rica se refirió en reiterados pronunciamientos a la necesidad de “</w:t>
      </w:r>
      <w:r w:rsidRPr="00190E23">
        <w:rPr>
          <w:i/>
          <w:iCs/>
          <w:sz w:val="20"/>
          <w:szCs w:val="20"/>
          <w:lang w:val="es-ES_tradnl"/>
        </w:rPr>
        <w:t>asegurar el derecho al recurso, excluyendo formalismos que impidieran la revisión de las sentencias de condena, a fin de satisfacer lo dispuesto por el artículo 8.2.h de la Convención</w:t>
      </w:r>
      <w:r w:rsidRPr="00190E23">
        <w:rPr>
          <w:sz w:val="20"/>
          <w:szCs w:val="20"/>
          <w:lang w:val="es-ES_tradnl"/>
        </w:rPr>
        <w:t>”</w:t>
      </w:r>
      <w:r w:rsidRPr="00190E23">
        <w:rPr>
          <w:rStyle w:val="FootnoteReference"/>
          <w:sz w:val="20"/>
          <w:szCs w:val="20"/>
          <w:lang w:val="es-ES_tradnl"/>
        </w:rPr>
        <w:footnoteReference w:id="14"/>
      </w:r>
      <w:r w:rsidRPr="00190E23">
        <w:rPr>
          <w:sz w:val="20"/>
          <w:szCs w:val="20"/>
          <w:lang w:val="es-ES_tradnl"/>
        </w:rPr>
        <w:t>.</w:t>
      </w:r>
    </w:p>
    <w:p w14:paraId="799D2C77" w14:textId="77777777" w:rsidR="00FC643C" w:rsidRPr="00190E23" w:rsidRDefault="00FC643C" w:rsidP="00FC64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1DBFD508" w14:textId="77777777" w:rsidR="00FC643C" w:rsidRPr="00190E23" w:rsidRDefault="00FC643C" w:rsidP="00FC64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190E23">
        <w:rPr>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190E23">
        <w:rPr>
          <w:i/>
          <w:iCs/>
          <w:sz w:val="20"/>
          <w:szCs w:val="20"/>
          <w:lang w:val="es-ES_tradnl"/>
        </w:rPr>
        <w:t>Herrera Ulloa</w:t>
      </w:r>
      <w:r w:rsidRPr="00190E23">
        <w:rPr>
          <w:sz w:val="20"/>
          <w:szCs w:val="20"/>
          <w:lang w:val="es-ES_tradnl"/>
        </w:rPr>
        <w:t xml:space="preserve">. </w:t>
      </w:r>
    </w:p>
    <w:p w14:paraId="635C5ADD" w14:textId="77777777" w:rsidR="00FC643C" w:rsidRPr="00190E23" w:rsidRDefault="00FC643C" w:rsidP="00FC64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6916AAA6" w14:textId="77777777" w:rsidR="00FC643C" w:rsidRPr="00190E23" w:rsidRDefault="00FC643C" w:rsidP="00FC64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190E23">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259D7E65" w14:textId="77777777" w:rsidR="00FC643C" w:rsidRPr="00190E23" w:rsidRDefault="00FC643C" w:rsidP="00FC64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2606A53C" w14:textId="77777777" w:rsidR="00FC643C" w:rsidRPr="00190E23" w:rsidRDefault="00FC643C" w:rsidP="00FC64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190E23">
        <w:rPr>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190E23">
        <w:rPr>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190E23">
        <w:rPr>
          <w:sz w:val="20"/>
          <w:szCs w:val="20"/>
          <w:lang w:val="es-ES_tradnl"/>
        </w:rPr>
        <w:t>”</w:t>
      </w:r>
      <w:r w:rsidRPr="00190E23">
        <w:rPr>
          <w:rStyle w:val="FootnoteReference"/>
          <w:sz w:val="20"/>
          <w:szCs w:val="20"/>
          <w:lang w:val="es-ES_tradnl"/>
        </w:rPr>
        <w:footnoteReference w:id="15"/>
      </w:r>
      <w:r w:rsidRPr="00190E23">
        <w:rPr>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190E23">
        <w:rPr>
          <w:i/>
          <w:iCs/>
          <w:sz w:val="20"/>
          <w:szCs w:val="20"/>
          <w:lang w:val="es-ES_tradnl"/>
        </w:rPr>
        <w:t>prima facie</w:t>
      </w:r>
      <w:r w:rsidRPr="00190E23">
        <w:rPr>
          <w:sz w:val="20"/>
          <w:szCs w:val="20"/>
          <w:lang w:val="es-ES_tradnl"/>
        </w:rPr>
        <w:t xml:space="preserve"> violaciones a la Convención Americana, en los términos de su artículo 47.</w:t>
      </w:r>
    </w:p>
    <w:p w14:paraId="67FDBFA4" w14:textId="77777777" w:rsidR="00FC643C" w:rsidRPr="00190E23" w:rsidRDefault="00FC643C" w:rsidP="00FC643C">
      <w:pPr>
        <w:spacing w:before="240" w:after="240"/>
        <w:ind w:firstLine="720"/>
        <w:jc w:val="both"/>
        <w:rPr>
          <w:rFonts w:ascii="Cambria" w:hAnsi="Cambria"/>
          <w:sz w:val="20"/>
          <w:szCs w:val="20"/>
          <w:lang w:val="es-UY"/>
        </w:rPr>
      </w:pPr>
      <w:r w:rsidRPr="00190E23">
        <w:rPr>
          <w:rFonts w:asciiTheme="majorHAnsi" w:eastAsia="Cambria" w:hAnsiTheme="majorHAnsi" w:cs="Cambria"/>
          <w:b/>
          <w:bCs/>
          <w:color w:val="000000"/>
          <w:sz w:val="20"/>
          <w:szCs w:val="20"/>
          <w:u w:color="000000"/>
          <w:lang w:val="es-ES" w:eastAsia="es-ES"/>
        </w:rPr>
        <w:t>VII.</w:t>
      </w:r>
      <w:r w:rsidRPr="00190E23">
        <w:rPr>
          <w:rFonts w:asciiTheme="majorHAnsi" w:eastAsia="Cambria" w:hAnsiTheme="majorHAnsi" w:cs="Cambria"/>
          <w:b/>
          <w:bCs/>
          <w:color w:val="000000"/>
          <w:sz w:val="20"/>
          <w:szCs w:val="20"/>
          <w:u w:color="000000"/>
          <w:lang w:val="es-ES" w:eastAsia="es-ES"/>
        </w:rPr>
        <w:tab/>
      </w:r>
      <w:r w:rsidRPr="00190E23">
        <w:rPr>
          <w:rFonts w:asciiTheme="majorHAnsi" w:hAnsiTheme="majorHAnsi"/>
          <w:b/>
          <w:bCs/>
          <w:sz w:val="20"/>
          <w:szCs w:val="20"/>
          <w:lang w:val="es-ES_tradnl"/>
        </w:rPr>
        <w:t xml:space="preserve">ANÁLISIS DE </w:t>
      </w:r>
      <w:r w:rsidRPr="00190E23">
        <w:rPr>
          <w:rFonts w:asciiTheme="majorHAnsi" w:hAnsiTheme="majorHAnsi"/>
          <w:b/>
          <w:sz w:val="20"/>
          <w:szCs w:val="20"/>
          <w:lang w:val="es-ES"/>
        </w:rPr>
        <w:t>AGOTAMIENTO DE LOS RECURSOS INTERNOS Y PLAZO DE PRESENTACIÓN</w:t>
      </w:r>
      <w:r w:rsidRPr="00190E23">
        <w:rPr>
          <w:rFonts w:asciiTheme="majorHAnsi" w:eastAsia="Cambria" w:hAnsiTheme="majorHAnsi" w:cs="Cambria"/>
          <w:b/>
          <w:bCs/>
          <w:color w:val="000000"/>
          <w:sz w:val="20"/>
          <w:szCs w:val="20"/>
          <w:u w:color="000000"/>
          <w:lang w:val="es-ES" w:eastAsia="es-ES"/>
        </w:rPr>
        <w:t xml:space="preserve"> </w:t>
      </w:r>
    </w:p>
    <w:p w14:paraId="4C52F9CD" w14:textId="5A812B10" w:rsidR="000B49AA" w:rsidRPr="00190E23" w:rsidRDefault="000B49AA" w:rsidP="000B49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90E23">
        <w:rPr>
          <w:rFonts w:ascii="Cambria" w:hAnsi="Cambria"/>
          <w:sz w:val="20"/>
          <w:szCs w:val="20"/>
          <w:lang w:val="es-ES"/>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190E23">
        <w:rPr>
          <w:rStyle w:val="FootnoteReference"/>
          <w:rFonts w:ascii="Cambria" w:hAnsi="Cambria"/>
          <w:sz w:val="20"/>
          <w:szCs w:val="20"/>
          <w:lang w:val="es-ES"/>
        </w:rPr>
        <w:footnoteReference w:id="16"/>
      </w:r>
      <w:r w:rsidRPr="00190E23">
        <w:rPr>
          <w:rFonts w:ascii="Cambria" w:hAnsi="Cambria"/>
          <w:sz w:val="20"/>
          <w:szCs w:val="20"/>
          <w:lang w:val="es-ES"/>
        </w:rPr>
        <w:t xml:space="preserve">. </w:t>
      </w:r>
    </w:p>
    <w:p w14:paraId="2E8428D6" w14:textId="28D30CC0" w:rsidR="000B49AA" w:rsidRPr="00190E23" w:rsidRDefault="000B49AA" w:rsidP="000B49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90E23">
        <w:rPr>
          <w:rFonts w:ascii="Cambria" w:hAnsi="Cambria"/>
          <w:sz w:val="20"/>
          <w:szCs w:val="20"/>
          <w:lang w:val="es-ES_tradnl"/>
        </w:rPr>
        <w:t xml:space="preserve">Con base en las consideraciones previamente expuestas, la Comisión observa que, en el presente caso, </w:t>
      </w:r>
      <w:r w:rsidRPr="00190E23">
        <w:rPr>
          <w:rFonts w:ascii="Cambria" w:hAnsi="Cambria"/>
          <w:sz w:val="20"/>
          <w:szCs w:val="20"/>
          <w:lang w:val="es-AR"/>
        </w:rPr>
        <w:t xml:space="preserve">el 9 de julio de 2009 la Sala Tercera de la Corte Suprema de Justicia rechazó el recurso de casación presentado por la presunta víctima contra su sentencia condenatoria de primera instancia. </w:t>
      </w:r>
      <w:r w:rsidR="00AD74FF" w:rsidRPr="00190E23">
        <w:rPr>
          <w:rFonts w:ascii="Cambria" w:hAnsi="Cambria"/>
          <w:sz w:val="20"/>
          <w:szCs w:val="20"/>
          <w:lang w:val="es-AR"/>
        </w:rPr>
        <w:t>Tras ello, la representación del señor Alvarado Moya presentó un recurso de revisión, pero el 14 de junio de 2013 la Sala Tercera de la Corte Suprema de Justicia lo desestimó.</w:t>
      </w:r>
    </w:p>
    <w:p w14:paraId="73481CC1" w14:textId="6117DD1F" w:rsidR="00AD74FF" w:rsidRPr="00190E23" w:rsidRDefault="00AD74FF" w:rsidP="00AD74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90E23">
        <w:rPr>
          <w:rFonts w:ascii="Cambria" w:hAnsi="Cambria"/>
          <w:sz w:val="20"/>
          <w:szCs w:val="20"/>
          <w:lang w:val="es-AR"/>
        </w:rPr>
        <w:t xml:space="preserve">Al respecto, si bien el Estado plantea que el señor </w:t>
      </w:r>
      <w:r w:rsidR="00190E23" w:rsidRPr="00190E23">
        <w:rPr>
          <w:rFonts w:ascii="Cambria" w:hAnsi="Cambria"/>
          <w:sz w:val="20"/>
          <w:szCs w:val="20"/>
          <w:lang w:val="es-AR"/>
        </w:rPr>
        <w:t>Alvarado Moya</w:t>
      </w:r>
      <w:r w:rsidRPr="00190E23">
        <w:rPr>
          <w:rFonts w:ascii="Cambria" w:hAnsi="Cambria"/>
          <w:sz w:val="20"/>
          <w:szCs w:val="20"/>
          <w:lang w:val="es-AR"/>
        </w:rPr>
        <w:t xml:space="preserve"> podía utilizar el procedimiento especial de revisión contemplado en el Transitorio I </w:t>
      </w:r>
      <w:r w:rsidRPr="00190E23">
        <w:rPr>
          <w:rFonts w:ascii="Cambria" w:hAnsi="Cambria"/>
          <w:sz w:val="20"/>
          <w:szCs w:val="20"/>
          <w:lang w:val="es-ES_tradnl"/>
        </w:rPr>
        <w:t xml:space="preserve">de la Ley N.º 8503, la Comisión nota que, conforme al texto de la citada disposición, esta vía solo podía ser utilizada por personas condenadas con anterioridad al 6 de junio de 2006, fecha de promulgación de la referida ley. En tal sentido, a juicio de la Comisión, el referido mecanismo no estaba a disposición de la presunta víctima, dada la fecha en que se emitió su condena, y por ende no resulta exigible su agotamiento a efectos de cumplir con el requisito previsto en el artículo 46.1.a) de la Convención Americana. </w:t>
      </w:r>
    </w:p>
    <w:p w14:paraId="30841F83" w14:textId="77777777" w:rsidR="00AD74FF" w:rsidRPr="00190E23" w:rsidRDefault="00AD74FF" w:rsidP="00AD74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90E23">
        <w:rPr>
          <w:rFonts w:ascii="Cambria" w:hAnsi="Cambria"/>
          <w:sz w:val="20"/>
          <w:szCs w:val="20"/>
          <w:lang w:val="es-ES_tradnl"/>
        </w:rPr>
        <w:t xml:space="preserve">Sin perjuicio de ello, el Estado plantea que la presunta víctima también podía presentar el procedimiento especial de revisión contemplado en el Transitorio IIII de la Ley N.º 8837, dado que este entró en vigor el 9 de diciembre de 2011. </w:t>
      </w:r>
      <w:r w:rsidRPr="00190E23">
        <w:rPr>
          <w:rFonts w:asciiTheme="majorHAnsi" w:hAnsiTheme="majorHAnsi"/>
          <w:sz w:val="20"/>
          <w:szCs w:val="20"/>
          <w:lang w:val="es-ES_tradnl"/>
        </w:rPr>
        <w:t>Sin embargo, la Comisión recuerda que</w:t>
      </w:r>
      <w:r w:rsidRPr="00190E23">
        <w:rPr>
          <w:rFonts w:asciiTheme="majorHAnsi" w:hAnsiTheme="majorHAnsi"/>
          <w:sz w:val="20"/>
          <w:szCs w:val="20"/>
          <w:lang w:val="es-ES"/>
        </w:rPr>
        <w:t>, como regla general, la parte peticionaria solo tiene en principio la obligación de agotar las vías ordinarias a nivel interno</w:t>
      </w:r>
      <w:r w:rsidRPr="00190E23">
        <w:rPr>
          <w:rStyle w:val="FootnoteReference"/>
          <w:sz w:val="20"/>
          <w:szCs w:val="20"/>
        </w:rPr>
        <w:footnoteReference w:id="17"/>
      </w:r>
      <w:r w:rsidRPr="00190E23">
        <w:rPr>
          <w:rFonts w:asciiTheme="majorHAnsi" w:hAnsiTheme="majorHAnsi"/>
          <w:sz w:val="20"/>
          <w:szCs w:val="20"/>
          <w:lang w:val="es-ES"/>
        </w:rPr>
        <w:t xml:space="preserve">. En tal sentido, </w:t>
      </w:r>
      <w:r w:rsidRPr="00190E23">
        <w:rPr>
          <w:rFonts w:asciiTheme="majorHAnsi" w:hAnsiTheme="majorHAnsi"/>
          <w:sz w:val="20"/>
          <w:szCs w:val="20"/>
          <w:lang w:val="es-US"/>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190E23">
        <w:rPr>
          <w:rStyle w:val="FootnoteReference"/>
          <w:rFonts w:asciiTheme="majorHAnsi" w:hAnsiTheme="majorHAnsi"/>
          <w:sz w:val="20"/>
          <w:szCs w:val="20"/>
          <w:lang w:val="es-US"/>
        </w:rPr>
        <w:footnoteReference w:id="18"/>
      </w:r>
      <w:r w:rsidRPr="00190E23">
        <w:rPr>
          <w:rFonts w:asciiTheme="majorHAnsi" w:hAnsiTheme="majorHAnsi"/>
          <w:sz w:val="20"/>
          <w:szCs w:val="20"/>
          <w:lang w:val="es-US"/>
        </w:rPr>
        <w:t>.</w:t>
      </w:r>
    </w:p>
    <w:p w14:paraId="439CD946" w14:textId="5E778459" w:rsidR="00AD74FF" w:rsidRPr="00190E23" w:rsidRDefault="00AD74FF" w:rsidP="00AD74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90E23">
        <w:rPr>
          <w:rFonts w:asciiTheme="majorHAnsi" w:hAnsiTheme="majorHAnsi"/>
          <w:sz w:val="20"/>
          <w:szCs w:val="20"/>
          <w:lang w:val="es-ES"/>
        </w:rPr>
        <w:t xml:space="preserve">En el presente asunto, la Comisión considera que, por la forma cómo se encuentra regulado y por su posición dentro del procedimiento penal costarricense, </w:t>
      </w:r>
      <w:r w:rsidRPr="00190E23">
        <w:rPr>
          <w:rFonts w:asciiTheme="majorHAnsi" w:hAnsiTheme="majorHAnsi"/>
          <w:sz w:val="20"/>
          <w:szCs w:val="20"/>
          <w:lang w:val="es-ES_tradnl"/>
        </w:rPr>
        <w:t xml:space="preserve">el procedimiento especial de revisión contemplado en el Transitorio IIII de la Ley N.º 8837 </w:t>
      </w:r>
      <w:r w:rsidRPr="00190E23">
        <w:rPr>
          <w:rFonts w:asciiTheme="majorHAnsi" w:hAnsiTheme="majorHAnsi"/>
          <w:sz w:val="20"/>
          <w:szCs w:val="20"/>
          <w:lang w:val="es-ES"/>
        </w:rPr>
        <w:t xml:space="preserve">es extraordinario. En consecuencia, su agotamiento no </w:t>
      </w:r>
      <w:r w:rsidRPr="00190E23">
        <w:rPr>
          <w:rFonts w:asciiTheme="majorHAnsi" w:hAnsiTheme="majorHAnsi"/>
          <w:sz w:val="20"/>
          <w:szCs w:val="20"/>
          <w:lang w:val="es-ES"/>
        </w:rPr>
        <w:lastRenderedPageBreak/>
        <w:t xml:space="preserve">resultaba obligatorio para la presunta víctima, en tanto esta cumplió con utilizar previamente la </w:t>
      </w:r>
      <w:r w:rsidRPr="00190E23">
        <w:rPr>
          <w:sz w:val="20"/>
          <w:szCs w:val="20"/>
          <w:lang w:val="es-ES_tradnl"/>
        </w:rPr>
        <w:t xml:space="preserve">vía de casación, la cual, en virtud de las modificaciones introducidas por la </w:t>
      </w:r>
      <w:r w:rsidRPr="00190E23">
        <w:rPr>
          <w:rFonts w:asciiTheme="majorHAnsi" w:hAnsiTheme="majorHAnsi"/>
          <w:sz w:val="20"/>
          <w:szCs w:val="20"/>
          <w:lang w:val="es-ES"/>
        </w:rPr>
        <w:t xml:space="preserve">Ley </w:t>
      </w:r>
      <w:r w:rsidRPr="00190E23">
        <w:rPr>
          <w:sz w:val="20"/>
          <w:szCs w:val="20"/>
          <w:lang w:val="es-ES_tradnl"/>
        </w:rPr>
        <w:t>N.º</w:t>
      </w:r>
      <w:r w:rsidRPr="00190E23">
        <w:rPr>
          <w:rFonts w:asciiTheme="majorHAnsi" w:hAnsiTheme="majorHAnsi"/>
          <w:sz w:val="20"/>
          <w:szCs w:val="20"/>
          <w:lang w:val="es-ES"/>
        </w:rPr>
        <w:t xml:space="preserve"> 8503, resultaba en principio una vía idónea para que sus reclamos, referidos a la afectación de los derechos a recurrir el fallo y al principio de legalidad</w:t>
      </w:r>
      <w:r w:rsidRPr="00190E23">
        <w:rPr>
          <w:sz w:val="20"/>
          <w:szCs w:val="20"/>
          <w:lang w:val="es-AR"/>
        </w:rPr>
        <w:t xml:space="preserve">, </w:t>
      </w:r>
      <w:r w:rsidRPr="00190E23">
        <w:rPr>
          <w:rFonts w:asciiTheme="majorHAnsi" w:hAnsiTheme="majorHAnsi"/>
          <w:sz w:val="20"/>
          <w:szCs w:val="20"/>
          <w:lang w:val="es-ES"/>
        </w:rPr>
        <w:t xml:space="preserve">sean debidamente sean atendidos. Sin perjuicio de ello, la Comisión destaca que no resulta claro si, para la situación de la presunta víctima, el citado procedimiento de revisión era idóneo para remediar la afectación alegada, toda vez que exige que previamente se haya alegado en otra vía la afectación del derecho contemplado en el artículo 8.2.h) de la Convención. </w:t>
      </w:r>
    </w:p>
    <w:p w14:paraId="2A1D3269" w14:textId="7B41790C" w:rsidR="00AD74FF" w:rsidRPr="00190E23" w:rsidRDefault="00AD74FF" w:rsidP="00AD74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90E23">
        <w:rPr>
          <w:rFonts w:ascii="Cambria" w:hAnsi="Cambria"/>
          <w:sz w:val="20"/>
          <w:szCs w:val="20"/>
          <w:lang w:val="es-ES_tradnl"/>
        </w:rPr>
        <w:t xml:space="preserve">En consecuencia, la Comisión considera que el Estado tuvo la oportunidad de solventar la situación denunciada mediante sus mecanismos internos y, por ende, se cumple el requisito previsto en el artículo 46.1.a) de la Convención Americana. Asimismo, dado que la resolución del último recurso de revisión se produjo cuando el presente asunto se encontraba bajo estudio de admisibilidad, la Comisión concluye que también se cumple el requisito de plazo previsto en el artículo 46.1.b) de la Convención. </w:t>
      </w:r>
      <w:r w:rsidRPr="00190E23">
        <w:rPr>
          <w:rFonts w:ascii="Cambria" w:hAnsi="Cambria"/>
          <w:sz w:val="20"/>
          <w:szCs w:val="20"/>
          <w:lang w:val="es-ES"/>
        </w:rPr>
        <w:t xml:space="preserve"> </w:t>
      </w:r>
    </w:p>
    <w:p w14:paraId="08C2E872" w14:textId="69CCA98A" w:rsidR="00390DE4" w:rsidRPr="00923DE8" w:rsidRDefault="00AD74FF" w:rsidP="00923D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90E23">
        <w:rPr>
          <w:rFonts w:asciiTheme="majorHAnsi" w:hAnsiTheme="majorHAnsi"/>
          <w:sz w:val="20"/>
          <w:szCs w:val="20"/>
          <w:lang w:val="es-ES"/>
        </w:rPr>
        <w:t xml:space="preserve">Finalmente, en relación con los otros alegatos presentados, </w:t>
      </w:r>
      <w:r w:rsidR="00390DE4" w:rsidRPr="00190E23">
        <w:rPr>
          <w:rFonts w:asciiTheme="majorHAnsi" w:hAnsiTheme="majorHAnsi"/>
          <w:sz w:val="20"/>
          <w:szCs w:val="20"/>
          <w:lang w:val="es-ES"/>
        </w:rPr>
        <w:t xml:space="preserve">la Comisión </w:t>
      </w:r>
      <w:r w:rsidRPr="00190E23">
        <w:rPr>
          <w:rFonts w:asciiTheme="majorHAnsi" w:hAnsiTheme="majorHAnsi"/>
          <w:sz w:val="20"/>
          <w:szCs w:val="20"/>
          <w:lang w:val="es-ES"/>
        </w:rPr>
        <w:t>no</w:t>
      </w:r>
      <w:r w:rsidR="00390DE4" w:rsidRPr="00190E23">
        <w:rPr>
          <w:rFonts w:asciiTheme="majorHAnsi" w:hAnsiTheme="majorHAnsi"/>
          <w:sz w:val="20"/>
          <w:szCs w:val="20"/>
          <w:lang w:val="es-ES"/>
        </w:rPr>
        <w:t xml:space="preserve"> identifica que se aporte información orientada a demostrar </w:t>
      </w:r>
      <w:r w:rsidR="00923DE8">
        <w:rPr>
          <w:rFonts w:asciiTheme="majorHAnsi" w:hAnsiTheme="majorHAnsi"/>
          <w:sz w:val="20"/>
          <w:szCs w:val="20"/>
          <w:lang w:val="es-ES"/>
        </w:rPr>
        <w:t xml:space="preserve">que   el Estado tuvo conocimiento de las supuestas afectaciones a la integridad personal en perjuicio de la presunta víctima. </w:t>
      </w:r>
      <w:r w:rsidR="00390DE4" w:rsidRPr="00923DE8">
        <w:rPr>
          <w:rFonts w:asciiTheme="majorHAnsi" w:hAnsiTheme="majorHAnsi"/>
          <w:sz w:val="20"/>
          <w:szCs w:val="20"/>
          <w:lang w:val="es-ES"/>
        </w:rPr>
        <w:t>Por ende, respecto de este extremo de la petición</w:t>
      </w:r>
      <w:r w:rsidRPr="00923DE8">
        <w:rPr>
          <w:rFonts w:asciiTheme="majorHAnsi" w:hAnsiTheme="majorHAnsi"/>
          <w:sz w:val="20"/>
          <w:szCs w:val="20"/>
          <w:lang w:val="es-ES"/>
        </w:rPr>
        <w:t xml:space="preserve"> no</w:t>
      </w:r>
      <w:r w:rsidR="00390DE4" w:rsidRPr="00923DE8">
        <w:rPr>
          <w:rFonts w:asciiTheme="majorHAnsi" w:hAnsiTheme="majorHAnsi"/>
          <w:sz w:val="20"/>
          <w:szCs w:val="20"/>
          <w:lang w:val="es-ES"/>
        </w:rPr>
        <w:t xml:space="preserve"> se cumple el requisito previsto en el artículo 46.1.a) de la Convención. </w:t>
      </w:r>
    </w:p>
    <w:p w14:paraId="496BC98B" w14:textId="471FB97B" w:rsidR="00AD74FF" w:rsidRPr="00190E23" w:rsidRDefault="00AD74FF" w:rsidP="00AD74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190E23">
        <w:rPr>
          <w:rFonts w:asciiTheme="majorHAnsi" w:hAnsiTheme="majorHAnsi"/>
          <w:b/>
          <w:bCs/>
          <w:sz w:val="20"/>
          <w:szCs w:val="20"/>
          <w:lang w:val="es-ES"/>
        </w:rPr>
        <w:t xml:space="preserve">VIII. </w:t>
      </w:r>
      <w:r w:rsidRPr="00190E23">
        <w:rPr>
          <w:rFonts w:asciiTheme="majorHAnsi" w:hAnsiTheme="majorHAnsi"/>
          <w:b/>
          <w:bCs/>
          <w:sz w:val="20"/>
          <w:szCs w:val="20"/>
          <w:lang w:val="es-ES"/>
        </w:rPr>
        <w:tab/>
        <w:t>ANÁLISIS DE CARACTERIZACIÓN DE LOS HECHOS ALEGADOS</w:t>
      </w:r>
    </w:p>
    <w:p w14:paraId="57F533C9" w14:textId="7903D4A6" w:rsidR="00B4725A" w:rsidRPr="00190E23" w:rsidRDefault="00B4725A" w:rsidP="00B4725A">
      <w:pPr>
        <w:pStyle w:val="ListParagraph"/>
        <w:numPr>
          <w:ilvl w:val="0"/>
          <w:numId w:val="103"/>
        </w:numPr>
        <w:jc w:val="both"/>
        <w:rPr>
          <w:sz w:val="20"/>
          <w:szCs w:val="20"/>
          <w:lang w:val="es-AR"/>
        </w:rPr>
      </w:pPr>
      <w:r w:rsidRPr="00190E23">
        <w:rPr>
          <w:sz w:val="20"/>
          <w:szCs w:val="20"/>
          <w:lang w:val="es-AR"/>
        </w:rPr>
        <w:t>La Comisión identifica que la parte peticionaria cuestiona, principalmente, dos asuntos puntuales: i) la afectación al derecho a recurrir el fallo; y ii) la vulneración a otras garantías judiciales y al principio de legalidad.</w:t>
      </w:r>
    </w:p>
    <w:p w14:paraId="2301DE5D" w14:textId="77777777" w:rsidR="00B4725A" w:rsidRPr="00B4725A" w:rsidRDefault="00B4725A" w:rsidP="00B4725A">
      <w:pPr>
        <w:pStyle w:val="ListParagraph"/>
        <w:jc w:val="both"/>
        <w:rPr>
          <w:sz w:val="20"/>
          <w:szCs w:val="20"/>
          <w:highlight w:val="green"/>
          <w:lang w:val="es-AR"/>
        </w:rPr>
      </w:pPr>
    </w:p>
    <w:p w14:paraId="20ABFE18" w14:textId="77777777" w:rsidR="00B4725A" w:rsidRPr="00190E23" w:rsidRDefault="00B4725A" w:rsidP="00B4725A">
      <w:pPr>
        <w:pStyle w:val="ListParagraph"/>
        <w:numPr>
          <w:ilvl w:val="0"/>
          <w:numId w:val="103"/>
        </w:numPr>
        <w:jc w:val="both"/>
        <w:rPr>
          <w:sz w:val="20"/>
          <w:szCs w:val="20"/>
          <w:lang w:val="es-AR"/>
        </w:rPr>
      </w:pPr>
      <w:r w:rsidRPr="00190E23">
        <w:rPr>
          <w:sz w:val="20"/>
          <w:szCs w:val="20"/>
          <w:lang w:val="es-ES"/>
        </w:rPr>
        <w:t>Sobre el primer aspecto, l</w:t>
      </w:r>
      <w:r w:rsidRPr="00190E23">
        <w:rPr>
          <w:sz w:val="20"/>
          <w:szCs w:val="20"/>
          <w:lang w:val="es-AR"/>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190E23">
        <w:rPr>
          <w:sz w:val="20"/>
          <w:szCs w:val="20"/>
          <w:vertAlign w:val="superscript"/>
          <w:lang w:val="es-AR"/>
        </w:rPr>
        <w:footnoteReference w:id="19"/>
      </w:r>
      <w:r w:rsidRPr="00190E23">
        <w:rPr>
          <w:sz w:val="20"/>
          <w:szCs w:val="20"/>
          <w:lang w:val="es-AR"/>
        </w:rPr>
        <w:t>. En esa línea, la Comisión reitera que resulta irrelevante para el derecho internacional de los derechos humanos la denominación o el nombre con el que se designe el recurso disponible</w:t>
      </w:r>
      <w:r w:rsidRPr="00190E23">
        <w:rPr>
          <w:sz w:val="20"/>
          <w:szCs w:val="20"/>
          <w:vertAlign w:val="superscript"/>
          <w:lang w:val="es-AR"/>
        </w:rPr>
        <w:footnoteReference w:id="20"/>
      </w:r>
      <w:r w:rsidRPr="00190E23">
        <w:rPr>
          <w:sz w:val="20"/>
          <w:szCs w:val="20"/>
          <w:lang w:val="es-AR"/>
        </w:rPr>
        <w:t>. Lo importante es que el recurso contemplado en la normativa interna satisfaga una serie de estándares y, en tal sentido, cumpla con ser oportuno</w:t>
      </w:r>
      <w:r w:rsidRPr="00190E23">
        <w:rPr>
          <w:rStyle w:val="FootnoteReference"/>
          <w:sz w:val="20"/>
          <w:szCs w:val="20"/>
          <w:lang w:val="es-AR"/>
        </w:rPr>
        <w:footnoteReference w:id="21"/>
      </w:r>
      <w:r w:rsidRPr="00190E23">
        <w:rPr>
          <w:sz w:val="20"/>
          <w:szCs w:val="20"/>
          <w:lang w:val="es-AR"/>
        </w:rPr>
        <w:t>, accesible</w:t>
      </w:r>
      <w:r w:rsidRPr="00190E23">
        <w:rPr>
          <w:rStyle w:val="FootnoteReference"/>
          <w:sz w:val="20"/>
          <w:szCs w:val="20"/>
          <w:lang w:val="es-AR"/>
        </w:rPr>
        <w:footnoteReference w:id="22"/>
      </w:r>
      <w:r w:rsidRPr="00190E23">
        <w:rPr>
          <w:sz w:val="20"/>
          <w:szCs w:val="20"/>
          <w:lang w:val="es-AR"/>
        </w:rPr>
        <w:t>, eficaz</w:t>
      </w:r>
      <w:r w:rsidRPr="00190E23">
        <w:rPr>
          <w:rStyle w:val="FootnoteReference"/>
          <w:sz w:val="20"/>
          <w:szCs w:val="20"/>
          <w:lang w:val="es-AR"/>
        </w:rPr>
        <w:footnoteReference w:id="23"/>
      </w:r>
      <w:r w:rsidRPr="00190E23">
        <w:rPr>
          <w:sz w:val="20"/>
          <w:szCs w:val="20"/>
          <w:lang w:val="es-AR"/>
        </w:rPr>
        <w:t xml:space="preserve"> y, en particular, que permita la revisión integral de la condena</w:t>
      </w:r>
      <w:r w:rsidRPr="00190E23">
        <w:rPr>
          <w:rStyle w:val="FootnoteReference"/>
          <w:sz w:val="20"/>
          <w:szCs w:val="20"/>
          <w:lang w:val="es-AR"/>
        </w:rPr>
        <w:footnoteReference w:id="24"/>
      </w:r>
      <w:r w:rsidRPr="00190E23">
        <w:rPr>
          <w:sz w:val="20"/>
          <w:szCs w:val="20"/>
          <w:lang w:val="es-AR"/>
        </w:rPr>
        <w:t>.</w:t>
      </w:r>
    </w:p>
    <w:p w14:paraId="013F98F1" w14:textId="77777777" w:rsidR="00B4725A" w:rsidRPr="00190E23" w:rsidRDefault="00B4725A" w:rsidP="00B4725A">
      <w:pPr>
        <w:pStyle w:val="ListParagraph"/>
        <w:jc w:val="both"/>
        <w:rPr>
          <w:sz w:val="20"/>
          <w:szCs w:val="20"/>
          <w:lang w:val="es-AR"/>
        </w:rPr>
      </w:pPr>
    </w:p>
    <w:p w14:paraId="7FDB0E31" w14:textId="77777777" w:rsidR="00B4725A" w:rsidRPr="00190E23" w:rsidRDefault="00B4725A" w:rsidP="00B472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190E23">
        <w:rPr>
          <w:rFonts w:ascii="Cambria" w:eastAsia="Cambria" w:hAnsi="Cambria" w:cs="Cambria"/>
          <w:color w:val="000000"/>
          <w:sz w:val="20"/>
          <w:szCs w:val="20"/>
          <w:u w:color="000000"/>
          <w:lang w:val="es-ES" w:eastAsia="es-ES"/>
        </w:rPr>
        <w:t xml:space="preserve">En torno a este último punto, la Comisión Interamericana indicó en el caso Abella respecto de Argentina: </w:t>
      </w:r>
    </w:p>
    <w:p w14:paraId="11BC7A4C" w14:textId="77777777" w:rsidR="00B4725A" w:rsidRPr="00190E23" w:rsidRDefault="00B4725A" w:rsidP="00B4725A">
      <w:pPr>
        <w:tabs>
          <w:tab w:val="left" w:pos="567"/>
        </w:tabs>
        <w:ind w:left="720"/>
        <w:jc w:val="both"/>
        <w:rPr>
          <w:rFonts w:ascii="Cambria" w:eastAsia="Cambria" w:hAnsi="Cambria" w:cs="Cambria"/>
          <w:color w:val="000000"/>
          <w:sz w:val="20"/>
          <w:szCs w:val="20"/>
          <w:u w:color="000000"/>
          <w:lang w:val="es-ES" w:eastAsia="es-ES"/>
        </w:rPr>
      </w:pPr>
    </w:p>
    <w:p w14:paraId="06AC6472" w14:textId="77777777" w:rsidR="00B4725A" w:rsidRPr="003C211F" w:rsidRDefault="00B4725A" w:rsidP="00B4725A">
      <w:pPr>
        <w:tabs>
          <w:tab w:val="left" w:pos="567"/>
        </w:tabs>
        <w:ind w:left="709" w:right="798"/>
        <w:jc w:val="both"/>
        <w:rPr>
          <w:rFonts w:ascii="Cambria" w:hAnsi="Cambria"/>
          <w:sz w:val="20"/>
          <w:szCs w:val="20"/>
          <w:lang w:val="es-ES"/>
        </w:rPr>
      </w:pPr>
      <w:r w:rsidRPr="00190E23">
        <w:rPr>
          <w:rFonts w:ascii="Cambria" w:hAnsi="Cambria"/>
          <w:sz w:val="20"/>
          <w:szCs w:val="20"/>
          <w:lang w:val="es-ES"/>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w:t>
      </w:r>
      <w:r w:rsidRPr="003C211F">
        <w:rPr>
          <w:rFonts w:ascii="Cambria" w:hAnsi="Cambria"/>
          <w:sz w:val="20"/>
          <w:szCs w:val="20"/>
          <w:lang w:val="es-ES"/>
        </w:rPr>
        <w:lastRenderedPageBreak/>
        <w:t>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3C211F">
        <w:rPr>
          <w:rFonts w:ascii="Cambria" w:hAnsi="Cambria"/>
          <w:sz w:val="20"/>
          <w:szCs w:val="20"/>
          <w:vertAlign w:val="superscript"/>
          <w:lang w:val="es-ES"/>
        </w:rPr>
        <w:footnoteReference w:id="25"/>
      </w:r>
      <w:r w:rsidRPr="003C211F">
        <w:rPr>
          <w:rFonts w:ascii="Cambria" w:hAnsi="Cambria"/>
          <w:sz w:val="20"/>
          <w:szCs w:val="20"/>
          <w:lang w:val="es-ES"/>
        </w:rPr>
        <w:t xml:space="preserve">. </w:t>
      </w:r>
    </w:p>
    <w:p w14:paraId="1E960AAF" w14:textId="77777777" w:rsidR="00B4725A" w:rsidRPr="003C211F" w:rsidRDefault="00B4725A" w:rsidP="00B4725A">
      <w:pPr>
        <w:tabs>
          <w:tab w:val="left" w:pos="567"/>
        </w:tabs>
        <w:ind w:right="798"/>
        <w:jc w:val="both"/>
        <w:rPr>
          <w:rFonts w:ascii="Cambria" w:hAnsi="Cambria"/>
          <w:sz w:val="20"/>
          <w:szCs w:val="20"/>
          <w:lang w:val="es-ES"/>
        </w:rPr>
      </w:pPr>
    </w:p>
    <w:p w14:paraId="7D24A7EC" w14:textId="77777777" w:rsidR="00B4725A" w:rsidRPr="003C211F" w:rsidRDefault="00B4725A" w:rsidP="00B472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sidRPr="003C211F">
        <w:rPr>
          <w:rFonts w:ascii="Cambria" w:eastAsia="Cambria" w:hAnsi="Cambria" w:cs="Cambria"/>
          <w:color w:val="000000"/>
          <w:sz w:val="20"/>
          <w:szCs w:val="20"/>
          <w:u w:color="000000"/>
          <w:lang w:val="es-ES" w:eastAsia="es-ES"/>
        </w:rPr>
        <w:t>En esa línea, la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3C211F">
        <w:rPr>
          <w:rFonts w:ascii="Cambria" w:eastAsia="Cambria" w:hAnsi="Cambria" w:cs="Cambria"/>
          <w:color w:val="000000"/>
          <w:sz w:val="20"/>
          <w:szCs w:val="20"/>
          <w:u w:color="000000"/>
          <w:vertAlign w:val="superscript"/>
          <w:lang w:val="es-ES" w:eastAsia="es-ES"/>
        </w:rPr>
        <w:footnoteReference w:id="26"/>
      </w:r>
      <w:r w:rsidRPr="003C211F">
        <w:rPr>
          <w:rFonts w:ascii="Cambria" w:eastAsia="Cambria" w:hAnsi="Cambria" w:cs="Cambria"/>
          <w:color w:val="000000"/>
          <w:sz w:val="20"/>
          <w:szCs w:val="20"/>
          <w:u w:color="000000"/>
          <w:lang w:val="es-ES" w:eastAsia="es-ES"/>
        </w:rPr>
        <w:t xml:space="preserve">. </w:t>
      </w:r>
    </w:p>
    <w:p w14:paraId="024B0C76" w14:textId="77777777" w:rsidR="00B4725A" w:rsidRPr="003C211F" w:rsidRDefault="00B4725A" w:rsidP="00B472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3D3B7D32" w14:textId="7B1FBE19" w:rsidR="00435663" w:rsidRPr="003C211F" w:rsidRDefault="00B4725A" w:rsidP="004356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C211F">
        <w:rPr>
          <w:rFonts w:asciiTheme="majorHAnsi" w:hAnsiTheme="majorHAnsi"/>
          <w:sz w:val="20"/>
          <w:szCs w:val="20"/>
          <w:lang w:val="es-AR"/>
        </w:rPr>
        <w:t>Con base en las citadas consideraciones, en el presente asunto la Comisión observa que</w:t>
      </w:r>
      <w:r w:rsidR="00435663" w:rsidRPr="003C211F">
        <w:rPr>
          <w:rFonts w:asciiTheme="majorHAnsi" w:hAnsiTheme="majorHAnsi"/>
          <w:sz w:val="20"/>
          <w:szCs w:val="20"/>
          <w:lang w:val="es-AR"/>
        </w:rPr>
        <w:t xml:space="preserve"> </w:t>
      </w:r>
      <w:r w:rsidR="00435663" w:rsidRPr="003C211F">
        <w:rPr>
          <w:rFonts w:ascii="Cambria" w:hAnsi="Cambria"/>
          <w:sz w:val="20"/>
          <w:szCs w:val="20"/>
          <w:lang w:val="es-AR"/>
        </w:rPr>
        <w:t>el</w:t>
      </w:r>
      <w:r w:rsidR="00435663" w:rsidRPr="003C211F">
        <w:rPr>
          <w:rFonts w:ascii="Cambria" w:hAnsi="Cambria"/>
          <w:color w:val="FF0000"/>
          <w:sz w:val="20"/>
          <w:szCs w:val="20"/>
          <w:lang w:val="es-AR"/>
        </w:rPr>
        <w:t xml:space="preserve"> </w:t>
      </w:r>
      <w:r w:rsidR="00435663" w:rsidRPr="003C211F">
        <w:rPr>
          <w:rFonts w:ascii="Cambria" w:hAnsi="Cambria"/>
          <w:sz w:val="20"/>
          <w:szCs w:val="20"/>
          <w:lang w:val="es-AR"/>
        </w:rPr>
        <w:t xml:space="preserve">30 de abril de 2008 el Tribunal de Juicio del Segundo Circuito Judicial de San José, mediante la sentencia 04-005374-0647, condenó a la presunta víctima a veintitrés años de pena privativa de libertad por la comisión de los delitos de estafa mayor agravada, administración fraudulenta de mayor cuantía, uso de información privilegiada y suministro de información bancaria. </w:t>
      </w:r>
      <w:r w:rsidR="00435663" w:rsidRPr="003C211F">
        <w:rPr>
          <w:rFonts w:asciiTheme="majorHAnsi" w:hAnsiTheme="majorHAnsi"/>
          <w:sz w:val="20"/>
          <w:szCs w:val="20"/>
          <w:lang w:val="es-AR"/>
        </w:rPr>
        <w:t xml:space="preserve">Frente a ello, la presunta interpuso un recurso de casación, cuestionando tanto aspectos fácticos como jurídicos de la decisión de primera instancia. Sin embargo, </w:t>
      </w:r>
      <w:r w:rsidR="00435663" w:rsidRPr="003C211F">
        <w:rPr>
          <w:rFonts w:ascii="Cambria" w:hAnsi="Cambria"/>
          <w:sz w:val="20"/>
          <w:szCs w:val="20"/>
          <w:lang w:val="es-AR"/>
        </w:rPr>
        <w:t>el 9 de julio de 2009 la Sala Tercera de la Corte Suprema de Justicia rechazó este recurso.</w:t>
      </w:r>
    </w:p>
    <w:p w14:paraId="42C58045" w14:textId="70B86E20" w:rsidR="00435663" w:rsidRPr="003C211F" w:rsidRDefault="00435663" w:rsidP="00273F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211F">
        <w:rPr>
          <w:rFonts w:asciiTheme="majorHAnsi" w:hAnsiTheme="majorHAnsi"/>
          <w:sz w:val="20"/>
          <w:szCs w:val="20"/>
          <w:lang w:val="es-AR"/>
        </w:rPr>
        <w:t xml:space="preserve">Al respecto, </w:t>
      </w:r>
      <w:r w:rsidRPr="003C211F">
        <w:rPr>
          <w:rFonts w:ascii="Cambria" w:hAnsi="Cambria"/>
          <w:sz w:val="20"/>
          <w:szCs w:val="20"/>
          <w:lang w:val="es-AR"/>
        </w:rPr>
        <w:t xml:space="preserve">a </w:t>
      </w:r>
      <w:r w:rsidRPr="003C211F">
        <w:rPr>
          <w:rFonts w:ascii="Cambria" w:hAnsi="Cambria"/>
          <w:sz w:val="20"/>
          <w:szCs w:val="20"/>
          <w:lang w:val="es-ES"/>
        </w:rPr>
        <w:t xml:space="preserve">partir de la lectura del texto de esta última resolución, la Comisión considera que la Sala Tercera de la Corte Suprema de Justicia realizó un reexamen de la manera en que el tribunal de primera instancia valoró el plexo probatorio existente en la causa y, en respuesta a los agravios planteados por la defensa del señor Alvarado Moya, </w:t>
      </w:r>
      <w:r w:rsidR="00273FCB" w:rsidRPr="003C211F">
        <w:rPr>
          <w:rFonts w:ascii="Cambria" w:hAnsi="Cambria"/>
          <w:sz w:val="20"/>
          <w:szCs w:val="20"/>
          <w:lang w:val="es-ES"/>
        </w:rPr>
        <w:t>confirmó el fallo condenatorio</w:t>
      </w:r>
      <w:r w:rsidRPr="003C211F">
        <w:rPr>
          <w:rFonts w:ascii="Cambria" w:hAnsi="Cambria"/>
          <w:sz w:val="20"/>
          <w:szCs w:val="20"/>
          <w:lang w:val="es-ES"/>
        </w:rPr>
        <w:t>. En ese sentido, la Comisión aprecia que el tribunal ingresó en el análisis de cuestiones relacionadas con la aplicación de la ley penal sustantiva, en lo que respecta a la subsunción de la conducta del peticionario al tipo penal atribuido</w:t>
      </w:r>
      <w:r w:rsidR="00273FCB" w:rsidRPr="003C211F">
        <w:rPr>
          <w:rFonts w:ascii="Cambria" w:hAnsi="Cambria"/>
          <w:sz w:val="20"/>
          <w:szCs w:val="20"/>
          <w:lang w:val="es-ES"/>
        </w:rPr>
        <w:t xml:space="preserve"> y que, si bien desestimó algunas pruebas, esto tuvo como fundamento que estas no aportaban nada novedoso al análisis</w:t>
      </w:r>
      <w:r w:rsidRPr="003C211F">
        <w:rPr>
          <w:rFonts w:ascii="Cambria" w:hAnsi="Cambria"/>
          <w:sz w:val="20"/>
          <w:szCs w:val="20"/>
          <w:lang w:val="es-ES"/>
        </w:rPr>
        <w:t xml:space="preserve">. Por ende, la Comisión considera que, </w:t>
      </w:r>
      <w:r w:rsidRPr="003C211F">
        <w:rPr>
          <w:rFonts w:ascii="Cambria" w:hAnsi="Cambria"/>
          <w:i/>
          <w:iCs/>
          <w:sz w:val="20"/>
          <w:szCs w:val="20"/>
          <w:lang w:val="es-ES"/>
        </w:rPr>
        <w:t xml:space="preserve">prima facie, </w:t>
      </w:r>
      <w:r w:rsidRPr="003C211F">
        <w:rPr>
          <w:rFonts w:ascii="Cambria" w:hAnsi="Cambria"/>
          <w:sz w:val="20"/>
          <w:szCs w:val="20"/>
          <w:lang w:val="es-ES"/>
        </w:rPr>
        <w:t xml:space="preserve">no se han presentado argumentos o pruebas que permitan identificar alguna restricción o limitación que haya evitado un análisis integral de los cuestionamientos planteados por el señor </w:t>
      </w:r>
      <w:r w:rsidR="00273FCB" w:rsidRPr="003C211F">
        <w:rPr>
          <w:rFonts w:ascii="Cambria" w:hAnsi="Cambria"/>
          <w:sz w:val="20"/>
          <w:szCs w:val="20"/>
          <w:lang w:val="es-ES"/>
        </w:rPr>
        <w:t xml:space="preserve">Alvarado Moya </w:t>
      </w:r>
      <w:r w:rsidRPr="003C211F">
        <w:rPr>
          <w:rFonts w:ascii="Cambria" w:hAnsi="Cambria"/>
          <w:sz w:val="20"/>
          <w:szCs w:val="20"/>
          <w:lang w:val="es-ES"/>
        </w:rPr>
        <w:t xml:space="preserve">contra su fallo condenatorio de primera instancia. </w:t>
      </w:r>
      <w:r w:rsidRPr="003C211F">
        <w:rPr>
          <w:rFonts w:ascii="Cambria" w:hAnsi="Cambria"/>
          <w:sz w:val="20"/>
          <w:szCs w:val="20"/>
          <w:lang w:val="es-AR"/>
        </w:rPr>
        <w:t xml:space="preserve">Por consiguiente, </w:t>
      </w:r>
      <w:r w:rsidRPr="003C211F">
        <w:rPr>
          <w:rFonts w:ascii="Cambria" w:hAnsi="Cambria"/>
          <w:sz w:val="20"/>
          <w:szCs w:val="20"/>
          <w:lang w:val="es-ES"/>
        </w:rPr>
        <w:t xml:space="preserve">la CIDH concluye que, </w:t>
      </w:r>
      <w:r w:rsidRPr="003C211F">
        <w:rPr>
          <w:rFonts w:ascii="Cambria" w:hAnsi="Cambria"/>
          <w:i/>
          <w:iCs/>
          <w:sz w:val="20"/>
          <w:szCs w:val="20"/>
          <w:lang w:val="es-ES"/>
        </w:rPr>
        <w:t xml:space="preserve">prima facie, </w:t>
      </w:r>
      <w:r w:rsidRPr="003C211F">
        <w:rPr>
          <w:rFonts w:ascii="Cambria" w:hAnsi="Cambria"/>
          <w:sz w:val="20"/>
          <w:szCs w:val="20"/>
          <w:lang w:val="es-ES"/>
        </w:rPr>
        <w:t xml:space="preserve">no se han aportado elementos que permitan identificar una posible vulneración al derecho contemplado en el artículo 8.2.h) de la Convención. </w:t>
      </w:r>
    </w:p>
    <w:p w14:paraId="4A539BE2" w14:textId="5DA78B1C" w:rsidR="00273FCB" w:rsidRPr="003C211F" w:rsidRDefault="00273FCB" w:rsidP="00273F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211F">
        <w:rPr>
          <w:rFonts w:ascii="Cambria" w:eastAsia="Cambria" w:hAnsi="Cambria" w:cs="Cambria"/>
          <w:color w:val="000000"/>
          <w:sz w:val="20"/>
          <w:szCs w:val="20"/>
          <w:u w:color="000000"/>
          <w:lang w:val="es-AR" w:eastAsia="es-ES"/>
        </w:rPr>
        <w:t xml:space="preserve">Finalmente, la Comisión tampoco identifica en los alegatos de la parte peticionaria algún alegato que permita encontrar alguna afectación al debido proceso, en razón a la manera cómo se condujo el proceso penal contra la presunta víctima. Conforme a la información disponible en el expediente, la representación de la presunta víctima tuvo la oportunidad de participar activamente en el proceso y cuestionar ampliamente aspectos de hecho y de derecho. </w:t>
      </w:r>
    </w:p>
    <w:p w14:paraId="643A9CE8" w14:textId="04900539" w:rsidR="00AD74FF" w:rsidRPr="003C211F" w:rsidRDefault="00273FCB" w:rsidP="00273F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C211F">
        <w:rPr>
          <w:rFonts w:asciiTheme="majorHAnsi" w:hAnsiTheme="majorHAnsi"/>
          <w:sz w:val="20"/>
          <w:szCs w:val="20"/>
          <w:lang w:val="es-ES_tradnl"/>
        </w:rPr>
        <w:t>Con base en estas consideraciones, la Comisión concluye que el presente asunto no presenta elementos que puedan involucrar una posible afectación de los derechos consagrados en la Convención Americana u otros tratados interamericanos, en los términos del artículo 47 de este tratado</w:t>
      </w:r>
    </w:p>
    <w:p w14:paraId="29BB41F5" w14:textId="0E9908C4" w:rsidR="003239B8" w:rsidRPr="003C211F" w:rsidRDefault="00AD74FF" w:rsidP="003239B8">
      <w:pPr>
        <w:pStyle w:val="ListParagraph"/>
        <w:spacing w:before="240" w:after="240"/>
        <w:jc w:val="both"/>
        <w:rPr>
          <w:rFonts w:asciiTheme="majorHAnsi" w:hAnsiTheme="majorHAnsi"/>
          <w:b/>
          <w:bCs/>
          <w:sz w:val="20"/>
          <w:szCs w:val="20"/>
          <w:lang w:val="es-ES"/>
        </w:rPr>
      </w:pPr>
      <w:r w:rsidRPr="003C211F">
        <w:rPr>
          <w:rFonts w:asciiTheme="majorHAnsi" w:hAnsiTheme="majorHAnsi"/>
          <w:b/>
          <w:bCs/>
          <w:sz w:val="20"/>
          <w:szCs w:val="20"/>
          <w:lang w:val="es-ES"/>
        </w:rPr>
        <w:t>IX</w:t>
      </w:r>
      <w:r w:rsidR="003239B8" w:rsidRPr="003C211F">
        <w:rPr>
          <w:rFonts w:asciiTheme="majorHAnsi" w:hAnsiTheme="majorHAnsi"/>
          <w:b/>
          <w:bCs/>
          <w:sz w:val="20"/>
          <w:szCs w:val="20"/>
          <w:lang w:val="es-ES"/>
        </w:rPr>
        <w:t xml:space="preserve">. </w:t>
      </w:r>
      <w:r w:rsidR="003239B8" w:rsidRPr="003C211F">
        <w:rPr>
          <w:rFonts w:asciiTheme="majorHAnsi" w:hAnsiTheme="majorHAnsi"/>
          <w:b/>
          <w:bCs/>
          <w:sz w:val="20"/>
          <w:szCs w:val="20"/>
          <w:lang w:val="es-ES"/>
        </w:rPr>
        <w:tab/>
        <w:t>DECISIÓN</w:t>
      </w:r>
    </w:p>
    <w:p w14:paraId="570DA61C" w14:textId="44D98C35" w:rsidR="000419AD" w:rsidRPr="003C211F" w:rsidRDefault="000419AD" w:rsidP="000419AD">
      <w:pPr>
        <w:pStyle w:val="ListParagraph"/>
        <w:numPr>
          <w:ilvl w:val="0"/>
          <w:numId w:val="109"/>
        </w:numPr>
        <w:rPr>
          <w:rFonts w:eastAsia="Arial Unicode MS" w:cs="Times New Roman"/>
          <w:color w:val="auto"/>
          <w:sz w:val="20"/>
          <w:szCs w:val="20"/>
          <w:lang w:val="es-ES" w:eastAsia="en-US"/>
        </w:rPr>
      </w:pPr>
      <w:r w:rsidRPr="003C211F">
        <w:rPr>
          <w:rFonts w:eastAsia="Arial Unicode MS" w:cs="Times New Roman"/>
          <w:color w:val="auto"/>
          <w:sz w:val="20"/>
          <w:szCs w:val="20"/>
          <w:lang w:val="es-ES" w:eastAsia="en-US"/>
        </w:rPr>
        <w:t>Declarar</w:t>
      </w:r>
      <w:r w:rsidR="0038733A" w:rsidRPr="003C211F">
        <w:rPr>
          <w:rFonts w:eastAsia="Arial Unicode MS" w:cs="Times New Roman"/>
          <w:color w:val="auto"/>
          <w:sz w:val="20"/>
          <w:szCs w:val="20"/>
          <w:lang w:val="es-ES" w:eastAsia="en-US"/>
        </w:rPr>
        <w:t xml:space="preserve"> </w:t>
      </w:r>
      <w:r w:rsidR="00496AE0" w:rsidRPr="003C211F">
        <w:rPr>
          <w:rFonts w:eastAsia="Arial Unicode MS" w:cs="Times New Roman"/>
          <w:color w:val="auto"/>
          <w:sz w:val="20"/>
          <w:szCs w:val="20"/>
          <w:lang w:val="es-ES" w:eastAsia="en-US"/>
        </w:rPr>
        <w:t>in</w:t>
      </w:r>
      <w:r w:rsidR="0038733A" w:rsidRPr="003C211F">
        <w:rPr>
          <w:rFonts w:eastAsia="Arial Unicode MS" w:cs="Times New Roman"/>
          <w:color w:val="auto"/>
          <w:sz w:val="20"/>
          <w:szCs w:val="20"/>
          <w:lang w:val="es-ES" w:eastAsia="en-US"/>
        </w:rPr>
        <w:t>admisible</w:t>
      </w:r>
      <w:r w:rsidRPr="003C211F">
        <w:rPr>
          <w:rFonts w:eastAsia="Arial Unicode MS" w:cs="Times New Roman"/>
          <w:color w:val="FF0000"/>
          <w:sz w:val="20"/>
          <w:szCs w:val="20"/>
          <w:lang w:val="es-ES" w:eastAsia="en-US"/>
        </w:rPr>
        <w:t xml:space="preserve"> </w:t>
      </w:r>
      <w:r w:rsidRPr="003C211F">
        <w:rPr>
          <w:rFonts w:eastAsia="Arial Unicode MS" w:cs="Times New Roman"/>
          <w:color w:val="auto"/>
          <w:sz w:val="20"/>
          <w:szCs w:val="20"/>
          <w:lang w:val="es-ES" w:eastAsia="en-US"/>
        </w:rPr>
        <w:t>la presente petición</w:t>
      </w:r>
      <w:r w:rsidR="00A758AA" w:rsidRPr="003C211F">
        <w:rPr>
          <w:rFonts w:eastAsia="Arial Unicode MS" w:cs="Times New Roman"/>
          <w:color w:val="auto"/>
          <w:sz w:val="20"/>
          <w:szCs w:val="20"/>
          <w:lang w:val="es-ES" w:eastAsia="en-US"/>
        </w:rPr>
        <w:t>;</w:t>
      </w:r>
      <w:r w:rsidR="004A6A54" w:rsidRPr="003C211F">
        <w:rPr>
          <w:rFonts w:eastAsia="Arial Unicode MS" w:cs="Times New Roman"/>
          <w:color w:val="auto"/>
          <w:sz w:val="20"/>
          <w:szCs w:val="20"/>
          <w:lang w:val="es-ES" w:eastAsia="en-US"/>
        </w:rPr>
        <w:t xml:space="preserve"> y</w:t>
      </w:r>
    </w:p>
    <w:p w14:paraId="41AA5BF6" w14:textId="77777777" w:rsidR="000419AD" w:rsidRPr="003C211F" w:rsidRDefault="000419AD" w:rsidP="000419AD">
      <w:pPr>
        <w:pStyle w:val="ListParagraph"/>
        <w:rPr>
          <w:rFonts w:eastAsia="Arial Unicode MS" w:cs="Times New Roman"/>
          <w:color w:val="auto"/>
          <w:sz w:val="20"/>
          <w:szCs w:val="20"/>
          <w:lang w:val="es-ES" w:eastAsia="en-US"/>
        </w:rPr>
      </w:pPr>
    </w:p>
    <w:p w14:paraId="2642C68E" w14:textId="4D1D1732" w:rsidR="008D768D" w:rsidRPr="003C211F" w:rsidRDefault="004A6A54" w:rsidP="00E7592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C211F">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464786A2" w14:textId="3A007BFA" w:rsidR="000404BC" w:rsidRPr="0039150E" w:rsidRDefault="000404BC" w:rsidP="0039150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al primer día del mes de agosto de 2023.  (Firmado): Margarette May Macaulay, Presidenta; Roberta Clarke, Segunda Vicepresidenta; Julissa Mantilla Falcón y Carlos Bernal Pulido, </w:t>
      </w:r>
      <w:r w:rsidR="0039150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D5A5" w14:textId="77777777" w:rsidR="008B3FF7" w:rsidRDefault="008B3FF7">
      <w:r>
        <w:separator/>
      </w:r>
    </w:p>
  </w:endnote>
  <w:endnote w:type="continuationSeparator" w:id="0">
    <w:p w14:paraId="4ADD8517" w14:textId="77777777" w:rsidR="008B3FF7" w:rsidRDefault="008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E69B" w14:textId="77777777" w:rsidR="008B3FF7" w:rsidRPr="000F35ED" w:rsidRDefault="008B3FF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541F3B" w14:textId="77777777" w:rsidR="008B3FF7" w:rsidRPr="000F35ED" w:rsidRDefault="008B3FF7" w:rsidP="000F35ED">
      <w:pPr>
        <w:rPr>
          <w:rFonts w:asciiTheme="majorHAnsi" w:hAnsiTheme="majorHAnsi"/>
          <w:sz w:val="16"/>
          <w:szCs w:val="16"/>
        </w:rPr>
      </w:pPr>
      <w:r w:rsidRPr="000F35ED">
        <w:rPr>
          <w:rFonts w:asciiTheme="majorHAnsi" w:hAnsiTheme="majorHAnsi"/>
          <w:sz w:val="16"/>
          <w:szCs w:val="16"/>
        </w:rPr>
        <w:separator/>
      </w:r>
    </w:p>
    <w:p w14:paraId="523EF53F" w14:textId="77777777" w:rsidR="008B3FF7" w:rsidRPr="000F35ED" w:rsidRDefault="008B3FF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67666A" w14:textId="77777777" w:rsidR="008B3FF7" w:rsidRPr="000F35ED" w:rsidRDefault="008B3FF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D6AA662" w14:textId="77777777" w:rsidR="00B77BFD" w:rsidRPr="00916C1D" w:rsidRDefault="00B77BFD" w:rsidP="00B77BF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415B8E43" w14:textId="77777777" w:rsidR="008253CA" w:rsidRPr="002D3BB2" w:rsidRDefault="008253CA" w:rsidP="008253CA">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706D6D97" w14:textId="77777777" w:rsidR="008253CA" w:rsidRPr="0024784B" w:rsidRDefault="008253CA" w:rsidP="008253CA">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6FD2E100" w14:textId="77777777" w:rsidR="00FC643C" w:rsidRPr="00EA3787" w:rsidRDefault="00FC643C" w:rsidP="00FC643C">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080EC333" w14:textId="77777777" w:rsidR="00FC643C" w:rsidRPr="004D0E62" w:rsidRDefault="00FC643C" w:rsidP="00FC643C">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39633B4B" w14:textId="77777777" w:rsidR="00FC643C" w:rsidRPr="008A508D" w:rsidRDefault="00FC643C" w:rsidP="00FC643C">
      <w:pPr>
        <w:pStyle w:val="FootnoteText"/>
        <w:ind w:firstLine="720"/>
        <w:jc w:val="both"/>
        <w:rPr>
          <w:lang w:val="es-US"/>
        </w:rPr>
      </w:pPr>
      <w:r w:rsidRPr="004D0E62">
        <w:rPr>
          <w:rStyle w:val="FootnoteReference"/>
          <w:rFonts w:asciiTheme="majorHAnsi" w:hAnsiTheme="majorHAnsi"/>
          <w:sz w:val="16"/>
          <w:szCs w:val="16"/>
        </w:rPr>
        <w:footnoteRef/>
      </w:r>
      <w:r w:rsidRPr="0039150E">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2EE675D4" w14:textId="77777777" w:rsidR="00FC643C" w:rsidRPr="00565232" w:rsidRDefault="00FC643C" w:rsidP="00FC643C">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5A4307BA" w14:textId="77777777" w:rsidR="00FC643C" w:rsidRPr="004D0E62" w:rsidRDefault="00FC643C" w:rsidP="00FC643C">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588C4FDF" w14:textId="77777777" w:rsidR="00FC643C" w:rsidRPr="008A508D" w:rsidRDefault="00FC643C" w:rsidP="00FC643C">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19E10E08" w14:textId="77777777" w:rsidR="00FC643C" w:rsidRPr="00EE7817" w:rsidRDefault="00FC643C" w:rsidP="00FC643C">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39150E">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69E41196" w14:textId="77777777" w:rsidR="00FC643C" w:rsidRPr="00735708" w:rsidRDefault="00FC643C" w:rsidP="00FC643C">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6D8388AC" w14:textId="77777777" w:rsidR="00FC643C" w:rsidRPr="00CE3C79" w:rsidRDefault="00FC643C" w:rsidP="00FC643C">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6A1F1EE0" w14:textId="77777777" w:rsidR="00FC643C" w:rsidRPr="00090967" w:rsidRDefault="00FC643C" w:rsidP="00FC643C">
      <w:pPr>
        <w:pStyle w:val="FootnoteText"/>
        <w:ind w:firstLine="720"/>
        <w:jc w:val="both"/>
        <w:rPr>
          <w:rFonts w:ascii="Cambria" w:hAnsi="Cambria"/>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C No. 354. Párr. 266. </w:t>
      </w:r>
    </w:p>
  </w:footnote>
  <w:footnote w:id="16">
    <w:p w14:paraId="662EE9C5" w14:textId="77777777" w:rsidR="000B49AA" w:rsidRPr="00C70A03" w:rsidRDefault="000B49AA" w:rsidP="000B49AA">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17">
    <w:p w14:paraId="075906D9" w14:textId="77777777" w:rsidR="00AD74FF" w:rsidRPr="00515E64" w:rsidRDefault="00AD74FF" w:rsidP="00AD74FF">
      <w:pPr>
        <w:pStyle w:val="FootnoteText"/>
        <w:ind w:firstLine="720"/>
        <w:jc w:val="both"/>
        <w:rPr>
          <w:rFonts w:asciiTheme="majorHAnsi" w:hAnsiTheme="majorHAnsi"/>
          <w:sz w:val="16"/>
          <w:szCs w:val="16"/>
          <w:lang w:val="es-US"/>
        </w:rPr>
      </w:pPr>
      <w:r w:rsidRPr="004A71F9">
        <w:rPr>
          <w:rStyle w:val="FootnoteReference"/>
          <w:rFonts w:asciiTheme="majorHAnsi" w:hAnsiTheme="majorHAnsi"/>
          <w:sz w:val="16"/>
          <w:szCs w:val="16"/>
        </w:rPr>
        <w:footnoteRef/>
      </w:r>
      <w:r w:rsidRPr="004A71F9">
        <w:rPr>
          <w:rFonts w:asciiTheme="majorHAnsi" w:hAnsiTheme="majorHAnsi"/>
          <w:sz w:val="16"/>
          <w:szCs w:val="16"/>
          <w:lang w:val="es-US"/>
        </w:rPr>
        <w:t xml:space="preserve"> CIDH, Informe No. 161/17, Petición 29-07. Admisibilidad. </w:t>
      </w:r>
      <w:r w:rsidRPr="0039150E">
        <w:rPr>
          <w:rFonts w:asciiTheme="majorHAnsi" w:hAnsiTheme="majorHAnsi"/>
          <w:sz w:val="16"/>
          <w:szCs w:val="16"/>
        </w:rPr>
        <w:t xml:space="preserve">Andy Williams Garcés Suárez y familia. </w:t>
      </w:r>
      <w:r w:rsidRPr="00515E64">
        <w:rPr>
          <w:rFonts w:asciiTheme="majorHAnsi" w:hAnsiTheme="majorHAnsi"/>
          <w:sz w:val="16"/>
          <w:szCs w:val="16"/>
          <w:lang w:val="es-US"/>
        </w:rPr>
        <w:t>Perú. 30 de noviembre de 2017, párr. 12.</w:t>
      </w:r>
    </w:p>
  </w:footnote>
  <w:footnote w:id="18">
    <w:p w14:paraId="7D687A89" w14:textId="77777777" w:rsidR="00AD74FF" w:rsidRPr="00515E64" w:rsidRDefault="00AD74FF" w:rsidP="00AD74FF">
      <w:pPr>
        <w:pStyle w:val="FootnoteText"/>
        <w:ind w:firstLine="720"/>
        <w:jc w:val="both"/>
        <w:rPr>
          <w:rFonts w:asciiTheme="majorHAnsi" w:hAnsiTheme="majorHAnsi"/>
          <w:sz w:val="16"/>
          <w:szCs w:val="16"/>
          <w:lang w:val="es-US"/>
        </w:rPr>
      </w:pPr>
      <w:r w:rsidRPr="00515E64">
        <w:rPr>
          <w:rStyle w:val="FootnoteReference"/>
          <w:rFonts w:asciiTheme="majorHAnsi" w:hAnsiTheme="majorHAnsi"/>
          <w:sz w:val="16"/>
          <w:szCs w:val="16"/>
        </w:rPr>
        <w:footnoteRef/>
      </w:r>
      <w:r w:rsidRPr="00515E64">
        <w:rPr>
          <w:rFonts w:asciiTheme="majorHAnsi" w:hAnsiTheme="majorHAnsi"/>
          <w:sz w:val="16"/>
          <w:szCs w:val="16"/>
          <w:lang w:val="es-US"/>
        </w:rPr>
        <w:t xml:space="preserve"> CIDH, Informe No. 70/04, Petición 667/01, Admisibilidad, Jesús Manuel Naranjo Cárdenas y otros, Jubilados de la empresa</w:t>
      </w:r>
      <w:r>
        <w:rPr>
          <w:rFonts w:asciiTheme="majorHAnsi" w:hAnsiTheme="majorHAnsi"/>
          <w:sz w:val="16"/>
          <w:szCs w:val="16"/>
          <w:lang w:val="es-US"/>
        </w:rPr>
        <w:t xml:space="preserve"> </w:t>
      </w:r>
      <w:r w:rsidRPr="00515E64">
        <w:rPr>
          <w:rFonts w:asciiTheme="majorHAnsi" w:hAnsiTheme="majorHAnsi"/>
          <w:sz w:val="16"/>
          <w:szCs w:val="16"/>
          <w:lang w:val="es-US"/>
        </w:rPr>
        <w:t>venezolana de aviación VIASA. Venezuela, 15 de octubre de 2004, párr. 52.</w:t>
      </w:r>
    </w:p>
  </w:footnote>
  <w:footnote w:id="19">
    <w:p w14:paraId="225AF1EB" w14:textId="77777777" w:rsidR="00B4725A" w:rsidRPr="00C70A03" w:rsidRDefault="00B4725A" w:rsidP="00B4725A">
      <w:pPr>
        <w:ind w:firstLine="720"/>
        <w:jc w:val="both"/>
        <w:rPr>
          <w:rFonts w:asciiTheme="majorHAnsi" w:hAnsiTheme="majorHAnsi"/>
          <w:sz w:val="16"/>
          <w:szCs w:val="16"/>
          <w:lang w:val="es-PE"/>
        </w:rPr>
      </w:pPr>
      <w:r w:rsidRPr="00C70A03">
        <w:rPr>
          <w:rStyle w:val="FootnoteReference"/>
          <w:rFonts w:asciiTheme="majorHAnsi" w:hAnsiTheme="majorHAnsi"/>
          <w:sz w:val="16"/>
          <w:szCs w:val="16"/>
          <w:lang w:val="es-PE"/>
        </w:rPr>
        <w:footnoteRef/>
      </w:r>
      <w:r w:rsidRPr="0039150E">
        <w:rPr>
          <w:rFonts w:asciiTheme="majorHAnsi" w:hAnsiTheme="majorHAnsi"/>
          <w:sz w:val="16"/>
          <w:szCs w:val="16"/>
          <w:lang w:val="pt-BR"/>
        </w:rPr>
        <w:t xml:space="preserve"> </w:t>
      </w:r>
      <w:r w:rsidRPr="0039150E">
        <w:rPr>
          <w:rFonts w:asciiTheme="majorHAnsi" w:hAnsiTheme="majorHAnsi"/>
          <w:bCs/>
          <w:sz w:val="16"/>
          <w:szCs w:val="16"/>
          <w:shd w:val="clear" w:color="auto" w:fill="FFFFFF"/>
          <w:lang w:val="pt-BR"/>
        </w:rPr>
        <w:t xml:space="preserve">Corte IDH. Caso Herrera Ulloa Vs. </w:t>
      </w:r>
      <w:r w:rsidRPr="00C70A03">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C70A03">
        <w:rPr>
          <w:rFonts w:asciiTheme="majorHAnsi" w:hAnsiTheme="majorHAnsi"/>
          <w:sz w:val="16"/>
          <w:szCs w:val="16"/>
          <w:lang w:val="es-PE"/>
        </w:rPr>
        <w:t xml:space="preserve"> </w:t>
      </w:r>
    </w:p>
  </w:footnote>
  <w:footnote w:id="20">
    <w:p w14:paraId="15FF8C9B" w14:textId="77777777" w:rsidR="00B4725A" w:rsidRPr="00F33ACC" w:rsidRDefault="00B4725A" w:rsidP="00B4725A">
      <w:pPr>
        <w:pStyle w:val="NormalWeb"/>
        <w:spacing w:before="0" w:beforeAutospacing="0" w:after="0" w:afterAutospacing="0"/>
        <w:ind w:firstLine="720"/>
        <w:jc w:val="both"/>
        <w:rPr>
          <w:rFonts w:asciiTheme="majorHAnsi" w:hAnsiTheme="majorHAnsi"/>
          <w:sz w:val="16"/>
          <w:szCs w:val="16"/>
          <w:lang w:val="es-PE"/>
        </w:rPr>
      </w:pPr>
      <w:r w:rsidRPr="00C70A03">
        <w:rPr>
          <w:rStyle w:val="FootnoteReference"/>
          <w:rFonts w:asciiTheme="majorHAnsi" w:eastAsia="Trebuchet MS" w:hAnsiTheme="majorHAnsi"/>
          <w:sz w:val="16"/>
          <w:szCs w:val="16"/>
          <w:lang w:val="es-PE"/>
        </w:rPr>
        <w:footnoteRef/>
      </w:r>
      <w:r w:rsidRPr="00C70A03">
        <w:rPr>
          <w:rFonts w:asciiTheme="majorHAnsi" w:hAnsiTheme="majorHAnsi"/>
          <w:sz w:val="16"/>
          <w:szCs w:val="16"/>
          <w:lang w:val="es-PE"/>
        </w:rPr>
        <w:t xml:space="preserve"> </w:t>
      </w:r>
      <w:r w:rsidRPr="00C70A03">
        <w:rPr>
          <w:rFonts w:asciiTheme="majorHAnsi" w:hAnsiTheme="majorHAnsi" w:cs="Calibri"/>
          <w:sz w:val="16"/>
          <w:szCs w:val="16"/>
          <w:lang w:val="es-PE"/>
        </w:rPr>
        <w:t xml:space="preserve">Corte IDH., </w:t>
      </w:r>
      <w:r w:rsidRPr="00C70A03">
        <w:rPr>
          <w:rFonts w:asciiTheme="majorHAnsi" w:hAnsiTheme="majorHAnsi" w:cs="Calibri"/>
          <w:iCs/>
          <w:sz w:val="16"/>
          <w:szCs w:val="16"/>
          <w:lang w:val="es-PE"/>
        </w:rPr>
        <w:t>Caso Herrera Ulloa Vs. Costa Rica</w:t>
      </w:r>
      <w:r w:rsidRPr="00C70A03">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C70A03">
        <w:rPr>
          <w:rFonts w:asciiTheme="majorHAnsi" w:hAnsiTheme="majorHAnsi" w:cs="Calibri"/>
          <w:iCs/>
          <w:sz w:val="16"/>
          <w:szCs w:val="16"/>
          <w:lang w:val="es-PE"/>
        </w:rPr>
        <w:t>Gómez Vázquez v. España</w:t>
      </w:r>
      <w:r w:rsidRPr="00C70A03">
        <w:rPr>
          <w:rFonts w:asciiTheme="majorHAnsi" w:hAnsiTheme="majorHAnsi" w:cs="Calibri"/>
          <w:sz w:val="16"/>
          <w:szCs w:val="16"/>
          <w:lang w:val="es-PE"/>
        </w:rPr>
        <w:t xml:space="preserve">. Comunicación No. 701/1996. Decisión de 11 de agosto de 2000, párr. 11.1. </w:t>
      </w:r>
    </w:p>
  </w:footnote>
  <w:footnote w:id="21">
    <w:p w14:paraId="07C1CDAF" w14:textId="77777777" w:rsidR="00B4725A" w:rsidRPr="00F33ACC" w:rsidRDefault="00B4725A" w:rsidP="00B4725A">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39150E">
        <w:rPr>
          <w:rFonts w:asciiTheme="majorHAnsi" w:hAnsiTheme="majorHAnsi"/>
          <w:sz w:val="16"/>
          <w:szCs w:val="16"/>
          <w:lang w:val="pt-BR"/>
        </w:rPr>
        <w:t xml:space="preserve"> Corte IDH., </w:t>
      </w:r>
      <w:r w:rsidRPr="0039150E">
        <w:rPr>
          <w:rFonts w:asciiTheme="majorHAnsi" w:hAnsiTheme="majorHAnsi"/>
          <w:iCs/>
          <w:sz w:val="16"/>
          <w:szCs w:val="16"/>
          <w:lang w:val="pt-BR"/>
        </w:rPr>
        <w:t xml:space="preserve">Caso Herrera Ulloa Vs. </w:t>
      </w:r>
      <w:r w:rsidRPr="00F33ACC">
        <w:rPr>
          <w:rFonts w:asciiTheme="majorHAnsi" w:hAnsiTheme="majorHAnsi"/>
          <w:iCs/>
          <w:sz w:val="16"/>
          <w:szCs w:val="16"/>
          <w:lang w:val="es-PE"/>
        </w:rPr>
        <w:t>Costa Rica</w:t>
      </w:r>
      <w:r w:rsidRPr="00F33ACC">
        <w:rPr>
          <w:rFonts w:asciiTheme="majorHAnsi" w:hAnsiTheme="majorHAnsi"/>
          <w:sz w:val="16"/>
          <w:szCs w:val="16"/>
          <w:lang w:val="es-PE"/>
        </w:rPr>
        <w:t>. Sentencia de Excepciones Preliminares, Fondo, Reparaciones y Costas. 2 de julio de 2004. Serie C No. 107, párr. 158</w:t>
      </w:r>
    </w:p>
  </w:footnote>
  <w:footnote w:id="22">
    <w:p w14:paraId="30FC6EF8" w14:textId="77777777" w:rsidR="00B4725A" w:rsidRPr="000F51B7" w:rsidRDefault="00B4725A" w:rsidP="00B4725A">
      <w:pPr>
        <w:pStyle w:val="FootnoteText"/>
        <w:ind w:firstLine="720"/>
        <w:jc w:val="both"/>
        <w:rPr>
          <w:rFonts w:asciiTheme="majorHAnsi" w:hAnsiTheme="majorHAnsi"/>
          <w:sz w:val="16"/>
          <w:szCs w:val="16"/>
          <w:lang w:val="es-PE"/>
        </w:rPr>
      </w:pPr>
      <w:r w:rsidRPr="00F33ACC">
        <w:rPr>
          <w:rStyle w:val="FootnoteReference"/>
          <w:rFonts w:asciiTheme="majorHAnsi" w:hAnsiTheme="majorHAnsi"/>
          <w:sz w:val="16"/>
          <w:szCs w:val="16"/>
          <w:lang w:val="es-PE"/>
        </w:rPr>
        <w:footnoteRef/>
      </w:r>
      <w:r w:rsidRPr="0039150E">
        <w:rPr>
          <w:rFonts w:asciiTheme="majorHAnsi" w:hAnsiTheme="majorHAnsi"/>
          <w:sz w:val="16"/>
          <w:szCs w:val="16"/>
          <w:lang w:val="pt-BR"/>
        </w:rPr>
        <w:t xml:space="preserve"> Corte IDH. </w:t>
      </w:r>
      <w:r w:rsidRPr="0039150E">
        <w:rPr>
          <w:rFonts w:asciiTheme="majorHAnsi" w:hAnsiTheme="majorHAnsi"/>
          <w:iCs/>
          <w:sz w:val="16"/>
          <w:szCs w:val="16"/>
          <w:lang w:val="pt-BR"/>
        </w:rPr>
        <w:t xml:space="preserve">Caso Barreto Leiva Vs. </w:t>
      </w:r>
      <w:r w:rsidRPr="000F51B7">
        <w:rPr>
          <w:rFonts w:asciiTheme="majorHAnsi" w:hAnsiTheme="majorHAnsi"/>
          <w:iCs/>
          <w:sz w:val="16"/>
          <w:szCs w:val="16"/>
          <w:lang w:val="es-PE"/>
        </w:rPr>
        <w:t xml:space="preserve">Venezuela. </w:t>
      </w:r>
      <w:r w:rsidRPr="000F51B7">
        <w:rPr>
          <w:rFonts w:asciiTheme="majorHAnsi" w:hAnsiTheme="majorHAnsi"/>
          <w:sz w:val="16"/>
          <w:szCs w:val="16"/>
          <w:lang w:val="es-PE"/>
        </w:rPr>
        <w:t>Sentencia de Fondo, Reparaciones y Costas 17 de noviembre de 2009. Serie C No. 206</w:t>
      </w:r>
      <w:r w:rsidRPr="000F51B7">
        <w:rPr>
          <w:rFonts w:asciiTheme="majorHAnsi" w:hAnsiTheme="majorHAnsi"/>
          <w:iCs/>
          <w:sz w:val="16"/>
          <w:szCs w:val="16"/>
          <w:lang w:val="es-PE"/>
        </w:rPr>
        <w:t xml:space="preserve">, </w:t>
      </w:r>
      <w:r w:rsidRPr="000F51B7">
        <w:rPr>
          <w:rFonts w:asciiTheme="majorHAnsi" w:hAnsiTheme="majorHAnsi"/>
          <w:sz w:val="16"/>
          <w:szCs w:val="16"/>
          <w:lang w:val="es-PE"/>
        </w:rPr>
        <w:t>párr. 90.</w:t>
      </w:r>
    </w:p>
  </w:footnote>
  <w:footnote w:id="23">
    <w:p w14:paraId="5F39E301" w14:textId="77777777" w:rsidR="00B4725A" w:rsidRPr="0039150E" w:rsidRDefault="00B4725A" w:rsidP="00B4725A">
      <w:pPr>
        <w:pStyle w:val="FootnoteText"/>
        <w:ind w:firstLine="720"/>
        <w:jc w:val="both"/>
        <w:rPr>
          <w:rFonts w:asciiTheme="majorHAnsi" w:hAnsiTheme="majorHAnsi"/>
          <w:sz w:val="16"/>
          <w:szCs w:val="16"/>
          <w:lang w:val="es-PE"/>
        </w:rPr>
      </w:pPr>
      <w:r w:rsidRPr="000F51B7">
        <w:rPr>
          <w:rStyle w:val="FootnoteReference"/>
          <w:rFonts w:asciiTheme="majorHAnsi" w:hAnsiTheme="majorHAnsi"/>
          <w:sz w:val="16"/>
          <w:szCs w:val="16"/>
          <w:lang w:val="es-PE"/>
        </w:rPr>
        <w:footnoteRef/>
      </w:r>
      <w:r w:rsidRPr="000F51B7">
        <w:rPr>
          <w:rFonts w:asciiTheme="majorHAnsi" w:hAnsiTheme="majorHAnsi"/>
          <w:sz w:val="16"/>
          <w:szCs w:val="16"/>
          <w:lang w:val="es-PE"/>
        </w:rPr>
        <w:t xml:space="preserve"> </w:t>
      </w:r>
      <w:r w:rsidRPr="0039150E">
        <w:rPr>
          <w:rStyle w:val="Strong"/>
          <w:rFonts w:asciiTheme="majorHAnsi" w:eastAsia="Cambria" w:hAnsiTheme="majorHAnsi"/>
          <w:b w:val="0"/>
          <w:bCs w:val="0"/>
          <w:sz w:val="16"/>
          <w:szCs w:val="16"/>
          <w:shd w:val="clear" w:color="auto" w:fill="FFFFFF"/>
          <w:lang w:val="es-PE"/>
        </w:rPr>
        <w:t xml:space="preserve">Corte IDH. </w:t>
      </w:r>
      <w:r w:rsidRPr="0039150E">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4">
    <w:p w14:paraId="4AC67F12" w14:textId="77777777" w:rsidR="00B4725A" w:rsidRPr="000F51B7" w:rsidRDefault="00B4725A" w:rsidP="00B4725A">
      <w:pPr>
        <w:pStyle w:val="FootnoteText"/>
        <w:ind w:firstLine="720"/>
        <w:jc w:val="both"/>
        <w:rPr>
          <w:lang w:val="es-US"/>
        </w:rPr>
      </w:pPr>
      <w:r w:rsidRPr="0039150E">
        <w:rPr>
          <w:rStyle w:val="FootnoteReference"/>
          <w:rFonts w:asciiTheme="majorHAnsi" w:hAnsiTheme="majorHAnsi"/>
          <w:sz w:val="16"/>
          <w:szCs w:val="16"/>
          <w:lang w:val="es-PE"/>
        </w:rPr>
        <w:footnoteRef/>
      </w:r>
      <w:r w:rsidRPr="0039150E">
        <w:rPr>
          <w:rFonts w:asciiTheme="majorHAnsi" w:hAnsiTheme="majorHAnsi"/>
          <w:sz w:val="16"/>
          <w:szCs w:val="16"/>
          <w:lang w:val="es-PE"/>
        </w:rPr>
        <w:t xml:space="preserve"> </w:t>
      </w:r>
      <w:r w:rsidRPr="0039150E">
        <w:rPr>
          <w:rStyle w:val="Strong"/>
          <w:rFonts w:asciiTheme="majorHAnsi" w:eastAsia="Cambria" w:hAnsiTheme="majorHAnsi"/>
          <w:b w:val="0"/>
          <w:bCs w:val="0"/>
          <w:sz w:val="16"/>
          <w:szCs w:val="16"/>
          <w:shd w:val="clear" w:color="auto" w:fill="FFFFFF"/>
          <w:lang w:val="es-PE"/>
        </w:rPr>
        <w:t>Corte IDH.</w:t>
      </w:r>
      <w:r w:rsidRPr="009C29A0">
        <w:rPr>
          <w:rStyle w:val="Strong"/>
          <w:rFonts w:asciiTheme="majorHAnsi" w:eastAsia="Cambria" w:hAnsiTheme="majorHAnsi"/>
          <w:sz w:val="16"/>
          <w:szCs w:val="16"/>
          <w:shd w:val="clear" w:color="auto" w:fill="FFFFFF"/>
          <w:lang w:val="es-PE"/>
        </w:rPr>
        <w:t xml:space="preserve"> </w:t>
      </w:r>
      <w:r w:rsidRPr="0039150E">
        <w:rPr>
          <w:rStyle w:val="Strong"/>
          <w:rFonts w:asciiTheme="majorHAnsi" w:eastAsia="Cambria" w:hAnsiTheme="majorHAnsi"/>
          <w:b w:val="0"/>
          <w:bCs w:val="0"/>
          <w:sz w:val="16"/>
          <w:szCs w:val="16"/>
          <w:shd w:val="clear" w:color="auto" w:fill="FFFFFF"/>
          <w:lang w:val="es-PE"/>
        </w:rPr>
        <w:t>Caso Norín Catrimán y otros (Dirigentes, Miembros y Activista del Pueblo Indígena Mapuche) Vs. Chile. Fondo, Reparaciones y Costas. Sentencia de 29 de mayo de 2014. Serie C No. 279. Párr. 270.</w:t>
      </w:r>
      <w:r w:rsidRPr="009C29A0">
        <w:rPr>
          <w:rStyle w:val="Strong"/>
          <w:rFonts w:asciiTheme="majorHAnsi" w:eastAsia="Cambria" w:hAnsiTheme="majorHAnsi"/>
          <w:sz w:val="16"/>
          <w:szCs w:val="16"/>
          <w:shd w:val="clear" w:color="auto" w:fill="FFFFFF"/>
          <w:lang w:val="es-PE"/>
        </w:rPr>
        <w:t xml:space="preserve"> </w:t>
      </w:r>
      <w:r w:rsidRPr="009C29A0">
        <w:rPr>
          <w:rFonts w:asciiTheme="majorHAnsi" w:hAnsiTheme="majorHAnsi"/>
          <w:b/>
          <w:bCs/>
          <w:sz w:val="16"/>
          <w:szCs w:val="16"/>
          <w:lang w:val="es-PE"/>
        </w:rPr>
        <w:t xml:space="preserve"> </w:t>
      </w:r>
      <w:r w:rsidRPr="000F51B7">
        <w:rPr>
          <w:rFonts w:asciiTheme="majorHAnsi" w:hAnsiTheme="majorHAnsi"/>
          <w:b/>
          <w:bCs/>
          <w:sz w:val="16"/>
          <w:szCs w:val="16"/>
          <w:lang w:val="es-PE"/>
        </w:rPr>
        <w:t xml:space="preserve"> </w:t>
      </w:r>
    </w:p>
  </w:footnote>
  <w:footnote w:id="25">
    <w:p w14:paraId="3C05A9FC" w14:textId="77777777" w:rsidR="00B4725A" w:rsidRPr="000F51B7" w:rsidRDefault="00B4725A" w:rsidP="0039150E">
      <w:pPr>
        <w:pStyle w:val="FootnoteText"/>
        <w:ind w:firstLine="720"/>
        <w:jc w:val="both"/>
        <w:rPr>
          <w:rFonts w:ascii="Cambria" w:hAnsi="Cambria"/>
          <w:sz w:val="16"/>
          <w:szCs w:val="16"/>
          <w:lang w:val="es-AR"/>
        </w:rPr>
      </w:pPr>
      <w:r w:rsidRPr="000F51B7">
        <w:rPr>
          <w:rStyle w:val="FootnoteReference"/>
          <w:rFonts w:ascii="Cambria" w:hAnsi="Cambria"/>
          <w:sz w:val="16"/>
          <w:szCs w:val="16"/>
        </w:rPr>
        <w:footnoteRef/>
      </w:r>
      <w:r w:rsidRPr="000F51B7">
        <w:rPr>
          <w:rFonts w:ascii="Cambria" w:hAnsi="Cambria"/>
          <w:sz w:val="16"/>
          <w:szCs w:val="16"/>
          <w:lang w:val="es-AR"/>
        </w:rPr>
        <w:t xml:space="preserve"> CIDH. Informe No. 55/97. Caso 11.137. Fondo. Juan Carlos Abella. Argentina. 18 de noviembre de 1997. Párr. 261. </w:t>
      </w:r>
    </w:p>
  </w:footnote>
  <w:footnote w:id="26">
    <w:p w14:paraId="4056F739" w14:textId="77777777" w:rsidR="00B4725A" w:rsidRPr="008B0B56" w:rsidRDefault="00B4725A" w:rsidP="0039150E">
      <w:pPr>
        <w:pStyle w:val="NormalWeb"/>
        <w:spacing w:before="0" w:beforeAutospacing="0" w:after="0" w:afterAutospacing="0"/>
        <w:ind w:firstLine="720"/>
        <w:jc w:val="both"/>
        <w:rPr>
          <w:rFonts w:ascii="Cambria" w:hAnsi="Cambria"/>
          <w:sz w:val="16"/>
          <w:szCs w:val="16"/>
          <w:lang w:val="es-ES"/>
        </w:rPr>
      </w:pPr>
      <w:r w:rsidRPr="000F51B7">
        <w:rPr>
          <w:rStyle w:val="FootnoteReference"/>
          <w:rFonts w:ascii="Cambria" w:eastAsia="Trebuchet MS" w:hAnsi="Cambria"/>
          <w:sz w:val="16"/>
          <w:szCs w:val="16"/>
          <w:lang w:val="es-ES"/>
        </w:rPr>
        <w:footnoteRef/>
      </w:r>
      <w:r w:rsidRPr="000F51B7">
        <w:rPr>
          <w:rFonts w:ascii="Cambria" w:hAnsi="Cambria"/>
          <w:sz w:val="16"/>
          <w:szCs w:val="16"/>
          <w:lang w:val="es-ES"/>
        </w:rPr>
        <w:t xml:space="preserve"> </w:t>
      </w:r>
      <w:r w:rsidRPr="000F51B7">
        <w:rPr>
          <w:rFonts w:ascii="Cambria" w:hAnsi="Cambria" w:cs="Calibri"/>
          <w:sz w:val="16"/>
          <w:szCs w:val="16"/>
          <w:lang w:val="es-ES"/>
        </w:rPr>
        <w:t>CIDH, Informe No. 172/10, Caso 12.561, Fondo, César Alberto Mendoza y otros (Prisión y reclusión perpetuas de adolescentes), Argentina, 2 de noviembre de 2010, párr. 189.</w:t>
      </w:r>
      <w:r w:rsidRPr="008B0B56">
        <w:rPr>
          <w:rFonts w:ascii="Cambria" w:hAnsi="Cambria" w:cs="Calibr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225E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40447D2"/>
    <w:lvl w:ilvl="0" w:tplc="BAF60EFE">
      <w:start w:val="1"/>
      <w:numFmt w:val="decimal"/>
      <w:lvlText w:val="%1."/>
      <w:lvlJc w:val="left"/>
      <w:pPr>
        <w:tabs>
          <w:tab w:val="num" w:pos="720"/>
        </w:tabs>
        <w:ind w:left="0" w:firstLine="720"/>
      </w:pPr>
      <w:rPr>
        <w:rFonts w:hint="default"/>
        <w:color w:val="auto"/>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ECE"/>
    <w:rsid w:val="00006E1F"/>
    <w:rsid w:val="000070D7"/>
    <w:rsid w:val="0001788C"/>
    <w:rsid w:val="00026D36"/>
    <w:rsid w:val="000337EF"/>
    <w:rsid w:val="000404BC"/>
    <w:rsid w:val="00040C3A"/>
    <w:rsid w:val="000419AD"/>
    <w:rsid w:val="000433C9"/>
    <w:rsid w:val="000716C5"/>
    <w:rsid w:val="00075E23"/>
    <w:rsid w:val="0009344A"/>
    <w:rsid w:val="000A392E"/>
    <w:rsid w:val="000A575F"/>
    <w:rsid w:val="000A6949"/>
    <w:rsid w:val="000B49AA"/>
    <w:rsid w:val="000B4DE7"/>
    <w:rsid w:val="000D05CB"/>
    <w:rsid w:val="000D10DB"/>
    <w:rsid w:val="000E5EB5"/>
    <w:rsid w:val="000E7287"/>
    <w:rsid w:val="000F35ED"/>
    <w:rsid w:val="00107131"/>
    <w:rsid w:val="0010736F"/>
    <w:rsid w:val="00111DF3"/>
    <w:rsid w:val="00113F73"/>
    <w:rsid w:val="00121CC2"/>
    <w:rsid w:val="00131425"/>
    <w:rsid w:val="00133EE5"/>
    <w:rsid w:val="00137B6D"/>
    <w:rsid w:val="00147694"/>
    <w:rsid w:val="00151780"/>
    <w:rsid w:val="00167A34"/>
    <w:rsid w:val="00190E23"/>
    <w:rsid w:val="00197D85"/>
    <w:rsid w:val="001A7870"/>
    <w:rsid w:val="001B3A00"/>
    <w:rsid w:val="001C1B41"/>
    <w:rsid w:val="001D42FE"/>
    <w:rsid w:val="001D65EF"/>
    <w:rsid w:val="001E49E7"/>
    <w:rsid w:val="001F7201"/>
    <w:rsid w:val="0021306F"/>
    <w:rsid w:val="00223A29"/>
    <w:rsid w:val="002250A3"/>
    <w:rsid w:val="00235217"/>
    <w:rsid w:val="002447DB"/>
    <w:rsid w:val="00246D1F"/>
    <w:rsid w:val="00247403"/>
    <w:rsid w:val="00247542"/>
    <w:rsid w:val="00266B61"/>
    <w:rsid w:val="00266F05"/>
    <w:rsid w:val="0026712A"/>
    <w:rsid w:val="002704DB"/>
    <w:rsid w:val="002714CB"/>
    <w:rsid w:val="00273FCB"/>
    <w:rsid w:val="0029738A"/>
    <w:rsid w:val="002A0AAE"/>
    <w:rsid w:val="002A5820"/>
    <w:rsid w:val="002C0676"/>
    <w:rsid w:val="002D2B26"/>
    <w:rsid w:val="002D32BF"/>
    <w:rsid w:val="002D7EA2"/>
    <w:rsid w:val="002E187C"/>
    <w:rsid w:val="002E3B87"/>
    <w:rsid w:val="00302733"/>
    <w:rsid w:val="00303CEB"/>
    <w:rsid w:val="00307E25"/>
    <w:rsid w:val="00314078"/>
    <w:rsid w:val="0031535D"/>
    <w:rsid w:val="003239B8"/>
    <w:rsid w:val="0033169F"/>
    <w:rsid w:val="00333C18"/>
    <w:rsid w:val="00344977"/>
    <w:rsid w:val="00346C95"/>
    <w:rsid w:val="00356185"/>
    <w:rsid w:val="00360380"/>
    <w:rsid w:val="0037396D"/>
    <w:rsid w:val="0037519E"/>
    <w:rsid w:val="00386CF0"/>
    <w:rsid w:val="0038733A"/>
    <w:rsid w:val="00390DE4"/>
    <w:rsid w:val="0039150E"/>
    <w:rsid w:val="003B70FB"/>
    <w:rsid w:val="003C211F"/>
    <w:rsid w:val="003C676B"/>
    <w:rsid w:val="003D3BC2"/>
    <w:rsid w:val="003E6CA1"/>
    <w:rsid w:val="00405F9C"/>
    <w:rsid w:val="004065A8"/>
    <w:rsid w:val="004072BA"/>
    <w:rsid w:val="004165C2"/>
    <w:rsid w:val="0042161A"/>
    <w:rsid w:val="00427D20"/>
    <w:rsid w:val="00432958"/>
    <w:rsid w:val="00435663"/>
    <w:rsid w:val="00441524"/>
    <w:rsid w:val="00441ECB"/>
    <w:rsid w:val="00442906"/>
    <w:rsid w:val="00445193"/>
    <w:rsid w:val="00452F55"/>
    <w:rsid w:val="0046083F"/>
    <w:rsid w:val="00462C1B"/>
    <w:rsid w:val="00467B7E"/>
    <w:rsid w:val="00473BB4"/>
    <w:rsid w:val="00477592"/>
    <w:rsid w:val="00486F1C"/>
    <w:rsid w:val="00492607"/>
    <w:rsid w:val="0049419D"/>
    <w:rsid w:val="004942BA"/>
    <w:rsid w:val="00495E56"/>
    <w:rsid w:val="00496AE0"/>
    <w:rsid w:val="004A6A54"/>
    <w:rsid w:val="004A74EC"/>
    <w:rsid w:val="004C20D2"/>
    <w:rsid w:val="004C2312"/>
    <w:rsid w:val="004C4B62"/>
    <w:rsid w:val="004C54C9"/>
    <w:rsid w:val="004C683C"/>
    <w:rsid w:val="004D1D0F"/>
    <w:rsid w:val="004D4ABA"/>
    <w:rsid w:val="004D6025"/>
    <w:rsid w:val="004D7BE5"/>
    <w:rsid w:val="004E2649"/>
    <w:rsid w:val="004F626F"/>
    <w:rsid w:val="00501399"/>
    <w:rsid w:val="0050633D"/>
    <w:rsid w:val="00507BC4"/>
    <w:rsid w:val="005128E4"/>
    <w:rsid w:val="005133DB"/>
    <w:rsid w:val="00514504"/>
    <w:rsid w:val="00525560"/>
    <w:rsid w:val="00533093"/>
    <w:rsid w:val="0053412A"/>
    <w:rsid w:val="00544C49"/>
    <w:rsid w:val="005516A1"/>
    <w:rsid w:val="005559EF"/>
    <w:rsid w:val="00563557"/>
    <w:rsid w:val="0057402A"/>
    <w:rsid w:val="005771D0"/>
    <w:rsid w:val="0057730E"/>
    <w:rsid w:val="0059191A"/>
    <w:rsid w:val="005921FF"/>
    <w:rsid w:val="005954E8"/>
    <w:rsid w:val="005A24ED"/>
    <w:rsid w:val="005A6011"/>
    <w:rsid w:val="005A6D0E"/>
    <w:rsid w:val="005B52B0"/>
    <w:rsid w:val="005B6806"/>
    <w:rsid w:val="005C4225"/>
    <w:rsid w:val="005C7660"/>
    <w:rsid w:val="005D38F9"/>
    <w:rsid w:val="005F0DAD"/>
    <w:rsid w:val="005F0F33"/>
    <w:rsid w:val="00600DEB"/>
    <w:rsid w:val="0062224C"/>
    <w:rsid w:val="00627C9F"/>
    <w:rsid w:val="006311E9"/>
    <w:rsid w:val="00632354"/>
    <w:rsid w:val="00635421"/>
    <w:rsid w:val="00642810"/>
    <w:rsid w:val="00652333"/>
    <w:rsid w:val="0068009E"/>
    <w:rsid w:val="00692219"/>
    <w:rsid w:val="006A17D2"/>
    <w:rsid w:val="006A73E6"/>
    <w:rsid w:val="006B2524"/>
    <w:rsid w:val="006B2D5C"/>
    <w:rsid w:val="006C4EB1"/>
    <w:rsid w:val="006E0166"/>
    <w:rsid w:val="006E2FFB"/>
    <w:rsid w:val="006E6BDA"/>
    <w:rsid w:val="006E7B34"/>
    <w:rsid w:val="0070697F"/>
    <w:rsid w:val="0072199C"/>
    <w:rsid w:val="00722C9F"/>
    <w:rsid w:val="007253B8"/>
    <w:rsid w:val="00734BC2"/>
    <w:rsid w:val="0073741F"/>
    <w:rsid w:val="007470EE"/>
    <w:rsid w:val="0076643F"/>
    <w:rsid w:val="00777F63"/>
    <w:rsid w:val="0078001A"/>
    <w:rsid w:val="00783CCF"/>
    <w:rsid w:val="00792A9E"/>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53CA"/>
    <w:rsid w:val="00831BF3"/>
    <w:rsid w:val="008338A4"/>
    <w:rsid w:val="00834D49"/>
    <w:rsid w:val="00837C45"/>
    <w:rsid w:val="00844730"/>
    <w:rsid w:val="008457C2"/>
    <w:rsid w:val="00857A82"/>
    <w:rsid w:val="00865C84"/>
    <w:rsid w:val="00867314"/>
    <w:rsid w:val="00873836"/>
    <w:rsid w:val="00885737"/>
    <w:rsid w:val="00887855"/>
    <w:rsid w:val="00890650"/>
    <w:rsid w:val="0089328E"/>
    <w:rsid w:val="00897E12"/>
    <w:rsid w:val="008A7E0F"/>
    <w:rsid w:val="008B12F5"/>
    <w:rsid w:val="008B3FF7"/>
    <w:rsid w:val="008C11F6"/>
    <w:rsid w:val="008C5E2D"/>
    <w:rsid w:val="008D2DA4"/>
    <w:rsid w:val="008D768D"/>
    <w:rsid w:val="008E3759"/>
    <w:rsid w:val="008E3BFE"/>
    <w:rsid w:val="008F1912"/>
    <w:rsid w:val="008F215C"/>
    <w:rsid w:val="0090270B"/>
    <w:rsid w:val="009041DC"/>
    <w:rsid w:val="00917B5A"/>
    <w:rsid w:val="00920A58"/>
    <w:rsid w:val="00920A8C"/>
    <w:rsid w:val="00923DE8"/>
    <w:rsid w:val="00925743"/>
    <w:rsid w:val="00930B7C"/>
    <w:rsid w:val="00934A2C"/>
    <w:rsid w:val="0095027D"/>
    <w:rsid w:val="0096706E"/>
    <w:rsid w:val="00974491"/>
    <w:rsid w:val="00975C4E"/>
    <w:rsid w:val="00980C07"/>
    <w:rsid w:val="00981FBA"/>
    <w:rsid w:val="00997BC5"/>
    <w:rsid w:val="009A4F41"/>
    <w:rsid w:val="009B381B"/>
    <w:rsid w:val="009C04CC"/>
    <w:rsid w:val="009D1753"/>
    <w:rsid w:val="009D7611"/>
    <w:rsid w:val="009E0B61"/>
    <w:rsid w:val="009E53DE"/>
    <w:rsid w:val="009F41AC"/>
    <w:rsid w:val="00A11212"/>
    <w:rsid w:val="00A11E44"/>
    <w:rsid w:val="00A30100"/>
    <w:rsid w:val="00A328B3"/>
    <w:rsid w:val="00A37F89"/>
    <w:rsid w:val="00A50FCF"/>
    <w:rsid w:val="00A528D1"/>
    <w:rsid w:val="00A568A0"/>
    <w:rsid w:val="00A610CD"/>
    <w:rsid w:val="00A758AA"/>
    <w:rsid w:val="00AA09A2"/>
    <w:rsid w:val="00AA7996"/>
    <w:rsid w:val="00AB7728"/>
    <w:rsid w:val="00AC19CB"/>
    <w:rsid w:val="00AD74FF"/>
    <w:rsid w:val="00AE5488"/>
    <w:rsid w:val="00AE6F91"/>
    <w:rsid w:val="00AF5571"/>
    <w:rsid w:val="00AF76C1"/>
    <w:rsid w:val="00B07341"/>
    <w:rsid w:val="00B30539"/>
    <w:rsid w:val="00B314DB"/>
    <w:rsid w:val="00B361F2"/>
    <w:rsid w:val="00B3718B"/>
    <w:rsid w:val="00B3745F"/>
    <w:rsid w:val="00B447B8"/>
    <w:rsid w:val="00B4632A"/>
    <w:rsid w:val="00B4725A"/>
    <w:rsid w:val="00B530F1"/>
    <w:rsid w:val="00B77BFD"/>
    <w:rsid w:val="00B8099B"/>
    <w:rsid w:val="00BA276C"/>
    <w:rsid w:val="00BB306F"/>
    <w:rsid w:val="00BB4B20"/>
    <w:rsid w:val="00BD4B89"/>
    <w:rsid w:val="00BD5922"/>
    <w:rsid w:val="00BE5CDD"/>
    <w:rsid w:val="00BF02CB"/>
    <w:rsid w:val="00BF43C0"/>
    <w:rsid w:val="00BF5AD5"/>
    <w:rsid w:val="00BF6FD8"/>
    <w:rsid w:val="00C03680"/>
    <w:rsid w:val="00C054DF"/>
    <w:rsid w:val="00C21762"/>
    <w:rsid w:val="00C21FEF"/>
    <w:rsid w:val="00C23BA4"/>
    <w:rsid w:val="00C24543"/>
    <w:rsid w:val="00C256A2"/>
    <w:rsid w:val="00C25ADB"/>
    <w:rsid w:val="00C470C5"/>
    <w:rsid w:val="00C51515"/>
    <w:rsid w:val="00C52046"/>
    <w:rsid w:val="00C5660B"/>
    <w:rsid w:val="00C66B72"/>
    <w:rsid w:val="00C87AC4"/>
    <w:rsid w:val="00C9567A"/>
    <w:rsid w:val="00CA45F2"/>
    <w:rsid w:val="00CB212D"/>
    <w:rsid w:val="00CB2660"/>
    <w:rsid w:val="00CB3ADC"/>
    <w:rsid w:val="00CC5E90"/>
    <w:rsid w:val="00CD046C"/>
    <w:rsid w:val="00CE076C"/>
    <w:rsid w:val="00CE3C83"/>
    <w:rsid w:val="00CE5199"/>
    <w:rsid w:val="00CE5C2A"/>
    <w:rsid w:val="00CE5D54"/>
    <w:rsid w:val="00CE66D5"/>
    <w:rsid w:val="00CF2E3B"/>
    <w:rsid w:val="00CF637A"/>
    <w:rsid w:val="00D059DE"/>
    <w:rsid w:val="00D05ABD"/>
    <w:rsid w:val="00D10BB4"/>
    <w:rsid w:val="00D13FCE"/>
    <w:rsid w:val="00D225E1"/>
    <w:rsid w:val="00D306D1"/>
    <w:rsid w:val="00D30800"/>
    <w:rsid w:val="00D30D31"/>
    <w:rsid w:val="00D34786"/>
    <w:rsid w:val="00D37BFC"/>
    <w:rsid w:val="00D47A8E"/>
    <w:rsid w:val="00D52D14"/>
    <w:rsid w:val="00D712D3"/>
    <w:rsid w:val="00D71422"/>
    <w:rsid w:val="00D72DC6"/>
    <w:rsid w:val="00D754C0"/>
    <w:rsid w:val="00D7558D"/>
    <w:rsid w:val="00D81D92"/>
    <w:rsid w:val="00D876F9"/>
    <w:rsid w:val="00DA7B5F"/>
    <w:rsid w:val="00DB79EC"/>
    <w:rsid w:val="00DC11E7"/>
    <w:rsid w:val="00DC24E3"/>
    <w:rsid w:val="00DC7023"/>
    <w:rsid w:val="00DC769A"/>
    <w:rsid w:val="00DD3D86"/>
    <w:rsid w:val="00DD4AD2"/>
    <w:rsid w:val="00DF1EC4"/>
    <w:rsid w:val="00E0340B"/>
    <w:rsid w:val="00E04A90"/>
    <w:rsid w:val="00E0551F"/>
    <w:rsid w:val="00E219C7"/>
    <w:rsid w:val="00E222E9"/>
    <w:rsid w:val="00E379AC"/>
    <w:rsid w:val="00E400F8"/>
    <w:rsid w:val="00E4118C"/>
    <w:rsid w:val="00E422CF"/>
    <w:rsid w:val="00E43157"/>
    <w:rsid w:val="00E461CE"/>
    <w:rsid w:val="00E50591"/>
    <w:rsid w:val="00E573E4"/>
    <w:rsid w:val="00E64C3D"/>
    <w:rsid w:val="00E720CA"/>
    <w:rsid w:val="00E75924"/>
    <w:rsid w:val="00E84EB5"/>
    <w:rsid w:val="00E85662"/>
    <w:rsid w:val="00E8789F"/>
    <w:rsid w:val="00E97B71"/>
    <w:rsid w:val="00EA3D34"/>
    <w:rsid w:val="00EB454D"/>
    <w:rsid w:val="00EB7726"/>
    <w:rsid w:val="00ED549D"/>
    <w:rsid w:val="00ED76BE"/>
    <w:rsid w:val="00EE00E9"/>
    <w:rsid w:val="00EF1AAA"/>
    <w:rsid w:val="00EF619B"/>
    <w:rsid w:val="00F00B55"/>
    <w:rsid w:val="00F02AD1"/>
    <w:rsid w:val="00F253CC"/>
    <w:rsid w:val="00F309C5"/>
    <w:rsid w:val="00F37106"/>
    <w:rsid w:val="00F44E25"/>
    <w:rsid w:val="00F519CF"/>
    <w:rsid w:val="00F553FD"/>
    <w:rsid w:val="00F56BA5"/>
    <w:rsid w:val="00F60E22"/>
    <w:rsid w:val="00F81395"/>
    <w:rsid w:val="00F81BB8"/>
    <w:rsid w:val="00F824A2"/>
    <w:rsid w:val="00F90C64"/>
    <w:rsid w:val="00F917D1"/>
    <w:rsid w:val="00F9653B"/>
    <w:rsid w:val="00FA255D"/>
    <w:rsid w:val="00FB17FF"/>
    <w:rsid w:val="00FB62CF"/>
    <w:rsid w:val="00FC0D9B"/>
    <w:rsid w:val="00FC643C"/>
    <w:rsid w:val="00FD3C3B"/>
    <w:rsid w:val="00FD645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566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character" w:styleId="Strong">
    <w:name w:val="Strong"/>
    <w:uiPriority w:val="22"/>
    <w:qFormat/>
    <w:rsid w:val="00B4725A"/>
    <w:rPr>
      <w:b/>
      <w:bCs/>
    </w:r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77BF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C643C"/>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B49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aragraph">
    <w:name w:val="paragraph"/>
    <w:basedOn w:val="Normal"/>
    <w:rsid w:val="000404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404BC"/>
  </w:style>
  <w:style w:type="character" w:customStyle="1" w:styleId="eop">
    <w:name w:val="eop"/>
    <w:basedOn w:val="DefaultParagraphFont"/>
    <w:rsid w:val="0004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2D03C9"/>
    <w:rsid w:val="00316D53"/>
    <w:rsid w:val="00384892"/>
    <w:rsid w:val="00394049"/>
    <w:rsid w:val="004B5BBB"/>
    <w:rsid w:val="004F2DF8"/>
    <w:rsid w:val="006F24A1"/>
    <w:rsid w:val="008F6B7E"/>
    <w:rsid w:val="009A261B"/>
    <w:rsid w:val="00AA2E17"/>
    <w:rsid w:val="00AC15A4"/>
    <w:rsid w:val="00B0336C"/>
    <w:rsid w:val="00B42571"/>
    <w:rsid w:val="00B729EB"/>
    <w:rsid w:val="00BE6A3A"/>
    <w:rsid w:val="00C4085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5195</Words>
  <Characters>29617</Characters>
  <Application>Microsoft Office Word</Application>
  <DocSecurity>0</DocSecurity>
  <Lines>246</Lines>
  <Paragraphs>69</Paragraphs>
  <ScaleCrop>false</ScaleCrop>
  <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2023-09-11T19:08:00Z</dcterms:created>
  <dcterms:modified xsi:type="dcterms:W3CDTF">2023-09-11T19:08:00Z</dcterms:modified>
</cp:coreProperties>
</file>