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2229A" w:rsidRDefault="00D306D1" w:rsidP="00627C9F">
      <w:pPr>
        <w:jc w:val="both"/>
        <w:rPr>
          <w:rFonts w:asciiTheme="majorHAnsi" w:hAnsiTheme="majorHAnsi" w:cs="Univers"/>
          <w:b/>
          <w:bCs/>
          <w:sz w:val="22"/>
          <w:szCs w:val="22"/>
          <w:lang w:val="es-ES_tradnl"/>
        </w:rPr>
      </w:pPr>
      <w:r w:rsidRPr="0092229A">
        <w:rPr>
          <w:rFonts w:asciiTheme="majorHAnsi" w:hAnsiTheme="majorHAnsi"/>
          <w:noProof/>
          <w:sz w:val="22"/>
          <w:szCs w:val="22"/>
          <w:lang w:val="es-ES_tradnl"/>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D1BA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2229A">
        <w:rPr>
          <w:rFonts w:asciiTheme="majorHAnsi" w:hAnsiTheme="majorHAnsi"/>
          <w:noProof/>
          <w:sz w:val="22"/>
          <w:szCs w:val="22"/>
          <w:lang w:val="es-ES_tradnl"/>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92229A">
        <w:rPr>
          <w:rFonts w:asciiTheme="majorHAnsi" w:hAnsiTheme="majorHAnsi" w:cs="Univers"/>
          <w:b/>
          <w:bCs/>
          <w:sz w:val="22"/>
          <w:szCs w:val="22"/>
          <w:lang w:val="es-ES_tradnl"/>
        </w:rPr>
        <w:t xml:space="preserve"> </w:t>
      </w:r>
    </w:p>
    <w:p w14:paraId="751BC92D" w14:textId="77777777" w:rsidR="00040C3A" w:rsidRPr="0092229A" w:rsidRDefault="00040C3A" w:rsidP="00040C3A">
      <w:pPr>
        <w:tabs>
          <w:tab w:val="center" w:pos="5400"/>
        </w:tabs>
        <w:suppressAutoHyphens/>
        <w:jc w:val="both"/>
        <w:rPr>
          <w:rFonts w:asciiTheme="majorHAnsi" w:hAnsiTheme="majorHAnsi"/>
          <w:sz w:val="22"/>
          <w:szCs w:val="22"/>
          <w:lang w:val="es-ES_tradnl"/>
        </w:rPr>
      </w:pPr>
    </w:p>
    <w:p w14:paraId="4601B0E5" w14:textId="77777777" w:rsidR="00040C3A" w:rsidRPr="0092229A" w:rsidRDefault="00040C3A" w:rsidP="00040C3A">
      <w:pPr>
        <w:tabs>
          <w:tab w:val="center" w:pos="5400"/>
        </w:tabs>
        <w:suppressAutoHyphens/>
        <w:jc w:val="both"/>
        <w:rPr>
          <w:rFonts w:asciiTheme="majorHAnsi" w:hAnsiTheme="majorHAnsi"/>
          <w:sz w:val="22"/>
          <w:szCs w:val="22"/>
          <w:lang w:val="es-ES_tradnl"/>
        </w:rPr>
      </w:pPr>
    </w:p>
    <w:p w14:paraId="49EC0A3F" w14:textId="77777777" w:rsidR="005128E4" w:rsidRPr="0092229A"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2229A"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2229A"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2229A"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2229A"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2229A"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2229A"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2229A"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2229A" w:rsidRDefault="003D3BC2" w:rsidP="00040C3A">
      <w:pPr>
        <w:tabs>
          <w:tab w:val="center" w:pos="5400"/>
        </w:tabs>
        <w:suppressAutoHyphens/>
        <w:jc w:val="center"/>
        <w:rPr>
          <w:rFonts w:asciiTheme="majorHAnsi" w:hAnsiTheme="majorHAnsi"/>
          <w:sz w:val="22"/>
          <w:szCs w:val="22"/>
          <w:lang w:val="es-ES_tradnl"/>
        </w:rPr>
      </w:pPr>
      <w:r w:rsidRPr="0092229A">
        <w:rPr>
          <w:rFonts w:asciiTheme="majorHAnsi" w:hAnsiTheme="majorHAnsi"/>
          <w:noProof/>
          <w:sz w:val="22"/>
          <w:szCs w:val="22"/>
          <w:lang w:val="es-ES_tradnl"/>
        </w:rPr>
        <mc:AlternateContent>
          <mc:Choice Requires="wps">
            <w:drawing>
              <wp:anchor distT="0" distB="0" distL="114300" distR="114300" simplePos="0" relativeHeight="251669504" behindDoc="0" locked="0" layoutInCell="1" allowOverlap="1" wp14:anchorId="65C56D75" wp14:editId="33BFE2AE">
                <wp:simplePos x="0" y="0"/>
                <wp:positionH relativeFrom="column">
                  <wp:posOffset>1353101</wp:posOffset>
                </wp:positionH>
                <wp:positionV relativeFrom="paragraph">
                  <wp:posOffset>106632</wp:posOffset>
                </wp:positionV>
                <wp:extent cx="4894418"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894418"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236C6C7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FF3286">
                              <w:rPr>
                                <w:rFonts w:asciiTheme="majorHAnsi" w:hAnsiTheme="majorHAnsi" w:cs="Arial"/>
                                <w:b/>
                                <w:bCs/>
                                <w:color w:val="0D0D0D" w:themeColor="text1" w:themeTint="F2"/>
                                <w:sz w:val="36"/>
                                <w:szCs w:val="40"/>
                                <w:lang w:val="es-ES_tradnl"/>
                              </w:rPr>
                              <w:t>.</w:t>
                            </w:r>
                            <w:r w:rsidR="007B05C4" w:rsidRPr="00FF3286">
                              <w:rPr>
                                <w:rFonts w:asciiTheme="majorHAnsi" w:hAnsiTheme="majorHAnsi" w:cs="Arial"/>
                                <w:b/>
                                <w:bCs/>
                                <w:color w:val="0D0D0D" w:themeColor="text1" w:themeTint="F2"/>
                                <w:sz w:val="36"/>
                                <w:szCs w:val="22"/>
                                <w:lang w:val="es-ES_tradnl"/>
                              </w:rPr>
                              <w:t xml:space="preserve"> </w:t>
                            </w:r>
                            <w:r w:rsidR="00740120">
                              <w:rPr>
                                <w:rFonts w:asciiTheme="majorHAnsi" w:hAnsiTheme="majorHAnsi" w:cs="Arial"/>
                                <w:b/>
                                <w:bCs/>
                                <w:color w:val="0D0D0D" w:themeColor="text1" w:themeTint="F2"/>
                                <w:sz w:val="36"/>
                                <w:szCs w:val="22"/>
                                <w:lang w:val="es-ES_tradnl"/>
                              </w:rPr>
                              <w:t>185</w:t>
                            </w:r>
                            <w:r w:rsidR="007B05C4" w:rsidRPr="00FF3286">
                              <w:rPr>
                                <w:rFonts w:asciiTheme="majorHAnsi" w:hAnsiTheme="majorHAnsi" w:cs="Arial"/>
                                <w:b/>
                                <w:bCs/>
                                <w:color w:val="0D0D0D" w:themeColor="text1" w:themeTint="F2"/>
                                <w:sz w:val="36"/>
                                <w:szCs w:val="22"/>
                                <w:lang w:val="es-ES_tradnl"/>
                              </w:rPr>
                              <w:t>/</w:t>
                            </w:r>
                            <w:r w:rsidR="001D57D6">
                              <w:rPr>
                                <w:rFonts w:asciiTheme="majorHAnsi" w:hAnsiTheme="majorHAnsi" w:cs="Arial"/>
                                <w:b/>
                                <w:bCs/>
                                <w:color w:val="0D0D0D" w:themeColor="text1" w:themeTint="F2"/>
                                <w:sz w:val="36"/>
                                <w:szCs w:val="22"/>
                                <w:lang w:val="es-ES_tradnl"/>
                              </w:rPr>
                              <w:t>2</w:t>
                            </w:r>
                            <w:r w:rsidR="00462DC8">
                              <w:rPr>
                                <w:rFonts w:asciiTheme="majorHAnsi" w:hAnsiTheme="majorHAnsi" w:cs="Arial"/>
                                <w:b/>
                                <w:bCs/>
                                <w:color w:val="0D0D0D" w:themeColor="text1" w:themeTint="F2"/>
                                <w:sz w:val="36"/>
                                <w:szCs w:val="22"/>
                                <w:lang w:val="es-ES_tradnl"/>
                              </w:rPr>
                              <w:t>3</w:t>
                            </w:r>
                          </w:p>
                          <w:p w14:paraId="45F30ECA" w14:textId="5B2B33A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62DC8">
                              <w:rPr>
                                <w:rFonts w:asciiTheme="majorHAnsi" w:hAnsiTheme="majorHAnsi" w:cs="Arial"/>
                                <w:b/>
                                <w:color w:val="0D0D0D" w:themeColor="text1" w:themeTint="F2"/>
                                <w:sz w:val="36"/>
                                <w:szCs w:val="22"/>
                                <w:lang w:val="es-ES_tradnl"/>
                              </w:rPr>
                              <w:t>1533-17</w:t>
                            </w:r>
                            <w:r w:rsidR="00246D1F" w:rsidRPr="004E2649">
                              <w:rPr>
                                <w:rFonts w:asciiTheme="majorHAnsi" w:hAnsiTheme="majorHAnsi" w:cs="Arial"/>
                                <w:b/>
                                <w:color w:val="0D0D0D" w:themeColor="text1" w:themeTint="F2"/>
                                <w:sz w:val="36"/>
                                <w:szCs w:val="22"/>
                                <w:lang w:val="es-ES_tradnl"/>
                              </w:rPr>
                              <w:t xml:space="preserve"> </w:t>
                            </w:r>
                          </w:p>
                          <w:p w14:paraId="188B4303" w14:textId="1678674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4507F684" w14:textId="38A36019" w:rsidR="00A85053" w:rsidRPr="0092229A" w:rsidRDefault="00A85053" w:rsidP="00A85053">
                            <w:pPr>
                              <w:rPr>
                                <w:rFonts w:ascii="Cambria" w:hAnsi="Cambria"/>
                                <w:bCs/>
                                <w:sz w:val="20"/>
                                <w:szCs w:val="20"/>
                                <w:lang w:val="es-ES_tradnl"/>
                              </w:rPr>
                            </w:pPr>
                            <w:r w:rsidRPr="00A85053">
                              <w:rPr>
                                <w:rFonts w:asciiTheme="majorHAnsi" w:hAnsiTheme="majorHAnsi" w:cs="Arial"/>
                                <w:bCs/>
                                <w:color w:val="0D0D0D" w:themeColor="text1" w:themeTint="F2"/>
                                <w:szCs w:val="22"/>
                                <w:lang w:val="es-ES_tradnl"/>
                              </w:rPr>
                              <w:t>COMUNIDADES INDÍGENAS Q'EQCHI'S DE SANTA MARÍA CAHABÓN</w:t>
                            </w:r>
                          </w:p>
                          <w:p w14:paraId="0B9F7D22" w14:textId="2CDCB867" w:rsidR="005B52B0" w:rsidRPr="00F56ECB" w:rsidRDefault="000F52EC"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5pt;margin-top:8.4pt;width:385.4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" filled="f" stroked="f" strokeweight=".5pt">
                <v:textbox>
                  <w:txbxContent>
                    <w:p w14:paraId="7D7328D9" w14:textId="236C6C7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FF3286">
                        <w:rPr>
                          <w:rFonts w:asciiTheme="majorHAnsi" w:hAnsiTheme="majorHAnsi" w:cs="Arial"/>
                          <w:b/>
                          <w:bCs/>
                          <w:color w:val="0D0D0D" w:themeColor="text1" w:themeTint="F2"/>
                          <w:sz w:val="36"/>
                          <w:szCs w:val="40"/>
                          <w:lang w:val="es-ES_tradnl"/>
                        </w:rPr>
                        <w:t>.</w:t>
                      </w:r>
                      <w:r w:rsidR="007B05C4" w:rsidRPr="00FF3286">
                        <w:rPr>
                          <w:rFonts w:asciiTheme="majorHAnsi" w:hAnsiTheme="majorHAnsi" w:cs="Arial"/>
                          <w:b/>
                          <w:bCs/>
                          <w:color w:val="0D0D0D" w:themeColor="text1" w:themeTint="F2"/>
                          <w:sz w:val="36"/>
                          <w:szCs w:val="22"/>
                          <w:lang w:val="es-ES_tradnl"/>
                        </w:rPr>
                        <w:t xml:space="preserve"> </w:t>
                      </w:r>
                      <w:r w:rsidR="00740120">
                        <w:rPr>
                          <w:rFonts w:asciiTheme="majorHAnsi" w:hAnsiTheme="majorHAnsi" w:cs="Arial"/>
                          <w:b/>
                          <w:bCs/>
                          <w:color w:val="0D0D0D" w:themeColor="text1" w:themeTint="F2"/>
                          <w:sz w:val="36"/>
                          <w:szCs w:val="22"/>
                          <w:lang w:val="es-ES_tradnl"/>
                        </w:rPr>
                        <w:t>185</w:t>
                      </w:r>
                      <w:r w:rsidR="007B05C4" w:rsidRPr="00FF3286">
                        <w:rPr>
                          <w:rFonts w:asciiTheme="majorHAnsi" w:hAnsiTheme="majorHAnsi" w:cs="Arial"/>
                          <w:b/>
                          <w:bCs/>
                          <w:color w:val="0D0D0D" w:themeColor="text1" w:themeTint="F2"/>
                          <w:sz w:val="36"/>
                          <w:szCs w:val="22"/>
                          <w:lang w:val="es-ES_tradnl"/>
                        </w:rPr>
                        <w:t>/</w:t>
                      </w:r>
                      <w:r w:rsidR="001D57D6">
                        <w:rPr>
                          <w:rFonts w:asciiTheme="majorHAnsi" w:hAnsiTheme="majorHAnsi" w:cs="Arial"/>
                          <w:b/>
                          <w:bCs/>
                          <w:color w:val="0D0D0D" w:themeColor="text1" w:themeTint="F2"/>
                          <w:sz w:val="36"/>
                          <w:szCs w:val="22"/>
                          <w:lang w:val="es-ES_tradnl"/>
                        </w:rPr>
                        <w:t>2</w:t>
                      </w:r>
                      <w:r w:rsidR="00462DC8">
                        <w:rPr>
                          <w:rFonts w:asciiTheme="majorHAnsi" w:hAnsiTheme="majorHAnsi" w:cs="Arial"/>
                          <w:b/>
                          <w:bCs/>
                          <w:color w:val="0D0D0D" w:themeColor="text1" w:themeTint="F2"/>
                          <w:sz w:val="36"/>
                          <w:szCs w:val="22"/>
                          <w:lang w:val="es-ES_tradnl"/>
                        </w:rPr>
                        <w:t>3</w:t>
                      </w:r>
                    </w:p>
                    <w:p w14:paraId="45F30ECA" w14:textId="5B2B33A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62DC8">
                        <w:rPr>
                          <w:rFonts w:asciiTheme="majorHAnsi" w:hAnsiTheme="majorHAnsi" w:cs="Arial"/>
                          <w:b/>
                          <w:color w:val="0D0D0D" w:themeColor="text1" w:themeTint="F2"/>
                          <w:sz w:val="36"/>
                          <w:szCs w:val="22"/>
                          <w:lang w:val="es-ES_tradnl"/>
                        </w:rPr>
                        <w:t>1533-17</w:t>
                      </w:r>
                      <w:r w:rsidR="00246D1F" w:rsidRPr="004E2649">
                        <w:rPr>
                          <w:rFonts w:asciiTheme="majorHAnsi" w:hAnsiTheme="majorHAnsi" w:cs="Arial"/>
                          <w:b/>
                          <w:color w:val="0D0D0D" w:themeColor="text1" w:themeTint="F2"/>
                          <w:sz w:val="36"/>
                          <w:szCs w:val="22"/>
                          <w:lang w:val="es-ES_tradnl"/>
                        </w:rPr>
                        <w:t xml:space="preserve"> </w:t>
                      </w:r>
                    </w:p>
                    <w:p w14:paraId="188B4303" w14:textId="1678674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507F684" w14:textId="38A36019" w:rsidR="00A85053" w:rsidRPr="0092229A" w:rsidRDefault="00A85053" w:rsidP="00A85053">
                      <w:pPr>
                        <w:rPr>
                          <w:rFonts w:ascii="Cambria" w:hAnsi="Cambria"/>
                          <w:bCs/>
                          <w:sz w:val="20"/>
                          <w:szCs w:val="20"/>
                          <w:lang w:val="es-ES_tradnl"/>
                        </w:rPr>
                      </w:pPr>
                      <w:r w:rsidRPr="00A85053">
                        <w:rPr>
                          <w:rFonts w:asciiTheme="majorHAnsi" w:hAnsiTheme="majorHAnsi" w:cs="Arial"/>
                          <w:bCs/>
                          <w:color w:val="0D0D0D" w:themeColor="text1" w:themeTint="F2"/>
                          <w:szCs w:val="22"/>
                          <w:lang w:val="es-ES_tradnl"/>
                        </w:rPr>
                        <w:t>COMUNIDADES INDÍGENAS Q'EQCHI'S DE SANTA MARÍA CAHABÓN</w:t>
                      </w:r>
                    </w:p>
                    <w:p w14:paraId="0B9F7D22" w14:textId="2CDCB867" w:rsidR="005B52B0" w:rsidRPr="00F56ECB" w:rsidRDefault="000F52EC"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GUATEMALA</w:t>
                      </w:r>
                    </w:p>
                  </w:txbxContent>
                </v:textbox>
              </v:shape>
            </w:pict>
          </mc:Fallback>
        </mc:AlternateContent>
      </w:r>
      <w:r w:rsidR="004E2649" w:rsidRPr="0092229A">
        <w:rPr>
          <w:rFonts w:asciiTheme="majorHAnsi" w:hAnsiTheme="majorHAnsi"/>
          <w:noProof/>
          <w:sz w:val="22"/>
          <w:szCs w:val="22"/>
          <w:lang w:val="es-ES_tradnl"/>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118B0A0C" w:rsidR="00627C9F" w:rsidRPr="00D112FE" w:rsidRDefault="00834D49" w:rsidP="007A5817">
                            <w:pPr>
                              <w:spacing w:line="276" w:lineRule="auto"/>
                              <w:jc w:val="right"/>
                              <w:rPr>
                                <w:rFonts w:asciiTheme="minorHAnsi" w:hAnsiTheme="minorHAnsi"/>
                                <w:color w:val="FFFFFF" w:themeColor="background1"/>
                                <w:sz w:val="22"/>
                                <w:lang w:val="es-AR"/>
                              </w:rPr>
                            </w:pPr>
                            <w:r w:rsidRPr="00D112FE">
                              <w:rPr>
                                <w:rFonts w:asciiTheme="minorHAnsi" w:hAnsiTheme="minorHAnsi"/>
                                <w:color w:val="FFFFFF" w:themeColor="background1"/>
                                <w:sz w:val="22"/>
                                <w:lang w:val="es-AR"/>
                              </w:rPr>
                              <w:t>OEA/Ser.L/V/II</w:t>
                            </w:r>
                          </w:p>
                          <w:p w14:paraId="71D2D5D2" w14:textId="64DA8813" w:rsidR="00627C9F" w:rsidRPr="00D112FE" w:rsidRDefault="00627C9F" w:rsidP="007A5817">
                            <w:pPr>
                              <w:spacing w:line="276" w:lineRule="auto"/>
                              <w:jc w:val="right"/>
                              <w:rPr>
                                <w:rFonts w:asciiTheme="minorHAnsi" w:hAnsiTheme="minorHAnsi"/>
                                <w:color w:val="FFFFFF" w:themeColor="background1"/>
                                <w:sz w:val="22"/>
                                <w:lang w:val="es-AR"/>
                              </w:rPr>
                            </w:pPr>
                            <w:r w:rsidRPr="00D112FE">
                              <w:rPr>
                                <w:rFonts w:asciiTheme="minorHAnsi" w:hAnsiTheme="minorHAnsi"/>
                                <w:color w:val="FFFFFF" w:themeColor="background1"/>
                                <w:sz w:val="22"/>
                                <w:lang w:val="es-AR"/>
                              </w:rPr>
                              <w:t xml:space="preserve">Doc. </w:t>
                            </w:r>
                            <w:r w:rsidR="00740120" w:rsidRPr="00D112FE">
                              <w:rPr>
                                <w:rFonts w:asciiTheme="minorHAnsi" w:hAnsiTheme="minorHAnsi"/>
                                <w:color w:val="FFFFFF" w:themeColor="background1"/>
                                <w:sz w:val="22"/>
                                <w:lang w:val="es-AR"/>
                              </w:rPr>
                              <w:t>202</w:t>
                            </w:r>
                          </w:p>
                          <w:p w14:paraId="4061DBBD" w14:textId="5C2A53E8" w:rsidR="00627C9F" w:rsidRPr="00C25ADB" w:rsidRDefault="0074012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27 septiembre</w:t>
                            </w:r>
                            <w:r w:rsidR="00627C9F" w:rsidRPr="00FF3286">
                              <w:rPr>
                                <w:rFonts w:asciiTheme="minorHAnsi" w:hAnsiTheme="minorHAnsi"/>
                                <w:color w:val="FFFFFF" w:themeColor="background1"/>
                                <w:sz w:val="22"/>
                                <w:lang w:val="es-PA"/>
                              </w:rPr>
                              <w:t xml:space="preserve"> 20</w:t>
                            </w:r>
                            <w:r w:rsidR="00C23BA4" w:rsidRPr="00FF3286">
                              <w:rPr>
                                <w:rFonts w:asciiTheme="minorHAnsi" w:hAnsiTheme="minorHAnsi"/>
                                <w:color w:val="FFFFFF" w:themeColor="background1"/>
                                <w:sz w:val="22"/>
                                <w:lang w:val="es-PA"/>
                              </w:rPr>
                              <w:t>2</w:t>
                            </w:r>
                            <w:r w:rsidR="00462DC8" w:rsidRPr="00FF3286">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118B0A0C" w:rsidR="00627C9F" w:rsidRPr="00D112FE" w:rsidRDefault="00834D49" w:rsidP="007A5817">
                      <w:pPr>
                        <w:spacing w:line="276" w:lineRule="auto"/>
                        <w:jc w:val="right"/>
                        <w:rPr>
                          <w:rFonts w:asciiTheme="minorHAnsi" w:hAnsiTheme="minorHAnsi"/>
                          <w:color w:val="FFFFFF" w:themeColor="background1"/>
                          <w:sz w:val="22"/>
                          <w:lang w:val="es-AR"/>
                        </w:rPr>
                      </w:pPr>
                      <w:r w:rsidRPr="00D112FE">
                        <w:rPr>
                          <w:rFonts w:asciiTheme="minorHAnsi" w:hAnsiTheme="minorHAnsi"/>
                          <w:color w:val="FFFFFF" w:themeColor="background1"/>
                          <w:sz w:val="22"/>
                          <w:lang w:val="es-AR"/>
                        </w:rPr>
                        <w:t>OEA/Ser.L/V/II</w:t>
                      </w:r>
                    </w:p>
                    <w:p w14:paraId="71D2D5D2" w14:textId="64DA8813" w:rsidR="00627C9F" w:rsidRPr="00D112FE" w:rsidRDefault="00627C9F" w:rsidP="007A5817">
                      <w:pPr>
                        <w:spacing w:line="276" w:lineRule="auto"/>
                        <w:jc w:val="right"/>
                        <w:rPr>
                          <w:rFonts w:asciiTheme="minorHAnsi" w:hAnsiTheme="minorHAnsi"/>
                          <w:color w:val="FFFFFF" w:themeColor="background1"/>
                          <w:sz w:val="22"/>
                          <w:lang w:val="es-AR"/>
                        </w:rPr>
                      </w:pPr>
                      <w:r w:rsidRPr="00D112FE">
                        <w:rPr>
                          <w:rFonts w:asciiTheme="minorHAnsi" w:hAnsiTheme="minorHAnsi"/>
                          <w:color w:val="FFFFFF" w:themeColor="background1"/>
                          <w:sz w:val="22"/>
                          <w:lang w:val="es-AR"/>
                        </w:rPr>
                        <w:t xml:space="preserve">Doc. </w:t>
                      </w:r>
                      <w:r w:rsidR="00740120" w:rsidRPr="00D112FE">
                        <w:rPr>
                          <w:rFonts w:asciiTheme="minorHAnsi" w:hAnsiTheme="minorHAnsi"/>
                          <w:color w:val="FFFFFF" w:themeColor="background1"/>
                          <w:sz w:val="22"/>
                          <w:lang w:val="es-AR"/>
                        </w:rPr>
                        <w:t>202</w:t>
                      </w:r>
                    </w:p>
                    <w:p w14:paraId="4061DBBD" w14:textId="5C2A53E8" w:rsidR="00627C9F" w:rsidRPr="00C25ADB" w:rsidRDefault="0074012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27 septiembre</w:t>
                      </w:r>
                      <w:r w:rsidR="00627C9F" w:rsidRPr="00FF3286">
                        <w:rPr>
                          <w:rFonts w:asciiTheme="minorHAnsi" w:hAnsiTheme="minorHAnsi"/>
                          <w:color w:val="FFFFFF" w:themeColor="background1"/>
                          <w:sz w:val="22"/>
                          <w:lang w:val="es-PA"/>
                        </w:rPr>
                        <w:t xml:space="preserve"> 20</w:t>
                      </w:r>
                      <w:r w:rsidR="00C23BA4" w:rsidRPr="00FF3286">
                        <w:rPr>
                          <w:rFonts w:asciiTheme="minorHAnsi" w:hAnsiTheme="minorHAnsi"/>
                          <w:color w:val="FFFFFF" w:themeColor="background1"/>
                          <w:sz w:val="22"/>
                          <w:lang w:val="es-PA"/>
                        </w:rPr>
                        <w:t>2</w:t>
                      </w:r>
                      <w:r w:rsidR="00462DC8" w:rsidRPr="00FF3286">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2229A"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2229A"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2229A"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2229A"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2229A"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2229A"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2229A" w:rsidRDefault="0090270B" w:rsidP="00040C3A">
      <w:pPr>
        <w:tabs>
          <w:tab w:val="center" w:pos="5400"/>
        </w:tabs>
        <w:suppressAutoHyphens/>
        <w:jc w:val="center"/>
        <w:rPr>
          <w:rFonts w:asciiTheme="majorHAnsi" w:hAnsiTheme="majorHAnsi"/>
          <w:sz w:val="18"/>
          <w:szCs w:val="22"/>
          <w:lang w:val="es-ES_tradnl"/>
        </w:rPr>
      </w:pPr>
      <w:r w:rsidRPr="0092229A">
        <w:rPr>
          <w:rFonts w:asciiTheme="majorHAnsi" w:hAnsiTheme="majorHAnsi"/>
          <w:noProof/>
          <w:sz w:val="22"/>
          <w:szCs w:val="22"/>
          <w:lang w:val="es-ES_tradnl"/>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80165D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w:t>
                            </w:r>
                            <w:r w:rsidRPr="00FF3286">
                              <w:rPr>
                                <w:rFonts w:asciiTheme="majorHAnsi" w:hAnsiTheme="majorHAnsi"/>
                                <w:color w:val="0D0D0D" w:themeColor="text1" w:themeTint="F2"/>
                                <w:sz w:val="18"/>
                                <w:szCs w:val="22"/>
                                <w:lang w:val="es-ES"/>
                              </w:rPr>
                              <w:t xml:space="preserve">Comisión el </w:t>
                            </w:r>
                            <w:r w:rsidR="00977E3C">
                              <w:rPr>
                                <w:rFonts w:asciiTheme="majorHAnsi" w:hAnsiTheme="majorHAnsi"/>
                                <w:color w:val="0D0D0D" w:themeColor="text1" w:themeTint="F2"/>
                                <w:sz w:val="18"/>
                                <w:szCs w:val="22"/>
                                <w:lang w:val="es-ES"/>
                              </w:rPr>
                              <w:t>27</w:t>
                            </w:r>
                            <w:r w:rsidRPr="00FF3286">
                              <w:rPr>
                                <w:rFonts w:asciiTheme="majorHAnsi" w:hAnsiTheme="majorHAnsi"/>
                                <w:color w:val="0D0D0D" w:themeColor="text1" w:themeTint="F2"/>
                                <w:sz w:val="18"/>
                                <w:szCs w:val="22"/>
                                <w:lang w:val="es-ES"/>
                              </w:rPr>
                              <w:t xml:space="preserve"> de </w:t>
                            </w:r>
                            <w:r w:rsidR="00977E3C">
                              <w:rPr>
                                <w:rFonts w:asciiTheme="majorHAnsi" w:hAnsiTheme="majorHAnsi"/>
                                <w:color w:val="0D0D0D" w:themeColor="text1" w:themeTint="F2"/>
                                <w:sz w:val="18"/>
                                <w:szCs w:val="22"/>
                                <w:lang w:val="es-ES"/>
                              </w:rPr>
                              <w:t>septiembre</w:t>
                            </w:r>
                            <w:r w:rsidR="00F81BB8" w:rsidRPr="00FF3286">
                              <w:rPr>
                                <w:rFonts w:asciiTheme="majorHAnsi" w:hAnsiTheme="majorHAnsi"/>
                                <w:color w:val="0D0D0D" w:themeColor="text1" w:themeTint="F2"/>
                                <w:sz w:val="18"/>
                                <w:szCs w:val="22"/>
                                <w:lang w:val="es-ES"/>
                              </w:rPr>
                              <w:t xml:space="preserve"> </w:t>
                            </w:r>
                            <w:r w:rsidRPr="00FF3286">
                              <w:rPr>
                                <w:rFonts w:asciiTheme="majorHAnsi" w:hAnsiTheme="majorHAnsi"/>
                                <w:color w:val="0D0D0D" w:themeColor="text1" w:themeTint="F2"/>
                                <w:sz w:val="18"/>
                                <w:szCs w:val="22"/>
                                <w:lang w:val="es-ES"/>
                              </w:rPr>
                              <w:t>de 20</w:t>
                            </w:r>
                            <w:r w:rsidR="00C23BA4" w:rsidRPr="00FF3286">
                              <w:rPr>
                                <w:rFonts w:asciiTheme="majorHAnsi" w:hAnsiTheme="majorHAnsi"/>
                                <w:color w:val="0D0D0D" w:themeColor="text1" w:themeTint="F2"/>
                                <w:sz w:val="18"/>
                                <w:szCs w:val="22"/>
                                <w:lang w:val="es-ES"/>
                              </w:rPr>
                              <w:t>2</w:t>
                            </w:r>
                            <w:r w:rsidR="00462DC8" w:rsidRPr="00FF3286">
                              <w:rPr>
                                <w:rFonts w:asciiTheme="majorHAnsi" w:hAnsiTheme="majorHAnsi"/>
                                <w:color w:val="0D0D0D" w:themeColor="text1" w:themeTint="F2"/>
                                <w:sz w:val="18"/>
                                <w:szCs w:val="22"/>
                                <w:lang w:val="es-ES"/>
                              </w:rPr>
                              <w:t>3</w:t>
                            </w:r>
                            <w:r w:rsidR="00FF3286">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180165D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w:t>
                      </w:r>
                      <w:r w:rsidRPr="00FF3286">
                        <w:rPr>
                          <w:rFonts w:asciiTheme="majorHAnsi" w:hAnsiTheme="majorHAnsi"/>
                          <w:color w:val="0D0D0D" w:themeColor="text1" w:themeTint="F2"/>
                          <w:sz w:val="18"/>
                          <w:szCs w:val="22"/>
                          <w:lang w:val="es-ES"/>
                        </w:rPr>
                        <w:t xml:space="preserve">Comisión el </w:t>
                      </w:r>
                      <w:r w:rsidR="00977E3C">
                        <w:rPr>
                          <w:rFonts w:asciiTheme="majorHAnsi" w:hAnsiTheme="majorHAnsi"/>
                          <w:color w:val="0D0D0D" w:themeColor="text1" w:themeTint="F2"/>
                          <w:sz w:val="18"/>
                          <w:szCs w:val="22"/>
                          <w:lang w:val="es-ES"/>
                        </w:rPr>
                        <w:t>27</w:t>
                      </w:r>
                      <w:r w:rsidRPr="00FF3286">
                        <w:rPr>
                          <w:rFonts w:asciiTheme="majorHAnsi" w:hAnsiTheme="majorHAnsi"/>
                          <w:color w:val="0D0D0D" w:themeColor="text1" w:themeTint="F2"/>
                          <w:sz w:val="18"/>
                          <w:szCs w:val="22"/>
                          <w:lang w:val="es-ES"/>
                        </w:rPr>
                        <w:t xml:space="preserve"> de </w:t>
                      </w:r>
                      <w:r w:rsidR="00977E3C">
                        <w:rPr>
                          <w:rFonts w:asciiTheme="majorHAnsi" w:hAnsiTheme="majorHAnsi"/>
                          <w:color w:val="0D0D0D" w:themeColor="text1" w:themeTint="F2"/>
                          <w:sz w:val="18"/>
                          <w:szCs w:val="22"/>
                          <w:lang w:val="es-ES"/>
                        </w:rPr>
                        <w:t>septiembre</w:t>
                      </w:r>
                      <w:r w:rsidR="00F81BB8" w:rsidRPr="00FF3286">
                        <w:rPr>
                          <w:rFonts w:asciiTheme="majorHAnsi" w:hAnsiTheme="majorHAnsi"/>
                          <w:color w:val="0D0D0D" w:themeColor="text1" w:themeTint="F2"/>
                          <w:sz w:val="18"/>
                          <w:szCs w:val="22"/>
                          <w:lang w:val="es-ES"/>
                        </w:rPr>
                        <w:t xml:space="preserve"> </w:t>
                      </w:r>
                      <w:r w:rsidRPr="00FF3286">
                        <w:rPr>
                          <w:rFonts w:asciiTheme="majorHAnsi" w:hAnsiTheme="majorHAnsi"/>
                          <w:color w:val="0D0D0D" w:themeColor="text1" w:themeTint="F2"/>
                          <w:sz w:val="18"/>
                          <w:szCs w:val="22"/>
                          <w:lang w:val="es-ES"/>
                        </w:rPr>
                        <w:t>de 20</w:t>
                      </w:r>
                      <w:r w:rsidR="00C23BA4" w:rsidRPr="00FF3286">
                        <w:rPr>
                          <w:rFonts w:asciiTheme="majorHAnsi" w:hAnsiTheme="majorHAnsi"/>
                          <w:color w:val="0D0D0D" w:themeColor="text1" w:themeTint="F2"/>
                          <w:sz w:val="18"/>
                          <w:szCs w:val="22"/>
                          <w:lang w:val="es-ES"/>
                        </w:rPr>
                        <w:t>2</w:t>
                      </w:r>
                      <w:r w:rsidR="00462DC8" w:rsidRPr="00FF3286">
                        <w:rPr>
                          <w:rFonts w:asciiTheme="majorHAnsi" w:hAnsiTheme="majorHAnsi"/>
                          <w:color w:val="0D0D0D" w:themeColor="text1" w:themeTint="F2"/>
                          <w:sz w:val="18"/>
                          <w:szCs w:val="22"/>
                          <w:lang w:val="es-ES"/>
                        </w:rPr>
                        <w:t>3</w:t>
                      </w:r>
                      <w:r w:rsidR="00FF3286">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2229A" w:rsidRDefault="0090270B" w:rsidP="00040C3A">
      <w:pPr>
        <w:tabs>
          <w:tab w:val="center" w:pos="5400"/>
        </w:tabs>
        <w:suppressAutoHyphens/>
        <w:jc w:val="center"/>
        <w:rPr>
          <w:rFonts w:asciiTheme="majorHAnsi" w:hAnsiTheme="majorHAnsi"/>
          <w:sz w:val="18"/>
          <w:szCs w:val="22"/>
          <w:lang w:val="es-ES_tradnl"/>
        </w:rPr>
      </w:pPr>
      <w:r w:rsidRPr="0092229A">
        <w:rPr>
          <w:rFonts w:asciiTheme="majorHAnsi" w:hAnsiTheme="majorHAnsi"/>
          <w:noProof/>
          <w:sz w:val="18"/>
          <w:szCs w:val="22"/>
          <w:lang w:val="es-ES_tradnl"/>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499E2EC4" w:rsidR="00113F73" w:rsidRPr="00462DC8"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FF3286">
                              <w:rPr>
                                <w:rFonts w:asciiTheme="majorHAnsi" w:hAnsiTheme="majorHAnsi"/>
                                <w:color w:val="595959" w:themeColor="text1" w:themeTint="A6"/>
                                <w:sz w:val="18"/>
                                <w:szCs w:val="18"/>
                                <w:lang w:val="pt-BR"/>
                              </w:rPr>
                              <w:t xml:space="preserve">CIDH, Informe No. </w:t>
                            </w:r>
                            <w:r w:rsidR="00977E3C" w:rsidRPr="00977E3C">
                              <w:rPr>
                                <w:rFonts w:asciiTheme="majorHAnsi" w:hAnsiTheme="majorHAnsi"/>
                                <w:color w:val="595959" w:themeColor="text1" w:themeTint="A6"/>
                                <w:sz w:val="18"/>
                                <w:szCs w:val="18"/>
                                <w:lang w:val="pt-BR"/>
                              </w:rPr>
                              <w:t>185</w:t>
                            </w:r>
                            <w:r w:rsidR="007B05C4" w:rsidRPr="00977E3C">
                              <w:rPr>
                                <w:rFonts w:asciiTheme="majorHAnsi" w:hAnsiTheme="majorHAnsi"/>
                                <w:color w:val="595959" w:themeColor="text1" w:themeTint="A6"/>
                                <w:sz w:val="18"/>
                                <w:szCs w:val="18"/>
                                <w:lang w:val="pt-BR"/>
                              </w:rPr>
                              <w:t>/</w:t>
                            </w:r>
                            <w:r w:rsidR="00977E3C" w:rsidRPr="00977E3C">
                              <w:rPr>
                                <w:rFonts w:asciiTheme="majorHAnsi" w:hAnsiTheme="majorHAnsi"/>
                                <w:color w:val="595959" w:themeColor="text1" w:themeTint="A6"/>
                                <w:sz w:val="18"/>
                                <w:szCs w:val="18"/>
                                <w:lang w:val="pt-BR"/>
                              </w:rPr>
                              <w:t>23</w:t>
                            </w:r>
                            <w:r w:rsidRPr="00977E3C">
                              <w:rPr>
                                <w:rFonts w:asciiTheme="majorHAnsi" w:hAnsiTheme="majorHAnsi"/>
                                <w:color w:val="595959" w:themeColor="text1" w:themeTint="A6"/>
                                <w:sz w:val="18"/>
                                <w:szCs w:val="18"/>
                                <w:lang w:val="pt-BR"/>
                              </w:rPr>
                              <w:t xml:space="preserve">. </w:t>
                            </w:r>
                            <w:r w:rsidR="000433C9" w:rsidRPr="00FF3286">
                              <w:rPr>
                                <w:rFonts w:asciiTheme="majorHAnsi" w:hAnsiTheme="majorHAnsi"/>
                                <w:color w:val="595959" w:themeColor="text1" w:themeTint="A6"/>
                                <w:sz w:val="18"/>
                                <w:szCs w:val="18"/>
                                <w:lang w:val="es-ES_tradnl"/>
                              </w:rPr>
                              <w:t>Petici</w:t>
                            </w:r>
                            <w:r w:rsidR="000433C9" w:rsidRPr="00FF3286">
                              <w:rPr>
                                <w:rFonts w:asciiTheme="majorHAnsi" w:hAnsiTheme="majorHAnsi"/>
                                <w:color w:val="595959" w:themeColor="text1" w:themeTint="A6"/>
                                <w:sz w:val="18"/>
                                <w:szCs w:val="18"/>
                                <w:lang w:val="es-ES"/>
                              </w:rPr>
                              <w:t xml:space="preserve">ón </w:t>
                            </w:r>
                            <w:r w:rsidR="00462DC8" w:rsidRPr="00FF3286">
                              <w:rPr>
                                <w:rFonts w:asciiTheme="majorHAnsi" w:hAnsiTheme="majorHAnsi"/>
                                <w:color w:val="595959" w:themeColor="text1" w:themeTint="A6"/>
                                <w:sz w:val="18"/>
                                <w:szCs w:val="18"/>
                                <w:lang w:val="es-ES"/>
                              </w:rPr>
                              <w:t>1533-17</w:t>
                            </w:r>
                            <w:r w:rsidR="000433C9" w:rsidRPr="00FF3286">
                              <w:rPr>
                                <w:rFonts w:asciiTheme="majorHAnsi" w:hAnsiTheme="majorHAnsi"/>
                                <w:color w:val="595959" w:themeColor="text1" w:themeTint="A6"/>
                                <w:sz w:val="18"/>
                                <w:szCs w:val="18"/>
                                <w:lang w:val="es-ES"/>
                              </w:rPr>
                              <w:t xml:space="preserve">. </w:t>
                            </w:r>
                            <w:r w:rsidRPr="00FF3286">
                              <w:rPr>
                                <w:rFonts w:asciiTheme="majorHAnsi" w:hAnsiTheme="majorHAnsi"/>
                                <w:color w:val="595959" w:themeColor="text1" w:themeTint="A6"/>
                                <w:sz w:val="18"/>
                                <w:szCs w:val="18"/>
                                <w:lang w:val="es-ES_tradnl"/>
                              </w:rPr>
                              <w:t>Admisibilidad.</w:t>
                            </w:r>
                            <w:r w:rsidR="009935AC" w:rsidRPr="00FF3286">
                              <w:rPr>
                                <w:rFonts w:asciiTheme="majorHAnsi" w:hAnsiTheme="majorHAnsi"/>
                                <w:color w:val="595959" w:themeColor="text1" w:themeTint="A6"/>
                                <w:sz w:val="18"/>
                                <w:szCs w:val="18"/>
                                <w:lang w:val="es-ES_tradnl"/>
                              </w:rPr>
                              <w:t xml:space="preserve"> </w:t>
                            </w:r>
                            <w:r w:rsidR="00A85053" w:rsidRPr="00FF3286">
                              <w:rPr>
                                <w:rFonts w:asciiTheme="majorHAnsi" w:hAnsiTheme="majorHAnsi"/>
                                <w:bCs/>
                                <w:color w:val="595959" w:themeColor="text1" w:themeTint="A6"/>
                                <w:sz w:val="18"/>
                                <w:szCs w:val="18"/>
                                <w:lang w:val="es-ES_tradnl"/>
                              </w:rPr>
                              <w:t>Comunidades Indígenas Q'eqchi's de Santa María Cahabón</w:t>
                            </w:r>
                            <w:r w:rsidR="009935AC" w:rsidRPr="00FF3286">
                              <w:rPr>
                                <w:rFonts w:asciiTheme="majorHAnsi" w:hAnsiTheme="majorHAnsi"/>
                                <w:color w:val="595959" w:themeColor="text1" w:themeTint="A6"/>
                                <w:sz w:val="18"/>
                                <w:szCs w:val="18"/>
                                <w:lang w:val="es-ES_tradnl"/>
                              </w:rPr>
                              <w:t xml:space="preserve">. </w:t>
                            </w:r>
                            <w:r w:rsidR="00967C75" w:rsidRPr="00FF3286">
                              <w:rPr>
                                <w:rFonts w:asciiTheme="majorHAnsi" w:hAnsiTheme="majorHAnsi"/>
                                <w:color w:val="595959" w:themeColor="text1" w:themeTint="A6"/>
                                <w:sz w:val="18"/>
                                <w:szCs w:val="18"/>
                                <w:lang w:val="es-ES_tradnl"/>
                              </w:rPr>
                              <w:t>Guatemala</w:t>
                            </w:r>
                            <w:r w:rsidRPr="00FF3286">
                              <w:rPr>
                                <w:rFonts w:asciiTheme="majorHAnsi" w:hAnsiTheme="majorHAnsi"/>
                                <w:color w:val="595959" w:themeColor="text1" w:themeTint="A6"/>
                                <w:sz w:val="18"/>
                                <w:szCs w:val="18"/>
                                <w:lang w:val="es-ES_tradnl"/>
                              </w:rPr>
                              <w:t xml:space="preserve">. </w:t>
                            </w:r>
                            <w:r w:rsidR="00051511">
                              <w:rPr>
                                <w:rFonts w:asciiTheme="majorHAnsi" w:hAnsiTheme="majorHAnsi"/>
                                <w:color w:val="595959" w:themeColor="text1" w:themeTint="A6"/>
                                <w:sz w:val="18"/>
                                <w:szCs w:val="18"/>
                                <w:lang w:val="es-ES"/>
                              </w:rPr>
                              <w:t>27 de septiembre de 20</w:t>
                            </w:r>
                            <w:r w:rsidR="00051511" w:rsidRPr="00051511">
                              <w:rPr>
                                <w:rFonts w:asciiTheme="majorHAnsi" w:hAnsiTheme="majorHAnsi"/>
                                <w:color w:val="595959" w:themeColor="text1" w:themeTint="A6"/>
                                <w:sz w:val="18"/>
                                <w:szCs w:val="18"/>
                                <w:lang w:val="es-ES"/>
                              </w:rPr>
                              <w:t>23</w:t>
                            </w:r>
                            <w:r w:rsidRPr="00051511">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499E2EC4" w:rsidR="00113F73" w:rsidRPr="00462DC8"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FF3286">
                        <w:rPr>
                          <w:rFonts w:asciiTheme="majorHAnsi" w:hAnsiTheme="majorHAnsi"/>
                          <w:color w:val="595959" w:themeColor="text1" w:themeTint="A6"/>
                          <w:sz w:val="18"/>
                          <w:szCs w:val="18"/>
                          <w:lang w:val="pt-BR"/>
                        </w:rPr>
                        <w:t xml:space="preserve">CIDH, Informe No. </w:t>
                      </w:r>
                      <w:r w:rsidR="00977E3C" w:rsidRPr="00977E3C">
                        <w:rPr>
                          <w:rFonts w:asciiTheme="majorHAnsi" w:hAnsiTheme="majorHAnsi"/>
                          <w:color w:val="595959" w:themeColor="text1" w:themeTint="A6"/>
                          <w:sz w:val="18"/>
                          <w:szCs w:val="18"/>
                          <w:lang w:val="pt-BR"/>
                        </w:rPr>
                        <w:t>185</w:t>
                      </w:r>
                      <w:r w:rsidR="007B05C4" w:rsidRPr="00977E3C">
                        <w:rPr>
                          <w:rFonts w:asciiTheme="majorHAnsi" w:hAnsiTheme="majorHAnsi"/>
                          <w:color w:val="595959" w:themeColor="text1" w:themeTint="A6"/>
                          <w:sz w:val="18"/>
                          <w:szCs w:val="18"/>
                          <w:lang w:val="pt-BR"/>
                        </w:rPr>
                        <w:t>/</w:t>
                      </w:r>
                      <w:r w:rsidR="00977E3C" w:rsidRPr="00977E3C">
                        <w:rPr>
                          <w:rFonts w:asciiTheme="majorHAnsi" w:hAnsiTheme="majorHAnsi"/>
                          <w:color w:val="595959" w:themeColor="text1" w:themeTint="A6"/>
                          <w:sz w:val="18"/>
                          <w:szCs w:val="18"/>
                          <w:lang w:val="pt-BR"/>
                        </w:rPr>
                        <w:t>23</w:t>
                      </w:r>
                      <w:r w:rsidRPr="00977E3C">
                        <w:rPr>
                          <w:rFonts w:asciiTheme="majorHAnsi" w:hAnsiTheme="majorHAnsi"/>
                          <w:color w:val="595959" w:themeColor="text1" w:themeTint="A6"/>
                          <w:sz w:val="18"/>
                          <w:szCs w:val="18"/>
                          <w:lang w:val="pt-BR"/>
                        </w:rPr>
                        <w:t xml:space="preserve">. </w:t>
                      </w:r>
                      <w:r w:rsidR="000433C9" w:rsidRPr="00FF3286">
                        <w:rPr>
                          <w:rFonts w:asciiTheme="majorHAnsi" w:hAnsiTheme="majorHAnsi"/>
                          <w:color w:val="595959" w:themeColor="text1" w:themeTint="A6"/>
                          <w:sz w:val="18"/>
                          <w:szCs w:val="18"/>
                          <w:lang w:val="es-ES_tradnl"/>
                        </w:rPr>
                        <w:t>Petici</w:t>
                      </w:r>
                      <w:r w:rsidR="000433C9" w:rsidRPr="00FF3286">
                        <w:rPr>
                          <w:rFonts w:asciiTheme="majorHAnsi" w:hAnsiTheme="majorHAnsi"/>
                          <w:color w:val="595959" w:themeColor="text1" w:themeTint="A6"/>
                          <w:sz w:val="18"/>
                          <w:szCs w:val="18"/>
                          <w:lang w:val="es-ES"/>
                        </w:rPr>
                        <w:t xml:space="preserve">ón </w:t>
                      </w:r>
                      <w:r w:rsidR="00462DC8" w:rsidRPr="00FF3286">
                        <w:rPr>
                          <w:rFonts w:asciiTheme="majorHAnsi" w:hAnsiTheme="majorHAnsi"/>
                          <w:color w:val="595959" w:themeColor="text1" w:themeTint="A6"/>
                          <w:sz w:val="18"/>
                          <w:szCs w:val="18"/>
                          <w:lang w:val="es-ES"/>
                        </w:rPr>
                        <w:t>1533-17</w:t>
                      </w:r>
                      <w:r w:rsidR="000433C9" w:rsidRPr="00FF3286">
                        <w:rPr>
                          <w:rFonts w:asciiTheme="majorHAnsi" w:hAnsiTheme="majorHAnsi"/>
                          <w:color w:val="595959" w:themeColor="text1" w:themeTint="A6"/>
                          <w:sz w:val="18"/>
                          <w:szCs w:val="18"/>
                          <w:lang w:val="es-ES"/>
                        </w:rPr>
                        <w:t xml:space="preserve">. </w:t>
                      </w:r>
                      <w:r w:rsidRPr="00FF3286">
                        <w:rPr>
                          <w:rFonts w:asciiTheme="majorHAnsi" w:hAnsiTheme="majorHAnsi"/>
                          <w:color w:val="595959" w:themeColor="text1" w:themeTint="A6"/>
                          <w:sz w:val="18"/>
                          <w:szCs w:val="18"/>
                          <w:lang w:val="es-ES_tradnl"/>
                        </w:rPr>
                        <w:t>Admisibilidad.</w:t>
                      </w:r>
                      <w:r w:rsidR="009935AC" w:rsidRPr="00FF3286">
                        <w:rPr>
                          <w:rFonts w:asciiTheme="majorHAnsi" w:hAnsiTheme="majorHAnsi"/>
                          <w:color w:val="595959" w:themeColor="text1" w:themeTint="A6"/>
                          <w:sz w:val="18"/>
                          <w:szCs w:val="18"/>
                          <w:lang w:val="es-ES_tradnl"/>
                        </w:rPr>
                        <w:t xml:space="preserve"> </w:t>
                      </w:r>
                      <w:r w:rsidR="00A85053" w:rsidRPr="00FF3286">
                        <w:rPr>
                          <w:rFonts w:asciiTheme="majorHAnsi" w:hAnsiTheme="majorHAnsi"/>
                          <w:bCs/>
                          <w:color w:val="595959" w:themeColor="text1" w:themeTint="A6"/>
                          <w:sz w:val="18"/>
                          <w:szCs w:val="18"/>
                          <w:lang w:val="es-ES_tradnl"/>
                        </w:rPr>
                        <w:t>Comunidades Indígenas Q'eqchi's de Santa María Cahabón</w:t>
                      </w:r>
                      <w:r w:rsidR="009935AC" w:rsidRPr="00FF3286">
                        <w:rPr>
                          <w:rFonts w:asciiTheme="majorHAnsi" w:hAnsiTheme="majorHAnsi"/>
                          <w:color w:val="595959" w:themeColor="text1" w:themeTint="A6"/>
                          <w:sz w:val="18"/>
                          <w:szCs w:val="18"/>
                          <w:lang w:val="es-ES_tradnl"/>
                        </w:rPr>
                        <w:t xml:space="preserve">. </w:t>
                      </w:r>
                      <w:r w:rsidR="00967C75" w:rsidRPr="00FF3286">
                        <w:rPr>
                          <w:rFonts w:asciiTheme="majorHAnsi" w:hAnsiTheme="majorHAnsi"/>
                          <w:color w:val="595959" w:themeColor="text1" w:themeTint="A6"/>
                          <w:sz w:val="18"/>
                          <w:szCs w:val="18"/>
                          <w:lang w:val="es-ES_tradnl"/>
                        </w:rPr>
                        <w:t>Guatemala</w:t>
                      </w:r>
                      <w:r w:rsidRPr="00FF3286">
                        <w:rPr>
                          <w:rFonts w:asciiTheme="majorHAnsi" w:hAnsiTheme="majorHAnsi"/>
                          <w:color w:val="595959" w:themeColor="text1" w:themeTint="A6"/>
                          <w:sz w:val="18"/>
                          <w:szCs w:val="18"/>
                          <w:lang w:val="es-ES_tradnl"/>
                        </w:rPr>
                        <w:t xml:space="preserve">. </w:t>
                      </w:r>
                      <w:r w:rsidR="00051511">
                        <w:rPr>
                          <w:rFonts w:asciiTheme="majorHAnsi" w:hAnsiTheme="majorHAnsi"/>
                          <w:color w:val="595959" w:themeColor="text1" w:themeTint="A6"/>
                          <w:sz w:val="18"/>
                          <w:szCs w:val="18"/>
                          <w:lang w:val="es-ES"/>
                        </w:rPr>
                        <w:t>27 de septiembre de 20</w:t>
                      </w:r>
                      <w:r w:rsidR="00051511" w:rsidRPr="00051511">
                        <w:rPr>
                          <w:rFonts w:asciiTheme="majorHAnsi" w:hAnsiTheme="majorHAnsi"/>
                          <w:color w:val="595959" w:themeColor="text1" w:themeTint="A6"/>
                          <w:sz w:val="18"/>
                          <w:szCs w:val="18"/>
                          <w:lang w:val="es-ES"/>
                        </w:rPr>
                        <w:t>23</w:t>
                      </w:r>
                      <w:r w:rsidRPr="00051511">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2229A"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92229A" w:rsidRDefault="00D306D1" w:rsidP="005516A1">
      <w:pPr>
        <w:tabs>
          <w:tab w:val="center" w:pos="5400"/>
        </w:tabs>
        <w:suppressAutoHyphens/>
        <w:jc w:val="center"/>
        <w:rPr>
          <w:rFonts w:asciiTheme="majorHAnsi" w:hAnsiTheme="majorHAnsi"/>
          <w:b/>
          <w:sz w:val="20"/>
          <w:lang w:val="es-ES_tradnl"/>
        </w:rPr>
      </w:pPr>
      <w:r w:rsidRPr="0092229A">
        <w:rPr>
          <w:rFonts w:asciiTheme="majorHAnsi" w:hAnsiTheme="majorHAnsi"/>
          <w:noProof/>
          <w:sz w:val="18"/>
          <w:szCs w:val="22"/>
          <w:lang w:val="es-ES_tradnl"/>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92229A">
        <w:rPr>
          <w:rFonts w:asciiTheme="majorHAnsi" w:hAnsiTheme="majorHAnsi"/>
          <w:noProof/>
          <w:sz w:val="22"/>
          <w:szCs w:val="22"/>
          <w:lang w:val="es-ES_tradnl"/>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92229A" w:rsidRDefault="004A6A54" w:rsidP="005516A1">
      <w:pPr>
        <w:tabs>
          <w:tab w:val="center" w:pos="5400"/>
        </w:tabs>
        <w:suppressAutoHyphens/>
        <w:jc w:val="center"/>
        <w:rPr>
          <w:rFonts w:asciiTheme="majorHAnsi" w:hAnsiTheme="majorHAnsi"/>
          <w:b/>
          <w:sz w:val="20"/>
          <w:lang w:val="es-ES_tradnl"/>
        </w:rPr>
        <w:sectPr w:rsidR="0070697F" w:rsidRPr="0092229A"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92229A">
        <w:rPr>
          <w:rFonts w:asciiTheme="majorHAnsi" w:hAnsiTheme="majorHAnsi"/>
          <w:b/>
          <w:sz w:val="20"/>
          <w:lang w:val="es-ES_tradnl"/>
        </w:rPr>
        <w:tab/>
      </w:r>
    </w:p>
    <w:p w14:paraId="2786EE58" w14:textId="77777777" w:rsidR="003239B8" w:rsidRPr="0092229A" w:rsidRDefault="003239B8" w:rsidP="004A6A54">
      <w:pPr>
        <w:spacing w:after="240"/>
        <w:ind w:firstLine="720"/>
        <w:jc w:val="both"/>
        <w:rPr>
          <w:rFonts w:asciiTheme="majorHAnsi" w:hAnsiTheme="majorHAnsi"/>
          <w:b/>
          <w:bCs/>
          <w:sz w:val="20"/>
          <w:szCs w:val="20"/>
          <w:lang w:val="es-ES_tradnl"/>
        </w:rPr>
      </w:pPr>
      <w:r w:rsidRPr="0092229A">
        <w:rPr>
          <w:rFonts w:asciiTheme="majorHAnsi" w:hAnsiTheme="majorHAnsi"/>
          <w:b/>
          <w:bCs/>
          <w:sz w:val="20"/>
          <w:szCs w:val="20"/>
          <w:lang w:val="es-ES_tradnl"/>
        </w:rPr>
        <w:lastRenderedPageBreak/>
        <w:t>I.</w:t>
      </w:r>
      <w:r w:rsidRPr="0092229A">
        <w:rPr>
          <w:rFonts w:asciiTheme="majorHAnsi" w:hAnsiTheme="majorHAnsi"/>
          <w:b/>
          <w:bCs/>
          <w:sz w:val="20"/>
          <w:szCs w:val="20"/>
          <w:lang w:val="es-ES_tradnl"/>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6B12CF"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Parte peticionaria:</w:t>
            </w:r>
          </w:p>
        </w:tc>
        <w:tc>
          <w:tcPr>
            <w:tcW w:w="5647" w:type="dxa"/>
            <w:vAlign w:val="center"/>
          </w:tcPr>
          <w:p w14:paraId="07DAAE2E" w14:textId="75389A3B" w:rsidR="003239B8" w:rsidRPr="0092229A" w:rsidRDefault="003F1AB2" w:rsidP="008D2290">
            <w:pPr>
              <w:jc w:val="both"/>
              <w:rPr>
                <w:rFonts w:ascii="Cambria" w:hAnsi="Cambria"/>
                <w:bCs/>
                <w:sz w:val="20"/>
                <w:szCs w:val="20"/>
                <w:lang w:val="es-ES_tradnl"/>
              </w:rPr>
            </w:pPr>
            <w:r w:rsidRPr="003F1AB2">
              <w:rPr>
                <w:rFonts w:ascii="Cambria" w:hAnsi="Cambria"/>
                <w:bCs/>
                <w:sz w:val="20"/>
                <w:szCs w:val="20"/>
                <w:lang w:val="es-ES_tradnl"/>
              </w:rPr>
              <w:t>Colectivo Madre Selva</w:t>
            </w:r>
            <w:r w:rsidR="006A52DB">
              <w:rPr>
                <w:rFonts w:ascii="Cambria" w:hAnsi="Cambria"/>
                <w:bCs/>
                <w:sz w:val="20"/>
                <w:szCs w:val="20"/>
                <w:lang w:val="es-ES_tradnl"/>
              </w:rPr>
              <w:t xml:space="preserve"> </w:t>
            </w:r>
            <w:r w:rsidR="00382AE2">
              <w:rPr>
                <w:rFonts w:ascii="Cambria" w:hAnsi="Cambria"/>
                <w:bCs/>
                <w:sz w:val="20"/>
                <w:szCs w:val="20"/>
                <w:lang w:val="es-ES_tradnl"/>
              </w:rPr>
              <w:t>y Bernardo Caal Xól</w:t>
            </w:r>
            <w:r w:rsidR="006A52DB">
              <w:rPr>
                <w:rStyle w:val="FootnoteReference"/>
                <w:rFonts w:ascii="Cambria" w:hAnsi="Cambria"/>
                <w:bCs/>
                <w:sz w:val="20"/>
                <w:szCs w:val="20"/>
                <w:lang w:val="es-ES_tradnl"/>
              </w:rPr>
              <w:footnoteReference w:id="2"/>
            </w:r>
            <w:r w:rsidR="006A52DB">
              <w:rPr>
                <w:rFonts w:ascii="Cambria" w:hAnsi="Cambria"/>
                <w:bCs/>
                <w:sz w:val="20"/>
                <w:szCs w:val="20"/>
                <w:lang w:val="es-ES_tradnl"/>
              </w:rPr>
              <w:t>.</w:t>
            </w:r>
          </w:p>
        </w:tc>
      </w:tr>
      <w:tr w:rsidR="003239B8" w:rsidRPr="006B12CF"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92229A" w:rsidRDefault="00F91E77" w:rsidP="008D229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2229A">
                  <w:rPr>
                    <w:rFonts w:ascii="Cambria" w:hAnsi="Cambria"/>
                    <w:b/>
                    <w:bCs/>
                    <w:color w:val="FFFFFF" w:themeColor="background1"/>
                    <w:sz w:val="20"/>
                    <w:szCs w:val="20"/>
                    <w:lang w:val="es-ES_tradnl"/>
                  </w:rPr>
                  <w:t>Presunta víctima</w:t>
                </w:r>
              </w:sdtContent>
            </w:sdt>
            <w:r w:rsidR="003239B8" w:rsidRPr="0092229A">
              <w:rPr>
                <w:rFonts w:ascii="Cambria" w:hAnsi="Cambria"/>
                <w:b/>
                <w:bCs/>
                <w:color w:val="FFFFFF" w:themeColor="background1"/>
                <w:sz w:val="20"/>
                <w:szCs w:val="20"/>
                <w:lang w:val="es-ES_tradnl"/>
              </w:rPr>
              <w:t>:</w:t>
            </w:r>
          </w:p>
        </w:tc>
        <w:tc>
          <w:tcPr>
            <w:tcW w:w="5647" w:type="dxa"/>
            <w:vAlign w:val="center"/>
          </w:tcPr>
          <w:p w14:paraId="143D44A8" w14:textId="64DB8D69" w:rsidR="003239B8" w:rsidRPr="0092229A" w:rsidRDefault="00462DC8" w:rsidP="008D2290">
            <w:pPr>
              <w:jc w:val="both"/>
              <w:rPr>
                <w:rFonts w:ascii="Cambria" w:hAnsi="Cambria"/>
                <w:bCs/>
                <w:sz w:val="20"/>
                <w:szCs w:val="20"/>
                <w:lang w:val="es-ES_tradnl"/>
              </w:rPr>
            </w:pPr>
            <w:r w:rsidRPr="00462DC8">
              <w:rPr>
                <w:rFonts w:ascii="Cambria" w:hAnsi="Cambria"/>
                <w:bCs/>
                <w:sz w:val="20"/>
                <w:szCs w:val="20"/>
                <w:lang w:val="es-ES_tradnl"/>
              </w:rPr>
              <w:t xml:space="preserve">Comunidades Indígenas </w:t>
            </w:r>
            <w:r w:rsidR="003F1AB2" w:rsidRPr="003F1AB2">
              <w:rPr>
                <w:rFonts w:ascii="Cambria" w:hAnsi="Cambria"/>
                <w:bCs/>
                <w:sz w:val="20"/>
                <w:szCs w:val="20"/>
                <w:lang w:val="es-ES_tradnl"/>
              </w:rPr>
              <w:t>Q'e</w:t>
            </w:r>
            <w:r w:rsidR="00382AE2">
              <w:rPr>
                <w:rFonts w:ascii="Cambria" w:hAnsi="Cambria"/>
                <w:bCs/>
                <w:sz w:val="20"/>
                <w:szCs w:val="20"/>
                <w:lang w:val="es-ES_tradnl"/>
              </w:rPr>
              <w:t>q</w:t>
            </w:r>
            <w:r w:rsidR="003F1AB2" w:rsidRPr="003F1AB2">
              <w:rPr>
                <w:rFonts w:ascii="Cambria" w:hAnsi="Cambria"/>
                <w:bCs/>
                <w:sz w:val="20"/>
                <w:szCs w:val="20"/>
                <w:lang w:val="es-ES_tradnl"/>
              </w:rPr>
              <w:t>chi's</w:t>
            </w:r>
            <w:r w:rsidRPr="00462DC8">
              <w:rPr>
                <w:rFonts w:ascii="Cambria" w:hAnsi="Cambria"/>
                <w:bCs/>
                <w:sz w:val="20"/>
                <w:szCs w:val="20"/>
                <w:lang w:val="es-ES_tradnl"/>
              </w:rPr>
              <w:t xml:space="preserve"> de Santa María Cahabón</w:t>
            </w:r>
          </w:p>
        </w:tc>
      </w:tr>
      <w:tr w:rsidR="003239B8" w:rsidRPr="0092229A"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Estado denunciado:</w:t>
            </w:r>
          </w:p>
        </w:tc>
        <w:tc>
          <w:tcPr>
            <w:tcW w:w="5647" w:type="dxa"/>
            <w:vAlign w:val="center"/>
          </w:tcPr>
          <w:p w14:paraId="5D0EC05D" w14:textId="40ED8CEB" w:rsidR="003239B8" w:rsidRPr="0092229A" w:rsidRDefault="00967C75" w:rsidP="008D2290">
            <w:pPr>
              <w:jc w:val="both"/>
              <w:rPr>
                <w:rFonts w:ascii="Cambria" w:hAnsi="Cambria"/>
                <w:bCs/>
                <w:sz w:val="20"/>
                <w:szCs w:val="20"/>
                <w:lang w:val="es-ES_tradnl"/>
              </w:rPr>
            </w:pPr>
            <w:r w:rsidRPr="0092229A">
              <w:rPr>
                <w:rFonts w:ascii="Cambria" w:hAnsi="Cambria"/>
                <w:bCs/>
                <w:sz w:val="20"/>
                <w:szCs w:val="20"/>
                <w:lang w:val="es-ES_tradnl"/>
              </w:rPr>
              <w:t>Guatemala</w:t>
            </w:r>
            <w:r w:rsidR="0017681E" w:rsidRPr="0092229A">
              <w:rPr>
                <w:rStyle w:val="FootnoteReference"/>
                <w:rFonts w:ascii="Cambria" w:hAnsi="Cambria"/>
                <w:bCs/>
                <w:sz w:val="20"/>
                <w:szCs w:val="20"/>
                <w:lang w:val="es-ES_tradnl"/>
              </w:rPr>
              <w:footnoteReference w:id="3"/>
            </w:r>
          </w:p>
        </w:tc>
      </w:tr>
      <w:tr w:rsidR="00223A29" w:rsidRPr="00D112FE"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92229A" w:rsidRDefault="001B3A00" w:rsidP="00E4118C">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 xml:space="preserve">Derechos </w:t>
            </w:r>
            <w:r w:rsidR="00E4118C" w:rsidRPr="0092229A">
              <w:rPr>
                <w:rFonts w:ascii="Cambria" w:hAnsi="Cambria"/>
                <w:b/>
                <w:bCs/>
                <w:color w:val="FFFFFF" w:themeColor="background1"/>
                <w:sz w:val="20"/>
                <w:szCs w:val="20"/>
                <w:lang w:val="es-ES_tradnl"/>
              </w:rPr>
              <w:t>invocados</w:t>
            </w:r>
            <w:r w:rsidRPr="0092229A">
              <w:rPr>
                <w:rFonts w:ascii="Cambria" w:hAnsi="Cambria"/>
                <w:b/>
                <w:bCs/>
                <w:color w:val="FFFFFF" w:themeColor="background1"/>
                <w:sz w:val="20"/>
                <w:szCs w:val="20"/>
                <w:lang w:val="es-ES_tradnl"/>
              </w:rPr>
              <w:t>:</w:t>
            </w:r>
          </w:p>
        </w:tc>
        <w:tc>
          <w:tcPr>
            <w:tcW w:w="5647" w:type="dxa"/>
            <w:vAlign w:val="center"/>
          </w:tcPr>
          <w:p w14:paraId="52B28392" w14:textId="57C32C4F" w:rsidR="00223A29" w:rsidRPr="0092229A" w:rsidRDefault="008F6478" w:rsidP="008F6478">
            <w:pPr>
              <w:jc w:val="both"/>
              <w:rPr>
                <w:rFonts w:ascii="Cambria" w:hAnsi="Cambria"/>
                <w:bCs/>
                <w:sz w:val="20"/>
                <w:szCs w:val="20"/>
                <w:lang w:val="es-ES_tradnl"/>
              </w:rPr>
            </w:pPr>
            <w:r w:rsidRPr="009456AC">
              <w:rPr>
                <w:rFonts w:asciiTheme="majorHAnsi" w:hAnsiTheme="majorHAnsi"/>
                <w:bCs/>
                <w:sz w:val="20"/>
                <w:szCs w:val="20"/>
                <w:lang w:val="es-ES"/>
              </w:rPr>
              <w:t>Artículos 3</w:t>
            </w:r>
            <w:r w:rsidRPr="008F6478">
              <w:rPr>
                <w:rFonts w:asciiTheme="majorHAnsi" w:hAnsiTheme="majorHAnsi"/>
                <w:bCs/>
                <w:sz w:val="20"/>
                <w:szCs w:val="20"/>
                <w:lang w:val="es-ES_tradnl"/>
              </w:rPr>
              <w:t xml:space="preserve"> (r</w:t>
            </w:r>
            <w:r w:rsidRPr="009456AC">
              <w:rPr>
                <w:rFonts w:asciiTheme="majorHAnsi" w:hAnsiTheme="majorHAnsi"/>
                <w:bCs/>
                <w:sz w:val="20"/>
                <w:szCs w:val="20"/>
                <w:lang w:val="es-ES"/>
              </w:rPr>
              <w:t xml:space="preserve">econocimiento de la </w:t>
            </w:r>
            <w:r w:rsidRPr="008F6478">
              <w:rPr>
                <w:rFonts w:asciiTheme="majorHAnsi" w:hAnsiTheme="majorHAnsi"/>
                <w:bCs/>
                <w:sz w:val="20"/>
                <w:szCs w:val="20"/>
                <w:lang w:val="es-ES_tradnl"/>
              </w:rPr>
              <w:t>p</w:t>
            </w:r>
            <w:r w:rsidRPr="009456AC">
              <w:rPr>
                <w:rFonts w:asciiTheme="majorHAnsi" w:hAnsiTheme="majorHAnsi"/>
                <w:bCs/>
                <w:sz w:val="20"/>
                <w:szCs w:val="20"/>
                <w:lang w:val="es-ES"/>
              </w:rPr>
              <w:t xml:space="preserve">ersonalidad </w:t>
            </w:r>
            <w:r w:rsidRPr="008F6478">
              <w:rPr>
                <w:rFonts w:asciiTheme="majorHAnsi" w:hAnsiTheme="majorHAnsi"/>
                <w:bCs/>
                <w:sz w:val="20"/>
                <w:szCs w:val="20"/>
                <w:lang w:val="es-ES_tradnl"/>
              </w:rPr>
              <w:t>j</w:t>
            </w:r>
            <w:r w:rsidRPr="009456AC">
              <w:rPr>
                <w:rFonts w:asciiTheme="majorHAnsi" w:hAnsiTheme="majorHAnsi"/>
                <w:bCs/>
                <w:sz w:val="20"/>
                <w:szCs w:val="20"/>
                <w:lang w:val="es-ES"/>
              </w:rPr>
              <w:t>urídica</w:t>
            </w:r>
            <w:r w:rsidRPr="008F6478">
              <w:rPr>
                <w:rFonts w:asciiTheme="majorHAnsi" w:hAnsiTheme="majorHAnsi"/>
                <w:bCs/>
                <w:sz w:val="20"/>
                <w:szCs w:val="20"/>
                <w:lang w:val="es-ES_tradnl"/>
              </w:rPr>
              <w:t xml:space="preserve">) </w:t>
            </w:r>
            <w:r w:rsidRPr="009456AC">
              <w:rPr>
                <w:rFonts w:asciiTheme="majorHAnsi" w:hAnsiTheme="majorHAnsi"/>
                <w:bCs/>
                <w:sz w:val="20"/>
                <w:szCs w:val="20"/>
                <w:lang w:val="es-ES"/>
              </w:rPr>
              <w:t>7 (libertad personal), 8 (garantías judiciales), 13 (libertad de expresión), 15 (reunión)</w:t>
            </w:r>
            <w:r w:rsidRPr="008F6478">
              <w:rPr>
                <w:rFonts w:asciiTheme="majorHAnsi" w:hAnsiTheme="majorHAnsi"/>
                <w:bCs/>
                <w:sz w:val="20"/>
                <w:szCs w:val="20"/>
                <w:lang w:val="es-ES_tradnl"/>
              </w:rPr>
              <w:t xml:space="preserve"> </w:t>
            </w:r>
            <w:r w:rsidRPr="009456AC">
              <w:rPr>
                <w:rFonts w:asciiTheme="majorHAnsi" w:hAnsiTheme="majorHAnsi"/>
                <w:bCs/>
                <w:sz w:val="20"/>
                <w:szCs w:val="20"/>
                <w:lang w:val="es-ES"/>
              </w:rPr>
              <w:t>y 25 (protección judicial)</w:t>
            </w:r>
            <w:r>
              <w:rPr>
                <w:rFonts w:asciiTheme="majorHAnsi" w:hAnsiTheme="majorHAnsi"/>
                <w:bCs/>
                <w:sz w:val="20"/>
                <w:szCs w:val="20"/>
                <w:lang w:val="es-ES_tradnl"/>
              </w:rPr>
              <w:t xml:space="preserve"> </w:t>
            </w:r>
            <w:r w:rsidR="00383298" w:rsidRPr="0092229A">
              <w:rPr>
                <w:rFonts w:asciiTheme="majorHAnsi" w:hAnsiTheme="majorHAnsi"/>
                <w:bCs/>
                <w:sz w:val="20"/>
                <w:szCs w:val="20"/>
                <w:lang w:val="es-ES_tradnl"/>
              </w:rPr>
              <w:t>de la Convención Americana sobre Derechos Humano</w:t>
            </w:r>
            <w:r w:rsidR="00493BC9" w:rsidRPr="0092229A">
              <w:rPr>
                <w:rFonts w:asciiTheme="majorHAnsi" w:hAnsiTheme="majorHAnsi"/>
                <w:bCs/>
                <w:sz w:val="20"/>
                <w:szCs w:val="20"/>
                <w:lang w:val="es-ES_tradnl"/>
              </w:rPr>
              <w:t>s</w:t>
            </w:r>
            <w:r w:rsidR="00383298" w:rsidRPr="0092229A">
              <w:rPr>
                <w:rStyle w:val="FootnoteReference"/>
                <w:rFonts w:asciiTheme="majorHAnsi" w:hAnsiTheme="majorHAnsi"/>
                <w:bCs/>
                <w:sz w:val="20"/>
                <w:szCs w:val="20"/>
                <w:lang w:val="es-ES_tradnl"/>
              </w:rPr>
              <w:footnoteReference w:id="4"/>
            </w:r>
            <w:r w:rsidR="00383298" w:rsidRPr="0092229A">
              <w:rPr>
                <w:rFonts w:asciiTheme="majorHAnsi" w:hAnsiTheme="majorHAnsi"/>
                <w:bCs/>
                <w:sz w:val="20"/>
                <w:szCs w:val="20"/>
                <w:lang w:val="es-ES_tradnl"/>
              </w:rPr>
              <w:t>, en relación con su artículo 1.1 (obligación de respetar los derechos)</w:t>
            </w:r>
            <w:r>
              <w:rPr>
                <w:rStyle w:val="FootnoteReference"/>
                <w:rFonts w:asciiTheme="majorHAnsi" w:hAnsiTheme="majorHAnsi"/>
                <w:bCs/>
                <w:sz w:val="20"/>
                <w:szCs w:val="20"/>
                <w:lang w:val="es-ES_tradnl"/>
              </w:rPr>
              <w:footnoteReference w:id="5"/>
            </w:r>
            <w:r>
              <w:rPr>
                <w:rFonts w:asciiTheme="majorHAnsi" w:hAnsiTheme="majorHAnsi"/>
                <w:bCs/>
                <w:sz w:val="20"/>
                <w:szCs w:val="20"/>
                <w:lang w:val="es-ES_tradnl"/>
              </w:rPr>
              <w:t xml:space="preserve">, </w:t>
            </w:r>
            <w:r w:rsidRPr="008F6478">
              <w:rPr>
                <w:rFonts w:asciiTheme="majorHAnsi" w:hAnsiTheme="majorHAnsi"/>
                <w:bCs/>
                <w:sz w:val="20"/>
                <w:szCs w:val="20"/>
                <w:lang w:val="es-ES_tradnl"/>
              </w:rPr>
              <w:t>y otros tratados internacionales</w:t>
            </w:r>
            <w:r>
              <w:rPr>
                <w:rStyle w:val="FootnoteReference"/>
                <w:rFonts w:asciiTheme="majorHAnsi" w:hAnsiTheme="majorHAnsi"/>
                <w:bCs/>
                <w:sz w:val="20"/>
                <w:szCs w:val="20"/>
                <w:lang w:val="es-ES_tradnl"/>
              </w:rPr>
              <w:footnoteReference w:id="6"/>
            </w:r>
          </w:p>
        </w:tc>
      </w:tr>
    </w:tbl>
    <w:p w14:paraId="176FB213" w14:textId="77777777" w:rsidR="003239B8" w:rsidRPr="0092229A" w:rsidRDefault="003239B8" w:rsidP="003239B8">
      <w:pPr>
        <w:spacing w:before="240" w:after="240"/>
        <w:ind w:firstLine="720"/>
        <w:jc w:val="both"/>
        <w:rPr>
          <w:rFonts w:asciiTheme="majorHAnsi" w:hAnsiTheme="majorHAnsi"/>
          <w:b/>
          <w:bCs/>
          <w:sz w:val="20"/>
          <w:szCs w:val="20"/>
          <w:lang w:val="es-ES_tradnl"/>
        </w:rPr>
      </w:pPr>
      <w:r w:rsidRPr="0092229A">
        <w:rPr>
          <w:rFonts w:asciiTheme="majorHAnsi" w:hAnsiTheme="majorHAnsi"/>
          <w:b/>
          <w:bCs/>
          <w:sz w:val="20"/>
          <w:szCs w:val="20"/>
          <w:lang w:val="es-ES_tradnl"/>
        </w:rPr>
        <w:t>II.</w:t>
      </w:r>
      <w:r w:rsidRPr="0092229A">
        <w:rPr>
          <w:rFonts w:asciiTheme="majorHAnsi" w:hAnsiTheme="majorHAnsi"/>
          <w:b/>
          <w:bCs/>
          <w:sz w:val="20"/>
          <w:szCs w:val="20"/>
          <w:lang w:val="es-ES_tradnl"/>
        </w:rPr>
        <w:tab/>
        <w:t>TRÁMITE ANTE LA CIDH</w:t>
      </w:r>
      <w:r w:rsidR="008E3BFE" w:rsidRPr="0092229A">
        <w:rPr>
          <w:rStyle w:val="FootnoteReference"/>
          <w:rFonts w:ascii="Cambria" w:hAnsi="Cambria"/>
          <w:b/>
          <w:sz w:val="20"/>
          <w:szCs w:val="20"/>
          <w:lang w:val="es-ES_tradnl"/>
        </w:rPr>
        <w:footnoteReference w:id="7"/>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92229A"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92229A" w:rsidRDefault="004A6A54" w:rsidP="004A6A54">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P</w:t>
            </w:r>
            <w:r w:rsidR="004C2312" w:rsidRPr="0092229A">
              <w:rPr>
                <w:rFonts w:ascii="Cambria" w:hAnsi="Cambria"/>
                <w:b/>
                <w:bCs/>
                <w:color w:val="FFFFFF" w:themeColor="background1"/>
                <w:sz w:val="20"/>
                <w:szCs w:val="20"/>
                <w:lang w:val="es-ES_tradnl"/>
              </w:rPr>
              <w:t>resentación de la petición:</w:t>
            </w:r>
          </w:p>
        </w:tc>
        <w:tc>
          <w:tcPr>
            <w:tcW w:w="5647" w:type="dxa"/>
            <w:vAlign w:val="center"/>
          </w:tcPr>
          <w:p w14:paraId="6883A5F8" w14:textId="0C721D31" w:rsidR="004C2312" w:rsidRPr="003F1AB2" w:rsidRDefault="003F1AB2" w:rsidP="002625EA">
            <w:pPr>
              <w:jc w:val="both"/>
              <w:rPr>
                <w:rFonts w:ascii="Cambria" w:hAnsi="Cambria"/>
                <w:bCs/>
                <w:sz w:val="20"/>
                <w:szCs w:val="20"/>
                <w:lang w:val="es-ES_tradnl"/>
              </w:rPr>
            </w:pPr>
            <w:r w:rsidRPr="003F1AB2">
              <w:rPr>
                <w:rFonts w:ascii="Cambria" w:hAnsi="Cambria"/>
                <w:bCs/>
                <w:sz w:val="20"/>
                <w:szCs w:val="20"/>
                <w:lang w:val="es-ES_tradnl"/>
              </w:rPr>
              <w:t>2 de agosto de 2017</w:t>
            </w:r>
          </w:p>
        </w:tc>
      </w:tr>
      <w:tr w:rsidR="00131425" w:rsidRPr="005B4F6E"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5B4F6E" w:rsidRDefault="00131425" w:rsidP="004A6A54">
            <w:pPr>
              <w:jc w:val="center"/>
              <w:rPr>
                <w:rFonts w:ascii="Cambria" w:hAnsi="Cambria"/>
                <w:b/>
                <w:bCs/>
                <w:color w:val="FFFFFF" w:themeColor="background1"/>
                <w:sz w:val="20"/>
                <w:szCs w:val="20"/>
                <w:lang w:val="es-ES_tradnl"/>
              </w:rPr>
            </w:pPr>
            <w:r w:rsidRPr="005B4F6E">
              <w:rPr>
                <w:rFonts w:ascii="Cambria" w:hAnsi="Cambria"/>
                <w:b/>
                <w:bCs/>
                <w:color w:val="FFFFFF" w:themeColor="background1"/>
                <w:sz w:val="20"/>
                <w:szCs w:val="20"/>
                <w:lang w:val="es-ES_tradnl"/>
              </w:rPr>
              <w:t>Información adicional recibida durante la etapa de estudio:</w:t>
            </w:r>
          </w:p>
        </w:tc>
        <w:tc>
          <w:tcPr>
            <w:tcW w:w="5647" w:type="dxa"/>
            <w:vAlign w:val="center"/>
          </w:tcPr>
          <w:p w14:paraId="65CBC29E" w14:textId="4263E4D1" w:rsidR="00131425" w:rsidRPr="005B4F6E" w:rsidRDefault="005B4F6E" w:rsidP="002625EA">
            <w:pPr>
              <w:jc w:val="both"/>
              <w:rPr>
                <w:rFonts w:ascii="Cambria" w:hAnsi="Cambria"/>
                <w:bCs/>
                <w:sz w:val="20"/>
                <w:szCs w:val="20"/>
                <w:lang w:val="es-ES_tradnl"/>
              </w:rPr>
            </w:pPr>
            <w:r w:rsidRPr="005B4F6E">
              <w:rPr>
                <w:rFonts w:ascii="Cambria" w:hAnsi="Cambria"/>
                <w:bCs/>
                <w:sz w:val="20"/>
                <w:szCs w:val="20"/>
                <w:lang w:val="es-ES_tradnl"/>
              </w:rPr>
              <w:t>6 de diciembre de 2017</w:t>
            </w:r>
          </w:p>
        </w:tc>
      </w:tr>
      <w:tr w:rsidR="004C2312" w:rsidRPr="0092229A"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92229A" w:rsidRDefault="004A6A54" w:rsidP="004A6A54">
            <w:pPr>
              <w:jc w:val="center"/>
              <w:rPr>
                <w:rFonts w:ascii="Cambria" w:hAnsi="Cambria"/>
                <w:b/>
                <w:bCs/>
                <w:color w:val="FFFFFF" w:themeColor="background1"/>
                <w:sz w:val="20"/>
                <w:szCs w:val="20"/>
                <w:lang w:val="es-ES_tradnl"/>
              </w:rPr>
            </w:pPr>
            <w:r w:rsidRPr="0092229A">
              <w:rPr>
                <w:rFonts w:ascii="Cambria" w:hAnsi="Cambria"/>
                <w:b/>
                <w:color w:val="FFFFFF" w:themeColor="background1"/>
                <w:sz w:val="20"/>
                <w:szCs w:val="20"/>
                <w:lang w:val="es-ES_tradnl"/>
              </w:rPr>
              <w:t>N</w:t>
            </w:r>
            <w:r w:rsidR="004C2312" w:rsidRPr="0092229A">
              <w:rPr>
                <w:rFonts w:ascii="Cambria" w:hAnsi="Cambria"/>
                <w:b/>
                <w:color w:val="FFFFFF" w:themeColor="background1"/>
                <w:sz w:val="20"/>
                <w:szCs w:val="20"/>
                <w:lang w:val="es-ES_tradnl"/>
              </w:rPr>
              <w:t>otificación de la petición al Estado:</w:t>
            </w:r>
          </w:p>
        </w:tc>
        <w:tc>
          <w:tcPr>
            <w:tcW w:w="5647" w:type="dxa"/>
            <w:vAlign w:val="center"/>
          </w:tcPr>
          <w:p w14:paraId="58485921" w14:textId="2E8CECD1" w:rsidR="004C2312" w:rsidRPr="0092229A" w:rsidRDefault="00A65D06" w:rsidP="008D2290">
            <w:pPr>
              <w:jc w:val="both"/>
              <w:rPr>
                <w:rFonts w:ascii="Cambria" w:hAnsi="Cambria"/>
                <w:bCs/>
                <w:sz w:val="20"/>
                <w:szCs w:val="20"/>
                <w:lang w:val="es-ES_tradnl"/>
              </w:rPr>
            </w:pPr>
            <w:r w:rsidRPr="0092229A">
              <w:rPr>
                <w:rFonts w:ascii="Cambria" w:hAnsi="Cambria"/>
                <w:bCs/>
                <w:sz w:val="20"/>
                <w:szCs w:val="20"/>
                <w:lang w:val="es-ES_tradnl"/>
              </w:rPr>
              <w:t>1</w:t>
            </w:r>
            <w:r w:rsidR="00462DC8">
              <w:rPr>
                <w:rFonts w:ascii="Cambria" w:hAnsi="Cambria"/>
                <w:bCs/>
                <w:sz w:val="20"/>
                <w:szCs w:val="20"/>
                <w:lang w:val="es-ES_tradnl"/>
              </w:rPr>
              <w:t>0 de junio de 2022</w:t>
            </w:r>
          </w:p>
        </w:tc>
      </w:tr>
      <w:tr w:rsidR="004C2312" w:rsidRPr="0092229A"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92229A" w:rsidRDefault="004A6A54" w:rsidP="004A6A54">
            <w:pPr>
              <w:jc w:val="center"/>
              <w:rPr>
                <w:rFonts w:ascii="Cambria" w:hAnsi="Cambria"/>
                <w:b/>
                <w:bCs/>
                <w:color w:val="FFFFFF" w:themeColor="background1"/>
                <w:sz w:val="20"/>
                <w:szCs w:val="20"/>
                <w:lang w:val="es-ES_tradnl"/>
              </w:rPr>
            </w:pPr>
            <w:r w:rsidRPr="0092229A">
              <w:rPr>
                <w:rFonts w:ascii="Cambria" w:hAnsi="Cambria"/>
                <w:b/>
                <w:color w:val="FFFFFF" w:themeColor="background1"/>
                <w:sz w:val="20"/>
                <w:szCs w:val="20"/>
                <w:lang w:val="es-ES_tradnl"/>
              </w:rPr>
              <w:t>P</w:t>
            </w:r>
            <w:r w:rsidR="004C2312" w:rsidRPr="0092229A">
              <w:rPr>
                <w:rFonts w:ascii="Cambria" w:hAnsi="Cambria"/>
                <w:b/>
                <w:color w:val="FFFFFF" w:themeColor="background1"/>
                <w:sz w:val="20"/>
                <w:szCs w:val="20"/>
                <w:lang w:val="es-ES_tradnl"/>
              </w:rPr>
              <w:t>rimera respuesta del Estado:</w:t>
            </w:r>
          </w:p>
        </w:tc>
        <w:tc>
          <w:tcPr>
            <w:tcW w:w="5647" w:type="dxa"/>
            <w:vAlign w:val="center"/>
          </w:tcPr>
          <w:p w14:paraId="6B47064C" w14:textId="72E50D49" w:rsidR="004C2312" w:rsidRPr="00462DC8" w:rsidRDefault="00462DC8" w:rsidP="008D2290">
            <w:pPr>
              <w:jc w:val="both"/>
              <w:rPr>
                <w:rFonts w:ascii="Cambria" w:hAnsi="Cambria"/>
                <w:bCs/>
                <w:sz w:val="20"/>
                <w:szCs w:val="20"/>
                <w:highlight w:val="yellow"/>
                <w:lang w:val="es-ES_tradnl"/>
              </w:rPr>
            </w:pPr>
            <w:r w:rsidRPr="00462DC8">
              <w:rPr>
                <w:rFonts w:ascii="Cambria" w:hAnsi="Cambria"/>
                <w:bCs/>
                <w:sz w:val="20"/>
                <w:szCs w:val="20"/>
                <w:lang w:val="es-ES_tradnl"/>
              </w:rPr>
              <w:t>7 de octubre</w:t>
            </w:r>
            <w:r w:rsidR="00A65D06" w:rsidRPr="00462DC8">
              <w:rPr>
                <w:rFonts w:ascii="Cambria" w:hAnsi="Cambria"/>
                <w:bCs/>
                <w:sz w:val="20"/>
                <w:szCs w:val="20"/>
                <w:lang w:val="es-ES_tradnl"/>
              </w:rPr>
              <w:t xml:space="preserve"> de 2022</w:t>
            </w:r>
            <w:r>
              <w:rPr>
                <w:rStyle w:val="FootnoteReference"/>
                <w:rFonts w:ascii="Cambria" w:hAnsi="Cambria"/>
                <w:bCs/>
                <w:sz w:val="20"/>
                <w:szCs w:val="20"/>
                <w:lang w:val="es-ES_tradnl"/>
              </w:rPr>
              <w:footnoteReference w:id="8"/>
            </w:r>
          </w:p>
        </w:tc>
      </w:tr>
      <w:tr w:rsidR="001E49E7" w:rsidRPr="0092229A"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92229A" w:rsidRDefault="004A6A54" w:rsidP="00DD4AD2">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A</w:t>
            </w:r>
            <w:r w:rsidR="001E49E7" w:rsidRPr="0092229A">
              <w:rPr>
                <w:rFonts w:ascii="Cambria" w:hAnsi="Cambria"/>
                <w:b/>
                <w:bCs/>
                <w:color w:val="FFFFFF" w:themeColor="background1"/>
                <w:sz w:val="20"/>
                <w:szCs w:val="20"/>
                <w:lang w:val="es-ES_tradnl"/>
              </w:rPr>
              <w:t>dvertencia sobre posible archivo:</w:t>
            </w:r>
          </w:p>
        </w:tc>
        <w:tc>
          <w:tcPr>
            <w:tcW w:w="5647" w:type="dxa"/>
            <w:vAlign w:val="center"/>
          </w:tcPr>
          <w:p w14:paraId="48CA2CFB" w14:textId="4598A3DD" w:rsidR="001E49E7" w:rsidRPr="00462DC8" w:rsidRDefault="003220D1" w:rsidP="002625EA">
            <w:pPr>
              <w:jc w:val="both"/>
              <w:rPr>
                <w:rFonts w:ascii="Cambria" w:hAnsi="Cambria"/>
                <w:bCs/>
                <w:sz w:val="20"/>
                <w:szCs w:val="20"/>
                <w:highlight w:val="yellow"/>
                <w:lang w:val="es-ES_tradnl"/>
              </w:rPr>
            </w:pPr>
            <w:r w:rsidRPr="003220D1">
              <w:rPr>
                <w:rFonts w:ascii="Cambria" w:hAnsi="Cambria"/>
                <w:bCs/>
                <w:sz w:val="20"/>
                <w:szCs w:val="20"/>
                <w:lang w:val="es-ES_tradnl"/>
              </w:rPr>
              <w:t>11 de enero de 2021</w:t>
            </w:r>
          </w:p>
        </w:tc>
      </w:tr>
      <w:tr w:rsidR="001E49E7" w:rsidRPr="0092229A"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92229A" w:rsidRDefault="004A6A54" w:rsidP="004A6A54">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R</w:t>
            </w:r>
            <w:r w:rsidR="001E49E7" w:rsidRPr="0092229A">
              <w:rPr>
                <w:rFonts w:ascii="Cambria" w:hAnsi="Cambria"/>
                <w:b/>
                <w:bCs/>
                <w:color w:val="FFFFFF" w:themeColor="background1"/>
                <w:sz w:val="20"/>
                <w:szCs w:val="20"/>
                <w:lang w:val="es-ES_tradnl"/>
              </w:rPr>
              <w:t xml:space="preserve">espuesta de la parte peticionaria ante advertencia </w:t>
            </w:r>
            <w:r w:rsidR="00DD4AD2" w:rsidRPr="0092229A">
              <w:rPr>
                <w:rFonts w:ascii="Cambria" w:hAnsi="Cambria"/>
                <w:b/>
                <w:bCs/>
                <w:color w:val="FFFFFF" w:themeColor="background1"/>
                <w:sz w:val="20"/>
                <w:szCs w:val="20"/>
                <w:lang w:val="es-ES_tradnl"/>
              </w:rPr>
              <w:t xml:space="preserve">de </w:t>
            </w:r>
            <w:r w:rsidR="001E49E7" w:rsidRPr="0092229A">
              <w:rPr>
                <w:rFonts w:ascii="Cambria" w:hAnsi="Cambria"/>
                <w:b/>
                <w:bCs/>
                <w:color w:val="FFFFFF" w:themeColor="background1"/>
                <w:sz w:val="20"/>
                <w:szCs w:val="20"/>
                <w:lang w:val="es-ES_tradnl"/>
              </w:rPr>
              <w:t>posible archivo:</w:t>
            </w:r>
          </w:p>
        </w:tc>
        <w:tc>
          <w:tcPr>
            <w:tcW w:w="5647" w:type="dxa"/>
            <w:vAlign w:val="center"/>
          </w:tcPr>
          <w:p w14:paraId="6E85D194" w14:textId="6B113FA3" w:rsidR="001E49E7" w:rsidRPr="00462DC8" w:rsidRDefault="003220D1" w:rsidP="002625EA">
            <w:pPr>
              <w:jc w:val="both"/>
              <w:rPr>
                <w:rFonts w:ascii="Cambria" w:hAnsi="Cambria"/>
                <w:bCs/>
                <w:sz w:val="20"/>
                <w:szCs w:val="20"/>
                <w:highlight w:val="yellow"/>
                <w:lang w:val="es-ES_tradnl"/>
              </w:rPr>
            </w:pPr>
            <w:r w:rsidRPr="003220D1">
              <w:rPr>
                <w:rFonts w:ascii="Cambria" w:hAnsi="Cambria"/>
                <w:bCs/>
                <w:sz w:val="20"/>
                <w:szCs w:val="20"/>
                <w:lang w:val="es-ES_tradnl"/>
              </w:rPr>
              <w:t>10 de febrero de 2021</w:t>
            </w:r>
          </w:p>
        </w:tc>
      </w:tr>
      <w:tr w:rsidR="003F7F72" w:rsidRPr="0092229A" w14:paraId="60E08158" w14:textId="77777777" w:rsidTr="00394073">
        <w:tc>
          <w:tcPr>
            <w:tcW w:w="3600" w:type="dxa"/>
            <w:tcBorders>
              <w:top w:val="single" w:sz="6" w:space="0" w:color="auto"/>
              <w:bottom w:val="single" w:sz="6" w:space="0" w:color="auto"/>
            </w:tcBorders>
            <w:shd w:val="clear" w:color="auto" w:fill="386294"/>
            <w:vAlign w:val="center"/>
          </w:tcPr>
          <w:p w14:paraId="1B41DC81" w14:textId="7869889C" w:rsidR="003F7F72" w:rsidRPr="003F7F72" w:rsidRDefault="003F7F72" w:rsidP="004A6A54">
            <w:pPr>
              <w:jc w:val="center"/>
              <w:rPr>
                <w:rFonts w:ascii="Cambria" w:hAnsi="Cambria"/>
                <w:b/>
                <w:bCs/>
                <w:color w:val="FFFFFF" w:themeColor="background1"/>
                <w:sz w:val="20"/>
                <w:szCs w:val="20"/>
                <w:lang w:val="es-ES_tradnl"/>
              </w:rPr>
            </w:pPr>
            <w:r w:rsidRPr="003F7F72">
              <w:rPr>
                <w:rFonts w:ascii="Cambria" w:hAnsi="Cambria"/>
                <w:b/>
                <w:bCs/>
                <w:color w:val="FFFFFF" w:themeColor="background1"/>
                <w:sz w:val="20"/>
                <w:szCs w:val="20"/>
                <w:lang w:val="es-ES_tradnl"/>
              </w:rPr>
              <w:t>Medida Cautelar asociada:</w:t>
            </w:r>
          </w:p>
        </w:tc>
        <w:tc>
          <w:tcPr>
            <w:tcW w:w="5647" w:type="dxa"/>
            <w:vAlign w:val="center"/>
          </w:tcPr>
          <w:p w14:paraId="48B4F324" w14:textId="67C9E02D" w:rsidR="003F7F72" w:rsidRPr="003F7F72" w:rsidRDefault="005B4F6E" w:rsidP="002625EA">
            <w:pPr>
              <w:jc w:val="both"/>
              <w:rPr>
                <w:rFonts w:ascii="Cambria" w:hAnsi="Cambria"/>
                <w:bCs/>
                <w:sz w:val="20"/>
                <w:szCs w:val="20"/>
                <w:lang w:val="es-ES_tradnl"/>
              </w:rPr>
            </w:pPr>
            <w:r>
              <w:rPr>
                <w:rFonts w:ascii="Cambria" w:hAnsi="Cambria"/>
                <w:bCs/>
                <w:sz w:val="20"/>
                <w:szCs w:val="20"/>
                <w:lang w:val="es-ES_tradnl"/>
              </w:rPr>
              <w:t>613-17</w:t>
            </w:r>
            <w:r w:rsidR="00E1500C">
              <w:rPr>
                <w:rFonts w:ascii="Cambria" w:hAnsi="Cambria"/>
                <w:bCs/>
                <w:sz w:val="20"/>
                <w:szCs w:val="20"/>
                <w:lang w:val="es-ES_tradnl"/>
              </w:rPr>
              <w:t xml:space="preserve"> (cierre en estudio)</w:t>
            </w:r>
          </w:p>
        </w:tc>
      </w:tr>
    </w:tbl>
    <w:p w14:paraId="0FC6E9E8" w14:textId="77777777" w:rsidR="003239B8" w:rsidRPr="0092229A" w:rsidRDefault="003239B8" w:rsidP="003239B8">
      <w:pPr>
        <w:spacing w:before="240" w:after="240"/>
        <w:ind w:firstLine="720"/>
        <w:jc w:val="both"/>
        <w:rPr>
          <w:rFonts w:asciiTheme="majorHAnsi" w:hAnsiTheme="majorHAnsi"/>
          <w:b/>
          <w:bCs/>
          <w:sz w:val="20"/>
          <w:szCs w:val="20"/>
          <w:lang w:val="es-ES_tradnl"/>
        </w:rPr>
      </w:pPr>
      <w:r w:rsidRPr="0092229A">
        <w:rPr>
          <w:rFonts w:asciiTheme="majorHAnsi" w:hAnsiTheme="majorHAnsi"/>
          <w:b/>
          <w:bCs/>
          <w:sz w:val="20"/>
          <w:szCs w:val="20"/>
          <w:lang w:val="es-ES_tradnl"/>
        </w:rPr>
        <w:t xml:space="preserve">III. </w:t>
      </w:r>
      <w:r w:rsidRPr="0092229A">
        <w:rPr>
          <w:rFonts w:asciiTheme="majorHAnsi" w:hAnsiTheme="majorHAnsi"/>
          <w:b/>
          <w:bCs/>
          <w:sz w:val="20"/>
          <w:szCs w:val="20"/>
          <w:lang w:val="es-ES_tradnl"/>
        </w:rPr>
        <w:tab/>
        <w:t>COMPETENCIA</w:t>
      </w:r>
      <w:r w:rsidR="00EE00E9" w:rsidRPr="0092229A">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92229A"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92229A" w:rsidRDefault="003239B8" w:rsidP="008D2290">
            <w:pPr>
              <w:jc w:val="center"/>
              <w:rPr>
                <w:rFonts w:ascii="Cambria" w:hAnsi="Cambria"/>
                <w:b/>
                <w:bCs/>
                <w:i/>
                <w:color w:val="FFFFFF" w:themeColor="background1"/>
                <w:sz w:val="20"/>
                <w:szCs w:val="20"/>
                <w:lang w:val="es-ES_tradnl"/>
              </w:rPr>
            </w:pPr>
            <w:r w:rsidRPr="0092229A">
              <w:rPr>
                <w:rFonts w:ascii="Cambria" w:hAnsi="Cambria"/>
                <w:b/>
                <w:bCs/>
                <w:color w:val="FFFFFF" w:themeColor="background1"/>
                <w:sz w:val="20"/>
                <w:szCs w:val="20"/>
                <w:lang w:val="es-ES_tradnl"/>
              </w:rPr>
              <w:t>Competencia</w:t>
            </w:r>
            <w:r w:rsidRPr="0092229A">
              <w:rPr>
                <w:rFonts w:ascii="Cambria" w:hAnsi="Cambria"/>
                <w:b/>
                <w:bCs/>
                <w:i/>
                <w:color w:val="FFFFFF" w:themeColor="background1"/>
                <w:sz w:val="20"/>
                <w:szCs w:val="20"/>
                <w:lang w:val="es-ES_tradnl"/>
              </w:rPr>
              <w:t xml:space="preserve"> Ratione personae:</w:t>
            </w:r>
          </w:p>
        </w:tc>
        <w:tc>
          <w:tcPr>
            <w:tcW w:w="5760" w:type="dxa"/>
            <w:vAlign w:val="center"/>
          </w:tcPr>
          <w:p w14:paraId="1E494D5D" w14:textId="51929C9B" w:rsidR="003239B8" w:rsidRPr="0092229A" w:rsidRDefault="007C715A" w:rsidP="008D2290">
            <w:pPr>
              <w:rPr>
                <w:rFonts w:ascii="Cambria" w:hAnsi="Cambria"/>
                <w:bCs/>
                <w:sz w:val="20"/>
                <w:szCs w:val="20"/>
                <w:lang w:val="es-ES_tradnl"/>
              </w:rPr>
            </w:pPr>
            <w:r w:rsidRPr="0092229A">
              <w:rPr>
                <w:rFonts w:ascii="Cambria" w:hAnsi="Cambria"/>
                <w:bCs/>
                <w:sz w:val="20"/>
                <w:szCs w:val="20"/>
                <w:lang w:val="es-ES_tradnl"/>
              </w:rPr>
              <w:t>Sí</w:t>
            </w:r>
          </w:p>
        </w:tc>
      </w:tr>
      <w:tr w:rsidR="003239B8" w:rsidRPr="0092229A"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Competencia</w:t>
            </w:r>
            <w:r w:rsidRPr="0092229A">
              <w:rPr>
                <w:rFonts w:ascii="Cambria" w:hAnsi="Cambria"/>
                <w:b/>
                <w:bCs/>
                <w:i/>
                <w:color w:val="FFFFFF" w:themeColor="background1"/>
                <w:sz w:val="20"/>
                <w:szCs w:val="20"/>
                <w:lang w:val="es-ES_tradnl"/>
              </w:rPr>
              <w:t xml:space="preserve"> Ratione loci</w:t>
            </w:r>
            <w:r w:rsidRPr="0092229A">
              <w:rPr>
                <w:rFonts w:ascii="Cambria" w:hAnsi="Cambria"/>
                <w:b/>
                <w:bCs/>
                <w:color w:val="FFFFFF" w:themeColor="background1"/>
                <w:sz w:val="20"/>
                <w:szCs w:val="20"/>
                <w:lang w:val="es-ES_tradnl"/>
              </w:rPr>
              <w:t>:</w:t>
            </w:r>
          </w:p>
        </w:tc>
        <w:tc>
          <w:tcPr>
            <w:tcW w:w="5760" w:type="dxa"/>
            <w:vAlign w:val="center"/>
          </w:tcPr>
          <w:p w14:paraId="77C8256A" w14:textId="386AB900" w:rsidR="003239B8" w:rsidRPr="0092229A" w:rsidRDefault="007C715A" w:rsidP="008D2290">
            <w:pPr>
              <w:rPr>
                <w:rFonts w:ascii="Cambria" w:hAnsi="Cambria"/>
                <w:bCs/>
                <w:sz w:val="20"/>
                <w:szCs w:val="20"/>
                <w:lang w:val="es-ES_tradnl"/>
              </w:rPr>
            </w:pPr>
            <w:r w:rsidRPr="0092229A">
              <w:rPr>
                <w:rFonts w:ascii="Cambria" w:hAnsi="Cambria"/>
                <w:bCs/>
                <w:sz w:val="20"/>
                <w:szCs w:val="20"/>
                <w:lang w:val="es-ES_tradnl"/>
              </w:rPr>
              <w:t xml:space="preserve">Sí </w:t>
            </w:r>
          </w:p>
        </w:tc>
      </w:tr>
      <w:tr w:rsidR="003239B8" w:rsidRPr="0092229A"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Competencia</w:t>
            </w:r>
            <w:r w:rsidRPr="0092229A">
              <w:rPr>
                <w:rFonts w:ascii="Cambria" w:hAnsi="Cambria"/>
                <w:b/>
                <w:bCs/>
                <w:i/>
                <w:color w:val="FFFFFF" w:themeColor="background1"/>
                <w:sz w:val="20"/>
                <w:szCs w:val="20"/>
                <w:lang w:val="es-ES_tradnl"/>
              </w:rPr>
              <w:t xml:space="preserve"> Ratione temporis</w:t>
            </w:r>
            <w:r w:rsidRPr="0092229A">
              <w:rPr>
                <w:rFonts w:ascii="Cambria" w:hAnsi="Cambria"/>
                <w:b/>
                <w:bCs/>
                <w:color w:val="FFFFFF" w:themeColor="background1"/>
                <w:sz w:val="20"/>
                <w:szCs w:val="20"/>
                <w:lang w:val="es-ES_tradnl"/>
              </w:rPr>
              <w:t>:</w:t>
            </w:r>
          </w:p>
        </w:tc>
        <w:tc>
          <w:tcPr>
            <w:tcW w:w="5760" w:type="dxa"/>
            <w:vAlign w:val="center"/>
          </w:tcPr>
          <w:p w14:paraId="523F6BD6" w14:textId="6964933A" w:rsidR="003239B8" w:rsidRPr="0092229A" w:rsidRDefault="007C715A" w:rsidP="008D2290">
            <w:pPr>
              <w:rPr>
                <w:rFonts w:ascii="Cambria" w:hAnsi="Cambria"/>
                <w:bCs/>
                <w:sz w:val="20"/>
                <w:szCs w:val="20"/>
                <w:lang w:val="es-ES_tradnl"/>
              </w:rPr>
            </w:pPr>
            <w:r w:rsidRPr="0092229A">
              <w:rPr>
                <w:rFonts w:ascii="Cambria" w:hAnsi="Cambria"/>
                <w:bCs/>
                <w:sz w:val="20"/>
                <w:szCs w:val="20"/>
                <w:lang w:val="es-ES_tradnl"/>
              </w:rPr>
              <w:t xml:space="preserve">Sí </w:t>
            </w:r>
          </w:p>
        </w:tc>
      </w:tr>
      <w:tr w:rsidR="003239B8" w:rsidRPr="00D112FE"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Competencia</w:t>
            </w:r>
            <w:r w:rsidRPr="0092229A">
              <w:rPr>
                <w:rFonts w:ascii="Cambria" w:hAnsi="Cambria"/>
                <w:b/>
                <w:bCs/>
                <w:i/>
                <w:color w:val="FFFFFF" w:themeColor="background1"/>
                <w:sz w:val="20"/>
                <w:szCs w:val="20"/>
                <w:lang w:val="es-ES_tradnl"/>
              </w:rPr>
              <w:t xml:space="preserve"> Ratione materia</w:t>
            </w:r>
            <w:r w:rsidR="00EE00E9" w:rsidRPr="0092229A">
              <w:rPr>
                <w:rFonts w:ascii="Cambria" w:hAnsi="Cambria"/>
                <w:b/>
                <w:bCs/>
                <w:i/>
                <w:color w:val="FFFFFF" w:themeColor="background1"/>
                <w:sz w:val="20"/>
                <w:szCs w:val="20"/>
                <w:lang w:val="es-ES_tradnl"/>
              </w:rPr>
              <w:t>e</w:t>
            </w:r>
            <w:r w:rsidRPr="0092229A">
              <w:rPr>
                <w:rFonts w:ascii="Cambria" w:hAnsi="Cambria"/>
                <w:b/>
                <w:bCs/>
                <w:color w:val="FFFFFF" w:themeColor="background1"/>
                <w:sz w:val="20"/>
                <w:szCs w:val="20"/>
                <w:lang w:val="es-ES_tradnl"/>
              </w:rPr>
              <w:t>:</w:t>
            </w:r>
          </w:p>
        </w:tc>
        <w:tc>
          <w:tcPr>
            <w:tcW w:w="5760" w:type="dxa"/>
            <w:vAlign w:val="center"/>
          </w:tcPr>
          <w:p w14:paraId="257C8337" w14:textId="12D4B9F7" w:rsidR="003239B8" w:rsidRPr="0092229A" w:rsidRDefault="007C715A" w:rsidP="008D2290">
            <w:pPr>
              <w:jc w:val="both"/>
              <w:rPr>
                <w:rFonts w:asciiTheme="majorHAnsi" w:hAnsiTheme="majorHAnsi"/>
                <w:bCs/>
                <w:sz w:val="20"/>
                <w:szCs w:val="20"/>
                <w:lang w:val="es-ES_tradnl"/>
              </w:rPr>
            </w:pPr>
            <w:r w:rsidRPr="0092229A">
              <w:rPr>
                <w:rFonts w:asciiTheme="majorHAnsi" w:hAnsiTheme="majorHAnsi"/>
                <w:bCs/>
                <w:sz w:val="20"/>
                <w:szCs w:val="20"/>
                <w:lang w:val="es-ES_tradnl"/>
              </w:rPr>
              <w:t xml:space="preserve">Sí, </w:t>
            </w:r>
            <w:r w:rsidR="00FA3AEF" w:rsidRPr="0092229A">
              <w:rPr>
                <w:rFonts w:asciiTheme="majorHAnsi" w:hAnsiTheme="majorHAnsi"/>
                <w:bCs/>
                <w:sz w:val="20"/>
                <w:szCs w:val="20"/>
                <w:lang w:val="es-ES_tradnl"/>
              </w:rPr>
              <w:t xml:space="preserve">Convención Americana (instrumento de ratificación depositado el </w:t>
            </w:r>
            <w:r w:rsidR="00D71063" w:rsidRPr="0092229A">
              <w:rPr>
                <w:rFonts w:asciiTheme="majorHAnsi" w:hAnsiTheme="majorHAnsi"/>
                <w:bCs/>
                <w:sz w:val="20"/>
                <w:szCs w:val="20"/>
                <w:lang w:val="es-ES_tradnl"/>
              </w:rPr>
              <w:t>25 de mayo de 1978</w:t>
            </w:r>
            <w:r w:rsidR="00FA3AEF" w:rsidRPr="0092229A">
              <w:rPr>
                <w:rFonts w:asciiTheme="majorHAnsi" w:hAnsiTheme="majorHAnsi"/>
                <w:bCs/>
                <w:sz w:val="20"/>
                <w:szCs w:val="20"/>
                <w:lang w:val="es-ES_tradnl"/>
              </w:rPr>
              <w:t>)</w:t>
            </w:r>
          </w:p>
        </w:tc>
      </w:tr>
    </w:tbl>
    <w:p w14:paraId="299A3868" w14:textId="6B2FCAEA" w:rsidR="003239B8" w:rsidRPr="0092229A" w:rsidRDefault="003239B8" w:rsidP="003239B8">
      <w:pPr>
        <w:spacing w:before="240" w:after="240"/>
        <w:ind w:firstLine="720"/>
        <w:jc w:val="both"/>
        <w:rPr>
          <w:rFonts w:asciiTheme="majorHAnsi" w:hAnsiTheme="majorHAnsi"/>
          <w:b/>
          <w:bCs/>
          <w:sz w:val="20"/>
          <w:szCs w:val="20"/>
          <w:lang w:val="es-ES_tradnl"/>
        </w:rPr>
      </w:pPr>
      <w:r w:rsidRPr="0092229A">
        <w:rPr>
          <w:rFonts w:asciiTheme="majorHAnsi" w:hAnsiTheme="majorHAnsi"/>
          <w:b/>
          <w:bCs/>
          <w:sz w:val="20"/>
          <w:szCs w:val="20"/>
          <w:lang w:val="es-ES_tradnl"/>
        </w:rPr>
        <w:t xml:space="preserve">IV. </w:t>
      </w:r>
      <w:r w:rsidRPr="0092229A">
        <w:rPr>
          <w:rFonts w:asciiTheme="majorHAnsi" w:hAnsiTheme="majorHAnsi"/>
          <w:b/>
          <w:bCs/>
          <w:sz w:val="20"/>
          <w:szCs w:val="20"/>
          <w:lang w:val="es-ES_tradnl"/>
        </w:rPr>
        <w:tab/>
      </w:r>
      <w:r w:rsidR="00EE00E9" w:rsidRPr="0092229A">
        <w:rPr>
          <w:rFonts w:asciiTheme="majorHAnsi" w:hAnsiTheme="majorHAnsi"/>
          <w:b/>
          <w:bCs/>
          <w:sz w:val="20"/>
          <w:szCs w:val="20"/>
          <w:lang w:val="es-ES_tradnl"/>
        </w:rPr>
        <w:t>DUPLICACIÓN</w:t>
      </w:r>
      <w:r w:rsidR="00EE00E9" w:rsidRPr="0092229A">
        <w:rPr>
          <w:rFonts w:asciiTheme="majorHAnsi" w:hAnsiTheme="majorHAnsi"/>
          <w:b/>
          <w:bCs/>
          <w:color w:val="FFFFFF" w:themeColor="background1"/>
          <w:sz w:val="20"/>
          <w:szCs w:val="20"/>
          <w:lang w:val="es-ES_tradnl"/>
        </w:rPr>
        <w:t xml:space="preserve"> </w:t>
      </w:r>
      <w:r w:rsidR="00EE00E9" w:rsidRPr="0092229A">
        <w:rPr>
          <w:rFonts w:asciiTheme="majorHAnsi" w:hAnsiTheme="majorHAnsi"/>
          <w:b/>
          <w:bCs/>
          <w:sz w:val="20"/>
          <w:szCs w:val="20"/>
          <w:lang w:val="es-ES_tradnl"/>
        </w:rPr>
        <w:t>DE PROCEDIMIENTOS Y COSA JUZGADA</w:t>
      </w:r>
      <w:r w:rsidR="00EE00E9" w:rsidRPr="0092229A">
        <w:rPr>
          <w:rFonts w:asciiTheme="majorHAnsi" w:hAnsiTheme="majorHAnsi"/>
          <w:b/>
          <w:bCs/>
          <w:i/>
          <w:sz w:val="20"/>
          <w:szCs w:val="20"/>
          <w:lang w:val="es-ES_tradnl"/>
        </w:rPr>
        <w:t xml:space="preserve"> </w:t>
      </w:r>
      <w:r w:rsidR="001D57D6" w:rsidRPr="0092229A">
        <w:rPr>
          <w:rFonts w:asciiTheme="majorHAnsi" w:hAnsiTheme="majorHAnsi"/>
          <w:b/>
          <w:bCs/>
          <w:sz w:val="20"/>
          <w:szCs w:val="20"/>
          <w:lang w:val="es-ES_tradnl"/>
        </w:rPr>
        <w:t>INTERNACIONAL, CARACTERIZACIÓN</w:t>
      </w:r>
      <w:r w:rsidRPr="0092229A">
        <w:rPr>
          <w:rFonts w:asciiTheme="majorHAnsi" w:hAnsiTheme="majorHAnsi"/>
          <w:b/>
          <w:bCs/>
          <w:sz w:val="20"/>
          <w:szCs w:val="20"/>
          <w:lang w:val="es-ES_tradnl"/>
        </w:rPr>
        <w:t xml:space="preserve">, </w:t>
      </w:r>
      <w:r w:rsidRPr="0092229A">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92229A"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92229A" w:rsidRDefault="00EE00E9"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764D7F60" w14:textId="6158FB47" w:rsidR="00EE00E9" w:rsidRPr="0092229A" w:rsidRDefault="00BD01F0" w:rsidP="008D2290">
            <w:pPr>
              <w:jc w:val="both"/>
              <w:rPr>
                <w:rFonts w:ascii="Cambria" w:hAnsi="Cambria"/>
                <w:bCs/>
                <w:sz w:val="20"/>
                <w:szCs w:val="20"/>
                <w:lang w:val="es-ES_tradnl"/>
              </w:rPr>
            </w:pPr>
            <w:r w:rsidRPr="0092229A">
              <w:rPr>
                <w:rFonts w:ascii="Cambria" w:hAnsi="Cambria"/>
                <w:bCs/>
                <w:sz w:val="20"/>
                <w:szCs w:val="20"/>
                <w:lang w:val="es-ES_tradnl"/>
              </w:rPr>
              <w:t>No</w:t>
            </w:r>
          </w:p>
        </w:tc>
      </w:tr>
      <w:tr w:rsidR="003239B8" w:rsidRPr="00D112FE"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92229A" w:rsidRDefault="003239B8" w:rsidP="008D2290">
            <w:pPr>
              <w:jc w:val="center"/>
              <w:rPr>
                <w:rFonts w:ascii="Cambria" w:hAnsi="Cambria"/>
                <w:b/>
                <w:bCs/>
                <w:i/>
                <w:color w:val="FFFFFF" w:themeColor="background1"/>
                <w:sz w:val="20"/>
                <w:szCs w:val="20"/>
                <w:lang w:val="es-ES_tradnl"/>
              </w:rPr>
            </w:pPr>
            <w:r w:rsidRPr="0092229A">
              <w:rPr>
                <w:rFonts w:ascii="Cambria" w:hAnsi="Cambria"/>
                <w:b/>
                <w:bCs/>
                <w:color w:val="FFFFFF" w:themeColor="background1"/>
                <w:sz w:val="20"/>
                <w:szCs w:val="20"/>
                <w:lang w:val="es-ES_tradnl"/>
              </w:rPr>
              <w:t>Derechos declarados admisibles</w:t>
            </w:r>
            <w:r w:rsidRPr="0092229A">
              <w:rPr>
                <w:rFonts w:ascii="Cambria" w:hAnsi="Cambria"/>
                <w:b/>
                <w:bCs/>
                <w:i/>
                <w:color w:val="FFFFFF" w:themeColor="background1"/>
                <w:sz w:val="20"/>
                <w:szCs w:val="20"/>
                <w:lang w:val="es-ES_tradnl"/>
              </w:rPr>
              <w:t>:</w:t>
            </w:r>
          </w:p>
        </w:tc>
        <w:tc>
          <w:tcPr>
            <w:tcW w:w="5760" w:type="dxa"/>
            <w:vAlign w:val="center"/>
          </w:tcPr>
          <w:p w14:paraId="4DAE9D4D" w14:textId="497885CE" w:rsidR="00FF6087" w:rsidRPr="0092229A" w:rsidRDefault="00BD01F0" w:rsidP="00E53400">
            <w:pPr>
              <w:jc w:val="both"/>
              <w:rPr>
                <w:rFonts w:ascii="Cambria" w:hAnsi="Cambria"/>
                <w:bCs/>
                <w:sz w:val="20"/>
                <w:szCs w:val="20"/>
                <w:lang w:val="es-ES_tradnl"/>
              </w:rPr>
            </w:pPr>
            <w:r w:rsidRPr="0092229A">
              <w:rPr>
                <w:rFonts w:asciiTheme="majorHAnsi" w:hAnsiTheme="majorHAnsi"/>
                <w:bCs/>
                <w:sz w:val="20"/>
                <w:szCs w:val="20"/>
                <w:lang w:val="es-ES_tradnl"/>
              </w:rPr>
              <w:t>Artículos</w:t>
            </w:r>
            <w:r w:rsidR="00E53400" w:rsidRPr="0092229A">
              <w:rPr>
                <w:rFonts w:asciiTheme="majorHAnsi" w:hAnsiTheme="majorHAnsi"/>
                <w:bCs/>
                <w:sz w:val="20"/>
                <w:szCs w:val="20"/>
                <w:lang w:val="es-ES_tradnl"/>
              </w:rPr>
              <w:t xml:space="preserve"> </w:t>
            </w:r>
            <w:r w:rsidR="00DB3C52">
              <w:rPr>
                <w:rFonts w:asciiTheme="majorHAnsi" w:hAnsiTheme="majorHAnsi"/>
                <w:bCs/>
                <w:sz w:val="20"/>
                <w:szCs w:val="20"/>
                <w:lang w:val="es-ES_tradnl"/>
              </w:rPr>
              <w:t xml:space="preserve">7 (libertad personal), </w:t>
            </w:r>
            <w:r w:rsidR="00FF6087" w:rsidRPr="0092229A">
              <w:rPr>
                <w:rFonts w:asciiTheme="majorHAnsi" w:hAnsiTheme="majorHAnsi"/>
                <w:bCs/>
                <w:sz w:val="20"/>
                <w:szCs w:val="20"/>
                <w:lang w:val="es-ES_tradnl"/>
              </w:rPr>
              <w:t>8 (garantías judiciales</w:t>
            </w:r>
            <w:r w:rsidR="008A48C8" w:rsidRPr="0092229A">
              <w:rPr>
                <w:rFonts w:asciiTheme="majorHAnsi" w:hAnsiTheme="majorHAnsi"/>
                <w:bCs/>
                <w:sz w:val="20"/>
                <w:szCs w:val="20"/>
                <w:lang w:val="es-ES_tradnl"/>
              </w:rPr>
              <w:t>)</w:t>
            </w:r>
            <w:r w:rsidR="00B15B87">
              <w:rPr>
                <w:rFonts w:asciiTheme="majorHAnsi" w:hAnsiTheme="majorHAnsi"/>
                <w:bCs/>
                <w:sz w:val="20"/>
                <w:szCs w:val="20"/>
                <w:lang w:val="es-ES_tradnl"/>
              </w:rPr>
              <w:t>,</w:t>
            </w:r>
            <w:r w:rsidR="00F15B64">
              <w:rPr>
                <w:rFonts w:asciiTheme="majorHAnsi" w:hAnsiTheme="majorHAnsi"/>
                <w:bCs/>
                <w:sz w:val="20"/>
                <w:szCs w:val="20"/>
                <w:lang w:val="es-ES_tradnl"/>
              </w:rPr>
              <w:t xml:space="preserve"> </w:t>
            </w:r>
            <w:r w:rsidR="00FF6087" w:rsidRPr="0092229A">
              <w:rPr>
                <w:rFonts w:asciiTheme="majorHAnsi" w:hAnsiTheme="majorHAnsi"/>
                <w:bCs/>
                <w:sz w:val="20"/>
                <w:szCs w:val="20"/>
                <w:lang w:val="es-ES_tradnl"/>
              </w:rPr>
              <w:t>25 (protección judicial)</w:t>
            </w:r>
            <w:r w:rsidR="00446EB6" w:rsidRPr="00446EB6">
              <w:rPr>
                <w:rFonts w:asciiTheme="majorHAnsi" w:hAnsiTheme="majorHAnsi"/>
                <w:bCs/>
                <w:sz w:val="20"/>
                <w:szCs w:val="20"/>
                <w:lang w:val="es-ES"/>
              </w:rPr>
              <w:t>,</w:t>
            </w:r>
            <w:r w:rsidR="00446EB6">
              <w:rPr>
                <w:rFonts w:asciiTheme="majorHAnsi" w:hAnsiTheme="majorHAnsi"/>
                <w:bCs/>
                <w:sz w:val="20"/>
                <w:szCs w:val="20"/>
                <w:lang w:val="es-ES"/>
              </w:rPr>
              <w:t xml:space="preserve"> </w:t>
            </w:r>
            <w:r w:rsidR="00B15B87">
              <w:rPr>
                <w:rFonts w:asciiTheme="majorHAnsi" w:hAnsiTheme="majorHAnsi"/>
                <w:bCs/>
                <w:sz w:val="20"/>
                <w:szCs w:val="20"/>
                <w:lang w:val="es-ES"/>
              </w:rPr>
              <w:t>y 26 (derechos económicos, sociales y culturales)</w:t>
            </w:r>
            <w:r w:rsidR="00DB3C52">
              <w:rPr>
                <w:rFonts w:asciiTheme="majorHAnsi" w:hAnsiTheme="majorHAnsi"/>
                <w:bCs/>
                <w:sz w:val="20"/>
                <w:szCs w:val="20"/>
                <w:lang w:val="es-ES"/>
              </w:rPr>
              <w:t>,</w:t>
            </w:r>
            <w:r w:rsidR="00B15B87">
              <w:rPr>
                <w:rFonts w:asciiTheme="majorHAnsi" w:hAnsiTheme="majorHAnsi"/>
                <w:bCs/>
                <w:sz w:val="20"/>
                <w:szCs w:val="20"/>
                <w:lang w:val="es-ES"/>
              </w:rPr>
              <w:t xml:space="preserve"> </w:t>
            </w:r>
            <w:r w:rsidR="00E53400" w:rsidRPr="0092229A">
              <w:rPr>
                <w:rFonts w:asciiTheme="majorHAnsi" w:hAnsiTheme="majorHAnsi"/>
                <w:bCs/>
                <w:sz w:val="20"/>
                <w:szCs w:val="20"/>
                <w:lang w:val="es-ES_tradnl"/>
              </w:rPr>
              <w:t>en relación con su artículo 1.1 (obligación de respetar los derechos)</w:t>
            </w:r>
          </w:p>
        </w:tc>
      </w:tr>
      <w:tr w:rsidR="003239B8" w:rsidRPr="00D112FE"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lastRenderedPageBreak/>
              <w:t>Agotamiento de recursos internos</w:t>
            </w:r>
            <w:r w:rsidR="00EE00E9" w:rsidRPr="0092229A">
              <w:rPr>
                <w:rFonts w:ascii="Cambria" w:hAnsi="Cambria"/>
                <w:b/>
                <w:bCs/>
                <w:color w:val="FFFFFF" w:themeColor="background1"/>
                <w:sz w:val="20"/>
                <w:szCs w:val="20"/>
                <w:lang w:val="es-ES_tradnl"/>
              </w:rPr>
              <w:t xml:space="preserve"> o procedencia de una excepción</w:t>
            </w:r>
            <w:r w:rsidRPr="0092229A">
              <w:rPr>
                <w:rFonts w:ascii="Cambria" w:hAnsi="Cambria"/>
                <w:b/>
                <w:bCs/>
                <w:color w:val="FFFFFF" w:themeColor="background1"/>
                <w:sz w:val="20"/>
                <w:szCs w:val="20"/>
                <w:lang w:val="es-ES_tradnl"/>
              </w:rPr>
              <w:t>:</w:t>
            </w:r>
          </w:p>
        </w:tc>
        <w:tc>
          <w:tcPr>
            <w:tcW w:w="5760" w:type="dxa"/>
            <w:vAlign w:val="center"/>
          </w:tcPr>
          <w:p w14:paraId="7F7C1A19" w14:textId="7E7174C4" w:rsidR="003239B8" w:rsidRPr="00446EB6" w:rsidRDefault="00491EF2" w:rsidP="00620C6F">
            <w:pPr>
              <w:rPr>
                <w:rFonts w:asciiTheme="majorHAnsi" w:hAnsiTheme="majorHAnsi"/>
                <w:bCs/>
                <w:sz w:val="20"/>
                <w:szCs w:val="20"/>
                <w:lang w:val="es-ES_tradnl"/>
              </w:rPr>
            </w:pPr>
            <w:r>
              <w:rPr>
                <w:rFonts w:asciiTheme="majorHAnsi" w:hAnsiTheme="majorHAnsi"/>
                <w:bCs/>
                <w:sz w:val="20"/>
                <w:szCs w:val="20"/>
                <w:lang w:val="es-ES_tradnl"/>
              </w:rPr>
              <w:t>Sí</w:t>
            </w:r>
            <w:r w:rsidR="00620C6F" w:rsidRPr="00620C6F">
              <w:rPr>
                <w:rFonts w:asciiTheme="majorHAnsi" w:hAnsiTheme="majorHAnsi"/>
                <w:bCs/>
                <w:sz w:val="20"/>
                <w:szCs w:val="20"/>
                <w:lang w:val="es-ES_tradnl"/>
              </w:rPr>
              <w:t>, en los términos de la Sección VI</w:t>
            </w:r>
            <w:r w:rsidR="00410D96">
              <w:rPr>
                <w:rFonts w:asciiTheme="majorHAnsi" w:hAnsiTheme="majorHAnsi"/>
                <w:bCs/>
                <w:sz w:val="20"/>
                <w:szCs w:val="20"/>
                <w:lang w:val="es-ES_tradnl"/>
              </w:rPr>
              <w:t>I</w:t>
            </w:r>
          </w:p>
        </w:tc>
      </w:tr>
      <w:tr w:rsidR="003239B8" w:rsidRPr="00D112FE"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92229A" w:rsidRDefault="003239B8" w:rsidP="008D2290">
            <w:pPr>
              <w:jc w:val="center"/>
              <w:rPr>
                <w:rFonts w:ascii="Cambria" w:hAnsi="Cambria"/>
                <w:b/>
                <w:bCs/>
                <w:color w:val="FFFFFF" w:themeColor="background1"/>
                <w:sz w:val="20"/>
                <w:szCs w:val="20"/>
                <w:lang w:val="es-ES_tradnl"/>
              </w:rPr>
            </w:pPr>
            <w:r w:rsidRPr="0092229A">
              <w:rPr>
                <w:rFonts w:ascii="Cambria" w:hAnsi="Cambria"/>
                <w:b/>
                <w:bCs/>
                <w:color w:val="FFFFFF" w:themeColor="background1"/>
                <w:sz w:val="20"/>
                <w:szCs w:val="20"/>
                <w:lang w:val="es-ES_tradnl"/>
              </w:rPr>
              <w:t>Presentación dentro de plazo:</w:t>
            </w:r>
          </w:p>
        </w:tc>
        <w:tc>
          <w:tcPr>
            <w:tcW w:w="5760" w:type="dxa"/>
            <w:vAlign w:val="center"/>
          </w:tcPr>
          <w:p w14:paraId="2AF0FC69" w14:textId="7B68CC45" w:rsidR="003239B8" w:rsidRPr="0092229A" w:rsidRDefault="00491EF2" w:rsidP="008D2290">
            <w:pPr>
              <w:rPr>
                <w:rFonts w:ascii="Cambria" w:hAnsi="Cambria"/>
                <w:bCs/>
                <w:sz w:val="20"/>
                <w:szCs w:val="20"/>
                <w:lang w:val="es-ES_tradnl"/>
              </w:rPr>
            </w:pPr>
            <w:r>
              <w:rPr>
                <w:rFonts w:asciiTheme="majorHAnsi" w:hAnsiTheme="majorHAnsi"/>
                <w:bCs/>
                <w:sz w:val="20"/>
                <w:szCs w:val="20"/>
                <w:lang w:val="es-ES_tradnl"/>
              </w:rPr>
              <w:t>Sí</w:t>
            </w:r>
            <w:r w:rsidR="00BD01F0" w:rsidRPr="0092229A">
              <w:rPr>
                <w:rFonts w:asciiTheme="majorHAnsi" w:hAnsiTheme="majorHAnsi"/>
                <w:bCs/>
                <w:sz w:val="20"/>
                <w:szCs w:val="20"/>
                <w:lang w:val="es-ES_tradnl"/>
              </w:rPr>
              <w:t>, en los términos de la Sección VI</w:t>
            </w:r>
            <w:r w:rsidR="00410D96">
              <w:rPr>
                <w:rFonts w:asciiTheme="majorHAnsi" w:hAnsiTheme="majorHAnsi"/>
                <w:bCs/>
                <w:sz w:val="20"/>
                <w:szCs w:val="20"/>
                <w:lang w:val="es-ES_tradnl"/>
              </w:rPr>
              <w:t>I</w:t>
            </w:r>
          </w:p>
        </w:tc>
      </w:tr>
    </w:tbl>
    <w:p w14:paraId="56FD5D57" w14:textId="53AF6FDA" w:rsidR="003239B8" w:rsidRPr="004606B1" w:rsidRDefault="00223A29" w:rsidP="004606B1">
      <w:pPr>
        <w:spacing w:before="240" w:after="240"/>
        <w:ind w:firstLine="709"/>
        <w:jc w:val="both"/>
        <w:rPr>
          <w:rFonts w:ascii="Cambria" w:hAnsi="Cambria"/>
          <w:b/>
          <w:sz w:val="20"/>
          <w:szCs w:val="20"/>
          <w:lang w:val="es-ES_tradnl"/>
        </w:rPr>
      </w:pPr>
      <w:r w:rsidRPr="00375E07">
        <w:rPr>
          <w:rFonts w:ascii="Cambria" w:hAnsi="Cambria"/>
          <w:b/>
          <w:sz w:val="20"/>
          <w:szCs w:val="20"/>
          <w:lang w:val="es-ES_tradnl"/>
        </w:rPr>
        <w:t xml:space="preserve">V. </w:t>
      </w:r>
      <w:r w:rsidRPr="00375E07">
        <w:rPr>
          <w:rFonts w:ascii="Cambria" w:hAnsi="Cambria"/>
          <w:b/>
          <w:sz w:val="20"/>
          <w:szCs w:val="20"/>
          <w:lang w:val="es-ES_tradnl"/>
        </w:rPr>
        <w:tab/>
      </w:r>
      <w:r w:rsidR="004241A0" w:rsidRPr="004606B1">
        <w:rPr>
          <w:rFonts w:ascii="Cambria" w:hAnsi="Cambria"/>
          <w:b/>
          <w:sz w:val="20"/>
          <w:szCs w:val="20"/>
          <w:lang w:val="es-ES_tradnl"/>
        </w:rPr>
        <w:t>POSICIÓN DE LAS PARTES</w:t>
      </w:r>
      <w:r w:rsidR="003239B8" w:rsidRPr="004606B1">
        <w:rPr>
          <w:rFonts w:ascii="Cambria" w:hAnsi="Cambria"/>
          <w:b/>
          <w:sz w:val="20"/>
          <w:szCs w:val="20"/>
          <w:lang w:val="es-ES_tradnl"/>
        </w:rPr>
        <w:t xml:space="preserve"> </w:t>
      </w:r>
    </w:p>
    <w:p w14:paraId="06E16E26" w14:textId="38A33821" w:rsidR="00BE1CD1" w:rsidRPr="004606B1" w:rsidRDefault="00BE1CD1" w:rsidP="004606B1">
      <w:pPr>
        <w:pStyle w:val="ListParagraph"/>
        <w:numPr>
          <w:ilvl w:val="0"/>
          <w:numId w:val="56"/>
        </w:numPr>
        <w:spacing w:before="240" w:after="240"/>
        <w:ind w:left="142" w:firstLine="567"/>
        <w:jc w:val="both"/>
        <w:rPr>
          <w:bCs/>
          <w:sz w:val="20"/>
          <w:szCs w:val="20"/>
          <w:lang w:val="es-ES_tradnl"/>
        </w:rPr>
      </w:pPr>
      <w:r w:rsidRPr="004606B1">
        <w:rPr>
          <w:rFonts w:asciiTheme="majorHAnsi" w:hAnsiTheme="majorHAnsi" w:cstheme="majorHAnsi"/>
          <w:sz w:val="20"/>
          <w:szCs w:val="20"/>
          <w:lang w:val="es-ES_tradnl"/>
        </w:rPr>
        <w:t>La petición fue presentada por el colectivo Madre Selva y el señor Caal Xól</w:t>
      </w:r>
      <w:r w:rsidR="000B18C3" w:rsidRPr="004606B1">
        <w:rPr>
          <w:rFonts w:asciiTheme="majorHAnsi" w:hAnsiTheme="majorHAnsi" w:cstheme="majorHAnsi"/>
          <w:sz w:val="20"/>
          <w:szCs w:val="20"/>
          <w:lang w:val="es-ES_tradnl"/>
        </w:rPr>
        <w:t xml:space="preserve"> (en adelante “peticionarios” o “parte peticionaria”)</w:t>
      </w:r>
      <w:r w:rsidR="00A0332A" w:rsidRPr="004606B1">
        <w:rPr>
          <w:rFonts w:asciiTheme="majorHAnsi" w:hAnsiTheme="majorHAnsi" w:cstheme="majorHAnsi"/>
          <w:sz w:val="20"/>
          <w:szCs w:val="20"/>
          <w:lang w:val="es-ES_tradnl"/>
        </w:rPr>
        <w:t xml:space="preserve">, </w:t>
      </w:r>
      <w:r w:rsidR="000B18C3" w:rsidRPr="004606B1">
        <w:rPr>
          <w:rFonts w:asciiTheme="majorHAnsi" w:hAnsiTheme="majorHAnsi" w:cstheme="majorHAnsi"/>
          <w:sz w:val="20"/>
          <w:szCs w:val="20"/>
          <w:lang w:val="es-ES_tradnl"/>
        </w:rPr>
        <w:t>quienes</w:t>
      </w:r>
      <w:r w:rsidR="004456A0" w:rsidRPr="004606B1">
        <w:rPr>
          <w:rFonts w:asciiTheme="majorHAnsi" w:hAnsiTheme="majorHAnsi" w:cstheme="majorHAnsi"/>
          <w:sz w:val="20"/>
          <w:szCs w:val="20"/>
          <w:lang w:val="es-ES_tradnl"/>
        </w:rPr>
        <w:t xml:space="preserve"> alegan </w:t>
      </w:r>
      <w:r w:rsidRPr="004606B1">
        <w:rPr>
          <w:rFonts w:asciiTheme="majorHAnsi" w:hAnsiTheme="majorHAnsi" w:cstheme="majorHAnsi"/>
          <w:sz w:val="20"/>
          <w:szCs w:val="20"/>
          <w:lang w:val="es-ES_tradnl"/>
        </w:rPr>
        <w:t xml:space="preserve">la violación al derecho de consulta de las comunidades indígenas </w:t>
      </w:r>
      <w:r w:rsidR="000B18C3" w:rsidRPr="004606B1">
        <w:rPr>
          <w:rFonts w:asciiTheme="majorHAnsi" w:hAnsiTheme="majorHAnsi" w:cstheme="majorHAnsi"/>
          <w:bCs/>
          <w:sz w:val="20"/>
          <w:szCs w:val="20"/>
          <w:lang w:val="es-ES_tradnl"/>
        </w:rPr>
        <w:t>Q'eqchi's de Santa María Cahabón</w:t>
      </w:r>
      <w:r w:rsidR="004456A0" w:rsidRPr="004606B1">
        <w:rPr>
          <w:rFonts w:asciiTheme="majorHAnsi" w:hAnsiTheme="majorHAnsi" w:cstheme="majorHAnsi"/>
          <w:sz w:val="20"/>
          <w:szCs w:val="20"/>
          <w:lang w:val="es-ES_tradnl"/>
        </w:rPr>
        <w:t xml:space="preserve">, a raíz de la concesión para construir dos centrales hidroeléctricas sobre </w:t>
      </w:r>
      <w:r w:rsidR="004275AF" w:rsidRPr="004606B1">
        <w:rPr>
          <w:rFonts w:asciiTheme="majorHAnsi" w:hAnsiTheme="majorHAnsi" w:cstheme="majorHAnsi"/>
          <w:sz w:val="20"/>
          <w:szCs w:val="20"/>
          <w:lang w:val="es-ES_tradnl"/>
        </w:rPr>
        <w:t>los</w:t>
      </w:r>
      <w:r w:rsidR="004456A0" w:rsidRPr="004606B1">
        <w:rPr>
          <w:rFonts w:asciiTheme="majorHAnsi" w:hAnsiTheme="majorHAnsi" w:cstheme="majorHAnsi"/>
          <w:sz w:val="20"/>
          <w:szCs w:val="20"/>
          <w:lang w:val="es-ES_tradnl"/>
        </w:rPr>
        <w:t xml:space="preserve"> ríos que atraviesan </w:t>
      </w:r>
      <w:r w:rsidR="000B18C3" w:rsidRPr="004606B1">
        <w:rPr>
          <w:rFonts w:asciiTheme="majorHAnsi" w:hAnsiTheme="majorHAnsi" w:cstheme="majorHAnsi"/>
          <w:sz w:val="20"/>
          <w:szCs w:val="20"/>
          <w:lang w:val="es-ES_tradnl"/>
        </w:rPr>
        <w:t>sus comunidades</w:t>
      </w:r>
      <w:r w:rsidR="004456A0" w:rsidRPr="004606B1">
        <w:rPr>
          <w:rFonts w:asciiTheme="majorHAnsi" w:hAnsiTheme="majorHAnsi" w:cstheme="majorHAnsi"/>
          <w:bCs/>
          <w:sz w:val="20"/>
          <w:szCs w:val="20"/>
          <w:lang w:val="es-ES_tradnl"/>
        </w:rPr>
        <w:t xml:space="preserve">. Por otro lado, alegan violaciones a las </w:t>
      </w:r>
      <w:r w:rsidR="00CB307F" w:rsidRPr="004606B1">
        <w:rPr>
          <w:rFonts w:asciiTheme="majorHAnsi" w:hAnsiTheme="majorHAnsi" w:cstheme="majorHAnsi"/>
          <w:bCs/>
          <w:sz w:val="20"/>
          <w:szCs w:val="20"/>
          <w:lang w:val="es-ES_tradnl"/>
        </w:rPr>
        <w:t>garantías y protección judiciales</w:t>
      </w:r>
      <w:r w:rsidR="0074449B" w:rsidRPr="004606B1">
        <w:rPr>
          <w:rFonts w:asciiTheme="majorHAnsi" w:hAnsiTheme="majorHAnsi" w:cstheme="majorHAnsi"/>
          <w:bCs/>
          <w:sz w:val="20"/>
          <w:szCs w:val="20"/>
          <w:lang w:val="es-ES_tradnl"/>
        </w:rPr>
        <w:t xml:space="preserve"> dentro del</w:t>
      </w:r>
      <w:r w:rsidR="004456A0" w:rsidRPr="004606B1">
        <w:rPr>
          <w:rFonts w:asciiTheme="majorHAnsi" w:hAnsiTheme="majorHAnsi" w:cstheme="majorHAnsi"/>
          <w:bCs/>
          <w:sz w:val="20"/>
          <w:szCs w:val="20"/>
          <w:lang w:val="es-ES_tradnl"/>
        </w:rPr>
        <w:t xml:space="preserve"> proceso </w:t>
      </w:r>
      <w:r w:rsidR="000B18C3" w:rsidRPr="004606B1">
        <w:rPr>
          <w:rFonts w:asciiTheme="majorHAnsi" w:hAnsiTheme="majorHAnsi" w:cstheme="majorHAnsi"/>
          <w:bCs/>
          <w:sz w:val="20"/>
          <w:szCs w:val="20"/>
          <w:lang w:val="es-ES_tradnl"/>
        </w:rPr>
        <w:t xml:space="preserve">penal </w:t>
      </w:r>
      <w:r w:rsidR="004456A0" w:rsidRPr="004606B1">
        <w:rPr>
          <w:rFonts w:asciiTheme="majorHAnsi" w:hAnsiTheme="majorHAnsi" w:cstheme="majorHAnsi"/>
          <w:bCs/>
          <w:sz w:val="20"/>
          <w:szCs w:val="20"/>
          <w:lang w:val="es-ES_tradnl"/>
        </w:rPr>
        <w:t xml:space="preserve">del señor Caal Xól, </w:t>
      </w:r>
      <w:r w:rsidR="000B18C3" w:rsidRPr="004606B1">
        <w:rPr>
          <w:rFonts w:asciiTheme="majorHAnsi" w:hAnsiTheme="majorHAnsi" w:cstheme="majorHAnsi"/>
          <w:bCs/>
          <w:sz w:val="20"/>
          <w:szCs w:val="20"/>
          <w:lang w:val="es-ES_tradnl"/>
        </w:rPr>
        <w:t>quien es un</w:t>
      </w:r>
      <w:r w:rsidR="004456A0" w:rsidRPr="004606B1">
        <w:rPr>
          <w:rFonts w:asciiTheme="majorHAnsi" w:hAnsiTheme="majorHAnsi" w:cstheme="majorHAnsi"/>
          <w:bCs/>
          <w:sz w:val="20"/>
          <w:szCs w:val="20"/>
          <w:lang w:val="es-ES_tradnl"/>
        </w:rPr>
        <w:t xml:space="preserve"> defensor de derechos humanos</w:t>
      </w:r>
      <w:r w:rsidR="000B18C3" w:rsidRPr="004606B1">
        <w:rPr>
          <w:rFonts w:asciiTheme="majorHAnsi" w:hAnsiTheme="majorHAnsi" w:cstheme="majorHAnsi"/>
          <w:bCs/>
          <w:sz w:val="20"/>
          <w:szCs w:val="20"/>
          <w:lang w:val="es-ES_tradnl"/>
        </w:rPr>
        <w:t xml:space="preserve"> y líder indígena</w:t>
      </w:r>
      <w:r w:rsidR="004456A0" w:rsidRPr="004606B1">
        <w:rPr>
          <w:rFonts w:asciiTheme="majorHAnsi" w:hAnsiTheme="majorHAnsi" w:cstheme="majorHAnsi"/>
          <w:bCs/>
          <w:sz w:val="20"/>
          <w:szCs w:val="20"/>
          <w:lang w:val="es-ES_tradnl"/>
        </w:rPr>
        <w:t xml:space="preserve">. </w:t>
      </w:r>
    </w:p>
    <w:p w14:paraId="470AF83C" w14:textId="540F0326" w:rsidR="00BE1CD1" w:rsidRPr="004606B1" w:rsidRDefault="00BE1CD1" w:rsidP="004606B1">
      <w:pPr>
        <w:spacing w:before="240" w:after="240"/>
        <w:ind w:firstLine="709"/>
        <w:jc w:val="both"/>
        <w:rPr>
          <w:bCs/>
          <w:sz w:val="20"/>
          <w:szCs w:val="20"/>
          <w:lang w:val="es-ES_tradnl"/>
        </w:rPr>
      </w:pPr>
      <w:r w:rsidRPr="004606B1">
        <w:rPr>
          <w:rFonts w:asciiTheme="majorHAnsi" w:hAnsiTheme="majorHAnsi"/>
          <w:i/>
          <w:iCs/>
          <w:sz w:val="20"/>
          <w:szCs w:val="20"/>
          <w:lang w:val="es-ES_tradnl"/>
        </w:rPr>
        <w:t>Planteamientos generales</w:t>
      </w:r>
    </w:p>
    <w:p w14:paraId="307A0725" w14:textId="34CC788D" w:rsidR="00BE1CD1" w:rsidRPr="004606B1" w:rsidRDefault="00750585" w:rsidP="004606B1">
      <w:pPr>
        <w:pStyle w:val="ListParagraph"/>
        <w:numPr>
          <w:ilvl w:val="0"/>
          <w:numId w:val="56"/>
        </w:numPr>
        <w:spacing w:before="240" w:after="240"/>
        <w:ind w:left="142" w:firstLine="567"/>
        <w:jc w:val="both"/>
        <w:rPr>
          <w:bCs/>
          <w:sz w:val="20"/>
          <w:szCs w:val="20"/>
          <w:lang w:val="es-ES_tradnl"/>
        </w:rPr>
      </w:pPr>
      <w:r w:rsidRPr="004606B1">
        <w:rPr>
          <w:rFonts w:asciiTheme="majorHAnsi" w:hAnsiTheme="majorHAnsi" w:cstheme="majorHAnsi"/>
          <w:sz w:val="20"/>
          <w:szCs w:val="20"/>
          <w:lang w:val="es-ES_tradnl"/>
        </w:rPr>
        <w:t>De</w:t>
      </w:r>
      <w:r w:rsidR="0074449B" w:rsidRPr="004606B1">
        <w:rPr>
          <w:rFonts w:asciiTheme="majorHAnsi" w:hAnsiTheme="majorHAnsi" w:cstheme="majorHAnsi"/>
          <w:sz w:val="20"/>
          <w:szCs w:val="20"/>
          <w:lang w:val="es-ES_tradnl"/>
        </w:rPr>
        <w:t xml:space="preserve"> la narración y anexos proporcionados por ambas partes se desprende que l</w:t>
      </w:r>
      <w:r w:rsidR="00BE1CD1" w:rsidRPr="004606B1">
        <w:rPr>
          <w:rFonts w:asciiTheme="majorHAnsi" w:hAnsiTheme="majorHAnsi" w:cstheme="majorHAnsi"/>
          <w:sz w:val="20"/>
          <w:szCs w:val="20"/>
          <w:lang w:val="es-ES_tradnl"/>
        </w:rPr>
        <w:t xml:space="preserve">a controversia </w:t>
      </w:r>
      <w:r w:rsidR="004456A0" w:rsidRPr="004606B1">
        <w:rPr>
          <w:rFonts w:asciiTheme="majorHAnsi" w:hAnsiTheme="majorHAnsi" w:cstheme="majorHAnsi"/>
          <w:sz w:val="20"/>
          <w:szCs w:val="20"/>
          <w:lang w:val="es-ES_tradnl"/>
        </w:rPr>
        <w:t>denunciada en</w:t>
      </w:r>
      <w:r w:rsidR="00BE1CD1" w:rsidRPr="004606B1">
        <w:rPr>
          <w:rFonts w:asciiTheme="majorHAnsi" w:hAnsiTheme="majorHAnsi" w:cstheme="majorHAnsi"/>
          <w:sz w:val="20"/>
          <w:szCs w:val="20"/>
          <w:lang w:val="es-ES_tradnl"/>
        </w:rPr>
        <w:t xml:space="preserve"> la petición surge a partir del otorgamiento de dos concesiones para utilizar dominio público sobre los ríos Oxec y Cahabón, y la posterior construcción de dos centrales hidroeléctricas denomina</w:t>
      </w:r>
      <w:r w:rsidR="00A0332A" w:rsidRPr="004606B1">
        <w:rPr>
          <w:rFonts w:asciiTheme="majorHAnsi" w:hAnsiTheme="majorHAnsi" w:cstheme="majorHAnsi"/>
          <w:sz w:val="20"/>
          <w:szCs w:val="20"/>
          <w:lang w:val="es-ES_tradnl"/>
        </w:rPr>
        <w:t>da</w:t>
      </w:r>
      <w:r w:rsidR="00BE1CD1" w:rsidRPr="004606B1">
        <w:rPr>
          <w:rFonts w:asciiTheme="majorHAnsi" w:hAnsiTheme="majorHAnsi" w:cstheme="majorHAnsi"/>
          <w:sz w:val="20"/>
          <w:szCs w:val="20"/>
          <w:lang w:val="es-ES_tradnl"/>
        </w:rPr>
        <w:t>s</w:t>
      </w:r>
      <w:r w:rsidR="00BE1CD1" w:rsidRPr="004606B1">
        <w:rPr>
          <w:rFonts w:asciiTheme="majorHAnsi" w:hAnsiTheme="majorHAnsi" w:cstheme="majorHAnsi"/>
          <w:i/>
          <w:iCs/>
          <w:sz w:val="20"/>
          <w:szCs w:val="20"/>
          <w:lang w:val="es-ES_tradnl"/>
        </w:rPr>
        <w:t xml:space="preserve"> </w:t>
      </w:r>
      <w:r w:rsidR="00BE1CD1" w:rsidRPr="004606B1">
        <w:rPr>
          <w:rFonts w:asciiTheme="majorHAnsi" w:hAnsiTheme="majorHAnsi" w:cstheme="majorHAnsi"/>
          <w:sz w:val="20"/>
          <w:szCs w:val="20"/>
          <w:lang w:val="es-ES_tradnl"/>
        </w:rPr>
        <w:t>Oxec y Oxec II. Para dar contexto al respecto</w:t>
      </w:r>
      <w:r w:rsidR="004275AF" w:rsidRPr="004606B1">
        <w:rPr>
          <w:rFonts w:asciiTheme="majorHAnsi" w:hAnsiTheme="majorHAnsi" w:cstheme="majorHAnsi"/>
          <w:sz w:val="20"/>
          <w:szCs w:val="20"/>
          <w:lang w:val="es-ES_tradnl"/>
        </w:rPr>
        <w:t>,</w:t>
      </w:r>
      <w:r w:rsidR="00BE1CD1" w:rsidRPr="004606B1">
        <w:rPr>
          <w:rFonts w:asciiTheme="majorHAnsi" w:hAnsiTheme="majorHAnsi" w:cstheme="majorHAnsi"/>
          <w:sz w:val="20"/>
          <w:szCs w:val="20"/>
          <w:lang w:val="es-ES_tradnl"/>
        </w:rPr>
        <w:t xml:space="preserve"> el Estado informó de </w:t>
      </w:r>
      <w:r w:rsidR="00A0332A" w:rsidRPr="004606B1">
        <w:rPr>
          <w:rFonts w:asciiTheme="majorHAnsi" w:hAnsiTheme="majorHAnsi" w:cstheme="majorHAnsi"/>
          <w:sz w:val="20"/>
          <w:szCs w:val="20"/>
          <w:lang w:val="es-ES_tradnl"/>
        </w:rPr>
        <w:t xml:space="preserve">manera </w:t>
      </w:r>
      <w:r w:rsidR="00BE1CD1" w:rsidRPr="004606B1">
        <w:rPr>
          <w:rFonts w:asciiTheme="majorHAnsi" w:hAnsiTheme="majorHAnsi" w:cstheme="majorHAnsi"/>
          <w:sz w:val="20"/>
          <w:szCs w:val="20"/>
          <w:lang w:val="es-ES_tradnl"/>
        </w:rPr>
        <w:t>amplia</w:t>
      </w:r>
      <w:r w:rsidR="00BE1CD1" w:rsidRPr="004606B1">
        <w:rPr>
          <w:rStyle w:val="FootnoteReference"/>
          <w:rFonts w:asciiTheme="majorHAnsi" w:hAnsiTheme="majorHAnsi" w:cstheme="majorHAnsi"/>
          <w:sz w:val="20"/>
          <w:szCs w:val="20"/>
          <w:lang w:val="es-ES_tradnl"/>
        </w:rPr>
        <w:footnoteReference w:id="9"/>
      </w:r>
      <w:r w:rsidR="00A0332A" w:rsidRPr="004606B1">
        <w:rPr>
          <w:rFonts w:asciiTheme="majorHAnsi" w:hAnsiTheme="majorHAnsi" w:cstheme="majorHAnsi"/>
          <w:sz w:val="20"/>
          <w:szCs w:val="20"/>
          <w:lang w:val="es-ES_tradnl"/>
        </w:rPr>
        <w:t xml:space="preserve"> sobre el procedimiento administrativo de aprobación de los dos proyectos hidroeléctricos.</w:t>
      </w:r>
    </w:p>
    <w:p w14:paraId="4D1B3660" w14:textId="6A2F1869" w:rsidR="00BE1CD1" w:rsidRPr="004606B1" w:rsidRDefault="00BE1CD1" w:rsidP="004606B1">
      <w:pPr>
        <w:pStyle w:val="ListParagraph"/>
        <w:numPr>
          <w:ilvl w:val="0"/>
          <w:numId w:val="56"/>
        </w:numPr>
        <w:spacing w:before="240" w:after="240"/>
        <w:ind w:left="142" w:firstLine="567"/>
        <w:jc w:val="both"/>
        <w:rPr>
          <w:bCs/>
          <w:sz w:val="20"/>
          <w:szCs w:val="20"/>
          <w:lang w:val="es-ES_tradnl"/>
        </w:rPr>
      </w:pPr>
      <w:r w:rsidRPr="004606B1">
        <w:rPr>
          <w:rFonts w:asciiTheme="majorHAnsi" w:hAnsiTheme="majorHAnsi" w:cstheme="majorHAnsi"/>
          <w:sz w:val="20"/>
          <w:szCs w:val="20"/>
          <w:lang w:val="es-ES_tradnl"/>
        </w:rPr>
        <w:t>En 2012, la Sociedad Anónima Oxec presentó una solicitud para utilizar bienes de dominio público para instalar una central generadora hidroeléctrica</w:t>
      </w:r>
      <w:r w:rsidR="009456AC" w:rsidRPr="004606B1">
        <w:rPr>
          <w:rFonts w:asciiTheme="majorHAnsi" w:hAnsiTheme="majorHAnsi" w:cstheme="majorHAnsi"/>
          <w:sz w:val="20"/>
          <w:szCs w:val="20"/>
          <w:lang w:val="es-ES_tradnl"/>
        </w:rPr>
        <w:t xml:space="preserve">, </w:t>
      </w:r>
      <w:r w:rsidR="00CB307F" w:rsidRPr="004606B1">
        <w:rPr>
          <w:rFonts w:asciiTheme="majorHAnsi" w:hAnsiTheme="majorHAnsi" w:cstheme="majorHAnsi"/>
          <w:sz w:val="20"/>
          <w:szCs w:val="20"/>
          <w:lang w:val="es-ES_tradnl"/>
        </w:rPr>
        <w:t>en</w:t>
      </w:r>
      <w:r w:rsidRPr="004606B1">
        <w:rPr>
          <w:rFonts w:asciiTheme="majorHAnsi" w:hAnsiTheme="majorHAnsi" w:cstheme="majorHAnsi"/>
          <w:sz w:val="20"/>
          <w:szCs w:val="20"/>
          <w:lang w:val="es-ES_tradnl"/>
        </w:rPr>
        <w:t xml:space="preserve"> la cuenca del río Oxec, en el municipio de Santa María Cahabón, del departamento de Alta Verapazo. El 7 de agosto de 2013, el Ministerio de Energía y Minas emitió </w:t>
      </w:r>
      <w:r w:rsidR="00A0332A" w:rsidRPr="004606B1">
        <w:rPr>
          <w:rFonts w:asciiTheme="majorHAnsi" w:hAnsiTheme="majorHAnsi" w:cstheme="majorHAnsi"/>
          <w:sz w:val="20"/>
          <w:szCs w:val="20"/>
          <w:lang w:val="es-ES_tradnl"/>
        </w:rPr>
        <w:t xml:space="preserve">la </w:t>
      </w:r>
      <w:r w:rsidRPr="004606B1">
        <w:rPr>
          <w:rFonts w:asciiTheme="majorHAnsi" w:hAnsiTheme="majorHAnsi" w:cstheme="majorHAnsi"/>
          <w:sz w:val="20"/>
          <w:szCs w:val="20"/>
          <w:lang w:val="es-ES_tradnl"/>
        </w:rPr>
        <w:t>resolución 3221</w:t>
      </w:r>
      <w:r w:rsidRPr="004606B1">
        <w:rPr>
          <w:sz w:val="20"/>
          <w:szCs w:val="20"/>
          <w:vertAlign w:val="superscript"/>
          <w:lang w:val="es-ES_tradnl"/>
        </w:rPr>
        <w:footnoteReference w:id="10"/>
      </w:r>
      <w:r w:rsidR="00A0332A" w:rsidRPr="004606B1">
        <w:rPr>
          <w:rFonts w:asciiTheme="majorHAnsi" w:hAnsiTheme="majorHAnsi" w:cstheme="majorHAnsi"/>
          <w:sz w:val="20"/>
          <w:szCs w:val="20"/>
          <w:lang w:val="es-ES_tradnl"/>
        </w:rPr>
        <w:t>, a</w:t>
      </w:r>
      <w:r w:rsidRPr="004606B1">
        <w:rPr>
          <w:rFonts w:asciiTheme="majorHAnsi" w:hAnsiTheme="majorHAnsi" w:cstheme="majorHAnsi"/>
          <w:sz w:val="20"/>
          <w:szCs w:val="20"/>
          <w:lang w:val="es-ES_tradnl"/>
        </w:rPr>
        <w:t xml:space="preserve"> través de l</w:t>
      </w:r>
      <w:r w:rsidR="00A0332A" w:rsidRPr="004606B1">
        <w:rPr>
          <w:rFonts w:asciiTheme="majorHAnsi" w:hAnsiTheme="majorHAnsi" w:cstheme="majorHAnsi"/>
          <w:sz w:val="20"/>
          <w:szCs w:val="20"/>
          <w:lang w:val="es-ES_tradnl"/>
        </w:rPr>
        <w:t>a</w:t>
      </w:r>
      <w:r w:rsidRPr="004606B1">
        <w:rPr>
          <w:rFonts w:asciiTheme="majorHAnsi" w:hAnsiTheme="majorHAnsi" w:cstheme="majorHAnsi"/>
          <w:sz w:val="20"/>
          <w:szCs w:val="20"/>
          <w:lang w:val="es-ES_tradnl"/>
        </w:rPr>
        <w:t xml:space="preserve"> cual </w:t>
      </w:r>
      <w:r w:rsidR="00A0332A" w:rsidRPr="004606B1">
        <w:rPr>
          <w:rFonts w:asciiTheme="majorHAnsi" w:hAnsiTheme="majorHAnsi" w:cstheme="majorHAnsi"/>
          <w:sz w:val="20"/>
          <w:szCs w:val="20"/>
          <w:lang w:val="es-ES_tradnl"/>
        </w:rPr>
        <w:t>otorgó</w:t>
      </w:r>
      <w:r w:rsidRPr="004606B1">
        <w:rPr>
          <w:rFonts w:asciiTheme="majorHAnsi" w:hAnsiTheme="majorHAnsi" w:cstheme="majorHAnsi"/>
          <w:sz w:val="20"/>
          <w:szCs w:val="20"/>
          <w:lang w:val="es-ES_tradnl"/>
        </w:rPr>
        <w:t xml:space="preserve"> la autorización definitiva para la </w:t>
      </w:r>
      <w:r w:rsidR="00CB307F" w:rsidRPr="004606B1">
        <w:rPr>
          <w:rFonts w:asciiTheme="majorHAnsi" w:hAnsiTheme="majorHAnsi" w:cstheme="majorHAnsi"/>
          <w:sz w:val="20"/>
          <w:szCs w:val="20"/>
          <w:lang w:val="es-ES_tradnl"/>
        </w:rPr>
        <w:t>i</w:t>
      </w:r>
      <w:r w:rsidRPr="004606B1">
        <w:rPr>
          <w:rFonts w:asciiTheme="majorHAnsi" w:hAnsiTheme="majorHAnsi" w:cstheme="majorHAnsi"/>
          <w:sz w:val="20"/>
          <w:szCs w:val="20"/>
          <w:lang w:val="es-ES_tradnl"/>
        </w:rPr>
        <w:t xml:space="preserve">nstalación de la </w:t>
      </w:r>
      <w:r w:rsidR="009456AC" w:rsidRPr="004606B1">
        <w:rPr>
          <w:rFonts w:asciiTheme="majorHAnsi" w:hAnsiTheme="majorHAnsi" w:cstheme="majorHAnsi"/>
          <w:sz w:val="20"/>
          <w:szCs w:val="20"/>
          <w:lang w:val="es-ES_tradnl"/>
        </w:rPr>
        <w:t>c</w:t>
      </w:r>
      <w:r w:rsidRPr="004606B1">
        <w:rPr>
          <w:rFonts w:asciiTheme="majorHAnsi" w:hAnsiTheme="majorHAnsi" w:cstheme="majorHAnsi"/>
          <w:sz w:val="20"/>
          <w:szCs w:val="20"/>
          <w:lang w:val="es-ES_tradnl"/>
        </w:rPr>
        <w:t xml:space="preserve">entral </w:t>
      </w:r>
      <w:r w:rsidR="009456AC" w:rsidRPr="004606B1">
        <w:rPr>
          <w:rFonts w:asciiTheme="majorHAnsi" w:hAnsiTheme="majorHAnsi" w:cstheme="majorHAnsi"/>
          <w:sz w:val="20"/>
          <w:szCs w:val="20"/>
          <w:lang w:val="es-ES_tradnl"/>
        </w:rPr>
        <w:t>g</w:t>
      </w:r>
      <w:r w:rsidRPr="004606B1">
        <w:rPr>
          <w:rFonts w:asciiTheme="majorHAnsi" w:hAnsiTheme="majorHAnsi" w:cstheme="majorHAnsi"/>
          <w:sz w:val="20"/>
          <w:szCs w:val="20"/>
          <w:lang w:val="es-ES_tradnl"/>
        </w:rPr>
        <w:t xml:space="preserve">eneradora </w:t>
      </w:r>
      <w:r w:rsidR="009456AC" w:rsidRPr="004606B1">
        <w:rPr>
          <w:rFonts w:asciiTheme="majorHAnsi" w:hAnsiTheme="majorHAnsi" w:cstheme="majorHAnsi"/>
          <w:sz w:val="20"/>
          <w:szCs w:val="20"/>
          <w:lang w:val="es-ES_tradnl"/>
        </w:rPr>
        <w:t>h</w:t>
      </w:r>
      <w:r w:rsidRPr="004606B1">
        <w:rPr>
          <w:rFonts w:asciiTheme="majorHAnsi" w:hAnsiTheme="majorHAnsi" w:cstheme="majorHAnsi"/>
          <w:sz w:val="20"/>
          <w:szCs w:val="20"/>
          <w:lang w:val="es-ES_tradnl"/>
        </w:rPr>
        <w:t xml:space="preserve">idroeléctrica, a favor de la entidad Oxec, facultándola para utilizar el caudal del río Oxec, con desfogue sobre el río Cahabón, por </w:t>
      </w:r>
      <w:r w:rsidR="00A0332A" w:rsidRPr="004606B1">
        <w:rPr>
          <w:rFonts w:asciiTheme="majorHAnsi" w:hAnsiTheme="majorHAnsi" w:cstheme="majorHAnsi"/>
          <w:sz w:val="20"/>
          <w:szCs w:val="20"/>
          <w:lang w:val="es-ES_tradnl"/>
        </w:rPr>
        <w:t>un</w:t>
      </w:r>
      <w:r w:rsidRPr="004606B1">
        <w:rPr>
          <w:rFonts w:asciiTheme="majorHAnsi" w:hAnsiTheme="majorHAnsi" w:cstheme="majorHAnsi"/>
          <w:sz w:val="20"/>
          <w:szCs w:val="20"/>
          <w:lang w:val="es-ES_tradnl"/>
        </w:rPr>
        <w:t xml:space="preserve"> plazo de </w:t>
      </w:r>
      <w:r w:rsidR="009E7742" w:rsidRPr="004606B1">
        <w:rPr>
          <w:rFonts w:asciiTheme="majorHAnsi" w:hAnsiTheme="majorHAnsi" w:cstheme="majorHAnsi"/>
          <w:sz w:val="20"/>
          <w:szCs w:val="20"/>
          <w:lang w:val="es-ES_tradnl"/>
        </w:rPr>
        <w:t>cincuenta</w:t>
      </w:r>
      <w:r w:rsidRPr="004606B1">
        <w:rPr>
          <w:rFonts w:asciiTheme="majorHAnsi" w:hAnsiTheme="majorHAnsi" w:cstheme="majorHAnsi"/>
          <w:sz w:val="20"/>
          <w:szCs w:val="20"/>
          <w:lang w:val="es-ES_tradnl"/>
        </w:rPr>
        <w:t xml:space="preserve"> años.</w:t>
      </w:r>
    </w:p>
    <w:p w14:paraId="47C09B46" w14:textId="74AEE36B" w:rsidR="00BE1CD1" w:rsidRPr="004606B1" w:rsidRDefault="00A0332A" w:rsidP="004606B1">
      <w:pPr>
        <w:pStyle w:val="ListParagraph"/>
        <w:numPr>
          <w:ilvl w:val="0"/>
          <w:numId w:val="56"/>
        </w:numPr>
        <w:spacing w:before="240" w:after="240"/>
        <w:ind w:left="142" w:firstLine="567"/>
        <w:jc w:val="both"/>
        <w:rPr>
          <w:bCs/>
          <w:sz w:val="20"/>
          <w:szCs w:val="20"/>
          <w:lang w:val="es-ES_tradnl"/>
        </w:rPr>
      </w:pPr>
      <w:r w:rsidRPr="004606B1">
        <w:rPr>
          <w:rFonts w:asciiTheme="majorHAnsi" w:hAnsiTheme="majorHAnsi" w:cstheme="majorHAnsi"/>
          <w:sz w:val="20"/>
          <w:szCs w:val="20"/>
          <w:lang w:val="es-ES_tradnl"/>
        </w:rPr>
        <w:t>Posteriormente, l</w:t>
      </w:r>
      <w:r w:rsidR="00BE1CD1" w:rsidRPr="004606B1">
        <w:rPr>
          <w:rFonts w:asciiTheme="majorHAnsi" w:hAnsiTheme="majorHAnsi" w:cstheme="majorHAnsi"/>
          <w:sz w:val="20"/>
          <w:szCs w:val="20"/>
          <w:lang w:val="es-ES_tradnl"/>
        </w:rPr>
        <w:t>a Sociedad Anónima Oxec II presentó el 2 de mayo de 2014 una solicitud para utilizar bienes de dominio público para instalar una central generadora hidroeléctrica</w:t>
      </w:r>
      <w:r w:rsidR="004275AF" w:rsidRPr="004606B1">
        <w:rPr>
          <w:rFonts w:asciiTheme="majorHAnsi" w:hAnsiTheme="majorHAnsi" w:cstheme="majorHAnsi"/>
          <w:sz w:val="20"/>
          <w:szCs w:val="20"/>
          <w:lang w:val="es-ES_tradnl"/>
        </w:rPr>
        <w:t xml:space="preserve"> </w:t>
      </w:r>
      <w:r w:rsidR="00BE1CD1" w:rsidRPr="004606B1">
        <w:rPr>
          <w:rFonts w:asciiTheme="majorHAnsi" w:hAnsiTheme="majorHAnsi" w:cstheme="majorHAnsi"/>
          <w:sz w:val="20"/>
          <w:szCs w:val="20"/>
          <w:lang w:val="es-ES_tradnl"/>
        </w:rPr>
        <w:t xml:space="preserve">en la cuenca del río Cahabón en el municipio de Santa María Cahabón, del departamento de Alta Verapaz. El 12 de febrero de 2015 el Ministerio de Energía y Minas emitió </w:t>
      </w:r>
      <w:r w:rsidR="00B532E7" w:rsidRPr="004606B1">
        <w:rPr>
          <w:rFonts w:asciiTheme="majorHAnsi" w:hAnsiTheme="majorHAnsi" w:cstheme="majorHAnsi"/>
          <w:sz w:val="20"/>
          <w:szCs w:val="20"/>
          <w:lang w:val="es-ES_tradnl"/>
        </w:rPr>
        <w:t xml:space="preserve">la </w:t>
      </w:r>
      <w:r w:rsidR="009456AC" w:rsidRPr="004606B1">
        <w:rPr>
          <w:rFonts w:asciiTheme="majorHAnsi" w:hAnsiTheme="majorHAnsi" w:cstheme="majorHAnsi"/>
          <w:sz w:val="20"/>
          <w:szCs w:val="20"/>
          <w:lang w:val="es-ES_tradnl"/>
        </w:rPr>
        <w:t>r</w:t>
      </w:r>
      <w:r w:rsidR="00BE1CD1" w:rsidRPr="004606B1">
        <w:rPr>
          <w:rFonts w:asciiTheme="majorHAnsi" w:hAnsiTheme="majorHAnsi" w:cstheme="majorHAnsi"/>
          <w:sz w:val="20"/>
          <w:szCs w:val="20"/>
          <w:lang w:val="es-ES_tradnl"/>
        </w:rPr>
        <w:t xml:space="preserve">esolución 000500 y otorgó la autorización definitiva para la instalación de la central hidroeléctrica a favor de la entidad Oxec II, facultándola para utilizar la cuenca del río Cahabón, por </w:t>
      </w:r>
      <w:r w:rsidR="00B532E7" w:rsidRPr="004606B1">
        <w:rPr>
          <w:rFonts w:asciiTheme="majorHAnsi" w:hAnsiTheme="majorHAnsi" w:cstheme="majorHAnsi"/>
          <w:sz w:val="20"/>
          <w:szCs w:val="20"/>
          <w:lang w:val="es-ES_tradnl"/>
        </w:rPr>
        <w:t>un</w:t>
      </w:r>
      <w:r w:rsidR="00BE1CD1" w:rsidRPr="004606B1">
        <w:rPr>
          <w:rFonts w:asciiTheme="majorHAnsi" w:hAnsiTheme="majorHAnsi" w:cstheme="majorHAnsi"/>
          <w:sz w:val="20"/>
          <w:szCs w:val="20"/>
          <w:lang w:val="es-ES_tradnl"/>
        </w:rPr>
        <w:t xml:space="preserve"> plazo de 50 años.</w:t>
      </w:r>
    </w:p>
    <w:p w14:paraId="0F54608D" w14:textId="08623BA8" w:rsidR="00BE1CD1" w:rsidRPr="004606B1" w:rsidRDefault="00BE1CD1" w:rsidP="004606B1">
      <w:pPr>
        <w:pStyle w:val="ListParagraph"/>
        <w:numPr>
          <w:ilvl w:val="0"/>
          <w:numId w:val="56"/>
        </w:numPr>
        <w:spacing w:before="240" w:after="240"/>
        <w:ind w:left="142" w:firstLine="567"/>
        <w:jc w:val="both"/>
        <w:rPr>
          <w:bCs/>
          <w:sz w:val="20"/>
          <w:szCs w:val="20"/>
          <w:lang w:val="es-ES_tradnl"/>
        </w:rPr>
      </w:pPr>
      <w:r w:rsidRPr="004606B1">
        <w:rPr>
          <w:rFonts w:asciiTheme="majorHAnsi" w:hAnsiTheme="majorHAnsi" w:cstheme="majorHAnsi"/>
          <w:sz w:val="20"/>
          <w:szCs w:val="20"/>
          <w:lang w:val="es-ES_tradnl"/>
        </w:rPr>
        <w:t xml:space="preserve">En 2015 las comunidades </w:t>
      </w:r>
      <w:r w:rsidR="00CB307F" w:rsidRPr="004606B1">
        <w:rPr>
          <w:rFonts w:asciiTheme="majorHAnsi" w:hAnsiTheme="majorHAnsi" w:cstheme="majorHAnsi"/>
          <w:sz w:val="20"/>
          <w:szCs w:val="20"/>
          <w:lang w:val="es-ES_tradnl"/>
        </w:rPr>
        <w:t>Q’</w:t>
      </w:r>
      <w:r w:rsidR="00AC5E64" w:rsidRPr="004606B1">
        <w:rPr>
          <w:rFonts w:asciiTheme="majorHAnsi" w:hAnsiTheme="majorHAnsi" w:cstheme="majorHAnsi"/>
          <w:sz w:val="20"/>
          <w:szCs w:val="20"/>
          <w:lang w:val="es-ES_tradnl"/>
        </w:rPr>
        <w:t>eqch</w:t>
      </w:r>
      <w:r w:rsidRPr="004606B1">
        <w:rPr>
          <w:rFonts w:asciiTheme="majorHAnsi" w:hAnsiTheme="majorHAnsi" w:cstheme="majorHAnsi"/>
          <w:sz w:val="20"/>
          <w:szCs w:val="20"/>
          <w:lang w:val="es-ES_tradnl"/>
        </w:rPr>
        <w:t>i’s</w:t>
      </w:r>
      <w:r w:rsidR="00AC5E64" w:rsidRPr="004606B1">
        <w:rPr>
          <w:rFonts w:asciiTheme="majorHAnsi" w:hAnsiTheme="majorHAnsi" w:cstheme="majorHAnsi"/>
          <w:sz w:val="20"/>
          <w:szCs w:val="20"/>
          <w:lang w:val="es-ES_tradnl"/>
        </w:rPr>
        <w:t xml:space="preserve"> </w:t>
      </w:r>
      <w:r w:rsidRPr="004606B1">
        <w:rPr>
          <w:rFonts w:asciiTheme="majorHAnsi" w:hAnsiTheme="majorHAnsi" w:cstheme="majorHAnsi"/>
          <w:sz w:val="20"/>
          <w:szCs w:val="20"/>
          <w:lang w:val="es-ES_tradnl"/>
        </w:rPr>
        <w:t>de Santa María Cahabón</w:t>
      </w:r>
      <w:r w:rsidR="00B532E7" w:rsidRPr="004606B1">
        <w:rPr>
          <w:rFonts w:asciiTheme="majorHAnsi" w:hAnsiTheme="majorHAnsi" w:cstheme="majorHAnsi"/>
          <w:sz w:val="20"/>
          <w:szCs w:val="20"/>
          <w:lang w:val="es-ES_tradnl"/>
        </w:rPr>
        <w:t>,</w:t>
      </w:r>
      <w:r w:rsidRPr="004606B1">
        <w:rPr>
          <w:rFonts w:asciiTheme="majorHAnsi" w:hAnsiTheme="majorHAnsi" w:cstheme="majorHAnsi"/>
          <w:sz w:val="20"/>
          <w:szCs w:val="20"/>
          <w:lang w:val="es-ES_tradnl"/>
        </w:rPr>
        <w:t xml:space="preserve"> notaron la construcción de las hidroeléctricas sobre el río Oxec y Cahabón. Por esto, acudieron a la municipalidad de Santa María Cahabón y a la Procuraduría de Derechos Humanos para solicitar información. Tras conocer sobre la implementación de </w:t>
      </w:r>
      <w:r w:rsidR="004275AF" w:rsidRPr="004606B1">
        <w:rPr>
          <w:rFonts w:asciiTheme="majorHAnsi" w:hAnsiTheme="majorHAnsi" w:cstheme="majorHAnsi"/>
          <w:sz w:val="20"/>
          <w:szCs w:val="20"/>
          <w:lang w:val="es-ES_tradnl"/>
        </w:rPr>
        <w:t xml:space="preserve">los </w:t>
      </w:r>
      <w:r w:rsidRPr="004606B1">
        <w:rPr>
          <w:rFonts w:asciiTheme="majorHAnsi" w:hAnsiTheme="majorHAnsi" w:cstheme="majorHAnsi"/>
          <w:sz w:val="20"/>
          <w:szCs w:val="20"/>
          <w:lang w:val="es-ES_tradnl"/>
        </w:rPr>
        <w:t xml:space="preserve">dos proyectos hidroeléctricos, los peticionarios interpusieron recursos internos con la finalidad de restituir el derecho a la consulta de la comunidad. </w:t>
      </w:r>
    </w:p>
    <w:p w14:paraId="155A17FB" w14:textId="1F3C0684" w:rsidR="00BE1CD1" w:rsidRPr="004606B1" w:rsidRDefault="00F81F20" w:rsidP="004606B1">
      <w:pPr>
        <w:pStyle w:val="ListParagraph"/>
        <w:numPr>
          <w:ilvl w:val="0"/>
          <w:numId w:val="56"/>
        </w:numPr>
        <w:spacing w:before="240" w:after="240"/>
        <w:ind w:left="142" w:firstLine="567"/>
        <w:jc w:val="both"/>
        <w:rPr>
          <w:bCs/>
          <w:sz w:val="20"/>
          <w:szCs w:val="20"/>
          <w:lang w:val="es-ES_tradnl"/>
        </w:rPr>
      </w:pPr>
      <w:r w:rsidRPr="004606B1">
        <w:rPr>
          <w:rFonts w:asciiTheme="majorHAnsi" w:hAnsiTheme="majorHAnsi" w:cstheme="majorHAnsi"/>
          <w:sz w:val="20"/>
          <w:szCs w:val="20"/>
          <w:lang w:val="es-ES_tradnl"/>
        </w:rPr>
        <w:t>Así, e</w:t>
      </w:r>
      <w:r w:rsidR="00BE1CD1" w:rsidRPr="004606B1">
        <w:rPr>
          <w:rFonts w:asciiTheme="majorHAnsi" w:hAnsiTheme="majorHAnsi" w:cstheme="majorHAnsi"/>
          <w:sz w:val="20"/>
          <w:szCs w:val="20"/>
          <w:lang w:val="es-ES_tradnl"/>
        </w:rPr>
        <w:t>l 11 de diciembre de 2015, el señor Caal Xól presentó una acción de amparo ante la Corte Suprema de Justicia contra el Ministerio de Energía y Minas</w:t>
      </w:r>
      <w:r w:rsidR="00AC5E64" w:rsidRPr="004606B1">
        <w:rPr>
          <w:rFonts w:asciiTheme="majorHAnsi" w:hAnsiTheme="majorHAnsi" w:cstheme="majorHAnsi"/>
          <w:sz w:val="20"/>
          <w:szCs w:val="20"/>
          <w:lang w:val="es-ES_tradnl"/>
        </w:rPr>
        <w:t>,</w:t>
      </w:r>
      <w:r w:rsidR="00BE1CD1" w:rsidRPr="004606B1">
        <w:rPr>
          <w:rFonts w:asciiTheme="majorHAnsi" w:hAnsiTheme="majorHAnsi" w:cstheme="majorHAnsi"/>
          <w:sz w:val="20"/>
          <w:szCs w:val="20"/>
          <w:lang w:val="es-ES_tradnl"/>
        </w:rPr>
        <w:t xml:space="preserve"> contra la autorización de las mencionadas licencias de concesión, argumentando que no se había consultado a la</w:t>
      </w:r>
      <w:r w:rsidR="004275AF" w:rsidRPr="004606B1">
        <w:rPr>
          <w:rFonts w:asciiTheme="majorHAnsi" w:hAnsiTheme="majorHAnsi" w:cstheme="majorHAnsi"/>
          <w:sz w:val="20"/>
          <w:szCs w:val="20"/>
          <w:lang w:val="es-ES_tradnl"/>
        </w:rPr>
        <w:t>s</w:t>
      </w:r>
      <w:r w:rsidR="00BE1CD1" w:rsidRPr="004606B1">
        <w:rPr>
          <w:rFonts w:asciiTheme="majorHAnsi" w:hAnsiTheme="majorHAnsi" w:cstheme="majorHAnsi"/>
          <w:sz w:val="20"/>
          <w:szCs w:val="20"/>
          <w:lang w:val="es-ES_tradnl"/>
        </w:rPr>
        <w:t xml:space="preserve"> comunidad</w:t>
      </w:r>
      <w:r w:rsidR="004275AF" w:rsidRPr="004606B1">
        <w:rPr>
          <w:rFonts w:asciiTheme="majorHAnsi" w:hAnsiTheme="majorHAnsi" w:cstheme="majorHAnsi"/>
          <w:sz w:val="20"/>
          <w:szCs w:val="20"/>
          <w:lang w:val="es-ES_tradnl"/>
        </w:rPr>
        <w:t>es</w:t>
      </w:r>
      <w:r w:rsidR="00BE1CD1" w:rsidRPr="004606B1">
        <w:rPr>
          <w:rFonts w:asciiTheme="majorHAnsi" w:hAnsiTheme="majorHAnsi" w:cstheme="majorHAnsi"/>
          <w:sz w:val="20"/>
          <w:szCs w:val="20"/>
          <w:lang w:val="es-ES_tradnl"/>
        </w:rPr>
        <w:t xml:space="preserve"> indígena</w:t>
      </w:r>
      <w:r w:rsidR="004275AF" w:rsidRPr="004606B1">
        <w:rPr>
          <w:rFonts w:asciiTheme="majorHAnsi" w:hAnsiTheme="majorHAnsi" w:cstheme="majorHAnsi"/>
          <w:sz w:val="20"/>
          <w:szCs w:val="20"/>
          <w:lang w:val="es-ES_tradnl"/>
        </w:rPr>
        <w:t>s</w:t>
      </w:r>
      <w:r w:rsidR="00BE1CD1" w:rsidRPr="004606B1">
        <w:rPr>
          <w:rFonts w:asciiTheme="majorHAnsi" w:hAnsiTheme="majorHAnsi" w:cstheme="majorHAnsi"/>
          <w:sz w:val="20"/>
          <w:szCs w:val="20"/>
          <w:lang w:val="es-ES_tradnl"/>
        </w:rPr>
        <w:t xml:space="preserve"> Q’eqchi</w:t>
      </w:r>
      <w:r w:rsidR="004275AF" w:rsidRPr="004606B1">
        <w:rPr>
          <w:rFonts w:asciiTheme="majorHAnsi" w:hAnsiTheme="majorHAnsi" w:cstheme="majorHAnsi"/>
          <w:sz w:val="20"/>
          <w:szCs w:val="20"/>
          <w:lang w:val="es-ES_tradnl"/>
        </w:rPr>
        <w:t>’s</w:t>
      </w:r>
      <w:r w:rsidR="00BE1CD1" w:rsidRPr="004606B1">
        <w:rPr>
          <w:rFonts w:asciiTheme="majorHAnsi" w:hAnsiTheme="majorHAnsi" w:cstheme="majorHAnsi"/>
          <w:sz w:val="20"/>
          <w:szCs w:val="20"/>
          <w:lang w:val="es-ES_tradnl"/>
        </w:rPr>
        <w:t xml:space="preserve">. La sentencia se emitió por la mencionada corte el 4 de enero de 2017, </w:t>
      </w:r>
      <w:r w:rsidRPr="004606B1">
        <w:rPr>
          <w:rFonts w:asciiTheme="majorHAnsi" w:hAnsiTheme="majorHAnsi" w:cstheme="majorHAnsi"/>
          <w:sz w:val="20"/>
          <w:szCs w:val="20"/>
          <w:lang w:val="es-ES_tradnl"/>
        </w:rPr>
        <w:t>que decidió dejar</w:t>
      </w:r>
      <w:r w:rsidR="00BE1CD1" w:rsidRPr="004606B1">
        <w:rPr>
          <w:rFonts w:asciiTheme="majorHAnsi" w:hAnsiTheme="majorHAnsi" w:cstheme="majorHAnsi"/>
          <w:sz w:val="20"/>
          <w:szCs w:val="20"/>
          <w:lang w:val="es-ES_tradnl"/>
        </w:rPr>
        <w:t xml:space="preserve"> en suspenso el otorgamiento de ambas licencias </w:t>
      </w:r>
      <w:r w:rsidR="009456AC" w:rsidRPr="004606B1">
        <w:rPr>
          <w:rFonts w:asciiTheme="majorHAnsi" w:hAnsiTheme="majorHAnsi" w:cstheme="majorHAnsi"/>
          <w:sz w:val="20"/>
          <w:szCs w:val="20"/>
          <w:lang w:val="es-ES_tradnl"/>
        </w:rPr>
        <w:t>y ordenó</w:t>
      </w:r>
      <w:r w:rsidR="00BE1CD1" w:rsidRPr="004606B1">
        <w:rPr>
          <w:rFonts w:asciiTheme="majorHAnsi" w:hAnsiTheme="majorHAnsi" w:cstheme="majorHAnsi"/>
          <w:sz w:val="20"/>
          <w:szCs w:val="20"/>
          <w:lang w:val="es-ES_tradnl"/>
        </w:rPr>
        <w:t xml:space="preserve"> al Ministerio de Energía y Minas a respetar los derechos y garantías de la parte peticionaria.</w:t>
      </w:r>
    </w:p>
    <w:p w14:paraId="262D2080" w14:textId="55CD587E" w:rsidR="00BE1CD1" w:rsidRPr="004606B1" w:rsidRDefault="00BE1CD1" w:rsidP="004606B1">
      <w:pPr>
        <w:pStyle w:val="ListParagraph"/>
        <w:numPr>
          <w:ilvl w:val="0"/>
          <w:numId w:val="56"/>
        </w:numPr>
        <w:spacing w:before="240" w:after="240"/>
        <w:ind w:left="142" w:firstLine="567"/>
        <w:jc w:val="both"/>
        <w:rPr>
          <w:bCs/>
          <w:sz w:val="20"/>
          <w:szCs w:val="20"/>
          <w:lang w:val="es-ES_tradnl"/>
        </w:rPr>
      </w:pPr>
      <w:r w:rsidRPr="004606B1">
        <w:rPr>
          <w:rFonts w:asciiTheme="majorHAnsi" w:hAnsiTheme="majorHAnsi" w:cstheme="majorHAnsi"/>
          <w:sz w:val="20"/>
          <w:szCs w:val="20"/>
          <w:lang w:val="es-ES_tradnl"/>
        </w:rPr>
        <w:t xml:space="preserve">No obstante, dicho Ministerio y las entidades Oxec y Oxec II </w:t>
      </w:r>
      <w:r w:rsidR="00317DC2" w:rsidRPr="004606B1">
        <w:rPr>
          <w:rFonts w:asciiTheme="majorHAnsi" w:hAnsiTheme="majorHAnsi" w:cstheme="majorHAnsi"/>
          <w:sz w:val="20"/>
          <w:szCs w:val="20"/>
          <w:lang w:val="es-ES_tradnl"/>
        </w:rPr>
        <w:t>apelaron</w:t>
      </w:r>
      <w:r w:rsidRPr="004606B1">
        <w:rPr>
          <w:rFonts w:asciiTheme="majorHAnsi" w:hAnsiTheme="majorHAnsi" w:cstheme="majorHAnsi"/>
          <w:sz w:val="20"/>
          <w:szCs w:val="20"/>
          <w:lang w:val="es-ES_tradnl"/>
        </w:rPr>
        <w:t xml:space="preserve"> ante la Corte de Constitucionalidad el 4 de enero de 2017</w:t>
      </w:r>
      <w:r w:rsidR="00B532E7" w:rsidRPr="004606B1">
        <w:rPr>
          <w:rFonts w:asciiTheme="majorHAnsi" w:hAnsiTheme="majorHAnsi" w:cstheme="majorHAnsi"/>
          <w:sz w:val="20"/>
          <w:szCs w:val="20"/>
          <w:lang w:val="es-ES_tradnl"/>
        </w:rPr>
        <w:t>.</w:t>
      </w:r>
      <w:r w:rsidR="00AC5E64" w:rsidRPr="004606B1">
        <w:rPr>
          <w:rFonts w:asciiTheme="majorHAnsi" w:hAnsiTheme="majorHAnsi" w:cstheme="majorHAnsi"/>
          <w:sz w:val="20"/>
          <w:szCs w:val="20"/>
          <w:lang w:val="es-ES_tradnl"/>
        </w:rPr>
        <w:t xml:space="preserve"> </w:t>
      </w:r>
      <w:r w:rsidR="001564A6" w:rsidRPr="004606B1">
        <w:rPr>
          <w:rFonts w:asciiTheme="majorHAnsi" w:hAnsiTheme="majorHAnsi" w:cstheme="majorHAnsi"/>
          <w:sz w:val="20"/>
          <w:szCs w:val="20"/>
          <w:lang w:val="es-ES_tradnl"/>
        </w:rPr>
        <w:t xml:space="preserve">Así, esta </w:t>
      </w:r>
      <w:r w:rsidRPr="004606B1">
        <w:rPr>
          <w:rFonts w:asciiTheme="majorHAnsi" w:hAnsiTheme="majorHAnsi" w:cstheme="majorHAnsi"/>
          <w:sz w:val="20"/>
          <w:szCs w:val="20"/>
          <w:lang w:val="es-ES_tradnl"/>
        </w:rPr>
        <w:t>corte decidió el 26 de mayo de 2017</w:t>
      </w:r>
      <w:r w:rsidR="00AC5E64" w:rsidRPr="004606B1">
        <w:rPr>
          <w:rFonts w:asciiTheme="majorHAnsi" w:hAnsiTheme="majorHAnsi" w:cstheme="majorHAnsi"/>
          <w:sz w:val="20"/>
          <w:szCs w:val="20"/>
          <w:lang w:val="es-ES_tradnl"/>
        </w:rPr>
        <w:t xml:space="preserve"> </w:t>
      </w:r>
      <w:r w:rsidRPr="004606B1">
        <w:rPr>
          <w:rFonts w:asciiTheme="majorHAnsi" w:hAnsiTheme="majorHAnsi" w:cstheme="majorHAnsi"/>
          <w:sz w:val="20"/>
          <w:szCs w:val="20"/>
          <w:lang w:val="es-ES_tradnl"/>
        </w:rPr>
        <w:t xml:space="preserve">negar la apelación y </w:t>
      </w:r>
      <w:r w:rsidRPr="004606B1">
        <w:rPr>
          <w:rFonts w:asciiTheme="majorHAnsi" w:hAnsiTheme="majorHAnsi" w:cstheme="majorHAnsi"/>
          <w:sz w:val="20"/>
          <w:szCs w:val="20"/>
          <w:lang w:val="es-ES_tradnl"/>
        </w:rPr>
        <w:lastRenderedPageBreak/>
        <w:t>confirmar la sentencia de primer grado</w:t>
      </w:r>
      <w:r w:rsidR="00B532E7" w:rsidRPr="004606B1">
        <w:rPr>
          <w:rFonts w:asciiTheme="majorHAnsi" w:hAnsiTheme="majorHAnsi" w:cstheme="majorHAnsi"/>
          <w:sz w:val="20"/>
          <w:szCs w:val="20"/>
          <w:lang w:val="es-ES_tradnl"/>
        </w:rPr>
        <w:t>;</w:t>
      </w:r>
      <w:r w:rsidRPr="004606B1">
        <w:rPr>
          <w:rFonts w:asciiTheme="majorHAnsi" w:hAnsiTheme="majorHAnsi" w:cstheme="majorHAnsi"/>
          <w:sz w:val="20"/>
          <w:szCs w:val="20"/>
          <w:lang w:val="es-ES_tradnl"/>
        </w:rPr>
        <w:t xml:space="preserve"> </w:t>
      </w:r>
      <w:r w:rsidR="001564A6" w:rsidRPr="004606B1">
        <w:rPr>
          <w:rFonts w:asciiTheme="majorHAnsi" w:hAnsiTheme="majorHAnsi" w:cstheme="majorHAnsi"/>
          <w:sz w:val="20"/>
          <w:szCs w:val="20"/>
          <w:lang w:val="es-ES_tradnl"/>
        </w:rPr>
        <w:t>dispuso</w:t>
      </w:r>
      <w:r w:rsidRPr="004606B1">
        <w:rPr>
          <w:rFonts w:asciiTheme="majorHAnsi" w:hAnsiTheme="majorHAnsi" w:cstheme="majorHAnsi"/>
          <w:sz w:val="20"/>
          <w:szCs w:val="20"/>
          <w:lang w:val="es-ES_tradnl"/>
        </w:rPr>
        <w:t xml:space="preserve"> que el Ministerio de Energía y Minas realizara la consulta establecida en el Convenio 169 de la Organización Internacional del Trabajo sobre Pueblos Indígenas y Tribales en Países Independientes, dentro de un periodo de doce meses, en el que las hidroeléctricas </w:t>
      </w:r>
      <w:r w:rsidR="00B532E7" w:rsidRPr="004606B1">
        <w:rPr>
          <w:rFonts w:asciiTheme="majorHAnsi" w:hAnsiTheme="majorHAnsi" w:cstheme="majorHAnsi"/>
          <w:sz w:val="20"/>
          <w:szCs w:val="20"/>
          <w:lang w:val="es-ES_tradnl"/>
        </w:rPr>
        <w:t xml:space="preserve">podían </w:t>
      </w:r>
      <w:r w:rsidRPr="004606B1">
        <w:rPr>
          <w:rFonts w:asciiTheme="majorHAnsi" w:hAnsiTheme="majorHAnsi" w:cstheme="majorHAnsi"/>
          <w:sz w:val="20"/>
          <w:szCs w:val="20"/>
          <w:lang w:val="es-ES_tradnl"/>
        </w:rPr>
        <w:t>continuar sus labores mientras present</w:t>
      </w:r>
      <w:r w:rsidR="00B532E7" w:rsidRPr="004606B1">
        <w:rPr>
          <w:rFonts w:asciiTheme="majorHAnsi" w:hAnsiTheme="majorHAnsi" w:cstheme="majorHAnsi"/>
          <w:sz w:val="20"/>
          <w:szCs w:val="20"/>
          <w:lang w:val="es-ES_tradnl"/>
        </w:rPr>
        <w:t>aran</w:t>
      </w:r>
      <w:r w:rsidRPr="004606B1">
        <w:rPr>
          <w:rFonts w:asciiTheme="majorHAnsi" w:hAnsiTheme="majorHAnsi" w:cstheme="majorHAnsi"/>
          <w:sz w:val="20"/>
          <w:szCs w:val="20"/>
          <w:lang w:val="es-ES_tradnl"/>
        </w:rPr>
        <w:t xml:space="preserve"> informes trimestrales que expli</w:t>
      </w:r>
      <w:r w:rsidR="00B532E7" w:rsidRPr="004606B1">
        <w:rPr>
          <w:rFonts w:asciiTheme="majorHAnsi" w:hAnsiTheme="majorHAnsi" w:cstheme="majorHAnsi"/>
          <w:sz w:val="20"/>
          <w:szCs w:val="20"/>
          <w:lang w:val="es-ES_tradnl"/>
        </w:rPr>
        <w:t>caran</w:t>
      </w:r>
      <w:r w:rsidRPr="004606B1">
        <w:rPr>
          <w:rFonts w:asciiTheme="majorHAnsi" w:hAnsiTheme="majorHAnsi" w:cstheme="majorHAnsi"/>
          <w:sz w:val="20"/>
          <w:szCs w:val="20"/>
          <w:lang w:val="es-ES_tradnl"/>
        </w:rPr>
        <w:t xml:space="preserve"> el avance de la consulta. </w:t>
      </w:r>
    </w:p>
    <w:p w14:paraId="714294E8" w14:textId="5D311543" w:rsidR="00BE1CD1" w:rsidRPr="004606B1" w:rsidRDefault="00BE1CD1" w:rsidP="004606B1">
      <w:pPr>
        <w:pStyle w:val="ListParagraph"/>
        <w:numPr>
          <w:ilvl w:val="0"/>
          <w:numId w:val="56"/>
        </w:numPr>
        <w:spacing w:before="240" w:after="240"/>
        <w:ind w:left="142" w:firstLine="567"/>
        <w:jc w:val="both"/>
        <w:rPr>
          <w:bCs/>
          <w:sz w:val="20"/>
          <w:szCs w:val="20"/>
          <w:lang w:val="es-ES_tradnl"/>
        </w:rPr>
      </w:pPr>
      <w:r w:rsidRPr="004606B1">
        <w:rPr>
          <w:rFonts w:asciiTheme="majorHAnsi" w:hAnsiTheme="majorHAnsi" w:cstheme="majorHAnsi"/>
          <w:sz w:val="20"/>
          <w:szCs w:val="20"/>
          <w:lang w:val="es-ES_tradnl"/>
        </w:rPr>
        <w:t>Como último recurso interno, la parte peticionaria interpuso el 30 de mayo de 2017 un recurso de aclaración y ampliación</w:t>
      </w:r>
      <w:r w:rsidR="00B532E7" w:rsidRPr="004606B1">
        <w:rPr>
          <w:rFonts w:asciiTheme="majorHAnsi" w:hAnsiTheme="majorHAnsi" w:cstheme="majorHAnsi"/>
          <w:sz w:val="20"/>
          <w:szCs w:val="20"/>
          <w:lang w:val="es-ES_tradnl"/>
        </w:rPr>
        <w:t>,</w:t>
      </w:r>
      <w:r w:rsidRPr="004606B1">
        <w:rPr>
          <w:rFonts w:asciiTheme="majorHAnsi" w:hAnsiTheme="majorHAnsi" w:cstheme="majorHAnsi"/>
          <w:sz w:val="20"/>
          <w:szCs w:val="20"/>
          <w:lang w:val="es-ES_tradnl"/>
        </w:rPr>
        <w:t xml:space="preserve"> del que conoció la misma Corte </w:t>
      </w:r>
      <w:r w:rsidR="00AC5E64" w:rsidRPr="004606B1">
        <w:rPr>
          <w:rFonts w:asciiTheme="majorHAnsi" w:hAnsiTheme="majorHAnsi" w:cstheme="majorHAnsi"/>
          <w:sz w:val="20"/>
          <w:szCs w:val="20"/>
          <w:lang w:val="es-ES_tradnl"/>
        </w:rPr>
        <w:t xml:space="preserve">de </w:t>
      </w:r>
      <w:r w:rsidRPr="004606B1">
        <w:rPr>
          <w:rFonts w:asciiTheme="majorHAnsi" w:hAnsiTheme="majorHAnsi" w:cstheme="majorHAnsi"/>
          <w:sz w:val="20"/>
          <w:szCs w:val="20"/>
          <w:lang w:val="es-ES_tradnl"/>
        </w:rPr>
        <w:t>Constitucional</w:t>
      </w:r>
      <w:r w:rsidR="00AC5E64" w:rsidRPr="004606B1">
        <w:rPr>
          <w:rFonts w:asciiTheme="majorHAnsi" w:hAnsiTheme="majorHAnsi" w:cstheme="majorHAnsi"/>
          <w:sz w:val="20"/>
          <w:szCs w:val="20"/>
          <w:lang w:val="es-ES_tradnl"/>
        </w:rPr>
        <w:t>idad</w:t>
      </w:r>
      <w:r w:rsidR="008333E0" w:rsidRPr="004606B1">
        <w:rPr>
          <w:rFonts w:asciiTheme="majorHAnsi" w:hAnsiTheme="majorHAnsi" w:cstheme="majorHAnsi"/>
          <w:sz w:val="20"/>
          <w:szCs w:val="20"/>
          <w:lang w:val="es-ES_tradnl"/>
        </w:rPr>
        <w:t>,</w:t>
      </w:r>
      <w:r w:rsidRPr="004606B1">
        <w:rPr>
          <w:rFonts w:asciiTheme="majorHAnsi" w:hAnsiTheme="majorHAnsi" w:cstheme="majorHAnsi"/>
          <w:sz w:val="20"/>
          <w:szCs w:val="20"/>
          <w:lang w:val="es-ES_tradnl"/>
        </w:rPr>
        <w:t xml:space="preserve"> y que resolvió negar el 6 de junio de 2017, </w:t>
      </w:r>
      <w:r w:rsidR="009456AC" w:rsidRPr="004606B1">
        <w:rPr>
          <w:rFonts w:asciiTheme="majorHAnsi" w:hAnsiTheme="majorHAnsi" w:cstheme="majorHAnsi"/>
          <w:sz w:val="20"/>
          <w:szCs w:val="20"/>
          <w:lang w:val="es-ES_tradnl"/>
        </w:rPr>
        <w:t>porque consideró</w:t>
      </w:r>
      <w:r w:rsidRPr="004606B1">
        <w:rPr>
          <w:rFonts w:asciiTheme="majorHAnsi" w:hAnsiTheme="majorHAnsi" w:cstheme="majorHAnsi"/>
          <w:sz w:val="20"/>
          <w:szCs w:val="20"/>
          <w:lang w:val="es-ES_tradnl"/>
        </w:rPr>
        <w:t xml:space="preserve"> que la sentencia del 26 de mayo de 2017 era coherente, comprensible y el pronunciamiento no era ambiguo. </w:t>
      </w:r>
    </w:p>
    <w:p w14:paraId="5A0B0F73" w14:textId="17BB49DB" w:rsidR="00BE1CD1" w:rsidRPr="004606B1" w:rsidRDefault="00AC5E64" w:rsidP="004606B1">
      <w:pPr>
        <w:pStyle w:val="ListParagraph"/>
        <w:numPr>
          <w:ilvl w:val="0"/>
          <w:numId w:val="56"/>
        </w:numPr>
        <w:spacing w:before="240" w:after="240"/>
        <w:ind w:left="142" w:firstLine="567"/>
        <w:jc w:val="both"/>
        <w:rPr>
          <w:bCs/>
          <w:sz w:val="20"/>
          <w:szCs w:val="20"/>
          <w:lang w:val="es-ES_tradnl"/>
        </w:rPr>
      </w:pPr>
      <w:r w:rsidRPr="004606B1">
        <w:rPr>
          <w:rFonts w:asciiTheme="majorHAnsi" w:hAnsiTheme="majorHAnsi" w:cstheme="majorHAnsi"/>
          <w:sz w:val="20"/>
          <w:szCs w:val="20"/>
          <w:lang w:val="es-ES_tradnl"/>
        </w:rPr>
        <w:t>El proceso de consulta</w:t>
      </w:r>
      <w:r w:rsidRPr="004606B1">
        <w:rPr>
          <w:rStyle w:val="FootnoteReference"/>
          <w:rFonts w:asciiTheme="majorHAnsi" w:hAnsiTheme="majorHAnsi" w:cstheme="majorHAnsi"/>
          <w:sz w:val="20"/>
          <w:szCs w:val="20"/>
          <w:lang w:val="es-ES_tradnl"/>
        </w:rPr>
        <w:footnoteReference w:id="11"/>
      </w:r>
      <w:r w:rsidRPr="004606B1">
        <w:rPr>
          <w:rFonts w:asciiTheme="majorHAnsi" w:hAnsiTheme="majorHAnsi" w:cstheme="majorHAnsi"/>
          <w:sz w:val="20"/>
          <w:szCs w:val="20"/>
          <w:lang w:val="es-ES_tradnl"/>
        </w:rPr>
        <w:t xml:space="preserve"> ordenado por la Corte de Constitucionalidad se llevó a cabo a</w:t>
      </w:r>
      <w:r w:rsidR="00BE1CD1" w:rsidRPr="004606B1">
        <w:rPr>
          <w:rFonts w:asciiTheme="majorHAnsi" w:hAnsiTheme="majorHAnsi" w:cstheme="majorHAnsi"/>
          <w:sz w:val="20"/>
          <w:szCs w:val="20"/>
          <w:lang w:val="es-ES_tradnl"/>
        </w:rPr>
        <w:t xml:space="preserve"> los pueblos indígenas que habitan la zona contenida en las cuencas</w:t>
      </w:r>
      <w:r w:rsidR="00BE1CD1" w:rsidRPr="004606B1">
        <w:rPr>
          <w:rStyle w:val="FootnoteReference"/>
          <w:rFonts w:asciiTheme="majorHAnsi" w:hAnsiTheme="majorHAnsi" w:cstheme="majorHAnsi"/>
          <w:sz w:val="20"/>
          <w:szCs w:val="20"/>
          <w:lang w:val="es-ES_tradnl"/>
        </w:rPr>
        <w:footnoteReference w:id="12"/>
      </w:r>
      <w:r w:rsidR="00BE1CD1" w:rsidRPr="004606B1">
        <w:rPr>
          <w:rFonts w:asciiTheme="majorHAnsi" w:hAnsiTheme="majorHAnsi" w:cstheme="majorHAnsi"/>
          <w:sz w:val="20"/>
          <w:szCs w:val="20"/>
          <w:lang w:val="es-ES_tradnl"/>
        </w:rPr>
        <w:t>. Principalmente, el Estado resalta que trabajaron con un equipo técnico académico y multidisciplinario en distintas ramas para la integración de la mesa de preconsulta</w:t>
      </w:r>
      <w:r w:rsidR="00BE1CD1" w:rsidRPr="004606B1">
        <w:rPr>
          <w:rStyle w:val="FootnoteReference"/>
          <w:rFonts w:asciiTheme="majorHAnsi" w:hAnsiTheme="majorHAnsi" w:cstheme="majorHAnsi"/>
          <w:sz w:val="20"/>
          <w:szCs w:val="20"/>
          <w:lang w:val="es-ES_tradnl"/>
        </w:rPr>
        <w:footnoteReference w:id="13"/>
      </w:r>
      <w:r w:rsidR="00BE1CD1" w:rsidRPr="004606B1">
        <w:rPr>
          <w:rFonts w:asciiTheme="majorHAnsi" w:hAnsiTheme="majorHAnsi" w:cstheme="majorHAnsi"/>
          <w:sz w:val="20"/>
          <w:szCs w:val="20"/>
          <w:lang w:val="es-ES_tradnl"/>
        </w:rPr>
        <w:t>, que estuvieron en contacto con diferentes autoridades y que convocaron la mesa a través de medios de comunicación con cobertura en el municipio de Santa María Cahabón, en idioma castellano y q’eqchi’.</w:t>
      </w:r>
    </w:p>
    <w:p w14:paraId="17006E2A" w14:textId="0DA7363B" w:rsidR="00BE1CD1" w:rsidRPr="004606B1" w:rsidRDefault="00BE1CD1" w:rsidP="004606B1">
      <w:pPr>
        <w:pStyle w:val="ListParagraph"/>
        <w:numPr>
          <w:ilvl w:val="0"/>
          <w:numId w:val="56"/>
        </w:numPr>
        <w:spacing w:before="240" w:after="240"/>
        <w:ind w:left="142" w:firstLine="567"/>
        <w:jc w:val="both"/>
        <w:rPr>
          <w:bCs/>
          <w:sz w:val="20"/>
          <w:szCs w:val="20"/>
          <w:lang w:val="es-ES_tradnl"/>
        </w:rPr>
      </w:pPr>
      <w:r w:rsidRPr="004606B1">
        <w:rPr>
          <w:rFonts w:asciiTheme="majorHAnsi" w:hAnsiTheme="majorHAnsi" w:cstheme="majorHAnsi"/>
          <w:sz w:val="20"/>
          <w:szCs w:val="20"/>
          <w:lang w:val="es-ES_tradnl"/>
        </w:rPr>
        <w:t>Una vez que se decidió sobre la conformación de la mesa, ésta dictó las fases para el proceso de consulta, a saber: 1) generación de confianza</w:t>
      </w:r>
      <w:r w:rsidR="00EF7E48" w:rsidRPr="004606B1">
        <w:rPr>
          <w:rFonts w:asciiTheme="majorHAnsi" w:hAnsiTheme="majorHAnsi" w:cstheme="majorHAnsi"/>
          <w:sz w:val="20"/>
          <w:szCs w:val="20"/>
          <w:lang w:val="es-ES_tradnl"/>
        </w:rPr>
        <w:t>,</w:t>
      </w:r>
      <w:r w:rsidRPr="004606B1">
        <w:rPr>
          <w:rFonts w:asciiTheme="majorHAnsi" w:hAnsiTheme="majorHAnsi" w:cstheme="majorHAnsi"/>
          <w:sz w:val="20"/>
          <w:szCs w:val="20"/>
          <w:lang w:val="es-ES_tradnl"/>
        </w:rPr>
        <w:t xml:space="preserve"> 2) traslado de información, 3) evaluación de información, 4) diálogo intercultural</w:t>
      </w:r>
      <w:r w:rsidR="00EF7E48" w:rsidRPr="004606B1">
        <w:rPr>
          <w:rFonts w:asciiTheme="majorHAnsi" w:hAnsiTheme="majorHAnsi" w:cstheme="majorHAnsi"/>
          <w:sz w:val="20"/>
          <w:szCs w:val="20"/>
          <w:lang w:val="es-ES_tradnl"/>
        </w:rPr>
        <w:t>,</w:t>
      </w:r>
      <w:r w:rsidRPr="004606B1">
        <w:rPr>
          <w:rFonts w:asciiTheme="majorHAnsi" w:hAnsiTheme="majorHAnsi" w:cstheme="majorHAnsi"/>
          <w:sz w:val="20"/>
          <w:szCs w:val="20"/>
          <w:lang w:val="es-ES_tradnl"/>
        </w:rPr>
        <w:t xml:space="preserve"> y 5) acuerdos, monitoreo y seguimiento. </w:t>
      </w:r>
    </w:p>
    <w:p w14:paraId="25B8A611" w14:textId="446D1D5E" w:rsidR="00BE1CD1" w:rsidRPr="004606B1" w:rsidRDefault="00BE1CD1" w:rsidP="004606B1">
      <w:pPr>
        <w:pStyle w:val="ListParagraph"/>
        <w:numPr>
          <w:ilvl w:val="0"/>
          <w:numId w:val="56"/>
        </w:numPr>
        <w:spacing w:before="240" w:after="240"/>
        <w:ind w:left="142" w:firstLine="567"/>
        <w:jc w:val="both"/>
        <w:rPr>
          <w:bCs/>
          <w:sz w:val="20"/>
          <w:szCs w:val="20"/>
          <w:lang w:val="es-ES_tradnl"/>
        </w:rPr>
      </w:pPr>
      <w:r w:rsidRPr="004606B1">
        <w:rPr>
          <w:rFonts w:asciiTheme="majorHAnsi" w:hAnsiTheme="majorHAnsi" w:cstheme="majorHAnsi"/>
          <w:sz w:val="20"/>
          <w:szCs w:val="20"/>
          <w:lang w:val="es-ES_tradnl"/>
        </w:rPr>
        <w:t xml:space="preserve">En la primera fase, que inició el 10 de octubre de 2017, participaron representantes de los Consejos Comunitarios de Desarrollo, Alcaldes Auxiliares, Mayordomos, Comités de Educación, Ancianos, Catequistas, Comités de Mujeres, Comisiones de Salud, Parteros, y Representantes Titulares de las Comunidades Maya Q'eqchies radicados en la zona de influencia de los proyectos hidroeléctricos Oxec y Oxec II. También en la primera fase, se creó una Comisión de Interlocución para elegir a representantes que participaran en la implementación de las acciones programadas para la realización de la </w:t>
      </w:r>
      <w:r w:rsidR="00A85053">
        <w:rPr>
          <w:rFonts w:asciiTheme="majorHAnsi" w:hAnsiTheme="majorHAnsi" w:cstheme="majorHAnsi"/>
          <w:sz w:val="20"/>
          <w:szCs w:val="20"/>
          <w:lang w:val="es-ES_tradnl"/>
        </w:rPr>
        <w:t>c</w:t>
      </w:r>
      <w:r w:rsidRPr="004606B1">
        <w:rPr>
          <w:rFonts w:asciiTheme="majorHAnsi" w:hAnsiTheme="majorHAnsi" w:cstheme="majorHAnsi"/>
          <w:sz w:val="20"/>
          <w:szCs w:val="20"/>
          <w:lang w:val="es-ES_tradnl"/>
        </w:rPr>
        <w:t>onsulta de las comunidades Q’eqchi’</w:t>
      </w:r>
      <w:r w:rsidR="009456AC" w:rsidRPr="004606B1">
        <w:rPr>
          <w:rFonts w:asciiTheme="majorHAnsi" w:hAnsiTheme="majorHAnsi" w:cstheme="majorHAnsi"/>
          <w:sz w:val="20"/>
          <w:szCs w:val="20"/>
          <w:lang w:val="es-ES_tradnl"/>
        </w:rPr>
        <w:t>s</w:t>
      </w:r>
      <w:r w:rsidRPr="004606B1">
        <w:rPr>
          <w:rFonts w:asciiTheme="majorHAnsi" w:hAnsiTheme="majorHAnsi" w:cstheme="majorHAnsi"/>
          <w:sz w:val="20"/>
          <w:szCs w:val="20"/>
          <w:lang w:val="es-ES_tradnl"/>
        </w:rPr>
        <w:t>.</w:t>
      </w:r>
    </w:p>
    <w:p w14:paraId="13E5C223" w14:textId="70CB785C" w:rsidR="00BE1CD1" w:rsidRPr="004606B1" w:rsidRDefault="00BE1CD1" w:rsidP="004606B1">
      <w:pPr>
        <w:pStyle w:val="ListParagraph"/>
        <w:numPr>
          <w:ilvl w:val="0"/>
          <w:numId w:val="56"/>
        </w:numPr>
        <w:spacing w:before="240" w:after="240"/>
        <w:ind w:left="142" w:firstLine="567"/>
        <w:jc w:val="both"/>
        <w:rPr>
          <w:bCs/>
          <w:sz w:val="20"/>
          <w:szCs w:val="20"/>
          <w:lang w:val="es-ES_tradnl"/>
        </w:rPr>
      </w:pPr>
      <w:r w:rsidRPr="004606B1">
        <w:rPr>
          <w:rFonts w:asciiTheme="majorHAnsi" w:hAnsiTheme="majorHAnsi" w:cstheme="majorHAnsi"/>
          <w:sz w:val="20"/>
          <w:szCs w:val="20"/>
          <w:lang w:val="es-ES_tradnl"/>
        </w:rPr>
        <w:t>Dentro de la tercera fase, se brindó un periodo de tiempo para que las comunidades realizaran asambleas internas con el objetivo de revisar, analizar, y discutir la información, e identificar las posibles afectaciones a su forma de vida y costumbres. Dichas reuniones dieron como resultado actas que se traslada</w:t>
      </w:r>
      <w:r w:rsidR="00271F4E" w:rsidRPr="004606B1">
        <w:rPr>
          <w:rFonts w:asciiTheme="majorHAnsi" w:hAnsiTheme="majorHAnsi" w:cstheme="majorHAnsi"/>
          <w:sz w:val="20"/>
          <w:szCs w:val="20"/>
          <w:lang w:val="es-ES_tradnl"/>
        </w:rPr>
        <w:t>ron</w:t>
      </w:r>
      <w:r w:rsidRPr="004606B1">
        <w:rPr>
          <w:rFonts w:asciiTheme="majorHAnsi" w:hAnsiTheme="majorHAnsi" w:cstheme="majorHAnsi"/>
          <w:sz w:val="20"/>
          <w:szCs w:val="20"/>
          <w:lang w:val="es-ES_tradnl"/>
        </w:rPr>
        <w:t xml:space="preserve"> a los representantes del Ministerio de Energía y Minería, con el fin de identificar temas y puntos clave, así como para buscar acuerdos entre el Estado, las comunidades y las entidades Oxec y Oxec II.</w:t>
      </w:r>
    </w:p>
    <w:p w14:paraId="1EF8D846" w14:textId="358A4C3C" w:rsidR="00BE1CD1" w:rsidRPr="004606B1" w:rsidRDefault="00BE1CD1" w:rsidP="004606B1">
      <w:pPr>
        <w:pStyle w:val="ListParagraph"/>
        <w:numPr>
          <w:ilvl w:val="0"/>
          <w:numId w:val="56"/>
        </w:numPr>
        <w:spacing w:before="240" w:after="240"/>
        <w:ind w:left="142" w:firstLine="567"/>
        <w:jc w:val="both"/>
        <w:rPr>
          <w:bCs/>
          <w:sz w:val="20"/>
          <w:szCs w:val="20"/>
          <w:lang w:val="es-ES_tradnl"/>
        </w:rPr>
      </w:pPr>
      <w:r w:rsidRPr="004606B1">
        <w:rPr>
          <w:rFonts w:asciiTheme="majorHAnsi" w:hAnsiTheme="majorHAnsi" w:cstheme="majorHAnsi"/>
          <w:sz w:val="20"/>
          <w:szCs w:val="20"/>
          <w:lang w:val="es-ES_tradnl"/>
        </w:rPr>
        <w:t xml:space="preserve">El 24 de noviembre de 2017 se llevó a cabo una reunión que incluyó a miembros de las comunidades, del Ministerio de Energía y Minas, y de las sociedades Oxec y Oxec II, para identificar temas técnicos, ambientales y sociales relacionados con el desarrollo de los proyectos hidroeléctricos. Se plantearon acuerdos en los siguientes ámbitos: i) Construcción de la paz; ii) Aspectos ambientales y iii) Desarrollo sostenible. Tras esta reunión, se redactó el documento </w:t>
      </w:r>
      <w:r w:rsidRPr="004606B1">
        <w:rPr>
          <w:rFonts w:asciiTheme="majorHAnsi" w:hAnsiTheme="majorHAnsi" w:cstheme="majorHAnsi"/>
          <w:i/>
          <w:iCs/>
          <w:sz w:val="20"/>
          <w:szCs w:val="20"/>
          <w:lang w:val="es-ES_tradnl"/>
        </w:rPr>
        <w:t>Acuerdos por la Paz y el Desarrollo Sostenible de las Comunidades del área de influencia de los proyectos hidroeléctricos Oxec y Oxec II.</w:t>
      </w:r>
      <w:r w:rsidRPr="004606B1">
        <w:rPr>
          <w:rFonts w:asciiTheme="majorHAnsi" w:hAnsiTheme="majorHAnsi" w:cstheme="majorHAnsi"/>
          <w:sz w:val="20"/>
          <w:szCs w:val="20"/>
          <w:lang w:val="es-ES_tradnl"/>
        </w:rPr>
        <w:t xml:space="preserve"> El documento fue traducido al idioma q’eqchi’ por la Academia de Lenguas Mayas de Guatemala</w:t>
      </w:r>
      <w:r w:rsidR="00271F4E" w:rsidRPr="004606B1">
        <w:rPr>
          <w:rFonts w:asciiTheme="majorHAnsi" w:hAnsiTheme="majorHAnsi" w:cstheme="majorHAnsi"/>
          <w:sz w:val="20"/>
          <w:szCs w:val="20"/>
          <w:lang w:val="es-ES_tradnl"/>
        </w:rPr>
        <w:t>.</w:t>
      </w:r>
    </w:p>
    <w:p w14:paraId="3EAB50C9" w14:textId="77777777" w:rsidR="00DC0839" w:rsidRDefault="00DC0839" w:rsidP="004606B1">
      <w:pPr>
        <w:pStyle w:val="NormalWeb"/>
        <w:spacing w:before="240" w:beforeAutospacing="0" w:after="240" w:afterAutospacing="0"/>
        <w:ind w:left="709"/>
        <w:jc w:val="both"/>
        <w:rPr>
          <w:rFonts w:asciiTheme="majorHAnsi" w:hAnsiTheme="majorHAnsi"/>
          <w:i/>
          <w:iCs/>
          <w:sz w:val="20"/>
          <w:szCs w:val="20"/>
          <w:lang w:val="es-ES_tradnl"/>
        </w:rPr>
      </w:pPr>
    </w:p>
    <w:p w14:paraId="032C0733" w14:textId="1AFEDE85" w:rsidR="005C763D" w:rsidRPr="004606B1" w:rsidRDefault="00BE1CD1" w:rsidP="004606B1">
      <w:pPr>
        <w:pStyle w:val="NormalWeb"/>
        <w:spacing w:before="240" w:beforeAutospacing="0" w:after="240" w:afterAutospacing="0"/>
        <w:ind w:left="709"/>
        <w:jc w:val="both"/>
        <w:rPr>
          <w:rFonts w:asciiTheme="majorHAnsi" w:hAnsiTheme="majorHAnsi"/>
          <w:sz w:val="20"/>
          <w:szCs w:val="20"/>
          <w:lang w:val="es-ES_tradnl"/>
        </w:rPr>
      </w:pPr>
      <w:r w:rsidRPr="004606B1">
        <w:rPr>
          <w:rFonts w:asciiTheme="majorHAnsi" w:hAnsiTheme="majorHAnsi"/>
          <w:i/>
          <w:iCs/>
          <w:sz w:val="20"/>
          <w:szCs w:val="20"/>
          <w:lang w:val="es-ES_tradnl"/>
        </w:rPr>
        <w:lastRenderedPageBreak/>
        <w:t>Argumentos de la parte peticionaria</w:t>
      </w:r>
    </w:p>
    <w:p w14:paraId="788D0419" w14:textId="38304071" w:rsidR="00BE1CD1" w:rsidRPr="004606B1" w:rsidRDefault="00BE1CD1" w:rsidP="004606B1">
      <w:pPr>
        <w:pStyle w:val="ListParagraph"/>
        <w:numPr>
          <w:ilvl w:val="0"/>
          <w:numId w:val="56"/>
        </w:numPr>
        <w:spacing w:before="240" w:after="240"/>
        <w:ind w:left="142" w:firstLine="567"/>
        <w:jc w:val="both"/>
        <w:rPr>
          <w:bCs/>
          <w:sz w:val="20"/>
          <w:szCs w:val="20"/>
          <w:lang w:val="es-ES_tradnl"/>
        </w:rPr>
      </w:pPr>
      <w:r w:rsidRPr="004606B1">
        <w:rPr>
          <w:bCs/>
          <w:sz w:val="20"/>
          <w:szCs w:val="20"/>
          <w:lang w:val="es-ES_tradnl"/>
        </w:rPr>
        <w:t>La parte peticionaria considera que no se respetó el derecho de consulta de las comunidades Q’eqchi’s</w:t>
      </w:r>
      <w:r w:rsidR="00F81F20" w:rsidRPr="004606B1">
        <w:rPr>
          <w:bCs/>
          <w:sz w:val="20"/>
          <w:szCs w:val="20"/>
          <w:lang w:val="es-ES_tradnl"/>
        </w:rPr>
        <w:t xml:space="preserve">, y </w:t>
      </w:r>
      <w:r w:rsidRPr="004606B1">
        <w:rPr>
          <w:bCs/>
          <w:sz w:val="20"/>
          <w:szCs w:val="20"/>
          <w:lang w:val="es-ES_tradnl"/>
        </w:rPr>
        <w:t xml:space="preserve">que, si bien la Corte </w:t>
      </w:r>
      <w:r w:rsidR="00AC5E64" w:rsidRPr="004606B1">
        <w:rPr>
          <w:bCs/>
          <w:sz w:val="20"/>
          <w:szCs w:val="20"/>
          <w:lang w:val="es-ES_tradnl"/>
        </w:rPr>
        <w:t xml:space="preserve">de </w:t>
      </w:r>
      <w:r w:rsidRPr="004606B1">
        <w:rPr>
          <w:bCs/>
          <w:sz w:val="20"/>
          <w:szCs w:val="20"/>
          <w:lang w:val="es-ES_tradnl"/>
        </w:rPr>
        <w:t>Constitucional</w:t>
      </w:r>
      <w:r w:rsidR="00AC5E64" w:rsidRPr="004606B1">
        <w:rPr>
          <w:bCs/>
          <w:sz w:val="20"/>
          <w:szCs w:val="20"/>
          <w:lang w:val="es-ES_tradnl"/>
        </w:rPr>
        <w:t>idad</w:t>
      </w:r>
      <w:r w:rsidRPr="004606B1">
        <w:rPr>
          <w:bCs/>
          <w:sz w:val="20"/>
          <w:szCs w:val="20"/>
          <w:lang w:val="es-ES_tradnl"/>
        </w:rPr>
        <w:t xml:space="preserve"> emitió la sentencia del 26 de mayo de 2017 recogiendo argumentos justificativos del carácter previo de la consulta</w:t>
      </w:r>
      <w:r w:rsidR="00F81F20" w:rsidRPr="004606B1">
        <w:rPr>
          <w:bCs/>
          <w:sz w:val="20"/>
          <w:szCs w:val="20"/>
          <w:lang w:val="es-ES_tradnl"/>
        </w:rPr>
        <w:t>, se sigue</w:t>
      </w:r>
      <w:r w:rsidRPr="004606B1">
        <w:rPr>
          <w:bCs/>
          <w:sz w:val="20"/>
          <w:szCs w:val="20"/>
          <w:lang w:val="es-ES_tradnl"/>
        </w:rPr>
        <w:t xml:space="preserve"> violenta</w:t>
      </w:r>
      <w:r w:rsidR="00F81F20" w:rsidRPr="004606B1">
        <w:rPr>
          <w:bCs/>
          <w:sz w:val="20"/>
          <w:szCs w:val="20"/>
          <w:lang w:val="es-ES_tradnl"/>
        </w:rPr>
        <w:t>ndo</w:t>
      </w:r>
      <w:r w:rsidRPr="004606B1">
        <w:rPr>
          <w:bCs/>
          <w:sz w:val="20"/>
          <w:szCs w:val="20"/>
          <w:lang w:val="es-ES_tradnl"/>
        </w:rPr>
        <w:t xml:space="preserve"> los derechos de las comunidades</w:t>
      </w:r>
      <w:r w:rsidR="00FF1EE4" w:rsidRPr="004606B1">
        <w:rPr>
          <w:bCs/>
          <w:sz w:val="20"/>
          <w:szCs w:val="20"/>
          <w:lang w:val="es-ES_tradnl"/>
        </w:rPr>
        <w:t>,</w:t>
      </w:r>
      <w:r w:rsidRPr="004606B1">
        <w:rPr>
          <w:bCs/>
          <w:sz w:val="20"/>
          <w:szCs w:val="20"/>
          <w:lang w:val="es-ES_tradnl"/>
        </w:rPr>
        <w:t xml:space="preserve"> porque </w:t>
      </w:r>
      <w:r w:rsidR="00271F4E" w:rsidRPr="004606B1">
        <w:rPr>
          <w:bCs/>
          <w:sz w:val="20"/>
          <w:szCs w:val="20"/>
          <w:lang w:val="es-ES_tradnl"/>
        </w:rPr>
        <w:t xml:space="preserve">se </w:t>
      </w:r>
      <w:r w:rsidRPr="004606B1">
        <w:rPr>
          <w:bCs/>
          <w:sz w:val="20"/>
          <w:szCs w:val="20"/>
          <w:lang w:val="es-ES_tradnl"/>
        </w:rPr>
        <w:t xml:space="preserve">permite </w:t>
      </w:r>
      <w:r w:rsidR="00AC5E64" w:rsidRPr="004606B1">
        <w:rPr>
          <w:bCs/>
          <w:sz w:val="20"/>
          <w:szCs w:val="20"/>
          <w:lang w:val="es-ES_tradnl"/>
        </w:rPr>
        <w:t>que las hidroeléctricas sigan funcionando</w:t>
      </w:r>
      <w:r w:rsidRPr="004606B1">
        <w:rPr>
          <w:bCs/>
          <w:sz w:val="20"/>
          <w:szCs w:val="20"/>
          <w:lang w:val="es-ES_tradnl"/>
        </w:rPr>
        <w:t xml:space="preserve"> mientras se cumple el plazo</w:t>
      </w:r>
      <w:r w:rsidR="00AC5E64" w:rsidRPr="004606B1">
        <w:rPr>
          <w:bCs/>
          <w:sz w:val="20"/>
          <w:szCs w:val="20"/>
          <w:lang w:val="es-ES_tradnl"/>
        </w:rPr>
        <w:t xml:space="preserve"> establecido</w:t>
      </w:r>
      <w:r w:rsidRPr="004606B1">
        <w:rPr>
          <w:bCs/>
          <w:sz w:val="20"/>
          <w:szCs w:val="20"/>
          <w:lang w:val="es-ES_tradnl"/>
        </w:rPr>
        <w:t xml:space="preserve"> de un año</w:t>
      </w:r>
      <w:r w:rsidR="00AC5E64" w:rsidRPr="004606B1">
        <w:rPr>
          <w:bCs/>
          <w:sz w:val="20"/>
          <w:szCs w:val="20"/>
          <w:lang w:val="es-ES_tradnl"/>
        </w:rPr>
        <w:t xml:space="preserve"> </w:t>
      </w:r>
      <w:r w:rsidRPr="004606B1">
        <w:rPr>
          <w:bCs/>
          <w:sz w:val="20"/>
          <w:szCs w:val="20"/>
          <w:lang w:val="es-ES_tradnl"/>
        </w:rPr>
        <w:t>para</w:t>
      </w:r>
      <w:r w:rsidR="00AC5E64" w:rsidRPr="004606B1">
        <w:rPr>
          <w:bCs/>
          <w:sz w:val="20"/>
          <w:szCs w:val="20"/>
          <w:lang w:val="es-ES_tradnl"/>
        </w:rPr>
        <w:t xml:space="preserve"> realizar</w:t>
      </w:r>
      <w:r w:rsidRPr="004606B1">
        <w:rPr>
          <w:bCs/>
          <w:sz w:val="20"/>
          <w:szCs w:val="20"/>
          <w:lang w:val="es-ES_tradnl"/>
        </w:rPr>
        <w:t xml:space="preserve"> la consulta a las comunidades. </w:t>
      </w:r>
    </w:p>
    <w:p w14:paraId="49C1A429" w14:textId="261982C4" w:rsidR="00BE1CD1" w:rsidRPr="004606B1" w:rsidRDefault="00BE1CD1" w:rsidP="004606B1">
      <w:pPr>
        <w:pStyle w:val="ListParagraph"/>
        <w:numPr>
          <w:ilvl w:val="0"/>
          <w:numId w:val="56"/>
        </w:numPr>
        <w:spacing w:before="240" w:after="240"/>
        <w:ind w:left="142" w:firstLine="567"/>
        <w:jc w:val="both"/>
        <w:rPr>
          <w:bCs/>
          <w:sz w:val="20"/>
          <w:szCs w:val="20"/>
          <w:lang w:val="es-ES_tradnl"/>
        </w:rPr>
      </w:pPr>
      <w:r w:rsidRPr="004606B1">
        <w:rPr>
          <w:bCs/>
          <w:sz w:val="20"/>
          <w:szCs w:val="20"/>
          <w:lang w:val="es-ES_tradnl"/>
        </w:rPr>
        <w:t xml:space="preserve">Dentro de la petición, se pidió que el Estado </w:t>
      </w:r>
      <w:r w:rsidRPr="004606B1">
        <w:rPr>
          <w:bCs/>
          <w:i/>
          <w:iCs/>
          <w:sz w:val="20"/>
          <w:szCs w:val="20"/>
          <w:lang w:val="es-ES_tradnl"/>
        </w:rPr>
        <w:t>“realice las acciones correspondientes con el fin de resguardar el derecho a la consulta”,</w:t>
      </w:r>
      <w:r w:rsidRPr="004606B1">
        <w:rPr>
          <w:bCs/>
          <w:sz w:val="20"/>
          <w:szCs w:val="20"/>
          <w:lang w:val="es-ES_tradnl"/>
        </w:rPr>
        <w:t xml:space="preserve"> lo que para </w:t>
      </w:r>
      <w:r w:rsidR="00271F4E" w:rsidRPr="004606B1">
        <w:rPr>
          <w:bCs/>
          <w:sz w:val="20"/>
          <w:szCs w:val="20"/>
          <w:lang w:val="es-ES_tradnl"/>
        </w:rPr>
        <w:t>la parte peticionaria</w:t>
      </w:r>
      <w:r w:rsidRPr="004606B1">
        <w:rPr>
          <w:bCs/>
          <w:sz w:val="20"/>
          <w:szCs w:val="20"/>
          <w:lang w:val="es-ES_tradnl"/>
        </w:rPr>
        <w:t xml:space="preserve"> consistiría en suspender las autorizaciones </w:t>
      </w:r>
      <w:r w:rsidR="00401C00" w:rsidRPr="004606B1">
        <w:rPr>
          <w:bCs/>
          <w:sz w:val="20"/>
          <w:szCs w:val="20"/>
          <w:lang w:val="es-ES_tradnl"/>
        </w:rPr>
        <w:t>concedidas a</w:t>
      </w:r>
      <w:r w:rsidRPr="004606B1">
        <w:rPr>
          <w:bCs/>
          <w:sz w:val="20"/>
          <w:szCs w:val="20"/>
          <w:lang w:val="es-ES_tradnl"/>
        </w:rPr>
        <w:t xml:space="preserve"> las hidroeléctricas Oxec y Oxec II.</w:t>
      </w:r>
    </w:p>
    <w:p w14:paraId="6B971569" w14:textId="7D0F8A21" w:rsidR="001A5642" w:rsidRPr="001A5642" w:rsidRDefault="00877BA0" w:rsidP="001A5642">
      <w:pPr>
        <w:pStyle w:val="ListParagraph"/>
        <w:numPr>
          <w:ilvl w:val="0"/>
          <w:numId w:val="56"/>
        </w:numPr>
        <w:spacing w:before="240" w:after="240"/>
        <w:ind w:left="142" w:firstLine="567"/>
        <w:jc w:val="both"/>
        <w:rPr>
          <w:bCs/>
          <w:sz w:val="20"/>
          <w:szCs w:val="20"/>
          <w:lang w:val="es-ES_tradnl"/>
        </w:rPr>
      </w:pPr>
      <w:r w:rsidRPr="001A5642">
        <w:rPr>
          <w:bCs/>
          <w:sz w:val="20"/>
          <w:szCs w:val="20"/>
          <w:lang w:val="es-ES_tradnl"/>
        </w:rPr>
        <w:t>L</w:t>
      </w:r>
      <w:r w:rsidR="001F77D5" w:rsidRPr="001A5642">
        <w:rPr>
          <w:bCs/>
          <w:sz w:val="20"/>
          <w:szCs w:val="20"/>
          <w:lang w:val="es-ES_tradnl"/>
        </w:rPr>
        <w:t>os peticionarios</w:t>
      </w:r>
      <w:r w:rsidRPr="001A5642">
        <w:rPr>
          <w:bCs/>
          <w:sz w:val="20"/>
          <w:szCs w:val="20"/>
          <w:lang w:val="es-ES_tradnl"/>
        </w:rPr>
        <w:t xml:space="preserve"> aclaran</w:t>
      </w:r>
      <w:r w:rsidR="006175AF" w:rsidRPr="001A5642">
        <w:rPr>
          <w:bCs/>
          <w:sz w:val="20"/>
          <w:szCs w:val="20"/>
          <w:lang w:val="es-ES_tradnl"/>
        </w:rPr>
        <w:t xml:space="preserve"> en 2015 cincuenta y seis comunidades de Santa María Cahabón reunidas en una asamblea decidieron que las representase el señor Caal Xól </w:t>
      </w:r>
      <w:r w:rsidR="0017141D" w:rsidRPr="001A5642">
        <w:rPr>
          <w:rFonts w:asciiTheme="majorHAnsi" w:hAnsiTheme="majorHAnsi" w:cstheme="majorHAnsi"/>
          <w:sz w:val="20"/>
          <w:szCs w:val="20"/>
          <w:lang w:val="es-ES_tradnl"/>
        </w:rPr>
        <w:t>–</w:t>
      </w:r>
      <w:r w:rsidR="00271F4E" w:rsidRPr="001A5642">
        <w:rPr>
          <w:rFonts w:asciiTheme="majorHAnsi" w:hAnsiTheme="majorHAnsi" w:cstheme="majorHAnsi"/>
          <w:sz w:val="20"/>
          <w:szCs w:val="20"/>
          <w:lang w:val="es-ES_tradnl"/>
        </w:rPr>
        <w:t xml:space="preserve">no </w:t>
      </w:r>
      <w:r w:rsidR="006175AF" w:rsidRPr="001A5642">
        <w:rPr>
          <w:rFonts w:asciiTheme="majorHAnsi" w:hAnsiTheme="majorHAnsi" w:cstheme="majorHAnsi"/>
          <w:sz w:val="20"/>
          <w:szCs w:val="20"/>
          <w:lang w:val="es-ES_tradnl"/>
        </w:rPr>
        <w:t xml:space="preserve">precisan las circunstancias de </w:t>
      </w:r>
      <w:r w:rsidRPr="001A5642">
        <w:rPr>
          <w:rFonts w:asciiTheme="majorHAnsi" w:hAnsiTheme="majorHAnsi" w:cstheme="majorHAnsi"/>
          <w:sz w:val="20"/>
          <w:szCs w:val="20"/>
          <w:lang w:val="es-ES_tradnl"/>
        </w:rPr>
        <w:t>dicha asamblea</w:t>
      </w:r>
      <w:r w:rsidR="006175AF" w:rsidRPr="001A5642">
        <w:rPr>
          <w:rFonts w:asciiTheme="majorHAnsi" w:hAnsiTheme="majorHAnsi" w:cstheme="majorHAnsi"/>
          <w:sz w:val="20"/>
          <w:szCs w:val="20"/>
          <w:lang w:val="es-ES_tradnl"/>
        </w:rPr>
        <w:t>, ni los alcances de esta representación</w:t>
      </w:r>
      <w:r w:rsidR="0017141D" w:rsidRPr="001A5642">
        <w:rPr>
          <w:bCs/>
          <w:sz w:val="20"/>
          <w:szCs w:val="20"/>
          <w:lang w:val="es-ES_tradnl"/>
        </w:rPr>
        <w:t>–.</w:t>
      </w:r>
      <w:r w:rsidR="00A369CF" w:rsidRPr="001A5642">
        <w:rPr>
          <w:bCs/>
          <w:sz w:val="20"/>
          <w:szCs w:val="20"/>
          <w:lang w:val="es-ES_tradnl"/>
        </w:rPr>
        <w:t xml:space="preserve"> </w:t>
      </w:r>
      <w:r w:rsidR="006175AF" w:rsidRPr="001A5642">
        <w:rPr>
          <w:bCs/>
          <w:sz w:val="20"/>
          <w:szCs w:val="20"/>
          <w:lang w:val="es-ES_tradnl"/>
        </w:rPr>
        <w:t xml:space="preserve">Además, los peticionarios </w:t>
      </w:r>
      <w:r w:rsidR="00A369CF" w:rsidRPr="001A5642">
        <w:rPr>
          <w:bCs/>
          <w:sz w:val="20"/>
          <w:szCs w:val="20"/>
          <w:lang w:val="es-ES_tradnl"/>
        </w:rPr>
        <w:t>presentan</w:t>
      </w:r>
      <w:r w:rsidR="006175AF" w:rsidRPr="001A5642">
        <w:rPr>
          <w:bCs/>
          <w:sz w:val="20"/>
          <w:szCs w:val="20"/>
          <w:lang w:val="es-ES_tradnl"/>
        </w:rPr>
        <w:t xml:space="preserve"> actas de asambleas celebradas el 14 y 15 de mayo de 2016, en las cuales estas </w:t>
      </w:r>
      <w:r w:rsidR="00A369CF" w:rsidRPr="001A5642">
        <w:rPr>
          <w:bCs/>
          <w:sz w:val="20"/>
          <w:szCs w:val="20"/>
          <w:lang w:val="es-ES_tradnl"/>
        </w:rPr>
        <w:t>comunidades indígenas Q'eqchi’s del municipio de Santa María Cahabón, Departamento de Alta Verapaz, delegan su representación a Bernardo Caal X</w:t>
      </w:r>
      <w:r w:rsidR="001A5642" w:rsidRPr="001A5642">
        <w:rPr>
          <w:bCs/>
          <w:sz w:val="20"/>
          <w:szCs w:val="20"/>
          <w:lang w:val="es-ES_tradnl"/>
        </w:rPr>
        <w:t>ó</w:t>
      </w:r>
      <w:r w:rsidR="00A369CF" w:rsidRPr="001A5642">
        <w:rPr>
          <w:bCs/>
          <w:sz w:val="20"/>
          <w:szCs w:val="20"/>
          <w:lang w:val="es-ES_tradnl"/>
        </w:rPr>
        <w:t>l</w:t>
      </w:r>
      <w:r w:rsidR="001A5642" w:rsidRPr="001A5642">
        <w:rPr>
          <w:bCs/>
          <w:sz w:val="20"/>
          <w:szCs w:val="20"/>
          <w:lang w:val="es-ES_tradnl"/>
        </w:rPr>
        <w:t>.</w:t>
      </w:r>
      <w:r w:rsidR="00A369CF" w:rsidRPr="001A5642">
        <w:rPr>
          <w:bCs/>
          <w:sz w:val="20"/>
          <w:szCs w:val="20"/>
          <w:lang w:val="es-ES_tradnl"/>
        </w:rPr>
        <w:t xml:space="preserve"> </w:t>
      </w:r>
      <w:r w:rsidR="001A5642" w:rsidRPr="001A5642">
        <w:rPr>
          <w:bCs/>
          <w:sz w:val="20"/>
          <w:szCs w:val="20"/>
          <w:lang w:val="es-ES_tradnl"/>
        </w:rPr>
        <w:t>En estas actas los firmantes indican: “</w:t>
      </w:r>
      <w:r w:rsidR="001A5642" w:rsidRPr="001A5642">
        <w:rPr>
          <w:bCs/>
          <w:i/>
          <w:iCs/>
          <w:sz w:val="20"/>
          <w:szCs w:val="20"/>
          <w:lang w:val="es-ES_tradnl"/>
        </w:rPr>
        <w:t>nosotros como comunidad tenemos derechos para exigir la consulta porque somos guatemaltecos, la comunidad delega la representación, ellos son: Bernardo Caal Xól […], para tomar decisiones sobre asuntos que se relacionen al tema, tanto en el municipio como a nivel nacional</w:t>
      </w:r>
      <w:r w:rsidR="001A5642" w:rsidRPr="001A5642">
        <w:rPr>
          <w:bCs/>
          <w:sz w:val="20"/>
          <w:szCs w:val="20"/>
          <w:lang w:val="es-ES_tradnl"/>
        </w:rPr>
        <w:t xml:space="preserve">”. </w:t>
      </w:r>
    </w:p>
    <w:p w14:paraId="66656F6B" w14:textId="21D5865F" w:rsidR="00A369CF" w:rsidRPr="001A5642" w:rsidRDefault="00A369CF" w:rsidP="006175AF">
      <w:pPr>
        <w:pStyle w:val="ListParagraph"/>
        <w:numPr>
          <w:ilvl w:val="0"/>
          <w:numId w:val="56"/>
        </w:numPr>
        <w:spacing w:before="240" w:after="240"/>
        <w:ind w:left="142" w:firstLine="567"/>
        <w:jc w:val="both"/>
        <w:rPr>
          <w:bCs/>
          <w:sz w:val="20"/>
          <w:szCs w:val="20"/>
          <w:lang w:val="es-ES_tradnl"/>
        </w:rPr>
      </w:pPr>
      <w:r w:rsidRPr="001A5642">
        <w:rPr>
          <w:bCs/>
          <w:sz w:val="20"/>
          <w:szCs w:val="20"/>
          <w:lang w:val="es-ES_tradnl"/>
        </w:rPr>
        <w:t>Los peticionarios indican también que la sentencia de la Corte de Constitucionalidad emitida el 26 de mayo de 2017,</w:t>
      </w:r>
      <w:r w:rsidR="001A5642" w:rsidRPr="001A5642">
        <w:rPr>
          <w:bCs/>
          <w:sz w:val="20"/>
          <w:szCs w:val="20"/>
          <w:lang w:val="es-ES_tradnl"/>
        </w:rPr>
        <w:t xml:space="preserve"> por medio de la cual se negó la apelación presentada por las empresas Oxec y Oxec II y se dispuso la realización de una consulta previa en un periodo de doce meses,</w:t>
      </w:r>
      <w:r w:rsidRPr="001A5642">
        <w:rPr>
          <w:bCs/>
          <w:sz w:val="20"/>
          <w:szCs w:val="20"/>
          <w:lang w:val="es-ES_tradnl"/>
        </w:rPr>
        <w:t xml:space="preserve"> </w:t>
      </w:r>
      <w:r w:rsidRPr="001A5642">
        <w:rPr>
          <w:bCs/>
          <w:i/>
          <w:iCs/>
          <w:sz w:val="20"/>
          <w:szCs w:val="20"/>
          <w:lang w:val="es-ES_tradnl"/>
        </w:rPr>
        <w:t>“es rechazada por las comunidades Q'eqchi's de Cahabón, también por 32 representantes de las Autoridades Indígenas de todo el país, y por las federaciones sindicales autónomas que tienen representación en la OIT, organizaciones civiles e indígenas del país”.</w:t>
      </w:r>
      <w:r w:rsidR="001A5642" w:rsidRPr="001A5642">
        <w:rPr>
          <w:bCs/>
          <w:i/>
          <w:iCs/>
          <w:sz w:val="20"/>
          <w:szCs w:val="20"/>
          <w:lang w:val="es-ES_tradnl"/>
        </w:rPr>
        <w:t xml:space="preserve"> </w:t>
      </w:r>
      <w:r w:rsidR="001A5642" w:rsidRPr="001A5642">
        <w:rPr>
          <w:bCs/>
          <w:sz w:val="20"/>
          <w:szCs w:val="20"/>
          <w:lang w:val="es-ES_tradnl"/>
        </w:rPr>
        <w:t xml:space="preserve">Porque durante esos doce meses podían continuar operando las hidroeléctricas. </w:t>
      </w:r>
    </w:p>
    <w:p w14:paraId="40034F28" w14:textId="6055812C" w:rsidR="00466210" w:rsidRPr="00CB22D9" w:rsidRDefault="00BE1CD1" w:rsidP="00466210">
      <w:pPr>
        <w:pStyle w:val="ListParagraph"/>
        <w:numPr>
          <w:ilvl w:val="0"/>
          <w:numId w:val="56"/>
        </w:numPr>
        <w:spacing w:before="240" w:after="240"/>
        <w:ind w:left="142" w:firstLine="567"/>
        <w:jc w:val="both"/>
        <w:rPr>
          <w:bCs/>
          <w:sz w:val="20"/>
          <w:szCs w:val="20"/>
          <w:lang w:val="es-ES_tradnl"/>
        </w:rPr>
      </w:pPr>
      <w:r w:rsidRPr="00CB22D9">
        <w:rPr>
          <w:bCs/>
          <w:sz w:val="20"/>
          <w:szCs w:val="20"/>
          <w:lang w:val="es-ES_tradnl"/>
        </w:rPr>
        <w:t>A</w:t>
      </w:r>
      <w:r w:rsidR="00A369CF" w:rsidRPr="00CB22D9">
        <w:rPr>
          <w:bCs/>
          <w:sz w:val="20"/>
          <w:szCs w:val="20"/>
          <w:lang w:val="es-ES_tradnl"/>
        </w:rPr>
        <w:t>simismo</w:t>
      </w:r>
      <w:r w:rsidRPr="00CB22D9">
        <w:rPr>
          <w:bCs/>
          <w:sz w:val="20"/>
          <w:szCs w:val="20"/>
          <w:lang w:val="es-ES_tradnl"/>
        </w:rPr>
        <w:t>, la parte peticionaria denuncia que se llevó a cabo una campaña de desprestigio contra el señor Caal X</w:t>
      </w:r>
      <w:r w:rsidR="00372523" w:rsidRPr="00CB22D9">
        <w:rPr>
          <w:bCs/>
          <w:sz w:val="20"/>
          <w:szCs w:val="20"/>
          <w:lang w:val="es-ES_tradnl"/>
        </w:rPr>
        <w:t>ó</w:t>
      </w:r>
      <w:r w:rsidRPr="00CB22D9">
        <w:rPr>
          <w:bCs/>
          <w:sz w:val="20"/>
          <w:szCs w:val="20"/>
          <w:lang w:val="es-ES_tradnl"/>
        </w:rPr>
        <w:t>l, y el colectivo Madre</w:t>
      </w:r>
      <w:r w:rsidR="00401C00" w:rsidRPr="00CB22D9">
        <w:rPr>
          <w:bCs/>
          <w:sz w:val="20"/>
          <w:szCs w:val="20"/>
          <w:lang w:val="es-ES_tradnl"/>
        </w:rPr>
        <w:t xml:space="preserve"> S</w:t>
      </w:r>
      <w:r w:rsidRPr="00CB22D9">
        <w:rPr>
          <w:bCs/>
          <w:sz w:val="20"/>
          <w:szCs w:val="20"/>
          <w:lang w:val="es-ES_tradnl"/>
        </w:rPr>
        <w:t xml:space="preserve">elva </w:t>
      </w:r>
      <w:r w:rsidR="00CB22D9" w:rsidRPr="00CB22D9">
        <w:rPr>
          <w:bCs/>
          <w:sz w:val="20"/>
          <w:szCs w:val="20"/>
          <w:lang w:val="es-ES_tradnl"/>
        </w:rPr>
        <w:t xml:space="preserve">–no especifican por parte de quién–, </w:t>
      </w:r>
      <w:r w:rsidRPr="00CB22D9">
        <w:rPr>
          <w:bCs/>
          <w:sz w:val="20"/>
          <w:szCs w:val="20"/>
          <w:lang w:val="es-ES_tradnl"/>
        </w:rPr>
        <w:t xml:space="preserve">consistente en publicaciones </w:t>
      </w:r>
      <w:r w:rsidR="00C732FC" w:rsidRPr="00CB22D9">
        <w:rPr>
          <w:bCs/>
          <w:sz w:val="20"/>
          <w:szCs w:val="20"/>
          <w:lang w:val="es-ES_tradnl"/>
        </w:rPr>
        <w:t xml:space="preserve">falsas </w:t>
      </w:r>
      <w:r w:rsidRPr="00CB22D9">
        <w:rPr>
          <w:bCs/>
          <w:sz w:val="20"/>
          <w:szCs w:val="20"/>
          <w:lang w:val="es-ES_tradnl"/>
        </w:rPr>
        <w:t>en periódicos</w:t>
      </w:r>
      <w:r w:rsidR="00C732FC" w:rsidRPr="00CB22D9">
        <w:rPr>
          <w:bCs/>
          <w:sz w:val="20"/>
          <w:szCs w:val="20"/>
          <w:lang w:val="es-ES_tradnl"/>
        </w:rPr>
        <w:t xml:space="preserve"> y </w:t>
      </w:r>
      <w:r w:rsidRPr="00CB22D9">
        <w:rPr>
          <w:bCs/>
          <w:sz w:val="20"/>
          <w:szCs w:val="20"/>
          <w:lang w:val="es-ES_tradnl"/>
        </w:rPr>
        <w:t>redes sociales</w:t>
      </w:r>
      <w:r w:rsidR="00C732FC" w:rsidRPr="00CB22D9">
        <w:rPr>
          <w:bCs/>
          <w:sz w:val="20"/>
          <w:szCs w:val="20"/>
          <w:lang w:val="es-ES_tradnl"/>
        </w:rPr>
        <w:t xml:space="preserve">, así como </w:t>
      </w:r>
      <w:r w:rsidRPr="00CB22D9">
        <w:rPr>
          <w:bCs/>
          <w:sz w:val="20"/>
          <w:szCs w:val="20"/>
          <w:lang w:val="es-ES_tradnl"/>
        </w:rPr>
        <w:t>noticias difamadoras en un diario digital; consideran que</w:t>
      </w:r>
      <w:r w:rsidR="00C732FC" w:rsidRPr="00CB22D9">
        <w:rPr>
          <w:bCs/>
          <w:sz w:val="20"/>
          <w:szCs w:val="20"/>
          <w:lang w:val="es-ES_tradnl"/>
        </w:rPr>
        <w:t xml:space="preserve"> esto</w:t>
      </w:r>
      <w:r w:rsidRPr="00CB22D9">
        <w:rPr>
          <w:bCs/>
          <w:sz w:val="20"/>
          <w:szCs w:val="20"/>
          <w:lang w:val="es-ES_tradnl"/>
        </w:rPr>
        <w:t xml:space="preserve"> tenía la finalidad de </w:t>
      </w:r>
      <w:r w:rsidRPr="00CB22D9">
        <w:rPr>
          <w:bCs/>
          <w:i/>
          <w:iCs/>
          <w:sz w:val="20"/>
          <w:szCs w:val="20"/>
          <w:lang w:val="es-ES_tradnl"/>
        </w:rPr>
        <w:t>“deslegitimar la lucha social de la comunidad indígena Q’ueqchi’ por la defensa de sus ríos, los cuales son sagrados para ellos de acuerdo con su cosmovisión maya”.</w:t>
      </w:r>
      <w:r w:rsidRPr="00CB22D9">
        <w:rPr>
          <w:bCs/>
          <w:sz w:val="20"/>
          <w:szCs w:val="20"/>
          <w:lang w:val="es-ES_tradnl"/>
        </w:rPr>
        <w:t xml:space="preserve"> </w:t>
      </w:r>
      <w:r w:rsidR="00466210" w:rsidRPr="00CB22D9">
        <w:rPr>
          <w:bCs/>
          <w:sz w:val="20"/>
          <w:szCs w:val="20"/>
          <w:lang w:val="es-ES_tradnl"/>
        </w:rPr>
        <w:t xml:space="preserve">En un acta del 15 de mayo de 2016, firmada por integrantes del Caserío Chaslaú, además de indicar que el señor Caal Xól los podía representar en cuanto a su derecho a ser consultados sobre las hidroeléctricas, indican que </w:t>
      </w:r>
      <w:r w:rsidR="00CB22D9" w:rsidRPr="00CB22D9">
        <w:rPr>
          <w:bCs/>
          <w:sz w:val="20"/>
          <w:szCs w:val="20"/>
          <w:lang w:val="es-ES_tradnl"/>
        </w:rPr>
        <w:t xml:space="preserve">este </w:t>
      </w:r>
      <w:r w:rsidR="00466210" w:rsidRPr="00CB22D9">
        <w:rPr>
          <w:bCs/>
          <w:sz w:val="20"/>
          <w:szCs w:val="20"/>
          <w:lang w:val="es-ES_tradnl"/>
        </w:rPr>
        <w:t xml:space="preserve">estaba siendo intimidado y amenazado por otros grupos que están a favor de las </w:t>
      </w:r>
      <w:r w:rsidR="00CB22D9" w:rsidRPr="00CB22D9">
        <w:rPr>
          <w:bCs/>
          <w:sz w:val="20"/>
          <w:szCs w:val="20"/>
          <w:lang w:val="es-ES_tradnl"/>
        </w:rPr>
        <w:t>hidroeléctricas</w:t>
      </w:r>
      <w:r w:rsidR="00466210" w:rsidRPr="00CB22D9">
        <w:rPr>
          <w:bCs/>
          <w:sz w:val="20"/>
          <w:szCs w:val="20"/>
          <w:lang w:val="es-ES_tradnl"/>
        </w:rPr>
        <w:t>,</w:t>
      </w:r>
      <w:r w:rsidR="00CB22D9" w:rsidRPr="00CB22D9">
        <w:rPr>
          <w:bCs/>
          <w:sz w:val="20"/>
          <w:szCs w:val="20"/>
          <w:lang w:val="es-ES_tradnl"/>
        </w:rPr>
        <w:t xml:space="preserve"> como lo serían </w:t>
      </w:r>
      <w:r w:rsidR="00466210" w:rsidRPr="00CB22D9">
        <w:rPr>
          <w:bCs/>
          <w:i/>
          <w:iCs/>
          <w:sz w:val="20"/>
          <w:szCs w:val="20"/>
          <w:lang w:val="es-ES_tradnl"/>
        </w:rPr>
        <w:t>“las once comunidades cercanas de las hidroeléctricas”</w:t>
      </w:r>
      <w:r w:rsidR="00466210" w:rsidRPr="00CB22D9">
        <w:rPr>
          <w:bCs/>
          <w:sz w:val="20"/>
          <w:szCs w:val="20"/>
          <w:lang w:val="es-ES_tradnl"/>
        </w:rPr>
        <w:t>.</w:t>
      </w:r>
    </w:p>
    <w:p w14:paraId="0EE8A113" w14:textId="21E71E0F" w:rsidR="00372523" w:rsidRDefault="00466210" w:rsidP="004606B1">
      <w:pPr>
        <w:pStyle w:val="ListParagraph"/>
        <w:numPr>
          <w:ilvl w:val="0"/>
          <w:numId w:val="56"/>
        </w:numPr>
        <w:spacing w:before="240" w:after="240"/>
        <w:ind w:left="142" w:firstLine="567"/>
        <w:jc w:val="both"/>
        <w:rPr>
          <w:bCs/>
          <w:sz w:val="20"/>
          <w:szCs w:val="20"/>
          <w:lang w:val="es-ES_tradnl"/>
        </w:rPr>
      </w:pPr>
      <w:r>
        <w:rPr>
          <w:bCs/>
          <w:sz w:val="20"/>
          <w:szCs w:val="20"/>
          <w:lang w:val="es-ES_tradnl"/>
        </w:rPr>
        <w:t>Posteriormente</w:t>
      </w:r>
      <w:r w:rsidR="00BE1CD1" w:rsidRPr="004606B1">
        <w:rPr>
          <w:bCs/>
          <w:sz w:val="20"/>
          <w:szCs w:val="20"/>
          <w:lang w:val="es-ES_tradnl"/>
        </w:rPr>
        <w:t>, informan que se giró una orden de aprehensión en contra del señor Caal X</w:t>
      </w:r>
      <w:r w:rsidR="00372523" w:rsidRPr="004606B1">
        <w:rPr>
          <w:bCs/>
          <w:sz w:val="20"/>
          <w:szCs w:val="20"/>
          <w:lang w:val="es-ES_tradnl"/>
        </w:rPr>
        <w:t>ó</w:t>
      </w:r>
      <w:r w:rsidR="00BE1CD1" w:rsidRPr="004606B1">
        <w:rPr>
          <w:bCs/>
          <w:sz w:val="20"/>
          <w:szCs w:val="20"/>
          <w:lang w:val="es-ES_tradnl"/>
        </w:rPr>
        <w:t>l</w:t>
      </w:r>
      <w:r w:rsidR="00372523" w:rsidRPr="004606B1">
        <w:rPr>
          <w:bCs/>
          <w:sz w:val="20"/>
          <w:szCs w:val="20"/>
          <w:lang w:val="es-ES_tradnl"/>
        </w:rPr>
        <w:t>, quien fue sentenciado a seis años de cárcel por el delito de robo agravado, y un año y cuatro meses por el delito de detenciones ilegales. Consideran que hay las falencias del ministerio público, del juez de instancia penal, el tribunal de sentencia, y la resolución de los magistrados de sala, lo que es grave, ya que es un defensor de derechos humanos.</w:t>
      </w:r>
      <w:r w:rsidR="00401C00" w:rsidRPr="004606B1">
        <w:rPr>
          <w:bCs/>
          <w:sz w:val="20"/>
          <w:szCs w:val="20"/>
          <w:lang w:val="es-ES_tradnl"/>
        </w:rPr>
        <w:t xml:space="preserve"> </w:t>
      </w:r>
      <w:r w:rsidR="0063749F" w:rsidRPr="004606B1">
        <w:rPr>
          <w:bCs/>
          <w:sz w:val="20"/>
          <w:szCs w:val="20"/>
          <w:lang w:val="es-ES_tradnl"/>
        </w:rPr>
        <w:t>–</w:t>
      </w:r>
      <w:r w:rsidR="00F05541" w:rsidRPr="004606B1">
        <w:rPr>
          <w:bCs/>
          <w:sz w:val="20"/>
          <w:szCs w:val="20"/>
          <w:lang w:val="es-ES_tradnl"/>
        </w:rPr>
        <w:t>A este respecto, la Comisión observa que</w:t>
      </w:r>
      <w:r w:rsidR="00401C00" w:rsidRPr="004606B1">
        <w:rPr>
          <w:bCs/>
          <w:sz w:val="20"/>
          <w:szCs w:val="20"/>
          <w:lang w:val="es-ES_tradnl"/>
        </w:rPr>
        <w:t xml:space="preserve"> los peticionarios no brindaron detalles específicos</w:t>
      </w:r>
      <w:r w:rsidR="00347CEE">
        <w:rPr>
          <w:bCs/>
          <w:sz w:val="20"/>
          <w:szCs w:val="20"/>
          <w:lang w:val="es-ES_tradnl"/>
        </w:rPr>
        <w:t xml:space="preserve"> </w:t>
      </w:r>
      <w:r w:rsidR="00401C00" w:rsidRPr="004606B1">
        <w:rPr>
          <w:bCs/>
          <w:sz w:val="20"/>
          <w:szCs w:val="20"/>
          <w:lang w:val="es-ES_tradnl"/>
        </w:rPr>
        <w:t>sobre la investigación penal, proceso y sentencia del señor Caal Xól, ni las fechas exactas de las decisiones o ante cuáles tribunales se llevaron a cabo</w:t>
      </w:r>
      <w:r w:rsidR="0063749F" w:rsidRPr="004606B1">
        <w:rPr>
          <w:bCs/>
          <w:sz w:val="20"/>
          <w:szCs w:val="20"/>
          <w:lang w:val="es-ES_tradnl"/>
        </w:rPr>
        <w:t>–</w:t>
      </w:r>
      <w:r w:rsidR="00401C00" w:rsidRPr="004606B1">
        <w:rPr>
          <w:bCs/>
          <w:sz w:val="20"/>
          <w:szCs w:val="20"/>
          <w:lang w:val="es-ES_tradnl"/>
        </w:rPr>
        <w:t xml:space="preserve">. </w:t>
      </w:r>
    </w:p>
    <w:p w14:paraId="492C8D83" w14:textId="726A75C4" w:rsidR="00347CEE" w:rsidRDefault="00347CEE" w:rsidP="00347CEE">
      <w:pPr>
        <w:pStyle w:val="ListParagraph"/>
        <w:numPr>
          <w:ilvl w:val="0"/>
          <w:numId w:val="56"/>
        </w:numPr>
        <w:spacing w:before="240" w:after="240"/>
        <w:ind w:left="142" w:firstLine="567"/>
        <w:jc w:val="both"/>
        <w:rPr>
          <w:bCs/>
          <w:sz w:val="20"/>
          <w:szCs w:val="20"/>
          <w:lang w:val="es-ES_tradnl"/>
        </w:rPr>
      </w:pPr>
      <w:r>
        <w:rPr>
          <w:bCs/>
          <w:sz w:val="20"/>
          <w:szCs w:val="20"/>
          <w:lang w:val="es-ES_tradnl"/>
        </w:rPr>
        <w:t>No obstante, a</w:t>
      </w:r>
      <w:r w:rsidRPr="004606B1">
        <w:rPr>
          <w:bCs/>
          <w:sz w:val="20"/>
          <w:szCs w:val="20"/>
          <w:lang w:val="es-ES_tradnl"/>
        </w:rPr>
        <w:t xml:space="preserve">firman los peticionarios que el sistema de Justicia de Cobán, Alta Verapaz, retrasó el proceso de apelación presentado por la defensa del señor Caal Xól, argumentando el cierre de tribunales por la pandemia. Finalmente, en la sentencia, se aumentó la pena a siete años y cuatro meses. Indican los peticionarios que actualmente el proceso está en fase de casación, </w:t>
      </w:r>
      <w:r w:rsidRPr="004606B1">
        <w:rPr>
          <w:bCs/>
          <w:i/>
          <w:iCs/>
          <w:sz w:val="20"/>
          <w:szCs w:val="20"/>
          <w:lang w:val="es-ES_tradnl"/>
        </w:rPr>
        <w:t>“sin avance por los intentos de cooptación de la Corte Suprema de Justicia, salas de apelaciones y la misma Corte de Constitucional por parte de poderes facticos incrustados en el Estado”.</w:t>
      </w:r>
    </w:p>
    <w:p w14:paraId="43916808" w14:textId="5BF1D813" w:rsidR="00347CEE" w:rsidRPr="00AC4131" w:rsidRDefault="00347CEE" w:rsidP="00347CEE">
      <w:pPr>
        <w:pStyle w:val="ListParagraph"/>
        <w:numPr>
          <w:ilvl w:val="0"/>
          <w:numId w:val="56"/>
        </w:numPr>
        <w:spacing w:before="240" w:after="240"/>
        <w:ind w:left="142" w:firstLine="567"/>
        <w:jc w:val="both"/>
        <w:rPr>
          <w:bCs/>
          <w:sz w:val="20"/>
          <w:szCs w:val="20"/>
          <w:lang w:val="es-ES_tradnl"/>
        </w:rPr>
      </w:pPr>
      <w:r w:rsidRPr="00AC4131">
        <w:rPr>
          <w:bCs/>
          <w:sz w:val="20"/>
          <w:szCs w:val="20"/>
          <w:lang w:val="es-ES_tradnl"/>
        </w:rPr>
        <w:t>E</w:t>
      </w:r>
      <w:r w:rsidR="00466210" w:rsidRPr="00AC4131">
        <w:rPr>
          <w:bCs/>
          <w:sz w:val="20"/>
          <w:szCs w:val="20"/>
          <w:lang w:val="es-ES_tradnl"/>
        </w:rPr>
        <w:t>n búsqueda libre de la Comisión, se encontró que</w:t>
      </w:r>
      <w:r w:rsidR="00E81728" w:rsidRPr="00AC4131">
        <w:rPr>
          <w:bCs/>
          <w:sz w:val="20"/>
          <w:szCs w:val="20"/>
          <w:lang w:val="es-ES_tradnl"/>
        </w:rPr>
        <w:t xml:space="preserve"> el señor Caal Xól fue acusado de</w:t>
      </w:r>
      <w:r w:rsidR="005819CE" w:rsidRPr="00AC4131">
        <w:rPr>
          <w:bCs/>
          <w:sz w:val="20"/>
          <w:szCs w:val="20"/>
          <w:lang w:val="es-ES_tradnl"/>
        </w:rPr>
        <w:t xml:space="preserve"> robo y de</w:t>
      </w:r>
      <w:r w:rsidR="00E81728" w:rsidRPr="00AC4131">
        <w:rPr>
          <w:bCs/>
          <w:sz w:val="20"/>
          <w:szCs w:val="20"/>
          <w:lang w:val="es-ES_tradnl"/>
        </w:rPr>
        <w:t xml:space="preserve"> realizar actos de violencia contra empleados de una empresa contratista de Oxec el 15 de octubre de 2015</w:t>
      </w:r>
      <w:r w:rsidR="005819CE" w:rsidRPr="00AC4131">
        <w:rPr>
          <w:bCs/>
          <w:sz w:val="20"/>
          <w:szCs w:val="20"/>
          <w:lang w:val="es-ES_tradnl"/>
        </w:rPr>
        <w:t>;</w:t>
      </w:r>
      <w:r w:rsidR="00E81728" w:rsidRPr="00AC4131">
        <w:rPr>
          <w:bCs/>
          <w:sz w:val="20"/>
          <w:szCs w:val="20"/>
          <w:lang w:val="es-ES_tradnl"/>
        </w:rPr>
        <w:t xml:space="preserve"> </w:t>
      </w:r>
      <w:r w:rsidR="0074282A" w:rsidRPr="00AC4131">
        <w:rPr>
          <w:bCs/>
          <w:sz w:val="20"/>
          <w:szCs w:val="20"/>
          <w:lang w:val="es-ES_tradnl"/>
        </w:rPr>
        <w:lastRenderedPageBreak/>
        <w:t xml:space="preserve">por estos hechos </w:t>
      </w:r>
      <w:r w:rsidR="005819CE" w:rsidRPr="00AC4131">
        <w:rPr>
          <w:bCs/>
          <w:sz w:val="20"/>
          <w:szCs w:val="20"/>
          <w:lang w:val="es-ES_tradnl"/>
        </w:rPr>
        <w:t xml:space="preserve">permaneció </w:t>
      </w:r>
      <w:r w:rsidR="00865E9E" w:rsidRPr="00AC4131">
        <w:rPr>
          <w:bCs/>
          <w:sz w:val="20"/>
          <w:szCs w:val="20"/>
          <w:lang w:val="es-ES_tradnl"/>
        </w:rPr>
        <w:t>tres años</w:t>
      </w:r>
      <w:r w:rsidR="005819CE" w:rsidRPr="00AC4131">
        <w:rPr>
          <w:bCs/>
          <w:sz w:val="20"/>
          <w:szCs w:val="20"/>
          <w:lang w:val="es-ES_tradnl"/>
        </w:rPr>
        <w:t xml:space="preserve"> en prisión preventiva</w:t>
      </w:r>
      <w:r w:rsidR="005819CE" w:rsidRPr="00AC4131">
        <w:rPr>
          <w:rStyle w:val="FootnoteReference"/>
          <w:bCs/>
          <w:sz w:val="20"/>
          <w:szCs w:val="20"/>
          <w:lang w:val="es-ES_tradnl"/>
        </w:rPr>
        <w:footnoteReference w:id="14"/>
      </w:r>
      <w:r w:rsidR="00D179F3" w:rsidRPr="00AC4131">
        <w:rPr>
          <w:bCs/>
          <w:sz w:val="20"/>
          <w:szCs w:val="20"/>
          <w:lang w:val="es-ES_tradnl"/>
        </w:rPr>
        <w:t>,</w:t>
      </w:r>
      <w:r w:rsidR="005819CE" w:rsidRPr="00AC4131">
        <w:rPr>
          <w:bCs/>
          <w:sz w:val="20"/>
          <w:szCs w:val="20"/>
          <w:lang w:val="es-ES_tradnl"/>
        </w:rPr>
        <w:t xml:space="preserve"> y</w:t>
      </w:r>
      <w:r w:rsidR="00E81728" w:rsidRPr="00AC4131">
        <w:rPr>
          <w:bCs/>
          <w:sz w:val="20"/>
          <w:szCs w:val="20"/>
          <w:lang w:val="es-ES_tradnl"/>
        </w:rPr>
        <w:t xml:space="preserve"> el 9 de noviembre de 2018 fue condenado a siete años y cuatro meses de prisión por los delitos de detenciones ilegales con circunstancias agravantes</w:t>
      </w:r>
      <w:r w:rsidR="00C60769" w:rsidRPr="00AC4131">
        <w:rPr>
          <w:bCs/>
          <w:sz w:val="20"/>
          <w:szCs w:val="20"/>
          <w:lang w:val="es-ES_tradnl"/>
        </w:rPr>
        <w:t xml:space="preserve">, por haber </w:t>
      </w:r>
      <w:r w:rsidR="000820F4" w:rsidRPr="00AC4131">
        <w:rPr>
          <w:bCs/>
          <w:sz w:val="20"/>
          <w:szCs w:val="20"/>
          <w:lang w:val="es-ES_tradnl"/>
        </w:rPr>
        <w:t xml:space="preserve">retenido a consultores de la empresa Oxec; </w:t>
      </w:r>
      <w:r w:rsidR="00E81728" w:rsidRPr="00AC4131">
        <w:rPr>
          <w:bCs/>
          <w:sz w:val="20"/>
          <w:szCs w:val="20"/>
          <w:lang w:val="es-ES_tradnl"/>
        </w:rPr>
        <w:t>y robo agravado</w:t>
      </w:r>
      <w:r w:rsidR="000820F4" w:rsidRPr="00AC4131">
        <w:rPr>
          <w:bCs/>
          <w:sz w:val="20"/>
          <w:szCs w:val="20"/>
          <w:lang w:val="es-ES_tradnl"/>
        </w:rPr>
        <w:t>, de bienes de esta empresa</w:t>
      </w:r>
      <w:r w:rsidR="00E81728" w:rsidRPr="00AC4131">
        <w:rPr>
          <w:rStyle w:val="FootnoteReference"/>
          <w:bCs/>
          <w:sz w:val="20"/>
          <w:szCs w:val="20"/>
          <w:lang w:val="es-ES_tradnl"/>
        </w:rPr>
        <w:footnoteReference w:id="15"/>
      </w:r>
      <w:r w:rsidR="00E81728" w:rsidRPr="00AC4131">
        <w:rPr>
          <w:bCs/>
          <w:sz w:val="20"/>
          <w:szCs w:val="20"/>
          <w:lang w:val="es-ES_tradnl"/>
        </w:rPr>
        <w:t xml:space="preserve">. Por lo tanto, </w:t>
      </w:r>
      <w:r w:rsidRPr="00AC4131">
        <w:rPr>
          <w:bCs/>
          <w:sz w:val="20"/>
          <w:szCs w:val="20"/>
          <w:lang w:val="es-ES_tradnl"/>
        </w:rPr>
        <w:t>la defensa del señor Caal Xól, presentó un recurso de casación ante la Corte Suprema de Justicia en septiembre de 2021</w:t>
      </w:r>
      <w:r w:rsidR="00D85B7C" w:rsidRPr="00AC4131">
        <w:rPr>
          <w:bCs/>
          <w:sz w:val="20"/>
          <w:szCs w:val="20"/>
          <w:lang w:val="es-ES_tradnl"/>
        </w:rPr>
        <w:t>,</w:t>
      </w:r>
      <w:r w:rsidRPr="00AC4131">
        <w:rPr>
          <w:bCs/>
          <w:sz w:val="20"/>
          <w:szCs w:val="20"/>
          <w:lang w:val="es-ES_tradnl"/>
        </w:rPr>
        <w:t xml:space="preserve"> </w:t>
      </w:r>
      <w:r w:rsidRPr="00AC4131">
        <w:rPr>
          <w:bCs/>
          <w:i/>
          <w:iCs/>
          <w:sz w:val="20"/>
          <w:szCs w:val="20"/>
          <w:lang w:val="es-ES_tradnl"/>
        </w:rPr>
        <w:t>“para revisar la sentencia por fallas a sus derechos humanos, pero la Sala Penal del Tribunal Supremo lo rechazó”</w:t>
      </w:r>
      <w:r w:rsidRPr="00AC4131">
        <w:rPr>
          <w:rStyle w:val="FootnoteReference"/>
          <w:bCs/>
          <w:sz w:val="20"/>
          <w:szCs w:val="20"/>
          <w:lang w:val="es-ES_tradnl"/>
        </w:rPr>
        <w:footnoteReference w:id="16"/>
      </w:r>
      <w:r w:rsidRPr="00AC4131">
        <w:rPr>
          <w:bCs/>
          <w:i/>
          <w:iCs/>
          <w:sz w:val="20"/>
          <w:szCs w:val="20"/>
          <w:lang w:val="es-ES_tradnl"/>
        </w:rPr>
        <w:t>.</w:t>
      </w:r>
      <w:r w:rsidRPr="00AC4131">
        <w:rPr>
          <w:bCs/>
          <w:sz w:val="20"/>
          <w:szCs w:val="20"/>
          <w:lang w:val="es-ES_tradnl"/>
        </w:rPr>
        <w:t xml:space="preserve"> Ante ello, el señor Caal Xól presentó un recurso de amparo que aún no se había resuelto en 202</w:t>
      </w:r>
      <w:r w:rsidR="00E81728" w:rsidRPr="00AC4131">
        <w:rPr>
          <w:bCs/>
          <w:sz w:val="20"/>
          <w:szCs w:val="20"/>
          <w:lang w:val="es-ES_tradnl"/>
        </w:rPr>
        <w:t>2; sin embargo, el 24 de marzo de 2022 el señor Caal Xól salió del centro penitenciario de Cobán por buen comportamiento, pero continúa condenado</w:t>
      </w:r>
      <w:r w:rsidR="00E81728" w:rsidRPr="00AC4131">
        <w:rPr>
          <w:rStyle w:val="FootnoteReference"/>
          <w:bCs/>
          <w:sz w:val="20"/>
          <w:szCs w:val="20"/>
          <w:lang w:val="es-ES_tradnl"/>
        </w:rPr>
        <w:footnoteReference w:id="17"/>
      </w:r>
      <w:r w:rsidRPr="00AC4131">
        <w:rPr>
          <w:bCs/>
          <w:sz w:val="20"/>
          <w:szCs w:val="20"/>
          <w:lang w:val="es-ES_tradnl"/>
        </w:rPr>
        <w:t>.</w:t>
      </w:r>
    </w:p>
    <w:p w14:paraId="06CDC0EB" w14:textId="2D81AD26" w:rsidR="00372523" w:rsidRPr="004606B1" w:rsidRDefault="005819CE" w:rsidP="004606B1">
      <w:pPr>
        <w:pStyle w:val="ListParagraph"/>
        <w:numPr>
          <w:ilvl w:val="0"/>
          <w:numId w:val="56"/>
        </w:numPr>
        <w:spacing w:before="240" w:after="240"/>
        <w:ind w:left="142" w:firstLine="567"/>
        <w:jc w:val="both"/>
        <w:rPr>
          <w:bCs/>
          <w:sz w:val="20"/>
          <w:szCs w:val="20"/>
          <w:lang w:val="es-ES_tradnl"/>
        </w:rPr>
      </w:pPr>
      <w:r>
        <w:rPr>
          <w:bCs/>
          <w:sz w:val="20"/>
          <w:szCs w:val="20"/>
          <w:lang w:val="es-ES_tradnl"/>
        </w:rPr>
        <w:t>Los peticionarios i</w:t>
      </w:r>
      <w:r w:rsidR="00372523" w:rsidRPr="004606B1">
        <w:rPr>
          <w:bCs/>
          <w:sz w:val="20"/>
          <w:szCs w:val="20"/>
          <w:lang w:val="es-ES_tradnl"/>
        </w:rPr>
        <w:t>nforma</w:t>
      </w:r>
      <w:r w:rsidR="00271F4E" w:rsidRPr="004606B1">
        <w:rPr>
          <w:bCs/>
          <w:sz w:val="20"/>
          <w:szCs w:val="20"/>
          <w:lang w:val="es-ES_tradnl"/>
        </w:rPr>
        <w:t>n</w:t>
      </w:r>
      <w:r w:rsidR="00372523" w:rsidRPr="004606B1">
        <w:rPr>
          <w:bCs/>
          <w:sz w:val="20"/>
          <w:szCs w:val="20"/>
          <w:lang w:val="es-ES_tradnl"/>
        </w:rPr>
        <w:t xml:space="preserve"> que la Relatora Especial para Pueblos Indígenas de las Naciones Unidas conoció el Caso de Bernardo Caal y las comunidades Q’eqchi’</w:t>
      </w:r>
      <w:r w:rsidR="009456AC" w:rsidRPr="004606B1">
        <w:rPr>
          <w:bCs/>
          <w:sz w:val="20"/>
          <w:szCs w:val="20"/>
          <w:lang w:val="es-ES_tradnl"/>
        </w:rPr>
        <w:t>s</w:t>
      </w:r>
      <w:r w:rsidR="00372523" w:rsidRPr="004606B1">
        <w:rPr>
          <w:bCs/>
          <w:sz w:val="20"/>
          <w:szCs w:val="20"/>
          <w:lang w:val="es-ES_tradnl"/>
        </w:rPr>
        <w:t xml:space="preserve"> en resistencia y </w:t>
      </w:r>
      <w:r w:rsidR="00250690" w:rsidRPr="004606B1">
        <w:rPr>
          <w:bCs/>
          <w:sz w:val="20"/>
          <w:szCs w:val="20"/>
          <w:lang w:val="es-ES_tradnl"/>
        </w:rPr>
        <w:t>rindió</w:t>
      </w:r>
      <w:r w:rsidR="00372523" w:rsidRPr="004606B1">
        <w:rPr>
          <w:bCs/>
          <w:sz w:val="20"/>
          <w:szCs w:val="20"/>
          <w:lang w:val="es-ES_tradnl"/>
        </w:rPr>
        <w:t xml:space="preserve"> informe sobre esta </w:t>
      </w:r>
      <w:r w:rsidR="00250690" w:rsidRPr="004606B1">
        <w:rPr>
          <w:bCs/>
          <w:sz w:val="20"/>
          <w:szCs w:val="20"/>
          <w:lang w:val="es-ES_tradnl"/>
        </w:rPr>
        <w:t>situación</w:t>
      </w:r>
      <w:r w:rsidR="00250690" w:rsidRPr="004606B1">
        <w:rPr>
          <w:rStyle w:val="FootnoteReference"/>
          <w:bCs/>
          <w:sz w:val="20"/>
          <w:szCs w:val="20"/>
          <w:lang w:val="es-ES_tradnl"/>
        </w:rPr>
        <w:footnoteReference w:id="18"/>
      </w:r>
      <w:r w:rsidR="00372523" w:rsidRPr="004606B1">
        <w:rPr>
          <w:bCs/>
          <w:sz w:val="20"/>
          <w:szCs w:val="20"/>
          <w:lang w:val="es-ES_tradnl"/>
        </w:rPr>
        <w:t xml:space="preserve">; </w:t>
      </w:r>
      <w:r w:rsidR="00250690" w:rsidRPr="004606B1">
        <w:rPr>
          <w:bCs/>
          <w:sz w:val="20"/>
          <w:szCs w:val="20"/>
          <w:lang w:val="es-ES_tradnl"/>
        </w:rPr>
        <w:t>también</w:t>
      </w:r>
      <w:r w:rsidR="00372523" w:rsidRPr="004606B1">
        <w:rPr>
          <w:bCs/>
          <w:sz w:val="20"/>
          <w:szCs w:val="20"/>
          <w:lang w:val="es-ES_tradnl"/>
        </w:rPr>
        <w:t xml:space="preserve"> la </w:t>
      </w:r>
      <w:r w:rsidR="00250690" w:rsidRPr="004606B1">
        <w:rPr>
          <w:bCs/>
          <w:sz w:val="20"/>
          <w:szCs w:val="20"/>
          <w:lang w:val="es-ES_tradnl"/>
        </w:rPr>
        <w:t>organización</w:t>
      </w:r>
      <w:r w:rsidR="00372523" w:rsidRPr="004606B1">
        <w:rPr>
          <w:bCs/>
          <w:sz w:val="20"/>
          <w:szCs w:val="20"/>
          <w:lang w:val="es-ES_tradnl"/>
        </w:rPr>
        <w:t xml:space="preserve"> </w:t>
      </w:r>
      <w:r w:rsidR="00250690" w:rsidRPr="004606B1">
        <w:rPr>
          <w:bCs/>
          <w:sz w:val="20"/>
          <w:szCs w:val="20"/>
          <w:lang w:val="es-ES_tradnl"/>
        </w:rPr>
        <w:t>Amnistía</w:t>
      </w:r>
      <w:r w:rsidR="00372523" w:rsidRPr="004606B1">
        <w:rPr>
          <w:bCs/>
          <w:sz w:val="20"/>
          <w:szCs w:val="20"/>
          <w:lang w:val="es-ES_tradnl"/>
        </w:rPr>
        <w:t xml:space="preserve"> </w:t>
      </w:r>
      <w:r w:rsidR="00250690" w:rsidRPr="004606B1">
        <w:rPr>
          <w:bCs/>
          <w:sz w:val="20"/>
          <w:szCs w:val="20"/>
          <w:lang w:val="es-ES_tradnl"/>
        </w:rPr>
        <w:t xml:space="preserve">Internacional, </w:t>
      </w:r>
      <w:r w:rsidR="00FD148D" w:rsidRPr="004606B1">
        <w:rPr>
          <w:bCs/>
          <w:sz w:val="20"/>
          <w:szCs w:val="20"/>
          <w:lang w:val="es-ES_tradnl"/>
        </w:rPr>
        <w:t>se pronunció</w:t>
      </w:r>
      <w:r w:rsidR="00372523" w:rsidRPr="004606B1">
        <w:rPr>
          <w:bCs/>
          <w:sz w:val="20"/>
          <w:szCs w:val="20"/>
          <w:lang w:val="es-ES_tradnl"/>
        </w:rPr>
        <w:t xml:space="preserve"> sobre el caso en 2019</w:t>
      </w:r>
      <w:r w:rsidR="00347CEE">
        <w:rPr>
          <w:bCs/>
          <w:sz w:val="20"/>
          <w:szCs w:val="20"/>
          <w:lang w:val="es-ES_tradnl"/>
        </w:rPr>
        <w:t xml:space="preserve"> y 2020</w:t>
      </w:r>
      <w:r w:rsidR="00347CEE">
        <w:rPr>
          <w:rStyle w:val="FootnoteReference"/>
          <w:bCs/>
          <w:sz w:val="20"/>
          <w:szCs w:val="20"/>
          <w:lang w:val="es-ES_tradnl"/>
        </w:rPr>
        <w:footnoteReference w:id="19"/>
      </w:r>
      <w:r w:rsidR="00372523" w:rsidRPr="004606B1">
        <w:rPr>
          <w:bCs/>
          <w:sz w:val="20"/>
          <w:szCs w:val="20"/>
          <w:lang w:val="es-ES_tradnl"/>
        </w:rPr>
        <w:t xml:space="preserve">. </w:t>
      </w:r>
    </w:p>
    <w:p w14:paraId="71B1F6C1" w14:textId="08E1FAC3" w:rsidR="00BE1CD1" w:rsidRPr="004606B1" w:rsidRDefault="00BE1CD1" w:rsidP="004606B1">
      <w:pPr>
        <w:pStyle w:val="ListParagraph"/>
        <w:numPr>
          <w:ilvl w:val="0"/>
          <w:numId w:val="56"/>
        </w:numPr>
        <w:spacing w:before="240" w:after="240"/>
        <w:ind w:left="142" w:firstLine="567"/>
        <w:jc w:val="both"/>
        <w:rPr>
          <w:bCs/>
          <w:sz w:val="20"/>
          <w:szCs w:val="20"/>
          <w:lang w:val="es-ES_tradnl"/>
        </w:rPr>
      </w:pPr>
      <w:r w:rsidRPr="004606B1">
        <w:rPr>
          <w:bCs/>
          <w:sz w:val="20"/>
          <w:szCs w:val="20"/>
          <w:lang w:val="es-ES_tradnl"/>
        </w:rPr>
        <w:t>Cabe señalar que</w:t>
      </w:r>
      <w:r w:rsidR="00271F4E" w:rsidRPr="004606B1">
        <w:rPr>
          <w:bCs/>
          <w:sz w:val="20"/>
          <w:szCs w:val="20"/>
          <w:lang w:val="es-ES_tradnl"/>
        </w:rPr>
        <w:t>,</w:t>
      </w:r>
      <w:r w:rsidRPr="004606B1">
        <w:rPr>
          <w:bCs/>
          <w:sz w:val="20"/>
          <w:szCs w:val="20"/>
          <w:lang w:val="es-ES_tradnl"/>
        </w:rPr>
        <w:t xml:space="preserve"> en comunicaciones posteriores a la petición, la parte peticionaria enlista una serie de derechos que considera violentados, a saber: “</w:t>
      </w:r>
      <w:r w:rsidRPr="004606B1">
        <w:rPr>
          <w:bCs/>
          <w:i/>
          <w:iCs/>
          <w:sz w:val="20"/>
          <w:szCs w:val="20"/>
          <w:lang w:val="es-ES_tradnl"/>
        </w:rPr>
        <w:t xml:space="preserve">libre determinación, derechos colectivos de los pueblos indígenas, a pertenecer a pueblos indígenas, a la personalidad jurídica, a la identidad cultural, a la espiritualidad indígena, a la salud, protección al medio ambiente sano, asociación, reunión, libertad de expresión y pensamiento, autonomía y autogobierno, a tierras, territorios y recursos, al desarrollo, a la paz, a la seguridad y protección, a recursos efectivos e idóneos y al derecho de consulta de los pueblos indígenas de conformidad con lo establecido en el Convenio de 169 de la OIT”. </w:t>
      </w:r>
      <w:r w:rsidRPr="004606B1">
        <w:rPr>
          <w:bCs/>
          <w:sz w:val="20"/>
          <w:szCs w:val="20"/>
          <w:lang w:val="es-ES_tradnl"/>
        </w:rPr>
        <w:t xml:space="preserve">No obstante, </w:t>
      </w:r>
      <w:r w:rsidR="00271F4E" w:rsidRPr="004606B1">
        <w:rPr>
          <w:bCs/>
          <w:sz w:val="20"/>
          <w:szCs w:val="20"/>
          <w:lang w:val="es-ES_tradnl"/>
        </w:rPr>
        <w:t xml:space="preserve">los peticionarios </w:t>
      </w:r>
      <w:r w:rsidR="008747D5">
        <w:rPr>
          <w:bCs/>
          <w:sz w:val="20"/>
          <w:szCs w:val="20"/>
          <w:lang w:val="es-ES_tradnl"/>
        </w:rPr>
        <w:t>ú</w:t>
      </w:r>
      <w:r w:rsidR="008747D5" w:rsidRPr="004606B1">
        <w:rPr>
          <w:bCs/>
          <w:sz w:val="20"/>
          <w:szCs w:val="20"/>
          <w:lang w:val="es-ES_tradnl"/>
        </w:rPr>
        <w:t>nicamente</w:t>
      </w:r>
      <w:r w:rsidRPr="004606B1">
        <w:rPr>
          <w:bCs/>
          <w:sz w:val="20"/>
          <w:szCs w:val="20"/>
          <w:lang w:val="es-ES_tradnl"/>
        </w:rPr>
        <w:t xml:space="preserve"> </w:t>
      </w:r>
      <w:r w:rsidR="00250690" w:rsidRPr="004606B1">
        <w:rPr>
          <w:bCs/>
          <w:sz w:val="20"/>
          <w:szCs w:val="20"/>
          <w:lang w:val="es-ES_tradnl"/>
        </w:rPr>
        <w:t xml:space="preserve">mencionan </w:t>
      </w:r>
      <w:r w:rsidR="001650A7">
        <w:rPr>
          <w:bCs/>
          <w:sz w:val="20"/>
          <w:szCs w:val="20"/>
          <w:lang w:val="es-ES_tradnl"/>
        </w:rPr>
        <w:t>que</w:t>
      </w:r>
      <w:r w:rsidRPr="004606B1">
        <w:rPr>
          <w:bCs/>
          <w:sz w:val="20"/>
          <w:szCs w:val="20"/>
          <w:lang w:val="es-ES_tradnl"/>
        </w:rPr>
        <w:t xml:space="preserve"> </w:t>
      </w:r>
      <w:r w:rsidRPr="004606B1">
        <w:rPr>
          <w:bCs/>
          <w:i/>
          <w:iCs/>
          <w:sz w:val="20"/>
          <w:szCs w:val="20"/>
          <w:lang w:val="es-ES_tradnl"/>
        </w:rPr>
        <w:t>“l</w:t>
      </w:r>
      <w:r w:rsidRPr="004606B1">
        <w:rPr>
          <w:bCs/>
          <w:i/>
          <w:iCs/>
          <w:sz w:val="20"/>
          <w:szCs w:val="20"/>
          <w:lang w:val="es-ES"/>
        </w:rPr>
        <w:t>a implementación de los Proyectos Hidroeléctricos les afecta</w:t>
      </w:r>
      <w:r w:rsidR="00401C00" w:rsidRPr="004606B1">
        <w:rPr>
          <w:bCs/>
          <w:i/>
          <w:iCs/>
          <w:sz w:val="20"/>
          <w:szCs w:val="20"/>
          <w:lang w:val="es-ES"/>
        </w:rPr>
        <w:t xml:space="preserve"> [</w:t>
      </w:r>
      <w:r w:rsidR="00401C00" w:rsidRPr="004606B1">
        <w:rPr>
          <w:bCs/>
          <w:i/>
          <w:iCs/>
          <w:sz w:val="20"/>
          <w:szCs w:val="20"/>
          <w:lang w:val="es-ES_tradnl"/>
        </w:rPr>
        <w:t>a las comunidades Q’eqchi’s</w:t>
      </w:r>
      <w:r w:rsidR="00401C00" w:rsidRPr="004606B1">
        <w:rPr>
          <w:bCs/>
          <w:i/>
          <w:iCs/>
          <w:sz w:val="20"/>
          <w:szCs w:val="20"/>
          <w:lang w:val="es-ES"/>
        </w:rPr>
        <w:t>]</w:t>
      </w:r>
      <w:r w:rsidRPr="004606B1">
        <w:rPr>
          <w:bCs/>
          <w:i/>
          <w:iCs/>
          <w:sz w:val="20"/>
          <w:szCs w:val="20"/>
          <w:lang w:val="es-ES"/>
        </w:rPr>
        <w:t xml:space="preserve"> en su libre acceso al agua, salud y a tener un ambiente sano, debido a que los </w:t>
      </w:r>
      <w:r w:rsidR="00250690" w:rsidRPr="004606B1">
        <w:rPr>
          <w:bCs/>
          <w:i/>
          <w:iCs/>
          <w:sz w:val="20"/>
          <w:szCs w:val="20"/>
          <w:lang w:val="es-ES"/>
        </w:rPr>
        <w:t>ríos</w:t>
      </w:r>
      <w:r w:rsidRPr="004606B1">
        <w:rPr>
          <w:bCs/>
          <w:i/>
          <w:iCs/>
          <w:sz w:val="20"/>
          <w:szCs w:val="20"/>
          <w:lang w:val="es-ES"/>
        </w:rPr>
        <w:t xml:space="preserve"> son desviados por completo de su cauce natural</w:t>
      </w:r>
      <w:r w:rsidRPr="004606B1">
        <w:rPr>
          <w:bCs/>
          <w:sz w:val="20"/>
          <w:szCs w:val="20"/>
          <w:lang w:val="es-ES_tradnl"/>
        </w:rPr>
        <w:t>”</w:t>
      </w:r>
      <w:r w:rsidR="001650A7">
        <w:rPr>
          <w:bCs/>
          <w:sz w:val="20"/>
          <w:szCs w:val="20"/>
          <w:lang w:val="es-ES_tradnl"/>
        </w:rPr>
        <w:t>.</w:t>
      </w:r>
    </w:p>
    <w:p w14:paraId="6ACDD7D1" w14:textId="2F248FD8" w:rsidR="003220D1" w:rsidRPr="004606B1" w:rsidRDefault="003220D1" w:rsidP="004606B1">
      <w:pPr>
        <w:pStyle w:val="ListParagraph"/>
        <w:numPr>
          <w:ilvl w:val="0"/>
          <w:numId w:val="56"/>
        </w:numPr>
        <w:spacing w:before="240" w:after="240"/>
        <w:ind w:left="142" w:firstLine="567"/>
        <w:jc w:val="both"/>
        <w:rPr>
          <w:bCs/>
          <w:sz w:val="20"/>
          <w:szCs w:val="20"/>
          <w:lang w:val="es-ES_tradnl"/>
        </w:rPr>
      </w:pPr>
      <w:r w:rsidRPr="004606B1">
        <w:rPr>
          <w:bCs/>
          <w:sz w:val="20"/>
          <w:szCs w:val="20"/>
          <w:lang w:val="es-ES_tradnl"/>
        </w:rPr>
        <w:t xml:space="preserve">En comunicaciones </w:t>
      </w:r>
      <w:r w:rsidR="00372523" w:rsidRPr="004606B1">
        <w:rPr>
          <w:bCs/>
          <w:sz w:val="20"/>
          <w:szCs w:val="20"/>
          <w:lang w:val="es-ES_tradnl"/>
        </w:rPr>
        <w:t>de 2021</w:t>
      </w:r>
      <w:r w:rsidRPr="004606B1">
        <w:rPr>
          <w:bCs/>
          <w:sz w:val="20"/>
          <w:szCs w:val="20"/>
          <w:lang w:val="es-ES_tradnl"/>
        </w:rPr>
        <w:t>, la parte peticionaria indica que las consultas a las comunidades Q’eqchi’</w:t>
      </w:r>
      <w:r w:rsidR="009456AC" w:rsidRPr="004606B1">
        <w:rPr>
          <w:bCs/>
          <w:sz w:val="20"/>
          <w:szCs w:val="20"/>
          <w:lang w:val="es-ES_tradnl"/>
        </w:rPr>
        <w:t>s</w:t>
      </w:r>
      <w:r w:rsidRPr="004606B1">
        <w:rPr>
          <w:bCs/>
          <w:sz w:val="20"/>
          <w:szCs w:val="20"/>
          <w:lang w:val="es-ES_tradnl"/>
        </w:rPr>
        <w:t xml:space="preserve"> se han realizado fuera de su territorio y sin la presencia de representantes indígenas. Además, que la sentencia de 2017 de la Corte Constitucional aún no se ejecuta porque no se ha elaborado y aprobado la guía de consultas</w:t>
      </w:r>
      <w:r w:rsidR="00240814" w:rsidRPr="004606B1">
        <w:rPr>
          <w:bCs/>
          <w:sz w:val="20"/>
          <w:szCs w:val="20"/>
          <w:lang w:val="es-ES_tradnl"/>
        </w:rPr>
        <w:t>.</w:t>
      </w:r>
    </w:p>
    <w:p w14:paraId="6B9AD5F5" w14:textId="77777777" w:rsidR="00AB2236" w:rsidRPr="00AB2236" w:rsidRDefault="009456AC" w:rsidP="00AB2236">
      <w:pPr>
        <w:pStyle w:val="ListParagraph"/>
        <w:numPr>
          <w:ilvl w:val="0"/>
          <w:numId w:val="56"/>
        </w:numPr>
        <w:spacing w:before="240" w:after="240"/>
        <w:ind w:left="142" w:firstLine="567"/>
        <w:jc w:val="both"/>
        <w:rPr>
          <w:bCs/>
          <w:sz w:val="20"/>
          <w:szCs w:val="20"/>
          <w:lang w:val="es-ES_tradnl"/>
        </w:rPr>
      </w:pPr>
      <w:r w:rsidRPr="004606B1">
        <w:rPr>
          <w:bCs/>
          <w:sz w:val="20"/>
          <w:szCs w:val="20"/>
          <w:lang w:val="es-ES"/>
        </w:rPr>
        <w:t xml:space="preserve">Finalmente, indican que el señor Caal Xól denunció que el territorio en donde se construyeron las dos plantas hidroeléctricas había sido comprado de forma fraudulenta, </w:t>
      </w:r>
      <w:r w:rsidR="00543C6D" w:rsidRPr="004606B1">
        <w:rPr>
          <w:bCs/>
          <w:sz w:val="20"/>
          <w:szCs w:val="20"/>
          <w:lang w:val="es-ES"/>
        </w:rPr>
        <w:t>y</w:t>
      </w:r>
      <w:r w:rsidRPr="004606B1">
        <w:rPr>
          <w:bCs/>
          <w:sz w:val="20"/>
          <w:szCs w:val="20"/>
          <w:lang w:val="es-ES"/>
        </w:rPr>
        <w:t xml:space="preserve"> que el Ministerio Público no realizó investigación alguna. </w:t>
      </w:r>
      <w:r w:rsidR="00543C6D" w:rsidRPr="004606B1">
        <w:rPr>
          <w:bCs/>
          <w:sz w:val="20"/>
          <w:szCs w:val="20"/>
          <w:lang w:val="es-ES"/>
        </w:rPr>
        <w:t>–</w:t>
      </w:r>
      <w:r w:rsidRPr="004606B1">
        <w:rPr>
          <w:bCs/>
          <w:sz w:val="20"/>
          <w:szCs w:val="20"/>
          <w:lang w:val="es-ES"/>
        </w:rPr>
        <w:t>No hay más información en el expediente acerca de este punto</w:t>
      </w:r>
      <w:r w:rsidR="00543C6D" w:rsidRPr="004606B1">
        <w:rPr>
          <w:bCs/>
          <w:sz w:val="20"/>
          <w:szCs w:val="20"/>
          <w:lang w:val="es-ES"/>
        </w:rPr>
        <w:t>–</w:t>
      </w:r>
      <w:r w:rsidRPr="004606B1">
        <w:rPr>
          <w:bCs/>
          <w:sz w:val="20"/>
          <w:szCs w:val="20"/>
          <w:lang w:val="es-ES"/>
        </w:rPr>
        <w:t>.</w:t>
      </w:r>
    </w:p>
    <w:p w14:paraId="12E73909" w14:textId="19A1B49E" w:rsidR="00BE1CD1" w:rsidRPr="00AB2236" w:rsidRDefault="00BE1CD1" w:rsidP="00AB2236">
      <w:pPr>
        <w:pStyle w:val="ListParagraph"/>
        <w:spacing w:before="240" w:after="240"/>
        <w:ind w:left="709"/>
        <w:jc w:val="both"/>
        <w:rPr>
          <w:bCs/>
          <w:sz w:val="20"/>
          <w:szCs w:val="20"/>
          <w:lang w:val="es-ES_tradnl"/>
        </w:rPr>
      </w:pPr>
      <w:r w:rsidRPr="00AB2236">
        <w:rPr>
          <w:rFonts w:asciiTheme="majorHAnsi" w:hAnsiTheme="majorHAnsi"/>
          <w:i/>
          <w:iCs/>
          <w:sz w:val="20"/>
          <w:szCs w:val="20"/>
          <w:lang w:val="es-ES_tradnl"/>
        </w:rPr>
        <w:lastRenderedPageBreak/>
        <w:t>Argumentos del Estado guatemalteco</w:t>
      </w:r>
    </w:p>
    <w:p w14:paraId="3806FB74" w14:textId="568E9B05" w:rsidR="00BE1CD1" w:rsidRPr="004606B1" w:rsidRDefault="00BE1CD1" w:rsidP="004606B1">
      <w:pPr>
        <w:pStyle w:val="ListParagraph"/>
        <w:numPr>
          <w:ilvl w:val="0"/>
          <w:numId w:val="56"/>
        </w:numPr>
        <w:spacing w:before="240" w:after="240"/>
        <w:ind w:left="142" w:firstLine="567"/>
        <w:jc w:val="both"/>
        <w:rPr>
          <w:bCs/>
          <w:sz w:val="20"/>
          <w:szCs w:val="20"/>
          <w:lang w:val="es-ES_tradnl"/>
        </w:rPr>
      </w:pPr>
      <w:r w:rsidRPr="004606B1">
        <w:rPr>
          <w:rFonts w:cstheme="minorHAnsi"/>
          <w:bCs/>
          <w:sz w:val="20"/>
          <w:szCs w:val="20"/>
          <w:lang w:val="es-ES_tradnl"/>
        </w:rPr>
        <w:t>El Estado guatemalteco argumenta que la presente petición no cumple con los requisitos de admisibilidad previstos por la Convención Americana y el Reglamento de la Comisión. Particularmente, indica que hay</w:t>
      </w:r>
      <w:r w:rsidR="00BE2414" w:rsidRPr="004606B1">
        <w:rPr>
          <w:rFonts w:cstheme="minorHAnsi"/>
          <w:bCs/>
          <w:sz w:val="20"/>
          <w:szCs w:val="20"/>
          <w:lang w:val="es-ES_tradnl"/>
        </w:rPr>
        <w:t>:</w:t>
      </w:r>
      <w:r w:rsidRPr="004606B1">
        <w:rPr>
          <w:rFonts w:cstheme="minorHAnsi"/>
          <w:bCs/>
          <w:sz w:val="20"/>
          <w:szCs w:val="20"/>
          <w:lang w:val="es-ES_tradnl"/>
        </w:rPr>
        <w:t xml:space="preserve"> i) falta de competencia personal; ii) falta de legitimidad del peticionario para representar a la comunidad indígena; iii) falta de competencia material; y iv) falta de caracterización </w:t>
      </w:r>
      <w:r w:rsidR="00427218" w:rsidRPr="004606B1">
        <w:rPr>
          <w:rFonts w:cstheme="minorHAnsi"/>
          <w:bCs/>
          <w:sz w:val="20"/>
          <w:szCs w:val="20"/>
          <w:lang w:val="es-ES_tradnl"/>
        </w:rPr>
        <w:t>(</w:t>
      </w:r>
      <w:r w:rsidRPr="004606B1">
        <w:rPr>
          <w:rFonts w:cstheme="minorHAnsi"/>
          <w:bCs/>
          <w:sz w:val="20"/>
          <w:szCs w:val="20"/>
          <w:lang w:val="es-ES_tradnl"/>
        </w:rPr>
        <w:t>fórmula de cuarta instancia</w:t>
      </w:r>
      <w:r w:rsidR="00427218" w:rsidRPr="004606B1">
        <w:rPr>
          <w:rFonts w:cstheme="minorHAnsi"/>
          <w:bCs/>
          <w:sz w:val="20"/>
          <w:szCs w:val="20"/>
          <w:lang w:val="es-ES_tradnl"/>
        </w:rPr>
        <w:t>)</w:t>
      </w:r>
      <w:r w:rsidRPr="004606B1">
        <w:rPr>
          <w:rFonts w:cstheme="minorHAnsi"/>
          <w:bCs/>
          <w:sz w:val="20"/>
          <w:szCs w:val="20"/>
          <w:lang w:val="es-ES_tradnl"/>
        </w:rPr>
        <w:t xml:space="preserve">.  </w:t>
      </w:r>
    </w:p>
    <w:p w14:paraId="170EF3E6" w14:textId="77777777" w:rsidR="00BE1CD1" w:rsidRPr="004606B1" w:rsidRDefault="00BE1CD1" w:rsidP="004606B1">
      <w:pPr>
        <w:pStyle w:val="ListParagraph"/>
        <w:numPr>
          <w:ilvl w:val="0"/>
          <w:numId w:val="56"/>
        </w:numPr>
        <w:spacing w:before="240" w:after="240"/>
        <w:ind w:left="142" w:firstLine="567"/>
        <w:jc w:val="both"/>
        <w:rPr>
          <w:bCs/>
          <w:sz w:val="20"/>
          <w:szCs w:val="20"/>
          <w:lang w:val="es-ES_tradnl"/>
        </w:rPr>
      </w:pPr>
      <w:r w:rsidRPr="004606B1">
        <w:rPr>
          <w:rFonts w:cstheme="minorHAnsi"/>
          <w:bCs/>
          <w:sz w:val="20"/>
          <w:szCs w:val="20"/>
          <w:lang w:val="es-ES_tradnl"/>
        </w:rPr>
        <w:t xml:space="preserve">En cuanto a la falta de competencia personal, el Estado manifiesta que en la presente petición no hay información suficiente para que se determine con precisión a las presuntas víctimas. Considera importante ubicar a las presuntas víctimas en la fase de admisibilidad, y resalta que una determinación de presuntas víctimas no se puede hacer </w:t>
      </w:r>
      <w:r w:rsidRPr="004606B1">
        <w:rPr>
          <w:rFonts w:cstheme="minorHAnsi"/>
          <w:bCs/>
          <w:i/>
          <w:iCs/>
          <w:sz w:val="20"/>
          <w:szCs w:val="20"/>
          <w:lang w:val="es-ES_tradnl"/>
        </w:rPr>
        <w:t>“únicamente con una manifestación de representar a una comunidad entera sin tan siquiera adjuntar un medio de prueba que respalde tal afirmación. Por el contrario, la determinación debe de realizarse apegada a los más altos estándares de certeza, acorde a una plataforma fáctica delimitada con claridad y precisión”.</w:t>
      </w:r>
      <w:r w:rsidRPr="004606B1">
        <w:rPr>
          <w:rFonts w:cstheme="minorHAnsi"/>
          <w:bCs/>
          <w:sz w:val="20"/>
          <w:szCs w:val="20"/>
          <w:lang w:val="es-ES_tradnl"/>
        </w:rPr>
        <w:t xml:space="preserve"> </w:t>
      </w:r>
    </w:p>
    <w:p w14:paraId="4B9EA4FA" w14:textId="66489AA0" w:rsidR="00BE1CD1" w:rsidRPr="004606B1" w:rsidRDefault="00556993" w:rsidP="004606B1">
      <w:pPr>
        <w:pStyle w:val="ListParagraph"/>
        <w:numPr>
          <w:ilvl w:val="0"/>
          <w:numId w:val="56"/>
        </w:numPr>
        <w:spacing w:before="240" w:after="240"/>
        <w:ind w:left="142" w:firstLine="567"/>
        <w:jc w:val="both"/>
        <w:rPr>
          <w:bCs/>
          <w:sz w:val="20"/>
          <w:szCs w:val="20"/>
          <w:lang w:val="es-ES_tradnl"/>
        </w:rPr>
      </w:pPr>
      <w:r w:rsidRPr="004606B1">
        <w:rPr>
          <w:rFonts w:cstheme="minorHAnsi"/>
          <w:bCs/>
          <w:sz w:val="20"/>
          <w:szCs w:val="20"/>
          <w:lang w:val="es-ES_tradnl"/>
        </w:rPr>
        <w:t>Indica</w:t>
      </w:r>
      <w:r w:rsidR="00BE1CD1" w:rsidRPr="004606B1">
        <w:rPr>
          <w:rFonts w:cstheme="minorHAnsi"/>
          <w:bCs/>
          <w:sz w:val="20"/>
          <w:szCs w:val="20"/>
          <w:lang w:val="es-ES_tradnl"/>
        </w:rPr>
        <w:t xml:space="preserve"> que en ninguna parte de los hechos narrados por la parte peticionaria se identifican aldeas, cantones o caseríos que integren la denominada Comunidad Indígena Q’ueqchi’, y que, por el contrario, esto sí se pudo determinar dentro del proceso de consulta realizado dentro del Estado, donde participaron once comunidades que se encuentran en el área de influencia. El Estado indica también que, en los casos en donde la presunta víctima es un pueblo indígena, este hecho se puede determinar con base en las características geográficas o territoriales, pero que en la presente petición nunca se hizo mención al respecto.  Aún más, indica que la parte peticionaria nunca manifestó la imposibilidad de individualizar a las presuntas víctimas. </w:t>
      </w:r>
    </w:p>
    <w:p w14:paraId="193D341A" w14:textId="77777777" w:rsidR="00BE1CD1" w:rsidRPr="004606B1" w:rsidRDefault="00BE1CD1" w:rsidP="004606B1">
      <w:pPr>
        <w:pStyle w:val="ListParagraph"/>
        <w:numPr>
          <w:ilvl w:val="0"/>
          <w:numId w:val="56"/>
        </w:numPr>
        <w:spacing w:before="240" w:after="240"/>
        <w:ind w:left="142" w:firstLine="567"/>
        <w:jc w:val="both"/>
        <w:rPr>
          <w:bCs/>
          <w:sz w:val="20"/>
          <w:szCs w:val="20"/>
          <w:lang w:val="es-ES_tradnl"/>
        </w:rPr>
      </w:pPr>
      <w:r w:rsidRPr="004606B1">
        <w:rPr>
          <w:rFonts w:cstheme="minorHAnsi"/>
          <w:bCs/>
          <w:sz w:val="20"/>
          <w:szCs w:val="20"/>
          <w:lang w:val="es-ES_tradnl"/>
        </w:rPr>
        <w:t>Sobre la falta de legitimidad del peticionario, el</w:t>
      </w:r>
      <w:r w:rsidRPr="004606B1">
        <w:rPr>
          <w:rFonts w:cstheme="minorHAnsi"/>
          <w:bCs/>
          <w:sz w:val="20"/>
          <w:szCs w:val="20"/>
          <w:lang w:val="es-ES"/>
        </w:rPr>
        <w:t xml:space="preserve"> Estado considera que</w:t>
      </w:r>
      <w:r w:rsidRPr="004606B1">
        <w:rPr>
          <w:rFonts w:cstheme="minorHAnsi"/>
          <w:bCs/>
          <w:sz w:val="20"/>
          <w:szCs w:val="20"/>
          <w:lang w:val="es-ES_tradnl"/>
        </w:rPr>
        <w:t xml:space="preserve"> </w:t>
      </w:r>
      <w:r w:rsidRPr="004606B1">
        <w:rPr>
          <w:rFonts w:cstheme="minorHAnsi"/>
          <w:bCs/>
          <w:sz w:val="20"/>
          <w:szCs w:val="20"/>
          <w:lang w:val="es-ES"/>
        </w:rPr>
        <w:t xml:space="preserve">no obra en el expediente </w:t>
      </w:r>
      <w:r w:rsidRPr="004606B1">
        <w:rPr>
          <w:rFonts w:cstheme="minorHAnsi"/>
          <w:bCs/>
          <w:sz w:val="20"/>
          <w:szCs w:val="20"/>
          <w:lang w:val="es-MX"/>
        </w:rPr>
        <w:t>ningún</w:t>
      </w:r>
      <w:r w:rsidRPr="004606B1">
        <w:rPr>
          <w:rFonts w:cstheme="minorHAnsi"/>
          <w:bCs/>
          <w:sz w:val="20"/>
          <w:szCs w:val="20"/>
          <w:lang w:val="es-ES"/>
        </w:rPr>
        <w:t xml:space="preserve"> medio de prueba que le permita</w:t>
      </w:r>
      <w:r w:rsidRPr="004606B1">
        <w:rPr>
          <w:rFonts w:cstheme="minorHAnsi"/>
          <w:bCs/>
          <w:sz w:val="20"/>
          <w:szCs w:val="20"/>
          <w:lang w:val="es-MX"/>
        </w:rPr>
        <w:t xml:space="preserve"> al</w:t>
      </w:r>
      <w:r w:rsidRPr="004606B1">
        <w:rPr>
          <w:rFonts w:cstheme="minorHAnsi"/>
          <w:bCs/>
          <w:sz w:val="20"/>
          <w:szCs w:val="20"/>
          <w:lang w:val="es-ES"/>
        </w:rPr>
        <w:t xml:space="preserve"> señor Bernardo C</w:t>
      </w:r>
      <w:r w:rsidRPr="004606B1">
        <w:rPr>
          <w:rFonts w:cstheme="minorHAnsi"/>
          <w:bCs/>
          <w:sz w:val="20"/>
          <w:szCs w:val="20"/>
          <w:lang w:val="es-ES_tradnl"/>
        </w:rPr>
        <w:t>a</w:t>
      </w:r>
      <w:r w:rsidRPr="004606B1">
        <w:rPr>
          <w:rFonts w:cstheme="minorHAnsi"/>
          <w:bCs/>
          <w:sz w:val="20"/>
          <w:szCs w:val="20"/>
          <w:lang w:val="es-ES"/>
        </w:rPr>
        <w:t xml:space="preserve">al Xól determinar la veracidad de su representación </w:t>
      </w:r>
      <w:r w:rsidRPr="004606B1">
        <w:rPr>
          <w:rFonts w:cstheme="minorHAnsi"/>
          <w:bCs/>
          <w:sz w:val="20"/>
          <w:szCs w:val="20"/>
          <w:lang w:val="es-MX"/>
        </w:rPr>
        <w:t>de</w:t>
      </w:r>
      <w:r w:rsidRPr="004606B1">
        <w:rPr>
          <w:rFonts w:cstheme="minorHAnsi"/>
          <w:bCs/>
          <w:sz w:val="20"/>
          <w:szCs w:val="20"/>
          <w:lang w:val="es-ES"/>
        </w:rPr>
        <w:t xml:space="preserve"> las presuntas víctimas. </w:t>
      </w:r>
      <w:r w:rsidRPr="004606B1">
        <w:rPr>
          <w:rFonts w:cstheme="minorHAnsi"/>
          <w:bCs/>
          <w:sz w:val="20"/>
          <w:szCs w:val="20"/>
          <w:lang w:val="es-MX"/>
        </w:rPr>
        <w:t>El Estado p</w:t>
      </w:r>
      <w:r w:rsidRPr="004606B1">
        <w:rPr>
          <w:rFonts w:cstheme="minorHAnsi"/>
          <w:bCs/>
          <w:sz w:val="20"/>
          <w:szCs w:val="20"/>
          <w:lang w:val="es-ES"/>
        </w:rPr>
        <w:t>ide que la Comisión requiera los medios de prueba necesarios, seg</w:t>
      </w:r>
      <w:r w:rsidRPr="004606B1">
        <w:rPr>
          <w:rFonts w:cstheme="minorHAnsi"/>
          <w:bCs/>
          <w:sz w:val="20"/>
          <w:szCs w:val="20"/>
          <w:lang w:val="es-MX"/>
        </w:rPr>
        <w:t>ú</w:t>
      </w:r>
      <w:r w:rsidRPr="004606B1">
        <w:rPr>
          <w:rFonts w:cstheme="minorHAnsi"/>
          <w:bCs/>
          <w:sz w:val="20"/>
          <w:szCs w:val="20"/>
          <w:lang w:val="es-ES"/>
        </w:rPr>
        <w:t>n los usos, costumbres y formas de organización de la comunidad, para asegurar que el señor Caal Xól realmente est</w:t>
      </w:r>
      <w:r w:rsidRPr="004606B1">
        <w:rPr>
          <w:rFonts w:cstheme="minorHAnsi"/>
          <w:bCs/>
          <w:sz w:val="20"/>
          <w:szCs w:val="20"/>
          <w:lang w:val="es-MX"/>
        </w:rPr>
        <w:t>á</w:t>
      </w:r>
      <w:r w:rsidRPr="004606B1">
        <w:rPr>
          <w:rFonts w:cstheme="minorHAnsi"/>
          <w:bCs/>
          <w:sz w:val="20"/>
          <w:szCs w:val="20"/>
          <w:lang w:val="es-ES"/>
        </w:rPr>
        <w:t xml:space="preserve"> actuando en defensa de </w:t>
      </w:r>
      <w:r w:rsidRPr="004606B1">
        <w:rPr>
          <w:rFonts w:cstheme="minorHAnsi"/>
          <w:bCs/>
          <w:sz w:val="20"/>
          <w:szCs w:val="20"/>
          <w:lang w:val="es-MX"/>
        </w:rPr>
        <w:t>los</w:t>
      </w:r>
      <w:r w:rsidRPr="004606B1">
        <w:rPr>
          <w:rFonts w:cstheme="minorHAnsi"/>
          <w:bCs/>
          <w:sz w:val="20"/>
          <w:szCs w:val="20"/>
          <w:lang w:val="es-ES"/>
        </w:rPr>
        <w:t xml:space="preserve"> intereses</w:t>
      </w:r>
      <w:r w:rsidRPr="004606B1">
        <w:rPr>
          <w:rFonts w:cstheme="minorHAnsi"/>
          <w:bCs/>
          <w:sz w:val="20"/>
          <w:szCs w:val="20"/>
          <w:lang w:val="es-MX"/>
        </w:rPr>
        <w:t xml:space="preserve"> de esta última</w:t>
      </w:r>
      <w:r w:rsidRPr="004606B1">
        <w:rPr>
          <w:rFonts w:cstheme="minorHAnsi"/>
          <w:bCs/>
          <w:sz w:val="20"/>
          <w:szCs w:val="20"/>
          <w:lang w:val="es-ES"/>
        </w:rPr>
        <w:t>.</w:t>
      </w:r>
    </w:p>
    <w:p w14:paraId="37A97DD5" w14:textId="77777777" w:rsidR="006A2AAD" w:rsidRPr="00CD4147" w:rsidRDefault="00BE1CD1" w:rsidP="006A2AAD">
      <w:pPr>
        <w:pStyle w:val="ListParagraph"/>
        <w:numPr>
          <w:ilvl w:val="0"/>
          <w:numId w:val="56"/>
        </w:numPr>
        <w:spacing w:before="240" w:after="240"/>
        <w:ind w:left="142" w:firstLine="567"/>
        <w:jc w:val="both"/>
        <w:rPr>
          <w:bCs/>
          <w:sz w:val="20"/>
          <w:szCs w:val="20"/>
          <w:lang w:val="es-ES_tradnl"/>
        </w:rPr>
      </w:pPr>
      <w:r w:rsidRPr="004606B1">
        <w:rPr>
          <w:rFonts w:cstheme="minorHAnsi"/>
          <w:bCs/>
          <w:sz w:val="20"/>
          <w:szCs w:val="20"/>
          <w:lang w:val="es-ES_tradnl"/>
        </w:rPr>
        <w:t xml:space="preserve">Resalta que, con relación a las once comunidades que participaron en la realización del proceso de consulta, el señor Caal Xól no figura dentro de éstas. Incluso indica que los mismos líderes de las once comunidades manifestaron un rechazo al peticionario, señalando: </w:t>
      </w:r>
      <w:r w:rsidRPr="004606B1">
        <w:rPr>
          <w:rFonts w:cstheme="minorHAnsi"/>
          <w:bCs/>
          <w:i/>
          <w:iCs/>
          <w:sz w:val="20"/>
          <w:szCs w:val="20"/>
          <w:lang w:val="es-ES_tradnl"/>
        </w:rPr>
        <w:t xml:space="preserve">"Señor alcalde hacemos saber que los señores BERNARDO CAAL, […] no son bienvenidos a nuestras comunidades, al igual que personeros de MADRESELVA […] quienes solo llegan a crear </w:t>
      </w:r>
      <w:r w:rsidRPr="00CD4147">
        <w:rPr>
          <w:rFonts w:cstheme="minorHAnsi"/>
          <w:bCs/>
          <w:i/>
          <w:iCs/>
          <w:sz w:val="20"/>
          <w:szCs w:val="20"/>
          <w:lang w:val="es-ES_tradnl"/>
        </w:rPr>
        <w:t>divisionismo en nuestras comunidades y exigimos por favor no vuelvan a llegar</w:t>
      </w:r>
      <w:r w:rsidR="009E3950" w:rsidRPr="00CD4147">
        <w:rPr>
          <w:rFonts w:cstheme="minorHAnsi"/>
          <w:bCs/>
          <w:i/>
          <w:iCs/>
          <w:sz w:val="20"/>
          <w:szCs w:val="20"/>
          <w:lang w:val="es-ES_tradnl"/>
        </w:rPr>
        <w:t>.</w:t>
      </w:r>
      <w:r w:rsidRPr="00CD4147">
        <w:rPr>
          <w:rFonts w:cstheme="minorHAnsi"/>
          <w:bCs/>
          <w:i/>
          <w:iCs/>
          <w:sz w:val="20"/>
          <w:szCs w:val="20"/>
          <w:lang w:val="es-ES_tradnl"/>
        </w:rPr>
        <w:t xml:space="preserve"> [</w:t>
      </w:r>
      <w:r w:rsidR="009E3950" w:rsidRPr="00CD4147">
        <w:rPr>
          <w:rFonts w:cstheme="minorHAnsi"/>
          <w:bCs/>
          <w:i/>
          <w:iCs/>
          <w:sz w:val="20"/>
          <w:szCs w:val="20"/>
          <w:lang w:val="es-ES_tradnl"/>
        </w:rPr>
        <w:t>E</w:t>
      </w:r>
      <w:r w:rsidRPr="00CD4147">
        <w:rPr>
          <w:rFonts w:cstheme="minorHAnsi"/>
          <w:bCs/>
          <w:i/>
          <w:iCs/>
          <w:sz w:val="20"/>
          <w:szCs w:val="20"/>
          <w:lang w:val="es-ES_tradnl"/>
        </w:rPr>
        <w:t>llos] han dañado directamente a nuestras comunidades, psicológicamente, moralmente puesto que se nos están tratando como delincuentes diciendo que hemos vendido tierras que no nos pertenecen, lo cual es totalmente falso</w:t>
      </w:r>
      <w:r w:rsidR="009E3950" w:rsidRPr="00CD4147">
        <w:rPr>
          <w:rFonts w:cstheme="minorHAnsi"/>
          <w:bCs/>
          <w:i/>
          <w:iCs/>
          <w:sz w:val="20"/>
          <w:szCs w:val="20"/>
          <w:lang w:val="es-ES_tradnl"/>
        </w:rPr>
        <w:t xml:space="preserve"> </w:t>
      </w:r>
      <w:r w:rsidR="006A76CB" w:rsidRPr="00CD4147">
        <w:rPr>
          <w:rFonts w:cstheme="minorHAnsi"/>
          <w:bCs/>
          <w:sz w:val="20"/>
          <w:szCs w:val="20"/>
          <w:lang w:val="es-ES_tradnl"/>
        </w:rPr>
        <w:t xml:space="preserve">[…] </w:t>
      </w:r>
      <w:r w:rsidR="009E3950" w:rsidRPr="00CD4147">
        <w:rPr>
          <w:rFonts w:cstheme="minorHAnsi"/>
          <w:bCs/>
          <w:i/>
          <w:iCs/>
          <w:sz w:val="20"/>
          <w:szCs w:val="20"/>
          <w:lang w:val="es-ES_tradnl"/>
        </w:rPr>
        <w:t xml:space="preserve">no queremos la intervención de otras organizaciones campesinas y no campesinas con líderes negativos y que organizan manifestaciones </w:t>
      </w:r>
      <w:r w:rsidR="006A76CB" w:rsidRPr="00CD4147">
        <w:rPr>
          <w:rFonts w:cstheme="minorHAnsi"/>
          <w:bCs/>
          <w:i/>
          <w:iCs/>
          <w:sz w:val="20"/>
          <w:szCs w:val="20"/>
          <w:lang w:val="es-ES_tradnl"/>
        </w:rPr>
        <w:t>[…]</w:t>
      </w:r>
      <w:r w:rsidR="009E3950" w:rsidRPr="00CD4147">
        <w:rPr>
          <w:rFonts w:cstheme="minorHAnsi"/>
          <w:bCs/>
          <w:i/>
          <w:iCs/>
          <w:sz w:val="20"/>
          <w:szCs w:val="20"/>
          <w:lang w:val="es-ES_tradnl"/>
        </w:rPr>
        <w:t xml:space="preserve"> en contra de las hidroeléctricas Oxec</w:t>
      </w:r>
      <w:r w:rsidRPr="00CD4147">
        <w:rPr>
          <w:rFonts w:cstheme="minorHAnsi"/>
          <w:bCs/>
          <w:i/>
          <w:iCs/>
          <w:sz w:val="20"/>
          <w:szCs w:val="20"/>
          <w:lang w:val="es-ES_tradnl"/>
        </w:rPr>
        <w:t>”</w:t>
      </w:r>
      <w:r w:rsidR="006A76CB" w:rsidRPr="00CD4147">
        <w:rPr>
          <w:sz w:val="20"/>
          <w:szCs w:val="20"/>
          <w:vertAlign w:val="superscript"/>
          <w:lang w:val="es-ES_tradnl"/>
        </w:rPr>
        <w:t xml:space="preserve"> </w:t>
      </w:r>
      <w:r w:rsidR="006A76CB" w:rsidRPr="00CD4147">
        <w:rPr>
          <w:sz w:val="20"/>
          <w:szCs w:val="20"/>
          <w:vertAlign w:val="superscript"/>
          <w:lang w:val="es-ES_tradnl"/>
        </w:rPr>
        <w:footnoteReference w:id="20"/>
      </w:r>
      <w:r w:rsidRPr="00CD4147">
        <w:rPr>
          <w:rFonts w:cstheme="minorHAnsi"/>
          <w:bCs/>
          <w:sz w:val="20"/>
          <w:szCs w:val="20"/>
          <w:lang w:val="es-ES_tradnl"/>
        </w:rPr>
        <w:t>.</w:t>
      </w:r>
      <w:r w:rsidR="009E3950" w:rsidRPr="00CD4147">
        <w:rPr>
          <w:rFonts w:cstheme="minorHAnsi"/>
          <w:bCs/>
          <w:sz w:val="20"/>
          <w:szCs w:val="20"/>
          <w:lang w:val="es-ES_tradnl"/>
        </w:rPr>
        <w:t xml:space="preserve"> </w:t>
      </w:r>
    </w:p>
    <w:p w14:paraId="3A912B8B" w14:textId="682F20C6" w:rsidR="005819CE" w:rsidRPr="00CD4147" w:rsidRDefault="00D801E0" w:rsidP="006A2AAD">
      <w:pPr>
        <w:pStyle w:val="ListParagraph"/>
        <w:numPr>
          <w:ilvl w:val="0"/>
          <w:numId w:val="56"/>
        </w:numPr>
        <w:spacing w:before="240" w:after="240"/>
        <w:ind w:left="142" w:firstLine="567"/>
        <w:jc w:val="both"/>
        <w:rPr>
          <w:bCs/>
          <w:sz w:val="20"/>
          <w:szCs w:val="20"/>
          <w:lang w:val="es-ES_tradnl"/>
        </w:rPr>
      </w:pPr>
      <w:r w:rsidRPr="00CD4147">
        <w:rPr>
          <w:bCs/>
          <w:sz w:val="20"/>
          <w:szCs w:val="20"/>
          <w:lang w:val="es-ES_tradnl"/>
        </w:rPr>
        <w:t>Dentro de un documento anexo presentado por el Estado, del 5 de mayo de 201</w:t>
      </w:r>
      <w:r w:rsidR="00DE18AA" w:rsidRPr="00CD4147">
        <w:rPr>
          <w:bCs/>
          <w:sz w:val="20"/>
          <w:szCs w:val="20"/>
          <w:lang w:val="es-ES_tradnl"/>
        </w:rPr>
        <w:t>6</w:t>
      </w:r>
      <w:r w:rsidRPr="00CD4147">
        <w:rPr>
          <w:bCs/>
          <w:sz w:val="20"/>
          <w:szCs w:val="20"/>
          <w:lang w:val="es-ES_tradnl"/>
        </w:rPr>
        <w:t xml:space="preserve"> y firmado por “Once Comunidades circunvecinas Oxec, Grupo Pro-Mejoramiento, Cahabón A. V.” y el “Consejo Comunitario de Desarrollo, aldea Seasir, Cahabon, A.V.”, vecinos de las comunidades en las zonas aledañas a las </w:t>
      </w:r>
      <w:r w:rsidR="00DE18AA" w:rsidRPr="00CD4147">
        <w:rPr>
          <w:bCs/>
          <w:sz w:val="20"/>
          <w:szCs w:val="20"/>
          <w:lang w:val="es-ES_tradnl"/>
        </w:rPr>
        <w:t xml:space="preserve">hidroeléctricas, </w:t>
      </w:r>
      <w:r w:rsidRPr="00CD4147">
        <w:rPr>
          <w:bCs/>
          <w:sz w:val="20"/>
          <w:szCs w:val="20"/>
          <w:lang w:val="es-ES_tradnl"/>
        </w:rPr>
        <w:t>manifiestan que desde 2012 han llegado a acuerdos con las entidades Oxec y Oxec II, lo cual ha llevado desarrollo de sus comunidades</w:t>
      </w:r>
      <w:r w:rsidR="00DE18AA" w:rsidRPr="00CD4147">
        <w:rPr>
          <w:bCs/>
          <w:sz w:val="20"/>
          <w:szCs w:val="20"/>
          <w:lang w:val="es-ES_tradnl"/>
        </w:rPr>
        <w:t>. L</w:t>
      </w:r>
      <w:r w:rsidRPr="00CD4147">
        <w:rPr>
          <w:bCs/>
          <w:sz w:val="20"/>
          <w:szCs w:val="20"/>
          <w:lang w:val="es-ES_tradnl"/>
        </w:rPr>
        <w:t>os firmantes manifiestan su rechazo a “</w:t>
      </w:r>
      <w:r w:rsidRPr="00CD4147">
        <w:rPr>
          <w:bCs/>
          <w:i/>
          <w:iCs/>
          <w:sz w:val="20"/>
          <w:szCs w:val="20"/>
          <w:lang w:val="es-ES_tradnl"/>
        </w:rPr>
        <w:t xml:space="preserve">la intervención de organizaciones […] con líderes negativos que se dedican a organizar manifestaciones, creando divisionismo entre nosotros </w:t>
      </w:r>
      <w:r w:rsidR="00A369CF" w:rsidRPr="00CD4147">
        <w:rPr>
          <w:bCs/>
          <w:i/>
          <w:iCs/>
          <w:sz w:val="20"/>
          <w:szCs w:val="20"/>
          <w:lang w:val="es-ES_tradnl"/>
        </w:rPr>
        <w:t>los campesinos</w:t>
      </w:r>
      <w:r w:rsidRPr="00CD4147">
        <w:rPr>
          <w:bCs/>
          <w:i/>
          <w:iCs/>
          <w:sz w:val="20"/>
          <w:szCs w:val="20"/>
          <w:lang w:val="es-ES_tradnl"/>
        </w:rPr>
        <w:t xml:space="preserve"> [piden] evitar más manifestaciones de las organizaciones como Madre Selva […] </w:t>
      </w:r>
      <w:r w:rsidRPr="00CD4147">
        <w:rPr>
          <w:bCs/>
          <w:i/>
          <w:iCs/>
          <w:sz w:val="20"/>
          <w:szCs w:val="20"/>
          <w:lang w:val="es-ES_tradnl"/>
        </w:rPr>
        <w:lastRenderedPageBreak/>
        <w:t>que se dedican a crear divisionismo entre nosotros y además provoca violencia”</w:t>
      </w:r>
      <w:r w:rsidRPr="00CD4147">
        <w:rPr>
          <w:rStyle w:val="FootnoteReference"/>
          <w:bCs/>
          <w:i/>
          <w:iCs/>
          <w:sz w:val="20"/>
          <w:szCs w:val="20"/>
          <w:lang w:val="es-ES_tradnl"/>
        </w:rPr>
        <w:footnoteReference w:id="21"/>
      </w:r>
      <w:r w:rsidRPr="00CD4147">
        <w:rPr>
          <w:bCs/>
          <w:i/>
          <w:iCs/>
          <w:sz w:val="20"/>
          <w:szCs w:val="20"/>
          <w:lang w:val="es-ES_tradnl"/>
        </w:rPr>
        <w:t>.</w:t>
      </w:r>
      <w:r w:rsidR="005819CE" w:rsidRPr="00CD4147">
        <w:rPr>
          <w:bCs/>
          <w:i/>
          <w:iCs/>
          <w:sz w:val="20"/>
          <w:szCs w:val="20"/>
          <w:lang w:val="es-ES_tradnl"/>
        </w:rPr>
        <w:t xml:space="preserve"> </w:t>
      </w:r>
      <w:r w:rsidR="005819CE" w:rsidRPr="00CD4147">
        <w:rPr>
          <w:bCs/>
          <w:sz w:val="20"/>
          <w:szCs w:val="20"/>
          <w:lang w:val="es-ES_tradnl"/>
        </w:rPr>
        <w:t>Por lo tanto,</w:t>
      </w:r>
      <w:r w:rsidR="006A2AAD" w:rsidRPr="00CD4147">
        <w:rPr>
          <w:bCs/>
          <w:sz w:val="20"/>
          <w:szCs w:val="20"/>
          <w:lang w:val="es-ES_tradnl"/>
        </w:rPr>
        <w:t xml:space="preserve"> y considerando lo expresado por los representantes de las comunidades aledañas a las hidroeléctricas,</w:t>
      </w:r>
      <w:r w:rsidR="005819CE" w:rsidRPr="00CD4147">
        <w:rPr>
          <w:bCs/>
          <w:sz w:val="20"/>
          <w:szCs w:val="20"/>
          <w:lang w:val="es-ES_tradnl"/>
        </w:rPr>
        <w:t xml:space="preserve"> el Estado considera que queda plenamente demostrada la falta de legitimidad y representatividad de las once comunidades que se encuentran en el área de influencia; y que no sólo no reconocen la representación del señor Caal Xól y el colectivo Madre Selva, sino que han demostrado su descontento con su participación, por lo que pide que </w:t>
      </w:r>
      <w:r w:rsidR="006A2AAD" w:rsidRPr="00CD4147">
        <w:rPr>
          <w:bCs/>
          <w:sz w:val="20"/>
          <w:szCs w:val="20"/>
          <w:lang w:val="es-ES_tradnl"/>
        </w:rPr>
        <w:t>se acredite la representación del peticionario.</w:t>
      </w:r>
    </w:p>
    <w:p w14:paraId="1A2BE8B8" w14:textId="77777777" w:rsidR="00BE1CD1" w:rsidRPr="00CD4147" w:rsidRDefault="00BE1CD1" w:rsidP="004606B1">
      <w:pPr>
        <w:pStyle w:val="ListParagraph"/>
        <w:numPr>
          <w:ilvl w:val="0"/>
          <w:numId w:val="56"/>
        </w:numPr>
        <w:spacing w:before="240" w:after="240"/>
        <w:ind w:left="142" w:firstLine="567"/>
        <w:jc w:val="both"/>
        <w:rPr>
          <w:bCs/>
          <w:sz w:val="20"/>
          <w:szCs w:val="20"/>
          <w:lang w:val="es-ES_tradnl"/>
        </w:rPr>
      </w:pPr>
      <w:r w:rsidRPr="00CD4147">
        <w:rPr>
          <w:rFonts w:cstheme="minorHAnsi"/>
          <w:bCs/>
          <w:sz w:val="20"/>
          <w:szCs w:val="20"/>
          <w:lang w:val="es-ES_tradnl"/>
        </w:rPr>
        <w:t>El Estado también pide la inadmisibilidad de la petición por falta de competencia material, en cuanto que el peticionario señaló que el Estado era responsable de violar el derecho de consulta de los pueblos indígenas de conformidad con el Convenio 169 de la OIT, mismo que es un tratado externo al Sistema Interamericano.</w:t>
      </w:r>
    </w:p>
    <w:p w14:paraId="18169B6E" w14:textId="039E0D96" w:rsidR="00BE1CD1" w:rsidRPr="004606B1" w:rsidRDefault="00BE1CD1" w:rsidP="004606B1">
      <w:pPr>
        <w:pStyle w:val="ListParagraph"/>
        <w:numPr>
          <w:ilvl w:val="0"/>
          <w:numId w:val="56"/>
        </w:numPr>
        <w:spacing w:before="240" w:after="240"/>
        <w:ind w:left="142" w:firstLine="567"/>
        <w:jc w:val="both"/>
        <w:rPr>
          <w:bCs/>
          <w:sz w:val="20"/>
          <w:szCs w:val="20"/>
          <w:lang w:val="es-ES_tradnl"/>
        </w:rPr>
      </w:pPr>
      <w:r w:rsidRPr="004606B1">
        <w:rPr>
          <w:rFonts w:cstheme="minorHAnsi"/>
          <w:bCs/>
          <w:sz w:val="20"/>
          <w:szCs w:val="20"/>
          <w:lang w:val="es-ES_tradnl"/>
        </w:rPr>
        <w:t xml:space="preserve">Asimismo, </w:t>
      </w:r>
      <w:r w:rsidR="00240814" w:rsidRPr="004606B1">
        <w:rPr>
          <w:rFonts w:cstheme="minorHAnsi"/>
          <w:bCs/>
          <w:sz w:val="20"/>
          <w:szCs w:val="20"/>
          <w:lang w:val="es-ES_tradnl"/>
        </w:rPr>
        <w:t>el Estado considera que por un mero desacuerdo con lo decidido por la Corte de Constitucionalidad, los peticionarios pretenden que la Comisión</w:t>
      </w:r>
      <w:r w:rsidRPr="004606B1">
        <w:rPr>
          <w:rFonts w:cstheme="minorHAnsi"/>
          <w:bCs/>
          <w:sz w:val="20"/>
          <w:szCs w:val="20"/>
          <w:lang w:val="es-ES_tradnl"/>
        </w:rPr>
        <w:t xml:space="preserve"> revise la sentencia del 26 de mayo de 2017. Así, el Estado razona que el peticionario busca que la Comisión actúe como un tribunal de alzada, violentando el principio de subsidiariedad. El Estado resalta que el peticionario, luego de la decisión del 26 de mayo de 2017, interpuso el 30 de mayo de 2017 un recurso de aclaración y ampliación que fue resuelto por la Corte de Constitucionalidad el 6 de junio de 2017, indicando que el pronunciamiento cuestionado no era ambiguo, porque se había resuelto en la misma línea interpretativa de conformidad con lo reclamado, y la adecuada aplicación jurídica</w:t>
      </w:r>
      <w:r w:rsidR="00756BC1" w:rsidRPr="004606B1">
        <w:rPr>
          <w:rFonts w:cstheme="minorHAnsi"/>
          <w:bCs/>
          <w:sz w:val="20"/>
          <w:szCs w:val="20"/>
          <w:lang w:val="es-ES_tradnl"/>
        </w:rPr>
        <w:t>,</w:t>
      </w:r>
      <w:r w:rsidRPr="004606B1">
        <w:rPr>
          <w:rFonts w:cstheme="minorHAnsi"/>
          <w:bCs/>
          <w:sz w:val="20"/>
          <w:szCs w:val="20"/>
          <w:lang w:val="es-ES_tradnl"/>
        </w:rPr>
        <w:t xml:space="preserve"> y que </w:t>
      </w:r>
      <w:r w:rsidRPr="004606B1">
        <w:rPr>
          <w:rFonts w:cstheme="minorHAnsi"/>
          <w:bCs/>
          <w:i/>
          <w:iCs/>
          <w:sz w:val="20"/>
          <w:szCs w:val="20"/>
          <w:lang w:val="es-ES_tradnl"/>
        </w:rPr>
        <w:t>“no es obscuro debido a que sus términos son claramente comprensible; ni es contradictorio, en tanto que los puntos de la decisión asumida son coherentes entre sí”</w:t>
      </w:r>
      <w:r w:rsidRPr="004606B1">
        <w:rPr>
          <w:rFonts w:cstheme="minorHAnsi"/>
          <w:bCs/>
          <w:sz w:val="20"/>
          <w:szCs w:val="20"/>
          <w:lang w:val="es-ES_tradnl"/>
        </w:rPr>
        <w:t>.</w:t>
      </w:r>
    </w:p>
    <w:p w14:paraId="3C4D4CEB" w14:textId="77777777" w:rsidR="00BE1CD1" w:rsidRPr="004606B1" w:rsidRDefault="00BE1CD1" w:rsidP="004606B1">
      <w:pPr>
        <w:pStyle w:val="ListParagraph"/>
        <w:numPr>
          <w:ilvl w:val="0"/>
          <w:numId w:val="56"/>
        </w:numPr>
        <w:spacing w:before="240" w:after="240"/>
        <w:ind w:left="142" w:firstLine="567"/>
        <w:jc w:val="both"/>
        <w:rPr>
          <w:bCs/>
          <w:sz w:val="20"/>
          <w:szCs w:val="20"/>
          <w:lang w:val="es-ES_tradnl"/>
        </w:rPr>
      </w:pPr>
      <w:r w:rsidRPr="004606B1">
        <w:rPr>
          <w:rFonts w:cstheme="minorHAnsi"/>
          <w:bCs/>
          <w:sz w:val="20"/>
          <w:szCs w:val="20"/>
          <w:lang w:val="es-ES_tradnl"/>
        </w:rPr>
        <w:t>Por lo cual, el Estado indica que la sentencia del 26 de mayo de 2017 que precisó el alcance de la tutela de constitucionalidad está fundamentada y resuelta conforme a ley interna</w:t>
      </w:r>
      <w:r w:rsidRPr="004606B1">
        <w:rPr>
          <w:sz w:val="20"/>
          <w:szCs w:val="20"/>
          <w:vertAlign w:val="superscript"/>
          <w:lang w:val="es-ES_tradnl"/>
        </w:rPr>
        <w:footnoteReference w:id="22"/>
      </w:r>
      <w:r w:rsidRPr="004606B1">
        <w:rPr>
          <w:rFonts w:cstheme="minorHAnsi"/>
          <w:bCs/>
          <w:sz w:val="20"/>
          <w:szCs w:val="20"/>
          <w:lang w:val="es-ES_tradnl"/>
        </w:rPr>
        <w:t xml:space="preserve">, además, que esta sentencia no sólo confirmó el fallo de la Corte Suprema de Justicia, sino que lo modificó, buscando que se llevara a cabo un mecanismo de consulta en apego al Convenio 169 de la OIT y de los estándares internacionales vigentes. Subraya también que el proceso de consulta concluyó de manera satisfactoria y </w:t>
      </w:r>
      <w:r w:rsidRPr="004606B1">
        <w:rPr>
          <w:rFonts w:cstheme="minorHAnsi"/>
          <w:bCs/>
          <w:i/>
          <w:iCs/>
          <w:sz w:val="20"/>
          <w:szCs w:val="20"/>
          <w:lang w:val="es-ES_tradnl"/>
        </w:rPr>
        <w:t>“el resultado se encuentra en los acuerdos alanzados por todas las partes. Es pues, de esta manera que Guatemala cumplió con su obligación de proteger los derechos humanos que en su momento se señalaron como violados, principalmente el derecho a la consulta de los pueblos indígenas”</w:t>
      </w:r>
      <w:r w:rsidRPr="004606B1">
        <w:rPr>
          <w:rFonts w:cstheme="minorHAnsi"/>
          <w:bCs/>
          <w:sz w:val="20"/>
          <w:szCs w:val="20"/>
          <w:lang w:val="es-ES_tradnl"/>
        </w:rPr>
        <w:t xml:space="preserve">. </w:t>
      </w:r>
    </w:p>
    <w:p w14:paraId="61F8403E" w14:textId="49075D56" w:rsidR="00EA250A" w:rsidRPr="004606B1" w:rsidRDefault="00BE1CD1" w:rsidP="004606B1">
      <w:pPr>
        <w:pStyle w:val="ListParagraph"/>
        <w:numPr>
          <w:ilvl w:val="0"/>
          <w:numId w:val="56"/>
        </w:numPr>
        <w:spacing w:before="240" w:after="240"/>
        <w:ind w:left="142" w:firstLine="567"/>
        <w:jc w:val="both"/>
        <w:rPr>
          <w:bCs/>
          <w:sz w:val="20"/>
          <w:szCs w:val="20"/>
          <w:lang w:val="es-ES_tradnl"/>
        </w:rPr>
      </w:pPr>
      <w:r w:rsidRPr="004606B1">
        <w:rPr>
          <w:rFonts w:cstheme="minorHAnsi"/>
          <w:bCs/>
          <w:sz w:val="20"/>
          <w:szCs w:val="20"/>
          <w:lang w:val="es-ES_tradnl"/>
        </w:rPr>
        <w:t>El Estado considera que no hay argumentos para que los hechos narrados demuestren y prueben una violación de los derechos de las presuntas víctimas, ni por acción ni omisión del Estado</w:t>
      </w:r>
      <w:r w:rsidR="00240814" w:rsidRPr="004606B1">
        <w:rPr>
          <w:rFonts w:cstheme="minorHAnsi"/>
          <w:bCs/>
          <w:sz w:val="20"/>
          <w:szCs w:val="20"/>
          <w:lang w:val="es-ES_tradnl"/>
        </w:rPr>
        <w:t>; y que</w:t>
      </w:r>
      <w:r w:rsidRPr="004606B1">
        <w:rPr>
          <w:rFonts w:cstheme="minorHAnsi"/>
          <w:bCs/>
          <w:sz w:val="20"/>
          <w:szCs w:val="20"/>
          <w:lang w:val="es-ES_tradnl"/>
        </w:rPr>
        <w:t xml:space="preserve"> no hay elementos fácticos para determinar vulneraciones a la</w:t>
      </w:r>
      <w:r w:rsidR="00240814" w:rsidRPr="004606B1">
        <w:rPr>
          <w:rFonts w:cstheme="minorHAnsi"/>
          <w:bCs/>
          <w:sz w:val="20"/>
          <w:szCs w:val="20"/>
          <w:lang w:val="es-ES_tradnl"/>
        </w:rPr>
        <w:t>s</w:t>
      </w:r>
      <w:r w:rsidRPr="004606B1">
        <w:rPr>
          <w:rFonts w:cstheme="minorHAnsi"/>
          <w:bCs/>
          <w:sz w:val="20"/>
          <w:szCs w:val="20"/>
          <w:lang w:val="es-ES_tradnl"/>
        </w:rPr>
        <w:t xml:space="preserve"> comunidad</w:t>
      </w:r>
      <w:r w:rsidR="00240814" w:rsidRPr="004606B1">
        <w:rPr>
          <w:rFonts w:cstheme="minorHAnsi"/>
          <w:bCs/>
          <w:sz w:val="20"/>
          <w:szCs w:val="20"/>
          <w:lang w:val="es-ES_tradnl"/>
        </w:rPr>
        <w:t>es</w:t>
      </w:r>
      <w:r w:rsidRPr="004606B1">
        <w:rPr>
          <w:rFonts w:cstheme="minorHAnsi"/>
          <w:bCs/>
          <w:sz w:val="20"/>
          <w:szCs w:val="20"/>
          <w:lang w:val="es-ES_tradnl"/>
        </w:rPr>
        <w:t xml:space="preserve"> Q’ueqchi’</w:t>
      </w:r>
      <w:r w:rsidR="00240814" w:rsidRPr="004606B1">
        <w:rPr>
          <w:rFonts w:cstheme="minorHAnsi"/>
          <w:bCs/>
          <w:sz w:val="20"/>
          <w:szCs w:val="20"/>
          <w:lang w:val="es-ES_tradnl"/>
        </w:rPr>
        <w:t>s</w:t>
      </w:r>
      <w:r w:rsidRPr="004606B1">
        <w:rPr>
          <w:rFonts w:cstheme="minorHAnsi"/>
          <w:bCs/>
          <w:sz w:val="20"/>
          <w:szCs w:val="20"/>
          <w:lang w:val="es-ES_tradnl"/>
        </w:rPr>
        <w:t>.</w:t>
      </w:r>
      <w:r w:rsidR="00EA250A" w:rsidRPr="004606B1">
        <w:rPr>
          <w:rFonts w:cstheme="minorHAnsi"/>
          <w:bCs/>
          <w:sz w:val="20"/>
          <w:szCs w:val="20"/>
          <w:lang w:val="es-ES_tradnl"/>
        </w:rPr>
        <w:t xml:space="preserve"> </w:t>
      </w:r>
      <w:r w:rsidRPr="004606B1">
        <w:rPr>
          <w:rFonts w:cstheme="minorHAnsi"/>
          <w:bCs/>
          <w:sz w:val="20"/>
          <w:szCs w:val="20"/>
          <w:lang w:val="es-ES_tradnl"/>
        </w:rPr>
        <w:t xml:space="preserve">También, el Estado manifiesta que se ha dado un proceso de diálogo permanente entre las comunidades, </w:t>
      </w:r>
      <w:r w:rsidR="00240814" w:rsidRPr="004606B1">
        <w:rPr>
          <w:rFonts w:cstheme="minorHAnsi"/>
          <w:bCs/>
          <w:sz w:val="20"/>
          <w:szCs w:val="20"/>
          <w:lang w:val="es-ES_tradnl"/>
        </w:rPr>
        <w:t xml:space="preserve">las </w:t>
      </w:r>
      <w:r w:rsidRPr="004606B1">
        <w:rPr>
          <w:rFonts w:cstheme="minorHAnsi"/>
          <w:bCs/>
          <w:sz w:val="20"/>
          <w:szCs w:val="20"/>
          <w:lang w:val="es-ES_tradnl"/>
        </w:rPr>
        <w:t>entidades del Oxec y Oxec II, y el Ministerio de Energía y Minería. Además,</w:t>
      </w:r>
      <w:r w:rsidR="00240814" w:rsidRPr="004606B1">
        <w:rPr>
          <w:rFonts w:cstheme="minorHAnsi"/>
          <w:bCs/>
          <w:sz w:val="20"/>
          <w:szCs w:val="20"/>
          <w:lang w:val="es-ES_tradnl"/>
        </w:rPr>
        <w:t xml:space="preserve"> </w:t>
      </w:r>
      <w:r w:rsidRPr="004606B1">
        <w:rPr>
          <w:rFonts w:cstheme="minorHAnsi"/>
          <w:bCs/>
          <w:sz w:val="20"/>
          <w:szCs w:val="20"/>
          <w:lang w:val="es-ES_tradnl"/>
        </w:rPr>
        <w:t>que en todo momento se ha respetado la representación de las comunidades y su forma de organización; y que se le ha dado acceso a toda la información</w:t>
      </w:r>
      <w:r w:rsidR="00747928" w:rsidRPr="004606B1">
        <w:rPr>
          <w:rFonts w:cstheme="minorHAnsi"/>
          <w:bCs/>
          <w:sz w:val="20"/>
          <w:szCs w:val="20"/>
          <w:lang w:val="es-ES_tradnl"/>
        </w:rPr>
        <w:t xml:space="preserve">, en español y q’ueqchi, </w:t>
      </w:r>
      <w:r w:rsidRPr="004606B1">
        <w:rPr>
          <w:rFonts w:cstheme="minorHAnsi"/>
          <w:bCs/>
          <w:sz w:val="20"/>
          <w:szCs w:val="20"/>
          <w:lang w:val="es-ES_tradnl"/>
        </w:rPr>
        <w:t>relacionada con el trámite de aprobación de los proyectos Oxec y Oxec II</w:t>
      </w:r>
      <w:r w:rsidR="00747928" w:rsidRPr="004606B1">
        <w:rPr>
          <w:rFonts w:cstheme="minorHAnsi"/>
          <w:bCs/>
          <w:sz w:val="20"/>
          <w:szCs w:val="20"/>
          <w:lang w:val="es-ES_tradnl"/>
        </w:rPr>
        <w:t>.</w:t>
      </w:r>
    </w:p>
    <w:p w14:paraId="58167D63" w14:textId="5EB338C5" w:rsidR="00212FF2" w:rsidRPr="004606B1" w:rsidRDefault="00BE1CD1" w:rsidP="004606B1">
      <w:pPr>
        <w:pStyle w:val="ListParagraph"/>
        <w:numPr>
          <w:ilvl w:val="0"/>
          <w:numId w:val="56"/>
        </w:numPr>
        <w:spacing w:before="240" w:after="240"/>
        <w:ind w:left="142" w:firstLine="567"/>
        <w:jc w:val="both"/>
        <w:rPr>
          <w:bCs/>
          <w:sz w:val="20"/>
          <w:szCs w:val="20"/>
          <w:lang w:val="es-ES_tradnl"/>
        </w:rPr>
      </w:pPr>
      <w:r w:rsidRPr="004606B1">
        <w:rPr>
          <w:rFonts w:cstheme="minorHAnsi"/>
          <w:bCs/>
          <w:sz w:val="20"/>
          <w:szCs w:val="20"/>
          <w:lang w:val="es-ES_tradnl"/>
        </w:rPr>
        <w:t xml:space="preserve">Por lo </w:t>
      </w:r>
      <w:r w:rsidR="00EA250A" w:rsidRPr="004606B1">
        <w:rPr>
          <w:rFonts w:cstheme="minorHAnsi"/>
          <w:bCs/>
          <w:sz w:val="20"/>
          <w:szCs w:val="20"/>
          <w:lang w:val="es-ES_tradnl"/>
        </w:rPr>
        <w:t>tanto</w:t>
      </w:r>
      <w:r w:rsidRPr="004606B1">
        <w:rPr>
          <w:rFonts w:cstheme="minorHAnsi"/>
          <w:bCs/>
          <w:sz w:val="20"/>
          <w:szCs w:val="20"/>
          <w:lang w:val="es-ES_tradnl"/>
        </w:rPr>
        <w:t>, el Estado concluye que las once comunidades dentro del área de influencia participaron en libertad, legitimaron y aprobaron el proceso de consulta realizado. Aún más, el Estado considera que los derechos alegados por el peticionario ya han sido reestablecidos a las Comunidades Q'eqchi's del municipio de Santa María Cahabón.</w:t>
      </w:r>
    </w:p>
    <w:p w14:paraId="1FA69ED3" w14:textId="77777777" w:rsidR="001F3EA5" w:rsidRDefault="001F3EA5" w:rsidP="006A2AAD">
      <w:pPr>
        <w:spacing w:before="240" w:after="240"/>
        <w:ind w:firstLine="720"/>
        <w:jc w:val="both"/>
        <w:rPr>
          <w:rFonts w:ascii="Cambria" w:eastAsia="Cambria" w:hAnsi="Cambria" w:cs="Cambria"/>
          <w:b/>
          <w:bCs/>
          <w:color w:val="000000"/>
          <w:sz w:val="20"/>
          <w:szCs w:val="20"/>
          <w:u w:color="000000"/>
          <w:lang w:val="es-ES_tradnl" w:eastAsia="es-ES"/>
        </w:rPr>
      </w:pPr>
    </w:p>
    <w:p w14:paraId="4F64BDEA" w14:textId="77777777" w:rsidR="001F3EA5" w:rsidRDefault="001F3EA5" w:rsidP="006A2AAD">
      <w:pPr>
        <w:spacing w:before="240" w:after="240"/>
        <w:ind w:firstLine="720"/>
        <w:jc w:val="both"/>
        <w:rPr>
          <w:rFonts w:ascii="Cambria" w:eastAsia="Cambria" w:hAnsi="Cambria" w:cs="Cambria"/>
          <w:b/>
          <w:bCs/>
          <w:color w:val="000000"/>
          <w:sz w:val="20"/>
          <w:szCs w:val="20"/>
          <w:u w:color="000000"/>
          <w:lang w:val="es-ES_tradnl" w:eastAsia="es-ES"/>
        </w:rPr>
      </w:pPr>
    </w:p>
    <w:p w14:paraId="0B63D0DB" w14:textId="5627C95C" w:rsidR="00410D96" w:rsidRPr="006A2AAD" w:rsidRDefault="003239B8" w:rsidP="006A2AAD">
      <w:pPr>
        <w:spacing w:before="240" w:after="240"/>
        <w:ind w:firstLine="720"/>
        <w:jc w:val="both"/>
        <w:rPr>
          <w:rFonts w:ascii="Cambria" w:eastAsia="Cambria" w:hAnsi="Cambria" w:cs="Cambria"/>
          <w:b/>
          <w:bCs/>
          <w:color w:val="000000"/>
          <w:sz w:val="20"/>
          <w:szCs w:val="20"/>
          <w:u w:color="000000"/>
          <w:lang w:val="es-ES_tradnl" w:eastAsia="es-ES"/>
        </w:rPr>
      </w:pPr>
      <w:r w:rsidRPr="004606B1">
        <w:rPr>
          <w:rFonts w:ascii="Cambria" w:eastAsia="Cambria" w:hAnsi="Cambria" w:cs="Cambria"/>
          <w:b/>
          <w:bCs/>
          <w:color w:val="000000"/>
          <w:sz w:val="20"/>
          <w:szCs w:val="20"/>
          <w:u w:color="000000"/>
          <w:lang w:val="es-ES_tradnl" w:eastAsia="es-ES"/>
        </w:rPr>
        <w:lastRenderedPageBreak/>
        <w:t>VI.</w:t>
      </w:r>
      <w:r w:rsidRPr="004606B1">
        <w:rPr>
          <w:rFonts w:ascii="Cambria" w:eastAsia="Cambria" w:hAnsi="Cambria" w:cs="Cambria"/>
          <w:b/>
          <w:bCs/>
          <w:color w:val="000000"/>
          <w:sz w:val="20"/>
          <w:szCs w:val="20"/>
          <w:u w:color="000000"/>
          <w:lang w:val="es-ES_tradnl" w:eastAsia="es-ES"/>
        </w:rPr>
        <w:tab/>
      </w:r>
      <w:r w:rsidR="00410D96">
        <w:rPr>
          <w:rFonts w:ascii="Cambria" w:hAnsi="Cambria"/>
          <w:b/>
          <w:bCs/>
          <w:sz w:val="20"/>
          <w:szCs w:val="20"/>
          <w:lang w:val="es-ES_tradnl"/>
        </w:rPr>
        <w:t>CONSIDERACIÓN PREVIA SOBRE LA REPRESENTACIÓN DE LAS PRESUNTAS VÍCTIMAS</w:t>
      </w:r>
      <w:r w:rsidR="00C21FEF" w:rsidRPr="004606B1">
        <w:rPr>
          <w:rFonts w:ascii="Cambria" w:eastAsia="Cambria" w:hAnsi="Cambria" w:cs="Cambria"/>
          <w:b/>
          <w:bCs/>
          <w:color w:val="000000"/>
          <w:sz w:val="20"/>
          <w:szCs w:val="20"/>
          <w:u w:color="000000"/>
          <w:lang w:val="es-ES_tradnl" w:eastAsia="es-ES"/>
        </w:rPr>
        <w:t xml:space="preserve"> </w:t>
      </w:r>
    </w:p>
    <w:p w14:paraId="2B7ACD3B" w14:textId="23BD6F04" w:rsidR="003D5AD9" w:rsidRDefault="009147ED" w:rsidP="005819CE">
      <w:pPr>
        <w:pStyle w:val="ListParagraph"/>
        <w:numPr>
          <w:ilvl w:val="0"/>
          <w:numId w:val="56"/>
        </w:numPr>
        <w:spacing w:before="240" w:after="240"/>
        <w:ind w:left="142" w:firstLine="567"/>
        <w:jc w:val="both"/>
        <w:rPr>
          <w:bCs/>
          <w:sz w:val="20"/>
          <w:szCs w:val="20"/>
          <w:lang w:val="es-ES_tradnl"/>
        </w:rPr>
      </w:pPr>
      <w:r w:rsidRPr="009147ED">
        <w:rPr>
          <w:bCs/>
          <w:sz w:val="20"/>
          <w:szCs w:val="20"/>
          <w:lang w:val="es-ES_tradnl"/>
        </w:rPr>
        <w:t xml:space="preserve">En el presente caso existe una controversia en torno </w:t>
      </w:r>
      <w:r w:rsidR="005161D5">
        <w:rPr>
          <w:bCs/>
          <w:sz w:val="20"/>
          <w:szCs w:val="20"/>
          <w:lang w:val="es-ES_tradnl"/>
        </w:rPr>
        <w:t xml:space="preserve">a la legitimidad de la parte peticionaria, </w:t>
      </w:r>
      <w:r w:rsidR="002805FA">
        <w:rPr>
          <w:bCs/>
          <w:sz w:val="20"/>
          <w:szCs w:val="20"/>
          <w:lang w:val="es-ES_tradnl"/>
        </w:rPr>
        <w:t xml:space="preserve">el Colectivo Madre Selva y el Sr. Bernardo Caal Xól. El Estado cuestiona que estos estén realmente actuando en representación y </w:t>
      </w:r>
      <w:r w:rsidR="0069400D">
        <w:rPr>
          <w:bCs/>
          <w:sz w:val="20"/>
          <w:szCs w:val="20"/>
          <w:lang w:val="es-ES_tradnl"/>
        </w:rPr>
        <w:t xml:space="preserve">beneficio de las comunidades indígenas presentes en el entorno de los proyectos hidroeléctricos de las </w:t>
      </w:r>
      <w:r w:rsidR="00A85053">
        <w:rPr>
          <w:bCs/>
          <w:sz w:val="20"/>
          <w:szCs w:val="20"/>
          <w:lang w:val="es-ES_tradnl"/>
        </w:rPr>
        <w:t>empresas</w:t>
      </w:r>
      <w:r w:rsidR="00B9134D">
        <w:rPr>
          <w:bCs/>
          <w:sz w:val="20"/>
          <w:szCs w:val="20"/>
          <w:lang w:val="es-ES_tradnl"/>
        </w:rPr>
        <w:t xml:space="preserve"> Oxec y Oxec II. </w:t>
      </w:r>
    </w:p>
    <w:p w14:paraId="039B955B" w14:textId="77777777" w:rsidR="00AA10D3" w:rsidRDefault="00B9134D" w:rsidP="003D5AD9">
      <w:pPr>
        <w:pStyle w:val="ListParagraph"/>
        <w:numPr>
          <w:ilvl w:val="0"/>
          <w:numId w:val="56"/>
        </w:numPr>
        <w:spacing w:before="240" w:after="240"/>
        <w:ind w:left="142" w:firstLine="567"/>
        <w:jc w:val="both"/>
        <w:rPr>
          <w:bCs/>
          <w:sz w:val="20"/>
          <w:szCs w:val="20"/>
          <w:lang w:val="es-ES_tradnl"/>
        </w:rPr>
      </w:pPr>
      <w:r>
        <w:rPr>
          <w:bCs/>
          <w:sz w:val="20"/>
          <w:szCs w:val="20"/>
          <w:lang w:val="es-ES_tradnl"/>
        </w:rPr>
        <w:t xml:space="preserve">A este respecto, </w:t>
      </w:r>
      <w:r w:rsidR="00F45C3E">
        <w:rPr>
          <w:bCs/>
          <w:sz w:val="20"/>
          <w:szCs w:val="20"/>
          <w:lang w:val="es-ES_tradnl"/>
        </w:rPr>
        <w:t>la Comisión observa</w:t>
      </w:r>
      <w:r w:rsidR="003352C7">
        <w:rPr>
          <w:bCs/>
          <w:sz w:val="20"/>
          <w:szCs w:val="20"/>
          <w:lang w:val="es-ES_tradnl"/>
        </w:rPr>
        <w:t xml:space="preserve"> que el Estado basa su cuestionamiento en el hecho de que hay un grupo de once comunidades aledañas a estos proyectos hidroeléctricos</w:t>
      </w:r>
      <w:r w:rsidR="00C11E3E">
        <w:rPr>
          <w:bCs/>
          <w:sz w:val="20"/>
          <w:szCs w:val="20"/>
          <w:lang w:val="es-ES_tradnl"/>
        </w:rPr>
        <w:t>, que aparentemente estarían conformes con estos y estarían recibiendo algunas prebendas de las empresas que los están llevando a cabo</w:t>
      </w:r>
      <w:r w:rsidR="00764910">
        <w:rPr>
          <w:bCs/>
          <w:sz w:val="20"/>
          <w:szCs w:val="20"/>
          <w:lang w:val="es-ES_tradnl"/>
        </w:rPr>
        <w:t xml:space="preserve">. En este sentido, y como se plasma en el presente informe, el Estado aporta </w:t>
      </w:r>
      <w:r w:rsidR="00CB6609">
        <w:rPr>
          <w:bCs/>
          <w:sz w:val="20"/>
          <w:szCs w:val="20"/>
          <w:lang w:val="es-ES_tradnl"/>
        </w:rPr>
        <w:t>dos escritos en los que estas once comunidades repudian las actuaciones a nivel interno del Colectivo Madreselva y del Sr. Bernardo Caal Xól</w:t>
      </w:r>
      <w:r w:rsidR="003D5AD9">
        <w:rPr>
          <w:bCs/>
          <w:sz w:val="20"/>
          <w:szCs w:val="20"/>
          <w:lang w:val="es-ES_tradnl"/>
        </w:rPr>
        <w:t xml:space="preserve">, porque entienden que van en contra de sus intereses. Sin embargo, resulta igualmente claro, de la </w:t>
      </w:r>
      <w:r w:rsidR="00E1574D">
        <w:rPr>
          <w:bCs/>
          <w:sz w:val="20"/>
          <w:szCs w:val="20"/>
          <w:lang w:val="es-ES_tradnl"/>
        </w:rPr>
        <w:t>información presente en el expediente, que quienes han buscado la representación de</w:t>
      </w:r>
      <w:r w:rsidR="00195964">
        <w:rPr>
          <w:bCs/>
          <w:sz w:val="20"/>
          <w:szCs w:val="20"/>
          <w:lang w:val="es-ES_tradnl"/>
        </w:rPr>
        <w:t xml:space="preserve"> los peticionarios no han sido aquellas once comunidades aledañas a las represas, sino un grupo mayor y distinto, </w:t>
      </w:r>
      <w:r w:rsidR="00AD527D">
        <w:rPr>
          <w:bCs/>
          <w:sz w:val="20"/>
          <w:szCs w:val="20"/>
          <w:lang w:val="es-ES_tradnl"/>
        </w:rPr>
        <w:t xml:space="preserve">otras comunidades presentes en el municipio </w:t>
      </w:r>
      <w:r w:rsidR="005E0759" w:rsidRPr="005E0759">
        <w:rPr>
          <w:bCs/>
          <w:sz w:val="20"/>
          <w:szCs w:val="20"/>
          <w:lang w:val="es-ES_tradnl"/>
        </w:rPr>
        <w:t>de Santa María Cahabón, departamento de Alta Verapaz</w:t>
      </w:r>
      <w:r w:rsidR="005E0759">
        <w:rPr>
          <w:bCs/>
          <w:sz w:val="20"/>
          <w:szCs w:val="20"/>
          <w:lang w:val="es-ES_tradnl"/>
        </w:rPr>
        <w:t xml:space="preserve">, que, según alegan, se estarían viendo perjudicadas en sus derechos por la construcción y operación de estos proyectos hidroeléctricos. </w:t>
      </w:r>
    </w:p>
    <w:p w14:paraId="30B88062" w14:textId="0C6A5A38" w:rsidR="00475A54" w:rsidRDefault="005E0759" w:rsidP="003D5AD9">
      <w:pPr>
        <w:pStyle w:val="ListParagraph"/>
        <w:numPr>
          <w:ilvl w:val="0"/>
          <w:numId w:val="56"/>
        </w:numPr>
        <w:spacing w:before="240" w:after="240"/>
        <w:ind w:left="142" w:firstLine="567"/>
        <w:jc w:val="both"/>
        <w:rPr>
          <w:bCs/>
          <w:sz w:val="20"/>
          <w:szCs w:val="20"/>
          <w:lang w:val="es-ES_tradnl"/>
        </w:rPr>
      </w:pPr>
      <w:r>
        <w:rPr>
          <w:bCs/>
          <w:sz w:val="20"/>
          <w:szCs w:val="20"/>
          <w:lang w:val="es-ES_tradnl"/>
        </w:rPr>
        <w:t xml:space="preserve">Por lo tanto, </w:t>
      </w:r>
      <w:r w:rsidR="002376BA">
        <w:rPr>
          <w:bCs/>
          <w:sz w:val="20"/>
          <w:szCs w:val="20"/>
          <w:lang w:val="es-ES_tradnl"/>
        </w:rPr>
        <w:t xml:space="preserve">la Comisión considera que no existe </w:t>
      </w:r>
      <w:r w:rsidR="005D208A">
        <w:rPr>
          <w:bCs/>
          <w:sz w:val="20"/>
          <w:szCs w:val="20"/>
          <w:lang w:val="es-ES_tradnl"/>
        </w:rPr>
        <w:t xml:space="preserve">propiamente una controversia jurídica respecto de la </w:t>
      </w:r>
      <w:r w:rsidR="0058470D">
        <w:rPr>
          <w:bCs/>
          <w:sz w:val="20"/>
          <w:szCs w:val="20"/>
          <w:lang w:val="es-ES_tradnl"/>
        </w:rPr>
        <w:t xml:space="preserve">calidad de la </w:t>
      </w:r>
      <w:r w:rsidR="005D208A">
        <w:rPr>
          <w:bCs/>
          <w:sz w:val="20"/>
          <w:szCs w:val="20"/>
          <w:lang w:val="es-ES_tradnl"/>
        </w:rPr>
        <w:t xml:space="preserve">representación ejercida por los peticionarios, ya que </w:t>
      </w:r>
      <w:r w:rsidR="00AA10D3">
        <w:rPr>
          <w:bCs/>
          <w:sz w:val="20"/>
          <w:szCs w:val="20"/>
          <w:lang w:val="es-ES_tradnl"/>
        </w:rPr>
        <w:t xml:space="preserve">estos no pretenden actuar en representación de aquellas once comunidades que el Estado </w:t>
      </w:r>
      <w:r w:rsidR="0030581C">
        <w:rPr>
          <w:bCs/>
          <w:sz w:val="20"/>
          <w:szCs w:val="20"/>
          <w:lang w:val="es-ES_tradnl"/>
        </w:rPr>
        <w:t xml:space="preserve">plantea que no desean su representación, sino que lo hacen en favor de otras comunidades, respecto de las cuales la Comisión sí cuenta con elementos de información que permitirían </w:t>
      </w:r>
      <w:r w:rsidR="00A2190C">
        <w:rPr>
          <w:bCs/>
          <w:sz w:val="20"/>
          <w:szCs w:val="20"/>
          <w:lang w:val="es-ES_tradnl"/>
        </w:rPr>
        <w:t xml:space="preserve">sustentar que los peticionarios las representan. </w:t>
      </w:r>
    </w:p>
    <w:p w14:paraId="5BC23781" w14:textId="2E7593FB" w:rsidR="000E4C58" w:rsidRDefault="00A2190C" w:rsidP="003D5AD9">
      <w:pPr>
        <w:pStyle w:val="ListParagraph"/>
        <w:numPr>
          <w:ilvl w:val="0"/>
          <w:numId w:val="56"/>
        </w:numPr>
        <w:spacing w:before="240" w:after="240"/>
        <w:ind w:left="142" w:firstLine="567"/>
        <w:jc w:val="both"/>
        <w:rPr>
          <w:bCs/>
          <w:sz w:val="20"/>
          <w:szCs w:val="20"/>
          <w:lang w:val="es-ES_tradnl"/>
        </w:rPr>
      </w:pPr>
      <w:r>
        <w:rPr>
          <w:bCs/>
          <w:sz w:val="20"/>
          <w:szCs w:val="20"/>
          <w:lang w:val="es-ES_tradnl"/>
        </w:rPr>
        <w:t xml:space="preserve">En este sentido, es pertinente </w:t>
      </w:r>
      <w:r w:rsidR="00AB6D37">
        <w:rPr>
          <w:bCs/>
          <w:sz w:val="20"/>
          <w:szCs w:val="20"/>
          <w:lang w:val="es-ES_tradnl"/>
        </w:rPr>
        <w:t>recordar</w:t>
      </w:r>
      <w:r>
        <w:rPr>
          <w:bCs/>
          <w:sz w:val="20"/>
          <w:szCs w:val="20"/>
          <w:lang w:val="es-ES_tradnl"/>
        </w:rPr>
        <w:t xml:space="preserve"> que</w:t>
      </w:r>
      <w:r w:rsidR="00475A54">
        <w:rPr>
          <w:bCs/>
          <w:sz w:val="20"/>
          <w:szCs w:val="20"/>
          <w:lang w:val="es-ES_tradnl"/>
        </w:rPr>
        <w:t xml:space="preserve"> tanto los instrumentos jurídicos</w:t>
      </w:r>
      <w:r w:rsidR="00AB6D37">
        <w:rPr>
          <w:bCs/>
          <w:sz w:val="20"/>
          <w:szCs w:val="20"/>
          <w:lang w:val="es-ES_tradnl"/>
        </w:rPr>
        <w:t xml:space="preserve"> </w:t>
      </w:r>
      <w:r w:rsidR="00475A54">
        <w:rPr>
          <w:bCs/>
          <w:sz w:val="20"/>
          <w:szCs w:val="20"/>
          <w:lang w:val="es-ES_tradnl"/>
        </w:rPr>
        <w:t xml:space="preserve">del </w:t>
      </w:r>
      <w:r>
        <w:rPr>
          <w:bCs/>
          <w:sz w:val="20"/>
          <w:szCs w:val="20"/>
          <w:lang w:val="es-ES_tradnl"/>
        </w:rPr>
        <w:t>Sistema Interamericano</w:t>
      </w:r>
      <w:r w:rsidR="00475A54">
        <w:rPr>
          <w:bCs/>
          <w:sz w:val="20"/>
          <w:szCs w:val="20"/>
          <w:lang w:val="es-ES_tradnl"/>
        </w:rPr>
        <w:t xml:space="preserve">, como </w:t>
      </w:r>
      <w:r w:rsidR="00AB6D37">
        <w:rPr>
          <w:bCs/>
          <w:sz w:val="20"/>
          <w:szCs w:val="20"/>
          <w:lang w:val="es-ES_tradnl"/>
        </w:rPr>
        <w:t>los</w:t>
      </w:r>
      <w:r w:rsidR="00475A54">
        <w:rPr>
          <w:bCs/>
          <w:sz w:val="20"/>
          <w:szCs w:val="20"/>
          <w:lang w:val="es-ES_tradnl"/>
        </w:rPr>
        <w:t xml:space="preserve"> órganos</w:t>
      </w:r>
      <w:r w:rsidR="00AB6D37">
        <w:rPr>
          <w:bCs/>
          <w:sz w:val="20"/>
          <w:szCs w:val="20"/>
          <w:lang w:val="es-ES_tradnl"/>
        </w:rPr>
        <w:t xml:space="preserve"> encargados de su aplicación </w:t>
      </w:r>
      <w:r w:rsidR="00F722CD">
        <w:rPr>
          <w:bCs/>
          <w:sz w:val="20"/>
          <w:szCs w:val="20"/>
          <w:lang w:val="es-ES_tradnl"/>
        </w:rPr>
        <w:t xml:space="preserve">establecen una concepción poco formalista respecto de la acreditación de los peticionarios por parte de las presuntas víctimas, </w:t>
      </w:r>
      <w:r w:rsidR="00A011F7">
        <w:rPr>
          <w:bCs/>
          <w:sz w:val="20"/>
          <w:szCs w:val="20"/>
          <w:lang w:val="es-ES_tradnl"/>
        </w:rPr>
        <w:t xml:space="preserve">en el sistema de casos establecido por la Convención Americana sobre Derechos Humanos. En este sentido, el artículo 44 </w:t>
      </w:r>
      <w:r w:rsidR="00C31C1A">
        <w:rPr>
          <w:bCs/>
          <w:sz w:val="20"/>
          <w:szCs w:val="20"/>
          <w:lang w:val="es-ES_tradnl"/>
        </w:rPr>
        <w:t>de este tratado</w:t>
      </w:r>
      <w:r w:rsidR="00C07135">
        <w:rPr>
          <w:bCs/>
          <w:sz w:val="20"/>
          <w:szCs w:val="20"/>
          <w:lang w:val="es-ES_tradnl"/>
        </w:rPr>
        <w:t xml:space="preserve">, concordante con el </w:t>
      </w:r>
      <w:r w:rsidR="00AF0138">
        <w:rPr>
          <w:bCs/>
          <w:sz w:val="20"/>
          <w:szCs w:val="20"/>
          <w:lang w:val="es-ES_tradnl"/>
        </w:rPr>
        <w:t>23 del Reglamento de la CIDH,</w:t>
      </w:r>
      <w:r w:rsidR="00C31C1A">
        <w:rPr>
          <w:bCs/>
          <w:sz w:val="20"/>
          <w:szCs w:val="20"/>
          <w:lang w:val="es-ES_tradnl"/>
        </w:rPr>
        <w:t xml:space="preserve"> establece que: “[</w:t>
      </w:r>
      <w:r w:rsidR="00C31C1A" w:rsidRPr="00595717">
        <w:rPr>
          <w:bCs/>
          <w:i/>
          <w:iCs/>
          <w:sz w:val="20"/>
          <w:szCs w:val="20"/>
          <w:lang w:val="es-ES_tradnl"/>
        </w:rPr>
        <w:t>c]ualquier persona</w:t>
      </w:r>
      <w:r w:rsidR="00BC4E42" w:rsidRPr="00595717">
        <w:rPr>
          <w:bCs/>
          <w:i/>
          <w:iCs/>
          <w:sz w:val="20"/>
          <w:szCs w:val="20"/>
          <w:lang w:val="es-ES_tradnl"/>
        </w:rPr>
        <w:t xml:space="preserve"> o grupo de personas, o entidad no gubernamental legalmente reconocida en uno o más Estados miembros de la Organización puede presentar a la Comisión peticiones que contengan denuncias o quejas de</w:t>
      </w:r>
      <w:r w:rsidR="00595717" w:rsidRPr="00595717">
        <w:rPr>
          <w:bCs/>
          <w:i/>
          <w:iCs/>
          <w:sz w:val="20"/>
          <w:szCs w:val="20"/>
          <w:lang w:val="es-ES_tradnl"/>
        </w:rPr>
        <w:t xml:space="preserve"> violación de esta Convención por un Estado parte</w:t>
      </w:r>
      <w:r w:rsidR="00595717">
        <w:rPr>
          <w:bCs/>
          <w:sz w:val="20"/>
          <w:szCs w:val="20"/>
          <w:lang w:val="es-ES_tradnl"/>
        </w:rPr>
        <w:t>”. A</w:t>
      </w:r>
      <w:r w:rsidR="000E4C58">
        <w:rPr>
          <w:bCs/>
          <w:sz w:val="20"/>
          <w:szCs w:val="20"/>
          <w:lang w:val="es-ES_tradnl"/>
        </w:rPr>
        <w:t xml:space="preserve"> este respecto, la CIDH ha establecido que:</w:t>
      </w:r>
    </w:p>
    <w:p w14:paraId="60ABE000" w14:textId="70543747" w:rsidR="009147ED" w:rsidRPr="003D5AD9" w:rsidRDefault="000E4C58" w:rsidP="000E4C58">
      <w:pPr>
        <w:pStyle w:val="ListParagraph"/>
        <w:spacing w:before="240" w:after="240"/>
        <w:ind w:right="720"/>
        <w:jc w:val="both"/>
        <w:rPr>
          <w:bCs/>
          <w:sz w:val="20"/>
          <w:szCs w:val="20"/>
          <w:lang w:val="es-ES_tradnl"/>
        </w:rPr>
      </w:pPr>
      <w:r w:rsidRPr="000E4C58">
        <w:rPr>
          <w:bCs/>
          <w:sz w:val="20"/>
          <w:szCs w:val="20"/>
          <w:lang w:val="es-ES_tradnl"/>
        </w:rPr>
        <w:t>A diferencia de otros sistemas de protección de derechos humanos, el Sistema Interamericano permite a diversos tipos de peticionarios presentar peticiones a nombre de víctimas. En efecto, la terminología del artículo 44 es muy abierta, permitiendo a cualquier persona o grupo de personas, o entidad no gubernamental legalmente reconocida en uno o más Estados miembros de la Organización, presentar a la Comisión peticiones que contengan denuncias o quejas de violación de esta Convención por un Estado parte, sin exigir, como lo requiere la práctica del sistema europeo o del Comité sobre Derechos Humanos de las Naciones Unidas, que sean víctimas como tal, es decir tener un interés personal, directo o indirecto en la adjudicación de una petición. Tampoco exige la autorización de la víctima o que los peticionarios presenten poderes de representación legal de las supuestas víctimas</w:t>
      </w:r>
      <w:r>
        <w:rPr>
          <w:rStyle w:val="FootnoteReference"/>
          <w:bCs/>
          <w:sz w:val="20"/>
          <w:szCs w:val="20"/>
          <w:lang w:val="es-ES_tradnl"/>
        </w:rPr>
        <w:footnoteReference w:id="23"/>
      </w:r>
      <w:r w:rsidRPr="000E4C58">
        <w:rPr>
          <w:bCs/>
          <w:sz w:val="20"/>
          <w:szCs w:val="20"/>
          <w:lang w:val="es-ES_tradnl"/>
        </w:rPr>
        <w:t>.</w:t>
      </w:r>
      <w:r w:rsidR="00475A54">
        <w:rPr>
          <w:bCs/>
          <w:sz w:val="20"/>
          <w:szCs w:val="20"/>
          <w:lang w:val="es-ES_tradnl"/>
        </w:rPr>
        <w:t xml:space="preserve"> </w:t>
      </w:r>
    </w:p>
    <w:p w14:paraId="181C2929" w14:textId="6181588F" w:rsidR="00410D96" w:rsidRPr="005C523C" w:rsidRDefault="005C523C" w:rsidP="005819CE">
      <w:pPr>
        <w:pStyle w:val="ListParagraph"/>
        <w:numPr>
          <w:ilvl w:val="0"/>
          <w:numId w:val="56"/>
        </w:numPr>
        <w:spacing w:before="240" w:after="240"/>
        <w:ind w:left="142" w:firstLine="567"/>
        <w:jc w:val="both"/>
        <w:rPr>
          <w:bCs/>
          <w:sz w:val="20"/>
          <w:szCs w:val="20"/>
          <w:lang w:val="es-ES_tradnl"/>
        </w:rPr>
      </w:pPr>
      <w:r>
        <w:rPr>
          <w:rFonts w:cstheme="minorHAnsi"/>
          <w:bCs/>
          <w:sz w:val="20"/>
          <w:szCs w:val="20"/>
          <w:lang w:val="es-ES_tradnl"/>
        </w:rPr>
        <w:t>Así, se reitera que d</w:t>
      </w:r>
      <w:r w:rsidR="00DE18AA" w:rsidRPr="005C523C">
        <w:rPr>
          <w:rFonts w:cstheme="minorHAnsi"/>
          <w:bCs/>
          <w:sz w:val="20"/>
          <w:szCs w:val="20"/>
          <w:lang w:val="es-ES_tradnl"/>
        </w:rPr>
        <w:t xml:space="preserve">entro de la petición, el señor Caal Xól indica que </w:t>
      </w:r>
      <w:r w:rsidR="00DE18AA" w:rsidRPr="005C523C">
        <w:rPr>
          <w:bCs/>
          <w:sz w:val="20"/>
          <w:szCs w:val="20"/>
          <w:lang w:val="es-ES_tradnl"/>
        </w:rPr>
        <w:t>actúa en calidad de vecino del municipio de Santa María Cahabón, departamento de Alta Verapaz y miembro representante de la comunidad indígena Q'eqchi</w:t>
      </w:r>
      <w:r w:rsidR="00A369CF" w:rsidRPr="005C523C">
        <w:rPr>
          <w:bCs/>
          <w:sz w:val="20"/>
          <w:szCs w:val="20"/>
          <w:lang w:val="es-ES_tradnl"/>
        </w:rPr>
        <w:t xml:space="preserve">. Igualmente, presenta una copia de </w:t>
      </w:r>
      <w:r w:rsidR="00A369CF" w:rsidRPr="005C523C">
        <w:rPr>
          <w:bCs/>
          <w:i/>
          <w:iCs/>
          <w:sz w:val="20"/>
          <w:szCs w:val="20"/>
          <w:lang w:val="es-ES_tradnl"/>
        </w:rPr>
        <w:t>“las actas celebradas por las comunidades indígenas Q'eqchi’s del municipio de Santa María Cahabón, Departamento de Alta Verapaz, en las cuales delegan su representación a Bernardo Caal Xol</w:t>
      </w:r>
      <w:r w:rsidR="00A369CF" w:rsidRPr="005C523C">
        <w:rPr>
          <w:bCs/>
          <w:sz w:val="20"/>
          <w:szCs w:val="20"/>
          <w:lang w:val="es-ES_tradnl"/>
        </w:rPr>
        <w:t xml:space="preserve">”, del 14 y 15 de mayo de 2015. Dichas actas contienen firmantes del municipio de Santa María Cahabón; particularmente de las aldeas Chimoxán, Sepoc, caserío Chaslaú, Chiaslau, Chatela, Chimoxán, caserío Vista Hermosa, caserío Sebas I y Sebas II comunidad la Nueva Esperanza, aldea </w:t>
      </w:r>
      <w:r w:rsidR="00A369CF" w:rsidRPr="005C523C">
        <w:rPr>
          <w:bCs/>
          <w:sz w:val="20"/>
          <w:szCs w:val="20"/>
          <w:lang w:val="es-ES_tradnl"/>
        </w:rPr>
        <w:lastRenderedPageBreak/>
        <w:t>Reforma Rumpoc, aldea Gualibaji, caserío Xalitzal, aldea Semococh la Crest, caserío Agua Caliente y Nuevo Agua Caliente, aldea El Palmar, caserío Chicoc I, caserío Nueva Concepción Chatela, caserío Julhix, caserio Sesaquiquib Chimox, parcelamiento agrario Chuijbelen, comunidad de Sepos, aldea Secanante, caserío Xaliha Chamil, las tres cruces, el Álamo, Sepur, Asención, Chajbul Chicolol, caserío Chipor, Cacpecal Chisip, caserío Sehuc, Nuevo Tzulben, Río la Bendición</w:t>
      </w:r>
      <w:r w:rsidR="00A369CF" w:rsidRPr="005C523C">
        <w:rPr>
          <w:rStyle w:val="FootnoteReference"/>
          <w:bCs/>
          <w:sz w:val="20"/>
          <w:szCs w:val="20"/>
          <w:lang w:val="es-ES_tradnl"/>
        </w:rPr>
        <w:footnoteReference w:id="24"/>
      </w:r>
      <w:r w:rsidR="00236F8A">
        <w:rPr>
          <w:bCs/>
          <w:sz w:val="20"/>
          <w:szCs w:val="20"/>
          <w:lang w:val="es-ES_tradnl"/>
        </w:rPr>
        <w:t>,</w:t>
      </w:r>
      <w:r w:rsidR="00A369CF" w:rsidRPr="005C523C">
        <w:rPr>
          <w:bCs/>
          <w:sz w:val="20"/>
          <w:szCs w:val="20"/>
          <w:lang w:val="es-ES_tradnl"/>
        </w:rPr>
        <w:t xml:space="preserve"> y en éstas piden que se realice una consulta popular o comunitaria por los proyectos hidroeléctricos.</w:t>
      </w:r>
    </w:p>
    <w:p w14:paraId="6411F27A" w14:textId="5454DE10" w:rsidR="00410D96" w:rsidRPr="00410D96" w:rsidRDefault="00410D96" w:rsidP="00410D96">
      <w:pPr>
        <w:spacing w:before="240" w:after="240"/>
        <w:ind w:firstLine="720"/>
        <w:jc w:val="both"/>
        <w:rPr>
          <w:rFonts w:ascii="Cambria" w:eastAsia="Cambria" w:hAnsi="Cambria" w:cs="Cambria"/>
          <w:b/>
          <w:bCs/>
          <w:color w:val="000000"/>
          <w:sz w:val="20"/>
          <w:szCs w:val="20"/>
          <w:u w:color="000000"/>
          <w:lang w:val="es-ES_tradnl" w:eastAsia="es-ES"/>
        </w:rPr>
      </w:pPr>
      <w:r w:rsidRPr="004606B1">
        <w:rPr>
          <w:rFonts w:ascii="Cambria" w:eastAsia="Cambria" w:hAnsi="Cambria" w:cs="Cambria"/>
          <w:b/>
          <w:bCs/>
          <w:color w:val="000000"/>
          <w:sz w:val="20"/>
          <w:szCs w:val="20"/>
          <w:u w:color="000000"/>
          <w:lang w:val="es-ES_tradnl" w:eastAsia="es-ES"/>
        </w:rPr>
        <w:t>V</w:t>
      </w:r>
      <w:r>
        <w:rPr>
          <w:rFonts w:ascii="Cambria" w:eastAsia="Cambria" w:hAnsi="Cambria" w:cs="Cambria"/>
          <w:b/>
          <w:bCs/>
          <w:color w:val="000000"/>
          <w:sz w:val="20"/>
          <w:szCs w:val="20"/>
          <w:u w:color="000000"/>
          <w:lang w:val="es-ES_tradnl" w:eastAsia="es-ES"/>
        </w:rPr>
        <w:t>I</w:t>
      </w:r>
      <w:r w:rsidRPr="004606B1">
        <w:rPr>
          <w:rFonts w:ascii="Cambria" w:eastAsia="Cambria" w:hAnsi="Cambria" w:cs="Cambria"/>
          <w:b/>
          <w:bCs/>
          <w:color w:val="000000"/>
          <w:sz w:val="20"/>
          <w:szCs w:val="20"/>
          <w:u w:color="000000"/>
          <w:lang w:val="es-ES_tradnl" w:eastAsia="es-ES"/>
        </w:rPr>
        <w:t>I.</w:t>
      </w:r>
      <w:r w:rsidRPr="004606B1">
        <w:rPr>
          <w:rFonts w:ascii="Cambria" w:eastAsia="Cambria" w:hAnsi="Cambria" w:cs="Cambria"/>
          <w:b/>
          <w:bCs/>
          <w:color w:val="000000"/>
          <w:sz w:val="20"/>
          <w:szCs w:val="20"/>
          <w:u w:color="000000"/>
          <w:lang w:val="es-ES_tradnl" w:eastAsia="es-ES"/>
        </w:rPr>
        <w:tab/>
      </w:r>
      <w:r w:rsidRPr="004606B1">
        <w:rPr>
          <w:rFonts w:ascii="Cambria" w:hAnsi="Cambria"/>
          <w:b/>
          <w:bCs/>
          <w:sz w:val="20"/>
          <w:szCs w:val="20"/>
          <w:lang w:val="es-ES_tradnl"/>
        </w:rPr>
        <w:t xml:space="preserve">ANÁLISIS DE </w:t>
      </w:r>
      <w:r w:rsidRPr="004606B1">
        <w:rPr>
          <w:rFonts w:ascii="Cambria" w:hAnsi="Cambria"/>
          <w:b/>
          <w:sz w:val="20"/>
          <w:szCs w:val="20"/>
          <w:lang w:val="es-ES_tradnl"/>
        </w:rPr>
        <w:t>AGOTAMIENTO DE LOS RECURSOS INTERNOS Y PLAZO DE PRESENTACIÓN</w:t>
      </w:r>
      <w:r w:rsidRPr="004606B1">
        <w:rPr>
          <w:rFonts w:ascii="Cambria" w:eastAsia="Cambria" w:hAnsi="Cambria" w:cs="Cambria"/>
          <w:b/>
          <w:bCs/>
          <w:color w:val="000000"/>
          <w:sz w:val="20"/>
          <w:szCs w:val="20"/>
          <w:u w:color="000000"/>
          <w:lang w:val="es-ES_tradnl" w:eastAsia="es-ES"/>
        </w:rPr>
        <w:t xml:space="preserve"> </w:t>
      </w:r>
    </w:p>
    <w:p w14:paraId="64C8955B" w14:textId="504D97FD" w:rsidR="00202863" w:rsidRPr="004606B1" w:rsidRDefault="00202863" w:rsidP="004606B1">
      <w:pPr>
        <w:pStyle w:val="ListParagraph"/>
        <w:numPr>
          <w:ilvl w:val="0"/>
          <w:numId w:val="56"/>
        </w:numPr>
        <w:spacing w:before="240" w:after="240"/>
        <w:ind w:left="142" w:firstLine="567"/>
        <w:jc w:val="both"/>
        <w:rPr>
          <w:sz w:val="20"/>
          <w:szCs w:val="20"/>
          <w:lang w:val="es-ES_tradnl"/>
        </w:rPr>
      </w:pPr>
      <w:r w:rsidRPr="004606B1">
        <w:rPr>
          <w:rFonts w:asciiTheme="majorHAnsi" w:hAnsiTheme="majorHAnsi"/>
          <w:sz w:val="20"/>
          <w:szCs w:val="20"/>
          <w:lang w:val="es-ES"/>
        </w:rPr>
        <w:t xml:space="preserve">Para el análisis del agotamiento de los recursos </w:t>
      </w:r>
      <w:r w:rsidR="001F77D5" w:rsidRPr="004606B1">
        <w:rPr>
          <w:rFonts w:asciiTheme="majorHAnsi" w:hAnsiTheme="majorHAnsi"/>
          <w:sz w:val="20"/>
          <w:szCs w:val="20"/>
          <w:lang w:val="es-ES"/>
        </w:rPr>
        <w:t>internos</w:t>
      </w:r>
      <w:r w:rsidRPr="004606B1">
        <w:rPr>
          <w:rFonts w:asciiTheme="majorHAnsi" w:hAnsiTheme="majorHAnsi"/>
          <w:sz w:val="20"/>
          <w:szCs w:val="20"/>
          <w:lang w:val="es-ES"/>
        </w:rPr>
        <w:t xml:space="preserve"> en el presente asunto, la CIDH recuerda que, según su práctica consolidada y reiterada, a efectos de identificar los recursos idóneos que debieron haber sido agotados por un peticionario antes de recurrir al Sistema Interamericano, el primer paso metodológico del análisis consiste en deslindar los distintos reclamos formulados en la correspondiente petición para proceder a su examen individualizado</w:t>
      </w:r>
      <w:r w:rsidRPr="004606B1">
        <w:rPr>
          <w:rStyle w:val="FootnoteReference"/>
          <w:rFonts w:asciiTheme="majorHAnsi" w:hAnsiTheme="majorHAnsi"/>
          <w:sz w:val="20"/>
          <w:szCs w:val="20"/>
          <w:lang w:val="es-ES"/>
        </w:rPr>
        <w:footnoteReference w:id="25"/>
      </w:r>
      <w:r w:rsidRPr="004606B1">
        <w:rPr>
          <w:rFonts w:asciiTheme="majorHAnsi" w:hAnsiTheme="majorHAnsi"/>
          <w:sz w:val="20"/>
          <w:szCs w:val="20"/>
          <w:lang w:val="es-ES"/>
        </w:rPr>
        <w:t>. En el presente caso, los peticionarios han presentado ante la Comisión varios reclamos</w:t>
      </w:r>
      <w:r w:rsidR="001F77D5" w:rsidRPr="004606B1">
        <w:rPr>
          <w:rStyle w:val="FootnoteReference"/>
          <w:rFonts w:asciiTheme="majorHAnsi" w:hAnsiTheme="majorHAnsi"/>
          <w:sz w:val="20"/>
          <w:szCs w:val="20"/>
          <w:lang w:val="es-ES"/>
        </w:rPr>
        <w:footnoteReference w:id="26"/>
      </w:r>
      <w:r w:rsidRPr="004606B1">
        <w:rPr>
          <w:rFonts w:asciiTheme="majorHAnsi" w:hAnsiTheme="majorHAnsi"/>
          <w:sz w:val="20"/>
          <w:szCs w:val="20"/>
          <w:lang w:val="es-ES"/>
        </w:rPr>
        <w:t xml:space="preserve">, sin embargo, no han ofrecido suficiente información para poder examinarlos adecuadamente, quedando </w:t>
      </w:r>
      <w:r w:rsidR="001F77D5" w:rsidRPr="004606B1">
        <w:rPr>
          <w:rFonts w:asciiTheme="majorHAnsi" w:hAnsiTheme="majorHAnsi"/>
          <w:sz w:val="20"/>
          <w:szCs w:val="20"/>
          <w:lang w:val="es-ES"/>
        </w:rPr>
        <w:t>dos</w:t>
      </w:r>
      <w:r w:rsidRPr="004606B1">
        <w:rPr>
          <w:rFonts w:asciiTheme="majorHAnsi" w:hAnsiTheme="majorHAnsi"/>
          <w:sz w:val="20"/>
          <w:szCs w:val="20"/>
          <w:lang w:val="es-ES"/>
        </w:rPr>
        <w:t xml:space="preserve"> reclamo</w:t>
      </w:r>
      <w:r w:rsidR="001F77D5" w:rsidRPr="004606B1">
        <w:rPr>
          <w:rFonts w:asciiTheme="majorHAnsi" w:hAnsiTheme="majorHAnsi"/>
          <w:sz w:val="20"/>
          <w:szCs w:val="20"/>
          <w:lang w:val="es-ES"/>
        </w:rPr>
        <w:t>s</w:t>
      </w:r>
      <w:r w:rsidRPr="004606B1">
        <w:rPr>
          <w:rFonts w:asciiTheme="majorHAnsi" w:hAnsiTheme="majorHAnsi"/>
          <w:sz w:val="20"/>
          <w:szCs w:val="20"/>
          <w:lang w:val="es-ES"/>
        </w:rPr>
        <w:t xml:space="preserve"> principal</w:t>
      </w:r>
      <w:r w:rsidR="001F77D5" w:rsidRPr="004606B1">
        <w:rPr>
          <w:rFonts w:asciiTheme="majorHAnsi" w:hAnsiTheme="majorHAnsi"/>
          <w:sz w:val="20"/>
          <w:szCs w:val="20"/>
          <w:lang w:val="es-ES"/>
        </w:rPr>
        <w:t>es</w:t>
      </w:r>
      <w:r w:rsidRPr="004606B1">
        <w:rPr>
          <w:rFonts w:asciiTheme="majorHAnsi" w:hAnsiTheme="majorHAnsi"/>
          <w:sz w:val="20"/>
          <w:szCs w:val="20"/>
          <w:lang w:val="es-ES"/>
        </w:rPr>
        <w:t xml:space="preserve">: </w:t>
      </w:r>
      <w:r w:rsidR="001F77D5" w:rsidRPr="004606B1">
        <w:rPr>
          <w:rFonts w:asciiTheme="majorHAnsi" w:hAnsiTheme="majorHAnsi"/>
          <w:sz w:val="20"/>
          <w:szCs w:val="20"/>
          <w:lang w:val="es-ES"/>
        </w:rPr>
        <w:t xml:space="preserve">(i) </w:t>
      </w:r>
      <w:r w:rsidRPr="004606B1">
        <w:rPr>
          <w:rFonts w:asciiTheme="majorHAnsi" w:hAnsiTheme="majorHAnsi"/>
          <w:sz w:val="20"/>
          <w:szCs w:val="20"/>
          <w:lang w:val="es-ES"/>
        </w:rPr>
        <w:t xml:space="preserve">violación al derecho de consulta de la comunidad indígena Q’ueqchi’, </w:t>
      </w:r>
      <w:r w:rsidRPr="004606B1">
        <w:rPr>
          <w:sz w:val="20"/>
          <w:szCs w:val="20"/>
          <w:lang w:val="es-ES"/>
        </w:rPr>
        <w:t>derivado del otorgamiento de dos concesiones sobre la cuenca de dos ríos que son parte de su comunidad, para la utilización y construcción de dos plantas hidroeléctricas</w:t>
      </w:r>
      <w:r w:rsidR="001F77D5" w:rsidRPr="004606B1">
        <w:rPr>
          <w:sz w:val="20"/>
          <w:szCs w:val="20"/>
          <w:lang w:val="es-ES"/>
        </w:rPr>
        <w:t xml:space="preserve">; </w:t>
      </w:r>
      <w:r w:rsidR="006D47DE" w:rsidRPr="004606B1">
        <w:rPr>
          <w:sz w:val="20"/>
          <w:szCs w:val="20"/>
          <w:lang w:val="es-ES"/>
        </w:rPr>
        <w:t xml:space="preserve">y </w:t>
      </w:r>
      <w:r w:rsidR="001F77D5" w:rsidRPr="004606B1">
        <w:rPr>
          <w:sz w:val="20"/>
          <w:szCs w:val="20"/>
          <w:lang w:val="es-ES"/>
        </w:rPr>
        <w:t xml:space="preserve">(ii) alegatos </w:t>
      </w:r>
      <w:r w:rsidR="006D47DE" w:rsidRPr="004606B1">
        <w:rPr>
          <w:sz w:val="20"/>
          <w:szCs w:val="20"/>
          <w:lang w:val="es-ES"/>
        </w:rPr>
        <w:t xml:space="preserve">de una campaña de desprestigio contra los peticionarios y </w:t>
      </w:r>
      <w:r w:rsidR="001F77D5" w:rsidRPr="004606B1">
        <w:rPr>
          <w:sz w:val="20"/>
          <w:szCs w:val="20"/>
          <w:lang w:val="es-ES"/>
        </w:rPr>
        <w:t>de un proceso</w:t>
      </w:r>
      <w:r w:rsidR="006D47DE" w:rsidRPr="004606B1">
        <w:rPr>
          <w:sz w:val="20"/>
          <w:szCs w:val="20"/>
          <w:lang w:val="es-ES"/>
        </w:rPr>
        <w:t xml:space="preserve"> penal</w:t>
      </w:r>
      <w:r w:rsidR="001F77D5" w:rsidRPr="004606B1">
        <w:rPr>
          <w:sz w:val="20"/>
          <w:szCs w:val="20"/>
          <w:lang w:val="es-ES"/>
        </w:rPr>
        <w:t xml:space="preserve"> </w:t>
      </w:r>
      <w:r w:rsidR="00747928" w:rsidRPr="004606B1">
        <w:rPr>
          <w:sz w:val="20"/>
          <w:szCs w:val="20"/>
          <w:lang w:val="es-ES"/>
        </w:rPr>
        <w:t>con vicios y</w:t>
      </w:r>
      <w:r w:rsidR="001F77D5" w:rsidRPr="004606B1">
        <w:rPr>
          <w:sz w:val="20"/>
          <w:szCs w:val="20"/>
          <w:lang w:val="es-ES"/>
        </w:rPr>
        <w:t xml:space="preserve"> retardo injustificado contra el señor Caal Xól,</w:t>
      </w:r>
      <w:r w:rsidR="006D47DE" w:rsidRPr="004606B1">
        <w:rPr>
          <w:sz w:val="20"/>
          <w:szCs w:val="20"/>
          <w:lang w:val="es-ES"/>
        </w:rPr>
        <w:t xml:space="preserve"> </w:t>
      </w:r>
      <w:r w:rsidR="001F77D5" w:rsidRPr="004606B1">
        <w:rPr>
          <w:sz w:val="20"/>
          <w:szCs w:val="20"/>
          <w:lang w:val="es-ES"/>
        </w:rPr>
        <w:t xml:space="preserve">por su calidad de </w:t>
      </w:r>
      <w:r w:rsidR="006D47DE" w:rsidRPr="004606B1">
        <w:rPr>
          <w:sz w:val="20"/>
          <w:szCs w:val="20"/>
          <w:lang w:val="es-ES"/>
        </w:rPr>
        <w:t xml:space="preserve">defensor </w:t>
      </w:r>
      <w:r w:rsidR="001F77D5" w:rsidRPr="004606B1">
        <w:rPr>
          <w:sz w:val="20"/>
          <w:szCs w:val="20"/>
          <w:lang w:val="es-ES"/>
        </w:rPr>
        <w:t>de derechos humanos</w:t>
      </w:r>
      <w:r w:rsidR="006D47DE" w:rsidRPr="004606B1">
        <w:rPr>
          <w:sz w:val="20"/>
          <w:szCs w:val="20"/>
          <w:lang w:val="es-ES"/>
        </w:rPr>
        <w:t xml:space="preserve"> y líder indígena.</w:t>
      </w:r>
    </w:p>
    <w:p w14:paraId="69EBA8DD" w14:textId="2AA2E466" w:rsidR="00202863" w:rsidRPr="004606B1" w:rsidRDefault="00202863" w:rsidP="004606B1">
      <w:pPr>
        <w:pStyle w:val="ListParagraph"/>
        <w:numPr>
          <w:ilvl w:val="0"/>
          <w:numId w:val="56"/>
        </w:numPr>
        <w:spacing w:before="240" w:after="240"/>
        <w:ind w:left="142" w:firstLine="567"/>
        <w:jc w:val="both"/>
        <w:rPr>
          <w:sz w:val="20"/>
          <w:szCs w:val="20"/>
          <w:lang w:val="es-ES_tradnl"/>
        </w:rPr>
      </w:pPr>
      <w:r w:rsidRPr="004606B1">
        <w:rPr>
          <w:rFonts w:asciiTheme="majorHAnsi" w:hAnsiTheme="majorHAnsi"/>
          <w:sz w:val="20"/>
          <w:szCs w:val="20"/>
          <w:lang w:val="es-ES"/>
        </w:rPr>
        <w:t xml:space="preserve">Así, con respecto al punto </w:t>
      </w:r>
      <w:r w:rsidR="001F77D5" w:rsidRPr="004606B1">
        <w:rPr>
          <w:rFonts w:asciiTheme="majorHAnsi" w:hAnsiTheme="majorHAnsi"/>
          <w:sz w:val="20"/>
          <w:szCs w:val="20"/>
          <w:lang w:val="es-ES"/>
        </w:rPr>
        <w:t>(i)</w:t>
      </w:r>
      <w:r w:rsidRPr="004606B1">
        <w:rPr>
          <w:rFonts w:asciiTheme="majorHAnsi" w:hAnsiTheme="majorHAnsi"/>
          <w:sz w:val="20"/>
          <w:szCs w:val="20"/>
          <w:lang w:val="es-ES"/>
        </w:rPr>
        <w:t xml:space="preserve"> de</w:t>
      </w:r>
      <w:r w:rsidR="00732E17">
        <w:rPr>
          <w:rFonts w:asciiTheme="majorHAnsi" w:hAnsiTheme="majorHAnsi"/>
          <w:sz w:val="20"/>
          <w:szCs w:val="20"/>
          <w:lang w:val="es-ES"/>
        </w:rPr>
        <w:t>l objeto de</w:t>
      </w:r>
      <w:r w:rsidRPr="004606B1">
        <w:rPr>
          <w:rFonts w:asciiTheme="majorHAnsi" w:hAnsiTheme="majorHAnsi"/>
          <w:sz w:val="20"/>
          <w:szCs w:val="20"/>
          <w:lang w:val="es-ES"/>
        </w:rPr>
        <w:t xml:space="preserve"> la petición, la Comisión observa que el Estado no ha argumentado la falta de agotamiento de los recursos internos ni ha indicado si existen recursos adecuados y eficaces cuyo agotamiento hubiese llevado a la oportuna atención de esta situación demandada. Al contrario, tanto el Estado como los peticionarios coinciden que la sentencia de la Corte Constitucional del 26 de mayo de 201</w:t>
      </w:r>
      <w:r w:rsidR="000F3140">
        <w:rPr>
          <w:rFonts w:asciiTheme="majorHAnsi" w:hAnsiTheme="majorHAnsi"/>
          <w:sz w:val="20"/>
          <w:szCs w:val="20"/>
          <w:lang w:val="es-ES"/>
        </w:rPr>
        <w:t>7</w:t>
      </w:r>
      <w:r w:rsidRPr="004606B1">
        <w:rPr>
          <w:rFonts w:asciiTheme="majorHAnsi" w:hAnsiTheme="majorHAnsi"/>
          <w:sz w:val="20"/>
          <w:szCs w:val="20"/>
          <w:lang w:val="es-ES"/>
        </w:rPr>
        <w:t xml:space="preserve"> sería el último recurso</w:t>
      </w:r>
      <w:r w:rsidR="00AB68E0">
        <w:rPr>
          <w:rFonts w:asciiTheme="majorHAnsi" w:hAnsiTheme="majorHAnsi"/>
          <w:sz w:val="20"/>
          <w:szCs w:val="20"/>
          <w:lang w:val="es-ES"/>
        </w:rPr>
        <w:t xml:space="preserve">; respecto del </w:t>
      </w:r>
      <w:r w:rsidRPr="004606B1">
        <w:rPr>
          <w:rFonts w:asciiTheme="majorHAnsi" w:hAnsiTheme="majorHAnsi"/>
          <w:sz w:val="20"/>
          <w:szCs w:val="20"/>
          <w:lang w:val="es-ES"/>
        </w:rPr>
        <w:t xml:space="preserve">cual los peticionarios </w:t>
      </w:r>
      <w:r w:rsidR="00C660E9">
        <w:rPr>
          <w:rFonts w:asciiTheme="majorHAnsi" w:hAnsiTheme="majorHAnsi"/>
          <w:sz w:val="20"/>
          <w:szCs w:val="20"/>
          <w:lang w:val="es-ES"/>
        </w:rPr>
        <w:t>interpusieron</w:t>
      </w:r>
      <w:r w:rsidRPr="004606B1">
        <w:rPr>
          <w:rFonts w:asciiTheme="majorHAnsi" w:hAnsiTheme="majorHAnsi"/>
          <w:sz w:val="20"/>
          <w:szCs w:val="20"/>
          <w:lang w:val="es-ES"/>
        </w:rPr>
        <w:t xml:space="preserve"> </w:t>
      </w:r>
      <w:r w:rsidRPr="004606B1">
        <w:rPr>
          <w:rFonts w:asciiTheme="majorHAnsi" w:hAnsiTheme="majorHAnsi" w:cstheme="majorHAnsi"/>
          <w:sz w:val="20"/>
          <w:szCs w:val="20"/>
          <w:lang w:val="es-ES_tradnl"/>
        </w:rPr>
        <w:t xml:space="preserve">un recurso de aclaración y ampliación ante la </w:t>
      </w:r>
      <w:r w:rsidR="00C660E9">
        <w:rPr>
          <w:rFonts w:asciiTheme="majorHAnsi" w:hAnsiTheme="majorHAnsi" w:cstheme="majorHAnsi"/>
          <w:sz w:val="20"/>
          <w:szCs w:val="20"/>
          <w:lang w:val="es-ES_tradnl"/>
        </w:rPr>
        <w:t xml:space="preserve">propia </w:t>
      </w:r>
      <w:r w:rsidRPr="004606B1">
        <w:rPr>
          <w:rFonts w:asciiTheme="majorHAnsi" w:hAnsiTheme="majorHAnsi" w:cstheme="majorHAnsi"/>
          <w:sz w:val="20"/>
          <w:szCs w:val="20"/>
          <w:lang w:val="es-ES_tradnl"/>
        </w:rPr>
        <w:t>Corte Constitucional</w:t>
      </w:r>
      <w:r w:rsidR="00EB1B06" w:rsidRPr="004606B1">
        <w:rPr>
          <w:rFonts w:asciiTheme="majorHAnsi" w:hAnsiTheme="majorHAnsi" w:cstheme="majorHAnsi"/>
          <w:sz w:val="20"/>
          <w:szCs w:val="20"/>
          <w:lang w:val="es-ES_tradnl"/>
        </w:rPr>
        <w:t>,</w:t>
      </w:r>
      <w:r w:rsidRPr="004606B1">
        <w:rPr>
          <w:rFonts w:asciiTheme="majorHAnsi" w:hAnsiTheme="majorHAnsi" w:cstheme="majorHAnsi"/>
          <w:sz w:val="20"/>
          <w:szCs w:val="20"/>
          <w:lang w:val="es-ES_tradnl"/>
        </w:rPr>
        <w:t xml:space="preserve"> que fue negado el 6 de junio de 2017. En esa línea,</w:t>
      </w:r>
      <w:r w:rsidR="00562C48" w:rsidRPr="004606B1">
        <w:rPr>
          <w:rFonts w:asciiTheme="majorHAnsi" w:hAnsiTheme="majorHAnsi" w:cstheme="majorHAnsi"/>
          <w:sz w:val="20"/>
          <w:szCs w:val="20"/>
          <w:lang w:val="es-ES_tradnl"/>
        </w:rPr>
        <w:t xml:space="preserve"> y tomando en cuenta que la petición se presentó el 2 de agosto de 2017,</w:t>
      </w:r>
      <w:r w:rsidRPr="004606B1">
        <w:rPr>
          <w:rFonts w:asciiTheme="majorHAnsi" w:hAnsiTheme="majorHAnsi" w:cstheme="majorHAnsi"/>
          <w:sz w:val="20"/>
          <w:szCs w:val="20"/>
          <w:lang w:val="es-ES_tradnl"/>
        </w:rPr>
        <w:t xml:space="preserve"> la Comisión concluye que este extremo de la petición cumple con el requisito previsto en el artículo 46.1.a) de la Convención Americana y </w:t>
      </w:r>
      <w:r w:rsidR="00EB1B06" w:rsidRPr="004606B1">
        <w:rPr>
          <w:rFonts w:asciiTheme="majorHAnsi" w:hAnsiTheme="majorHAnsi" w:cstheme="majorHAnsi"/>
          <w:sz w:val="20"/>
          <w:szCs w:val="20"/>
          <w:lang w:val="es-ES_tradnl"/>
        </w:rPr>
        <w:t xml:space="preserve">que </w:t>
      </w:r>
      <w:r w:rsidRPr="004606B1">
        <w:rPr>
          <w:rFonts w:asciiTheme="majorHAnsi" w:hAnsiTheme="majorHAnsi" w:cstheme="majorHAnsi"/>
          <w:sz w:val="20"/>
          <w:szCs w:val="20"/>
          <w:lang w:val="es-ES_tradnl"/>
        </w:rPr>
        <w:t>también se cumple el requisito de plazo de presentación previsto en el artículo 46.1.b) de la Convención Americana.</w:t>
      </w:r>
    </w:p>
    <w:p w14:paraId="4C7735EB" w14:textId="443A2056" w:rsidR="007F1907" w:rsidRPr="00C10C16" w:rsidRDefault="007F1907" w:rsidP="00C10C16">
      <w:pPr>
        <w:pStyle w:val="ListParagraph"/>
        <w:numPr>
          <w:ilvl w:val="0"/>
          <w:numId w:val="56"/>
        </w:numPr>
        <w:spacing w:before="240" w:after="240"/>
        <w:ind w:left="142" w:firstLine="567"/>
        <w:jc w:val="both"/>
        <w:rPr>
          <w:sz w:val="20"/>
          <w:szCs w:val="20"/>
          <w:lang w:val="es-ES"/>
        </w:rPr>
      </w:pPr>
      <w:r w:rsidRPr="004606B1">
        <w:rPr>
          <w:sz w:val="20"/>
          <w:szCs w:val="20"/>
          <w:lang w:val="es-ES"/>
        </w:rPr>
        <w:t xml:space="preserve"> </w:t>
      </w:r>
      <w:r w:rsidR="00202863" w:rsidRPr="004606B1">
        <w:rPr>
          <w:sz w:val="20"/>
          <w:szCs w:val="20"/>
          <w:lang w:val="es-ES"/>
        </w:rPr>
        <w:t xml:space="preserve">Sobre </w:t>
      </w:r>
      <w:r w:rsidR="006D47DE" w:rsidRPr="004606B1">
        <w:rPr>
          <w:sz w:val="20"/>
          <w:szCs w:val="20"/>
          <w:lang w:val="es-ES"/>
        </w:rPr>
        <w:t xml:space="preserve">el punto (ii) </w:t>
      </w:r>
      <w:r w:rsidR="00370D53">
        <w:rPr>
          <w:sz w:val="20"/>
          <w:szCs w:val="20"/>
          <w:lang w:val="es-ES"/>
        </w:rPr>
        <w:t>relativo a</w:t>
      </w:r>
      <w:r w:rsidR="006D47DE" w:rsidRPr="004606B1">
        <w:rPr>
          <w:sz w:val="20"/>
          <w:szCs w:val="20"/>
          <w:lang w:val="es-ES"/>
        </w:rPr>
        <w:t xml:space="preserve"> </w:t>
      </w:r>
      <w:r w:rsidR="00202863" w:rsidRPr="004606B1">
        <w:rPr>
          <w:sz w:val="20"/>
          <w:szCs w:val="20"/>
          <w:lang w:val="es-ES"/>
        </w:rPr>
        <w:t xml:space="preserve">la alegada campaña de desprestigio en contra los peticionarios, </w:t>
      </w:r>
      <w:r w:rsidR="001F77D5" w:rsidRPr="004606B1">
        <w:rPr>
          <w:sz w:val="20"/>
          <w:szCs w:val="20"/>
          <w:lang w:val="es-ES"/>
        </w:rPr>
        <w:t xml:space="preserve">y </w:t>
      </w:r>
      <w:r w:rsidR="00E92D57" w:rsidRPr="004606B1">
        <w:rPr>
          <w:sz w:val="20"/>
          <w:szCs w:val="20"/>
          <w:lang w:val="es-ES"/>
        </w:rPr>
        <w:t>el alegado proceso penal con</w:t>
      </w:r>
      <w:r w:rsidR="00B414D3" w:rsidRPr="004606B1">
        <w:rPr>
          <w:sz w:val="20"/>
          <w:szCs w:val="20"/>
          <w:lang w:val="es-ES"/>
        </w:rPr>
        <w:t xml:space="preserve"> vicios,</w:t>
      </w:r>
      <w:r w:rsidR="00E92D57" w:rsidRPr="004606B1">
        <w:rPr>
          <w:sz w:val="20"/>
          <w:szCs w:val="20"/>
          <w:lang w:val="es-ES"/>
        </w:rPr>
        <w:t xml:space="preserve"> retardo injustificado</w:t>
      </w:r>
      <w:r w:rsidR="0050752C">
        <w:rPr>
          <w:sz w:val="20"/>
          <w:szCs w:val="20"/>
          <w:lang w:val="es-ES"/>
        </w:rPr>
        <w:t>, prisión preventiva prolongada</w:t>
      </w:r>
      <w:r w:rsidR="00916596" w:rsidRPr="004606B1">
        <w:rPr>
          <w:sz w:val="20"/>
          <w:szCs w:val="20"/>
          <w:lang w:val="es-ES"/>
        </w:rPr>
        <w:t xml:space="preserve"> y pena excesiva</w:t>
      </w:r>
      <w:r w:rsidR="00202863" w:rsidRPr="004606B1">
        <w:rPr>
          <w:sz w:val="20"/>
          <w:szCs w:val="20"/>
          <w:lang w:val="es-ES"/>
        </w:rPr>
        <w:t>,</w:t>
      </w:r>
      <w:r w:rsidR="0050752C">
        <w:rPr>
          <w:sz w:val="20"/>
          <w:szCs w:val="20"/>
          <w:lang w:val="es-ES"/>
        </w:rPr>
        <w:t xml:space="preserve"> como represalia por </w:t>
      </w:r>
      <w:r w:rsidR="00E248AB">
        <w:rPr>
          <w:sz w:val="20"/>
          <w:szCs w:val="20"/>
          <w:lang w:val="es-ES"/>
        </w:rPr>
        <w:t>el activismo del Sr. Bernardo Caal Xól,</w:t>
      </w:r>
      <w:r w:rsidR="00916596" w:rsidRPr="004606B1">
        <w:rPr>
          <w:sz w:val="20"/>
          <w:szCs w:val="20"/>
          <w:lang w:val="es-ES"/>
        </w:rPr>
        <w:t xml:space="preserve"> </w:t>
      </w:r>
      <w:r w:rsidR="00370D53">
        <w:rPr>
          <w:sz w:val="20"/>
          <w:szCs w:val="20"/>
          <w:lang w:val="es-ES"/>
        </w:rPr>
        <w:t xml:space="preserve">la CIDH observa que </w:t>
      </w:r>
      <w:r w:rsidR="006D47DE" w:rsidRPr="00C10C16">
        <w:rPr>
          <w:sz w:val="20"/>
          <w:szCs w:val="20"/>
          <w:lang w:val="es-ES"/>
        </w:rPr>
        <w:t>el Estado no presentó alegatos respecto a la falta de agotamiento de recursos internos</w:t>
      </w:r>
      <w:r w:rsidR="00E248AB">
        <w:rPr>
          <w:sz w:val="20"/>
          <w:szCs w:val="20"/>
          <w:lang w:val="es-ES"/>
        </w:rPr>
        <w:t>; y en definitiva</w:t>
      </w:r>
      <w:r w:rsidR="006D47DE" w:rsidRPr="00C10C16">
        <w:rPr>
          <w:sz w:val="20"/>
          <w:szCs w:val="20"/>
          <w:lang w:val="es-ES"/>
        </w:rPr>
        <w:t xml:space="preserve"> no se refirió al tema, únicamente señaló que el señor Caan Xól no era aceptado como representante de las comunidades indígenas Q’ueqchi’s.</w:t>
      </w:r>
      <w:r w:rsidR="00747928" w:rsidRPr="00C10C16">
        <w:rPr>
          <w:sz w:val="20"/>
          <w:szCs w:val="20"/>
          <w:lang w:val="es-ES"/>
        </w:rPr>
        <w:t xml:space="preserve"> </w:t>
      </w:r>
      <w:r w:rsidR="00491EF2" w:rsidRPr="00C10C16">
        <w:rPr>
          <w:sz w:val="20"/>
          <w:szCs w:val="20"/>
          <w:lang w:val="es-ES"/>
        </w:rPr>
        <w:t>Sin embargo,</w:t>
      </w:r>
      <w:r w:rsidR="00D73CE6" w:rsidRPr="00C10C16">
        <w:rPr>
          <w:sz w:val="20"/>
          <w:szCs w:val="20"/>
          <w:lang w:val="es-ES"/>
        </w:rPr>
        <w:t xml:space="preserve"> considerando que </w:t>
      </w:r>
      <w:r w:rsidR="007F12C1">
        <w:rPr>
          <w:sz w:val="20"/>
          <w:szCs w:val="20"/>
          <w:lang w:val="es-ES"/>
        </w:rPr>
        <w:t>el alegado acoso mediático</w:t>
      </w:r>
      <w:r w:rsidR="00B414D3" w:rsidRPr="00C10C16">
        <w:rPr>
          <w:sz w:val="20"/>
          <w:szCs w:val="20"/>
          <w:lang w:val="es-ES"/>
        </w:rPr>
        <w:t xml:space="preserve"> habrían comenzado, al menos, desde 2017 cuando se presentó la petición,</w:t>
      </w:r>
      <w:r w:rsidRPr="00C10C16">
        <w:rPr>
          <w:sz w:val="20"/>
          <w:szCs w:val="20"/>
          <w:lang w:val="es-ES"/>
        </w:rPr>
        <w:t xml:space="preserve"> y el proceso </w:t>
      </w:r>
      <w:r w:rsidR="00902D62">
        <w:rPr>
          <w:sz w:val="20"/>
          <w:szCs w:val="20"/>
          <w:lang w:val="es-ES"/>
        </w:rPr>
        <w:t>penal contra el</w:t>
      </w:r>
      <w:r w:rsidRPr="00C10C16">
        <w:rPr>
          <w:sz w:val="20"/>
          <w:szCs w:val="20"/>
          <w:lang w:val="es-ES"/>
        </w:rPr>
        <w:t xml:space="preserve"> señor Caal Xól seguiría abierto</w:t>
      </w:r>
      <w:r w:rsidR="00902D62">
        <w:rPr>
          <w:sz w:val="20"/>
          <w:szCs w:val="20"/>
          <w:lang w:val="es-ES"/>
        </w:rPr>
        <w:t xml:space="preserve"> sin que </w:t>
      </w:r>
      <w:r w:rsidR="00251FE0">
        <w:rPr>
          <w:sz w:val="20"/>
          <w:szCs w:val="20"/>
          <w:lang w:val="es-ES"/>
        </w:rPr>
        <w:t>ninguna de las partes, particularmente el Estado, haya aportado información que permita establecer que esté concluyó con sentencia firme ejecutoriada</w:t>
      </w:r>
      <w:r w:rsidRPr="00C10C16">
        <w:rPr>
          <w:sz w:val="20"/>
          <w:szCs w:val="20"/>
          <w:lang w:val="es-ES"/>
        </w:rPr>
        <w:t xml:space="preserve">, </w:t>
      </w:r>
      <w:r w:rsidRPr="00C10C16">
        <w:rPr>
          <w:sz w:val="20"/>
          <w:szCs w:val="20"/>
          <w:lang w:val="es-ES_tradnl"/>
        </w:rPr>
        <w:t>la Comisión considera aplicable</w:t>
      </w:r>
      <w:r w:rsidRPr="00C10C16">
        <w:rPr>
          <w:sz w:val="20"/>
          <w:szCs w:val="20"/>
          <w:lang w:val="es-ES"/>
        </w:rPr>
        <w:t xml:space="preserve"> la excepción prevista en el artículo 46.2.c) de la Convención Americana, por el retardo injustificado en el desarrollo de </w:t>
      </w:r>
      <w:r w:rsidR="0033223B">
        <w:rPr>
          <w:sz w:val="20"/>
          <w:szCs w:val="20"/>
          <w:lang w:val="es-ES"/>
        </w:rPr>
        <w:t>este</w:t>
      </w:r>
      <w:r w:rsidRPr="00C10C16">
        <w:rPr>
          <w:sz w:val="20"/>
          <w:szCs w:val="20"/>
          <w:lang w:val="es-ES"/>
        </w:rPr>
        <w:t xml:space="preserve"> procesos judicial. Esta </w:t>
      </w:r>
      <w:r w:rsidRPr="00C10C16">
        <w:rPr>
          <w:sz w:val="20"/>
          <w:szCs w:val="20"/>
          <w:lang w:val="es-ES"/>
        </w:rPr>
        <w:lastRenderedPageBreak/>
        <w:t>determinación tiene efectos para el presente análisis de admisibilidad y no constituye un prejuzgamiento sobre el fondo de la petición.</w:t>
      </w:r>
      <w:r w:rsidRPr="00C10C16">
        <w:rPr>
          <w:sz w:val="20"/>
          <w:szCs w:val="20"/>
          <w:lang w:val="es-ES_tradnl"/>
        </w:rPr>
        <w:t xml:space="preserve"> Además, </w:t>
      </w:r>
      <w:r w:rsidRPr="00C10C16">
        <w:rPr>
          <w:sz w:val="20"/>
          <w:szCs w:val="20"/>
          <w:lang w:val="es-ES"/>
        </w:rPr>
        <w:t xml:space="preserve">que </w:t>
      </w:r>
      <w:r w:rsidRPr="00C10C16">
        <w:rPr>
          <w:sz w:val="20"/>
          <w:szCs w:val="20"/>
          <w:lang w:val="es-ES_tradnl"/>
        </w:rPr>
        <w:t xml:space="preserve">los alegatos de acoso mediático y procedimiento penal viciado contra un </w:t>
      </w:r>
      <w:r w:rsidR="0057177A" w:rsidRPr="00C10C16">
        <w:rPr>
          <w:sz w:val="20"/>
          <w:szCs w:val="20"/>
          <w:lang w:val="es-ES_tradnl"/>
        </w:rPr>
        <w:t xml:space="preserve">alegado </w:t>
      </w:r>
      <w:r w:rsidRPr="00C10C16">
        <w:rPr>
          <w:sz w:val="20"/>
          <w:szCs w:val="20"/>
          <w:lang w:val="es-ES_tradnl"/>
        </w:rPr>
        <w:t xml:space="preserve">defensor de derechos humanos y líder indígena, tendría efectos </w:t>
      </w:r>
      <w:r w:rsidRPr="00C10C16">
        <w:rPr>
          <w:sz w:val="20"/>
          <w:szCs w:val="20"/>
          <w:lang w:val="es-ES"/>
        </w:rPr>
        <w:t>hasta el presente,</w:t>
      </w:r>
      <w:r w:rsidR="006C75B8">
        <w:rPr>
          <w:sz w:val="20"/>
          <w:szCs w:val="20"/>
          <w:lang w:val="es-ES"/>
        </w:rPr>
        <w:t xml:space="preserve"> y siendo que la presente petición se presentó en 2017,</w:t>
      </w:r>
      <w:r w:rsidRPr="00C10C16">
        <w:rPr>
          <w:sz w:val="20"/>
          <w:szCs w:val="20"/>
          <w:lang w:val="es-ES"/>
        </w:rPr>
        <w:t xml:space="preserve"> la Comisión considera que </w:t>
      </w:r>
      <w:r w:rsidR="006C75B8">
        <w:rPr>
          <w:sz w:val="20"/>
          <w:szCs w:val="20"/>
          <w:lang w:val="es-ES"/>
        </w:rPr>
        <w:t>esta</w:t>
      </w:r>
      <w:r w:rsidRPr="00C10C16">
        <w:rPr>
          <w:sz w:val="20"/>
          <w:szCs w:val="20"/>
          <w:lang w:val="es-ES"/>
        </w:rPr>
        <w:t xml:space="preserve"> se presentó en un plazo razonable en los términos del artículo 32.2. de su Reglamento.</w:t>
      </w:r>
    </w:p>
    <w:p w14:paraId="673598AF" w14:textId="60FA3FA7" w:rsidR="003239B8" w:rsidRPr="004606B1" w:rsidRDefault="003239B8" w:rsidP="004606B1">
      <w:pPr>
        <w:pStyle w:val="ListParagraph"/>
        <w:spacing w:before="240" w:after="240"/>
        <w:ind w:left="709"/>
        <w:jc w:val="both"/>
        <w:rPr>
          <w:b/>
          <w:sz w:val="20"/>
          <w:szCs w:val="20"/>
          <w:lang w:val="es-ES_tradnl"/>
        </w:rPr>
      </w:pPr>
      <w:r w:rsidRPr="004606B1">
        <w:rPr>
          <w:b/>
          <w:bCs/>
          <w:sz w:val="20"/>
          <w:szCs w:val="20"/>
          <w:lang w:val="es-ES_tradnl"/>
        </w:rPr>
        <w:t>VI</w:t>
      </w:r>
      <w:r w:rsidR="00410D96">
        <w:rPr>
          <w:b/>
          <w:bCs/>
          <w:sz w:val="20"/>
          <w:szCs w:val="20"/>
          <w:lang w:val="es-ES_tradnl"/>
        </w:rPr>
        <w:t>I</w:t>
      </w:r>
      <w:r w:rsidRPr="004606B1">
        <w:rPr>
          <w:b/>
          <w:bCs/>
          <w:sz w:val="20"/>
          <w:szCs w:val="20"/>
          <w:lang w:val="es-ES_tradnl"/>
        </w:rPr>
        <w:t>I.</w:t>
      </w:r>
      <w:r w:rsidRPr="004606B1">
        <w:rPr>
          <w:b/>
          <w:bCs/>
          <w:sz w:val="20"/>
          <w:szCs w:val="20"/>
          <w:lang w:val="es-ES_tradnl"/>
        </w:rPr>
        <w:tab/>
      </w:r>
      <w:r w:rsidR="004A6A54" w:rsidRPr="004606B1">
        <w:rPr>
          <w:b/>
          <w:bCs/>
          <w:sz w:val="20"/>
          <w:szCs w:val="20"/>
          <w:lang w:val="es-ES_tradnl"/>
        </w:rPr>
        <w:t xml:space="preserve">ANÁLISIS DE </w:t>
      </w:r>
      <w:r w:rsidR="00C21FEF" w:rsidRPr="004606B1">
        <w:rPr>
          <w:b/>
          <w:bCs/>
          <w:sz w:val="20"/>
          <w:szCs w:val="20"/>
          <w:lang w:val="es-ES_tradnl"/>
        </w:rPr>
        <w:t>CARACTERIZACIÓN DE LOS HECHOS ALEGADOS</w:t>
      </w:r>
    </w:p>
    <w:p w14:paraId="42CCB429" w14:textId="4E3FF161" w:rsidR="00C75645" w:rsidRPr="004606B1" w:rsidRDefault="00BB01DC" w:rsidP="004606B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bCs/>
          <w:sz w:val="20"/>
          <w:szCs w:val="20"/>
          <w:lang w:val="es-ES_tradnl"/>
        </w:rPr>
      </w:pPr>
      <w:r w:rsidRPr="004606B1">
        <w:rPr>
          <w:bCs/>
          <w:sz w:val="20"/>
          <w:szCs w:val="20"/>
          <w:lang w:val="es-ES_tradnl"/>
        </w:rPr>
        <w:t>La presente petición, en sus partes que resultan admisibles conforme la Sección V</w:t>
      </w:r>
      <w:r w:rsidR="00A85053">
        <w:rPr>
          <w:bCs/>
          <w:sz w:val="20"/>
          <w:szCs w:val="20"/>
          <w:lang w:val="es-ES_tradnl"/>
        </w:rPr>
        <w:t>I</w:t>
      </w:r>
      <w:r w:rsidRPr="004606B1">
        <w:rPr>
          <w:bCs/>
          <w:sz w:val="20"/>
          <w:szCs w:val="20"/>
          <w:lang w:val="es-ES_tradnl"/>
        </w:rPr>
        <w:t>I del presente informe, incluye ale</w:t>
      </w:r>
      <w:r w:rsidR="00301AAD" w:rsidRPr="004606B1">
        <w:rPr>
          <w:bCs/>
          <w:sz w:val="20"/>
          <w:szCs w:val="20"/>
          <w:lang w:val="es-ES_tradnl"/>
        </w:rPr>
        <w:t>gatos</w:t>
      </w:r>
      <w:r w:rsidRPr="004606B1">
        <w:rPr>
          <w:bCs/>
          <w:sz w:val="20"/>
          <w:szCs w:val="20"/>
          <w:lang w:val="es-ES_tradnl"/>
        </w:rPr>
        <w:t xml:space="preserve"> de </w:t>
      </w:r>
      <w:r w:rsidR="00615ED5" w:rsidRPr="004606B1">
        <w:rPr>
          <w:bCs/>
          <w:sz w:val="20"/>
          <w:szCs w:val="20"/>
          <w:lang w:val="es-ES_tradnl"/>
        </w:rPr>
        <w:t>falta de participación de la comunidad indígena Q’ueqchi’ en el otorgamiento de una concesión para construir una central hidroeléctrica y utilizar la cuenca del río en la que se encuentra su comunidad.</w:t>
      </w:r>
      <w:r w:rsidRPr="004606B1">
        <w:rPr>
          <w:bCs/>
          <w:sz w:val="20"/>
          <w:szCs w:val="20"/>
          <w:lang w:val="es-ES_tradnl"/>
        </w:rPr>
        <w:t xml:space="preserve"> </w:t>
      </w:r>
      <w:r w:rsidR="00615363" w:rsidRPr="004606B1">
        <w:rPr>
          <w:bCs/>
          <w:sz w:val="20"/>
          <w:szCs w:val="20"/>
          <w:lang w:val="es-ES_tradnl"/>
        </w:rPr>
        <w:t>El Estado, sin embargo,</w:t>
      </w:r>
      <w:r w:rsidR="00103E76" w:rsidRPr="004606B1">
        <w:rPr>
          <w:bCs/>
          <w:sz w:val="20"/>
          <w:szCs w:val="20"/>
          <w:lang w:val="es-ES_tradnl"/>
        </w:rPr>
        <w:t xml:space="preserve"> </w:t>
      </w:r>
      <w:r w:rsidR="00C90453" w:rsidRPr="004606B1">
        <w:rPr>
          <w:bCs/>
          <w:sz w:val="20"/>
          <w:szCs w:val="20"/>
          <w:lang w:val="es-ES_tradnl"/>
        </w:rPr>
        <w:t>afirma que</w:t>
      </w:r>
      <w:r w:rsidR="00615ED5" w:rsidRPr="004606B1">
        <w:rPr>
          <w:bCs/>
          <w:sz w:val="20"/>
          <w:szCs w:val="20"/>
          <w:lang w:val="es-ES_tradnl"/>
        </w:rPr>
        <w:t xml:space="preserve"> las comunidades que participarían en la denuncia ante la Comisión –y por tanto las presuntas víctimas– no habrían sido identificadas adecuadamente;</w:t>
      </w:r>
      <w:r w:rsidR="00EB1B06" w:rsidRPr="004606B1">
        <w:rPr>
          <w:bCs/>
          <w:sz w:val="20"/>
          <w:szCs w:val="20"/>
          <w:lang w:val="es-ES_tradnl"/>
        </w:rPr>
        <w:t xml:space="preserve"> asimismo, argumenta</w:t>
      </w:r>
      <w:r w:rsidR="00615ED5" w:rsidRPr="004606B1">
        <w:rPr>
          <w:bCs/>
          <w:sz w:val="20"/>
          <w:szCs w:val="20"/>
          <w:lang w:val="es-ES_tradnl"/>
        </w:rPr>
        <w:t xml:space="preserve"> que no hay legitimidad de la parte peticionaria</w:t>
      </w:r>
      <w:r w:rsidR="00747928" w:rsidRPr="004606B1">
        <w:rPr>
          <w:bCs/>
          <w:sz w:val="20"/>
          <w:szCs w:val="20"/>
          <w:lang w:val="es-ES_tradnl"/>
        </w:rPr>
        <w:t>,</w:t>
      </w:r>
      <w:r w:rsidR="00615ED5" w:rsidRPr="004606B1">
        <w:rPr>
          <w:bCs/>
          <w:sz w:val="20"/>
          <w:szCs w:val="20"/>
          <w:lang w:val="es-ES_tradnl"/>
        </w:rPr>
        <w:t xml:space="preserve"> ya que</w:t>
      </w:r>
      <w:r w:rsidR="00EB1B06" w:rsidRPr="004606B1">
        <w:rPr>
          <w:bCs/>
          <w:sz w:val="20"/>
          <w:szCs w:val="20"/>
          <w:lang w:val="es-ES_tradnl"/>
        </w:rPr>
        <w:t xml:space="preserve"> ésta</w:t>
      </w:r>
      <w:r w:rsidR="00615ED5" w:rsidRPr="004606B1">
        <w:rPr>
          <w:bCs/>
          <w:sz w:val="20"/>
          <w:szCs w:val="20"/>
          <w:lang w:val="es-ES_tradnl"/>
        </w:rPr>
        <w:t xml:space="preserve"> no present</w:t>
      </w:r>
      <w:r w:rsidR="00EB1B06" w:rsidRPr="004606B1">
        <w:rPr>
          <w:bCs/>
          <w:sz w:val="20"/>
          <w:szCs w:val="20"/>
          <w:lang w:val="es-ES_tradnl"/>
        </w:rPr>
        <w:t>ó</w:t>
      </w:r>
      <w:r w:rsidR="00615ED5" w:rsidRPr="004606B1">
        <w:rPr>
          <w:bCs/>
          <w:sz w:val="20"/>
          <w:szCs w:val="20"/>
          <w:lang w:val="es-ES_tradnl"/>
        </w:rPr>
        <w:t xml:space="preserve"> documentos para justificar su representación; que se configura una falta de competencia personal en cuanto a los alegatos de violaciones al Convenio 169 de la OIT; y </w:t>
      </w:r>
      <w:r w:rsidR="00884041" w:rsidRPr="004606B1">
        <w:rPr>
          <w:bCs/>
          <w:sz w:val="20"/>
          <w:szCs w:val="20"/>
          <w:lang w:val="es-ES_tradnl"/>
        </w:rPr>
        <w:t>que existe una</w:t>
      </w:r>
      <w:r w:rsidR="00615ED5" w:rsidRPr="004606B1">
        <w:rPr>
          <w:bCs/>
          <w:sz w:val="20"/>
          <w:szCs w:val="20"/>
          <w:lang w:val="es-ES_tradnl"/>
        </w:rPr>
        <w:t xml:space="preserve"> falta de caracterización y doctrina de la cuarta instancia</w:t>
      </w:r>
      <w:r w:rsidR="00301AAD" w:rsidRPr="004606B1">
        <w:rPr>
          <w:bCs/>
          <w:sz w:val="20"/>
          <w:szCs w:val="20"/>
          <w:lang w:val="es-ES_tradnl"/>
        </w:rPr>
        <w:t>.</w:t>
      </w:r>
    </w:p>
    <w:p w14:paraId="0AF2737F" w14:textId="54A02DFA" w:rsidR="008E021C" w:rsidRPr="004606B1" w:rsidRDefault="00C75645" w:rsidP="004606B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bCs/>
          <w:sz w:val="20"/>
          <w:szCs w:val="20"/>
          <w:lang w:val="es-ES_tradnl"/>
        </w:rPr>
      </w:pPr>
      <w:r w:rsidRPr="004606B1">
        <w:rPr>
          <w:bCs/>
          <w:sz w:val="20"/>
          <w:szCs w:val="20"/>
          <w:lang w:val="es-ES_tradnl"/>
        </w:rPr>
        <w:t xml:space="preserve">Respecto a los alegatos de falta de caracterización, </w:t>
      </w:r>
      <w:r w:rsidRPr="004606B1">
        <w:rPr>
          <w:rFonts w:asciiTheme="majorHAnsi" w:hAnsiTheme="majorHAnsi"/>
          <w:bCs/>
          <w:sz w:val="20"/>
          <w:szCs w:val="20"/>
          <w:lang w:val="es-ES_tradnl"/>
        </w:rPr>
        <w:t>el Estado indica que el proceso de consulta a las comunidades Q’eqchi’</w:t>
      </w:r>
      <w:r w:rsidR="009456AC" w:rsidRPr="004606B1">
        <w:rPr>
          <w:rFonts w:asciiTheme="majorHAnsi" w:hAnsiTheme="majorHAnsi"/>
          <w:bCs/>
          <w:sz w:val="20"/>
          <w:szCs w:val="20"/>
          <w:lang w:val="es-ES_tradnl"/>
        </w:rPr>
        <w:t>s</w:t>
      </w:r>
      <w:r w:rsidRPr="004606B1">
        <w:rPr>
          <w:rFonts w:asciiTheme="majorHAnsi" w:hAnsiTheme="majorHAnsi"/>
          <w:bCs/>
          <w:sz w:val="20"/>
          <w:szCs w:val="20"/>
          <w:lang w:val="es-ES_tradnl"/>
        </w:rPr>
        <w:t xml:space="preserve"> se realizó </w:t>
      </w:r>
      <w:r w:rsidR="00776EA6" w:rsidRPr="004606B1">
        <w:rPr>
          <w:rFonts w:asciiTheme="majorHAnsi" w:hAnsiTheme="majorHAnsi"/>
          <w:bCs/>
          <w:sz w:val="20"/>
          <w:szCs w:val="20"/>
          <w:lang w:val="es-ES_tradnl"/>
        </w:rPr>
        <w:t>de conformidad con</w:t>
      </w:r>
      <w:r w:rsidRPr="004606B1">
        <w:rPr>
          <w:rFonts w:asciiTheme="majorHAnsi" w:hAnsiTheme="majorHAnsi"/>
          <w:bCs/>
          <w:sz w:val="20"/>
          <w:szCs w:val="20"/>
          <w:lang w:val="es-ES_tradnl"/>
        </w:rPr>
        <w:t xml:space="preserve"> los estándares internacionales</w:t>
      </w:r>
      <w:r w:rsidR="00EB1B06" w:rsidRPr="004606B1">
        <w:rPr>
          <w:rFonts w:asciiTheme="majorHAnsi" w:hAnsiTheme="majorHAnsi"/>
          <w:bCs/>
          <w:sz w:val="20"/>
          <w:szCs w:val="20"/>
          <w:lang w:val="es-ES_tradnl"/>
        </w:rPr>
        <w:t>,</w:t>
      </w:r>
      <w:r w:rsidRPr="004606B1">
        <w:rPr>
          <w:rFonts w:asciiTheme="majorHAnsi" w:hAnsiTheme="majorHAnsi"/>
          <w:bCs/>
          <w:sz w:val="20"/>
          <w:szCs w:val="20"/>
          <w:lang w:val="es-ES_tradnl"/>
        </w:rPr>
        <w:t xml:space="preserve"> particularmente en apego al Convenio 169 de la OIT;</w:t>
      </w:r>
      <w:r w:rsidR="009456AC" w:rsidRPr="004606B1">
        <w:rPr>
          <w:rFonts w:asciiTheme="majorHAnsi" w:hAnsiTheme="majorHAnsi"/>
          <w:bCs/>
          <w:sz w:val="20"/>
          <w:szCs w:val="20"/>
          <w:lang w:val="es-ES_tradnl"/>
        </w:rPr>
        <w:t xml:space="preserve"> </w:t>
      </w:r>
      <w:r w:rsidR="00EB1B06" w:rsidRPr="004606B1">
        <w:rPr>
          <w:rFonts w:asciiTheme="majorHAnsi" w:hAnsiTheme="majorHAnsi"/>
          <w:bCs/>
          <w:sz w:val="20"/>
          <w:szCs w:val="20"/>
          <w:lang w:val="es-ES_tradnl"/>
        </w:rPr>
        <w:t>de igual manera</w:t>
      </w:r>
      <w:r w:rsidRPr="004606B1">
        <w:rPr>
          <w:rFonts w:asciiTheme="majorHAnsi" w:hAnsiTheme="majorHAnsi"/>
          <w:bCs/>
          <w:sz w:val="20"/>
          <w:szCs w:val="20"/>
          <w:lang w:val="es-ES_tradnl"/>
        </w:rPr>
        <w:t xml:space="preserve">, que </w:t>
      </w:r>
      <w:r w:rsidRPr="004606B1">
        <w:rPr>
          <w:rFonts w:asciiTheme="majorHAnsi" w:hAnsiTheme="majorHAnsi" w:cstheme="majorHAnsi"/>
          <w:sz w:val="20"/>
          <w:szCs w:val="20"/>
          <w:lang w:val="es-ES_tradnl"/>
        </w:rPr>
        <w:t>dentro de las fases del proceso de consulta, los representantes de las comunidades Q’eqchi´</w:t>
      </w:r>
      <w:r w:rsidR="009456AC" w:rsidRPr="004606B1">
        <w:rPr>
          <w:rFonts w:asciiTheme="majorHAnsi" w:hAnsiTheme="majorHAnsi" w:cstheme="majorHAnsi"/>
          <w:sz w:val="20"/>
          <w:szCs w:val="20"/>
          <w:lang w:val="es-ES_tradnl"/>
        </w:rPr>
        <w:t>s</w:t>
      </w:r>
      <w:r w:rsidRPr="004606B1">
        <w:rPr>
          <w:rFonts w:asciiTheme="majorHAnsi" w:hAnsiTheme="majorHAnsi" w:cstheme="majorHAnsi"/>
          <w:sz w:val="20"/>
          <w:szCs w:val="20"/>
          <w:lang w:val="es-ES_tradnl"/>
        </w:rPr>
        <w:t xml:space="preserve"> estuvieron conformes con lo decidido a lo largo de estos procedimientos; que la información se proporcionó en idioma Español y </w:t>
      </w:r>
      <w:r w:rsidR="009456AC" w:rsidRPr="004606B1">
        <w:rPr>
          <w:rFonts w:asciiTheme="majorHAnsi" w:hAnsiTheme="majorHAnsi" w:cstheme="majorHAnsi"/>
          <w:sz w:val="20"/>
          <w:szCs w:val="20"/>
          <w:lang w:val="es-ES_tradnl"/>
        </w:rPr>
        <w:t>q</w:t>
      </w:r>
      <w:r w:rsidRPr="004606B1">
        <w:rPr>
          <w:rFonts w:asciiTheme="majorHAnsi" w:hAnsiTheme="majorHAnsi" w:cstheme="majorHAnsi"/>
          <w:sz w:val="20"/>
          <w:szCs w:val="20"/>
          <w:lang w:val="es-ES_tradnl"/>
        </w:rPr>
        <w:t xml:space="preserve">'eqchi'; y que se incluyó siempre a los representantes de once comunidades indígenas, habitantes de la zona en donde se encuentran los dos ríos.  Respecto a la fórmula de la cuarta instancia, el Estado considera que los peticionarios tienen la intención </w:t>
      </w:r>
      <w:r w:rsidR="00EB1B06" w:rsidRPr="004606B1">
        <w:rPr>
          <w:rFonts w:asciiTheme="majorHAnsi" w:hAnsiTheme="majorHAnsi" w:cstheme="majorHAnsi"/>
          <w:sz w:val="20"/>
          <w:szCs w:val="20"/>
          <w:lang w:val="es-ES_tradnl"/>
        </w:rPr>
        <w:t xml:space="preserve">de </w:t>
      </w:r>
      <w:r w:rsidRPr="004606B1">
        <w:rPr>
          <w:rFonts w:asciiTheme="majorHAnsi" w:hAnsiTheme="majorHAnsi" w:cstheme="majorHAnsi"/>
          <w:sz w:val="20"/>
          <w:szCs w:val="20"/>
          <w:lang w:val="es-ES_tradnl"/>
        </w:rPr>
        <w:t>que se revise la sentencia del 26 de mayo de 2017</w:t>
      </w:r>
      <w:r w:rsidR="00EB1B06" w:rsidRPr="004606B1">
        <w:rPr>
          <w:rFonts w:asciiTheme="majorHAnsi" w:hAnsiTheme="majorHAnsi" w:cstheme="majorHAnsi"/>
          <w:sz w:val="20"/>
          <w:szCs w:val="20"/>
          <w:lang w:val="es-ES_tradnl"/>
        </w:rPr>
        <w:t>,</w:t>
      </w:r>
      <w:r w:rsidRPr="004606B1">
        <w:rPr>
          <w:rFonts w:asciiTheme="majorHAnsi" w:hAnsiTheme="majorHAnsi" w:cstheme="majorHAnsi"/>
          <w:sz w:val="20"/>
          <w:szCs w:val="20"/>
          <w:lang w:val="es-ES_tradnl"/>
        </w:rPr>
        <w:t xml:space="preserve"> emitida por la Corte Constitucional, </w:t>
      </w:r>
      <w:r w:rsidR="00EB1B06" w:rsidRPr="004606B1">
        <w:rPr>
          <w:rFonts w:asciiTheme="majorHAnsi" w:hAnsiTheme="majorHAnsi" w:cstheme="majorHAnsi"/>
          <w:sz w:val="20"/>
          <w:szCs w:val="20"/>
          <w:lang w:val="es-ES_tradnl"/>
        </w:rPr>
        <w:t xml:space="preserve">debido a que </w:t>
      </w:r>
      <w:r w:rsidRPr="004606B1">
        <w:rPr>
          <w:rFonts w:asciiTheme="majorHAnsi" w:hAnsiTheme="majorHAnsi" w:cstheme="majorHAnsi"/>
          <w:sz w:val="20"/>
          <w:szCs w:val="20"/>
          <w:lang w:val="es-ES_tradnl"/>
        </w:rPr>
        <w:t>no se resolvió conforme a lo esperado por los peticionarios, lo que, de ser admitida la petición, vulneraria el principio de subsidiaridad</w:t>
      </w:r>
      <w:r w:rsidR="008E021C" w:rsidRPr="004606B1">
        <w:rPr>
          <w:rFonts w:asciiTheme="majorHAnsi" w:hAnsiTheme="majorHAnsi" w:cstheme="majorHAnsi"/>
          <w:sz w:val="20"/>
          <w:szCs w:val="20"/>
          <w:lang w:val="es-ES_tradnl"/>
        </w:rPr>
        <w:t>.</w:t>
      </w:r>
    </w:p>
    <w:p w14:paraId="3A64EA80" w14:textId="506291D8" w:rsidR="008E021C" w:rsidRPr="004606B1" w:rsidRDefault="008E021C" w:rsidP="004606B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cstheme="majorHAnsi"/>
          <w:color w:val="auto"/>
          <w:sz w:val="20"/>
          <w:szCs w:val="20"/>
          <w:lang w:val="es-ES_tradnl"/>
        </w:rPr>
      </w:pPr>
      <w:r w:rsidRPr="004606B1">
        <w:rPr>
          <w:rFonts w:asciiTheme="majorHAnsi" w:hAnsiTheme="majorHAnsi" w:cstheme="majorHAnsi"/>
          <w:color w:val="auto"/>
          <w:sz w:val="20"/>
          <w:szCs w:val="20"/>
          <w:lang w:val="es-ES_tradnl"/>
        </w:rPr>
        <w:t xml:space="preserve">Así, ante estos alegados de falta de caracterización y cuarta instancia, la Comisión reitera que, a efectos de la admisibilidad, debe determinar si los hechos alegados podrían caracterizar una violación de derechos de acuerdo con lo dispuesto en el artículo 47.b de la Convención Americana, si la petición es “manifiestamente infundada” o si es “evidente su total improcedencia” de conformidad con el inciso c) de dicho artículo. Los criterios para evaluar estos requisitos difieren de los que se usan para emitir un fallo sobre el fondo de una petición. </w:t>
      </w:r>
      <w:r w:rsidR="00442BC8" w:rsidRPr="004606B1">
        <w:rPr>
          <w:rFonts w:asciiTheme="majorHAnsi" w:hAnsiTheme="majorHAnsi" w:cstheme="majorHAnsi"/>
          <w:color w:val="auto"/>
          <w:sz w:val="20"/>
          <w:szCs w:val="20"/>
          <w:lang w:val="es-ES_tradnl"/>
        </w:rPr>
        <w:t>Así</w:t>
      </w:r>
      <w:r w:rsidRPr="004606B1">
        <w:rPr>
          <w:rFonts w:asciiTheme="majorHAnsi" w:hAnsiTheme="majorHAnsi" w:cstheme="majorHAnsi"/>
          <w:color w:val="auto"/>
          <w:sz w:val="20"/>
          <w:szCs w:val="20"/>
          <w:lang w:val="es-ES_tradnl"/>
        </w:rPr>
        <w:t xml:space="preserve">, en el marco de su mandato, la Comisión tiene competencia para declarar una petición admisible si se refiere a procesos internos que podrían conculcar derechos garantizados por la Convención Americana. En otras palabras, a la luz de las normas convencionales antedichas, de conformidad con el artículo 34 del Reglamento de la Comisión, el análisis de la admisibilidad se centra en la verificación de tales requisitos, que se refieren a la existencia de elementos que, de ser ciertos, podrían constituir </w:t>
      </w:r>
      <w:r w:rsidRPr="004606B1">
        <w:rPr>
          <w:rFonts w:asciiTheme="majorHAnsi" w:hAnsiTheme="majorHAnsi" w:cstheme="majorHAnsi"/>
          <w:i/>
          <w:iCs/>
          <w:color w:val="auto"/>
          <w:sz w:val="20"/>
          <w:szCs w:val="20"/>
          <w:lang w:val="es-ES_tradnl"/>
        </w:rPr>
        <w:t>prima facie</w:t>
      </w:r>
      <w:r w:rsidRPr="004606B1">
        <w:rPr>
          <w:rFonts w:asciiTheme="majorHAnsi" w:hAnsiTheme="majorHAnsi" w:cstheme="majorHAnsi"/>
          <w:color w:val="auto"/>
          <w:sz w:val="20"/>
          <w:szCs w:val="20"/>
          <w:lang w:val="es-ES_tradnl"/>
        </w:rPr>
        <w:t xml:space="preserve"> una violación de la Convención Americana</w:t>
      </w:r>
      <w:r w:rsidRPr="004606B1">
        <w:rPr>
          <w:color w:val="auto"/>
          <w:sz w:val="20"/>
          <w:szCs w:val="20"/>
          <w:vertAlign w:val="superscript"/>
          <w:lang w:val="es-ES_tradnl"/>
        </w:rPr>
        <w:footnoteReference w:id="27"/>
      </w:r>
      <w:r w:rsidRPr="004606B1">
        <w:rPr>
          <w:rFonts w:asciiTheme="majorHAnsi" w:hAnsiTheme="majorHAnsi" w:cstheme="majorHAnsi"/>
          <w:color w:val="auto"/>
          <w:sz w:val="20"/>
          <w:szCs w:val="20"/>
          <w:lang w:val="es-ES_tradnl"/>
        </w:rPr>
        <w:t>.</w:t>
      </w:r>
    </w:p>
    <w:p w14:paraId="2777B722" w14:textId="066DEBEF" w:rsidR="00C75645" w:rsidRPr="004606B1" w:rsidRDefault="00442BC8" w:rsidP="004606B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cstheme="majorHAnsi"/>
          <w:color w:val="auto"/>
          <w:sz w:val="20"/>
          <w:szCs w:val="20"/>
          <w:lang w:val="es-ES_tradnl"/>
        </w:rPr>
      </w:pPr>
      <w:r w:rsidRPr="004606B1">
        <w:rPr>
          <w:rFonts w:asciiTheme="majorHAnsi" w:eastAsia="Arial Unicode MS" w:hAnsiTheme="majorHAnsi" w:cs="Times New Roman"/>
          <w:color w:val="auto"/>
          <w:sz w:val="20"/>
          <w:szCs w:val="20"/>
          <w:lang w:val="es-ES" w:eastAsia="en-US"/>
        </w:rPr>
        <w:t>En</w:t>
      </w:r>
      <w:r w:rsidR="00884041" w:rsidRPr="004606B1">
        <w:rPr>
          <w:rFonts w:asciiTheme="majorHAnsi" w:eastAsia="Arial Unicode MS" w:hAnsiTheme="majorHAnsi" w:cs="Times New Roman"/>
          <w:color w:val="auto"/>
          <w:sz w:val="20"/>
          <w:szCs w:val="20"/>
          <w:lang w:val="es-ES" w:eastAsia="en-US"/>
        </w:rPr>
        <w:t xml:space="preserve"> casos como el presente,</w:t>
      </w:r>
      <w:r w:rsidR="008E021C" w:rsidRPr="004606B1">
        <w:rPr>
          <w:rFonts w:asciiTheme="majorHAnsi" w:eastAsia="Arial Unicode MS" w:hAnsiTheme="majorHAnsi" w:cs="Times New Roman"/>
          <w:color w:val="auto"/>
          <w:sz w:val="20"/>
          <w:szCs w:val="20"/>
          <w:lang w:val="es-ES" w:eastAsia="en-US"/>
        </w:rPr>
        <w:t xml:space="preserve"> </w:t>
      </w:r>
      <w:r w:rsidR="008E021C" w:rsidRPr="004606B1">
        <w:rPr>
          <w:rFonts w:asciiTheme="majorHAnsi" w:hAnsiTheme="majorHAnsi"/>
          <w:color w:val="auto"/>
          <w:sz w:val="20"/>
          <w:szCs w:val="20"/>
          <w:lang w:val="es-ES"/>
        </w:rPr>
        <w:t>la Comisión reitera la necesidad dentro del derecho internacional en general, y en el derecho interamericano específicamente, de protección especial para que los pueblos indígenas y las comunidades afrodescendientes, a fin de que puedan ejercer sus derechos plena y equitativamente con el resto de la población.</w:t>
      </w:r>
      <w:bookmarkStart w:id="2" w:name="_ftnref19"/>
      <w:r w:rsidR="008E021C" w:rsidRPr="004606B1">
        <w:rPr>
          <w:rFonts w:asciiTheme="majorHAnsi" w:hAnsiTheme="majorHAnsi"/>
          <w:color w:val="auto"/>
          <w:sz w:val="20"/>
          <w:szCs w:val="20"/>
          <w:lang w:val="es-ES"/>
        </w:rPr>
        <w:fldChar w:fldCharType="begin"/>
      </w:r>
      <w:r w:rsidR="008E021C" w:rsidRPr="004606B1">
        <w:rPr>
          <w:rFonts w:asciiTheme="majorHAnsi" w:hAnsiTheme="majorHAnsi"/>
          <w:color w:val="auto"/>
          <w:sz w:val="20"/>
          <w:szCs w:val="20"/>
          <w:lang w:val="es-ES"/>
        </w:rPr>
        <w:instrText xml:space="preserve"> HYPERLINK "http://www.cidh.oas.org/annualrep/2007sp/Honduras1118.03sp.htm" \l "_ftn19" \o "" </w:instrText>
      </w:r>
      <w:r w:rsidR="008E021C" w:rsidRPr="004606B1">
        <w:rPr>
          <w:rFonts w:asciiTheme="majorHAnsi" w:hAnsiTheme="majorHAnsi"/>
          <w:color w:val="auto"/>
          <w:sz w:val="20"/>
          <w:szCs w:val="20"/>
          <w:lang w:val="es-ES"/>
        </w:rPr>
      </w:r>
      <w:r w:rsidR="008E021C" w:rsidRPr="004606B1">
        <w:rPr>
          <w:rFonts w:asciiTheme="majorHAnsi" w:hAnsiTheme="majorHAnsi"/>
          <w:color w:val="auto"/>
          <w:sz w:val="20"/>
          <w:szCs w:val="20"/>
          <w:lang w:val="es-ES"/>
        </w:rPr>
        <w:fldChar w:fldCharType="end"/>
      </w:r>
      <w:bookmarkEnd w:id="2"/>
      <w:r w:rsidR="008E021C" w:rsidRPr="004606B1">
        <w:rPr>
          <w:rFonts w:asciiTheme="majorHAnsi" w:hAnsiTheme="majorHAnsi"/>
          <w:color w:val="auto"/>
          <w:sz w:val="20"/>
          <w:szCs w:val="20"/>
          <w:lang w:val="es-ES"/>
        </w:rPr>
        <w:t xml:space="preserve"> Particularmente, en lo que respecta a pueblos indígenas, de acuerdo a lo establecido en el Convenio 169 de la OIT y en la Convención Americana de Derechos Humanos, es indispensable que los Estados otorguen una protección efectiva que tome en cuenta sus particularidades propias, sus características económicas y sociales, así como su situación de especial vulnerabilidad, su derecho consuetudinario, valores, usos y costumbres</w:t>
      </w:r>
      <w:r w:rsidR="008E021C" w:rsidRPr="004606B1">
        <w:rPr>
          <w:rStyle w:val="FootnoteReference"/>
          <w:rFonts w:asciiTheme="majorHAnsi" w:hAnsiTheme="majorHAnsi"/>
          <w:color w:val="auto"/>
          <w:sz w:val="20"/>
          <w:szCs w:val="20"/>
          <w:lang w:val="es-ES"/>
        </w:rPr>
        <w:footnoteReference w:id="28"/>
      </w:r>
      <w:r w:rsidR="008E021C" w:rsidRPr="004606B1">
        <w:rPr>
          <w:rFonts w:asciiTheme="majorHAnsi" w:hAnsiTheme="majorHAnsi"/>
          <w:color w:val="auto"/>
          <w:sz w:val="20"/>
          <w:szCs w:val="20"/>
          <w:lang w:val="es-ES"/>
        </w:rPr>
        <w:t xml:space="preserve">. </w:t>
      </w:r>
    </w:p>
    <w:p w14:paraId="1780FE77" w14:textId="2EEA10DF" w:rsidR="00916596" w:rsidRPr="004606B1" w:rsidRDefault="00916596" w:rsidP="004606B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142" w:firstLine="567"/>
        <w:jc w:val="both"/>
        <w:rPr>
          <w:rFonts w:asciiTheme="majorHAnsi" w:hAnsiTheme="majorHAnsi" w:cstheme="majorHAnsi"/>
          <w:sz w:val="20"/>
          <w:szCs w:val="20"/>
          <w:lang w:val="es-ES_tradnl"/>
        </w:rPr>
      </w:pPr>
      <w:r w:rsidRPr="004606B1">
        <w:rPr>
          <w:rFonts w:asciiTheme="majorHAnsi" w:eastAsia="Arial Unicode MS" w:hAnsiTheme="majorHAnsi" w:cs="Times New Roman"/>
          <w:color w:val="auto"/>
          <w:sz w:val="20"/>
          <w:szCs w:val="20"/>
          <w:lang w:val="es-ES" w:eastAsia="en-US"/>
        </w:rPr>
        <w:lastRenderedPageBreak/>
        <w:t xml:space="preserve">De igual manera, se considera importante profundizar en los alegatos </w:t>
      </w:r>
      <w:r w:rsidR="00747928" w:rsidRPr="004606B1">
        <w:rPr>
          <w:rFonts w:asciiTheme="majorHAnsi" w:eastAsia="Arial Unicode MS" w:hAnsiTheme="majorHAnsi" w:cs="Times New Roman"/>
          <w:color w:val="auto"/>
          <w:sz w:val="20"/>
          <w:szCs w:val="20"/>
          <w:lang w:val="es-ES" w:eastAsia="en-US"/>
        </w:rPr>
        <w:t>respecto al</w:t>
      </w:r>
      <w:r w:rsidRPr="004606B1">
        <w:rPr>
          <w:rFonts w:asciiTheme="majorHAnsi" w:eastAsia="Arial Unicode MS" w:hAnsiTheme="majorHAnsi" w:cs="Times New Roman"/>
          <w:color w:val="auto"/>
          <w:sz w:val="20"/>
          <w:szCs w:val="20"/>
          <w:lang w:val="es-ES" w:eastAsia="en-US"/>
        </w:rPr>
        <w:t xml:space="preserve"> líder indígena </w:t>
      </w:r>
      <w:r w:rsidR="00D73CE6" w:rsidRPr="004606B1">
        <w:rPr>
          <w:rFonts w:asciiTheme="majorHAnsi" w:eastAsia="Arial Unicode MS" w:hAnsiTheme="majorHAnsi" w:cs="Times New Roman"/>
          <w:color w:val="auto"/>
          <w:sz w:val="20"/>
          <w:szCs w:val="20"/>
          <w:lang w:val="es-ES" w:eastAsia="en-US"/>
        </w:rPr>
        <w:t>Q</w:t>
      </w:r>
      <w:r w:rsidRPr="004606B1">
        <w:rPr>
          <w:rFonts w:asciiTheme="majorHAnsi" w:eastAsia="Arial Unicode MS" w:hAnsiTheme="majorHAnsi" w:cs="Times New Roman"/>
          <w:color w:val="auto"/>
          <w:sz w:val="20"/>
          <w:szCs w:val="20"/>
          <w:lang w:val="es-ES" w:eastAsia="en-US"/>
        </w:rPr>
        <w:t xml:space="preserve">’eqchí’ </w:t>
      </w:r>
      <w:r w:rsidR="006D47DE" w:rsidRPr="004606B1">
        <w:rPr>
          <w:rFonts w:asciiTheme="majorHAnsi" w:eastAsia="Arial Unicode MS" w:hAnsiTheme="majorHAnsi" w:cs="Times New Roman"/>
          <w:color w:val="auto"/>
          <w:sz w:val="20"/>
          <w:szCs w:val="20"/>
          <w:lang w:val="es-ES" w:eastAsia="en-US"/>
        </w:rPr>
        <w:t>en atención a</w:t>
      </w:r>
      <w:r w:rsidR="00CA7141" w:rsidRPr="004606B1">
        <w:rPr>
          <w:rFonts w:asciiTheme="majorHAnsi" w:eastAsia="Arial Unicode MS" w:hAnsiTheme="majorHAnsi" w:cs="Times New Roman"/>
          <w:color w:val="auto"/>
          <w:sz w:val="20"/>
          <w:szCs w:val="20"/>
          <w:lang w:val="es-ES" w:eastAsia="en-US"/>
        </w:rPr>
        <w:t xml:space="preserve"> su condición de líder indígena y defensor de derechos humanos</w:t>
      </w:r>
      <w:r w:rsidR="00490E25" w:rsidRPr="004606B1">
        <w:rPr>
          <w:rFonts w:asciiTheme="majorHAnsi" w:eastAsia="Arial Unicode MS" w:hAnsiTheme="majorHAnsi" w:cs="Times New Roman"/>
          <w:color w:val="auto"/>
          <w:sz w:val="20"/>
          <w:szCs w:val="20"/>
          <w:lang w:val="es-ES" w:eastAsia="en-US"/>
        </w:rPr>
        <w:t xml:space="preserve"> y la alegada previa </w:t>
      </w:r>
      <w:r w:rsidR="00D73CE6" w:rsidRPr="004606B1">
        <w:rPr>
          <w:rFonts w:asciiTheme="majorHAnsi" w:eastAsia="Arial Unicode MS" w:hAnsiTheme="majorHAnsi" w:cs="Times New Roman"/>
          <w:color w:val="auto"/>
          <w:sz w:val="20"/>
          <w:szCs w:val="20"/>
          <w:lang w:val="es-ES" w:eastAsia="en-US"/>
        </w:rPr>
        <w:t>intimidación</w:t>
      </w:r>
      <w:r w:rsidR="00490E25" w:rsidRPr="004606B1">
        <w:rPr>
          <w:rFonts w:asciiTheme="majorHAnsi" w:eastAsia="Arial Unicode MS" w:hAnsiTheme="majorHAnsi" w:cs="Times New Roman"/>
          <w:color w:val="auto"/>
          <w:sz w:val="20"/>
          <w:szCs w:val="20"/>
          <w:lang w:val="es-ES" w:eastAsia="en-US"/>
        </w:rPr>
        <w:t xml:space="preserve"> a través de medios de comunicación y </w:t>
      </w:r>
      <w:r w:rsidR="00D73CE6" w:rsidRPr="004606B1">
        <w:rPr>
          <w:rFonts w:asciiTheme="majorHAnsi" w:eastAsia="Arial Unicode MS" w:hAnsiTheme="majorHAnsi" w:cs="Times New Roman"/>
          <w:color w:val="auto"/>
          <w:sz w:val="20"/>
          <w:szCs w:val="20"/>
          <w:lang w:val="es-ES" w:eastAsia="en-US"/>
        </w:rPr>
        <w:t>redes sociales; igualmente, considerando la obligación especial que tienen los Estados de garantizar que las personas puedan ejercer libremente sus actividades de promoción y protección de los derechos humanos sin temor de que serán sujetos a violencia alguna</w:t>
      </w:r>
      <w:r w:rsidR="00D73CE6" w:rsidRPr="004606B1">
        <w:rPr>
          <w:rStyle w:val="FootnoteReference"/>
          <w:rFonts w:asciiTheme="majorHAnsi" w:eastAsia="Arial Unicode MS" w:hAnsiTheme="majorHAnsi" w:cs="Times New Roman"/>
          <w:color w:val="auto"/>
          <w:sz w:val="20"/>
          <w:szCs w:val="20"/>
          <w:lang w:val="es-ES" w:eastAsia="en-US"/>
        </w:rPr>
        <w:footnoteReference w:id="29"/>
      </w:r>
      <w:r w:rsidR="00D73CE6" w:rsidRPr="004606B1">
        <w:rPr>
          <w:rFonts w:asciiTheme="majorHAnsi" w:eastAsia="Arial Unicode MS" w:hAnsiTheme="majorHAnsi" w:cs="Times New Roman"/>
          <w:color w:val="auto"/>
          <w:sz w:val="20"/>
          <w:szCs w:val="20"/>
          <w:lang w:val="es-ES" w:eastAsia="en-US"/>
        </w:rPr>
        <w:t>.</w:t>
      </w:r>
      <w:r w:rsidR="00DD7C7D" w:rsidRPr="004606B1">
        <w:rPr>
          <w:rFonts w:asciiTheme="majorHAnsi" w:eastAsia="Arial Unicode MS" w:hAnsiTheme="majorHAnsi" w:cs="Times New Roman"/>
          <w:color w:val="auto"/>
          <w:sz w:val="20"/>
          <w:szCs w:val="20"/>
          <w:lang w:val="es-ES" w:eastAsia="en-US"/>
        </w:rPr>
        <w:t xml:space="preserve"> Como le sería el empleo arbitrario del </w:t>
      </w:r>
      <w:r w:rsidR="00DD7C7D" w:rsidRPr="00A85053">
        <w:rPr>
          <w:rFonts w:asciiTheme="majorHAnsi" w:eastAsia="Arial Unicode MS" w:hAnsiTheme="majorHAnsi" w:cs="Times New Roman"/>
          <w:i/>
          <w:iCs/>
          <w:color w:val="auto"/>
          <w:sz w:val="20"/>
          <w:szCs w:val="20"/>
          <w:lang w:val="es-ES" w:eastAsia="en-US"/>
        </w:rPr>
        <w:t>ius puniendi</w:t>
      </w:r>
      <w:r w:rsidR="00DD7C7D" w:rsidRPr="004606B1">
        <w:rPr>
          <w:rFonts w:asciiTheme="majorHAnsi" w:eastAsia="Arial Unicode MS" w:hAnsiTheme="majorHAnsi" w:cs="Times New Roman"/>
          <w:color w:val="auto"/>
          <w:sz w:val="20"/>
          <w:szCs w:val="20"/>
          <w:lang w:val="es-ES" w:eastAsia="en-US"/>
        </w:rPr>
        <w:t xml:space="preserve"> del Estado como mecanismo de represión frente a la labor de los defensores de derechos humanos.</w:t>
      </w:r>
    </w:p>
    <w:p w14:paraId="5AC67542" w14:textId="5D4D9FAA" w:rsidR="00FC641E" w:rsidRPr="004606B1" w:rsidRDefault="00B303F7" w:rsidP="004606B1">
      <w:pPr>
        <w:pStyle w:val="ListParagraph"/>
        <w:numPr>
          <w:ilvl w:val="0"/>
          <w:numId w:val="56"/>
        </w:numPr>
        <w:spacing w:before="240" w:after="240"/>
        <w:ind w:left="142" w:firstLine="567"/>
        <w:jc w:val="both"/>
        <w:rPr>
          <w:bCs/>
          <w:color w:val="auto"/>
          <w:sz w:val="20"/>
          <w:szCs w:val="20"/>
          <w:lang w:val="es-ES_tradnl"/>
        </w:rPr>
      </w:pPr>
      <w:r w:rsidRPr="004606B1">
        <w:rPr>
          <w:rFonts w:cs="Calibri"/>
          <w:color w:val="auto"/>
          <w:sz w:val="20"/>
          <w:szCs w:val="20"/>
          <w:lang w:val="es-ES_tradnl"/>
        </w:rPr>
        <w:t xml:space="preserve">Conforme a estas consideraciones, y tras examinar los elementos de hecho y de derecho expuestos por las partes, esta Comisión estima que </w:t>
      </w:r>
      <w:r w:rsidR="00BB01DC" w:rsidRPr="004606B1">
        <w:rPr>
          <w:rFonts w:cs="Calibri"/>
          <w:color w:val="auto"/>
          <w:sz w:val="20"/>
          <w:szCs w:val="20"/>
          <w:lang w:val="es-ES_tradnl"/>
        </w:rPr>
        <w:t>l</w:t>
      </w:r>
      <w:r w:rsidRPr="004606B1">
        <w:rPr>
          <w:rFonts w:cs="Calibri"/>
          <w:color w:val="auto"/>
          <w:sz w:val="20"/>
          <w:szCs w:val="20"/>
          <w:lang w:val="es-ES_tradnl"/>
        </w:rPr>
        <w:t>os alegatos de la parte peticionaria no resultan manifiestamente infundad</w:t>
      </w:r>
      <w:r w:rsidR="00BB01DC" w:rsidRPr="004606B1">
        <w:rPr>
          <w:rFonts w:cs="Calibri"/>
          <w:color w:val="auto"/>
          <w:sz w:val="20"/>
          <w:szCs w:val="20"/>
          <w:lang w:val="es-ES_tradnl"/>
        </w:rPr>
        <w:t>o</w:t>
      </w:r>
      <w:r w:rsidRPr="004606B1">
        <w:rPr>
          <w:rFonts w:cs="Calibri"/>
          <w:color w:val="auto"/>
          <w:sz w:val="20"/>
          <w:szCs w:val="20"/>
          <w:lang w:val="es-ES_tradnl"/>
        </w:rPr>
        <w:t xml:space="preserve">s y requieren un estudio de fondo, pues </w:t>
      </w:r>
      <w:r w:rsidR="00884041" w:rsidRPr="004606B1">
        <w:rPr>
          <w:rFonts w:cs="Calibri"/>
          <w:color w:val="auto"/>
          <w:sz w:val="20"/>
          <w:szCs w:val="20"/>
          <w:lang w:val="es-ES_tradnl"/>
        </w:rPr>
        <w:t>la falta de participación de todas las comunidades Q’eqchi’</w:t>
      </w:r>
      <w:r w:rsidR="009456AC" w:rsidRPr="004606B1">
        <w:rPr>
          <w:rFonts w:cs="Calibri"/>
          <w:color w:val="auto"/>
          <w:sz w:val="20"/>
          <w:szCs w:val="20"/>
          <w:lang w:val="es-ES_tradnl"/>
        </w:rPr>
        <w:t>s</w:t>
      </w:r>
      <w:r w:rsidR="00884041" w:rsidRPr="004606B1">
        <w:rPr>
          <w:rFonts w:cs="Calibri"/>
          <w:color w:val="auto"/>
          <w:sz w:val="20"/>
          <w:szCs w:val="20"/>
          <w:lang w:val="es-ES_tradnl"/>
        </w:rPr>
        <w:t xml:space="preserve"> afectadas</w:t>
      </w:r>
      <w:r w:rsidRPr="004606B1">
        <w:rPr>
          <w:rFonts w:cs="Calibri"/>
          <w:color w:val="auto"/>
          <w:sz w:val="20"/>
          <w:szCs w:val="20"/>
          <w:lang w:val="es-ES_tradnl"/>
        </w:rPr>
        <w:t>, podría caracterizar violaciones de los artículos</w:t>
      </w:r>
      <w:r w:rsidR="006A2AAD">
        <w:rPr>
          <w:rFonts w:cs="Calibri"/>
          <w:color w:val="auto"/>
          <w:sz w:val="20"/>
          <w:szCs w:val="20"/>
          <w:lang w:val="es-ES_tradnl"/>
        </w:rPr>
        <w:t xml:space="preserve"> </w:t>
      </w:r>
      <w:r w:rsidR="006A2AAD" w:rsidRPr="006A2AAD">
        <w:rPr>
          <w:rFonts w:cs="Calibri"/>
          <w:color w:val="auto"/>
          <w:sz w:val="20"/>
          <w:szCs w:val="20"/>
          <w:lang w:val="es-ES_tradnl"/>
        </w:rPr>
        <w:t>7 (libertad personal)</w:t>
      </w:r>
      <w:r w:rsidR="006A2AAD">
        <w:rPr>
          <w:rFonts w:cs="Calibri"/>
          <w:color w:val="auto"/>
          <w:sz w:val="20"/>
          <w:szCs w:val="20"/>
          <w:lang w:val="es-ES_tradnl"/>
        </w:rPr>
        <w:t>,</w:t>
      </w:r>
      <w:r w:rsidRPr="004606B1">
        <w:rPr>
          <w:rFonts w:cs="Calibri"/>
          <w:color w:val="auto"/>
          <w:sz w:val="20"/>
          <w:szCs w:val="20"/>
          <w:lang w:val="es-ES_tradnl"/>
        </w:rPr>
        <w:t xml:space="preserve"> </w:t>
      </w:r>
      <w:r w:rsidRPr="004606B1">
        <w:rPr>
          <w:bCs/>
          <w:color w:val="auto"/>
          <w:sz w:val="20"/>
          <w:szCs w:val="20"/>
          <w:lang w:val="es-ES_tradnl"/>
        </w:rPr>
        <w:t>8 (garantías judiciales)</w:t>
      </w:r>
      <w:r w:rsidR="00574B1B" w:rsidRPr="004606B1">
        <w:rPr>
          <w:bCs/>
          <w:color w:val="auto"/>
          <w:sz w:val="20"/>
          <w:szCs w:val="20"/>
          <w:lang w:val="es-ES_tradnl"/>
        </w:rPr>
        <w:t>,</w:t>
      </w:r>
      <w:r w:rsidRPr="004606B1">
        <w:rPr>
          <w:bCs/>
          <w:color w:val="auto"/>
          <w:sz w:val="20"/>
          <w:szCs w:val="20"/>
          <w:lang w:val="es-ES_tradnl"/>
        </w:rPr>
        <w:t xml:space="preserve"> 25 (protección judicial)</w:t>
      </w:r>
      <w:r w:rsidR="00574B1B" w:rsidRPr="004606B1">
        <w:rPr>
          <w:bCs/>
          <w:color w:val="auto"/>
          <w:sz w:val="20"/>
          <w:szCs w:val="20"/>
          <w:lang w:val="es-ES_tradnl"/>
        </w:rPr>
        <w:t xml:space="preserve">, y 26 (derechos económicos, sociales y culturales) </w:t>
      </w:r>
      <w:r w:rsidRPr="004606B1">
        <w:rPr>
          <w:rFonts w:cs="Calibri"/>
          <w:bCs/>
          <w:color w:val="auto"/>
          <w:sz w:val="20"/>
          <w:szCs w:val="20"/>
          <w:lang w:val="es-ES_tradnl"/>
        </w:rPr>
        <w:t>de la Convención Americana</w:t>
      </w:r>
      <w:r w:rsidRPr="004606B1">
        <w:rPr>
          <w:bCs/>
          <w:color w:val="auto"/>
          <w:sz w:val="20"/>
          <w:szCs w:val="20"/>
          <w:lang w:val="es-ES_tradnl"/>
        </w:rPr>
        <w:t>, en relación con su artículo 1.1 (obligación de respetar los derechos</w:t>
      </w:r>
      <w:r w:rsidRPr="004606B1">
        <w:rPr>
          <w:rFonts w:cs="Calibri"/>
          <w:bCs/>
          <w:color w:val="auto"/>
          <w:sz w:val="20"/>
          <w:szCs w:val="20"/>
          <w:lang w:val="es-ES_tradnl"/>
        </w:rPr>
        <w:t>) en perjuicio de l</w:t>
      </w:r>
      <w:r w:rsidR="00884041" w:rsidRPr="004606B1">
        <w:rPr>
          <w:rFonts w:cs="Calibri"/>
          <w:bCs/>
          <w:color w:val="auto"/>
          <w:sz w:val="20"/>
          <w:szCs w:val="20"/>
          <w:lang w:val="es-ES_tradnl"/>
        </w:rPr>
        <w:t>a</w:t>
      </w:r>
      <w:r w:rsidR="00454FE0" w:rsidRPr="004606B1">
        <w:rPr>
          <w:rFonts w:cs="Calibri"/>
          <w:bCs/>
          <w:color w:val="auto"/>
          <w:sz w:val="20"/>
          <w:szCs w:val="20"/>
          <w:lang w:val="es-ES_tradnl"/>
        </w:rPr>
        <w:t>s</w:t>
      </w:r>
      <w:r w:rsidR="00884041" w:rsidRPr="004606B1">
        <w:rPr>
          <w:rFonts w:cs="Calibri"/>
          <w:bCs/>
          <w:color w:val="auto"/>
          <w:sz w:val="20"/>
          <w:szCs w:val="20"/>
          <w:lang w:val="es-ES_tradnl"/>
        </w:rPr>
        <w:t xml:space="preserve"> comunidad</w:t>
      </w:r>
      <w:r w:rsidR="00454FE0" w:rsidRPr="004606B1">
        <w:rPr>
          <w:rFonts w:cs="Calibri"/>
          <w:bCs/>
          <w:color w:val="auto"/>
          <w:sz w:val="20"/>
          <w:szCs w:val="20"/>
          <w:lang w:val="es-ES_tradnl"/>
        </w:rPr>
        <w:t>es</w:t>
      </w:r>
      <w:r w:rsidR="00884041" w:rsidRPr="004606B1">
        <w:rPr>
          <w:rFonts w:cs="Calibri"/>
          <w:bCs/>
          <w:color w:val="auto"/>
          <w:sz w:val="20"/>
          <w:szCs w:val="20"/>
          <w:lang w:val="es-ES_tradnl"/>
        </w:rPr>
        <w:t xml:space="preserve"> </w:t>
      </w:r>
      <w:r w:rsidR="00884041" w:rsidRPr="004606B1">
        <w:rPr>
          <w:rFonts w:cs="Calibri"/>
          <w:color w:val="auto"/>
          <w:sz w:val="20"/>
          <w:szCs w:val="20"/>
          <w:lang w:val="es-ES_tradnl"/>
        </w:rPr>
        <w:t>Q’eqchi’</w:t>
      </w:r>
      <w:r w:rsidR="00EB1B06" w:rsidRPr="004606B1">
        <w:rPr>
          <w:rFonts w:cs="Calibri"/>
          <w:color w:val="auto"/>
          <w:sz w:val="20"/>
          <w:szCs w:val="20"/>
          <w:lang w:val="es-ES_tradnl"/>
        </w:rPr>
        <w:t xml:space="preserve">s </w:t>
      </w:r>
      <w:r w:rsidR="00884041" w:rsidRPr="004606B1">
        <w:rPr>
          <w:rFonts w:cs="Calibri"/>
          <w:color w:val="auto"/>
          <w:sz w:val="20"/>
          <w:szCs w:val="20"/>
          <w:lang w:val="es-ES_tradnl"/>
        </w:rPr>
        <w:t>de Santa María Cahabón</w:t>
      </w:r>
      <w:r w:rsidR="00275057" w:rsidRPr="004606B1">
        <w:rPr>
          <w:rFonts w:cs="Calibri"/>
          <w:bCs/>
          <w:color w:val="auto"/>
          <w:sz w:val="20"/>
          <w:szCs w:val="20"/>
          <w:lang w:val="es-ES_tradnl"/>
        </w:rPr>
        <w:t xml:space="preserve"> y el señor Caa</w:t>
      </w:r>
      <w:r w:rsidR="00EB1B06" w:rsidRPr="004606B1">
        <w:rPr>
          <w:rFonts w:cs="Calibri"/>
          <w:bCs/>
          <w:color w:val="auto"/>
          <w:sz w:val="20"/>
          <w:szCs w:val="20"/>
          <w:lang w:val="es-ES_tradnl"/>
        </w:rPr>
        <w:t>l</w:t>
      </w:r>
      <w:r w:rsidR="00275057" w:rsidRPr="004606B1">
        <w:rPr>
          <w:rFonts w:cs="Calibri"/>
          <w:bCs/>
          <w:color w:val="auto"/>
          <w:sz w:val="20"/>
          <w:szCs w:val="20"/>
          <w:lang w:val="es-ES_tradnl"/>
        </w:rPr>
        <w:t xml:space="preserve"> Xól</w:t>
      </w:r>
      <w:r w:rsidR="00441E74" w:rsidRPr="004606B1">
        <w:rPr>
          <w:rFonts w:cs="Calibri"/>
          <w:bCs/>
          <w:color w:val="auto"/>
          <w:sz w:val="20"/>
          <w:szCs w:val="20"/>
          <w:lang w:val="es-ES_tradnl"/>
        </w:rPr>
        <w:t xml:space="preserve">, en los términos del presente informe. </w:t>
      </w:r>
    </w:p>
    <w:p w14:paraId="70EB586C" w14:textId="29874E69" w:rsidR="006B12CF" w:rsidRPr="006444C5" w:rsidRDefault="00FC641E" w:rsidP="006444C5">
      <w:pPr>
        <w:pStyle w:val="ListParagraph"/>
        <w:numPr>
          <w:ilvl w:val="0"/>
          <w:numId w:val="56"/>
        </w:numPr>
        <w:spacing w:before="240" w:after="240"/>
        <w:ind w:left="142" w:firstLine="567"/>
        <w:jc w:val="both"/>
        <w:rPr>
          <w:bCs/>
          <w:sz w:val="20"/>
          <w:szCs w:val="20"/>
          <w:lang w:val="es-ES_tradnl"/>
        </w:rPr>
      </w:pPr>
      <w:r w:rsidRPr="004606B1">
        <w:rPr>
          <w:rFonts w:cs="Calibri"/>
          <w:color w:val="auto"/>
          <w:sz w:val="20"/>
          <w:szCs w:val="20"/>
          <w:lang w:val="es-ES_tradnl"/>
        </w:rPr>
        <w:t xml:space="preserve">Cabe señalar, respecto al alegato del Estado de una falta de determinación de las presuntas víctimas y de la comunidad </w:t>
      </w:r>
      <w:r w:rsidRPr="00BF0BA6">
        <w:rPr>
          <w:rFonts w:cs="Calibri"/>
          <w:color w:val="auto"/>
          <w:sz w:val="20"/>
          <w:szCs w:val="20"/>
          <w:lang w:val="es-ES_tradnl"/>
        </w:rPr>
        <w:t>Q’ueqchi’ en general, que</w:t>
      </w:r>
      <w:r w:rsidR="006B12CF" w:rsidRPr="00BF0BA6">
        <w:rPr>
          <w:rFonts w:cs="Calibri"/>
          <w:color w:val="auto"/>
          <w:sz w:val="20"/>
          <w:szCs w:val="20"/>
          <w:lang w:val="es-ES_tradnl"/>
        </w:rPr>
        <w:t xml:space="preserve"> en el presente caso </w:t>
      </w:r>
      <w:r w:rsidR="006444C5" w:rsidRPr="00BF0BA6">
        <w:rPr>
          <w:rFonts w:cs="Calibri"/>
          <w:color w:val="auto"/>
          <w:sz w:val="20"/>
          <w:szCs w:val="20"/>
          <w:lang w:val="es-ES_tradnl"/>
        </w:rPr>
        <w:t xml:space="preserve">la parte peticionaria sí identifica comunidades indígenas concretas como presuntamente afectadas por los hechos denunciados; las cuales están claramente ubicadas geográficamente y de las que incluso constan los nombres de algunos de sus representantes. </w:t>
      </w:r>
      <w:r w:rsidR="006444C5" w:rsidRPr="00BF0BA6">
        <w:rPr>
          <w:bCs/>
          <w:sz w:val="20"/>
          <w:szCs w:val="20"/>
          <w:lang w:val="es-ES"/>
        </w:rPr>
        <w:t>Además</w:t>
      </w:r>
      <w:r w:rsidR="009F5158" w:rsidRPr="00BF0BA6">
        <w:rPr>
          <w:bCs/>
          <w:sz w:val="20"/>
          <w:szCs w:val="20"/>
          <w:lang w:val="es-ES"/>
        </w:rPr>
        <w:t xml:space="preserve">, </w:t>
      </w:r>
      <w:r w:rsidRPr="00BF0BA6">
        <w:rPr>
          <w:rFonts w:cs="Calibri"/>
          <w:sz w:val="20"/>
          <w:szCs w:val="20"/>
          <w:lang w:val="es-ES_tradnl"/>
        </w:rPr>
        <w:t>como ha aclarado</w:t>
      </w:r>
      <w:r w:rsidRPr="006444C5">
        <w:rPr>
          <w:rFonts w:cs="Calibri"/>
          <w:sz w:val="20"/>
          <w:szCs w:val="20"/>
          <w:lang w:val="es-ES_tradnl"/>
        </w:rPr>
        <w:t xml:space="preserve"> la Corte IDH, en el procedimiento de casos contenciosos ante el Sistema Interamericano, como regla general, la individualización final de las presuntas víctimas debe realizarse en la etapa de fondo ante la CIDH, lo cual debe establecerse en el informe que esta emita en los términos del artículo 50 de la Convención Americana</w:t>
      </w:r>
      <w:r w:rsidRPr="004606B1">
        <w:rPr>
          <w:vertAlign w:val="superscript"/>
          <w:lang w:val="es-ES_tradnl"/>
        </w:rPr>
        <w:footnoteReference w:id="30"/>
      </w:r>
      <w:r w:rsidRPr="006444C5">
        <w:rPr>
          <w:rFonts w:cs="Calibri"/>
          <w:sz w:val="20"/>
          <w:szCs w:val="20"/>
          <w:lang w:val="es-ES_tradnl"/>
        </w:rPr>
        <w:t xml:space="preserve">. </w:t>
      </w:r>
    </w:p>
    <w:p w14:paraId="1F89FD9C" w14:textId="3F3BDB3A" w:rsidR="00615ED5" w:rsidRPr="004606B1" w:rsidRDefault="00615ED5" w:rsidP="004606B1">
      <w:pPr>
        <w:pStyle w:val="ListParagraph"/>
        <w:numPr>
          <w:ilvl w:val="0"/>
          <w:numId w:val="56"/>
        </w:numPr>
        <w:spacing w:before="240" w:after="240"/>
        <w:ind w:left="142" w:firstLine="567"/>
        <w:jc w:val="both"/>
        <w:rPr>
          <w:bCs/>
          <w:sz w:val="20"/>
          <w:szCs w:val="20"/>
          <w:lang w:val="es-ES_tradnl"/>
        </w:rPr>
      </w:pPr>
      <w:r w:rsidRPr="004606B1">
        <w:rPr>
          <w:bCs/>
          <w:sz w:val="20"/>
          <w:szCs w:val="20"/>
          <w:lang w:val="es-ES_tradnl"/>
        </w:rPr>
        <w:t>Respecto de lo planteado por la parte peticionaria en la denuncia, sobre que se declare que el Estado violó el Convenio 169 de la OIT, se recuerda que la Comisión carece de competencia al respecto, sin perjuicio de lo cual puede y debe utilizarlo como pauta de interpretación de las obligaciones convencionales, a luz de lo establecido en el artículo 29 de la Convención</w:t>
      </w:r>
      <w:r w:rsidRPr="004606B1">
        <w:rPr>
          <w:sz w:val="20"/>
          <w:szCs w:val="20"/>
          <w:vertAlign w:val="superscript"/>
          <w:lang w:val="es-ES_tradnl"/>
        </w:rPr>
        <w:footnoteReference w:id="31"/>
      </w:r>
      <w:r w:rsidRPr="004606B1">
        <w:rPr>
          <w:bCs/>
          <w:sz w:val="20"/>
          <w:szCs w:val="20"/>
          <w:lang w:val="es-ES_tradnl"/>
        </w:rPr>
        <w:t>.</w:t>
      </w:r>
    </w:p>
    <w:p w14:paraId="445BF42E" w14:textId="3061C40C" w:rsidR="003239B8" w:rsidRPr="004606B1" w:rsidRDefault="00654333" w:rsidP="004606B1">
      <w:pPr>
        <w:pStyle w:val="ListParagraph"/>
        <w:spacing w:before="240" w:after="240"/>
        <w:jc w:val="both"/>
        <w:rPr>
          <w:b/>
          <w:bCs/>
          <w:sz w:val="20"/>
          <w:szCs w:val="20"/>
          <w:lang w:val="es-ES_tradnl"/>
        </w:rPr>
      </w:pPr>
      <w:r>
        <w:rPr>
          <w:b/>
          <w:bCs/>
          <w:sz w:val="20"/>
          <w:szCs w:val="20"/>
          <w:lang w:val="es-ES_tradnl"/>
        </w:rPr>
        <w:t>I</w:t>
      </w:r>
      <w:r w:rsidR="00BD2413">
        <w:rPr>
          <w:b/>
          <w:bCs/>
          <w:sz w:val="20"/>
          <w:szCs w:val="20"/>
          <w:lang w:val="es-ES_tradnl"/>
        </w:rPr>
        <w:t>X</w:t>
      </w:r>
      <w:r w:rsidR="003239B8" w:rsidRPr="004606B1">
        <w:rPr>
          <w:b/>
          <w:bCs/>
          <w:sz w:val="20"/>
          <w:szCs w:val="20"/>
          <w:lang w:val="es-ES_tradnl"/>
        </w:rPr>
        <w:t xml:space="preserve">. </w:t>
      </w:r>
      <w:r w:rsidR="003239B8" w:rsidRPr="004606B1">
        <w:rPr>
          <w:b/>
          <w:bCs/>
          <w:sz w:val="20"/>
          <w:szCs w:val="20"/>
          <w:lang w:val="es-ES_tradnl"/>
        </w:rPr>
        <w:tab/>
        <w:t>DECISIÓN</w:t>
      </w:r>
    </w:p>
    <w:p w14:paraId="547DFF8E" w14:textId="36FFC385" w:rsidR="000419AD" w:rsidRPr="004606B1" w:rsidRDefault="003239B8" w:rsidP="004606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4606B1">
        <w:rPr>
          <w:rFonts w:ascii="Cambria" w:hAnsi="Cambria"/>
          <w:sz w:val="20"/>
          <w:szCs w:val="20"/>
          <w:lang w:val="es-ES_tradnl"/>
        </w:rPr>
        <w:t>Declarar admisible la presente petición en relación con</w:t>
      </w:r>
      <w:r w:rsidR="001D7F96" w:rsidRPr="004606B1">
        <w:rPr>
          <w:rFonts w:ascii="Cambria" w:hAnsi="Cambria"/>
          <w:sz w:val="20"/>
          <w:szCs w:val="20"/>
          <w:lang w:val="es-ES_tradnl"/>
        </w:rPr>
        <w:t xml:space="preserve"> </w:t>
      </w:r>
      <w:r w:rsidR="003A6268" w:rsidRPr="004606B1">
        <w:rPr>
          <w:rFonts w:ascii="Cambria" w:hAnsi="Cambria"/>
          <w:sz w:val="20"/>
          <w:szCs w:val="20"/>
          <w:lang w:val="es-ES_tradnl"/>
        </w:rPr>
        <w:t>los artículos</w:t>
      </w:r>
      <w:r w:rsidR="007B0A06" w:rsidRPr="004606B1">
        <w:rPr>
          <w:rFonts w:ascii="Cambria" w:hAnsi="Cambria"/>
          <w:sz w:val="20"/>
          <w:szCs w:val="20"/>
          <w:lang w:val="es-ES_tradnl"/>
        </w:rPr>
        <w:t xml:space="preserve"> </w:t>
      </w:r>
      <w:r w:rsidR="00F41123">
        <w:rPr>
          <w:rFonts w:ascii="Cambria" w:hAnsi="Cambria"/>
          <w:sz w:val="20"/>
          <w:szCs w:val="20"/>
          <w:lang w:val="es-ES_tradnl"/>
        </w:rPr>
        <w:t xml:space="preserve">7, </w:t>
      </w:r>
      <w:r w:rsidR="007B0A06" w:rsidRPr="004606B1">
        <w:rPr>
          <w:rFonts w:ascii="Cambria" w:hAnsi="Cambria"/>
          <w:sz w:val="20"/>
          <w:szCs w:val="20"/>
          <w:lang w:val="es-ES_tradnl"/>
        </w:rPr>
        <w:t>8</w:t>
      </w:r>
      <w:r w:rsidR="00F41123">
        <w:rPr>
          <w:rFonts w:ascii="Cambria" w:hAnsi="Cambria"/>
          <w:sz w:val="20"/>
          <w:szCs w:val="20"/>
          <w:lang w:val="es-ES_tradnl"/>
        </w:rPr>
        <w:t>,</w:t>
      </w:r>
      <w:r w:rsidR="00BB01DC" w:rsidRPr="004606B1">
        <w:rPr>
          <w:rFonts w:ascii="Cambria" w:hAnsi="Cambria"/>
          <w:sz w:val="20"/>
          <w:szCs w:val="20"/>
          <w:lang w:val="es-ES_tradnl"/>
        </w:rPr>
        <w:t xml:space="preserve"> </w:t>
      </w:r>
      <w:r w:rsidR="007B0A06" w:rsidRPr="004606B1">
        <w:rPr>
          <w:rFonts w:ascii="Cambria" w:hAnsi="Cambria"/>
          <w:sz w:val="20"/>
          <w:szCs w:val="20"/>
          <w:lang w:val="es-ES_tradnl"/>
        </w:rPr>
        <w:t>2</w:t>
      </w:r>
      <w:r w:rsidR="00493BC9" w:rsidRPr="004606B1">
        <w:rPr>
          <w:rFonts w:ascii="Cambria" w:hAnsi="Cambria"/>
          <w:sz w:val="20"/>
          <w:szCs w:val="20"/>
          <w:lang w:val="es-ES_tradnl"/>
        </w:rPr>
        <w:t>5</w:t>
      </w:r>
      <w:r w:rsidR="00F41123">
        <w:rPr>
          <w:rFonts w:ascii="Cambria" w:hAnsi="Cambria"/>
          <w:sz w:val="20"/>
          <w:szCs w:val="20"/>
          <w:lang w:val="es-ES_tradnl"/>
        </w:rPr>
        <w:t xml:space="preserve"> y 26</w:t>
      </w:r>
      <w:r w:rsidR="00450066" w:rsidRPr="004606B1">
        <w:rPr>
          <w:rFonts w:ascii="Cambria" w:hAnsi="Cambria"/>
          <w:sz w:val="20"/>
          <w:szCs w:val="20"/>
          <w:lang w:val="es-ES_tradnl"/>
        </w:rPr>
        <w:t xml:space="preserve"> en relación con </w:t>
      </w:r>
      <w:r w:rsidR="00F41123">
        <w:rPr>
          <w:rFonts w:ascii="Cambria" w:hAnsi="Cambria"/>
          <w:sz w:val="20"/>
          <w:szCs w:val="20"/>
          <w:lang w:val="es-ES_tradnl"/>
        </w:rPr>
        <w:t>su</w:t>
      </w:r>
      <w:r w:rsidR="00450066" w:rsidRPr="004606B1">
        <w:rPr>
          <w:rFonts w:ascii="Cambria" w:hAnsi="Cambria"/>
          <w:sz w:val="20"/>
          <w:szCs w:val="20"/>
          <w:lang w:val="es-ES_tradnl"/>
        </w:rPr>
        <w:t xml:space="preserve"> artículo 1</w:t>
      </w:r>
      <w:r w:rsidR="00493BC9" w:rsidRPr="004606B1">
        <w:rPr>
          <w:rFonts w:ascii="Cambria" w:hAnsi="Cambria"/>
          <w:sz w:val="20"/>
          <w:szCs w:val="20"/>
          <w:lang w:val="es-ES_tradnl"/>
        </w:rPr>
        <w:t>.1</w:t>
      </w:r>
      <w:r w:rsidR="00A758AA" w:rsidRPr="004606B1">
        <w:rPr>
          <w:rFonts w:ascii="Cambria" w:hAnsi="Cambria"/>
          <w:sz w:val="20"/>
          <w:szCs w:val="20"/>
          <w:lang w:val="es-ES_tradnl"/>
        </w:rPr>
        <w:t>;</w:t>
      </w:r>
      <w:r w:rsidR="007B76D3" w:rsidRPr="004606B1">
        <w:rPr>
          <w:rFonts w:ascii="Cambria" w:hAnsi="Cambria"/>
          <w:sz w:val="20"/>
          <w:szCs w:val="20"/>
          <w:lang w:val="es-ES_tradnl"/>
        </w:rPr>
        <w:t xml:space="preserve"> </w:t>
      </w:r>
      <w:r w:rsidR="00A85053">
        <w:rPr>
          <w:rFonts w:ascii="Cambria" w:hAnsi="Cambria"/>
          <w:sz w:val="20"/>
          <w:szCs w:val="20"/>
          <w:lang w:val="es-ES_tradnl"/>
        </w:rPr>
        <w:t>y</w:t>
      </w:r>
    </w:p>
    <w:p w14:paraId="02C904B2" w14:textId="4D287E41" w:rsidR="009A56CE" w:rsidRDefault="004A6A54" w:rsidP="004606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4606B1">
        <w:rPr>
          <w:rFonts w:ascii="Cambria" w:hAnsi="Cambria"/>
          <w:sz w:val="20"/>
          <w:szCs w:val="20"/>
          <w:lang w:val="es-ES_tradnl"/>
        </w:rPr>
        <w:t>Notificar a las partes la presente decisión; continuar con el análisis del fondo de la cuestión</w:t>
      </w:r>
      <w:r w:rsidR="00394073" w:rsidRPr="004606B1">
        <w:rPr>
          <w:rFonts w:ascii="Cambria" w:hAnsi="Cambria"/>
          <w:sz w:val="20"/>
          <w:szCs w:val="20"/>
          <w:lang w:val="es-ES_tradnl"/>
        </w:rPr>
        <w:t xml:space="preserve"> </w:t>
      </w:r>
      <w:r w:rsidRPr="004606B1">
        <w:rPr>
          <w:rFonts w:ascii="Cambria" w:hAnsi="Cambria"/>
          <w:sz w:val="20"/>
          <w:szCs w:val="20"/>
          <w:lang w:val="es-ES_tradnl"/>
        </w:rPr>
        <w:t>y publicar esta decisión e incluirla en su Informe Anual a la Asamblea General de la Organización de los Estados Americanos.</w:t>
      </w:r>
    </w:p>
    <w:p w14:paraId="7EBEB385" w14:textId="4FF6F4D9" w:rsidR="00BD2413" w:rsidRPr="00D112FE" w:rsidRDefault="00243616" w:rsidP="00D112FE">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E05A68">
        <w:rPr>
          <w:rStyle w:val="normaltextrun"/>
          <w:rFonts w:ascii="Cambria" w:hAnsi="Cambria" w:cs="Segoe UI"/>
          <w:sz w:val="20"/>
          <w:szCs w:val="20"/>
          <w:lang w:val="es-CL"/>
        </w:rPr>
        <w:t>27</w:t>
      </w:r>
      <w:r w:rsidR="00E82093">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días del mes de </w:t>
      </w:r>
      <w:r w:rsidR="00E05A68">
        <w:rPr>
          <w:rStyle w:val="normaltextrun"/>
          <w:rFonts w:ascii="Cambria" w:hAnsi="Cambria" w:cs="Segoe UI"/>
          <w:sz w:val="20"/>
          <w:szCs w:val="20"/>
          <w:lang w:val="es-CL"/>
        </w:rPr>
        <w:t>septiembre</w:t>
      </w:r>
      <w:r>
        <w:rPr>
          <w:rStyle w:val="normaltextrun"/>
          <w:rFonts w:ascii="Cambria" w:hAnsi="Cambria" w:cs="Segoe UI"/>
          <w:sz w:val="20"/>
          <w:szCs w:val="20"/>
          <w:lang w:val="es-CL"/>
        </w:rPr>
        <w:t xml:space="preserve"> de 2023.  (Firmado): Margarette May Macaulay, Presidenta; Esmeralda Arosemena de Troitiño, Primera Vicepresidenta; Roberta Clarke, Segunda Vicepresidenta; Julissa Mantilla Falcón</w:t>
      </w:r>
      <w:r w:rsidR="006714C6">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Carlos Bernal Pulido, </w:t>
      </w:r>
      <w:r w:rsidR="00D112FE">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BD2413" w:rsidRPr="00D112F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8A7E" w14:textId="77777777" w:rsidR="00DC5D1B" w:rsidRDefault="00DC5D1B">
      <w:r>
        <w:separator/>
      </w:r>
    </w:p>
  </w:endnote>
  <w:endnote w:type="continuationSeparator" w:id="0">
    <w:p w14:paraId="0E9ADBB4" w14:textId="77777777" w:rsidR="00DC5D1B" w:rsidRDefault="00DC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686A9" w14:textId="77777777" w:rsidR="00DC5D1B" w:rsidRPr="000F35ED" w:rsidRDefault="00DC5D1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160BECD" w14:textId="77777777" w:rsidR="00DC5D1B" w:rsidRPr="000F35ED" w:rsidRDefault="00DC5D1B" w:rsidP="000F35ED">
      <w:pPr>
        <w:rPr>
          <w:rFonts w:asciiTheme="majorHAnsi" w:hAnsiTheme="majorHAnsi"/>
          <w:sz w:val="16"/>
          <w:szCs w:val="16"/>
        </w:rPr>
      </w:pPr>
      <w:r w:rsidRPr="000F35ED">
        <w:rPr>
          <w:rFonts w:asciiTheme="majorHAnsi" w:hAnsiTheme="majorHAnsi"/>
          <w:sz w:val="16"/>
          <w:szCs w:val="16"/>
        </w:rPr>
        <w:separator/>
      </w:r>
    </w:p>
    <w:p w14:paraId="07849252" w14:textId="77777777" w:rsidR="00DC5D1B" w:rsidRPr="000F35ED" w:rsidRDefault="00DC5D1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F121C6F" w14:textId="77777777" w:rsidR="00DC5D1B" w:rsidRPr="000F35ED" w:rsidRDefault="00DC5D1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781AE4A" w14:textId="5E90F1C3" w:rsidR="006A52DB" w:rsidRPr="00FD5AD9" w:rsidRDefault="006A52DB" w:rsidP="006A52DB">
      <w:pPr>
        <w:pStyle w:val="FootnoteText"/>
        <w:ind w:firstLine="709"/>
        <w:jc w:val="both"/>
        <w:rPr>
          <w:rFonts w:ascii="Cambria" w:hAnsi="Cambria"/>
          <w:sz w:val="16"/>
          <w:szCs w:val="16"/>
          <w:lang w:val="es-ES"/>
        </w:rPr>
      </w:pPr>
      <w:r w:rsidRPr="00FD5AD9">
        <w:rPr>
          <w:rStyle w:val="FootnoteReference"/>
          <w:rFonts w:ascii="Cambria" w:hAnsi="Cambria"/>
          <w:sz w:val="16"/>
          <w:szCs w:val="16"/>
        </w:rPr>
        <w:footnoteRef/>
      </w:r>
      <w:r w:rsidRPr="00FD5AD9">
        <w:rPr>
          <w:rFonts w:ascii="Cambria" w:hAnsi="Cambria"/>
          <w:sz w:val="16"/>
          <w:szCs w:val="16"/>
          <w:lang w:val="es-ES"/>
        </w:rPr>
        <w:t xml:space="preserve"> De acuerdo con la petición, el señor </w:t>
      </w:r>
      <w:r w:rsidR="00410D96" w:rsidRPr="00FD5AD9">
        <w:rPr>
          <w:rFonts w:ascii="Cambria" w:hAnsi="Cambria"/>
          <w:sz w:val="16"/>
          <w:szCs w:val="16"/>
          <w:lang w:val="es-ES"/>
        </w:rPr>
        <w:t>C</w:t>
      </w:r>
      <w:r w:rsidRPr="00FD5AD9">
        <w:rPr>
          <w:rFonts w:ascii="Cambria" w:hAnsi="Cambria"/>
          <w:sz w:val="16"/>
          <w:szCs w:val="16"/>
          <w:lang w:val="es-ES"/>
        </w:rPr>
        <w:t>aal Xól actúa en calidad de vecino del municipio de Santa María Cahabón, departamento de Alta Verapaz, miembro y representante de la comunidad indígena Q'eqchi</w:t>
      </w:r>
      <w:r w:rsidR="009456AC" w:rsidRPr="00FD5AD9">
        <w:rPr>
          <w:rFonts w:ascii="Cambria" w:hAnsi="Cambria"/>
          <w:sz w:val="16"/>
          <w:szCs w:val="16"/>
          <w:lang w:val="es-ES"/>
        </w:rPr>
        <w:t>’</w:t>
      </w:r>
      <w:r w:rsidRPr="00FD5AD9">
        <w:rPr>
          <w:rFonts w:ascii="Cambria" w:hAnsi="Cambria"/>
          <w:sz w:val="16"/>
          <w:szCs w:val="16"/>
          <w:lang w:val="es-ES"/>
        </w:rPr>
        <w:t>.</w:t>
      </w:r>
    </w:p>
  </w:footnote>
  <w:footnote w:id="3">
    <w:p w14:paraId="7443EF75" w14:textId="05B0D1A7" w:rsidR="0017681E" w:rsidRPr="00FD5AD9" w:rsidRDefault="0017681E" w:rsidP="00E96261">
      <w:pPr>
        <w:pStyle w:val="FootnoteText"/>
        <w:ind w:firstLine="709"/>
        <w:jc w:val="both"/>
        <w:rPr>
          <w:rFonts w:asciiTheme="majorHAnsi" w:hAnsiTheme="majorHAnsi"/>
          <w:sz w:val="16"/>
          <w:szCs w:val="16"/>
          <w:lang w:val="es-ES_tradnl"/>
        </w:rPr>
      </w:pPr>
      <w:r w:rsidRPr="00FD5AD9">
        <w:rPr>
          <w:rStyle w:val="FootnoteReference"/>
          <w:rFonts w:asciiTheme="majorHAnsi" w:hAnsiTheme="majorHAnsi"/>
          <w:sz w:val="16"/>
          <w:szCs w:val="16"/>
        </w:rPr>
        <w:footnoteRef/>
      </w:r>
      <w:r w:rsidRPr="00FD5AD9">
        <w:rPr>
          <w:rFonts w:asciiTheme="majorHAnsi" w:hAnsiTheme="majorHAnsi"/>
          <w:sz w:val="16"/>
          <w:szCs w:val="16"/>
          <w:lang w:val="es-ES"/>
        </w:rPr>
        <w:t xml:space="preserve"> Conforme a lo dispuesto en el artículo 17.2.a del Reglamento de la Comisión, el Comisionado Edgar Stuardo Ralón Orellana, de nacionalidad guatemalteca, no participó en el debate ni en la decisión del presente asunto.</w:t>
      </w:r>
    </w:p>
  </w:footnote>
  <w:footnote w:id="4">
    <w:p w14:paraId="5680E637" w14:textId="77777777" w:rsidR="00383298" w:rsidRPr="00FD5AD9" w:rsidRDefault="00383298" w:rsidP="008F6478">
      <w:pPr>
        <w:pStyle w:val="FootnoteText"/>
        <w:ind w:firstLine="720"/>
        <w:jc w:val="both"/>
        <w:rPr>
          <w:rFonts w:ascii="Cambria" w:hAnsi="Cambria"/>
          <w:sz w:val="16"/>
          <w:szCs w:val="16"/>
          <w:lang w:val="es-CO"/>
        </w:rPr>
      </w:pPr>
      <w:r w:rsidRPr="00FD5AD9">
        <w:rPr>
          <w:rStyle w:val="FootnoteReference"/>
          <w:rFonts w:ascii="Cambria" w:hAnsi="Cambria"/>
          <w:sz w:val="16"/>
          <w:szCs w:val="16"/>
        </w:rPr>
        <w:footnoteRef/>
      </w:r>
      <w:r w:rsidRPr="00FD5AD9">
        <w:rPr>
          <w:rFonts w:ascii="Cambria" w:hAnsi="Cambria"/>
          <w:sz w:val="16"/>
          <w:szCs w:val="16"/>
          <w:lang w:val="es-CO"/>
        </w:rPr>
        <w:t xml:space="preserve"> En adelante, “la Convención Americana” o “la Convención”.</w:t>
      </w:r>
    </w:p>
  </w:footnote>
  <w:footnote w:id="5">
    <w:p w14:paraId="04532243" w14:textId="5D7E117A" w:rsidR="008F6478" w:rsidRPr="00FD5AD9" w:rsidRDefault="008F6478" w:rsidP="008F6478">
      <w:pPr>
        <w:pStyle w:val="FootnoteText"/>
        <w:ind w:firstLine="709"/>
        <w:jc w:val="both"/>
        <w:rPr>
          <w:lang w:val="es-ES"/>
        </w:rPr>
      </w:pPr>
      <w:r w:rsidRPr="00FD5AD9">
        <w:rPr>
          <w:rStyle w:val="FootnoteReference"/>
          <w:rFonts w:ascii="Cambria" w:hAnsi="Cambria"/>
          <w:sz w:val="16"/>
          <w:szCs w:val="16"/>
        </w:rPr>
        <w:footnoteRef/>
      </w:r>
      <w:r w:rsidRPr="00FD5AD9">
        <w:rPr>
          <w:rFonts w:ascii="Cambria" w:hAnsi="Cambria"/>
          <w:sz w:val="16"/>
          <w:szCs w:val="16"/>
          <w:lang w:val="es-ES"/>
        </w:rPr>
        <w:t xml:space="preserve"> La parte peticionaria también alega que se violó la </w:t>
      </w:r>
      <w:r w:rsidRPr="00FD5AD9">
        <w:rPr>
          <w:rFonts w:ascii="Cambria" w:hAnsi="Cambria"/>
          <w:sz w:val="16"/>
          <w:szCs w:val="16"/>
          <w:lang w:val="es-ES_tradnl"/>
        </w:rPr>
        <w:t>libre determinación, derechos colectivos de los pueblos indígenas, a pertenecer a pueblos indígenas, a la identidad cultural, a la espiritualidad indígena, a la salud, protección al medio ambiente sano, asociación, reunión, libertad de expresión y pensamiento, autonomía y autogobierno, a tierras, territorios y recursos, al desarrollo, a la paz, a la seguridad y protección, a recursos efectivos e idóneos.</w:t>
      </w:r>
      <w:r w:rsidRPr="00FD5AD9">
        <w:rPr>
          <w:lang w:val="es-ES_tradnl"/>
        </w:rPr>
        <w:t xml:space="preserve"> </w:t>
      </w:r>
    </w:p>
  </w:footnote>
  <w:footnote w:id="6">
    <w:p w14:paraId="7587B90C" w14:textId="1FAB5D45" w:rsidR="008F6478" w:rsidRPr="00FD5AD9" w:rsidRDefault="008F6478" w:rsidP="008F6478">
      <w:pPr>
        <w:pStyle w:val="FootnoteText"/>
        <w:ind w:firstLine="709"/>
        <w:jc w:val="both"/>
        <w:rPr>
          <w:rFonts w:ascii="Cambria" w:hAnsi="Cambria"/>
          <w:sz w:val="16"/>
          <w:szCs w:val="16"/>
          <w:lang w:val="es-ES"/>
        </w:rPr>
      </w:pPr>
      <w:r w:rsidRPr="00FD5AD9">
        <w:rPr>
          <w:rStyle w:val="FootnoteReference"/>
          <w:rFonts w:ascii="Cambria" w:hAnsi="Cambria"/>
          <w:sz w:val="16"/>
          <w:szCs w:val="16"/>
        </w:rPr>
        <w:footnoteRef/>
      </w:r>
      <w:r w:rsidRPr="00FD5AD9">
        <w:rPr>
          <w:rFonts w:ascii="Cambria" w:hAnsi="Cambria"/>
          <w:sz w:val="16"/>
          <w:szCs w:val="16"/>
          <w:lang w:val="es-ES"/>
        </w:rPr>
        <w:t xml:space="preserve"> </w:t>
      </w:r>
      <w:r w:rsidRPr="00FD5AD9">
        <w:rPr>
          <w:rFonts w:ascii="Cambria" w:hAnsi="Cambria"/>
          <w:bCs/>
          <w:sz w:val="16"/>
          <w:szCs w:val="16"/>
          <w:lang w:val="es-ES_tradnl"/>
        </w:rPr>
        <w:t>Derecho de consulta de los pueblos indígenas de conformidad con el Convenio 169 de la Organización Internacional del Trabajo (en adelante el “Convenio 169 de la OIT”).</w:t>
      </w:r>
    </w:p>
  </w:footnote>
  <w:footnote w:id="7">
    <w:p w14:paraId="1AFEF3B0" w14:textId="269FCD1B" w:rsidR="008E3BFE" w:rsidRPr="00FD5AD9" w:rsidRDefault="008E3BFE" w:rsidP="00E96261">
      <w:pPr>
        <w:pStyle w:val="FootnoteText"/>
        <w:ind w:firstLine="720"/>
        <w:jc w:val="both"/>
        <w:rPr>
          <w:rFonts w:asciiTheme="majorHAnsi" w:hAnsiTheme="majorHAnsi"/>
          <w:sz w:val="16"/>
          <w:szCs w:val="16"/>
          <w:lang w:val="es-ES"/>
        </w:rPr>
      </w:pPr>
      <w:r w:rsidRPr="00FD5AD9">
        <w:rPr>
          <w:rStyle w:val="FootnoteReference"/>
          <w:rFonts w:asciiTheme="majorHAnsi" w:hAnsiTheme="majorHAnsi"/>
          <w:sz w:val="16"/>
          <w:szCs w:val="16"/>
        </w:rPr>
        <w:footnoteRef/>
      </w:r>
      <w:r w:rsidRPr="00FD5AD9">
        <w:rPr>
          <w:rFonts w:asciiTheme="majorHAnsi" w:hAnsiTheme="majorHAnsi"/>
          <w:sz w:val="16"/>
          <w:szCs w:val="16"/>
          <w:lang w:val="es-ES"/>
        </w:rPr>
        <w:t xml:space="preserve"> Las observaciones de cada parte fueron debidamente trasladadas a la parte contraria.</w:t>
      </w:r>
      <w:r w:rsidR="009A56CE" w:rsidRPr="00FD5AD9">
        <w:rPr>
          <w:rFonts w:asciiTheme="majorHAnsi" w:hAnsiTheme="majorHAnsi"/>
          <w:sz w:val="16"/>
          <w:szCs w:val="16"/>
          <w:lang w:val="es-ES"/>
        </w:rPr>
        <w:t xml:space="preserve"> </w:t>
      </w:r>
    </w:p>
  </w:footnote>
  <w:footnote w:id="8">
    <w:p w14:paraId="583BA8F9" w14:textId="6E0A8260" w:rsidR="00462DC8" w:rsidRPr="00FD5AD9" w:rsidRDefault="00462DC8" w:rsidP="00462DC8">
      <w:pPr>
        <w:pStyle w:val="FootnoteText"/>
        <w:ind w:firstLine="709"/>
        <w:jc w:val="both"/>
        <w:rPr>
          <w:rFonts w:ascii="Cambria" w:hAnsi="Cambria"/>
          <w:sz w:val="16"/>
          <w:szCs w:val="16"/>
          <w:lang w:val="es-ES"/>
        </w:rPr>
      </w:pPr>
      <w:r w:rsidRPr="00FD5AD9">
        <w:rPr>
          <w:rStyle w:val="FootnoteReference"/>
          <w:rFonts w:ascii="Cambria" w:hAnsi="Cambria"/>
          <w:sz w:val="16"/>
          <w:szCs w:val="16"/>
        </w:rPr>
        <w:footnoteRef/>
      </w:r>
      <w:r w:rsidRPr="00FD5AD9">
        <w:rPr>
          <w:rFonts w:ascii="Cambria" w:hAnsi="Cambria"/>
          <w:sz w:val="16"/>
          <w:szCs w:val="16"/>
          <w:lang w:val="es-ES"/>
        </w:rPr>
        <w:t xml:space="preserve"> El Estado pidió prórroga el 8 de septiembre de 2022 en virtud de la complejidad de la petición.</w:t>
      </w:r>
    </w:p>
  </w:footnote>
  <w:footnote w:id="9">
    <w:p w14:paraId="6E91D2BC" w14:textId="1C9B658F" w:rsidR="00BE1CD1" w:rsidRPr="00FD5AD9" w:rsidRDefault="00BE1CD1" w:rsidP="00BE1CD1">
      <w:pPr>
        <w:pStyle w:val="FootnoteText"/>
        <w:ind w:firstLine="709"/>
        <w:jc w:val="both"/>
        <w:rPr>
          <w:rFonts w:ascii="Cambria" w:hAnsi="Cambria"/>
          <w:sz w:val="16"/>
          <w:szCs w:val="16"/>
          <w:lang w:val="es-ES"/>
        </w:rPr>
      </w:pPr>
      <w:r w:rsidRPr="00FD5AD9">
        <w:rPr>
          <w:rStyle w:val="FootnoteReference"/>
          <w:rFonts w:ascii="Cambria" w:hAnsi="Cambria"/>
          <w:sz w:val="16"/>
          <w:szCs w:val="16"/>
        </w:rPr>
        <w:footnoteRef/>
      </w:r>
      <w:r w:rsidRPr="00FD5AD9">
        <w:rPr>
          <w:rFonts w:ascii="Cambria" w:hAnsi="Cambria"/>
          <w:sz w:val="16"/>
          <w:szCs w:val="16"/>
          <w:lang w:val="es-ES"/>
        </w:rPr>
        <w:t xml:space="preserve"> </w:t>
      </w:r>
      <w:r w:rsidRPr="00FD5AD9">
        <w:rPr>
          <w:rFonts w:ascii="Cambria" w:hAnsi="Cambria" w:cstheme="majorHAnsi"/>
          <w:sz w:val="16"/>
          <w:szCs w:val="16"/>
          <w:lang w:val="es-ES_tradnl"/>
        </w:rPr>
        <w:t xml:space="preserve">Al no tratarse del objeto controversial en la presente petición, no se abarca en </w:t>
      </w:r>
      <w:r w:rsidR="00AC5E64" w:rsidRPr="00FD5AD9">
        <w:rPr>
          <w:rFonts w:ascii="Cambria" w:hAnsi="Cambria" w:cstheme="majorHAnsi"/>
          <w:sz w:val="16"/>
          <w:szCs w:val="16"/>
          <w:lang w:val="es-ES_tradnl"/>
        </w:rPr>
        <w:t>este</w:t>
      </w:r>
      <w:r w:rsidRPr="00FD5AD9">
        <w:rPr>
          <w:rFonts w:ascii="Cambria" w:hAnsi="Cambria" w:cstheme="majorHAnsi"/>
          <w:sz w:val="16"/>
          <w:szCs w:val="16"/>
          <w:lang w:val="es-ES_tradnl"/>
        </w:rPr>
        <w:t xml:space="preserve"> informe a detalle los pormenores de las concesiones mencionadas.</w:t>
      </w:r>
    </w:p>
  </w:footnote>
  <w:footnote w:id="10">
    <w:p w14:paraId="6B4E6E41" w14:textId="086BE17D" w:rsidR="00BE1CD1" w:rsidRPr="00FD5AD9" w:rsidRDefault="00BE1CD1" w:rsidP="00BE1CD1">
      <w:pPr>
        <w:pStyle w:val="FootnoteText"/>
        <w:ind w:firstLine="709"/>
        <w:jc w:val="both"/>
        <w:rPr>
          <w:lang w:val="es-ES_tradnl"/>
        </w:rPr>
      </w:pPr>
      <w:r w:rsidRPr="00FD5AD9">
        <w:rPr>
          <w:rStyle w:val="FootnoteReference"/>
          <w:rFonts w:ascii="Cambria" w:hAnsi="Cambria"/>
          <w:sz w:val="16"/>
          <w:szCs w:val="16"/>
        </w:rPr>
        <w:footnoteRef/>
      </w:r>
      <w:r w:rsidRPr="00FD5AD9">
        <w:rPr>
          <w:rFonts w:ascii="Cambria" w:hAnsi="Cambria"/>
          <w:sz w:val="16"/>
          <w:szCs w:val="16"/>
          <w:lang w:val="es-ES"/>
        </w:rPr>
        <w:t xml:space="preserve"> Acuerdo</w:t>
      </w:r>
      <w:r w:rsidRPr="00FD5AD9">
        <w:rPr>
          <w:rFonts w:ascii="Cambria" w:hAnsi="Cambria"/>
          <w:sz w:val="16"/>
          <w:szCs w:val="16"/>
          <w:lang w:val="es-ES_tradnl"/>
        </w:rPr>
        <w:t xml:space="preserve"> </w:t>
      </w:r>
      <w:r w:rsidRPr="00FD5AD9">
        <w:rPr>
          <w:rFonts w:ascii="Cambria" w:hAnsi="Cambria"/>
          <w:sz w:val="16"/>
          <w:szCs w:val="16"/>
          <w:lang w:val="es-ES"/>
        </w:rPr>
        <w:t>Ministerial 260-2013 emitido el 7 de agosto de 2013 por el Ministerio de Energía y</w:t>
      </w:r>
      <w:r w:rsidRPr="00FD5AD9">
        <w:rPr>
          <w:rFonts w:ascii="Cambria" w:hAnsi="Cambria"/>
          <w:sz w:val="16"/>
          <w:szCs w:val="16"/>
          <w:lang w:val="es-ES_tradnl"/>
        </w:rPr>
        <w:t xml:space="preserve"> </w:t>
      </w:r>
      <w:r w:rsidRPr="00FD5AD9">
        <w:rPr>
          <w:rFonts w:ascii="Cambria" w:hAnsi="Cambria"/>
          <w:sz w:val="16"/>
          <w:szCs w:val="16"/>
          <w:lang w:val="es-ES"/>
        </w:rPr>
        <w:t>Minas, por medio de</w:t>
      </w:r>
      <w:r w:rsidRPr="00FD5AD9">
        <w:rPr>
          <w:rFonts w:ascii="Cambria" w:hAnsi="Cambria"/>
          <w:sz w:val="16"/>
          <w:szCs w:val="16"/>
          <w:lang w:val="es-ES_tradnl"/>
        </w:rPr>
        <w:t>l</w:t>
      </w:r>
      <w:r w:rsidRPr="00FD5AD9">
        <w:rPr>
          <w:rFonts w:ascii="Cambria" w:hAnsi="Cambria"/>
          <w:sz w:val="16"/>
          <w:szCs w:val="16"/>
          <w:lang w:val="es-ES"/>
        </w:rPr>
        <w:t xml:space="preserve"> cual se declara procedente autorizar en definitiva a la entidad Oxec, para instalación de la Central Generadora</w:t>
      </w:r>
      <w:r w:rsidRPr="00FD5AD9">
        <w:rPr>
          <w:rFonts w:ascii="Cambria" w:hAnsi="Cambria"/>
          <w:sz w:val="16"/>
          <w:szCs w:val="16"/>
          <w:lang w:val="es-ES_tradnl"/>
        </w:rPr>
        <w:t xml:space="preserve"> </w:t>
      </w:r>
      <w:r w:rsidRPr="00FD5AD9">
        <w:rPr>
          <w:rFonts w:ascii="Cambria" w:hAnsi="Cambria"/>
          <w:sz w:val="16"/>
          <w:szCs w:val="16"/>
          <w:lang w:val="es-ES"/>
        </w:rPr>
        <w:t>Hidroeléctrica.</w:t>
      </w:r>
    </w:p>
  </w:footnote>
  <w:footnote w:id="11">
    <w:p w14:paraId="1E8597BC" w14:textId="5745139E" w:rsidR="00AC5E64" w:rsidRPr="00FD5AD9" w:rsidRDefault="00AC5E64" w:rsidP="00AC5E64">
      <w:pPr>
        <w:pStyle w:val="FootnoteText"/>
        <w:ind w:firstLine="709"/>
        <w:jc w:val="both"/>
        <w:rPr>
          <w:rFonts w:ascii="Cambria" w:hAnsi="Cambria"/>
          <w:sz w:val="16"/>
          <w:szCs w:val="16"/>
          <w:lang w:val="es-ES_tradnl"/>
        </w:rPr>
      </w:pPr>
      <w:r w:rsidRPr="00FD5AD9">
        <w:rPr>
          <w:rStyle w:val="FootnoteReference"/>
          <w:rFonts w:ascii="Cambria" w:hAnsi="Cambria"/>
          <w:sz w:val="16"/>
          <w:szCs w:val="16"/>
        </w:rPr>
        <w:footnoteRef/>
      </w:r>
      <w:r w:rsidRPr="00FD5AD9">
        <w:rPr>
          <w:rFonts w:ascii="Cambria" w:hAnsi="Cambria"/>
          <w:sz w:val="16"/>
          <w:szCs w:val="16"/>
          <w:lang w:val="es-ES"/>
        </w:rPr>
        <w:t xml:space="preserve"> </w:t>
      </w:r>
      <w:r w:rsidRPr="00FD5AD9">
        <w:rPr>
          <w:rFonts w:ascii="Cambria" w:hAnsi="Cambria" w:cstheme="majorHAnsi"/>
          <w:sz w:val="16"/>
          <w:szCs w:val="16"/>
          <w:lang w:val="es-ES_tradnl"/>
        </w:rPr>
        <w:t>Sobre el proceso de consulta ordenado por la Corte de Constitucionalidad, se recopilaron los elementos mayoritariamente de lo señalado por el Estado, puesto que el peticionario no presentó los pormenores de la consulta.</w:t>
      </w:r>
    </w:p>
  </w:footnote>
  <w:footnote w:id="12">
    <w:p w14:paraId="3AE8AC79" w14:textId="77777777" w:rsidR="00BE1CD1" w:rsidRPr="00FD5AD9" w:rsidRDefault="00BE1CD1" w:rsidP="00EA250A">
      <w:pPr>
        <w:pStyle w:val="FootnoteText"/>
        <w:ind w:firstLine="709"/>
        <w:jc w:val="both"/>
        <w:rPr>
          <w:rFonts w:ascii="Cambria" w:hAnsi="Cambria"/>
          <w:sz w:val="16"/>
          <w:szCs w:val="16"/>
          <w:lang w:val="es-ES_tradnl"/>
        </w:rPr>
      </w:pPr>
      <w:r w:rsidRPr="00FD5AD9">
        <w:rPr>
          <w:rStyle w:val="FootnoteReference"/>
          <w:rFonts w:ascii="Cambria" w:hAnsi="Cambria"/>
          <w:sz w:val="16"/>
          <w:szCs w:val="16"/>
        </w:rPr>
        <w:footnoteRef/>
      </w:r>
      <w:r w:rsidRPr="00FD5AD9">
        <w:rPr>
          <w:rFonts w:ascii="Cambria" w:hAnsi="Cambria"/>
          <w:sz w:val="16"/>
          <w:szCs w:val="16"/>
          <w:lang w:val="es-ES"/>
        </w:rPr>
        <w:t xml:space="preserve"> </w:t>
      </w:r>
      <w:r w:rsidRPr="00FD5AD9">
        <w:rPr>
          <w:rFonts w:ascii="Cambria" w:hAnsi="Cambria"/>
          <w:sz w:val="16"/>
          <w:szCs w:val="16"/>
          <w:lang w:val="es-ES_tradnl"/>
        </w:rPr>
        <w:t xml:space="preserve">Señala el Estado: </w:t>
      </w:r>
      <w:r w:rsidRPr="00FD5AD9">
        <w:rPr>
          <w:rFonts w:ascii="Cambria" w:hAnsi="Cambria"/>
          <w:i/>
          <w:iCs/>
          <w:sz w:val="16"/>
          <w:szCs w:val="16"/>
          <w:lang w:val="es-ES_tradnl"/>
        </w:rPr>
        <w:t>“[E]l proceso de consulta se realizó de conformidad con el Convenio 169 de la Organización Internacional del Trabajo -OIT- a las comunidades de la zona de influencia de los proyectos hidroeléctricos Oxec y Oxec II, los cuales se ubican en el municipio de Santa María Cahabón, siendo las siguientes: 1) Aldea Pequixul; 2) Caserio La Escopeta; 3) Caserío Sacta Sector; 4) Aldea Chacalte; 5) Caserío Sekatalkab; 6)Aldea Sacta; 7) Aldea Sepoc; 8) Aldea Seasir; 9) Aldea Salac ; 10) Caserío Pulisibic; y 11) Caserío Tres Cruces El Mirador”.</w:t>
      </w:r>
      <w:r w:rsidRPr="00FD5AD9">
        <w:rPr>
          <w:rFonts w:ascii="Cambria" w:hAnsi="Cambria"/>
          <w:sz w:val="16"/>
          <w:szCs w:val="16"/>
          <w:lang w:val="es-ES_tradnl"/>
        </w:rPr>
        <w:t xml:space="preserve"> </w:t>
      </w:r>
    </w:p>
  </w:footnote>
  <w:footnote w:id="13">
    <w:p w14:paraId="0B2D775A" w14:textId="1229439F" w:rsidR="00BE1CD1" w:rsidRPr="00FD5AD9" w:rsidRDefault="00BE1CD1" w:rsidP="00EA250A">
      <w:pPr>
        <w:pStyle w:val="FootnoteText"/>
        <w:ind w:firstLine="709"/>
        <w:jc w:val="both"/>
        <w:rPr>
          <w:lang w:val="es-ES_tradnl"/>
        </w:rPr>
      </w:pPr>
      <w:r w:rsidRPr="00FD5AD9">
        <w:rPr>
          <w:rStyle w:val="FootnoteReference"/>
          <w:rFonts w:ascii="Cambria" w:hAnsi="Cambria"/>
          <w:sz w:val="16"/>
          <w:szCs w:val="16"/>
        </w:rPr>
        <w:footnoteRef/>
      </w:r>
      <w:r w:rsidRPr="00FD5AD9">
        <w:rPr>
          <w:rFonts w:ascii="Cambria" w:hAnsi="Cambria"/>
          <w:sz w:val="16"/>
          <w:szCs w:val="16"/>
          <w:lang w:val="es-ES"/>
        </w:rPr>
        <w:t xml:space="preserve"> </w:t>
      </w:r>
      <w:r w:rsidRPr="00FD5AD9">
        <w:rPr>
          <w:rFonts w:ascii="Cambria" w:hAnsi="Cambria"/>
          <w:sz w:val="16"/>
          <w:szCs w:val="16"/>
          <w:lang w:val="es-ES_tradnl"/>
        </w:rPr>
        <w:t>Informa el Estado que en la</w:t>
      </w:r>
      <w:r w:rsidRPr="00FD5AD9">
        <w:rPr>
          <w:rFonts w:ascii="Cambria" w:hAnsi="Cambria"/>
          <w:sz w:val="16"/>
          <w:szCs w:val="16"/>
          <w:lang w:val="es-ES"/>
        </w:rPr>
        <w:t xml:space="preserve"> integración de </w:t>
      </w:r>
      <w:r w:rsidRPr="00FD5AD9">
        <w:rPr>
          <w:rFonts w:ascii="Cambria" w:hAnsi="Cambria"/>
          <w:sz w:val="16"/>
          <w:szCs w:val="16"/>
          <w:lang w:val="es-ES_tradnl"/>
        </w:rPr>
        <w:t>la</w:t>
      </w:r>
      <w:r w:rsidRPr="00FD5AD9">
        <w:rPr>
          <w:rFonts w:ascii="Cambria" w:hAnsi="Cambria"/>
          <w:sz w:val="16"/>
          <w:szCs w:val="16"/>
          <w:lang w:val="es-ES"/>
        </w:rPr>
        <w:t xml:space="preserve"> mesa de </w:t>
      </w:r>
      <w:r w:rsidRPr="00FD5AD9">
        <w:rPr>
          <w:rFonts w:ascii="Cambria" w:hAnsi="Cambria"/>
          <w:sz w:val="16"/>
          <w:szCs w:val="16"/>
          <w:lang w:val="es-ES_tradnl"/>
        </w:rPr>
        <w:t>p</w:t>
      </w:r>
      <w:r w:rsidRPr="00FD5AD9">
        <w:rPr>
          <w:rFonts w:ascii="Cambria" w:hAnsi="Cambria"/>
          <w:sz w:val="16"/>
          <w:szCs w:val="16"/>
          <w:lang w:val="es-ES"/>
        </w:rPr>
        <w:t>re</w:t>
      </w:r>
      <w:r w:rsidRPr="00FD5AD9">
        <w:rPr>
          <w:rFonts w:ascii="Cambria" w:hAnsi="Cambria"/>
          <w:sz w:val="16"/>
          <w:szCs w:val="16"/>
          <w:lang w:val="es-ES_tradnl"/>
        </w:rPr>
        <w:t>c</w:t>
      </w:r>
      <w:r w:rsidRPr="00FD5AD9">
        <w:rPr>
          <w:rFonts w:ascii="Cambria" w:hAnsi="Cambria"/>
          <w:sz w:val="16"/>
          <w:szCs w:val="16"/>
          <w:lang w:val="es-ES"/>
        </w:rPr>
        <w:t>onsulta se requirió de manera oficial el nombramiento</w:t>
      </w:r>
      <w:r w:rsidR="00271F4E" w:rsidRPr="00FD5AD9">
        <w:rPr>
          <w:rFonts w:ascii="Cambria" w:hAnsi="Cambria"/>
          <w:sz w:val="16"/>
          <w:szCs w:val="16"/>
          <w:lang w:val="es-ES"/>
        </w:rPr>
        <w:t xml:space="preserve"> </w:t>
      </w:r>
      <w:r w:rsidRPr="00FD5AD9">
        <w:rPr>
          <w:rFonts w:ascii="Cambria" w:hAnsi="Cambria"/>
          <w:sz w:val="16"/>
          <w:szCs w:val="16"/>
          <w:lang w:val="es-ES"/>
        </w:rPr>
        <w:t>a las siguientes entidades</w:t>
      </w:r>
      <w:r w:rsidRPr="00FD5AD9">
        <w:rPr>
          <w:rFonts w:ascii="Cambria" w:hAnsi="Cambria"/>
          <w:sz w:val="16"/>
          <w:szCs w:val="16"/>
          <w:lang w:val="es-ES_tradnl"/>
        </w:rPr>
        <w:t>: “</w:t>
      </w:r>
      <w:r w:rsidRPr="00FD5AD9">
        <w:rPr>
          <w:rFonts w:ascii="Cambria" w:hAnsi="Cambria"/>
          <w:i/>
          <w:iCs/>
          <w:sz w:val="16"/>
          <w:szCs w:val="16"/>
          <w:lang w:val="es-ES"/>
        </w:rPr>
        <w:t>entidad Oxec, entidad Oxec I, al Municipalidad de Santa María Cahabón, al Consejo</w:t>
      </w:r>
      <w:r w:rsidRPr="00FD5AD9">
        <w:rPr>
          <w:rFonts w:ascii="Cambria" w:hAnsi="Cambria"/>
          <w:i/>
          <w:iCs/>
          <w:sz w:val="16"/>
          <w:szCs w:val="16"/>
          <w:lang w:val="es-ES_tradnl"/>
        </w:rPr>
        <w:t xml:space="preserve"> </w:t>
      </w:r>
      <w:r w:rsidRPr="00FD5AD9">
        <w:rPr>
          <w:rFonts w:ascii="Cambria" w:hAnsi="Cambria"/>
          <w:i/>
          <w:iCs/>
          <w:sz w:val="16"/>
          <w:szCs w:val="16"/>
          <w:lang w:val="es-ES"/>
        </w:rPr>
        <w:t>Departamental de Desarrollo del departamentode Alta Verapaz, el Ministerio de Ambiente y Recursos Naturales -MARN-, Ministerio de Cultura y Deportes -MCD-, Academia de Lenguas Mayas de Guatemala ALMG-, Procuraduría de los Derechos Humanos -PDH., Universidad de San Carlos de Guatemala -USAC- y</w:t>
      </w:r>
      <w:r w:rsidR="00271F4E" w:rsidRPr="00FD5AD9">
        <w:rPr>
          <w:rFonts w:ascii="Cambria" w:hAnsi="Cambria"/>
          <w:i/>
          <w:iCs/>
          <w:sz w:val="16"/>
          <w:szCs w:val="16"/>
          <w:lang w:val="es-ES"/>
        </w:rPr>
        <w:t xml:space="preserve"> </w:t>
      </w:r>
      <w:r w:rsidRPr="00FD5AD9">
        <w:rPr>
          <w:rFonts w:ascii="Cambria" w:hAnsi="Cambria"/>
          <w:i/>
          <w:iCs/>
          <w:sz w:val="16"/>
          <w:szCs w:val="16"/>
          <w:lang w:val="es-ES"/>
        </w:rPr>
        <w:t>el Consejo de Enseñanza Privada Superior -CEPS</w:t>
      </w:r>
      <w:r w:rsidR="00271F4E" w:rsidRPr="00FD5AD9">
        <w:rPr>
          <w:rFonts w:ascii="Cambria" w:hAnsi="Cambria"/>
          <w:i/>
          <w:iCs/>
          <w:sz w:val="16"/>
          <w:szCs w:val="16"/>
          <w:lang w:val="es-ES"/>
        </w:rPr>
        <w:t>-</w:t>
      </w:r>
      <w:r w:rsidRPr="00FD5AD9">
        <w:rPr>
          <w:rFonts w:ascii="Cambria" w:hAnsi="Cambria"/>
          <w:i/>
          <w:iCs/>
          <w:sz w:val="16"/>
          <w:szCs w:val="16"/>
          <w:lang w:val="es-ES_tradnl"/>
        </w:rPr>
        <w:t>”.</w:t>
      </w:r>
    </w:p>
  </w:footnote>
  <w:footnote w:id="14">
    <w:p w14:paraId="5AC57055" w14:textId="35086BB7" w:rsidR="005819CE" w:rsidRPr="00FD5AD9" w:rsidRDefault="005819CE" w:rsidP="005819CE">
      <w:pPr>
        <w:pStyle w:val="FootnoteText"/>
        <w:ind w:firstLine="709"/>
        <w:jc w:val="both"/>
        <w:rPr>
          <w:lang w:val="es-ES_tradnl"/>
        </w:rPr>
      </w:pPr>
      <w:r w:rsidRPr="00FD5AD9">
        <w:rPr>
          <w:rStyle w:val="FootnoteReference"/>
          <w:rFonts w:ascii="Cambria" w:hAnsi="Cambria"/>
          <w:color w:val="auto"/>
          <w:sz w:val="16"/>
          <w:szCs w:val="16"/>
        </w:rPr>
        <w:footnoteRef/>
      </w:r>
      <w:r w:rsidRPr="00FD5AD9">
        <w:rPr>
          <w:rStyle w:val="FootnoteReference"/>
          <w:rFonts w:ascii="Cambria" w:hAnsi="Cambria"/>
          <w:color w:val="auto"/>
          <w:sz w:val="16"/>
          <w:szCs w:val="16"/>
          <w:lang w:val="es-ES"/>
        </w:rPr>
        <w:t xml:space="preserve"> </w:t>
      </w:r>
      <w:r w:rsidRPr="00FD5AD9">
        <w:rPr>
          <w:rFonts w:ascii="Cambria" w:hAnsi="Cambria"/>
          <w:color w:val="auto"/>
          <w:sz w:val="16"/>
          <w:szCs w:val="16"/>
          <w:lang w:val="es-ES"/>
        </w:rPr>
        <w:t xml:space="preserve">Encontrado en Centro de Información sobre Empresas y Derechos Humanos, </w:t>
      </w:r>
      <w:r w:rsidRPr="00FD5AD9">
        <w:rPr>
          <w:rFonts w:ascii="Cambria" w:hAnsi="Cambria"/>
          <w:i/>
          <w:iCs/>
          <w:color w:val="auto"/>
          <w:sz w:val="16"/>
          <w:szCs w:val="16"/>
          <w:lang w:val="es-ES"/>
        </w:rPr>
        <w:t>"Guatemala: Defensor Bernardo Caal Xól continúa detenido tras 1245 días, por demanda de empresa Oxec; Naciones Unidas se pronuncia</w:t>
      </w:r>
      <w:r w:rsidRPr="00FD5AD9">
        <w:rPr>
          <w:rFonts w:ascii="Cambria" w:hAnsi="Cambria"/>
          <w:color w:val="auto"/>
          <w:sz w:val="16"/>
          <w:szCs w:val="16"/>
          <w:lang w:val="es-ES"/>
        </w:rPr>
        <w:t>", 29 de julio de 2021, en www.business-humanrights.org/es/últimas-noticias/guatemala-defensor-bernardo-caal-xól-continúa-detenido-tras-1245-días-por-demanda-de-empresa-oxec-naciones-unidas-se-pronuncia/ revisado el 7 de agosto de 2023.</w:t>
      </w:r>
    </w:p>
  </w:footnote>
  <w:footnote w:id="15">
    <w:p w14:paraId="43F539CE" w14:textId="306C6C82" w:rsidR="00E81728" w:rsidRPr="00FD5AD9" w:rsidRDefault="00E81728" w:rsidP="00E81728">
      <w:pPr>
        <w:pStyle w:val="FootnoteText"/>
        <w:ind w:firstLine="709"/>
        <w:jc w:val="both"/>
        <w:rPr>
          <w:lang w:val="es-ES_tradnl"/>
        </w:rPr>
      </w:pPr>
      <w:r w:rsidRPr="00FD5AD9">
        <w:rPr>
          <w:rStyle w:val="FootnoteReference"/>
          <w:rFonts w:ascii="Cambria" w:hAnsi="Cambria"/>
          <w:color w:val="auto"/>
          <w:sz w:val="16"/>
          <w:szCs w:val="16"/>
        </w:rPr>
        <w:footnoteRef/>
      </w:r>
      <w:r w:rsidRPr="00FD5AD9">
        <w:rPr>
          <w:rStyle w:val="FootnoteReference"/>
          <w:rFonts w:ascii="Cambria" w:hAnsi="Cambria"/>
          <w:color w:val="auto"/>
          <w:sz w:val="16"/>
          <w:szCs w:val="16"/>
          <w:lang w:val="es-ES"/>
        </w:rPr>
        <w:t xml:space="preserve"> </w:t>
      </w:r>
      <w:r w:rsidRPr="00FD5AD9">
        <w:rPr>
          <w:rFonts w:ascii="Cambria" w:hAnsi="Cambria"/>
          <w:color w:val="auto"/>
          <w:sz w:val="16"/>
          <w:szCs w:val="16"/>
          <w:lang w:val="es-ES"/>
        </w:rPr>
        <w:t>Encontrado en: Amnistía Internacional, “</w:t>
      </w:r>
      <w:r w:rsidRPr="00FD5AD9">
        <w:rPr>
          <w:rFonts w:ascii="Cambria" w:hAnsi="Cambria"/>
          <w:i/>
          <w:iCs/>
          <w:color w:val="auto"/>
          <w:sz w:val="16"/>
          <w:szCs w:val="16"/>
          <w:lang w:val="es-ES"/>
        </w:rPr>
        <w:t>Guatemala: Amnistía Internacional declara a Bernardo Caal Xol preso de conciencia”,</w:t>
      </w:r>
      <w:r w:rsidRPr="00FD5AD9">
        <w:rPr>
          <w:rFonts w:ascii="Cambria" w:hAnsi="Cambria"/>
          <w:color w:val="auto"/>
          <w:sz w:val="16"/>
          <w:szCs w:val="16"/>
          <w:lang w:val="es-ES"/>
        </w:rPr>
        <w:t xml:space="preserve"> 16 de julio de 2020, en: www.amnesty.org/es/latest/news/2020/07/guatemala-bernardo-caal-xol-preso-conciencia/ revisado el 7 de agosto de 2023</w:t>
      </w:r>
    </w:p>
  </w:footnote>
  <w:footnote w:id="16">
    <w:p w14:paraId="2BE0ABBF" w14:textId="0D4DF543" w:rsidR="00347CEE" w:rsidRPr="00FD5AD9" w:rsidRDefault="00347CEE" w:rsidP="00E81728">
      <w:pPr>
        <w:pStyle w:val="FootnoteText"/>
        <w:ind w:firstLine="709"/>
        <w:jc w:val="both"/>
        <w:rPr>
          <w:lang w:val="es-ES"/>
        </w:rPr>
      </w:pPr>
      <w:r w:rsidRPr="00FD5AD9">
        <w:rPr>
          <w:rStyle w:val="FootnoteReference"/>
          <w:rFonts w:ascii="Cambria" w:hAnsi="Cambria"/>
          <w:color w:val="auto"/>
          <w:sz w:val="16"/>
          <w:szCs w:val="16"/>
        </w:rPr>
        <w:footnoteRef/>
      </w:r>
      <w:r w:rsidRPr="00FD5AD9">
        <w:rPr>
          <w:rStyle w:val="FootnoteReference"/>
          <w:rFonts w:ascii="Cambria" w:hAnsi="Cambria"/>
          <w:color w:val="auto"/>
          <w:sz w:val="16"/>
          <w:szCs w:val="16"/>
          <w:lang w:val="es-ES"/>
        </w:rPr>
        <w:t xml:space="preserve"> </w:t>
      </w:r>
      <w:r w:rsidR="00E81728" w:rsidRPr="00FD5AD9">
        <w:rPr>
          <w:rFonts w:ascii="Cambria" w:hAnsi="Cambria"/>
          <w:color w:val="auto"/>
          <w:sz w:val="16"/>
          <w:szCs w:val="16"/>
          <w:lang w:val="es-ES"/>
        </w:rPr>
        <w:t xml:space="preserve">Encontrado en Amnistía Internacional. </w:t>
      </w:r>
      <w:r w:rsidR="00E81728" w:rsidRPr="00FD5AD9">
        <w:rPr>
          <w:rFonts w:ascii="Cambria" w:hAnsi="Cambria"/>
          <w:i/>
          <w:iCs/>
          <w:color w:val="auto"/>
          <w:sz w:val="16"/>
          <w:szCs w:val="16"/>
          <w:lang w:val="es-ES"/>
        </w:rPr>
        <w:t xml:space="preserve">“Guatemala: Bernardo Caal Xol nunca debió pasar un día en prisión”. </w:t>
      </w:r>
      <w:r w:rsidR="00E81728" w:rsidRPr="00FD5AD9">
        <w:rPr>
          <w:rFonts w:ascii="Cambria" w:hAnsi="Cambria"/>
          <w:color w:val="auto"/>
          <w:sz w:val="16"/>
          <w:szCs w:val="16"/>
          <w:lang w:val="es-ES"/>
        </w:rPr>
        <w:t>25 de Marzo de 2022, en www.amnesty.org/es/latest/news/2022/03/guatemala-bernardo-caal-xol-should-never-have-spent-a-day-in-prison/ revisado el 7 de agosto de 2023.</w:t>
      </w:r>
    </w:p>
  </w:footnote>
  <w:footnote w:id="17">
    <w:p w14:paraId="37AEF786" w14:textId="40CF72EF" w:rsidR="00E81728" w:rsidRPr="00FD5AD9" w:rsidRDefault="00E81728" w:rsidP="00E81728">
      <w:pPr>
        <w:pStyle w:val="FootnoteText"/>
        <w:ind w:firstLine="709"/>
        <w:rPr>
          <w:lang w:val="es-ES"/>
        </w:rPr>
      </w:pPr>
      <w:r w:rsidRPr="00FD5AD9">
        <w:rPr>
          <w:rStyle w:val="FootnoteReference"/>
          <w:rFonts w:ascii="Cambria" w:hAnsi="Cambria"/>
          <w:color w:val="auto"/>
          <w:sz w:val="16"/>
          <w:szCs w:val="16"/>
        </w:rPr>
        <w:footnoteRef/>
      </w:r>
      <w:r w:rsidRPr="00FD5AD9">
        <w:rPr>
          <w:rStyle w:val="FootnoteReference"/>
          <w:rFonts w:ascii="Cambria" w:hAnsi="Cambria"/>
          <w:color w:val="auto"/>
          <w:sz w:val="16"/>
          <w:szCs w:val="16"/>
          <w:lang w:val="es-ES"/>
        </w:rPr>
        <w:t xml:space="preserve"> </w:t>
      </w:r>
      <w:r w:rsidR="00A85053" w:rsidRPr="006B12CF">
        <w:rPr>
          <w:rFonts w:ascii="Cambria" w:hAnsi="Cambria"/>
          <w:i/>
          <w:iCs/>
          <w:sz w:val="16"/>
          <w:szCs w:val="16"/>
          <w:lang w:val="es-ES"/>
        </w:rPr>
        <w:t>Íbid.</w:t>
      </w:r>
    </w:p>
  </w:footnote>
  <w:footnote w:id="18">
    <w:p w14:paraId="73E025CA" w14:textId="16FA7B97" w:rsidR="00250690" w:rsidRPr="00FD5AD9" w:rsidRDefault="00250690" w:rsidP="00A369CF">
      <w:pPr>
        <w:pStyle w:val="NormalWeb"/>
        <w:spacing w:before="0" w:beforeAutospacing="0" w:after="0" w:afterAutospacing="0"/>
        <w:ind w:firstLine="709"/>
        <w:jc w:val="both"/>
        <w:rPr>
          <w:rFonts w:asciiTheme="majorHAnsi" w:hAnsiTheme="majorHAnsi"/>
          <w:sz w:val="16"/>
          <w:szCs w:val="16"/>
          <w:lang w:val="es-ES_tradnl"/>
        </w:rPr>
      </w:pPr>
      <w:r w:rsidRPr="00FD5AD9">
        <w:rPr>
          <w:rStyle w:val="FootnoteReference"/>
          <w:rFonts w:asciiTheme="majorHAnsi" w:hAnsiTheme="majorHAnsi"/>
          <w:sz w:val="16"/>
          <w:szCs w:val="16"/>
        </w:rPr>
        <w:footnoteRef/>
      </w:r>
      <w:r w:rsidRPr="00FD5AD9">
        <w:rPr>
          <w:rFonts w:asciiTheme="majorHAnsi" w:hAnsiTheme="majorHAnsi"/>
          <w:sz w:val="16"/>
          <w:szCs w:val="16"/>
          <w:lang w:val="es-ES"/>
        </w:rPr>
        <w:t xml:space="preserve"> </w:t>
      </w:r>
      <w:r w:rsidRPr="00FD5AD9">
        <w:rPr>
          <w:rFonts w:asciiTheme="majorHAnsi" w:hAnsiTheme="majorHAnsi"/>
          <w:sz w:val="16"/>
          <w:szCs w:val="16"/>
          <w:lang w:val="es-ES_tradnl"/>
        </w:rPr>
        <w:t xml:space="preserve">Los peticionarios presentaron en sus anexos un informe de la Organización de las Naciones Unidas, emitido por la Relatora Especial sobre los derechos de los pueblos indígenas, sobre su visita a Guatemala, en donde se señala: </w:t>
      </w:r>
      <w:r w:rsidR="00847101" w:rsidRPr="00FD5AD9">
        <w:rPr>
          <w:rFonts w:asciiTheme="majorHAnsi" w:hAnsiTheme="majorHAnsi"/>
          <w:i/>
          <w:iCs/>
          <w:sz w:val="16"/>
          <w:szCs w:val="16"/>
          <w:lang w:val="es-ES_tradnl"/>
        </w:rPr>
        <w:t>“</w:t>
      </w:r>
      <w:r w:rsidR="00847101" w:rsidRPr="00FD5AD9">
        <w:rPr>
          <w:rFonts w:asciiTheme="majorHAnsi" w:hAnsiTheme="majorHAnsi"/>
          <w:i/>
          <w:iCs/>
          <w:sz w:val="16"/>
          <w:szCs w:val="16"/>
          <w:lang w:val="es-ES"/>
        </w:rPr>
        <w:t xml:space="preserve">En el Centro Preventivo de Cobán (Alta Verapaz) la Relatora Especial visitó a varios representantes indígenas encarcelados, entre ellos </w:t>
      </w:r>
      <w:r w:rsidR="00847101" w:rsidRPr="00FD5AD9">
        <w:rPr>
          <w:rFonts w:asciiTheme="majorHAnsi" w:hAnsiTheme="majorHAnsi"/>
          <w:i/>
          <w:iCs/>
          <w:sz w:val="16"/>
          <w:szCs w:val="16"/>
          <w:lang w:val="es-ES_tradnl"/>
        </w:rPr>
        <w:t>[…]</w:t>
      </w:r>
      <w:r w:rsidR="00847101" w:rsidRPr="00FD5AD9">
        <w:rPr>
          <w:rFonts w:asciiTheme="majorHAnsi" w:hAnsiTheme="majorHAnsi"/>
          <w:i/>
          <w:iCs/>
          <w:sz w:val="16"/>
          <w:szCs w:val="16"/>
          <w:lang w:val="es-ES"/>
        </w:rPr>
        <w:t xml:space="preserve"> Bernardo Caal Xól </w:t>
      </w:r>
      <w:r w:rsidR="00847101" w:rsidRPr="00FD5AD9">
        <w:rPr>
          <w:rFonts w:asciiTheme="majorHAnsi" w:hAnsiTheme="majorHAnsi"/>
          <w:i/>
          <w:iCs/>
          <w:sz w:val="16"/>
          <w:szCs w:val="16"/>
          <w:lang w:val="es-ES_tradnl"/>
        </w:rPr>
        <w:t>[…] señal[ó] que tem[e] por su seguridad”</w:t>
      </w:r>
      <w:r w:rsidR="00D95A2D" w:rsidRPr="00FD5AD9">
        <w:rPr>
          <w:rFonts w:asciiTheme="majorHAnsi" w:hAnsiTheme="majorHAnsi"/>
          <w:sz w:val="16"/>
          <w:szCs w:val="16"/>
          <w:lang w:val="es-ES_tradnl"/>
        </w:rPr>
        <w:t xml:space="preserve">; </w:t>
      </w:r>
      <w:r w:rsidR="00847101" w:rsidRPr="00FD5AD9">
        <w:rPr>
          <w:rFonts w:asciiTheme="majorHAnsi" w:hAnsiTheme="majorHAnsi"/>
          <w:sz w:val="16"/>
          <w:szCs w:val="16"/>
          <w:lang w:val="es-ES_tradnl"/>
        </w:rPr>
        <w:t xml:space="preserve">y también que </w:t>
      </w:r>
      <w:r w:rsidRPr="00FD5AD9">
        <w:rPr>
          <w:rFonts w:asciiTheme="majorHAnsi" w:hAnsiTheme="majorHAnsi"/>
          <w:i/>
          <w:iCs/>
          <w:sz w:val="16"/>
          <w:szCs w:val="16"/>
          <w:lang w:val="es-ES_tradnl"/>
        </w:rPr>
        <w:t>“</w:t>
      </w:r>
      <w:r w:rsidRPr="00FD5AD9">
        <w:rPr>
          <w:rFonts w:asciiTheme="majorHAnsi" w:hAnsiTheme="majorHAnsi"/>
          <w:i/>
          <w:iCs/>
          <w:sz w:val="16"/>
          <w:szCs w:val="16"/>
          <w:lang w:val="es-ES"/>
        </w:rPr>
        <w:t>En la comunidad q’eqchí’ de Sepoc (Alta Verapaz), recibió́ denuncias sobre el impacto de las represas en el acceso al agua de las comunidades del río Cahabón y sobre la criminalización de los lideres de las comunidades por su oposición. Las autorizaciones definitivas para las hidroeléctricas Oxec I y Oxec II se concedieron sin consulta con las comunidades. En abril de 2016, la Corte de Constitucionalidad falló a favor del amparo presentado por varias comunidades</w:t>
      </w:r>
      <w:r w:rsidRPr="00FD5AD9">
        <w:rPr>
          <w:rFonts w:asciiTheme="majorHAnsi" w:hAnsiTheme="majorHAnsi"/>
          <w:i/>
          <w:iCs/>
          <w:position w:val="6"/>
          <w:sz w:val="16"/>
          <w:szCs w:val="16"/>
          <w:lang w:val="es-ES"/>
        </w:rPr>
        <w:t xml:space="preserve"> </w:t>
      </w:r>
      <w:r w:rsidRPr="00FD5AD9">
        <w:rPr>
          <w:rFonts w:asciiTheme="majorHAnsi" w:hAnsiTheme="majorHAnsi"/>
          <w:i/>
          <w:iCs/>
          <w:sz w:val="16"/>
          <w:szCs w:val="16"/>
          <w:lang w:val="es-ES"/>
        </w:rPr>
        <w:t>y ordenó al Ministerio de Energía y Minas realizar la consulta post facto, sin suspensión de las operaciones, lo que no se ajusta a los estándares internacionales</w:t>
      </w:r>
      <w:r w:rsidRPr="00FD5AD9">
        <w:rPr>
          <w:rFonts w:asciiTheme="majorHAnsi" w:hAnsiTheme="majorHAnsi"/>
          <w:i/>
          <w:iCs/>
          <w:sz w:val="16"/>
          <w:szCs w:val="16"/>
          <w:lang w:val="es-ES_tradnl"/>
        </w:rPr>
        <w:t xml:space="preserve">”. </w:t>
      </w:r>
      <w:r w:rsidRPr="00FD5AD9">
        <w:rPr>
          <w:rFonts w:asciiTheme="majorHAnsi" w:hAnsiTheme="majorHAnsi"/>
          <w:sz w:val="16"/>
          <w:szCs w:val="16"/>
          <w:lang w:val="es-ES_tradnl"/>
        </w:rPr>
        <w:t>Encontrado en Organización de las Naciones Unidas, Asamblea General, Consejo de Derechos Humanos, 39 Periodo de sesiones. “Informe de la Relatora Especial sobre los derechos de los pueblos indígenas sobre su visita a Guatemala”, A/HRC/39/17/Add.3. 10 de agosto de 2018, pág.</w:t>
      </w:r>
      <w:r w:rsidR="00847101" w:rsidRPr="00FD5AD9">
        <w:rPr>
          <w:rFonts w:asciiTheme="majorHAnsi" w:hAnsiTheme="majorHAnsi"/>
          <w:sz w:val="16"/>
          <w:szCs w:val="16"/>
          <w:lang w:val="es-ES_tradnl"/>
        </w:rPr>
        <w:t xml:space="preserve"> 11 y</w:t>
      </w:r>
      <w:r w:rsidRPr="00FD5AD9">
        <w:rPr>
          <w:rFonts w:asciiTheme="majorHAnsi" w:hAnsiTheme="majorHAnsi"/>
          <w:sz w:val="16"/>
          <w:szCs w:val="16"/>
          <w:lang w:val="es-ES_tradnl"/>
        </w:rPr>
        <w:t xml:space="preserve"> 8</w:t>
      </w:r>
      <w:r w:rsidR="00847101" w:rsidRPr="00FD5AD9">
        <w:rPr>
          <w:rFonts w:asciiTheme="majorHAnsi" w:hAnsiTheme="majorHAnsi"/>
          <w:sz w:val="16"/>
          <w:szCs w:val="16"/>
          <w:lang w:val="es-ES_tradnl"/>
        </w:rPr>
        <w:t>, respectivamente.</w:t>
      </w:r>
    </w:p>
  </w:footnote>
  <w:footnote w:id="19">
    <w:p w14:paraId="3E4DB18D" w14:textId="5B818AA5" w:rsidR="00347CEE" w:rsidRPr="00FD5AD9" w:rsidRDefault="00347CEE" w:rsidP="005A2382">
      <w:pPr>
        <w:pStyle w:val="FootnoteText"/>
        <w:ind w:firstLine="709"/>
        <w:jc w:val="both"/>
        <w:rPr>
          <w:bCs/>
          <w:lang w:val="es-ES_tradnl"/>
        </w:rPr>
      </w:pPr>
      <w:r w:rsidRPr="00FD5AD9">
        <w:rPr>
          <w:rStyle w:val="FootnoteReference"/>
          <w:rFonts w:asciiTheme="majorHAnsi" w:eastAsia="Times New Roman" w:hAnsiTheme="majorHAnsi" w:cs="Times New Roman"/>
          <w:color w:val="auto"/>
          <w:sz w:val="16"/>
          <w:szCs w:val="16"/>
          <w:bdr w:val="none" w:sz="0" w:space="0" w:color="auto"/>
          <w:lang w:eastAsia="en-US"/>
        </w:rPr>
        <w:footnoteRef/>
      </w:r>
      <w:r w:rsidRPr="00FD5AD9">
        <w:rPr>
          <w:lang w:val="es-ES"/>
        </w:rPr>
        <w:t xml:space="preserve"> </w:t>
      </w:r>
      <w:r w:rsidRPr="00FD5AD9">
        <w:rPr>
          <w:rFonts w:asciiTheme="majorHAnsi" w:eastAsia="Times New Roman" w:hAnsiTheme="majorHAnsi" w:cs="Times New Roman"/>
          <w:color w:val="auto"/>
          <w:sz w:val="16"/>
          <w:szCs w:val="16"/>
          <w:bdr w:val="none" w:sz="0" w:space="0" w:color="auto"/>
          <w:lang w:val="es-ES" w:eastAsia="en-US"/>
        </w:rPr>
        <w:t>En una carta abierta a la Fiscal General, la organización señaló:</w:t>
      </w:r>
      <w:r w:rsidRPr="00FD5AD9">
        <w:rPr>
          <w:rFonts w:asciiTheme="majorHAnsi" w:eastAsia="Times New Roman" w:hAnsiTheme="majorHAnsi" w:cs="Times New Roman"/>
          <w:i/>
          <w:iCs/>
          <w:color w:val="auto"/>
          <w:sz w:val="16"/>
          <w:szCs w:val="16"/>
          <w:bdr w:val="none" w:sz="0" w:space="0" w:color="auto"/>
          <w:lang w:val="es-ES" w:eastAsia="en-US"/>
        </w:rPr>
        <w:t xml:space="preserve"> “el proceso penal contra el señor Bernardo Caal fue acompañado de violentas campañas de estigmatización que buscaban desacreditar su trabajo y promover una visión negativa o violenta […] la investigación del Ministerio Publico carece de fundamento y se construyó sobre la mera asunción negativa de Bernardo como líder comunitario”. "Guatemala: Carta Abierta a la Fiscal General sobre el caso de Bernardo Caal</w:t>
      </w:r>
      <w:r w:rsidRPr="00FD5AD9">
        <w:rPr>
          <w:rFonts w:asciiTheme="majorHAnsi" w:eastAsia="Times New Roman" w:hAnsiTheme="majorHAnsi" w:cs="Times New Roman"/>
          <w:color w:val="auto"/>
          <w:sz w:val="16"/>
          <w:szCs w:val="16"/>
          <w:bdr w:val="none" w:sz="0" w:space="0" w:color="auto"/>
          <w:lang w:val="es-ES" w:eastAsia="en-US"/>
        </w:rPr>
        <w:t>"</w:t>
      </w:r>
      <w:r w:rsidR="00A85053">
        <w:rPr>
          <w:rFonts w:asciiTheme="majorHAnsi" w:eastAsia="Times New Roman" w:hAnsiTheme="majorHAnsi" w:cs="Times New Roman"/>
          <w:color w:val="auto"/>
          <w:sz w:val="16"/>
          <w:szCs w:val="16"/>
          <w:bdr w:val="none" w:sz="0" w:space="0" w:color="auto"/>
          <w:lang w:val="es-ES" w:eastAsia="en-US"/>
        </w:rPr>
        <w:t xml:space="preserve">. </w:t>
      </w:r>
      <w:r w:rsidRPr="00FD5AD9">
        <w:rPr>
          <w:rFonts w:asciiTheme="majorHAnsi" w:eastAsia="Times New Roman" w:hAnsiTheme="majorHAnsi" w:cs="Times New Roman"/>
          <w:color w:val="auto"/>
          <w:sz w:val="16"/>
          <w:szCs w:val="16"/>
          <w:bdr w:val="none" w:sz="0" w:space="0" w:color="auto"/>
          <w:lang w:val="es-ES" w:eastAsia="en-US"/>
        </w:rPr>
        <w:t>Amnistía Internacional 16 de Junio de 2020. Encontrado en https://www.amnesty.org/es/documents/amr34/2678/2020/es/, revisado el 7 de agosto de 2023.</w:t>
      </w:r>
    </w:p>
  </w:footnote>
  <w:footnote w:id="20">
    <w:p w14:paraId="6B6F3FD9" w14:textId="01F1CA74" w:rsidR="006A76CB" w:rsidRPr="00FD5AD9" w:rsidRDefault="006A76CB" w:rsidP="006A76CB">
      <w:pPr>
        <w:ind w:firstLine="709"/>
        <w:jc w:val="both"/>
        <w:rPr>
          <w:rFonts w:ascii="Cambria" w:hAnsi="Cambria"/>
          <w:bCs/>
          <w:sz w:val="16"/>
          <w:szCs w:val="16"/>
          <w:lang w:val="es-ES_tradnl"/>
        </w:rPr>
      </w:pPr>
      <w:r w:rsidRPr="00FD5AD9">
        <w:rPr>
          <w:rStyle w:val="FootnoteReference"/>
          <w:rFonts w:ascii="Cambria" w:hAnsi="Cambria"/>
          <w:sz w:val="16"/>
          <w:szCs w:val="16"/>
        </w:rPr>
        <w:footnoteRef/>
      </w:r>
      <w:r w:rsidRPr="00FD5AD9">
        <w:rPr>
          <w:rFonts w:ascii="Cambria" w:hAnsi="Cambria"/>
          <w:sz w:val="16"/>
          <w:szCs w:val="16"/>
          <w:lang w:val="es-ES"/>
        </w:rPr>
        <w:t xml:space="preserve"> </w:t>
      </w:r>
      <w:r w:rsidRPr="00FD5AD9">
        <w:rPr>
          <w:rFonts w:ascii="Cambria" w:hAnsi="Cambria"/>
          <w:bCs/>
          <w:sz w:val="16"/>
          <w:szCs w:val="16"/>
          <w:lang w:val="es-ES_tradnl"/>
        </w:rPr>
        <w:t>Encontrado en anexo presentado por el Estado: Memorial del 16 de marzo de 2016 dirigido al alcalde del municipio de Santa María Cahabón, y suscrito por los miembros de las comunidades La Escopeta, Pulisibic, Tres Cruces, Sepoc, Secatalcab, Pequixul, Sacta, Sacta Sector 8, Chacalte, Seasir y Salac, el cual contiene una serie de planteamientos y peticiones dirigidos a la Municipalidad de Santa María Cahabón, departamento de Alta Verapaz y relacionados con las dos hidroeléctricas, la serie de acuerdos a los que las comunidades han llegado con Oxec, y personas externas que, según los firmantes, estarían interviniendo e irrumpiendo la paz.</w:t>
      </w:r>
    </w:p>
  </w:footnote>
  <w:footnote w:id="21">
    <w:p w14:paraId="0024B010" w14:textId="1B023438" w:rsidR="00D801E0" w:rsidRPr="00FD5AD9" w:rsidRDefault="00D801E0" w:rsidP="00D112FE">
      <w:pPr>
        <w:pStyle w:val="FootnoteText"/>
        <w:ind w:firstLine="709"/>
        <w:jc w:val="both"/>
        <w:rPr>
          <w:lang w:val="es-ES"/>
        </w:rPr>
      </w:pPr>
      <w:r w:rsidRPr="00FD5AD9">
        <w:rPr>
          <w:rStyle w:val="FootnoteReference"/>
          <w:rFonts w:ascii="Cambria" w:eastAsia="Arial Unicode MS" w:hAnsi="Cambria" w:cs="Times New Roman"/>
          <w:color w:val="auto"/>
          <w:sz w:val="16"/>
          <w:szCs w:val="16"/>
          <w:lang w:eastAsia="en-US"/>
        </w:rPr>
        <w:footnoteRef/>
      </w:r>
      <w:r w:rsidRPr="00FD5AD9">
        <w:rPr>
          <w:lang w:val="es-ES"/>
        </w:rPr>
        <w:t xml:space="preserve"> </w:t>
      </w:r>
      <w:r w:rsidRPr="00FD5AD9">
        <w:rPr>
          <w:rFonts w:ascii="Cambria" w:hAnsi="Cambria"/>
          <w:bCs/>
          <w:sz w:val="16"/>
          <w:szCs w:val="16"/>
          <w:lang w:val="es-ES_tradnl"/>
        </w:rPr>
        <w:t xml:space="preserve">Encontrado en anexo presentado por el Estado: Memorial del 5 de mayo de 2016 dirigido al alcalde del municipio de Santa María Cahabón, y suscrito por los miembros de las comunidades La Escopeta, Pulisibic, Tres Cruces, Sepoc, Secatalcab, Pequixul, Sacta, Sacta Sector 8, Chacalte, Seasir y Salac, realizado como seguimiento de la petición del 16 de marzo de 2016. </w:t>
      </w:r>
    </w:p>
  </w:footnote>
  <w:footnote w:id="22">
    <w:p w14:paraId="04174FE4" w14:textId="77777777" w:rsidR="00BE1CD1" w:rsidRPr="00FD5AD9" w:rsidRDefault="00BE1CD1" w:rsidP="00EA250A">
      <w:pPr>
        <w:pStyle w:val="FootnoteText"/>
        <w:ind w:firstLine="709"/>
        <w:jc w:val="both"/>
        <w:rPr>
          <w:rFonts w:ascii="Cambria" w:hAnsi="Cambria"/>
          <w:sz w:val="16"/>
          <w:szCs w:val="16"/>
          <w:lang w:val="es-ES_tradnl"/>
        </w:rPr>
      </w:pPr>
      <w:r w:rsidRPr="00FD5AD9">
        <w:rPr>
          <w:rStyle w:val="FootnoteReference"/>
          <w:rFonts w:ascii="Cambria" w:hAnsi="Cambria"/>
          <w:sz w:val="16"/>
          <w:szCs w:val="16"/>
        </w:rPr>
        <w:footnoteRef/>
      </w:r>
      <w:r w:rsidRPr="00FD5AD9">
        <w:rPr>
          <w:rFonts w:ascii="Cambria" w:hAnsi="Cambria"/>
          <w:sz w:val="16"/>
          <w:szCs w:val="16"/>
          <w:lang w:val="es-ES"/>
        </w:rPr>
        <w:t xml:space="preserve"> </w:t>
      </w:r>
      <w:r w:rsidRPr="00FD5AD9">
        <w:rPr>
          <w:rFonts w:ascii="Cambria" w:hAnsi="Cambria"/>
          <w:sz w:val="16"/>
          <w:szCs w:val="16"/>
          <w:lang w:val="es-ES_tradnl"/>
        </w:rPr>
        <w:t xml:space="preserve">En concordancia con el artículo 67 del Decreto Número 1-86 del Congreso de la República, Ley de Amparo Exhibición Personal y de Constitucionalidad, el cual establece: </w:t>
      </w:r>
      <w:r w:rsidRPr="00FD5AD9">
        <w:rPr>
          <w:rFonts w:ascii="Cambria" w:hAnsi="Cambria"/>
          <w:i/>
          <w:iCs/>
          <w:sz w:val="16"/>
          <w:szCs w:val="16"/>
          <w:lang w:val="es-ES_tradnl"/>
        </w:rPr>
        <w:t>"Contenido de la resolución. La Corte de Constitucionalidad en su resolución deberá confirmar, revocar o modificar lo resuelto por el tribunal de primer grado, y en caso de revocación o modificación, hará el pronunciamiento que en derecho corresponda”.</w:t>
      </w:r>
    </w:p>
  </w:footnote>
  <w:footnote w:id="23">
    <w:p w14:paraId="69D988F7" w14:textId="4581DF3F" w:rsidR="000E4C58" w:rsidRPr="00A85053" w:rsidRDefault="000E4C58" w:rsidP="00DE65C2">
      <w:pPr>
        <w:pStyle w:val="FootnoteText"/>
        <w:ind w:firstLine="709"/>
        <w:jc w:val="both"/>
        <w:rPr>
          <w:rFonts w:asciiTheme="majorHAnsi" w:hAnsiTheme="majorHAnsi"/>
          <w:sz w:val="16"/>
          <w:szCs w:val="16"/>
          <w:lang w:val="es-ES"/>
        </w:rPr>
      </w:pPr>
      <w:r w:rsidRPr="00DE65C2">
        <w:rPr>
          <w:rStyle w:val="FootnoteReference"/>
          <w:rFonts w:asciiTheme="majorHAnsi" w:hAnsiTheme="majorHAnsi"/>
          <w:sz w:val="16"/>
          <w:szCs w:val="16"/>
        </w:rPr>
        <w:footnoteRef/>
      </w:r>
      <w:r w:rsidRPr="00DE65C2">
        <w:rPr>
          <w:rFonts w:asciiTheme="majorHAnsi" w:hAnsiTheme="majorHAnsi"/>
          <w:sz w:val="16"/>
          <w:szCs w:val="16"/>
          <w:lang w:val="es-ES"/>
        </w:rPr>
        <w:t xml:space="preserve"> </w:t>
      </w:r>
      <w:r w:rsidR="00DE65C2" w:rsidRPr="00DE65C2">
        <w:rPr>
          <w:rFonts w:asciiTheme="majorHAnsi" w:hAnsiTheme="majorHAnsi"/>
          <w:sz w:val="16"/>
          <w:szCs w:val="16"/>
          <w:lang w:val="es-ES"/>
        </w:rPr>
        <w:t xml:space="preserve">CIDH, Informe Nº 92/03 (Inadmisibilidad), Petición 0453/01, Elías Santana y otros, Venezuela, 23 de octubre de 2003, párr. </w:t>
      </w:r>
      <w:r w:rsidR="00DE65C2" w:rsidRPr="00A85053">
        <w:rPr>
          <w:rFonts w:asciiTheme="majorHAnsi" w:hAnsiTheme="majorHAnsi"/>
          <w:sz w:val="16"/>
          <w:szCs w:val="16"/>
          <w:lang w:val="es-ES"/>
        </w:rPr>
        <w:t>45 y ss.</w:t>
      </w:r>
    </w:p>
  </w:footnote>
  <w:footnote w:id="24">
    <w:p w14:paraId="51DE898B" w14:textId="77777777" w:rsidR="00A369CF" w:rsidRPr="00FD5AD9" w:rsidRDefault="00A369CF" w:rsidP="00A369CF">
      <w:pPr>
        <w:pStyle w:val="FootnoteText"/>
        <w:ind w:firstLine="709"/>
        <w:rPr>
          <w:lang w:val="es-ES"/>
        </w:rPr>
      </w:pPr>
      <w:r w:rsidRPr="00FD5AD9">
        <w:rPr>
          <w:rStyle w:val="FootnoteReference"/>
          <w:rFonts w:ascii="Cambria" w:hAnsi="Cambria"/>
          <w:color w:val="auto"/>
          <w:sz w:val="16"/>
          <w:szCs w:val="16"/>
        </w:rPr>
        <w:footnoteRef/>
      </w:r>
      <w:r w:rsidRPr="00FD5AD9">
        <w:rPr>
          <w:rStyle w:val="FootnoteReference"/>
          <w:rFonts w:ascii="Cambria" w:hAnsi="Cambria"/>
          <w:color w:val="auto"/>
          <w:sz w:val="16"/>
          <w:szCs w:val="16"/>
          <w:lang w:val="es-ES"/>
        </w:rPr>
        <w:t xml:space="preserve"> </w:t>
      </w:r>
      <w:r w:rsidRPr="00FD5AD9">
        <w:rPr>
          <w:rFonts w:ascii="Cambria" w:hAnsi="Cambria"/>
          <w:color w:val="auto"/>
          <w:sz w:val="16"/>
          <w:szCs w:val="16"/>
          <w:lang w:val="es-CO"/>
        </w:rPr>
        <w:t>Hay siete actas ilegibles.</w:t>
      </w:r>
    </w:p>
  </w:footnote>
  <w:footnote w:id="25">
    <w:p w14:paraId="10049F6B" w14:textId="1CA8DCEF" w:rsidR="00202863" w:rsidRPr="00FD5AD9" w:rsidRDefault="00202863" w:rsidP="00202863">
      <w:pPr>
        <w:pStyle w:val="FootnoteText"/>
        <w:ind w:firstLine="720"/>
        <w:jc w:val="both"/>
        <w:rPr>
          <w:rFonts w:ascii="Cambria" w:hAnsi="Cambria"/>
          <w:color w:val="auto"/>
          <w:sz w:val="16"/>
          <w:szCs w:val="16"/>
          <w:lang w:val="es-CO"/>
        </w:rPr>
      </w:pPr>
      <w:r w:rsidRPr="00FD5AD9">
        <w:rPr>
          <w:rStyle w:val="FootnoteReference"/>
          <w:rFonts w:ascii="Cambria" w:hAnsi="Cambria"/>
          <w:color w:val="auto"/>
          <w:sz w:val="16"/>
          <w:szCs w:val="16"/>
        </w:rPr>
        <w:footnoteRef/>
      </w:r>
      <w:r w:rsidRPr="00FD5AD9">
        <w:rPr>
          <w:rFonts w:ascii="Cambria" w:hAnsi="Cambria"/>
          <w:color w:val="auto"/>
          <w:sz w:val="16"/>
          <w:szCs w:val="16"/>
          <w:lang w:val="es-CO"/>
        </w:rPr>
        <w:t xml:space="preserve"> A título ilustrativo, se pueden consultar los siguientes informes de la CIDH: Informe No. 117/19. Petición 833-11. Admisibilidad. Trabajadores liberados de la Hacienda Boa-Fé Caru. Brasil. 7 de junio de 2019, párrs. 11, 12; Informe No. 4/19. Petición 673-11. Admisibilidad. Fernando Alc</w:t>
      </w:r>
      <w:r w:rsidR="00CC692B" w:rsidRPr="00FD5AD9">
        <w:rPr>
          <w:rFonts w:ascii="Cambria" w:hAnsi="Cambria"/>
          <w:color w:val="auto"/>
          <w:sz w:val="16"/>
          <w:szCs w:val="16"/>
          <w:lang w:val="es-CO"/>
        </w:rPr>
        <w:t>á</w:t>
      </w:r>
      <w:r w:rsidRPr="00FD5AD9">
        <w:rPr>
          <w:rFonts w:ascii="Cambria" w:hAnsi="Cambria"/>
          <w:color w:val="auto"/>
          <w:sz w:val="16"/>
          <w:szCs w:val="16"/>
          <w:lang w:val="es-CO"/>
        </w:rPr>
        <w:t xml:space="preserve">ntara de Figueiredo y Laci Marinho de Araújo. Brasil. 3 de enero de 2019, párrs. 19 y ss; Informe No. 164/17. Admisibilidad. Santiago Adolfo Villegas Delgado. Venezuela. 30 de noviembre de 2017, párr. 12; Informe No. 57/17. Petición 406-04. Admisibilidad. Washington David Espino Muñoz. República Dominicana. 5 de junio de 2017, párrs. 26, 27; Informe No. 168/17. Admisibilidad. Miguel Ángel Morales Morales. Perú. 1 de diciembre de 2017, párrs. 15-16; Informe No. 122/17. Petición 156-08. Admisibilidad. Williams Mariano Paría Tapia. Perú. 7 de septiembre de 2017, párrs. 12 y ss; Informe No. 167/17. Admisibilidad. Alberto Patishtán Gómez. México. 1 de diciembre de 2017, párrs. 13 y ss; o Informe No. 114/19. Petición 1403-09. Admisibilidad. Carlos Pizarro Leongómez, María José Pizarro Rodríguez y sus familiares. Colombia. 7 de junio de 2019, párr. 20. </w:t>
      </w:r>
    </w:p>
  </w:footnote>
  <w:footnote w:id="26">
    <w:p w14:paraId="38AD85EA" w14:textId="13F636BA" w:rsidR="001F77D5" w:rsidRPr="00FD5AD9" w:rsidRDefault="001F77D5" w:rsidP="001F77D5">
      <w:pPr>
        <w:pStyle w:val="FootnoteText"/>
        <w:ind w:firstLine="709"/>
        <w:jc w:val="both"/>
        <w:rPr>
          <w:rFonts w:ascii="Cambria" w:hAnsi="Cambria"/>
          <w:sz w:val="16"/>
          <w:szCs w:val="16"/>
          <w:lang w:val="es-ES_tradnl"/>
        </w:rPr>
      </w:pPr>
      <w:r w:rsidRPr="00FD5AD9">
        <w:rPr>
          <w:rStyle w:val="FootnoteReference"/>
          <w:rFonts w:ascii="Cambria" w:hAnsi="Cambria"/>
          <w:sz w:val="16"/>
          <w:szCs w:val="16"/>
        </w:rPr>
        <w:footnoteRef/>
      </w:r>
      <w:r w:rsidRPr="00FD5AD9">
        <w:rPr>
          <w:rFonts w:ascii="Cambria" w:hAnsi="Cambria"/>
          <w:sz w:val="16"/>
          <w:szCs w:val="16"/>
          <w:lang w:val="es-ES"/>
        </w:rPr>
        <w:t xml:space="preserve"> </w:t>
      </w:r>
      <w:r w:rsidRPr="00FD5AD9">
        <w:rPr>
          <w:rFonts w:ascii="Cambria" w:hAnsi="Cambria"/>
          <w:sz w:val="16"/>
          <w:szCs w:val="16"/>
          <w:lang w:val="es-ES_tradnl"/>
        </w:rPr>
        <w:t xml:space="preserve">El peticionario alega violaciones a: </w:t>
      </w:r>
      <w:r w:rsidRPr="00FD5AD9">
        <w:rPr>
          <w:rFonts w:ascii="Cambria" w:hAnsi="Cambria"/>
          <w:sz w:val="16"/>
          <w:szCs w:val="16"/>
          <w:lang w:val="es-ES"/>
        </w:rPr>
        <w:t>derecho a la libre determinación</w:t>
      </w:r>
      <w:r w:rsidRPr="00FD5AD9">
        <w:rPr>
          <w:rFonts w:ascii="Cambria" w:hAnsi="Cambria"/>
          <w:sz w:val="16"/>
          <w:szCs w:val="16"/>
          <w:lang w:val="es-ES_tradnl"/>
        </w:rPr>
        <w:t xml:space="preserve">, </w:t>
      </w:r>
      <w:r w:rsidRPr="00FD5AD9">
        <w:rPr>
          <w:rFonts w:ascii="Cambria" w:hAnsi="Cambria"/>
          <w:sz w:val="16"/>
          <w:szCs w:val="16"/>
          <w:lang w:val="es-ES"/>
        </w:rPr>
        <w:t>derechos colectivos de los pueblos indígenas</w:t>
      </w:r>
      <w:r w:rsidRPr="00FD5AD9">
        <w:rPr>
          <w:rFonts w:ascii="Cambria" w:hAnsi="Cambria"/>
          <w:sz w:val="16"/>
          <w:szCs w:val="16"/>
          <w:lang w:val="es-ES_tradnl"/>
        </w:rPr>
        <w:t xml:space="preserve">, </w:t>
      </w:r>
      <w:r w:rsidRPr="00FD5AD9">
        <w:rPr>
          <w:rFonts w:ascii="Cambria" w:hAnsi="Cambria"/>
          <w:sz w:val="16"/>
          <w:szCs w:val="16"/>
          <w:lang w:val="es-ES"/>
        </w:rPr>
        <w:t>derecho a pertenecer a pueblos indigenas</w:t>
      </w:r>
      <w:r w:rsidRPr="00FD5AD9">
        <w:rPr>
          <w:rFonts w:ascii="Cambria" w:hAnsi="Cambria"/>
          <w:sz w:val="16"/>
          <w:szCs w:val="16"/>
          <w:lang w:val="es-ES_tradnl"/>
        </w:rPr>
        <w:t xml:space="preserve">, </w:t>
      </w:r>
      <w:r w:rsidRPr="00FD5AD9">
        <w:rPr>
          <w:rFonts w:ascii="Cambria" w:hAnsi="Cambria"/>
          <w:sz w:val="16"/>
          <w:szCs w:val="16"/>
          <w:lang w:val="es-ES"/>
        </w:rPr>
        <w:t xml:space="preserve">derecho a la personalidad </w:t>
      </w:r>
      <w:r w:rsidR="0006373F" w:rsidRPr="00FD5AD9">
        <w:rPr>
          <w:rFonts w:ascii="Cambria" w:hAnsi="Cambria"/>
          <w:sz w:val="16"/>
          <w:szCs w:val="16"/>
          <w:lang w:val="es-ES"/>
        </w:rPr>
        <w:t>jurídica</w:t>
      </w:r>
      <w:r w:rsidRPr="00FD5AD9">
        <w:rPr>
          <w:rFonts w:ascii="Cambria" w:hAnsi="Cambria"/>
          <w:sz w:val="16"/>
          <w:szCs w:val="16"/>
          <w:lang w:val="es-ES_tradnl"/>
        </w:rPr>
        <w:t>, d</w:t>
      </w:r>
      <w:r w:rsidRPr="00FD5AD9">
        <w:rPr>
          <w:rFonts w:ascii="Cambria" w:hAnsi="Cambria"/>
          <w:sz w:val="16"/>
          <w:szCs w:val="16"/>
          <w:lang w:val="es-ES"/>
        </w:rPr>
        <w:t>erecho a la identidad e integridad cultural - derecho a la espiritualidad indigena</w:t>
      </w:r>
      <w:r w:rsidRPr="00FD5AD9">
        <w:rPr>
          <w:rFonts w:ascii="Cambria" w:hAnsi="Cambria"/>
          <w:sz w:val="16"/>
          <w:szCs w:val="16"/>
          <w:lang w:val="es-ES_tradnl"/>
        </w:rPr>
        <w:t>, a</w:t>
      </w:r>
      <w:r w:rsidRPr="00FD5AD9">
        <w:rPr>
          <w:rFonts w:ascii="Cambria" w:hAnsi="Cambria"/>
          <w:sz w:val="16"/>
          <w:szCs w:val="16"/>
          <w:lang w:val="es-ES"/>
        </w:rPr>
        <w:t xml:space="preserve"> la salud</w:t>
      </w:r>
      <w:r w:rsidRPr="00FD5AD9">
        <w:rPr>
          <w:rFonts w:ascii="Cambria" w:hAnsi="Cambria"/>
          <w:sz w:val="16"/>
          <w:szCs w:val="16"/>
          <w:lang w:val="es-ES_tradnl"/>
        </w:rPr>
        <w:t>, a</w:t>
      </w:r>
      <w:r w:rsidRPr="00FD5AD9">
        <w:rPr>
          <w:rFonts w:ascii="Cambria" w:hAnsi="Cambria"/>
          <w:sz w:val="16"/>
          <w:szCs w:val="16"/>
          <w:lang w:val="es-ES"/>
        </w:rPr>
        <w:t xml:space="preserve"> la proteccion del medio ambiente sano</w:t>
      </w:r>
      <w:r w:rsidRPr="00FD5AD9">
        <w:rPr>
          <w:rFonts w:ascii="Cambria" w:hAnsi="Cambria"/>
          <w:sz w:val="16"/>
          <w:szCs w:val="16"/>
          <w:lang w:val="es-ES_tradnl"/>
        </w:rPr>
        <w:t xml:space="preserve">, </w:t>
      </w:r>
      <w:r w:rsidRPr="00FD5AD9">
        <w:rPr>
          <w:rFonts w:ascii="Cambria" w:hAnsi="Cambria"/>
          <w:sz w:val="16"/>
          <w:szCs w:val="16"/>
          <w:lang w:val="es-ES"/>
        </w:rPr>
        <w:t xml:space="preserve">de asociación, reunión, libertad de expresión y pensamiento </w:t>
      </w:r>
      <w:r w:rsidRPr="00FD5AD9">
        <w:rPr>
          <w:rFonts w:ascii="Cambria" w:hAnsi="Cambria"/>
          <w:sz w:val="16"/>
          <w:szCs w:val="16"/>
          <w:lang w:val="es-ES_tradnl"/>
        </w:rPr>
        <w:t xml:space="preserve">- </w:t>
      </w:r>
      <w:r w:rsidRPr="00FD5AD9">
        <w:rPr>
          <w:rFonts w:ascii="Cambria" w:hAnsi="Cambria"/>
          <w:sz w:val="16"/>
          <w:szCs w:val="16"/>
          <w:lang w:val="es-ES"/>
        </w:rPr>
        <w:t>derecho a la autonomia o al autogobiern</w:t>
      </w:r>
      <w:r w:rsidRPr="00FD5AD9">
        <w:rPr>
          <w:rFonts w:ascii="Cambria" w:hAnsi="Cambria"/>
          <w:sz w:val="16"/>
          <w:szCs w:val="16"/>
          <w:lang w:val="es-ES_tradnl"/>
        </w:rPr>
        <w:t>o;</w:t>
      </w:r>
      <w:r w:rsidRPr="00FD5AD9">
        <w:rPr>
          <w:rFonts w:ascii="Cambria" w:hAnsi="Cambria"/>
          <w:sz w:val="16"/>
          <w:szCs w:val="16"/>
          <w:lang w:val="es-ES"/>
        </w:rPr>
        <w:t xml:space="preserve"> derecho a tierras, territorios y recursos</w:t>
      </w:r>
      <w:r w:rsidRPr="00FD5AD9">
        <w:rPr>
          <w:rFonts w:ascii="Cambria" w:hAnsi="Cambria"/>
          <w:sz w:val="16"/>
          <w:szCs w:val="16"/>
          <w:lang w:val="es-ES_tradnl"/>
        </w:rPr>
        <w:t xml:space="preserve">; </w:t>
      </w:r>
      <w:r w:rsidRPr="00FD5AD9">
        <w:rPr>
          <w:rFonts w:ascii="Cambria" w:hAnsi="Cambria"/>
          <w:sz w:val="16"/>
          <w:szCs w:val="16"/>
          <w:lang w:val="es-ES"/>
        </w:rPr>
        <w:t>derecho al desarrollo</w:t>
      </w:r>
      <w:r w:rsidRPr="00FD5AD9">
        <w:rPr>
          <w:rFonts w:ascii="Cambria" w:hAnsi="Cambria"/>
          <w:sz w:val="16"/>
          <w:szCs w:val="16"/>
          <w:lang w:val="es-ES_tradnl"/>
        </w:rPr>
        <w:t xml:space="preserve">; </w:t>
      </w:r>
      <w:r w:rsidRPr="00FD5AD9">
        <w:rPr>
          <w:rFonts w:ascii="Cambria" w:hAnsi="Cambria"/>
          <w:sz w:val="16"/>
          <w:szCs w:val="16"/>
          <w:lang w:val="es-ES"/>
        </w:rPr>
        <w:t>derecho a la paz, a la seguridad y protecció</w:t>
      </w:r>
      <w:r w:rsidRPr="00FD5AD9">
        <w:rPr>
          <w:rFonts w:ascii="Cambria" w:hAnsi="Cambria"/>
          <w:sz w:val="16"/>
          <w:szCs w:val="16"/>
          <w:lang w:val="es-ES_tradnl"/>
        </w:rPr>
        <w:t xml:space="preserve">n, y el derecho a recursos efectivos e idóneos. </w:t>
      </w:r>
    </w:p>
    <w:p w14:paraId="23D99927" w14:textId="73F741FD" w:rsidR="001F77D5" w:rsidRPr="00FD5AD9" w:rsidRDefault="001F77D5">
      <w:pPr>
        <w:pStyle w:val="FootnoteText"/>
        <w:rPr>
          <w:lang w:val="es-ES_tradnl"/>
        </w:rPr>
      </w:pPr>
    </w:p>
  </w:footnote>
  <w:footnote w:id="27">
    <w:p w14:paraId="05F549EC" w14:textId="77777777" w:rsidR="008E021C" w:rsidRPr="00FD5AD9" w:rsidRDefault="008E021C" w:rsidP="008E021C">
      <w:pPr>
        <w:pStyle w:val="FootnoteText"/>
        <w:ind w:firstLine="709"/>
        <w:jc w:val="both"/>
        <w:rPr>
          <w:rFonts w:asciiTheme="majorHAnsi" w:hAnsiTheme="majorHAnsi"/>
          <w:sz w:val="16"/>
          <w:szCs w:val="16"/>
          <w:lang w:val="es-ES_tradnl"/>
        </w:rPr>
      </w:pPr>
      <w:r w:rsidRPr="00FD5AD9">
        <w:rPr>
          <w:rFonts w:asciiTheme="majorHAnsi" w:hAnsiTheme="majorHAnsi"/>
          <w:sz w:val="16"/>
          <w:szCs w:val="16"/>
          <w:vertAlign w:val="superscript"/>
          <w:lang w:val="es-ES_tradnl"/>
        </w:rPr>
        <w:footnoteRef/>
      </w:r>
      <w:r w:rsidRPr="00FD5AD9">
        <w:rPr>
          <w:rFonts w:asciiTheme="majorHAnsi" w:hAnsiTheme="majorHAnsi"/>
          <w:sz w:val="16"/>
          <w:szCs w:val="16"/>
          <w:lang w:val="es-ES_tradnl"/>
        </w:rPr>
        <w:t xml:space="preserve"> CIDH. Informe No. 143/18, Petición 940-08. Admisibilidad. Luis Américo Ayala Gonzales. Perú, 4 de diciembre de 2018, párr. 12; y CIDH. Informe No. 293/20, Petición 434-09. Admisibilidad. Gabriel Ulises Valdez Larqué y familiares. México, 13 de octubre de 2020, párr. 22.</w:t>
      </w:r>
    </w:p>
  </w:footnote>
  <w:footnote w:id="28">
    <w:p w14:paraId="5B4463E8" w14:textId="77777777" w:rsidR="008E021C" w:rsidRPr="00FD5AD9" w:rsidRDefault="008E021C" w:rsidP="00EA250A">
      <w:pPr>
        <w:pStyle w:val="FootnoteText"/>
        <w:ind w:firstLine="709"/>
        <w:jc w:val="both"/>
        <w:rPr>
          <w:rFonts w:ascii="Cambria" w:hAnsi="Cambria"/>
          <w:bCs/>
          <w:sz w:val="16"/>
          <w:szCs w:val="16"/>
          <w:lang w:val="es-ES_tradnl"/>
        </w:rPr>
      </w:pPr>
      <w:r w:rsidRPr="00FD5AD9">
        <w:rPr>
          <w:rStyle w:val="FootnoteReference"/>
          <w:rFonts w:ascii="Cambria" w:hAnsi="Cambria"/>
          <w:sz w:val="16"/>
          <w:szCs w:val="16"/>
        </w:rPr>
        <w:footnoteRef/>
      </w:r>
      <w:r w:rsidRPr="00FD5AD9">
        <w:rPr>
          <w:rFonts w:ascii="Cambria" w:hAnsi="Cambria"/>
          <w:sz w:val="16"/>
          <w:szCs w:val="16"/>
          <w:lang w:val="es-ES"/>
        </w:rPr>
        <w:t xml:space="preserve"> CIDH, Informe No. 47/23. Petición 1880-11. </w:t>
      </w:r>
      <w:r w:rsidRPr="00FD5AD9">
        <w:rPr>
          <w:rFonts w:ascii="Cambria" w:hAnsi="Cambria"/>
          <w:sz w:val="16"/>
          <w:szCs w:val="16"/>
          <w:lang w:val="es-ES_tradnl"/>
        </w:rPr>
        <w:t>Admisibilidad.</w:t>
      </w:r>
      <w:r w:rsidRPr="00FD5AD9">
        <w:rPr>
          <w:rFonts w:ascii="Cambria" w:hAnsi="Cambria"/>
          <w:bCs/>
          <w:sz w:val="16"/>
          <w:szCs w:val="16"/>
          <w:lang w:val="es-ES_tradnl"/>
        </w:rPr>
        <w:t xml:space="preserve"> Integrantes de la Comunidad Mapuche</w:t>
      </w:r>
      <w:r w:rsidRPr="00FD5AD9">
        <w:rPr>
          <w:rFonts w:ascii="Cambria" w:hAnsi="Cambria"/>
          <w:sz w:val="16"/>
          <w:szCs w:val="16"/>
          <w:lang w:val="es-ES_tradnl"/>
        </w:rPr>
        <w:t xml:space="preserve">. Chile. </w:t>
      </w:r>
      <w:r w:rsidRPr="00FD5AD9">
        <w:rPr>
          <w:rFonts w:ascii="Cambria" w:hAnsi="Cambria"/>
          <w:sz w:val="16"/>
          <w:szCs w:val="16"/>
          <w:lang w:val="es-ES"/>
        </w:rPr>
        <w:t xml:space="preserve">18 de abril de 2023, párr. 14. </w:t>
      </w:r>
    </w:p>
  </w:footnote>
  <w:footnote w:id="29">
    <w:p w14:paraId="27FD057F" w14:textId="38A43461" w:rsidR="00D73CE6" w:rsidRPr="00FD5AD9" w:rsidRDefault="00D73CE6" w:rsidP="00D73CE6">
      <w:pPr>
        <w:pStyle w:val="FootnoteText"/>
        <w:ind w:firstLine="709"/>
        <w:rPr>
          <w:rFonts w:ascii="Cambria" w:hAnsi="Cambria"/>
          <w:sz w:val="16"/>
          <w:szCs w:val="16"/>
          <w:lang w:val="es-ES_tradnl"/>
        </w:rPr>
      </w:pPr>
      <w:r w:rsidRPr="00FD5AD9">
        <w:rPr>
          <w:rStyle w:val="FootnoteReference"/>
          <w:rFonts w:ascii="Cambria" w:hAnsi="Cambria"/>
          <w:sz w:val="16"/>
          <w:szCs w:val="16"/>
        </w:rPr>
        <w:footnoteRef/>
      </w:r>
      <w:r w:rsidRPr="00D112FE">
        <w:rPr>
          <w:rFonts w:ascii="Cambria" w:hAnsi="Cambria"/>
          <w:sz w:val="16"/>
          <w:szCs w:val="16"/>
          <w:lang w:val="pt-BR"/>
        </w:rPr>
        <w:t xml:space="preserve"> Corte IDH, Caso Huilca Tecse vs. Perú. </w:t>
      </w:r>
      <w:r w:rsidRPr="00FD5AD9">
        <w:rPr>
          <w:rFonts w:ascii="Cambria" w:hAnsi="Cambria"/>
          <w:sz w:val="16"/>
          <w:szCs w:val="16"/>
          <w:lang w:val="es-ES"/>
        </w:rPr>
        <w:t>Sentencia 3 de marzo de 2005. Serie C No. 121, párr. 70.</w:t>
      </w:r>
    </w:p>
  </w:footnote>
  <w:footnote w:id="30">
    <w:p w14:paraId="6F2AED99" w14:textId="77777777" w:rsidR="00FC641E" w:rsidRPr="00FD5AD9" w:rsidRDefault="00FC641E" w:rsidP="00EA250A">
      <w:pPr>
        <w:pStyle w:val="FootnoteText"/>
        <w:ind w:firstLine="720"/>
        <w:jc w:val="both"/>
        <w:rPr>
          <w:rFonts w:ascii="Cambria" w:hAnsi="Cambria"/>
          <w:sz w:val="16"/>
          <w:szCs w:val="16"/>
          <w:lang w:val="es-ES"/>
        </w:rPr>
      </w:pPr>
      <w:r w:rsidRPr="00FD5AD9">
        <w:rPr>
          <w:rStyle w:val="FootnoteReference"/>
          <w:rFonts w:ascii="Cambria" w:hAnsi="Cambria"/>
          <w:sz w:val="16"/>
          <w:szCs w:val="16"/>
        </w:rPr>
        <w:footnoteRef/>
      </w:r>
      <w:r w:rsidRPr="00FD5AD9">
        <w:rPr>
          <w:rFonts w:ascii="Cambria" w:hAnsi="Cambria"/>
          <w:sz w:val="16"/>
          <w:szCs w:val="16"/>
          <w:lang w:val="es-ES"/>
        </w:rPr>
        <w:t xml:space="preserve"> Corte IDH, Caso Habbal y otros vs. Argentina. Excepciones Preliminares y Fondo. Sentencia de 31 de agosto de 2022. Serie C No. 463, párr. 23; Corte IDH. Caso Vereda La Esperanza Vs. Colombia. Interpretación de la Sentencia de Excepción Preliminar, Fondo, Reparaciones y Costas. Sentencia de 21 de noviembre de 2018. Serie C No. 367, párr 32. Este criterio está en definitiva establecido en el artículo 35 del Reglamento de la Corte IDH.</w:t>
      </w:r>
    </w:p>
  </w:footnote>
  <w:footnote w:id="31">
    <w:p w14:paraId="68E231FA" w14:textId="77777777" w:rsidR="00615ED5" w:rsidRPr="00F752CD" w:rsidRDefault="00615ED5" w:rsidP="00EA250A">
      <w:pPr>
        <w:ind w:firstLine="720"/>
        <w:contextualSpacing/>
        <w:jc w:val="both"/>
        <w:rPr>
          <w:rFonts w:ascii="Cambria" w:hAnsi="Cambria" w:cs="Calibri"/>
          <w:sz w:val="16"/>
          <w:szCs w:val="16"/>
          <w:lang w:val="es-ES_tradnl"/>
        </w:rPr>
      </w:pPr>
      <w:r w:rsidRPr="00FD5AD9">
        <w:rPr>
          <w:rStyle w:val="FootnoteReference"/>
          <w:rFonts w:ascii="Cambria" w:hAnsi="Cambria" w:cs="Calibri"/>
          <w:sz w:val="16"/>
          <w:szCs w:val="16"/>
        </w:rPr>
        <w:footnoteRef/>
      </w:r>
      <w:r w:rsidRPr="00FD5AD9">
        <w:rPr>
          <w:rFonts w:ascii="Cambria" w:hAnsi="Cambria" w:cs="Calibri"/>
          <w:sz w:val="16"/>
          <w:szCs w:val="16"/>
          <w:lang w:val="es-ES"/>
        </w:rPr>
        <w:t xml:space="preserve"> </w:t>
      </w:r>
      <w:r w:rsidRPr="00FD5AD9">
        <w:rPr>
          <w:rFonts w:ascii="Cambria" w:hAnsi="Cambria" w:cs="Calibri"/>
          <w:sz w:val="16"/>
          <w:szCs w:val="16"/>
          <w:lang w:val="es-ES_tradnl"/>
        </w:rPr>
        <w:t>CIDH, Informe No. 29/06, Petición 906-03. Admisibilidad. Comunidad Garífuna Triunfo de la Cruz y sus miembros. Honduras. 14 de marzo de 2006, párr.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F91E77" w:rsidP="00A50FCF">
    <w:pPr>
      <w:pStyle w:val="Header"/>
      <w:tabs>
        <w:tab w:val="clear" w:pos="4320"/>
        <w:tab w:val="clear" w:pos="8640"/>
      </w:tabs>
      <w:jc w:val="center"/>
      <w:rPr>
        <w:sz w:val="22"/>
        <w:szCs w:val="22"/>
      </w:rPr>
    </w:pPr>
    <w:r>
      <w:rPr>
        <w:noProof/>
        <w:sz w:val="22"/>
        <w:szCs w:val="22"/>
        <w:bdr w:val="nil"/>
      </w:rPr>
      <w:pict w14:anchorId="5DCCEC4D">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993"/>
    <w:multiLevelType w:val="hybridMultilevel"/>
    <w:tmpl w:val="E02CAF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ABE2237"/>
    <w:multiLevelType w:val="hybridMultilevel"/>
    <w:tmpl w:val="93EAFF1A"/>
    <w:lvl w:ilvl="0" w:tplc="257C5188">
      <w:start w:val="1"/>
      <w:numFmt w:val="lowerRoman"/>
      <w:lvlText w:val="%1)"/>
      <w:lvlJc w:val="left"/>
      <w:pPr>
        <w:ind w:left="862" w:hanging="720"/>
      </w:pPr>
      <w:rPr>
        <w:rFonts w:hint="default"/>
        <w:i/>
        <w:iCs/>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1E46266"/>
    <w:multiLevelType w:val="hybridMultilevel"/>
    <w:tmpl w:val="3A6A7588"/>
    <w:lvl w:ilvl="0" w:tplc="65F03A6A">
      <w:start w:val="1"/>
      <w:numFmt w:val="decimal"/>
      <w:lvlText w:val="%1."/>
      <w:lvlJc w:val="left"/>
      <w:pPr>
        <w:ind w:left="2487" w:hanging="360"/>
      </w:pPr>
      <w:rPr>
        <w:rFonts w:hint="default"/>
        <w:b w:val="0"/>
        <w:b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BFB76A0"/>
    <w:multiLevelType w:val="hybridMultilevel"/>
    <w:tmpl w:val="238047EE"/>
    <w:lvl w:ilvl="0" w:tplc="0A0A6966">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D0467A5"/>
    <w:multiLevelType w:val="hybridMultilevel"/>
    <w:tmpl w:val="A53EC6A6"/>
    <w:lvl w:ilvl="0" w:tplc="6A00DA4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87416453">
    <w:abstractNumId w:val="4"/>
  </w:num>
  <w:num w:numId="2" w16cid:durableId="1596745527">
    <w:abstractNumId w:val="5"/>
  </w:num>
  <w:num w:numId="3" w16cid:durableId="1249846251">
    <w:abstractNumId w:val="54"/>
  </w:num>
  <w:num w:numId="4" w16cid:durableId="1217740037">
    <w:abstractNumId w:val="22"/>
  </w:num>
  <w:num w:numId="5" w16cid:durableId="534738279">
    <w:abstractNumId w:val="48"/>
  </w:num>
  <w:num w:numId="6" w16cid:durableId="712146770">
    <w:abstractNumId w:val="27"/>
  </w:num>
  <w:num w:numId="7" w16cid:durableId="964580196">
    <w:abstractNumId w:val="7"/>
  </w:num>
  <w:num w:numId="8" w16cid:durableId="1291091728">
    <w:abstractNumId w:val="18"/>
  </w:num>
  <w:num w:numId="9" w16cid:durableId="1582907718">
    <w:abstractNumId w:val="42"/>
  </w:num>
  <w:num w:numId="10" w16cid:durableId="180827105">
    <w:abstractNumId w:val="1"/>
  </w:num>
  <w:num w:numId="11" w16cid:durableId="915632011">
    <w:abstractNumId w:val="37"/>
  </w:num>
  <w:num w:numId="12" w16cid:durableId="1779257503">
    <w:abstractNumId w:val="38"/>
  </w:num>
  <w:num w:numId="13" w16cid:durableId="1058354948">
    <w:abstractNumId w:val="44"/>
  </w:num>
  <w:num w:numId="14" w16cid:durableId="1238590959">
    <w:abstractNumId w:val="2"/>
  </w:num>
  <w:num w:numId="15" w16cid:durableId="1092437831">
    <w:abstractNumId w:val="3"/>
  </w:num>
  <w:num w:numId="16" w16cid:durableId="1759907390">
    <w:abstractNumId w:val="8"/>
  </w:num>
  <w:num w:numId="17" w16cid:durableId="263618110">
    <w:abstractNumId w:val="9"/>
  </w:num>
  <w:num w:numId="18" w16cid:durableId="950628371">
    <w:abstractNumId w:val="10"/>
  </w:num>
  <w:num w:numId="19" w16cid:durableId="295599152">
    <w:abstractNumId w:val="11"/>
  </w:num>
  <w:num w:numId="20" w16cid:durableId="1979913706">
    <w:abstractNumId w:val="12"/>
  </w:num>
  <w:num w:numId="21" w16cid:durableId="138108825">
    <w:abstractNumId w:val="14"/>
  </w:num>
  <w:num w:numId="22" w16cid:durableId="1783069909">
    <w:abstractNumId w:val="15"/>
  </w:num>
  <w:num w:numId="23" w16cid:durableId="684088741">
    <w:abstractNumId w:val="16"/>
  </w:num>
  <w:num w:numId="24" w16cid:durableId="1185024746">
    <w:abstractNumId w:val="17"/>
  </w:num>
  <w:num w:numId="25" w16cid:durableId="613251542">
    <w:abstractNumId w:val="19"/>
  </w:num>
  <w:num w:numId="26" w16cid:durableId="1409965196">
    <w:abstractNumId w:val="20"/>
  </w:num>
  <w:num w:numId="27" w16cid:durableId="378288473">
    <w:abstractNumId w:val="23"/>
  </w:num>
  <w:num w:numId="28" w16cid:durableId="1864174115">
    <w:abstractNumId w:val="24"/>
  </w:num>
  <w:num w:numId="29" w16cid:durableId="1286698905">
    <w:abstractNumId w:val="25"/>
  </w:num>
  <w:num w:numId="30" w16cid:durableId="1806041225">
    <w:abstractNumId w:val="26"/>
  </w:num>
  <w:num w:numId="31" w16cid:durableId="1104806719">
    <w:abstractNumId w:val="28"/>
  </w:num>
  <w:num w:numId="32" w16cid:durableId="1258976245">
    <w:abstractNumId w:val="29"/>
  </w:num>
  <w:num w:numId="33" w16cid:durableId="1604340222">
    <w:abstractNumId w:val="30"/>
  </w:num>
  <w:num w:numId="34" w16cid:durableId="29647916">
    <w:abstractNumId w:val="31"/>
  </w:num>
  <w:num w:numId="35" w16cid:durableId="637491403">
    <w:abstractNumId w:val="32"/>
  </w:num>
  <w:num w:numId="36" w16cid:durableId="1056513010">
    <w:abstractNumId w:val="33"/>
  </w:num>
  <w:num w:numId="37" w16cid:durableId="1405420384">
    <w:abstractNumId w:val="35"/>
  </w:num>
  <w:num w:numId="38" w16cid:durableId="1134060475">
    <w:abstractNumId w:val="36"/>
  </w:num>
  <w:num w:numId="39" w16cid:durableId="728722240">
    <w:abstractNumId w:val="39"/>
  </w:num>
  <w:num w:numId="40" w16cid:durableId="359668647">
    <w:abstractNumId w:val="40"/>
  </w:num>
  <w:num w:numId="41" w16cid:durableId="490293589">
    <w:abstractNumId w:val="47"/>
  </w:num>
  <w:num w:numId="42" w16cid:durableId="726875089">
    <w:abstractNumId w:val="49"/>
  </w:num>
  <w:num w:numId="43" w16cid:durableId="508758833">
    <w:abstractNumId w:val="50"/>
  </w:num>
  <w:num w:numId="44" w16cid:durableId="1795444677">
    <w:abstractNumId w:val="52"/>
  </w:num>
  <w:num w:numId="45" w16cid:durableId="215776511">
    <w:abstractNumId w:val="53"/>
  </w:num>
  <w:num w:numId="46" w16cid:durableId="1316645355">
    <w:abstractNumId w:val="55"/>
  </w:num>
  <w:num w:numId="47" w16cid:durableId="1313363408">
    <w:abstractNumId w:val="56"/>
  </w:num>
  <w:num w:numId="48" w16cid:durableId="2109809111">
    <w:abstractNumId w:val="57"/>
  </w:num>
  <w:num w:numId="49" w16cid:durableId="1584337260">
    <w:abstractNumId w:val="59"/>
  </w:num>
  <w:num w:numId="50" w16cid:durableId="780807808">
    <w:abstractNumId w:val="60"/>
  </w:num>
  <w:num w:numId="51" w16cid:durableId="462313843">
    <w:abstractNumId w:val="21"/>
  </w:num>
  <w:num w:numId="52" w16cid:durableId="1786659210">
    <w:abstractNumId w:val="41"/>
  </w:num>
  <w:num w:numId="53" w16cid:durableId="653023681">
    <w:abstractNumId w:val="51"/>
  </w:num>
  <w:num w:numId="54" w16cid:durableId="2071341605">
    <w:abstractNumId w:val="45"/>
  </w:num>
  <w:num w:numId="55" w16cid:durableId="508644348">
    <w:abstractNumId w:val="43"/>
  </w:num>
  <w:num w:numId="56" w16cid:durableId="1590966623">
    <w:abstractNumId w:val="58"/>
  </w:num>
  <w:num w:numId="57" w16cid:durableId="12926748">
    <w:abstractNumId w:val="46"/>
  </w:num>
  <w:num w:numId="58" w16cid:durableId="1018654889">
    <w:abstractNumId w:val="0"/>
  </w:num>
  <w:num w:numId="59" w16cid:durableId="846869748">
    <w:abstractNumId w:val="6"/>
  </w:num>
  <w:num w:numId="60" w16cid:durableId="773018376">
    <w:abstractNumId w:val="34"/>
  </w:num>
  <w:num w:numId="61" w16cid:durableId="1750538953">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4A3D"/>
    <w:rsid w:val="00006E1F"/>
    <w:rsid w:val="000070D7"/>
    <w:rsid w:val="00007AAC"/>
    <w:rsid w:val="000102B3"/>
    <w:rsid w:val="0001788C"/>
    <w:rsid w:val="00021D9E"/>
    <w:rsid w:val="00031FD4"/>
    <w:rsid w:val="00032575"/>
    <w:rsid w:val="0003273F"/>
    <w:rsid w:val="000337EF"/>
    <w:rsid w:val="00033C85"/>
    <w:rsid w:val="00034431"/>
    <w:rsid w:val="0003447A"/>
    <w:rsid w:val="00040C3A"/>
    <w:rsid w:val="000419AD"/>
    <w:rsid w:val="00041B1C"/>
    <w:rsid w:val="000433C9"/>
    <w:rsid w:val="00044BE5"/>
    <w:rsid w:val="00045CF4"/>
    <w:rsid w:val="00051511"/>
    <w:rsid w:val="00052001"/>
    <w:rsid w:val="0005333D"/>
    <w:rsid w:val="000558BC"/>
    <w:rsid w:val="000572E5"/>
    <w:rsid w:val="0006373F"/>
    <w:rsid w:val="000651D7"/>
    <w:rsid w:val="00071174"/>
    <w:rsid w:val="000716C5"/>
    <w:rsid w:val="00072B47"/>
    <w:rsid w:val="00075E23"/>
    <w:rsid w:val="000820F4"/>
    <w:rsid w:val="0008509C"/>
    <w:rsid w:val="00090D25"/>
    <w:rsid w:val="000915B0"/>
    <w:rsid w:val="0009344A"/>
    <w:rsid w:val="000967DB"/>
    <w:rsid w:val="00097FCB"/>
    <w:rsid w:val="000A2F1C"/>
    <w:rsid w:val="000A392E"/>
    <w:rsid w:val="000A575F"/>
    <w:rsid w:val="000A58AC"/>
    <w:rsid w:val="000A7843"/>
    <w:rsid w:val="000B18C3"/>
    <w:rsid w:val="000B2608"/>
    <w:rsid w:val="000B7342"/>
    <w:rsid w:val="000B75B9"/>
    <w:rsid w:val="000C2ADD"/>
    <w:rsid w:val="000C6F53"/>
    <w:rsid w:val="000C7279"/>
    <w:rsid w:val="000D05CB"/>
    <w:rsid w:val="000D10DB"/>
    <w:rsid w:val="000D5F8F"/>
    <w:rsid w:val="000E253F"/>
    <w:rsid w:val="000E3A2F"/>
    <w:rsid w:val="000E4C58"/>
    <w:rsid w:val="000E5EB5"/>
    <w:rsid w:val="000E6736"/>
    <w:rsid w:val="000F27D7"/>
    <w:rsid w:val="000F2B5D"/>
    <w:rsid w:val="000F3140"/>
    <w:rsid w:val="000F35ED"/>
    <w:rsid w:val="000F52EC"/>
    <w:rsid w:val="000F6B9A"/>
    <w:rsid w:val="000F6E4A"/>
    <w:rsid w:val="000F7556"/>
    <w:rsid w:val="001004FE"/>
    <w:rsid w:val="00100EB9"/>
    <w:rsid w:val="00101129"/>
    <w:rsid w:val="00103E76"/>
    <w:rsid w:val="0010565D"/>
    <w:rsid w:val="00106BB7"/>
    <w:rsid w:val="00107131"/>
    <w:rsid w:val="0010736F"/>
    <w:rsid w:val="0011172F"/>
    <w:rsid w:val="00112D66"/>
    <w:rsid w:val="00113F73"/>
    <w:rsid w:val="001156CF"/>
    <w:rsid w:val="00121342"/>
    <w:rsid w:val="00121CC2"/>
    <w:rsid w:val="00123BA6"/>
    <w:rsid w:val="001272F9"/>
    <w:rsid w:val="00131425"/>
    <w:rsid w:val="00132955"/>
    <w:rsid w:val="00133EE5"/>
    <w:rsid w:val="00141E60"/>
    <w:rsid w:val="00143F50"/>
    <w:rsid w:val="00144311"/>
    <w:rsid w:val="001542ED"/>
    <w:rsid w:val="001564A6"/>
    <w:rsid w:val="00156EFF"/>
    <w:rsid w:val="00157077"/>
    <w:rsid w:val="0016026F"/>
    <w:rsid w:val="00160AF0"/>
    <w:rsid w:val="00161951"/>
    <w:rsid w:val="001650A7"/>
    <w:rsid w:val="00167A34"/>
    <w:rsid w:val="0017141D"/>
    <w:rsid w:val="0017442C"/>
    <w:rsid w:val="0017450A"/>
    <w:rsid w:val="00174B76"/>
    <w:rsid w:val="0017681E"/>
    <w:rsid w:val="00176BC1"/>
    <w:rsid w:val="00193027"/>
    <w:rsid w:val="00195964"/>
    <w:rsid w:val="001978D9"/>
    <w:rsid w:val="001A520D"/>
    <w:rsid w:val="001A5642"/>
    <w:rsid w:val="001A7870"/>
    <w:rsid w:val="001B20BC"/>
    <w:rsid w:val="001B21D8"/>
    <w:rsid w:val="001B3A00"/>
    <w:rsid w:val="001B478B"/>
    <w:rsid w:val="001B55A3"/>
    <w:rsid w:val="001C0606"/>
    <w:rsid w:val="001C1B41"/>
    <w:rsid w:val="001C1D8F"/>
    <w:rsid w:val="001C702C"/>
    <w:rsid w:val="001D03F1"/>
    <w:rsid w:val="001D2E1D"/>
    <w:rsid w:val="001D57D6"/>
    <w:rsid w:val="001D5E78"/>
    <w:rsid w:val="001D65EF"/>
    <w:rsid w:val="001D6FBD"/>
    <w:rsid w:val="001D775D"/>
    <w:rsid w:val="001D7F96"/>
    <w:rsid w:val="001E24D6"/>
    <w:rsid w:val="001E49E7"/>
    <w:rsid w:val="001E574D"/>
    <w:rsid w:val="001E73E1"/>
    <w:rsid w:val="001F3EA5"/>
    <w:rsid w:val="001F7201"/>
    <w:rsid w:val="001F77D5"/>
    <w:rsid w:val="00202863"/>
    <w:rsid w:val="002030C1"/>
    <w:rsid w:val="00203172"/>
    <w:rsid w:val="0020437A"/>
    <w:rsid w:val="002057AF"/>
    <w:rsid w:val="00207AC3"/>
    <w:rsid w:val="00212FF2"/>
    <w:rsid w:val="00217223"/>
    <w:rsid w:val="002176A4"/>
    <w:rsid w:val="00223984"/>
    <w:rsid w:val="00223A29"/>
    <w:rsid w:val="002250A3"/>
    <w:rsid w:val="0023259B"/>
    <w:rsid w:val="00235217"/>
    <w:rsid w:val="002359E2"/>
    <w:rsid w:val="00236F8A"/>
    <w:rsid w:val="002376BA"/>
    <w:rsid w:val="00240814"/>
    <w:rsid w:val="00243044"/>
    <w:rsid w:val="00243616"/>
    <w:rsid w:val="00244208"/>
    <w:rsid w:val="00246D1F"/>
    <w:rsid w:val="00247403"/>
    <w:rsid w:val="00247542"/>
    <w:rsid w:val="00250690"/>
    <w:rsid w:val="00251FE0"/>
    <w:rsid w:val="00254C2D"/>
    <w:rsid w:val="00266B61"/>
    <w:rsid w:val="0026712A"/>
    <w:rsid w:val="002704DB"/>
    <w:rsid w:val="00271F4E"/>
    <w:rsid w:val="00273EA3"/>
    <w:rsid w:val="00275057"/>
    <w:rsid w:val="002805FA"/>
    <w:rsid w:val="00292C94"/>
    <w:rsid w:val="00293936"/>
    <w:rsid w:val="00296988"/>
    <w:rsid w:val="002A0AAE"/>
    <w:rsid w:val="002A46B8"/>
    <w:rsid w:val="002A56C9"/>
    <w:rsid w:val="002A5820"/>
    <w:rsid w:val="002B029A"/>
    <w:rsid w:val="002B25D9"/>
    <w:rsid w:val="002B4246"/>
    <w:rsid w:val="002B5AA7"/>
    <w:rsid w:val="002B6FEE"/>
    <w:rsid w:val="002B7E19"/>
    <w:rsid w:val="002C5D2E"/>
    <w:rsid w:val="002D2B26"/>
    <w:rsid w:val="002D394B"/>
    <w:rsid w:val="002D6CC4"/>
    <w:rsid w:val="002D6E65"/>
    <w:rsid w:val="002D7EA2"/>
    <w:rsid w:val="002E187C"/>
    <w:rsid w:val="002E4FC2"/>
    <w:rsid w:val="002E7AD8"/>
    <w:rsid w:val="002F02E6"/>
    <w:rsid w:val="002F23E1"/>
    <w:rsid w:val="00301AAD"/>
    <w:rsid w:val="00302733"/>
    <w:rsid w:val="0030292F"/>
    <w:rsid w:val="003044FA"/>
    <w:rsid w:val="0030581C"/>
    <w:rsid w:val="00305835"/>
    <w:rsid w:val="003065B8"/>
    <w:rsid w:val="00306A07"/>
    <w:rsid w:val="00306F33"/>
    <w:rsid w:val="0031243C"/>
    <w:rsid w:val="00314078"/>
    <w:rsid w:val="0031535D"/>
    <w:rsid w:val="00317A9F"/>
    <w:rsid w:val="00317DC2"/>
    <w:rsid w:val="003220D1"/>
    <w:rsid w:val="003239B8"/>
    <w:rsid w:val="003243B5"/>
    <w:rsid w:val="00327EF0"/>
    <w:rsid w:val="0033169F"/>
    <w:rsid w:val="003316E3"/>
    <w:rsid w:val="0033223B"/>
    <w:rsid w:val="003352C7"/>
    <w:rsid w:val="00340773"/>
    <w:rsid w:val="0034126B"/>
    <w:rsid w:val="00344977"/>
    <w:rsid w:val="00344D54"/>
    <w:rsid w:val="00346C95"/>
    <w:rsid w:val="00347CEE"/>
    <w:rsid w:val="00347F52"/>
    <w:rsid w:val="00351868"/>
    <w:rsid w:val="00356185"/>
    <w:rsid w:val="00356E40"/>
    <w:rsid w:val="003576D7"/>
    <w:rsid w:val="00360380"/>
    <w:rsid w:val="00370D53"/>
    <w:rsid w:val="00372523"/>
    <w:rsid w:val="0037519E"/>
    <w:rsid w:val="00375E07"/>
    <w:rsid w:val="00377C05"/>
    <w:rsid w:val="003804F2"/>
    <w:rsid w:val="00382AE2"/>
    <w:rsid w:val="00383298"/>
    <w:rsid w:val="00386CF0"/>
    <w:rsid w:val="003878C8"/>
    <w:rsid w:val="00390D8D"/>
    <w:rsid w:val="00394073"/>
    <w:rsid w:val="003942D7"/>
    <w:rsid w:val="00397AA5"/>
    <w:rsid w:val="003A6268"/>
    <w:rsid w:val="003B3299"/>
    <w:rsid w:val="003B4FC8"/>
    <w:rsid w:val="003B70FB"/>
    <w:rsid w:val="003C2E8A"/>
    <w:rsid w:val="003C52D9"/>
    <w:rsid w:val="003C5D09"/>
    <w:rsid w:val="003C676B"/>
    <w:rsid w:val="003D3BC2"/>
    <w:rsid w:val="003D5AD9"/>
    <w:rsid w:val="003D767F"/>
    <w:rsid w:val="003E119F"/>
    <w:rsid w:val="003E4BEF"/>
    <w:rsid w:val="003E66E0"/>
    <w:rsid w:val="003E6CA1"/>
    <w:rsid w:val="003F1AB2"/>
    <w:rsid w:val="003F5154"/>
    <w:rsid w:val="003F5F70"/>
    <w:rsid w:val="003F7F72"/>
    <w:rsid w:val="004008D3"/>
    <w:rsid w:val="00401C00"/>
    <w:rsid w:val="00403E93"/>
    <w:rsid w:val="00404800"/>
    <w:rsid w:val="00405F9C"/>
    <w:rsid w:val="004065A8"/>
    <w:rsid w:val="00407C76"/>
    <w:rsid w:val="00410D96"/>
    <w:rsid w:val="00411549"/>
    <w:rsid w:val="00415771"/>
    <w:rsid w:val="00415801"/>
    <w:rsid w:val="00415E06"/>
    <w:rsid w:val="004165C2"/>
    <w:rsid w:val="00417667"/>
    <w:rsid w:val="00423C4D"/>
    <w:rsid w:val="004241A0"/>
    <w:rsid w:val="00427218"/>
    <w:rsid w:val="004275AF"/>
    <w:rsid w:val="00433B06"/>
    <w:rsid w:val="00437E52"/>
    <w:rsid w:val="004409FC"/>
    <w:rsid w:val="00441E74"/>
    <w:rsid w:val="00441ECB"/>
    <w:rsid w:val="00442BC8"/>
    <w:rsid w:val="00443073"/>
    <w:rsid w:val="00445193"/>
    <w:rsid w:val="004456A0"/>
    <w:rsid w:val="00446492"/>
    <w:rsid w:val="00446EB6"/>
    <w:rsid w:val="00450066"/>
    <w:rsid w:val="00454AA5"/>
    <w:rsid w:val="00454FE0"/>
    <w:rsid w:val="00455183"/>
    <w:rsid w:val="004606B1"/>
    <w:rsid w:val="00460CED"/>
    <w:rsid w:val="004612F0"/>
    <w:rsid w:val="00462C1B"/>
    <w:rsid w:val="00462DC8"/>
    <w:rsid w:val="00462F22"/>
    <w:rsid w:val="00465FDF"/>
    <w:rsid w:val="00466210"/>
    <w:rsid w:val="00467B7E"/>
    <w:rsid w:val="004732EF"/>
    <w:rsid w:val="00473BB4"/>
    <w:rsid w:val="004752F8"/>
    <w:rsid w:val="00475A54"/>
    <w:rsid w:val="00477592"/>
    <w:rsid w:val="00480795"/>
    <w:rsid w:val="00483151"/>
    <w:rsid w:val="00486F1C"/>
    <w:rsid w:val="00490E25"/>
    <w:rsid w:val="00491EF2"/>
    <w:rsid w:val="00491FE9"/>
    <w:rsid w:val="00493BC9"/>
    <w:rsid w:val="0049419D"/>
    <w:rsid w:val="004A057B"/>
    <w:rsid w:val="004A0788"/>
    <w:rsid w:val="004A0BDC"/>
    <w:rsid w:val="004A1FEA"/>
    <w:rsid w:val="004A5A52"/>
    <w:rsid w:val="004A6A54"/>
    <w:rsid w:val="004B3885"/>
    <w:rsid w:val="004B421C"/>
    <w:rsid w:val="004B4BEC"/>
    <w:rsid w:val="004B5208"/>
    <w:rsid w:val="004C20D2"/>
    <w:rsid w:val="004C2312"/>
    <w:rsid w:val="004C3669"/>
    <w:rsid w:val="004C4B62"/>
    <w:rsid w:val="004C54C9"/>
    <w:rsid w:val="004D4ABA"/>
    <w:rsid w:val="004D5034"/>
    <w:rsid w:val="004D6025"/>
    <w:rsid w:val="004E2649"/>
    <w:rsid w:val="004E329A"/>
    <w:rsid w:val="004F04FA"/>
    <w:rsid w:val="004F2F4C"/>
    <w:rsid w:val="004F3018"/>
    <w:rsid w:val="004F305D"/>
    <w:rsid w:val="004F626F"/>
    <w:rsid w:val="004F7C62"/>
    <w:rsid w:val="00501399"/>
    <w:rsid w:val="00501E47"/>
    <w:rsid w:val="00503717"/>
    <w:rsid w:val="005047ED"/>
    <w:rsid w:val="0050633D"/>
    <w:rsid w:val="0050752C"/>
    <w:rsid w:val="00507BC4"/>
    <w:rsid w:val="005128E4"/>
    <w:rsid w:val="005133DB"/>
    <w:rsid w:val="00514504"/>
    <w:rsid w:val="005161D5"/>
    <w:rsid w:val="00520ACC"/>
    <w:rsid w:val="00521E1F"/>
    <w:rsid w:val="00525560"/>
    <w:rsid w:val="0053366B"/>
    <w:rsid w:val="005340A2"/>
    <w:rsid w:val="00540715"/>
    <w:rsid w:val="005407CA"/>
    <w:rsid w:val="00543B95"/>
    <w:rsid w:val="00543C6D"/>
    <w:rsid w:val="00544C49"/>
    <w:rsid w:val="005516A1"/>
    <w:rsid w:val="00551E9B"/>
    <w:rsid w:val="005559EF"/>
    <w:rsid w:val="00556993"/>
    <w:rsid w:val="005569A2"/>
    <w:rsid w:val="005575C0"/>
    <w:rsid w:val="00562C48"/>
    <w:rsid w:val="00563557"/>
    <w:rsid w:val="00564B7E"/>
    <w:rsid w:val="00567290"/>
    <w:rsid w:val="0057177A"/>
    <w:rsid w:val="0057402A"/>
    <w:rsid w:val="00574B1B"/>
    <w:rsid w:val="00574ED4"/>
    <w:rsid w:val="005750D5"/>
    <w:rsid w:val="005771D0"/>
    <w:rsid w:val="005819CE"/>
    <w:rsid w:val="0058470D"/>
    <w:rsid w:val="0059191A"/>
    <w:rsid w:val="005921FF"/>
    <w:rsid w:val="00595717"/>
    <w:rsid w:val="005A2382"/>
    <w:rsid w:val="005A24ED"/>
    <w:rsid w:val="005A6D0E"/>
    <w:rsid w:val="005B4603"/>
    <w:rsid w:val="005B4F6E"/>
    <w:rsid w:val="005B4F6F"/>
    <w:rsid w:val="005B52B0"/>
    <w:rsid w:val="005B6656"/>
    <w:rsid w:val="005B6806"/>
    <w:rsid w:val="005C026D"/>
    <w:rsid w:val="005C1208"/>
    <w:rsid w:val="005C188C"/>
    <w:rsid w:val="005C4225"/>
    <w:rsid w:val="005C523C"/>
    <w:rsid w:val="005C573A"/>
    <w:rsid w:val="005C763D"/>
    <w:rsid w:val="005D208A"/>
    <w:rsid w:val="005D3DE1"/>
    <w:rsid w:val="005D5138"/>
    <w:rsid w:val="005D72C7"/>
    <w:rsid w:val="005E0759"/>
    <w:rsid w:val="005E1DD4"/>
    <w:rsid w:val="005F0DAD"/>
    <w:rsid w:val="005F0F33"/>
    <w:rsid w:val="005F3476"/>
    <w:rsid w:val="005F36E8"/>
    <w:rsid w:val="005F53C0"/>
    <w:rsid w:val="00600DEB"/>
    <w:rsid w:val="00604D6F"/>
    <w:rsid w:val="00606831"/>
    <w:rsid w:val="006102B2"/>
    <w:rsid w:val="00610ACD"/>
    <w:rsid w:val="00612A0A"/>
    <w:rsid w:val="00613D63"/>
    <w:rsid w:val="00614362"/>
    <w:rsid w:val="00614BDA"/>
    <w:rsid w:val="00615363"/>
    <w:rsid w:val="00615ED5"/>
    <w:rsid w:val="006164D2"/>
    <w:rsid w:val="006175AF"/>
    <w:rsid w:val="00620C6F"/>
    <w:rsid w:val="00621F7A"/>
    <w:rsid w:val="00622B9E"/>
    <w:rsid w:val="006239DB"/>
    <w:rsid w:val="00626E5D"/>
    <w:rsid w:val="00627C9F"/>
    <w:rsid w:val="006311E9"/>
    <w:rsid w:val="00632354"/>
    <w:rsid w:val="00632C85"/>
    <w:rsid w:val="00635421"/>
    <w:rsid w:val="00635507"/>
    <w:rsid w:val="00637154"/>
    <w:rsid w:val="0063749F"/>
    <w:rsid w:val="00641AA8"/>
    <w:rsid w:val="00641AAA"/>
    <w:rsid w:val="00641FED"/>
    <w:rsid w:val="00642810"/>
    <w:rsid w:val="00642B15"/>
    <w:rsid w:val="00642FFE"/>
    <w:rsid w:val="0064359E"/>
    <w:rsid w:val="006444C5"/>
    <w:rsid w:val="00645171"/>
    <w:rsid w:val="006508E0"/>
    <w:rsid w:val="0065198A"/>
    <w:rsid w:val="00652333"/>
    <w:rsid w:val="006532B5"/>
    <w:rsid w:val="00654333"/>
    <w:rsid w:val="006563B7"/>
    <w:rsid w:val="006708AE"/>
    <w:rsid w:val="006714C6"/>
    <w:rsid w:val="00674878"/>
    <w:rsid w:val="0068009E"/>
    <w:rsid w:val="00680EAD"/>
    <w:rsid w:val="00686A71"/>
    <w:rsid w:val="00690221"/>
    <w:rsid w:val="00690DEA"/>
    <w:rsid w:val="00692219"/>
    <w:rsid w:val="0069400D"/>
    <w:rsid w:val="006A08C4"/>
    <w:rsid w:val="006A0CE8"/>
    <w:rsid w:val="006A17D2"/>
    <w:rsid w:val="006A2AAD"/>
    <w:rsid w:val="006A52DB"/>
    <w:rsid w:val="006A5F70"/>
    <w:rsid w:val="006A61E4"/>
    <w:rsid w:val="006A68DD"/>
    <w:rsid w:val="006A73E6"/>
    <w:rsid w:val="006A76CB"/>
    <w:rsid w:val="006B12CF"/>
    <w:rsid w:val="006B20E3"/>
    <w:rsid w:val="006B275F"/>
    <w:rsid w:val="006B2D5C"/>
    <w:rsid w:val="006B3A1B"/>
    <w:rsid w:val="006B5C86"/>
    <w:rsid w:val="006B7D02"/>
    <w:rsid w:val="006C0ECF"/>
    <w:rsid w:val="006C3654"/>
    <w:rsid w:val="006C4EB1"/>
    <w:rsid w:val="006C4EF6"/>
    <w:rsid w:val="006C75B8"/>
    <w:rsid w:val="006D1131"/>
    <w:rsid w:val="006D47DE"/>
    <w:rsid w:val="006D76FF"/>
    <w:rsid w:val="006D7F02"/>
    <w:rsid w:val="006E0166"/>
    <w:rsid w:val="006E2FFB"/>
    <w:rsid w:val="006E7B34"/>
    <w:rsid w:val="006F6BED"/>
    <w:rsid w:val="007021BC"/>
    <w:rsid w:val="0070697F"/>
    <w:rsid w:val="00707D78"/>
    <w:rsid w:val="007103C4"/>
    <w:rsid w:val="00712208"/>
    <w:rsid w:val="00717A6F"/>
    <w:rsid w:val="00720FA3"/>
    <w:rsid w:val="0072199C"/>
    <w:rsid w:val="00722C9F"/>
    <w:rsid w:val="007253B8"/>
    <w:rsid w:val="007265F1"/>
    <w:rsid w:val="00732E17"/>
    <w:rsid w:val="0073709A"/>
    <w:rsid w:val="0073741F"/>
    <w:rsid w:val="00737E5A"/>
    <w:rsid w:val="00740120"/>
    <w:rsid w:val="00740E71"/>
    <w:rsid w:val="0074282A"/>
    <w:rsid w:val="0074449B"/>
    <w:rsid w:val="007461AD"/>
    <w:rsid w:val="00746BF7"/>
    <w:rsid w:val="00747928"/>
    <w:rsid w:val="007504E8"/>
    <w:rsid w:val="00750585"/>
    <w:rsid w:val="00750E86"/>
    <w:rsid w:val="00752CB4"/>
    <w:rsid w:val="00756BC1"/>
    <w:rsid w:val="00756EC5"/>
    <w:rsid w:val="00760CF2"/>
    <w:rsid w:val="00762207"/>
    <w:rsid w:val="00762B4F"/>
    <w:rsid w:val="0076413F"/>
    <w:rsid w:val="00764910"/>
    <w:rsid w:val="00766268"/>
    <w:rsid w:val="0076641D"/>
    <w:rsid w:val="0076643F"/>
    <w:rsid w:val="00767486"/>
    <w:rsid w:val="00767B01"/>
    <w:rsid w:val="007723E0"/>
    <w:rsid w:val="00774065"/>
    <w:rsid w:val="007744B6"/>
    <w:rsid w:val="00774A3D"/>
    <w:rsid w:val="00776EA6"/>
    <w:rsid w:val="00777F63"/>
    <w:rsid w:val="0078046C"/>
    <w:rsid w:val="00780956"/>
    <w:rsid w:val="0078095F"/>
    <w:rsid w:val="0078256C"/>
    <w:rsid w:val="00797C15"/>
    <w:rsid w:val="007A0ABF"/>
    <w:rsid w:val="007A5769"/>
    <w:rsid w:val="007A5817"/>
    <w:rsid w:val="007A5BC5"/>
    <w:rsid w:val="007B05C4"/>
    <w:rsid w:val="007B0A06"/>
    <w:rsid w:val="007B2EBB"/>
    <w:rsid w:val="007B60E9"/>
    <w:rsid w:val="007B6CC3"/>
    <w:rsid w:val="007B76D3"/>
    <w:rsid w:val="007C3334"/>
    <w:rsid w:val="007C715A"/>
    <w:rsid w:val="007D08D7"/>
    <w:rsid w:val="007D21E9"/>
    <w:rsid w:val="007D2B98"/>
    <w:rsid w:val="007D60F5"/>
    <w:rsid w:val="007E21BC"/>
    <w:rsid w:val="007E563E"/>
    <w:rsid w:val="007E7C82"/>
    <w:rsid w:val="007F12C1"/>
    <w:rsid w:val="007F1907"/>
    <w:rsid w:val="007F2AA1"/>
    <w:rsid w:val="007F2BA5"/>
    <w:rsid w:val="007F588D"/>
    <w:rsid w:val="007F74EE"/>
    <w:rsid w:val="008013AE"/>
    <w:rsid w:val="00803F1C"/>
    <w:rsid w:val="0080600E"/>
    <w:rsid w:val="00810C95"/>
    <w:rsid w:val="00811C8F"/>
    <w:rsid w:val="00814688"/>
    <w:rsid w:val="0081655B"/>
    <w:rsid w:val="00817612"/>
    <w:rsid w:val="008261C9"/>
    <w:rsid w:val="00830070"/>
    <w:rsid w:val="00830AAC"/>
    <w:rsid w:val="008333E0"/>
    <w:rsid w:val="008338A4"/>
    <w:rsid w:val="00834D49"/>
    <w:rsid w:val="00837C45"/>
    <w:rsid w:val="0084046B"/>
    <w:rsid w:val="00842DB1"/>
    <w:rsid w:val="00844730"/>
    <w:rsid w:val="008457C2"/>
    <w:rsid w:val="00847101"/>
    <w:rsid w:val="00857A82"/>
    <w:rsid w:val="008646F3"/>
    <w:rsid w:val="00865C99"/>
    <w:rsid w:val="00865E9E"/>
    <w:rsid w:val="00872630"/>
    <w:rsid w:val="00873836"/>
    <w:rsid w:val="008747D5"/>
    <w:rsid w:val="008748FB"/>
    <w:rsid w:val="00877BA0"/>
    <w:rsid w:val="0088043E"/>
    <w:rsid w:val="00881258"/>
    <w:rsid w:val="00882D28"/>
    <w:rsid w:val="00883319"/>
    <w:rsid w:val="00884041"/>
    <w:rsid w:val="00885737"/>
    <w:rsid w:val="00890650"/>
    <w:rsid w:val="00891227"/>
    <w:rsid w:val="008944DC"/>
    <w:rsid w:val="00895E24"/>
    <w:rsid w:val="00897E12"/>
    <w:rsid w:val="008A48C8"/>
    <w:rsid w:val="008A5913"/>
    <w:rsid w:val="008A7E0F"/>
    <w:rsid w:val="008B12F5"/>
    <w:rsid w:val="008B382D"/>
    <w:rsid w:val="008B75EB"/>
    <w:rsid w:val="008C1F6E"/>
    <w:rsid w:val="008C4DEE"/>
    <w:rsid w:val="008C5E2D"/>
    <w:rsid w:val="008D3A3B"/>
    <w:rsid w:val="008D3F77"/>
    <w:rsid w:val="008D768D"/>
    <w:rsid w:val="008E021C"/>
    <w:rsid w:val="008E3759"/>
    <w:rsid w:val="008E3BFE"/>
    <w:rsid w:val="008F1912"/>
    <w:rsid w:val="008F6478"/>
    <w:rsid w:val="0090270B"/>
    <w:rsid w:val="00902D62"/>
    <w:rsid w:val="009036AD"/>
    <w:rsid w:val="009041DC"/>
    <w:rsid w:val="00913E68"/>
    <w:rsid w:val="009147ED"/>
    <w:rsid w:val="00916596"/>
    <w:rsid w:val="00917B5A"/>
    <w:rsid w:val="0092044D"/>
    <w:rsid w:val="00920A58"/>
    <w:rsid w:val="00920A8C"/>
    <w:rsid w:val="009216DE"/>
    <w:rsid w:val="0092229A"/>
    <w:rsid w:val="009242B0"/>
    <w:rsid w:val="00924C32"/>
    <w:rsid w:val="00926258"/>
    <w:rsid w:val="00926566"/>
    <w:rsid w:val="00926E4C"/>
    <w:rsid w:val="00930D3E"/>
    <w:rsid w:val="0093321C"/>
    <w:rsid w:val="00934A2C"/>
    <w:rsid w:val="00944F3F"/>
    <w:rsid w:val="009456AC"/>
    <w:rsid w:val="00960EDD"/>
    <w:rsid w:val="009624F7"/>
    <w:rsid w:val="009627FF"/>
    <w:rsid w:val="0096706E"/>
    <w:rsid w:val="00967C75"/>
    <w:rsid w:val="009735E7"/>
    <w:rsid w:val="00974491"/>
    <w:rsid w:val="00975C4E"/>
    <w:rsid w:val="0097776C"/>
    <w:rsid w:val="00977E3C"/>
    <w:rsid w:val="00981FBA"/>
    <w:rsid w:val="009847C6"/>
    <w:rsid w:val="00986466"/>
    <w:rsid w:val="009935AC"/>
    <w:rsid w:val="00997BC5"/>
    <w:rsid w:val="009A4F41"/>
    <w:rsid w:val="009A56CE"/>
    <w:rsid w:val="009A7E67"/>
    <w:rsid w:val="009B0E68"/>
    <w:rsid w:val="009B381B"/>
    <w:rsid w:val="009B3A68"/>
    <w:rsid w:val="009B418D"/>
    <w:rsid w:val="009B53CC"/>
    <w:rsid w:val="009B7814"/>
    <w:rsid w:val="009C0A2D"/>
    <w:rsid w:val="009C1847"/>
    <w:rsid w:val="009C1F97"/>
    <w:rsid w:val="009D1753"/>
    <w:rsid w:val="009D2C17"/>
    <w:rsid w:val="009D701E"/>
    <w:rsid w:val="009D7611"/>
    <w:rsid w:val="009E0B61"/>
    <w:rsid w:val="009E3950"/>
    <w:rsid w:val="009E53DE"/>
    <w:rsid w:val="009E5564"/>
    <w:rsid w:val="009E730E"/>
    <w:rsid w:val="009E7742"/>
    <w:rsid w:val="009F1577"/>
    <w:rsid w:val="009F1A8A"/>
    <w:rsid w:val="009F223F"/>
    <w:rsid w:val="009F265B"/>
    <w:rsid w:val="009F5158"/>
    <w:rsid w:val="00A0092A"/>
    <w:rsid w:val="00A011F7"/>
    <w:rsid w:val="00A0332A"/>
    <w:rsid w:val="00A04E5F"/>
    <w:rsid w:val="00A11212"/>
    <w:rsid w:val="00A1151B"/>
    <w:rsid w:val="00A11E44"/>
    <w:rsid w:val="00A15562"/>
    <w:rsid w:val="00A20646"/>
    <w:rsid w:val="00A2190C"/>
    <w:rsid w:val="00A2546C"/>
    <w:rsid w:val="00A30100"/>
    <w:rsid w:val="00A31134"/>
    <w:rsid w:val="00A328B3"/>
    <w:rsid w:val="00A341F1"/>
    <w:rsid w:val="00A34824"/>
    <w:rsid w:val="00A369CF"/>
    <w:rsid w:val="00A4670B"/>
    <w:rsid w:val="00A46F73"/>
    <w:rsid w:val="00A472ED"/>
    <w:rsid w:val="00A50FCF"/>
    <w:rsid w:val="00A512D5"/>
    <w:rsid w:val="00A528D1"/>
    <w:rsid w:val="00A54452"/>
    <w:rsid w:val="00A60FC7"/>
    <w:rsid w:val="00A610CD"/>
    <w:rsid w:val="00A65D06"/>
    <w:rsid w:val="00A674F4"/>
    <w:rsid w:val="00A71259"/>
    <w:rsid w:val="00A72F3B"/>
    <w:rsid w:val="00A758AA"/>
    <w:rsid w:val="00A85053"/>
    <w:rsid w:val="00A9077C"/>
    <w:rsid w:val="00A90A48"/>
    <w:rsid w:val="00A94644"/>
    <w:rsid w:val="00A955A9"/>
    <w:rsid w:val="00AA09A2"/>
    <w:rsid w:val="00AA10D3"/>
    <w:rsid w:val="00AA4254"/>
    <w:rsid w:val="00AA43DE"/>
    <w:rsid w:val="00AA4767"/>
    <w:rsid w:val="00AA4F86"/>
    <w:rsid w:val="00AA5638"/>
    <w:rsid w:val="00AA678C"/>
    <w:rsid w:val="00AA7996"/>
    <w:rsid w:val="00AB08C2"/>
    <w:rsid w:val="00AB2236"/>
    <w:rsid w:val="00AB62B1"/>
    <w:rsid w:val="00AB68E0"/>
    <w:rsid w:val="00AB6D37"/>
    <w:rsid w:val="00AC19CB"/>
    <w:rsid w:val="00AC4131"/>
    <w:rsid w:val="00AC5E64"/>
    <w:rsid w:val="00AC604A"/>
    <w:rsid w:val="00AD527D"/>
    <w:rsid w:val="00AE32A9"/>
    <w:rsid w:val="00AE5488"/>
    <w:rsid w:val="00AE63D9"/>
    <w:rsid w:val="00AE68D1"/>
    <w:rsid w:val="00AE6F91"/>
    <w:rsid w:val="00AF0138"/>
    <w:rsid w:val="00AF3176"/>
    <w:rsid w:val="00AF5571"/>
    <w:rsid w:val="00B013E9"/>
    <w:rsid w:val="00B01A4A"/>
    <w:rsid w:val="00B02C08"/>
    <w:rsid w:val="00B04818"/>
    <w:rsid w:val="00B0643A"/>
    <w:rsid w:val="00B07341"/>
    <w:rsid w:val="00B07981"/>
    <w:rsid w:val="00B110D2"/>
    <w:rsid w:val="00B11D5E"/>
    <w:rsid w:val="00B1214F"/>
    <w:rsid w:val="00B13353"/>
    <w:rsid w:val="00B13667"/>
    <w:rsid w:val="00B15B87"/>
    <w:rsid w:val="00B2600B"/>
    <w:rsid w:val="00B2793E"/>
    <w:rsid w:val="00B27B65"/>
    <w:rsid w:val="00B303F7"/>
    <w:rsid w:val="00B30539"/>
    <w:rsid w:val="00B314DB"/>
    <w:rsid w:val="00B33BDC"/>
    <w:rsid w:val="00B361F2"/>
    <w:rsid w:val="00B3718B"/>
    <w:rsid w:val="00B3745F"/>
    <w:rsid w:val="00B414D3"/>
    <w:rsid w:val="00B42152"/>
    <w:rsid w:val="00B4297F"/>
    <w:rsid w:val="00B43E96"/>
    <w:rsid w:val="00B443C7"/>
    <w:rsid w:val="00B46084"/>
    <w:rsid w:val="00B4632A"/>
    <w:rsid w:val="00B4793C"/>
    <w:rsid w:val="00B530F1"/>
    <w:rsid w:val="00B532E7"/>
    <w:rsid w:val="00B542C6"/>
    <w:rsid w:val="00B55ED2"/>
    <w:rsid w:val="00B65EB4"/>
    <w:rsid w:val="00B662AC"/>
    <w:rsid w:val="00B66DD0"/>
    <w:rsid w:val="00B7111B"/>
    <w:rsid w:val="00B7186E"/>
    <w:rsid w:val="00B71F04"/>
    <w:rsid w:val="00B73754"/>
    <w:rsid w:val="00B74E47"/>
    <w:rsid w:val="00B774D8"/>
    <w:rsid w:val="00B84DAA"/>
    <w:rsid w:val="00B84FCE"/>
    <w:rsid w:val="00B8526F"/>
    <w:rsid w:val="00B9134D"/>
    <w:rsid w:val="00B92AC2"/>
    <w:rsid w:val="00B93D7F"/>
    <w:rsid w:val="00B9501A"/>
    <w:rsid w:val="00B961CF"/>
    <w:rsid w:val="00BA1187"/>
    <w:rsid w:val="00BA276C"/>
    <w:rsid w:val="00BA456A"/>
    <w:rsid w:val="00BA721B"/>
    <w:rsid w:val="00BB019D"/>
    <w:rsid w:val="00BB01DC"/>
    <w:rsid w:val="00BB306F"/>
    <w:rsid w:val="00BB4EDC"/>
    <w:rsid w:val="00BB6523"/>
    <w:rsid w:val="00BC1458"/>
    <w:rsid w:val="00BC4E42"/>
    <w:rsid w:val="00BD01F0"/>
    <w:rsid w:val="00BD0FF5"/>
    <w:rsid w:val="00BD2413"/>
    <w:rsid w:val="00BD34E9"/>
    <w:rsid w:val="00BD4B89"/>
    <w:rsid w:val="00BD5922"/>
    <w:rsid w:val="00BE1CD1"/>
    <w:rsid w:val="00BE2414"/>
    <w:rsid w:val="00BE29B8"/>
    <w:rsid w:val="00BE3CD0"/>
    <w:rsid w:val="00BE5E6F"/>
    <w:rsid w:val="00BF02CB"/>
    <w:rsid w:val="00BF0BA6"/>
    <w:rsid w:val="00BF47EB"/>
    <w:rsid w:val="00BF6FD8"/>
    <w:rsid w:val="00C03680"/>
    <w:rsid w:val="00C054DF"/>
    <w:rsid w:val="00C056CD"/>
    <w:rsid w:val="00C05B7F"/>
    <w:rsid w:val="00C06DDD"/>
    <w:rsid w:val="00C06E9D"/>
    <w:rsid w:val="00C07135"/>
    <w:rsid w:val="00C10C16"/>
    <w:rsid w:val="00C11E3E"/>
    <w:rsid w:val="00C128BE"/>
    <w:rsid w:val="00C21762"/>
    <w:rsid w:val="00C21FEF"/>
    <w:rsid w:val="00C23BA4"/>
    <w:rsid w:val="00C24543"/>
    <w:rsid w:val="00C256A2"/>
    <w:rsid w:val="00C25ADB"/>
    <w:rsid w:val="00C2767A"/>
    <w:rsid w:val="00C31C1A"/>
    <w:rsid w:val="00C33714"/>
    <w:rsid w:val="00C37DE2"/>
    <w:rsid w:val="00C41D8A"/>
    <w:rsid w:val="00C4275E"/>
    <w:rsid w:val="00C466BD"/>
    <w:rsid w:val="00C47401"/>
    <w:rsid w:val="00C477EC"/>
    <w:rsid w:val="00C51515"/>
    <w:rsid w:val="00C5660B"/>
    <w:rsid w:val="00C56BA3"/>
    <w:rsid w:val="00C60769"/>
    <w:rsid w:val="00C6183C"/>
    <w:rsid w:val="00C642D2"/>
    <w:rsid w:val="00C660E9"/>
    <w:rsid w:val="00C66B72"/>
    <w:rsid w:val="00C71BEE"/>
    <w:rsid w:val="00C72196"/>
    <w:rsid w:val="00C7310B"/>
    <w:rsid w:val="00C732FC"/>
    <w:rsid w:val="00C74157"/>
    <w:rsid w:val="00C75645"/>
    <w:rsid w:val="00C76FA2"/>
    <w:rsid w:val="00C847E9"/>
    <w:rsid w:val="00C85A0A"/>
    <w:rsid w:val="00C87AC4"/>
    <w:rsid w:val="00C90453"/>
    <w:rsid w:val="00C922AE"/>
    <w:rsid w:val="00C9567A"/>
    <w:rsid w:val="00CA5EDC"/>
    <w:rsid w:val="00CA7141"/>
    <w:rsid w:val="00CA757F"/>
    <w:rsid w:val="00CB212D"/>
    <w:rsid w:val="00CB22D9"/>
    <w:rsid w:val="00CB2310"/>
    <w:rsid w:val="00CB2660"/>
    <w:rsid w:val="00CB307F"/>
    <w:rsid w:val="00CB6609"/>
    <w:rsid w:val="00CB7A35"/>
    <w:rsid w:val="00CB7AEB"/>
    <w:rsid w:val="00CB7E3D"/>
    <w:rsid w:val="00CC5B6F"/>
    <w:rsid w:val="00CC5E90"/>
    <w:rsid w:val="00CC692B"/>
    <w:rsid w:val="00CC743E"/>
    <w:rsid w:val="00CC75E3"/>
    <w:rsid w:val="00CD046C"/>
    <w:rsid w:val="00CD2F33"/>
    <w:rsid w:val="00CD4147"/>
    <w:rsid w:val="00CD4CEB"/>
    <w:rsid w:val="00CD6B06"/>
    <w:rsid w:val="00CE076C"/>
    <w:rsid w:val="00CE5199"/>
    <w:rsid w:val="00CE66D5"/>
    <w:rsid w:val="00CE7F73"/>
    <w:rsid w:val="00CF2564"/>
    <w:rsid w:val="00CF288C"/>
    <w:rsid w:val="00CF637A"/>
    <w:rsid w:val="00CF652C"/>
    <w:rsid w:val="00D0437A"/>
    <w:rsid w:val="00D04DCC"/>
    <w:rsid w:val="00D059DE"/>
    <w:rsid w:val="00D05ABD"/>
    <w:rsid w:val="00D067A0"/>
    <w:rsid w:val="00D11074"/>
    <w:rsid w:val="00D112FE"/>
    <w:rsid w:val="00D1193C"/>
    <w:rsid w:val="00D12BAD"/>
    <w:rsid w:val="00D12C1F"/>
    <w:rsid w:val="00D13FCE"/>
    <w:rsid w:val="00D14706"/>
    <w:rsid w:val="00D179F3"/>
    <w:rsid w:val="00D17EA2"/>
    <w:rsid w:val="00D213B5"/>
    <w:rsid w:val="00D2414C"/>
    <w:rsid w:val="00D25290"/>
    <w:rsid w:val="00D306D1"/>
    <w:rsid w:val="00D30800"/>
    <w:rsid w:val="00D34477"/>
    <w:rsid w:val="00D34786"/>
    <w:rsid w:val="00D3509C"/>
    <w:rsid w:val="00D37BFC"/>
    <w:rsid w:val="00D4366E"/>
    <w:rsid w:val="00D442AA"/>
    <w:rsid w:val="00D47A8E"/>
    <w:rsid w:val="00D47F3A"/>
    <w:rsid w:val="00D52D14"/>
    <w:rsid w:val="00D570B9"/>
    <w:rsid w:val="00D621DC"/>
    <w:rsid w:val="00D70A4C"/>
    <w:rsid w:val="00D71063"/>
    <w:rsid w:val="00D712D3"/>
    <w:rsid w:val="00D71422"/>
    <w:rsid w:val="00D719BA"/>
    <w:rsid w:val="00D71CF6"/>
    <w:rsid w:val="00D72100"/>
    <w:rsid w:val="00D72DC6"/>
    <w:rsid w:val="00D73CE6"/>
    <w:rsid w:val="00D74650"/>
    <w:rsid w:val="00D7558D"/>
    <w:rsid w:val="00D763F3"/>
    <w:rsid w:val="00D76E0A"/>
    <w:rsid w:val="00D77782"/>
    <w:rsid w:val="00D801E0"/>
    <w:rsid w:val="00D80DE9"/>
    <w:rsid w:val="00D81D92"/>
    <w:rsid w:val="00D85B7C"/>
    <w:rsid w:val="00D876F9"/>
    <w:rsid w:val="00D95A2D"/>
    <w:rsid w:val="00D9743A"/>
    <w:rsid w:val="00DA1036"/>
    <w:rsid w:val="00DA1CC2"/>
    <w:rsid w:val="00DA5360"/>
    <w:rsid w:val="00DA7B5F"/>
    <w:rsid w:val="00DB3C52"/>
    <w:rsid w:val="00DB5261"/>
    <w:rsid w:val="00DC006E"/>
    <w:rsid w:val="00DC0839"/>
    <w:rsid w:val="00DC11E7"/>
    <w:rsid w:val="00DC24E3"/>
    <w:rsid w:val="00DC3047"/>
    <w:rsid w:val="00DC520C"/>
    <w:rsid w:val="00DC5D1B"/>
    <w:rsid w:val="00DC7023"/>
    <w:rsid w:val="00DC769A"/>
    <w:rsid w:val="00DD3D86"/>
    <w:rsid w:val="00DD4AD2"/>
    <w:rsid w:val="00DD7C7D"/>
    <w:rsid w:val="00DE18AA"/>
    <w:rsid w:val="00DE2862"/>
    <w:rsid w:val="00DE2B2F"/>
    <w:rsid w:val="00DE65C2"/>
    <w:rsid w:val="00DF1EC4"/>
    <w:rsid w:val="00DF221F"/>
    <w:rsid w:val="00DF725A"/>
    <w:rsid w:val="00E02224"/>
    <w:rsid w:val="00E0340B"/>
    <w:rsid w:val="00E043E2"/>
    <w:rsid w:val="00E04A90"/>
    <w:rsid w:val="00E0551F"/>
    <w:rsid w:val="00E05A68"/>
    <w:rsid w:val="00E1142F"/>
    <w:rsid w:val="00E11650"/>
    <w:rsid w:val="00E11C2E"/>
    <w:rsid w:val="00E122AF"/>
    <w:rsid w:val="00E1500C"/>
    <w:rsid w:val="00E1574D"/>
    <w:rsid w:val="00E16043"/>
    <w:rsid w:val="00E219C7"/>
    <w:rsid w:val="00E22609"/>
    <w:rsid w:val="00E248AB"/>
    <w:rsid w:val="00E24C5A"/>
    <w:rsid w:val="00E26277"/>
    <w:rsid w:val="00E2633B"/>
    <w:rsid w:val="00E269F1"/>
    <w:rsid w:val="00E33B8B"/>
    <w:rsid w:val="00E4118C"/>
    <w:rsid w:val="00E43157"/>
    <w:rsid w:val="00E461CE"/>
    <w:rsid w:val="00E473D7"/>
    <w:rsid w:val="00E53400"/>
    <w:rsid w:val="00E53FB0"/>
    <w:rsid w:val="00E55E92"/>
    <w:rsid w:val="00E566BE"/>
    <w:rsid w:val="00E573E4"/>
    <w:rsid w:val="00E64C3D"/>
    <w:rsid w:val="00E66DCD"/>
    <w:rsid w:val="00E70122"/>
    <w:rsid w:val="00E720CA"/>
    <w:rsid w:val="00E768F6"/>
    <w:rsid w:val="00E76E06"/>
    <w:rsid w:val="00E800BD"/>
    <w:rsid w:val="00E812D0"/>
    <w:rsid w:val="00E81728"/>
    <w:rsid w:val="00E81E3B"/>
    <w:rsid w:val="00E82093"/>
    <w:rsid w:val="00E83697"/>
    <w:rsid w:val="00E83EEA"/>
    <w:rsid w:val="00E84EB5"/>
    <w:rsid w:val="00E85662"/>
    <w:rsid w:val="00E8789F"/>
    <w:rsid w:val="00E92D57"/>
    <w:rsid w:val="00E93292"/>
    <w:rsid w:val="00E96261"/>
    <w:rsid w:val="00E97B71"/>
    <w:rsid w:val="00EA1847"/>
    <w:rsid w:val="00EA250A"/>
    <w:rsid w:val="00EA3C33"/>
    <w:rsid w:val="00EA3D34"/>
    <w:rsid w:val="00EA5A0A"/>
    <w:rsid w:val="00EB1B06"/>
    <w:rsid w:val="00EB1DBE"/>
    <w:rsid w:val="00EB454D"/>
    <w:rsid w:val="00EB4EC7"/>
    <w:rsid w:val="00EB7D79"/>
    <w:rsid w:val="00EB7E86"/>
    <w:rsid w:val="00EC20E5"/>
    <w:rsid w:val="00EC671C"/>
    <w:rsid w:val="00ED549D"/>
    <w:rsid w:val="00ED5E10"/>
    <w:rsid w:val="00ED76BE"/>
    <w:rsid w:val="00EE00E9"/>
    <w:rsid w:val="00EE16E6"/>
    <w:rsid w:val="00EE1A19"/>
    <w:rsid w:val="00EE3C26"/>
    <w:rsid w:val="00EE527A"/>
    <w:rsid w:val="00EF0A32"/>
    <w:rsid w:val="00EF1AAA"/>
    <w:rsid w:val="00EF1BBD"/>
    <w:rsid w:val="00EF5DAD"/>
    <w:rsid w:val="00EF619B"/>
    <w:rsid w:val="00EF7E48"/>
    <w:rsid w:val="00F00B55"/>
    <w:rsid w:val="00F01BCD"/>
    <w:rsid w:val="00F02AD1"/>
    <w:rsid w:val="00F05541"/>
    <w:rsid w:val="00F1223E"/>
    <w:rsid w:val="00F12A17"/>
    <w:rsid w:val="00F13AD0"/>
    <w:rsid w:val="00F141B5"/>
    <w:rsid w:val="00F15B64"/>
    <w:rsid w:val="00F240F7"/>
    <w:rsid w:val="00F250B6"/>
    <w:rsid w:val="00F253CC"/>
    <w:rsid w:val="00F27ED9"/>
    <w:rsid w:val="00F30A9D"/>
    <w:rsid w:val="00F310CE"/>
    <w:rsid w:val="00F33C62"/>
    <w:rsid w:val="00F35D13"/>
    <w:rsid w:val="00F37106"/>
    <w:rsid w:val="00F41123"/>
    <w:rsid w:val="00F435AC"/>
    <w:rsid w:val="00F44E25"/>
    <w:rsid w:val="00F454EE"/>
    <w:rsid w:val="00F45C3E"/>
    <w:rsid w:val="00F519CF"/>
    <w:rsid w:val="00F51D72"/>
    <w:rsid w:val="00F528C1"/>
    <w:rsid w:val="00F53AC8"/>
    <w:rsid w:val="00F56BA5"/>
    <w:rsid w:val="00F56ECB"/>
    <w:rsid w:val="00F572F6"/>
    <w:rsid w:val="00F60E22"/>
    <w:rsid w:val="00F677EC"/>
    <w:rsid w:val="00F722CD"/>
    <w:rsid w:val="00F7295D"/>
    <w:rsid w:val="00F7324E"/>
    <w:rsid w:val="00F76F7C"/>
    <w:rsid w:val="00F80297"/>
    <w:rsid w:val="00F81395"/>
    <w:rsid w:val="00F813CB"/>
    <w:rsid w:val="00F81BB8"/>
    <w:rsid w:val="00F81F20"/>
    <w:rsid w:val="00F90100"/>
    <w:rsid w:val="00F90C64"/>
    <w:rsid w:val="00F911DB"/>
    <w:rsid w:val="00F917D1"/>
    <w:rsid w:val="00F91E77"/>
    <w:rsid w:val="00F94E18"/>
    <w:rsid w:val="00F9653B"/>
    <w:rsid w:val="00F967B0"/>
    <w:rsid w:val="00FA3AEF"/>
    <w:rsid w:val="00FA7252"/>
    <w:rsid w:val="00FB1A00"/>
    <w:rsid w:val="00FB3EC4"/>
    <w:rsid w:val="00FB62CF"/>
    <w:rsid w:val="00FB7CC1"/>
    <w:rsid w:val="00FC57E7"/>
    <w:rsid w:val="00FC6125"/>
    <w:rsid w:val="00FC641E"/>
    <w:rsid w:val="00FC6CDC"/>
    <w:rsid w:val="00FD148D"/>
    <w:rsid w:val="00FD14AE"/>
    <w:rsid w:val="00FD3C3B"/>
    <w:rsid w:val="00FD481F"/>
    <w:rsid w:val="00FD5AD9"/>
    <w:rsid w:val="00FE07DD"/>
    <w:rsid w:val="00FE6B45"/>
    <w:rsid w:val="00FF1EE4"/>
    <w:rsid w:val="00FF3286"/>
    <w:rsid w:val="00FF4347"/>
    <w:rsid w:val="00FF559D"/>
    <w:rsid w:val="00FF55F3"/>
    <w:rsid w:val="00FF5851"/>
    <w:rsid w:val="00FF6087"/>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1978D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1978D9"/>
    <w:pPr>
      <w:keepNext w:val="0"/>
      <w:keepLines w:val="0"/>
      <w:numPr>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8329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5B4F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5Char">
    <w:name w:val="Heading 5 Char"/>
    <w:basedOn w:val="DefaultParagraphFont"/>
    <w:link w:val="Heading5"/>
    <w:uiPriority w:val="9"/>
    <w:rsid w:val="001978D9"/>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1978D9"/>
    <w:rPr>
      <w:rFonts w:asciiTheme="majorHAnsi" w:eastAsiaTheme="majorEastAsia" w:hAnsiTheme="majorHAnsi" w:cstheme="majorBidi"/>
      <w:i/>
      <w:iCs/>
      <w:color w:val="365F91" w:themeColor="accent1" w:themeShade="BF"/>
      <w:sz w:val="24"/>
      <w:szCs w:val="24"/>
      <w:lang w:val="en-US" w:eastAsia="en-US"/>
    </w:rPr>
  </w:style>
  <w:style w:type="paragraph" w:styleId="Revision">
    <w:name w:val="Revision"/>
    <w:hidden/>
    <w:uiPriority w:val="99"/>
    <w:semiHidden/>
    <w:rsid w:val="00543B9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DA5360"/>
    <w:rPr>
      <w:sz w:val="16"/>
      <w:szCs w:val="16"/>
    </w:rPr>
  </w:style>
  <w:style w:type="paragraph" w:styleId="CommentText">
    <w:name w:val="annotation text"/>
    <w:basedOn w:val="Normal"/>
    <w:link w:val="CommentTextChar"/>
    <w:uiPriority w:val="99"/>
    <w:unhideWhenUsed/>
    <w:rsid w:val="00DA5360"/>
    <w:rPr>
      <w:sz w:val="20"/>
      <w:szCs w:val="20"/>
    </w:rPr>
  </w:style>
  <w:style w:type="character" w:customStyle="1" w:styleId="CommentTextChar">
    <w:name w:val="Comment Text Char"/>
    <w:basedOn w:val="DefaultParagraphFont"/>
    <w:link w:val="CommentText"/>
    <w:uiPriority w:val="99"/>
    <w:rsid w:val="00DA5360"/>
    <w:rPr>
      <w:lang w:val="en-US" w:eastAsia="en-US"/>
    </w:rPr>
  </w:style>
  <w:style w:type="paragraph" w:styleId="CommentSubject">
    <w:name w:val="annotation subject"/>
    <w:basedOn w:val="CommentText"/>
    <w:next w:val="CommentText"/>
    <w:link w:val="CommentSubjectChar"/>
    <w:uiPriority w:val="99"/>
    <w:semiHidden/>
    <w:unhideWhenUsed/>
    <w:rsid w:val="00DA5360"/>
    <w:rPr>
      <w:b/>
      <w:bCs/>
    </w:rPr>
  </w:style>
  <w:style w:type="character" w:customStyle="1" w:styleId="CommentSubjectChar">
    <w:name w:val="Comment Subject Char"/>
    <w:basedOn w:val="CommentTextChar"/>
    <w:link w:val="CommentSubject"/>
    <w:uiPriority w:val="99"/>
    <w:semiHidden/>
    <w:rsid w:val="00DA5360"/>
    <w:rPr>
      <w:b/>
      <w:bCs/>
      <w:lang w:val="en-US" w:eastAsia="en-US"/>
    </w:rPr>
  </w:style>
  <w:style w:type="character" w:customStyle="1" w:styleId="s36">
    <w:name w:val="s36"/>
    <w:basedOn w:val="DefaultParagraphFont"/>
    <w:rsid w:val="007F1907"/>
  </w:style>
  <w:style w:type="character" w:customStyle="1" w:styleId="apple-converted-space">
    <w:name w:val="apple-converted-space"/>
    <w:basedOn w:val="DefaultParagraphFont"/>
    <w:rsid w:val="007F1907"/>
  </w:style>
  <w:style w:type="character" w:customStyle="1" w:styleId="s37">
    <w:name w:val="s37"/>
    <w:basedOn w:val="DefaultParagraphFont"/>
    <w:rsid w:val="007F1907"/>
  </w:style>
  <w:style w:type="paragraph" w:customStyle="1" w:styleId="paragraph">
    <w:name w:val="paragraph"/>
    <w:basedOn w:val="Normal"/>
    <w:rsid w:val="002436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243616"/>
  </w:style>
  <w:style w:type="character" w:customStyle="1" w:styleId="eop">
    <w:name w:val="eop"/>
    <w:basedOn w:val="DefaultParagraphFont"/>
    <w:rsid w:val="0024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3072">
      <w:bodyDiv w:val="1"/>
      <w:marLeft w:val="0"/>
      <w:marRight w:val="0"/>
      <w:marTop w:val="0"/>
      <w:marBottom w:val="0"/>
      <w:divBdr>
        <w:top w:val="none" w:sz="0" w:space="0" w:color="auto"/>
        <w:left w:val="none" w:sz="0" w:space="0" w:color="auto"/>
        <w:bottom w:val="none" w:sz="0" w:space="0" w:color="auto"/>
        <w:right w:val="none" w:sz="0" w:space="0" w:color="auto"/>
      </w:divBdr>
      <w:divsChild>
        <w:div w:id="1157890155">
          <w:marLeft w:val="0"/>
          <w:marRight w:val="0"/>
          <w:marTop w:val="0"/>
          <w:marBottom w:val="0"/>
          <w:divBdr>
            <w:top w:val="none" w:sz="0" w:space="0" w:color="auto"/>
            <w:left w:val="none" w:sz="0" w:space="0" w:color="auto"/>
            <w:bottom w:val="none" w:sz="0" w:space="0" w:color="auto"/>
            <w:right w:val="none" w:sz="0" w:space="0" w:color="auto"/>
          </w:divBdr>
          <w:divsChild>
            <w:div w:id="139538100">
              <w:marLeft w:val="0"/>
              <w:marRight w:val="0"/>
              <w:marTop w:val="0"/>
              <w:marBottom w:val="0"/>
              <w:divBdr>
                <w:top w:val="none" w:sz="0" w:space="0" w:color="auto"/>
                <w:left w:val="none" w:sz="0" w:space="0" w:color="auto"/>
                <w:bottom w:val="none" w:sz="0" w:space="0" w:color="auto"/>
                <w:right w:val="none" w:sz="0" w:space="0" w:color="auto"/>
              </w:divBdr>
              <w:divsChild>
                <w:div w:id="20784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1845">
      <w:bodyDiv w:val="1"/>
      <w:marLeft w:val="0"/>
      <w:marRight w:val="0"/>
      <w:marTop w:val="0"/>
      <w:marBottom w:val="0"/>
      <w:divBdr>
        <w:top w:val="none" w:sz="0" w:space="0" w:color="auto"/>
        <w:left w:val="none" w:sz="0" w:space="0" w:color="auto"/>
        <w:bottom w:val="none" w:sz="0" w:space="0" w:color="auto"/>
        <w:right w:val="none" w:sz="0" w:space="0" w:color="auto"/>
      </w:divBdr>
      <w:divsChild>
        <w:div w:id="1488471729">
          <w:marLeft w:val="0"/>
          <w:marRight w:val="0"/>
          <w:marTop w:val="0"/>
          <w:marBottom w:val="0"/>
          <w:divBdr>
            <w:top w:val="none" w:sz="0" w:space="0" w:color="auto"/>
            <w:left w:val="none" w:sz="0" w:space="0" w:color="auto"/>
            <w:bottom w:val="none" w:sz="0" w:space="0" w:color="auto"/>
            <w:right w:val="none" w:sz="0" w:space="0" w:color="auto"/>
          </w:divBdr>
          <w:divsChild>
            <w:div w:id="698509688">
              <w:marLeft w:val="0"/>
              <w:marRight w:val="0"/>
              <w:marTop w:val="0"/>
              <w:marBottom w:val="0"/>
              <w:divBdr>
                <w:top w:val="none" w:sz="0" w:space="0" w:color="auto"/>
                <w:left w:val="none" w:sz="0" w:space="0" w:color="auto"/>
                <w:bottom w:val="none" w:sz="0" w:space="0" w:color="auto"/>
                <w:right w:val="none" w:sz="0" w:space="0" w:color="auto"/>
              </w:divBdr>
              <w:divsChild>
                <w:div w:id="215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0122">
      <w:bodyDiv w:val="1"/>
      <w:marLeft w:val="0"/>
      <w:marRight w:val="0"/>
      <w:marTop w:val="0"/>
      <w:marBottom w:val="0"/>
      <w:divBdr>
        <w:top w:val="none" w:sz="0" w:space="0" w:color="auto"/>
        <w:left w:val="none" w:sz="0" w:space="0" w:color="auto"/>
        <w:bottom w:val="none" w:sz="0" w:space="0" w:color="auto"/>
        <w:right w:val="none" w:sz="0" w:space="0" w:color="auto"/>
      </w:divBdr>
    </w:div>
    <w:div w:id="150609377">
      <w:bodyDiv w:val="1"/>
      <w:marLeft w:val="0"/>
      <w:marRight w:val="0"/>
      <w:marTop w:val="0"/>
      <w:marBottom w:val="0"/>
      <w:divBdr>
        <w:top w:val="none" w:sz="0" w:space="0" w:color="auto"/>
        <w:left w:val="none" w:sz="0" w:space="0" w:color="auto"/>
        <w:bottom w:val="none" w:sz="0" w:space="0" w:color="auto"/>
        <w:right w:val="none" w:sz="0" w:space="0" w:color="auto"/>
      </w:divBdr>
    </w:div>
    <w:div w:id="196816351">
      <w:bodyDiv w:val="1"/>
      <w:marLeft w:val="0"/>
      <w:marRight w:val="0"/>
      <w:marTop w:val="0"/>
      <w:marBottom w:val="0"/>
      <w:divBdr>
        <w:top w:val="none" w:sz="0" w:space="0" w:color="auto"/>
        <w:left w:val="none" w:sz="0" w:space="0" w:color="auto"/>
        <w:bottom w:val="none" w:sz="0" w:space="0" w:color="auto"/>
        <w:right w:val="none" w:sz="0" w:space="0" w:color="auto"/>
      </w:divBdr>
      <w:divsChild>
        <w:div w:id="2038894300">
          <w:marLeft w:val="0"/>
          <w:marRight w:val="0"/>
          <w:marTop w:val="0"/>
          <w:marBottom w:val="0"/>
          <w:divBdr>
            <w:top w:val="none" w:sz="0" w:space="0" w:color="auto"/>
            <w:left w:val="none" w:sz="0" w:space="0" w:color="auto"/>
            <w:bottom w:val="none" w:sz="0" w:space="0" w:color="auto"/>
            <w:right w:val="none" w:sz="0" w:space="0" w:color="auto"/>
          </w:divBdr>
          <w:divsChild>
            <w:div w:id="153111740">
              <w:marLeft w:val="0"/>
              <w:marRight w:val="0"/>
              <w:marTop w:val="0"/>
              <w:marBottom w:val="0"/>
              <w:divBdr>
                <w:top w:val="none" w:sz="0" w:space="0" w:color="auto"/>
                <w:left w:val="none" w:sz="0" w:space="0" w:color="auto"/>
                <w:bottom w:val="none" w:sz="0" w:space="0" w:color="auto"/>
                <w:right w:val="none" w:sz="0" w:space="0" w:color="auto"/>
              </w:divBdr>
              <w:divsChild>
                <w:div w:id="16521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44576">
      <w:bodyDiv w:val="1"/>
      <w:marLeft w:val="0"/>
      <w:marRight w:val="0"/>
      <w:marTop w:val="0"/>
      <w:marBottom w:val="0"/>
      <w:divBdr>
        <w:top w:val="none" w:sz="0" w:space="0" w:color="auto"/>
        <w:left w:val="none" w:sz="0" w:space="0" w:color="auto"/>
        <w:bottom w:val="none" w:sz="0" w:space="0" w:color="auto"/>
        <w:right w:val="none" w:sz="0" w:space="0" w:color="auto"/>
      </w:divBdr>
    </w:div>
    <w:div w:id="394592769">
      <w:bodyDiv w:val="1"/>
      <w:marLeft w:val="0"/>
      <w:marRight w:val="0"/>
      <w:marTop w:val="0"/>
      <w:marBottom w:val="0"/>
      <w:divBdr>
        <w:top w:val="none" w:sz="0" w:space="0" w:color="auto"/>
        <w:left w:val="none" w:sz="0" w:space="0" w:color="auto"/>
        <w:bottom w:val="none" w:sz="0" w:space="0" w:color="auto"/>
        <w:right w:val="none" w:sz="0" w:space="0" w:color="auto"/>
      </w:divBdr>
      <w:divsChild>
        <w:div w:id="696085258">
          <w:marLeft w:val="0"/>
          <w:marRight w:val="0"/>
          <w:marTop w:val="0"/>
          <w:marBottom w:val="0"/>
          <w:divBdr>
            <w:top w:val="none" w:sz="0" w:space="0" w:color="auto"/>
            <w:left w:val="none" w:sz="0" w:space="0" w:color="auto"/>
            <w:bottom w:val="none" w:sz="0" w:space="0" w:color="auto"/>
            <w:right w:val="none" w:sz="0" w:space="0" w:color="auto"/>
          </w:divBdr>
          <w:divsChild>
            <w:div w:id="2146116978">
              <w:marLeft w:val="0"/>
              <w:marRight w:val="0"/>
              <w:marTop w:val="0"/>
              <w:marBottom w:val="0"/>
              <w:divBdr>
                <w:top w:val="none" w:sz="0" w:space="0" w:color="auto"/>
                <w:left w:val="none" w:sz="0" w:space="0" w:color="auto"/>
                <w:bottom w:val="none" w:sz="0" w:space="0" w:color="auto"/>
                <w:right w:val="none" w:sz="0" w:space="0" w:color="auto"/>
              </w:divBdr>
              <w:divsChild>
                <w:div w:id="11963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6981">
      <w:bodyDiv w:val="1"/>
      <w:marLeft w:val="0"/>
      <w:marRight w:val="0"/>
      <w:marTop w:val="0"/>
      <w:marBottom w:val="0"/>
      <w:divBdr>
        <w:top w:val="none" w:sz="0" w:space="0" w:color="auto"/>
        <w:left w:val="none" w:sz="0" w:space="0" w:color="auto"/>
        <w:bottom w:val="none" w:sz="0" w:space="0" w:color="auto"/>
        <w:right w:val="none" w:sz="0" w:space="0" w:color="auto"/>
      </w:divBdr>
      <w:divsChild>
        <w:div w:id="1906450558">
          <w:marLeft w:val="0"/>
          <w:marRight w:val="0"/>
          <w:marTop w:val="0"/>
          <w:marBottom w:val="0"/>
          <w:divBdr>
            <w:top w:val="none" w:sz="0" w:space="0" w:color="auto"/>
            <w:left w:val="none" w:sz="0" w:space="0" w:color="auto"/>
            <w:bottom w:val="none" w:sz="0" w:space="0" w:color="auto"/>
            <w:right w:val="none" w:sz="0" w:space="0" w:color="auto"/>
          </w:divBdr>
          <w:divsChild>
            <w:div w:id="1946692537">
              <w:marLeft w:val="0"/>
              <w:marRight w:val="0"/>
              <w:marTop w:val="0"/>
              <w:marBottom w:val="0"/>
              <w:divBdr>
                <w:top w:val="none" w:sz="0" w:space="0" w:color="auto"/>
                <w:left w:val="none" w:sz="0" w:space="0" w:color="auto"/>
                <w:bottom w:val="none" w:sz="0" w:space="0" w:color="auto"/>
                <w:right w:val="none" w:sz="0" w:space="0" w:color="auto"/>
              </w:divBdr>
              <w:divsChild>
                <w:div w:id="18832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25307">
      <w:bodyDiv w:val="1"/>
      <w:marLeft w:val="0"/>
      <w:marRight w:val="0"/>
      <w:marTop w:val="0"/>
      <w:marBottom w:val="0"/>
      <w:divBdr>
        <w:top w:val="none" w:sz="0" w:space="0" w:color="auto"/>
        <w:left w:val="none" w:sz="0" w:space="0" w:color="auto"/>
        <w:bottom w:val="none" w:sz="0" w:space="0" w:color="auto"/>
        <w:right w:val="none" w:sz="0" w:space="0" w:color="auto"/>
      </w:divBdr>
    </w:div>
    <w:div w:id="428089941">
      <w:bodyDiv w:val="1"/>
      <w:marLeft w:val="0"/>
      <w:marRight w:val="0"/>
      <w:marTop w:val="0"/>
      <w:marBottom w:val="0"/>
      <w:divBdr>
        <w:top w:val="none" w:sz="0" w:space="0" w:color="auto"/>
        <w:left w:val="none" w:sz="0" w:space="0" w:color="auto"/>
        <w:bottom w:val="none" w:sz="0" w:space="0" w:color="auto"/>
        <w:right w:val="none" w:sz="0" w:space="0" w:color="auto"/>
      </w:divBdr>
    </w:div>
    <w:div w:id="436142309">
      <w:bodyDiv w:val="1"/>
      <w:marLeft w:val="0"/>
      <w:marRight w:val="0"/>
      <w:marTop w:val="0"/>
      <w:marBottom w:val="0"/>
      <w:divBdr>
        <w:top w:val="none" w:sz="0" w:space="0" w:color="auto"/>
        <w:left w:val="none" w:sz="0" w:space="0" w:color="auto"/>
        <w:bottom w:val="none" w:sz="0" w:space="0" w:color="auto"/>
        <w:right w:val="none" w:sz="0" w:space="0" w:color="auto"/>
      </w:divBdr>
    </w:div>
    <w:div w:id="441613910">
      <w:bodyDiv w:val="1"/>
      <w:marLeft w:val="0"/>
      <w:marRight w:val="0"/>
      <w:marTop w:val="0"/>
      <w:marBottom w:val="0"/>
      <w:divBdr>
        <w:top w:val="none" w:sz="0" w:space="0" w:color="auto"/>
        <w:left w:val="none" w:sz="0" w:space="0" w:color="auto"/>
        <w:bottom w:val="none" w:sz="0" w:space="0" w:color="auto"/>
        <w:right w:val="none" w:sz="0" w:space="0" w:color="auto"/>
      </w:divBdr>
      <w:divsChild>
        <w:div w:id="1388341269">
          <w:marLeft w:val="0"/>
          <w:marRight w:val="0"/>
          <w:marTop w:val="0"/>
          <w:marBottom w:val="0"/>
          <w:divBdr>
            <w:top w:val="none" w:sz="0" w:space="0" w:color="auto"/>
            <w:left w:val="none" w:sz="0" w:space="0" w:color="auto"/>
            <w:bottom w:val="none" w:sz="0" w:space="0" w:color="auto"/>
            <w:right w:val="none" w:sz="0" w:space="0" w:color="auto"/>
          </w:divBdr>
          <w:divsChild>
            <w:div w:id="1028796545">
              <w:marLeft w:val="0"/>
              <w:marRight w:val="0"/>
              <w:marTop w:val="0"/>
              <w:marBottom w:val="0"/>
              <w:divBdr>
                <w:top w:val="none" w:sz="0" w:space="0" w:color="auto"/>
                <w:left w:val="none" w:sz="0" w:space="0" w:color="auto"/>
                <w:bottom w:val="none" w:sz="0" w:space="0" w:color="auto"/>
                <w:right w:val="none" w:sz="0" w:space="0" w:color="auto"/>
              </w:divBdr>
              <w:divsChild>
                <w:div w:id="1012610223">
                  <w:marLeft w:val="0"/>
                  <w:marRight w:val="0"/>
                  <w:marTop w:val="0"/>
                  <w:marBottom w:val="0"/>
                  <w:divBdr>
                    <w:top w:val="none" w:sz="0" w:space="0" w:color="auto"/>
                    <w:left w:val="none" w:sz="0" w:space="0" w:color="auto"/>
                    <w:bottom w:val="none" w:sz="0" w:space="0" w:color="auto"/>
                    <w:right w:val="none" w:sz="0" w:space="0" w:color="auto"/>
                  </w:divBdr>
                  <w:divsChild>
                    <w:div w:id="1768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037500">
      <w:bodyDiv w:val="1"/>
      <w:marLeft w:val="0"/>
      <w:marRight w:val="0"/>
      <w:marTop w:val="0"/>
      <w:marBottom w:val="0"/>
      <w:divBdr>
        <w:top w:val="none" w:sz="0" w:space="0" w:color="auto"/>
        <w:left w:val="none" w:sz="0" w:space="0" w:color="auto"/>
        <w:bottom w:val="none" w:sz="0" w:space="0" w:color="auto"/>
        <w:right w:val="none" w:sz="0" w:space="0" w:color="auto"/>
      </w:divBdr>
      <w:divsChild>
        <w:div w:id="2055811787">
          <w:marLeft w:val="0"/>
          <w:marRight w:val="0"/>
          <w:marTop w:val="0"/>
          <w:marBottom w:val="0"/>
          <w:divBdr>
            <w:top w:val="none" w:sz="0" w:space="0" w:color="auto"/>
            <w:left w:val="none" w:sz="0" w:space="0" w:color="auto"/>
            <w:bottom w:val="none" w:sz="0" w:space="0" w:color="auto"/>
            <w:right w:val="none" w:sz="0" w:space="0" w:color="auto"/>
          </w:divBdr>
          <w:divsChild>
            <w:div w:id="2076004487">
              <w:marLeft w:val="0"/>
              <w:marRight w:val="0"/>
              <w:marTop w:val="0"/>
              <w:marBottom w:val="0"/>
              <w:divBdr>
                <w:top w:val="none" w:sz="0" w:space="0" w:color="auto"/>
                <w:left w:val="none" w:sz="0" w:space="0" w:color="auto"/>
                <w:bottom w:val="none" w:sz="0" w:space="0" w:color="auto"/>
                <w:right w:val="none" w:sz="0" w:space="0" w:color="auto"/>
              </w:divBdr>
              <w:divsChild>
                <w:div w:id="661852671">
                  <w:marLeft w:val="0"/>
                  <w:marRight w:val="0"/>
                  <w:marTop w:val="0"/>
                  <w:marBottom w:val="0"/>
                  <w:divBdr>
                    <w:top w:val="none" w:sz="0" w:space="0" w:color="auto"/>
                    <w:left w:val="none" w:sz="0" w:space="0" w:color="auto"/>
                    <w:bottom w:val="none" w:sz="0" w:space="0" w:color="auto"/>
                    <w:right w:val="none" w:sz="0" w:space="0" w:color="auto"/>
                  </w:divBdr>
                  <w:divsChild>
                    <w:div w:id="4944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653812">
      <w:bodyDiv w:val="1"/>
      <w:marLeft w:val="0"/>
      <w:marRight w:val="0"/>
      <w:marTop w:val="0"/>
      <w:marBottom w:val="0"/>
      <w:divBdr>
        <w:top w:val="none" w:sz="0" w:space="0" w:color="auto"/>
        <w:left w:val="none" w:sz="0" w:space="0" w:color="auto"/>
        <w:bottom w:val="none" w:sz="0" w:space="0" w:color="auto"/>
        <w:right w:val="none" w:sz="0" w:space="0" w:color="auto"/>
      </w:divBdr>
    </w:div>
    <w:div w:id="556401350">
      <w:bodyDiv w:val="1"/>
      <w:marLeft w:val="0"/>
      <w:marRight w:val="0"/>
      <w:marTop w:val="0"/>
      <w:marBottom w:val="0"/>
      <w:divBdr>
        <w:top w:val="none" w:sz="0" w:space="0" w:color="auto"/>
        <w:left w:val="none" w:sz="0" w:space="0" w:color="auto"/>
        <w:bottom w:val="none" w:sz="0" w:space="0" w:color="auto"/>
        <w:right w:val="none" w:sz="0" w:space="0" w:color="auto"/>
      </w:divBdr>
      <w:divsChild>
        <w:div w:id="2130467964">
          <w:marLeft w:val="0"/>
          <w:marRight w:val="0"/>
          <w:marTop w:val="0"/>
          <w:marBottom w:val="0"/>
          <w:divBdr>
            <w:top w:val="none" w:sz="0" w:space="0" w:color="auto"/>
            <w:left w:val="none" w:sz="0" w:space="0" w:color="auto"/>
            <w:bottom w:val="none" w:sz="0" w:space="0" w:color="auto"/>
            <w:right w:val="none" w:sz="0" w:space="0" w:color="auto"/>
          </w:divBdr>
          <w:divsChild>
            <w:div w:id="1756783606">
              <w:marLeft w:val="0"/>
              <w:marRight w:val="0"/>
              <w:marTop w:val="0"/>
              <w:marBottom w:val="0"/>
              <w:divBdr>
                <w:top w:val="none" w:sz="0" w:space="0" w:color="auto"/>
                <w:left w:val="none" w:sz="0" w:space="0" w:color="auto"/>
                <w:bottom w:val="none" w:sz="0" w:space="0" w:color="auto"/>
                <w:right w:val="none" w:sz="0" w:space="0" w:color="auto"/>
              </w:divBdr>
              <w:divsChild>
                <w:div w:id="8092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322">
      <w:bodyDiv w:val="1"/>
      <w:marLeft w:val="0"/>
      <w:marRight w:val="0"/>
      <w:marTop w:val="0"/>
      <w:marBottom w:val="0"/>
      <w:divBdr>
        <w:top w:val="none" w:sz="0" w:space="0" w:color="auto"/>
        <w:left w:val="none" w:sz="0" w:space="0" w:color="auto"/>
        <w:bottom w:val="none" w:sz="0" w:space="0" w:color="auto"/>
        <w:right w:val="none" w:sz="0" w:space="0" w:color="auto"/>
      </w:divBdr>
    </w:div>
    <w:div w:id="692803682">
      <w:bodyDiv w:val="1"/>
      <w:marLeft w:val="0"/>
      <w:marRight w:val="0"/>
      <w:marTop w:val="0"/>
      <w:marBottom w:val="0"/>
      <w:divBdr>
        <w:top w:val="none" w:sz="0" w:space="0" w:color="auto"/>
        <w:left w:val="none" w:sz="0" w:space="0" w:color="auto"/>
        <w:bottom w:val="none" w:sz="0" w:space="0" w:color="auto"/>
        <w:right w:val="none" w:sz="0" w:space="0" w:color="auto"/>
      </w:divBdr>
    </w:div>
    <w:div w:id="700715105">
      <w:bodyDiv w:val="1"/>
      <w:marLeft w:val="0"/>
      <w:marRight w:val="0"/>
      <w:marTop w:val="0"/>
      <w:marBottom w:val="0"/>
      <w:divBdr>
        <w:top w:val="none" w:sz="0" w:space="0" w:color="auto"/>
        <w:left w:val="none" w:sz="0" w:space="0" w:color="auto"/>
        <w:bottom w:val="none" w:sz="0" w:space="0" w:color="auto"/>
        <w:right w:val="none" w:sz="0" w:space="0" w:color="auto"/>
      </w:divBdr>
    </w:div>
    <w:div w:id="742290786">
      <w:bodyDiv w:val="1"/>
      <w:marLeft w:val="0"/>
      <w:marRight w:val="0"/>
      <w:marTop w:val="0"/>
      <w:marBottom w:val="0"/>
      <w:divBdr>
        <w:top w:val="none" w:sz="0" w:space="0" w:color="auto"/>
        <w:left w:val="none" w:sz="0" w:space="0" w:color="auto"/>
        <w:bottom w:val="none" w:sz="0" w:space="0" w:color="auto"/>
        <w:right w:val="none" w:sz="0" w:space="0" w:color="auto"/>
      </w:divBdr>
    </w:div>
    <w:div w:id="742680567">
      <w:bodyDiv w:val="1"/>
      <w:marLeft w:val="0"/>
      <w:marRight w:val="0"/>
      <w:marTop w:val="0"/>
      <w:marBottom w:val="0"/>
      <w:divBdr>
        <w:top w:val="none" w:sz="0" w:space="0" w:color="auto"/>
        <w:left w:val="none" w:sz="0" w:space="0" w:color="auto"/>
        <w:bottom w:val="none" w:sz="0" w:space="0" w:color="auto"/>
        <w:right w:val="none" w:sz="0" w:space="0" w:color="auto"/>
      </w:divBdr>
      <w:divsChild>
        <w:div w:id="1499887125">
          <w:marLeft w:val="0"/>
          <w:marRight w:val="0"/>
          <w:marTop w:val="0"/>
          <w:marBottom w:val="0"/>
          <w:divBdr>
            <w:top w:val="none" w:sz="0" w:space="0" w:color="auto"/>
            <w:left w:val="none" w:sz="0" w:space="0" w:color="auto"/>
            <w:bottom w:val="none" w:sz="0" w:space="0" w:color="auto"/>
            <w:right w:val="none" w:sz="0" w:space="0" w:color="auto"/>
          </w:divBdr>
          <w:divsChild>
            <w:div w:id="1267424168">
              <w:marLeft w:val="0"/>
              <w:marRight w:val="0"/>
              <w:marTop w:val="0"/>
              <w:marBottom w:val="0"/>
              <w:divBdr>
                <w:top w:val="none" w:sz="0" w:space="0" w:color="auto"/>
                <w:left w:val="none" w:sz="0" w:space="0" w:color="auto"/>
                <w:bottom w:val="none" w:sz="0" w:space="0" w:color="auto"/>
                <w:right w:val="none" w:sz="0" w:space="0" w:color="auto"/>
              </w:divBdr>
              <w:divsChild>
                <w:div w:id="16806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4216">
      <w:bodyDiv w:val="1"/>
      <w:marLeft w:val="0"/>
      <w:marRight w:val="0"/>
      <w:marTop w:val="0"/>
      <w:marBottom w:val="0"/>
      <w:divBdr>
        <w:top w:val="none" w:sz="0" w:space="0" w:color="auto"/>
        <w:left w:val="none" w:sz="0" w:space="0" w:color="auto"/>
        <w:bottom w:val="none" w:sz="0" w:space="0" w:color="auto"/>
        <w:right w:val="none" w:sz="0" w:space="0" w:color="auto"/>
      </w:divBdr>
      <w:divsChild>
        <w:div w:id="1259143509">
          <w:marLeft w:val="0"/>
          <w:marRight w:val="0"/>
          <w:marTop w:val="0"/>
          <w:marBottom w:val="0"/>
          <w:divBdr>
            <w:top w:val="none" w:sz="0" w:space="0" w:color="auto"/>
            <w:left w:val="none" w:sz="0" w:space="0" w:color="auto"/>
            <w:bottom w:val="none" w:sz="0" w:space="0" w:color="auto"/>
            <w:right w:val="none" w:sz="0" w:space="0" w:color="auto"/>
          </w:divBdr>
          <w:divsChild>
            <w:div w:id="1853497411">
              <w:marLeft w:val="0"/>
              <w:marRight w:val="0"/>
              <w:marTop w:val="0"/>
              <w:marBottom w:val="0"/>
              <w:divBdr>
                <w:top w:val="none" w:sz="0" w:space="0" w:color="auto"/>
                <w:left w:val="none" w:sz="0" w:space="0" w:color="auto"/>
                <w:bottom w:val="none" w:sz="0" w:space="0" w:color="auto"/>
                <w:right w:val="none" w:sz="0" w:space="0" w:color="auto"/>
              </w:divBdr>
              <w:divsChild>
                <w:div w:id="58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6468">
      <w:bodyDiv w:val="1"/>
      <w:marLeft w:val="0"/>
      <w:marRight w:val="0"/>
      <w:marTop w:val="0"/>
      <w:marBottom w:val="0"/>
      <w:divBdr>
        <w:top w:val="none" w:sz="0" w:space="0" w:color="auto"/>
        <w:left w:val="none" w:sz="0" w:space="0" w:color="auto"/>
        <w:bottom w:val="none" w:sz="0" w:space="0" w:color="auto"/>
        <w:right w:val="none" w:sz="0" w:space="0" w:color="auto"/>
      </w:divBdr>
      <w:divsChild>
        <w:div w:id="1255437605">
          <w:marLeft w:val="0"/>
          <w:marRight w:val="0"/>
          <w:marTop w:val="0"/>
          <w:marBottom w:val="0"/>
          <w:divBdr>
            <w:top w:val="none" w:sz="0" w:space="0" w:color="auto"/>
            <w:left w:val="none" w:sz="0" w:space="0" w:color="auto"/>
            <w:bottom w:val="none" w:sz="0" w:space="0" w:color="auto"/>
            <w:right w:val="none" w:sz="0" w:space="0" w:color="auto"/>
          </w:divBdr>
          <w:divsChild>
            <w:div w:id="1836996963">
              <w:marLeft w:val="0"/>
              <w:marRight w:val="0"/>
              <w:marTop w:val="0"/>
              <w:marBottom w:val="0"/>
              <w:divBdr>
                <w:top w:val="none" w:sz="0" w:space="0" w:color="auto"/>
                <w:left w:val="none" w:sz="0" w:space="0" w:color="auto"/>
                <w:bottom w:val="none" w:sz="0" w:space="0" w:color="auto"/>
                <w:right w:val="none" w:sz="0" w:space="0" w:color="auto"/>
              </w:divBdr>
              <w:divsChild>
                <w:div w:id="20749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8224">
      <w:bodyDiv w:val="1"/>
      <w:marLeft w:val="0"/>
      <w:marRight w:val="0"/>
      <w:marTop w:val="0"/>
      <w:marBottom w:val="0"/>
      <w:divBdr>
        <w:top w:val="none" w:sz="0" w:space="0" w:color="auto"/>
        <w:left w:val="none" w:sz="0" w:space="0" w:color="auto"/>
        <w:bottom w:val="none" w:sz="0" w:space="0" w:color="auto"/>
        <w:right w:val="none" w:sz="0" w:space="0" w:color="auto"/>
      </w:divBdr>
    </w:div>
    <w:div w:id="799808645">
      <w:bodyDiv w:val="1"/>
      <w:marLeft w:val="0"/>
      <w:marRight w:val="0"/>
      <w:marTop w:val="0"/>
      <w:marBottom w:val="0"/>
      <w:divBdr>
        <w:top w:val="none" w:sz="0" w:space="0" w:color="auto"/>
        <w:left w:val="none" w:sz="0" w:space="0" w:color="auto"/>
        <w:bottom w:val="none" w:sz="0" w:space="0" w:color="auto"/>
        <w:right w:val="none" w:sz="0" w:space="0" w:color="auto"/>
      </w:divBdr>
      <w:divsChild>
        <w:div w:id="932015096">
          <w:marLeft w:val="0"/>
          <w:marRight w:val="0"/>
          <w:marTop w:val="0"/>
          <w:marBottom w:val="0"/>
          <w:divBdr>
            <w:top w:val="none" w:sz="0" w:space="0" w:color="auto"/>
            <w:left w:val="none" w:sz="0" w:space="0" w:color="auto"/>
            <w:bottom w:val="none" w:sz="0" w:space="0" w:color="auto"/>
            <w:right w:val="none" w:sz="0" w:space="0" w:color="auto"/>
          </w:divBdr>
          <w:divsChild>
            <w:div w:id="798180565">
              <w:marLeft w:val="0"/>
              <w:marRight w:val="0"/>
              <w:marTop w:val="0"/>
              <w:marBottom w:val="0"/>
              <w:divBdr>
                <w:top w:val="none" w:sz="0" w:space="0" w:color="auto"/>
                <w:left w:val="none" w:sz="0" w:space="0" w:color="auto"/>
                <w:bottom w:val="none" w:sz="0" w:space="0" w:color="auto"/>
                <w:right w:val="none" w:sz="0" w:space="0" w:color="auto"/>
              </w:divBdr>
              <w:divsChild>
                <w:div w:id="13103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30119">
      <w:bodyDiv w:val="1"/>
      <w:marLeft w:val="0"/>
      <w:marRight w:val="0"/>
      <w:marTop w:val="0"/>
      <w:marBottom w:val="0"/>
      <w:divBdr>
        <w:top w:val="none" w:sz="0" w:space="0" w:color="auto"/>
        <w:left w:val="none" w:sz="0" w:space="0" w:color="auto"/>
        <w:bottom w:val="none" w:sz="0" w:space="0" w:color="auto"/>
        <w:right w:val="none" w:sz="0" w:space="0" w:color="auto"/>
      </w:divBdr>
      <w:divsChild>
        <w:div w:id="607741517">
          <w:marLeft w:val="0"/>
          <w:marRight w:val="0"/>
          <w:marTop w:val="0"/>
          <w:marBottom w:val="0"/>
          <w:divBdr>
            <w:top w:val="none" w:sz="0" w:space="0" w:color="auto"/>
            <w:left w:val="none" w:sz="0" w:space="0" w:color="auto"/>
            <w:bottom w:val="none" w:sz="0" w:space="0" w:color="auto"/>
            <w:right w:val="none" w:sz="0" w:space="0" w:color="auto"/>
          </w:divBdr>
          <w:divsChild>
            <w:div w:id="1907062890">
              <w:marLeft w:val="0"/>
              <w:marRight w:val="0"/>
              <w:marTop w:val="0"/>
              <w:marBottom w:val="0"/>
              <w:divBdr>
                <w:top w:val="none" w:sz="0" w:space="0" w:color="auto"/>
                <w:left w:val="none" w:sz="0" w:space="0" w:color="auto"/>
                <w:bottom w:val="none" w:sz="0" w:space="0" w:color="auto"/>
                <w:right w:val="none" w:sz="0" w:space="0" w:color="auto"/>
              </w:divBdr>
              <w:divsChild>
                <w:div w:id="751195318">
                  <w:marLeft w:val="0"/>
                  <w:marRight w:val="0"/>
                  <w:marTop w:val="0"/>
                  <w:marBottom w:val="0"/>
                  <w:divBdr>
                    <w:top w:val="none" w:sz="0" w:space="0" w:color="auto"/>
                    <w:left w:val="none" w:sz="0" w:space="0" w:color="auto"/>
                    <w:bottom w:val="none" w:sz="0" w:space="0" w:color="auto"/>
                    <w:right w:val="none" w:sz="0" w:space="0" w:color="auto"/>
                  </w:divBdr>
                  <w:divsChild>
                    <w:div w:id="5983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431420">
      <w:bodyDiv w:val="1"/>
      <w:marLeft w:val="0"/>
      <w:marRight w:val="0"/>
      <w:marTop w:val="0"/>
      <w:marBottom w:val="0"/>
      <w:divBdr>
        <w:top w:val="none" w:sz="0" w:space="0" w:color="auto"/>
        <w:left w:val="none" w:sz="0" w:space="0" w:color="auto"/>
        <w:bottom w:val="none" w:sz="0" w:space="0" w:color="auto"/>
        <w:right w:val="none" w:sz="0" w:space="0" w:color="auto"/>
      </w:divBdr>
    </w:div>
    <w:div w:id="889922653">
      <w:bodyDiv w:val="1"/>
      <w:marLeft w:val="0"/>
      <w:marRight w:val="0"/>
      <w:marTop w:val="0"/>
      <w:marBottom w:val="0"/>
      <w:divBdr>
        <w:top w:val="none" w:sz="0" w:space="0" w:color="auto"/>
        <w:left w:val="none" w:sz="0" w:space="0" w:color="auto"/>
        <w:bottom w:val="none" w:sz="0" w:space="0" w:color="auto"/>
        <w:right w:val="none" w:sz="0" w:space="0" w:color="auto"/>
      </w:divBdr>
    </w:div>
    <w:div w:id="915044300">
      <w:bodyDiv w:val="1"/>
      <w:marLeft w:val="0"/>
      <w:marRight w:val="0"/>
      <w:marTop w:val="0"/>
      <w:marBottom w:val="0"/>
      <w:divBdr>
        <w:top w:val="none" w:sz="0" w:space="0" w:color="auto"/>
        <w:left w:val="none" w:sz="0" w:space="0" w:color="auto"/>
        <w:bottom w:val="none" w:sz="0" w:space="0" w:color="auto"/>
        <w:right w:val="none" w:sz="0" w:space="0" w:color="auto"/>
      </w:divBdr>
      <w:divsChild>
        <w:div w:id="1713264401">
          <w:marLeft w:val="0"/>
          <w:marRight w:val="0"/>
          <w:marTop w:val="0"/>
          <w:marBottom w:val="0"/>
          <w:divBdr>
            <w:top w:val="none" w:sz="0" w:space="0" w:color="auto"/>
            <w:left w:val="none" w:sz="0" w:space="0" w:color="auto"/>
            <w:bottom w:val="none" w:sz="0" w:space="0" w:color="auto"/>
            <w:right w:val="none" w:sz="0" w:space="0" w:color="auto"/>
          </w:divBdr>
          <w:divsChild>
            <w:div w:id="848448790">
              <w:marLeft w:val="0"/>
              <w:marRight w:val="0"/>
              <w:marTop w:val="0"/>
              <w:marBottom w:val="0"/>
              <w:divBdr>
                <w:top w:val="none" w:sz="0" w:space="0" w:color="auto"/>
                <w:left w:val="none" w:sz="0" w:space="0" w:color="auto"/>
                <w:bottom w:val="none" w:sz="0" w:space="0" w:color="auto"/>
                <w:right w:val="none" w:sz="0" w:space="0" w:color="auto"/>
              </w:divBdr>
              <w:divsChild>
                <w:div w:id="10348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93538">
      <w:bodyDiv w:val="1"/>
      <w:marLeft w:val="0"/>
      <w:marRight w:val="0"/>
      <w:marTop w:val="0"/>
      <w:marBottom w:val="0"/>
      <w:divBdr>
        <w:top w:val="none" w:sz="0" w:space="0" w:color="auto"/>
        <w:left w:val="none" w:sz="0" w:space="0" w:color="auto"/>
        <w:bottom w:val="none" w:sz="0" w:space="0" w:color="auto"/>
        <w:right w:val="none" w:sz="0" w:space="0" w:color="auto"/>
      </w:divBdr>
      <w:divsChild>
        <w:div w:id="878661939">
          <w:marLeft w:val="0"/>
          <w:marRight w:val="0"/>
          <w:marTop w:val="0"/>
          <w:marBottom w:val="0"/>
          <w:divBdr>
            <w:top w:val="none" w:sz="0" w:space="0" w:color="auto"/>
            <w:left w:val="none" w:sz="0" w:space="0" w:color="auto"/>
            <w:bottom w:val="none" w:sz="0" w:space="0" w:color="auto"/>
            <w:right w:val="none" w:sz="0" w:space="0" w:color="auto"/>
          </w:divBdr>
          <w:divsChild>
            <w:div w:id="1931348794">
              <w:marLeft w:val="0"/>
              <w:marRight w:val="0"/>
              <w:marTop w:val="0"/>
              <w:marBottom w:val="0"/>
              <w:divBdr>
                <w:top w:val="none" w:sz="0" w:space="0" w:color="auto"/>
                <w:left w:val="none" w:sz="0" w:space="0" w:color="auto"/>
                <w:bottom w:val="none" w:sz="0" w:space="0" w:color="auto"/>
                <w:right w:val="none" w:sz="0" w:space="0" w:color="auto"/>
              </w:divBdr>
              <w:divsChild>
                <w:div w:id="1987733190">
                  <w:marLeft w:val="0"/>
                  <w:marRight w:val="0"/>
                  <w:marTop w:val="0"/>
                  <w:marBottom w:val="0"/>
                  <w:divBdr>
                    <w:top w:val="none" w:sz="0" w:space="0" w:color="auto"/>
                    <w:left w:val="none" w:sz="0" w:space="0" w:color="auto"/>
                    <w:bottom w:val="none" w:sz="0" w:space="0" w:color="auto"/>
                    <w:right w:val="none" w:sz="0" w:space="0" w:color="auto"/>
                  </w:divBdr>
                  <w:divsChild>
                    <w:div w:id="16653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3864">
      <w:bodyDiv w:val="1"/>
      <w:marLeft w:val="0"/>
      <w:marRight w:val="0"/>
      <w:marTop w:val="0"/>
      <w:marBottom w:val="0"/>
      <w:divBdr>
        <w:top w:val="none" w:sz="0" w:space="0" w:color="auto"/>
        <w:left w:val="none" w:sz="0" w:space="0" w:color="auto"/>
        <w:bottom w:val="none" w:sz="0" w:space="0" w:color="auto"/>
        <w:right w:val="none" w:sz="0" w:space="0" w:color="auto"/>
      </w:divBdr>
    </w:div>
    <w:div w:id="1013187246">
      <w:bodyDiv w:val="1"/>
      <w:marLeft w:val="0"/>
      <w:marRight w:val="0"/>
      <w:marTop w:val="0"/>
      <w:marBottom w:val="0"/>
      <w:divBdr>
        <w:top w:val="none" w:sz="0" w:space="0" w:color="auto"/>
        <w:left w:val="none" w:sz="0" w:space="0" w:color="auto"/>
        <w:bottom w:val="none" w:sz="0" w:space="0" w:color="auto"/>
        <w:right w:val="none" w:sz="0" w:space="0" w:color="auto"/>
      </w:divBdr>
      <w:divsChild>
        <w:div w:id="1318729513">
          <w:marLeft w:val="0"/>
          <w:marRight w:val="0"/>
          <w:marTop w:val="0"/>
          <w:marBottom w:val="0"/>
          <w:divBdr>
            <w:top w:val="none" w:sz="0" w:space="0" w:color="auto"/>
            <w:left w:val="none" w:sz="0" w:space="0" w:color="auto"/>
            <w:bottom w:val="none" w:sz="0" w:space="0" w:color="auto"/>
            <w:right w:val="none" w:sz="0" w:space="0" w:color="auto"/>
          </w:divBdr>
          <w:divsChild>
            <w:div w:id="1549100752">
              <w:marLeft w:val="0"/>
              <w:marRight w:val="0"/>
              <w:marTop w:val="0"/>
              <w:marBottom w:val="0"/>
              <w:divBdr>
                <w:top w:val="none" w:sz="0" w:space="0" w:color="auto"/>
                <w:left w:val="none" w:sz="0" w:space="0" w:color="auto"/>
                <w:bottom w:val="none" w:sz="0" w:space="0" w:color="auto"/>
                <w:right w:val="none" w:sz="0" w:space="0" w:color="auto"/>
              </w:divBdr>
              <w:divsChild>
                <w:div w:id="83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1256">
      <w:bodyDiv w:val="1"/>
      <w:marLeft w:val="0"/>
      <w:marRight w:val="0"/>
      <w:marTop w:val="0"/>
      <w:marBottom w:val="0"/>
      <w:divBdr>
        <w:top w:val="none" w:sz="0" w:space="0" w:color="auto"/>
        <w:left w:val="none" w:sz="0" w:space="0" w:color="auto"/>
        <w:bottom w:val="none" w:sz="0" w:space="0" w:color="auto"/>
        <w:right w:val="none" w:sz="0" w:space="0" w:color="auto"/>
      </w:divBdr>
    </w:div>
    <w:div w:id="1068647143">
      <w:bodyDiv w:val="1"/>
      <w:marLeft w:val="0"/>
      <w:marRight w:val="0"/>
      <w:marTop w:val="0"/>
      <w:marBottom w:val="0"/>
      <w:divBdr>
        <w:top w:val="none" w:sz="0" w:space="0" w:color="auto"/>
        <w:left w:val="none" w:sz="0" w:space="0" w:color="auto"/>
        <w:bottom w:val="none" w:sz="0" w:space="0" w:color="auto"/>
        <w:right w:val="none" w:sz="0" w:space="0" w:color="auto"/>
      </w:divBdr>
    </w:div>
    <w:div w:id="1069424724">
      <w:bodyDiv w:val="1"/>
      <w:marLeft w:val="0"/>
      <w:marRight w:val="0"/>
      <w:marTop w:val="0"/>
      <w:marBottom w:val="0"/>
      <w:divBdr>
        <w:top w:val="none" w:sz="0" w:space="0" w:color="auto"/>
        <w:left w:val="none" w:sz="0" w:space="0" w:color="auto"/>
        <w:bottom w:val="none" w:sz="0" w:space="0" w:color="auto"/>
        <w:right w:val="none" w:sz="0" w:space="0" w:color="auto"/>
      </w:divBdr>
      <w:divsChild>
        <w:div w:id="1212427776">
          <w:marLeft w:val="0"/>
          <w:marRight w:val="0"/>
          <w:marTop w:val="0"/>
          <w:marBottom w:val="0"/>
          <w:divBdr>
            <w:top w:val="none" w:sz="0" w:space="0" w:color="auto"/>
            <w:left w:val="none" w:sz="0" w:space="0" w:color="auto"/>
            <w:bottom w:val="none" w:sz="0" w:space="0" w:color="auto"/>
            <w:right w:val="none" w:sz="0" w:space="0" w:color="auto"/>
          </w:divBdr>
          <w:divsChild>
            <w:div w:id="2007593874">
              <w:marLeft w:val="0"/>
              <w:marRight w:val="0"/>
              <w:marTop w:val="0"/>
              <w:marBottom w:val="0"/>
              <w:divBdr>
                <w:top w:val="none" w:sz="0" w:space="0" w:color="auto"/>
                <w:left w:val="none" w:sz="0" w:space="0" w:color="auto"/>
                <w:bottom w:val="none" w:sz="0" w:space="0" w:color="auto"/>
                <w:right w:val="none" w:sz="0" w:space="0" w:color="auto"/>
              </w:divBdr>
              <w:divsChild>
                <w:div w:id="21216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1149">
      <w:bodyDiv w:val="1"/>
      <w:marLeft w:val="0"/>
      <w:marRight w:val="0"/>
      <w:marTop w:val="0"/>
      <w:marBottom w:val="0"/>
      <w:divBdr>
        <w:top w:val="none" w:sz="0" w:space="0" w:color="auto"/>
        <w:left w:val="none" w:sz="0" w:space="0" w:color="auto"/>
        <w:bottom w:val="none" w:sz="0" w:space="0" w:color="auto"/>
        <w:right w:val="none" w:sz="0" w:space="0" w:color="auto"/>
      </w:divBdr>
    </w:div>
    <w:div w:id="1110902035">
      <w:bodyDiv w:val="1"/>
      <w:marLeft w:val="0"/>
      <w:marRight w:val="0"/>
      <w:marTop w:val="0"/>
      <w:marBottom w:val="0"/>
      <w:divBdr>
        <w:top w:val="none" w:sz="0" w:space="0" w:color="auto"/>
        <w:left w:val="none" w:sz="0" w:space="0" w:color="auto"/>
        <w:bottom w:val="none" w:sz="0" w:space="0" w:color="auto"/>
        <w:right w:val="none" w:sz="0" w:space="0" w:color="auto"/>
      </w:divBdr>
    </w:div>
    <w:div w:id="122429438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7374376">
      <w:bodyDiv w:val="1"/>
      <w:marLeft w:val="0"/>
      <w:marRight w:val="0"/>
      <w:marTop w:val="0"/>
      <w:marBottom w:val="0"/>
      <w:divBdr>
        <w:top w:val="none" w:sz="0" w:space="0" w:color="auto"/>
        <w:left w:val="none" w:sz="0" w:space="0" w:color="auto"/>
        <w:bottom w:val="none" w:sz="0" w:space="0" w:color="auto"/>
        <w:right w:val="none" w:sz="0" w:space="0" w:color="auto"/>
      </w:divBdr>
    </w:div>
    <w:div w:id="1411194189">
      <w:bodyDiv w:val="1"/>
      <w:marLeft w:val="0"/>
      <w:marRight w:val="0"/>
      <w:marTop w:val="0"/>
      <w:marBottom w:val="0"/>
      <w:divBdr>
        <w:top w:val="none" w:sz="0" w:space="0" w:color="auto"/>
        <w:left w:val="none" w:sz="0" w:space="0" w:color="auto"/>
        <w:bottom w:val="none" w:sz="0" w:space="0" w:color="auto"/>
        <w:right w:val="none" w:sz="0" w:space="0" w:color="auto"/>
      </w:divBdr>
      <w:divsChild>
        <w:div w:id="1022633905">
          <w:marLeft w:val="0"/>
          <w:marRight w:val="0"/>
          <w:marTop w:val="0"/>
          <w:marBottom w:val="0"/>
          <w:divBdr>
            <w:top w:val="none" w:sz="0" w:space="0" w:color="auto"/>
            <w:left w:val="none" w:sz="0" w:space="0" w:color="auto"/>
            <w:bottom w:val="none" w:sz="0" w:space="0" w:color="auto"/>
            <w:right w:val="none" w:sz="0" w:space="0" w:color="auto"/>
          </w:divBdr>
          <w:divsChild>
            <w:div w:id="933322066">
              <w:marLeft w:val="0"/>
              <w:marRight w:val="0"/>
              <w:marTop w:val="0"/>
              <w:marBottom w:val="0"/>
              <w:divBdr>
                <w:top w:val="none" w:sz="0" w:space="0" w:color="auto"/>
                <w:left w:val="none" w:sz="0" w:space="0" w:color="auto"/>
                <w:bottom w:val="none" w:sz="0" w:space="0" w:color="auto"/>
                <w:right w:val="none" w:sz="0" w:space="0" w:color="auto"/>
              </w:divBdr>
              <w:divsChild>
                <w:div w:id="15388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48115">
      <w:bodyDiv w:val="1"/>
      <w:marLeft w:val="0"/>
      <w:marRight w:val="0"/>
      <w:marTop w:val="0"/>
      <w:marBottom w:val="0"/>
      <w:divBdr>
        <w:top w:val="none" w:sz="0" w:space="0" w:color="auto"/>
        <w:left w:val="none" w:sz="0" w:space="0" w:color="auto"/>
        <w:bottom w:val="none" w:sz="0" w:space="0" w:color="auto"/>
        <w:right w:val="none" w:sz="0" w:space="0" w:color="auto"/>
      </w:divBdr>
      <w:divsChild>
        <w:div w:id="1204292824">
          <w:marLeft w:val="0"/>
          <w:marRight w:val="0"/>
          <w:marTop w:val="0"/>
          <w:marBottom w:val="0"/>
          <w:divBdr>
            <w:top w:val="none" w:sz="0" w:space="0" w:color="auto"/>
            <w:left w:val="none" w:sz="0" w:space="0" w:color="auto"/>
            <w:bottom w:val="none" w:sz="0" w:space="0" w:color="auto"/>
            <w:right w:val="none" w:sz="0" w:space="0" w:color="auto"/>
          </w:divBdr>
          <w:divsChild>
            <w:div w:id="2121339580">
              <w:marLeft w:val="0"/>
              <w:marRight w:val="0"/>
              <w:marTop w:val="0"/>
              <w:marBottom w:val="0"/>
              <w:divBdr>
                <w:top w:val="none" w:sz="0" w:space="0" w:color="auto"/>
                <w:left w:val="none" w:sz="0" w:space="0" w:color="auto"/>
                <w:bottom w:val="none" w:sz="0" w:space="0" w:color="auto"/>
                <w:right w:val="none" w:sz="0" w:space="0" w:color="auto"/>
              </w:divBdr>
              <w:divsChild>
                <w:div w:id="81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60489">
      <w:bodyDiv w:val="1"/>
      <w:marLeft w:val="0"/>
      <w:marRight w:val="0"/>
      <w:marTop w:val="0"/>
      <w:marBottom w:val="0"/>
      <w:divBdr>
        <w:top w:val="none" w:sz="0" w:space="0" w:color="auto"/>
        <w:left w:val="none" w:sz="0" w:space="0" w:color="auto"/>
        <w:bottom w:val="none" w:sz="0" w:space="0" w:color="auto"/>
        <w:right w:val="none" w:sz="0" w:space="0" w:color="auto"/>
      </w:divBdr>
    </w:div>
    <w:div w:id="1448431335">
      <w:bodyDiv w:val="1"/>
      <w:marLeft w:val="0"/>
      <w:marRight w:val="0"/>
      <w:marTop w:val="0"/>
      <w:marBottom w:val="0"/>
      <w:divBdr>
        <w:top w:val="none" w:sz="0" w:space="0" w:color="auto"/>
        <w:left w:val="none" w:sz="0" w:space="0" w:color="auto"/>
        <w:bottom w:val="none" w:sz="0" w:space="0" w:color="auto"/>
        <w:right w:val="none" w:sz="0" w:space="0" w:color="auto"/>
      </w:divBdr>
      <w:divsChild>
        <w:div w:id="836384041">
          <w:marLeft w:val="105"/>
          <w:marRight w:val="0"/>
          <w:marTop w:val="180"/>
          <w:marBottom w:val="180"/>
          <w:divBdr>
            <w:top w:val="none" w:sz="0" w:space="0" w:color="auto"/>
            <w:left w:val="none" w:sz="0" w:space="0" w:color="auto"/>
            <w:bottom w:val="none" w:sz="0" w:space="0" w:color="auto"/>
            <w:right w:val="none" w:sz="0" w:space="0" w:color="auto"/>
          </w:divBdr>
        </w:div>
        <w:div w:id="1980451497">
          <w:marLeft w:val="105"/>
          <w:marRight w:val="0"/>
          <w:marTop w:val="180"/>
          <w:marBottom w:val="180"/>
          <w:divBdr>
            <w:top w:val="none" w:sz="0" w:space="0" w:color="auto"/>
            <w:left w:val="none" w:sz="0" w:space="0" w:color="auto"/>
            <w:bottom w:val="none" w:sz="0" w:space="0" w:color="auto"/>
            <w:right w:val="none" w:sz="0" w:space="0" w:color="auto"/>
          </w:divBdr>
        </w:div>
      </w:divsChild>
    </w:div>
    <w:div w:id="1565681412">
      <w:bodyDiv w:val="1"/>
      <w:marLeft w:val="0"/>
      <w:marRight w:val="0"/>
      <w:marTop w:val="0"/>
      <w:marBottom w:val="0"/>
      <w:divBdr>
        <w:top w:val="none" w:sz="0" w:space="0" w:color="auto"/>
        <w:left w:val="none" w:sz="0" w:space="0" w:color="auto"/>
        <w:bottom w:val="none" w:sz="0" w:space="0" w:color="auto"/>
        <w:right w:val="none" w:sz="0" w:space="0" w:color="auto"/>
      </w:divBdr>
    </w:div>
    <w:div w:id="1579823497">
      <w:bodyDiv w:val="1"/>
      <w:marLeft w:val="0"/>
      <w:marRight w:val="0"/>
      <w:marTop w:val="0"/>
      <w:marBottom w:val="0"/>
      <w:divBdr>
        <w:top w:val="none" w:sz="0" w:space="0" w:color="auto"/>
        <w:left w:val="none" w:sz="0" w:space="0" w:color="auto"/>
        <w:bottom w:val="none" w:sz="0" w:space="0" w:color="auto"/>
        <w:right w:val="none" w:sz="0" w:space="0" w:color="auto"/>
      </w:divBdr>
    </w:div>
    <w:div w:id="1603293621">
      <w:bodyDiv w:val="1"/>
      <w:marLeft w:val="0"/>
      <w:marRight w:val="0"/>
      <w:marTop w:val="0"/>
      <w:marBottom w:val="0"/>
      <w:divBdr>
        <w:top w:val="none" w:sz="0" w:space="0" w:color="auto"/>
        <w:left w:val="none" w:sz="0" w:space="0" w:color="auto"/>
        <w:bottom w:val="none" w:sz="0" w:space="0" w:color="auto"/>
        <w:right w:val="none" w:sz="0" w:space="0" w:color="auto"/>
      </w:divBdr>
    </w:div>
    <w:div w:id="1616323456">
      <w:bodyDiv w:val="1"/>
      <w:marLeft w:val="0"/>
      <w:marRight w:val="0"/>
      <w:marTop w:val="0"/>
      <w:marBottom w:val="0"/>
      <w:divBdr>
        <w:top w:val="none" w:sz="0" w:space="0" w:color="auto"/>
        <w:left w:val="none" w:sz="0" w:space="0" w:color="auto"/>
        <w:bottom w:val="none" w:sz="0" w:space="0" w:color="auto"/>
        <w:right w:val="none" w:sz="0" w:space="0" w:color="auto"/>
      </w:divBdr>
    </w:div>
    <w:div w:id="1700352942">
      <w:bodyDiv w:val="1"/>
      <w:marLeft w:val="0"/>
      <w:marRight w:val="0"/>
      <w:marTop w:val="0"/>
      <w:marBottom w:val="0"/>
      <w:divBdr>
        <w:top w:val="none" w:sz="0" w:space="0" w:color="auto"/>
        <w:left w:val="none" w:sz="0" w:space="0" w:color="auto"/>
        <w:bottom w:val="none" w:sz="0" w:space="0" w:color="auto"/>
        <w:right w:val="none" w:sz="0" w:space="0" w:color="auto"/>
      </w:divBdr>
    </w:div>
    <w:div w:id="1769231223">
      <w:bodyDiv w:val="1"/>
      <w:marLeft w:val="0"/>
      <w:marRight w:val="0"/>
      <w:marTop w:val="0"/>
      <w:marBottom w:val="0"/>
      <w:divBdr>
        <w:top w:val="none" w:sz="0" w:space="0" w:color="auto"/>
        <w:left w:val="none" w:sz="0" w:space="0" w:color="auto"/>
        <w:bottom w:val="none" w:sz="0" w:space="0" w:color="auto"/>
        <w:right w:val="none" w:sz="0" w:space="0" w:color="auto"/>
      </w:divBdr>
      <w:divsChild>
        <w:div w:id="602028783">
          <w:marLeft w:val="0"/>
          <w:marRight w:val="0"/>
          <w:marTop w:val="0"/>
          <w:marBottom w:val="0"/>
          <w:divBdr>
            <w:top w:val="none" w:sz="0" w:space="0" w:color="auto"/>
            <w:left w:val="none" w:sz="0" w:space="0" w:color="auto"/>
            <w:bottom w:val="none" w:sz="0" w:space="0" w:color="auto"/>
            <w:right w:val="none" w:sz="0" w:space="0" w:color="auto"/>
          </w:divBdr>
          <w:divsChild>
            <w:div w:id="205221293">
              <w:marLeft w:val="0"/>
              <w:marRight w:val="0"/>
              <w:marTop w:val="0"/>
              <w:marBottom w:val="0"/>
              <w:divBdr>
                <w:top w:val="none" w:sz="0" w:space="0" w:color="auto"/>
                <w:left w:val="none" w:sz="0" w:space="0" w:color="auto"/>
                <w:bottom w:val="none" w:sz="0" w:space="0" w:color="auto"/>
                <w:right w:val="none" w:sz="0" w:space="0" w:color="auto"/>
              </w:divBdr>
              <w:divsChild>
                <w:div w:id="10183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8330966">
      <w:bodyDiv w:val="1"/>
      <w:marLeft w:val="0"/>
      <w:marRight w:val="0"/>
      <w:marTop w:val="0"/>
      <w:marBottom w:val="0"/>
      <w:divBdr>
        <w:top w:val="none" w:sz="0" w:space="0" w:color="auto"/>
        <w:left w:val="none" w:sz="0" w:space="0" w:color="auto"/>
        <w:bottom w:val="none" w:sz="0" w:space="0" w:color="auto"/>
        <w:right w:val="none" w:sz="0" w:space="0" w:color="auto"/>
      </w:divBdr>
    </w:div>
    <w:div w:id="1852646056">
      <w:bodyDiv w:val="1"/>
      <w:marLeft w:val="0"/>
      <w:marRight w:val="0"/>
      <w:marTop w:val="0"/>
      <w:marBottom w:val="0"/>
      <w:divBdr>
        <w:top w:val="none" w:sz="0" w:space="0" w:color="auto"/>
        <w:left w:val="none" w:sz="0" w:space="0" w:color="auto"/>
        <w:bottom w:val="none" w:sz="0" w:space="0" w:color="auto"/>
        <w:right w:val="none" w:sz="0" w:space="0" w:color="auto"/>
      </w:divBdr>
      <w:divsChild>
        <w:div w:id="1685087732">
          <w:marLeft w:val="0"/>
          <w:marRight w:val="0"/>
          <w:marTop w:val="0"/>
          <w:marBottom w:val="0"/>
          <w:divBdr>
            <w:top w:val="none" w:sz="0" w:space="0" w:color="auto"/>
            <w:left w:val="none" w:sz="0" w:space="0" w:color="auto"/>
            <w:bottom w:val="none" w:sz="0" w:space="0" w:color="auto"/>
            <w:right w:val="none" w:sz="0" w:space="0" w:color="auto"/>
          </w:divBdr>
          <w:divsChild>
            <w:div w:id="117649547">
              <w:marLeft w:val="0"/>
              <w:marRight w:val="0"/>
              <w:marTop w:val="0"/>
              <w:marBottom w:val="0"/>
              <w:divBdr>
                <w:top w:val="none" w:sz="0" w:space="0" w:color="auto"/>
                <w:left w:val="none" w:sz="0" w:space="0" w:color="auto"/>
                <w:bottom w:val="none" w:sz="0" w:space="0" w:color="auto"/>
                <w:right w:val="none" w:sz="0" w:space="0" w:color="auto"/>
              </w:divBdr>
              <w:divsChild>
                <w:div w:id="6394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8930">
      <w:bodyDiv w:val="1"/>
      <w:marLeft w:val="0"/>
      <w:marRight w:val="0"/>
      <w:marTop w:val="0"/>
      <w:marBottom w:val="0"/>
      <w:divBdr>
        <w:top w:val="none" w:sz="0" w:space="0" w:color="auto"/>
        <w:left w:val="none" w:sz="0" w:space="0" w:color="auto"/>
        <w:bottom w:val="none" w:sz="0" w:space="0" w:color="auto"/>
        <w:right w:val="none" w:sz="0" w:space="0" w:color="auto"/>
      </w:divBdr>
    </w:div>
    <w:div w:id="1894807128">
      <w:bodyDiv w:val="1"/>
      <w:marLeft w:val="0"/>
      <w:marRight w:val="0"/>
      <w:marTop w:val="0"/>
      <w:marBottom w:val="0"/>
      <w:divBdr>
        <w:top w:val="none" w:sz="0" w:space="0" w:color="auto"/>
        <w:left w:val="none" w:sz="0" w:space="0" w:color="auto"/>
        <w:bottom w:val="none" w:sz="0" w:space="0" w:color="auto"/>
        <w:right w:val="none" w:sz="0" w:space="0" w:color="auto"/>
      </w:divBdr>
      <w:divsChild>
        <w:div w:id="815026254">
          <w:marLeft w:val="0"/>
          <w:marRight w:val="0"/>
          <w:marTop w:val="0"/>
          <w:marBottom w:val="0"/>
          <w:divBdr>
            <w:top w:val="none" w:sz="0" w:space="0" w:color="auto"/>
            <w:left w:val="none" w:sz="0" w:space="0" w:color="auto"/>
            <w:bottom w:val="none" w:sz="0" w:space="0" w:color="auto"/>
            <w:right w:val="none" w:sz="0" w:space="0" w:color="auto"/>
          </w:divBdr>
          <w:divsChild>
            <w:div w:id="2019574550">
              <w:marLeft w:val="0"/>
              <w:marRight w:val="0"/>
              <w:marTop w:val="0"/>
              <w:marBottom w:val="0"/>
              <w:divBdr>
                <w:top w:val="none" w:sz="0" w:space="0" w:color="auto"/>
                <w:left w:val="none" w:sz="0" w:space="0" w:color="auto"/>
                <w:bottom w:val="none" w:sz="0" w:space="0" w:color="auto"/>
                <w:right w:val="none" w:sz="0" w:space="0" w:color="auto"/>
              </w:divBdr>
              <w:divsChild>
                <w:div w:id="19873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7085">
      <w:bodyDiv w:val="1"/>
      <w:marLeft w:val="0"/>
      <w:marRight w:val="0"/>
      <w:marTop w:val="0"/>
      <w:marBottom w:val="0"/>
      <w:divBdr>
        <w:top w:val="none" w:sz="0" w:space="0" w:color="auto"/>
        <w:left w:val="none" w:sz="0" w:space="0" w:color="auto"/>
        <w:bottom w:val="none" w:sz="0" w:space="0" w:color="auto"/>
        <w:right w:val="none" w:sz="0" w:space="0" w:color="auto"/>
      </w:divBdr>
      <w:divsChild>
        <w:div w:id="2005357266">
          <w:marLeft w:val="0"/>
          <w:marRight w:val="0"/>
          <w:marTop w:val="0"/>
          <w:marBottom w:val="0"/>
          <w:divBdr>
            <w:top w:val="none" w:sz="0" w:space="0" w:color="auto"/>
            <w:left w:val="none" w:sz="0" w:space="0" w:color="auto"/>
            <w:bottom w:val="none" w:sz="0" w:space="0" w:color="auto"/>
            <w:right w:val="none" w:sz="0" w:space="0" w:color="auto"/>
          </w:divBdr>
          <w:divsChild>
            <w:div w:id="2114662803">
              <w:marLeft w:val="0"/>
              <w:marRight w:val="0"/>
              <w:marTop w:val="0"/>
              <w:marBottom w:val="0"/>
              <w:divBdr>
                <w:top w:val="none" w:sz="0" w:space="0" w:color="auto"/>
                <w:left w:val="none" w:sz="0" w:space="0" w:color="auto"/>
                <w:bottom w:val="none" w:sz="0" w:space="0" w:color="auto"/>
                <w:right w:val="none" w:sz="0" w:space="0" w:color="auto"/>
              </w:divBdr>
              <w:divsChild>
                <w:div w:id="18964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94050">
      <w:bodyDiv w:val="1"/>
      <w:marLeft w:val="0"/>
      <w:marRight w:val="0"/>
      <w:marTop w:val="0"/>
      <w:marBottom w:val="0"/>
      <w:divBdr>
        <w:top w:val="none" w:sz="0" w:space="0" w:color="auto"/>
        <w:left w:val="none" w:sz="0" w:space="0" w:color="auto"/>
        <w:bottom w:val="none" w:sz="0" w:space="0" w:color="auto"/>
        <w:right w:val="none" w:sz="0" w:space="0" w:color="auto"/>
      </w:divBdr>
    </w:div>
    <w:div w:id="1949191393">
      <w:bodyDiv w:val="1"/>
      <w:marLeft w:val="0"/>
      <w:marRight w:val="0"/>
      <w:marTop w:val="0"/>
      <w:marBottom w:val="0"/>
      <w:divBdr>
        <w:top w:val="none" w:sz="0" w:space="0" w:color="auto"/>
        <w:left w:val="none" w:sz="0" w:space="0" w:color="auto"/>
        <w:bottom w:val="none" w:sz="0" w:space="0" w:color="auto"/>
        <w:right w:val="none" w:sz="0" w:space="0" w:color="auto"/>
      </w:divBdr>
    </w:div>
    <w:div w:id="20478267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669">
          <w:marLeft w:val="0"/>
          <w:marRight w:val="0"/>
          <w:marTop w:val="0"/>
          <w:marBottom w:val="0"/>
          <w:divBdr>
            <w:top w:val="none" w:sz="0" w:space="0" w:color="auto"/>
            <w:left w:val="none" w:sz="0" w:space="0" w:color="auto"/>
            <w:bottom w:val="none" w:sz="0" w:space="0" w:color="auto"/>
            <w:right w:val="none" w:sz="0" w:space="0" w:color="auto"/>
          </w:divBdr>
          <w:divsChild>
            <w:div w:id="417018408">
              <w:marLeft w:val="0"/>
              <w:marRight w:val="0"/>
              <w:marTop w:val="0"/>
              <w:marBottom w:val="0"/>
              <w:divBdr>
                <w:top w:val="none" w:sz="0" w:space="0" w:color="auto"/>
                <w:left w:val="none" w:sz="0" w:space="0" w:color="auto"/>
                <w:bottom w:val="none" w:sz="0" w:space="0" w:color="auto"/>
                <w:right w:val="none" w:sz="0" w:space="0" w:color="auto"/>
              </w:divBdr>
              <w:divsChild>
                <w:div w:id="17737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86823">
      <w:bodyDiv w:val="1"/>
      <w:marLeft w:val="0"/>
      <w:marRight w:val="0"/>
      <w:marTop w:val="0"/>
      <w:marBottom w:val="0"/>
      <w:divBdr>
        <w:top w:val="none" w:sz="0" w:space="0" w:color="auto"/>
        <w:left w:val="none" w:sz="0" w:space="0" w:color="auto"/>
        <w:bottom w:val="none" w:sz="0" w:space="0" w:color="auto"/>
        <w:right w:val="none" w:sz="0" w:space="0" w:color="auto"/>
      </w:divBdr>
    </w:div>
    <w:div w:id="2110539053">
      <w:bodyDiv w:val="1"/>
      <w:marLeft w:val="0"/>
      <w:marRight w:val="0"/>
      <w:marTop w:val="0"/>
      <w:marBottom w:val="0"/>
      <w:divBdr>
        <w:top w:val="none" w:sz="0" w:space="0" w:color="auto"/>
        <w:left w:val="none" w:sz="0" w:space="0" w:color="auto"/>
        <w:bottom w:val="none" w:sz="0" w:space="0" w:color="auto"/>
        <w:right w:val="none" w:sz="0" w:space="0" w:color="auto"/>
      </w:divBdr>
      <w:divsChild>
        <w:div w:id="2147163912">
          <w:marLeft w:val="0"/>
          <w:marRight w:val="0"/>
          <w:marTop w:val="0"/>
          <w:marBottom w:val="0"/>
          <w:divBdr>
            <w:top w:val="none" w:sz="0" w:space="0" w:color="auto"/>
            <w:left w:val="none" w:sz="0" w:space="0" w:color="auto"/>
            <w:bottom w:val="none" w:sz="0" w:space="0" w:color="auto"/>
            <w:right w:val="none" w:sz="0" w:space="0" w:color="auto"/>
          </w:divBdr>
          <w:divsChild>
            <w:div w:id="1831822313">
              <w:marLeft w:val="0"/>
              <w:marRight w:val="0"/>
              <w:marTop w:val="0"/>
              <w:marBottom w:val="0"/>
              <w:divBdr>
                <w:top w:val="none" w:sz="0" w:space="0" w:color="auto"/>
                <w:left w:val="none" w:sz="0" w:space="0" w:color="auto"/>
                <w:bottom w:val="none" w:sz="0" w:space="0" w:color="auto"/>
                <w:right w:val="none" w:sz="0" w:space="0" w:color="auto"/>
              </w:divBdr>
              <w:divsChild>
                <w:div w:id="605772222">
                  <w:marLeft w:val="0"/>
                  <w:marRight w:val="0"/>
                  <w:marTop w:val="0"/>
                  <w:marBottom w:val="0"/>
                  <w:divBdr>
                    <w:top w:val="none" w:sz="0" w:space="0" w:color="auto"/>
                    <w:left w:val="none" w:sz="0" w:space="0" w:color="auto"/>
                    <w:bottom w:val="none" w:sz="0" w:space="0" w:color="auto"/>
                    <w:right w:val="none" w:sz="0" w:space="0" w:color="auto"/>
                  </w:divBdr>
                  <w:divsChild>
                    <w:div w:id="6924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6498F"/>
    <w:rsid w:val="0007176C"/>
    <w:rsid w:val="000B2E0D"/>
    <w:rsid w:val="00193049"/>
    <w:rsid w:val="001C105B"/>
    <w:rsid w:val="001F1EF7"/>
    <w:rsid w:val="00200821"/>
    <w:rsid w:val="0025245B"/>
    <w:rsid w:val="002A3923"/>
    <w:rsid w:val="002E1D73"/>
    <w:rsid w:val="002F63D6"/>
    <w:rsid w:val="00381F99"/>
    <w:rsid w:val="00394049"/>
    <w:rsid w:val="003B0C71"/>
    <w:rsid w:val="00440659"/>
    <w:rsid w:val="00461C78"/>
    <w:rsid w:val="004B5BBB"/>
    <w:rsid w:val="004D23A8"/>
    <w:rsid w:val="004F2DF8"/>
    <w:rsid w:val="00517E2A"/>
    <w:rsid w:val="005C57CF"/>
    <w:rsid w:val="0063288B"/>
    <w:rsid w:val="00664541"/>
    <w:rsid w:val="006D3128"/>
    <w:rsid w:val="006F24A1"/>
    <w:rsid w:val="00721933"/>
    <w:rsid w:val="00755702"/>
    <w:rsid w:val="00761C02"/>
    <w:rsid w:val="00875B8A"/>
    <w:rsid w:val="008953BC"/>
    <w:rsid w:val="009A261B"/>
    <w:rsid w:val="009A3D90"/>
    <w:rsid w:val="00A814C7"/>
    <w:rsid w:val="00AA01CA"/>
    <w:rsid w:val="00AA2E17"/>
    <w:rsid w:val="00AC15A4"/>
    <w:rsid w:val="00AD34C4"/>
    <w:rsid w:val="00B01EDA"/>
    <w:rsid w:val="00B0336C"/>
    <w:rsid w:val="00B61AF4"/>
    <w:rsid w:val="00B877F5"/>
    <w:rsid w:val="00B95975"/>
    <w:rsid w:val="00BD3108"/>
    <w:rsid w:val="00BF7790"/>
    <w:rsid w:val="00C40B32"/>
    <w:rsid w:val="00C45496"/>
    <w:rsid w:val="00CE20E9"/>
    <w:rsid w:val="00D241E9"/>
    <w:rsid w:val="00D7750D"/>
    <w:rsid w:val="00D8352C"/>
    <w:rsid w:val="00DB1537"/>
    <w:rsid w:val="00E51DA5"/>
    <w:rsid w:val="00E86A65"/>
    <w:rsid w:val="00EC4E34"/>
    <w:rsid w:val="00ED7830"/>
    <w:rsid w:val="00EE722F"/>
    <w:rsid w:val="00F00D2F"/>
    <w:rsid w:val="00F128DF"/>
    <w:rsid w:val="00F25ED0"/>
    <w:rsid w:val="00F74FBD"/>
    <w:rsid w:val="00FB76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5894</Words>
  <Characters>33600</Characters>
  <Application>Microsoft Office Word</Application>
  <DocSecurity>0</DocSecurity>
  <Lines>280</Lines>
  <Paragraphs>78</Paragraphs>
  <ScaleCrop>false</ScaleCrop>
  <Company/>
  <LinksUpToDate>false</LinksUpToDate>
  <CharactersWithSpaces>39416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2023-11-27T18:01:00Z</dcterms:created>
  <dcterms:modified xsi:type="dcterms:W3CDTF">2023-11-27T18:01:00Z</dcterms:modified>
</cp:coreProperties>
</file>