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B28F2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632806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E4D82">
                              <w:rPr>
                                <w:rFonts w:asciiTheme="majorHAnsi" w:hAnsiTheme="majorHAnsi" w:cs="Arial"/>
                                <w:b/>
                                <w:bCs/>
                                <w:color w:val="0D0D0D" w:themeColor="text1" w:themeTint="F2"/>
                                <w:sz w:val="36"/>
                                <w:szCs w:val="22"/>
                                <w:lang w:val="es-ES_tradnl"/>
                              </w:rPr>
                              <w:t>60</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131D78F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21584">
                              <w:rPr>
                                <w:rFonts w:asciiTheme="majorHAnsi" w:hAnsiTheme="majorHAnsi" w:cs="Arial"/>
                                <w:b/>
                                <w:color w:val="0D0D0D" w:themeColor="text1" w:themeTint="F2"/>
                                <w:sz w:val="36"/>
                                <w:szCs w:val="22"/>
                                <w:lang w:val="es-ES_tradnl"/>
                              </w:rPr>
                              <w:t>1995-14</w:t>
                            </w:r>
                            <w:r w:rsidR="00246D1F" w:rsidRPr="004E2649">
                              <w:rPr>
                                <w:rFonts w:asciiTheme="majorHAnsi" w:hAnsiTheme="majorHAnsi" w:cs="Arial"/>
                                <w:b/>
                                <w:color w:val="0D0D0D" w:themeColor="text1" w:themeTint="F2"/>
                                <w:sz w:val="36"/>
                                <w:szCs w:val="22"/>
                                <w:lang w:val="es-ES_tradnl"/>
                              </w:rPr>
                              <w:t xml:space="preserve"> </w:t>
                            </w:r>
                          </w:p>
                          <w:p w14:paraId="188B4303" w14:textId="6CB60B1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7A12B742" w:rsidR="005B52B0" w:rsidRPr="0010736F" w:rsidRDefault="0012158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DE SAN CARLOS DE GUAROA</w:t>
                            </w:r>
                          </w:p>
                          <w:bookmarkEnd w:id="0"/>
                          <w:p w14:paraId="0B9F7D22" w14:textId="1F5D3728" w:rsidR="005B52B0" w:rsidRPr="00F56ECB" w:rsidRDefault="00121584"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632806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E4D82">
                        <w:rPr>
                          <w:rFonts w:asciiTheme="majorHAnsi" w:hAnsiTheme="majorHAnsi" w:cs="Arial"/>
                          <w:b/>
                          <w:bCs/>
                          <w:color w:val="0D0D0D" w:themeColor="text1" w:themeTint="F2"/>
                          <w:sz w:val="36"/>
                          <w:szCs w:val="22"/>
                          <w:lang w:val="es-ES_tradnl"/>
                        </w:rPr>
                        <w:t>60</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131D78F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21584">
                        <w:rPr>
                          <w:rFonts w:asciiTheme="majorHAnsi" w:hAnsiTheme="majorHAnsi" w:cs="Arial"/>
                          <w:b/>
                          <w:color w:val="0D0D0D" w:themeColor="text1" w:themeTint="F2"/>
                          <w:sz w:val="36"/>
                          <w:szCs w:val="22"/>
                          <w:lang w:val="es-ES_tradnl"/>
                        </w:rPr>
                        <w:t>1995-14</w:t>
                      </w:r>
                      <w:r w:rsidR="00246D1F" w:rsidRPr="004E2649">
                        <w:rPr>
                          <w:rFonts w:asciiTheme="majorHAnsi" w:hAnsiTheme="majorHAnsi" w:cs="Arial"/>
                          <w:b/>
                          <w:color w:val="0D0D0D" w:themeColor="text1" w:themeTint="F2"/>
                          <w:sz w:val="36"/>
                          <w:szCs w:val="22"/>
                          <w:lang w:val="es-ES_tradnl"/>
                        </w:rPr>
                        <w:t xml:space="preserve"> </w:t>
                      </w:r>
                    </w:p>
                    <w:p w14:paraId="188B4303" w14:textId="6CB60B1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7A12B742" w:rsidR="005B52B0" w:rsidRPr="0010736F" w:rsidRDefault="0012158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DE SAN CARLOS DE GUAROA</w:t>
                      </w:r>
                    </w:p>
                    <w:bookmarkEnd w:id="1"/>
                    <w:p w14:paraId="0B9F7D22" w14:textId="1F5D3728" w:rsidR="005B52B0" w:rsidRPr="00F56ECB" w:rsidRDefault="00121584"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A75F379" w:rsidR="00627C9F" w:rsidRPr="00B838A1" w:rsidRDefault="00834D49" w:rsidP="007A5817">
                            <w:pPr>
                              <w:spacing w:line="276" w:lineRule="auto"/>
                              <w:jc w:val="right"/>
                              <w:rPr>
                                <w:rFonts w:asciiTheme="minorHAnsi" w:hAnsiTheme="minorHAnsi"/>
                                <w:color w:val="FFFFFF" w:themeColor="background1"/>
                                <w:sz w:val="22"/>
                                <w:lang w:val="es-ES"/>
                              </w:rPr>
                            </w:pPr>
                            <w:r w:rsidRPr="00B838A1">
                              <w:rPr>
                                <w:rFonts w:asciiTheme="minorHAnsi" w:hAnsiTheme="minorHAnsi"/>
                                <w:color w:val="FFFFFF" w:themeColor="background1"/>
                                <w:sz w:val="22"/>
                                <w:lang w:val="es-ES"/>
                              </w:rPr>
                              <w:t>OEA/Ser.L/V/II</w:t>
                            </w:r>
                          </w:p>
                          <w:p w14:paraId="71D2D5D2" w14:textId="5D630D63" w:rsidR="00627C9F" w:rsidRPr="00B838A1" w:rsidRDefault="00627C9F" w:rsidP="007A5817">
                            <w:pPr>
                              <w:spacing w:line="276" w:lineRule="auto"/>
                              <w:jc w:val="right"/>
                              <w:rPr>
                                <w:rFonts w:asciiTheme="minorHAnsi" w:hAnsiTheme="minorHAnsi"/>
                                <w:color w:val="FFFFFF" w:themeColor="background1"/>
                                <w:sz w:val="22"/>
                                <w:lang w:val="es-ES"/>
                              </w:rPr>
                            </w:pPr>
                            <w:r w:rsidRPr="00B838A1">
                              <w:rPr>
                                <w:rFonts w:asciiTheme="minorHAnsi" w:hAnsiTheme="minorHAnsi"/>
                                <w:color w:val="FFFFFF" w:themeColor="background1"/>
                                <w:sz w:val="22"/>
                                <w:lang w:val="es-ES"/>
                              </w:rPr>
                              <w:t xml:space="preserve">Doc. </w:t>
                            </w:r>
                            <w:r w:rsidR="006600D9" w:rsidRPr="00B838A1">
                              <w:rPr>
                                <w:rFonts w:asciiTheme="minorHAnsi" w:hAnsiTheme="minorHAnsi"/>
                                <w:color w:val="FFFFFF" w:themeColor="background1"/>
                                <w:sz w:val="22"/>
                                <w:lang w:val="es-ES"/>
                              </w:rPr>
                              <w:t>63</w:t>
                            </w:r>
                          </w:p>
                          <w:p w14:paraId="4061DBBD" w14:textId="463F4464" w:rsidR="00627C9F" w:rsidRPr="00C25ADB" w:rsidRDefault="006600D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4A75F379" w:rsidR="00627C9F" w:rsidRPr="00B838A1" w:rsidRDefault="00834D49" w:rsidP="007A5817">
                      <w:pPr>
                        <w:spacing w:line="276" w:lineRule="auto"/>
                        <w:jc w:val="right"/>
                        <w:rPr>
                          <w:rFonts w:asciiTheme="minorHAnsi" w:hAnsiTheme="minorHAnsi"/>
                          <w:color w:val="FFFFFF" w:themeColor="background1"/>
                          <w:sz w:val="22"/>
                          <w:lang w:val="es-ES"/>
                        </w:rPr>
                      </w:pPr>
                      <w:r w:rsidRPr="00B838A1">
                        <w:rPr>
                          <w:rFonts w:asciiTheme="minorHAnsi" w:hAnsiTheme="minorHAnsi"/>
                          <w:color w:val="FFFFFF" w:themeColor="background1"/>
                          <w:sz w:val="22"/>
                          <w:lang w:val="es-ES"/>
                        </w:rPr>
                        <w:t>OEA/Ser.L/V/II</w:t>
                      </w:r>
                    </w:p>
                    <w:p w14:paraId="71D2D5D2" w14:textId="5D630D63" w:rsidR="00627C9F" w:rsidRPr="00B838A1" w:rsidRDefault="00627C9F" w:rsidP="007A5817">
                      <w:pPr>
                        <w:spacing w:line="276" w:lineRule="auto"/>
                        <w:jc w:val="right"/>
                        <w:rPr>
                          <w:rFonts w:asciiTheme="minorHAnsi" w:hAnsiTheme="minorHAnsi"/>
                          <w:color w:val="FFFFFF" w:themeColor="background1"/>
                          <w:sz w:val="22"/>
                          <w:lang w:val="es-ES"/>
                        </w:rPr>
                      </w:pPr>
                      <w:r w:rsidRPr="00B838A1">
                        <w:rPr>
                          <w:rFonts w:asciiTheme="minorHAnsi" w:hAnsiTheme="minorHAnsi"/>
                          <w:color w:val="FFFFFF" w:themeColor="background1"/>
                          <w:sz w:val="22"/>
                          <w:lang w:val="es-ES"/>
                        </w:rPr>
                        <w:t xml:space="preserve">Doc. </w:t>
                      </w:r>
                      <w:r w:rsidR="006600D9" w:rsidRPr="00B838A1">
                        <w:rPr>
                          <w:rFonts w:asciiTheme="minorHAnsi" w:hAnsiTheme="minorHAnsi"/>
                          <w:color w:val="FFFFFF" w:themeColor="background1"/>
                          <w:sz w:val="22"/>
                          <w:lang w:val="es-ES"/>
                        </w:rPr>
                        <w:t>63</w:t>
                      </w:r>
                    </w:p>
                    <w:p w14:paraId="4061DBBD" w14:textId="463F4464" w:rsidR="00627C9F" w:rsidRPr="00C25ADB" w:rsidRDefault="006600D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13829D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A6FCF">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EA6FCF">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EA6FC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13829D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A6FCF">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EA6FCF">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EA6FC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8A9E7" w14:textId="77777777" w:rsidR="00B838A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6FCF" w:rsidRPr="00EA6FCF">
                              <w:rPr>
                                <w:rFonts w:asciiTheme="majorHAnsi" w:hAnsiTheme="majorHAnsi"/>
                                <w:color w:val="595959" w:themeColor="text1" w:themeTint="A6"/>
                                <w:sz w:val="18"/>
                                <w:szCs w:val="18"/>
                                <w:lang w:val="pt-BR"/>
                              </w:rPr>
                              <w:t>60</w:t>
                            </w:r>
                            <w:r w:rsidR="007B05C4" w:rsidRPr="00EA6FCF">
                              <w:rPr>
                                <w:rFonts w:asciiTheme="majorHAnsi" w:hAnsiTheme="majorHAnsi"/>
                                <w:color w:val="595959" w:themeColor="text1" w:themeTint="A6"/>
                                <w:sz w:val="18"/>
                                <w:szCs w:val="18"/>
                                <w:lang w:val="pt-BR"/>
                              </w:rPr>
                              <w:t>/</w:t>
                            </w:r>
                            <w:r w:rsidR="00EA6FCF" w:rsidRPr="00EA6FCF">
                              <w:rPr>
                                <w:rFonts w:asciiTheme="majorHAnsi" w:hAnsiTheme="majorHAnsi"/>
                                <w:color w:val="595959" w:themeColor="text1" w:themeTint="A6"/>
                                <w:sz w:val="18"/>
                                <w:szCs w:val="18"/>
                                <w:lang w:val="pt-BR"/>
                              </w:rPr>
                              <w:t>24</w:t>
                            </w:r>
                            <w:r w:rsidRPr="00EA6FC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A6FCF">
                              <w:rPr>
                                <w:rFonts w:asciiTheme="majorHAnsi" w:hAnsiTheme="majorHAnsi"/>
                                <w:color w:val="595959" w:themeColor="text1" w:themeTint="A6"/>
                                <w:sz w:val="18"/>
                                <w:szCs w:val="18"/>
                                <w:lang w:val="es-ES"/>
                              </w:rPr>
                              <w:t>1995</w:t>
                            </w:r>
                            <w:r w:rsidR="000433C9">
                              <w:rPr>
                                <w:rFonts w:asciiTheme="majorHAnsi" w:hAnsiTheme="majorHAnsi"/>
                                <w:color w:val="595959" w:themeColor="text1" w:themeTint="A6"/>
                                <w:sz w:val="18"/>
                                <w:szCs w:val="18"/>
                                <w:lang w:val="es-ES"/>
                              </w:rPr>
                              <w:t>-</w:t>
                            </w:r>
                            <w:r w:rsidR="00EA6FCF">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E0E041A" w:rsidR="00113F73" w:rsidRPr="007B05C4" w:rsidRDefault="0040195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Masacre de San Carlos de Guaroa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CF52C0">
                              <w:rPr>
                                <w:rFonts w:asciiTheme="majorHAnsi" w:hAnsiTheme="majorHAnsi"/>
                                <w:color w:val="595959" w:themeColor="text1" w:themeTint="A6"/>
                                <w:sz w:val="18"/>
                                <w:szCs w:val="18"/>
                                <w:lang w:val="es-ES"/>
                              </w:rPr>
                              <w:t>16 de mayo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E48A9E7" w14:textId="77777777" w:rsidR="00B838A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6FCF" w:rsidRPr="00EA6FCF">
                        <w:rPr>
                          <w:rFonts w:asciiTheme="majorHAnsi" w:hAnsiTheme="majorHAnsi"/>
                          <w:color w:val="595959" w:themeColor="text1" w:themeTint="A6"/>
                          <w:sz w:val="18"/>
                          <w:szCs w:val="18"/>
                          <w:lang w:val="pt-BR"/>
                        </w:rPr>
                        <w:t>60</w:t>
                      </w:r>
                      <w:r w:rsidR="007B05C4" w:rsidRPr="00EA6FCF">
                        <w:rPr>
                          <w:rFonts w:asciiTheme="majorHAnsi" w:hAnsiTheme="majorHAnsi"/>
                          <w:color w:val="595959" w:themeColor="text1" w:themeTint="A6"/>
                          <w:sz w:val="18"/>
                          <w:szCs w:val="18"/>
                          <w:lang w:val="pt-BR"/>
                        </w:rPr>
                        <w:t>/</w:t>
                      </w:r>
                      <w:r w:rsidR="00EA6FCF" w:rsidRPr="00EA6FCF">
                        <w:rPr>
                          <w:rFonts w:asciiTheme="majorHAnsi" w:hAnsiTheme="majorHAnsi"/>
                          <w:color w:val="595959" w:themeColor="text1" w:themeTint="A6"/>
                          <w:sz w:val="18"/>
                          <w:szCs w:val="18"/>
                          <w:lang w:val="pt-BR"/>
                        </w:rPr>
                        <w:t>24</w:t>
                      </w:r>
                      <w:r w:rsidRPr="00EA6FC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A6FCF">
                        <w:rPr>
                          <w:rFonts w:asciiTheme="majorHAnsi" w:hAnsiTheme="majorHAnsi"/>
                          <w:color w:val="595959" w:themeColor="text1" w:themeTint="A6"/>
                          <w:sz w:val="18"/>
                          <w:szCs w:val="18"/>
                          <w:lang w:val="es-ES"/>
                        </w:rPr>
                        <w:t>1995</w:t>
                      </w:r>
                      <w:r w:rsidR="000433C9">
                        <w:rPr>
                          <w:rFonts w:asciiTheme="majorHAnsi" w:hAnsiTheme="majorHAnsi"/>
                          <w:color w:val="595959" w:themeColor="text1" w:themeTint="A6"/>
                          <w:sz w:val="18"/>
                          <w:szCs w:val="18"/>
                          <w:lang w:val="es-ES"/>
                        </w:rPr>
                        <w:t>-</w:t>
                      </w:r>
                      <w:r w:rsidR="00EA6FCF">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E0E041A" w:rsidR="00113F73" w:rsidRPr="007B05C4" w:rsidRDefault="0040195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Masacre de San Carlos de Guaroa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CF52C0">
                        <w:rPr>
                          <w:rFonts w:asciiTheme="majorHAnsi" w:hAnsiTheme="majorHAnsi"/>
                          <w:color w:val="595959" w:themeColor="text1" w:themeTint="A6"/>
                          <w:sz w:val="18"/>
                          <w:szCs w:val="18"/>
                          <w:lang w:val="es-ES"/>
                        </w:rPr>
                        <w:t>16 de mayo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336D233B"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36D244A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CED4DE5" w:rsidR="0070697F" w:rsidRPr="00547797" w:rsidRDefault="00CF52C0"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3AAF567">
                <wp:simplePos x="0" y="0"/>
                <wp:positionH relativeFrom="column">
                  <wp:posOffset>1282065</wp:posOffset>
                </wp:positionH>
                <wp:positionV relativeFrom="paragraph">
                  <wp:posOffset>560233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0.95pt;margin-top:44.1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HEEJv+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74D81"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604C2043" w:rsidR="003239B8" w:rsidRPr="00274D81" w:rsidRDefault="00274D81" w:rsidP="008D2290">
            <w:pPr>
              <w:jc w:val="both"/>
              <w:rPr>
                <w:rFonts w:asciiTheme="majorHAnsi" w:hAnsiTheme="majorHAnsi"/>
                <w:bCs/>
                <w:sz w:val="20"/>
                <w:szCs w:val="20"/>
                <w:lang w:val="es-CO"/>
              </w:rPr>
            </w:pPr>
            <w:r w:rsidRPr="00274D81">
              <w:rPr>
                <w:rFonts w:asciiTheme="majorHAnsi" w:hAnsiTheme="majorHAnsi"/>
                <w:bCs/>
                <w:sz w:val="20"/>
                <w:szCs w:val="20"/>
                <w:lang w:val="es-CO"/>
              </w:rPr>
              <w:t xml:space="preserve">Corporación Colectivo de Abogados </w:t>
            </w:r>
            <w:r w:rsidR="004C5CF0">
              <w:rPr>
                <w:rFonts w:asciiTheme="majorHAnsi" w:hAnsiTheme="majorHAnsi"/>
                <w:bCs/>
                <w:sz w:val="20"/>
                <w:szCs w:val="20"/>
                <w:lang w:val="es-CO"/>
              </w:rPr>
              <w:t>‘</w:t>
            </w:r>
            <w:r w:rsidRPr="00274D81">
              <w:rPr>
                <w:rFonts w:asciiTheme="majorHAnsi" w:hAnsiTheme="majorHAnsi"/>
                <w:bCs/>
                <w:sz w:val="20"/>
                <w:szCs w:val="20"/>
                <w:lang w:val="es-CO"/>
              </w:rPr>
              <w:t>J</w:t>
            </w:r>
            <w:r>
              <w:rPr>
                <w:rFonts w:asciiTheme="majorHAnsi" w:hAnsiTheme="majorHAnsi"/>
                <w:bCs/>
                <w:sz w:val="20"/>
                <w:szCs w:val="20"/>
                <w:lang w:val="es-CO"/>
              </w:rPr>
              <w:t>osé Alvear Restrepo</w:t>
            </w:r>
            <w:r w:rsidR="004C5CF0">
              <w:rPr>
                <w:rFonts w:asciiTheme="majorHAnsi" w:hAnsiTheme="majorHAnsi"/>
                <w:bCs/>
                <w:sz w:val="20"/>
                <w:szCs w:val="20"/>
                <w:lang w:val="es-CO"/>
              </w:rPr>
              <w:t>’</w:t>
            </w:r>
            <w:r>
              <w:rPr>
                <w:rFonts w:asciiTheme="majorHAnsi" w:hAnsiTheme="majorHAnsi"/>
                <w:bCs/>
                <w:sz w:val="20"/>
                <w:szCs w:val="20"/>
                <w:lang w:val="es-CO"/>
              </w:rPr>
              <w:t xml:space="preserve"> (“CCAJAR”)</w:t>
            </w:r>
          </w:p>
        </w:tc>
      </w:tr>
      <w:tr w:rsidR="003239B8" w:rsidRPr="00D15302"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312E79"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6A5AB534" w:rsidR="003239B8" w:rsidRPr="00C07675" w:rsidRDefault="00C2708B" w:rsidP="008D2290">
            <w:pPr>
              <w:jc w:val="both"/>
              <w:rPr>
                <w:rFonts w:asciiTheme="majorHAnsi" w:hAnsiTheme="majorHAnsi"/>
                <w:bCs/>
                <w:sz w:val="20"/>
                <w:szCs w:val="20"/>
                <w:lang w:val="es-CO"/>
              </w:rPr>
            </w:pPr>
            <w:r>
              <w:rPr>
                <w:rFonts w:asciiTheme="majorHAnsi" w:hAnsiTheme="majorHAnsi"/>
                <w:bCs/>
                <w:sz w:val="20"/>
                <w:szCs w:val="20"/>
                <w:lang w:val="es-CO"/>
              </w:rPr>
              <w:t>Cincuenta y cuatro</w:t>
            </w:r>
            <w:r w:rsidR="00C07675" w:rsidRPr="0011618B">
              <w:rPr>
                <w:rFonts w:asciiTheme="majorHAnsi" w:hAnsiTheme="majorHAnsi"/>
                <w:bCs/>
                <w:sz w:val="20"/>
                <w:szCs w:val="20"/>
                <w:lang w:val="es-CO"/>
              </w:rPr>
              <w:t xml:space="preserve"> </w:t>
            </w:r>
            <w:r w:rsidR="001567E7">
              <w:rPr>
                <w:rFonts w:asciiTheme="majorHAnsi" w:hAnsiTheme="majorHAnsi"/>
                <w:bCs/>
                <w:sz w:val="20"/>
                <w:szCs w:val="20"/>
                <w:lang w:val="es-CO"/>
              </w:rPr>
              <w:t xml:space="preserve">servidores públicos </w:t>
            </w:r>
            <w:r w:rsidR="0011618B">
              <w:rPr>
                <w:rFonts w:asciiTheme="majorHAnsi" w:hAnsiTheme="majorHAnsi"/>
                <w:bCs/>
                <w:sz w:val="20"/>
                <w:szCs w:val="20"/>
                <w:lang w:val="es-CO"/>
              </w:rPr>
              <w:t xml:space="preserve">que participaron </w:t>
            </w:r>
            <w:r w:rsidR="001567E7">
              <w:rPr>
                <w:rFonts w:asciiTheme="majorHAnsi" w:hAnsiTheme="majorHAnsi"/>
                <w:bCs/>
                <w:sz w:val="20"/>
                <w:szCs w:val="20"/>
                <w:lang w:val="es-CO"/>
              </w:rPr>
              <w:t xml:space="preserve">en el operativo </w:t>
            </w:r>
            <w:r w:rsidR="0026587E">
              <w:rPr>
                <w:rFonts w:asciiTheme="majorHAnsi" w:hAnsiTheme="majorHAnsi"/>
                <w:bCs/>
                <w:sz w:val="20"/>
                <w:szCs w:val="20"/>
                <w:lang w:val="es-CO"/>
              </w:rPr>
              <w:t>de San Carlos de Guaroa</w:t>
            </w:r>
            <w:r w:rsidR="0075654D">
              <w:rPr>
                <w:rFonts w:asciiTheme="majorHAnsi" w:hAnsiTheme="majorHAnsi"/>
                <w:bCs/>
                <w:sz w:val="20"/>
                <w:szCs w:val="20"/>
                <w:lang w:val="es-CO"/>
              </w:rPr>
              <w:t xml:space="preserve"> el 3 de octubre de 1997</w:t>
            </w:r>
            <w:r w:rsidR="00E6559F">
              <w:rPr>
                <w:rStyle w:val="FootnoteReference"/>
                <w:rFonts w:asciiTheme="majorHAnsi" w:hAnsiTheme="majorHAnsi"/>
                <w:bCs/>
                <w:sz w:val="20"/>
                <w:szCs w:val="20"/>
                <w:lang w:val="es-CO"/>
              </w:rPr>
              <w:footnoteReference w:id="2"/>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7CE2B2EA" w:rsidR="003239B8" w:rsidRPr="00547797" w:rsidRDefault="00CA0DCA" w:rsidP="008D2290">
            <w:pPr>
              <w:jc w:val="both"/>
              <w:rPr>
                <w:rFonts w:asciiTheme="majorHAnsi" w:hAnsiTheme="majorHAnsi"/>
                <w:bCs/>
                <w:sz w:val="20"/>
                <w:szCs w:val="20"/>
              </w:rPr>
            </w:pPr>
            <w:r>
              <w:rPr>
                <w:rFonts w:asciiTheme="majorHAnsi" w:hAnsiTheme="majorHAnsi"/>
                <w:bCs/>
                <w:sz w:val="20"/>
                <w:szCs w:val="20"/>
              </w:rPr>
              <w:t>Colombia</w:t>
            </w:r>
            <w:r w:rsidR="004A6A54" w:rsidRPr="00547797">
              <w:rPr>
                <w:rStyle w:val="FootnoteReference"/>
                <w:rFonts w:asciiTheme="majorHAnsi" w:hAnsiTheme="majorHAnsi"/>
                <w:bCs/>
                <w:sz w:val="20"/>
                <w:szCs w:val="20"/>
              </w:rPr>
              <w:footnoteReference w:id="3"/>
            </w:r>
          </w:p>
        </w:tc>
      </w:tr>
      <w:tr w:rsidR="00223A29" w:rsidRPr="00D15302"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04C162CC" w:rsidR="00223A29" w:rsidRPr="00316B0F" w:rsidRDefault="00DF6536" w:rsidP="008D2290">
            <w:pPr>
              <w:jc w:val="both"/>
              <w:rPr>
                <w:rFonts w:asciiTheme="majorHAnsi" w:hAnsiTheme="majorHAnsi"/>
                <w:bCs/>
                <w:sz w:val="20"/>
                <w:szCs w:val="20"/>
                <w:lang w:val="es-CO"/>
              </w:rPr>
            </w:pPr>
            <w:r w:rsidRPr="00316B0F">
              <w:rPr>
                <w:rFonts w:asciiTheme="majorHAnsi" w:hAnsiTheme="majorHAnsi"/>
                <w:bCs/>
                <w:sz w:val="20"/>
                <w:szCs w:val="20"/>
                <w:lang w:val="es-CO"/>
              </w:rPr>
              <w:t xml:space="preserve">Artículos 4 (vida), 5 (integridad personal), </w:t>
            </w:r>
            <w:r w:rsidR="00316B0F" w:rsidRPr="00316B0F">
              <w:rPr>
                <w:rFonts w:asciiTheme="majorHAnsi" w:hAnsiTheme="majorHAnsi"/>
                <w:bCs/>
                <w:sz w:val="20"/>
                <w:szCs w:val="20"/>
                <w:lang w:val="es-CO"/>
              </w:rPr>
              <w:t>8 (g</w:t>
            </w:r>
            <w:r w:rsidR="00316B0F">
              <w:rPr>
                <w:rFonts w:asciiTheme="majorHAnsi" w:hAnsiTheme="majorHAnsi"/>
                <w:bCs/>
                <w:sz w:val="20"/>
                <w:szCs w:val="20"/>
                <w:lang w:val="es-CO"/>
              </w:rPr>
              <w:t>arantías judiciales) y 25 (protección judicial) de la Convención Americana sobre Derechos Humanos</w:t>
            </w:r>
            <w:r w:rsidR="001908FD">
              <w:rPr>
                <w:rStyle w:val="FootnoteReference"/>
                <w:rFonts w:asciiTheme="majorHAnsi" w:hAnsiTheme="majorHAnsi"/>
                <w:bCs/>
                <w:sz w:val="20"/>
                <w:szCs w:val="20"/>
                <w:lang w:val="es-CO"/>
              </w:rPr>
              <w:footnoteReference w:id="4"/>
            </w:r>
            <w:r w:rsidR="006611CA">
              <w:rPr>
                <w:rFonts w:asciiTheme="majorHAnsi" w:hAnsiTheme="majorHAnsi"/>
                <w:bCs/>
                <w:sz w:val="20"/>
                <w:szCs w:val="20"/>
                <w:lang w:val="es-CO"/>
              </w:rPr>
              <w:t xml:space="preserve"> en relación con </w:t>
            </w:r>
            <w:r w:rsidR="00E816DD">
              <w:rPr>
                <w:rFonts w:asciiTheme="majorHAnsi" w:hAnsiTheme="majorHAnsi"/>
                <w:bCs/>
                <w:sz w:val="20"/>
                <w:szCs w:val="20"/>
                <w:lang w:val="es-CO"/>
              </w:rPr>
              <w:t>su</w:t>
            </w:r>
            <w:r w:rsidR="006611CA">
              <w:rPr>
                <w:rFonts w:asciiTheme="majorHAnsi" w:hAnsiTheme="majorHAnsi"/>
                <w:bCs/>
                <w:sz w:val="20"/>
                <w:szCs w:val="20"/>
                <w:lang w:val="es-CO"/>
              </w:rPr>
              <w:t xml:space="preserve"> artículo 1.1 (obligación de respetar los derechos) </w:t>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08BE8F10" w:rsidR="004C2312" w:rsidRPr="00547797" w:rsidRDefault="00274D81" w:rsidP="002625EA">
            <w:pPr>
              <w:jc w:val="both"/>
              <w:rPr>
                <w:rFonts w:asciiTheme="majorHAnsi" w:hAnsiTheme="majorHAnsi"/>
                <w:bCs/>
                <w:sz w:val="20"/>
                <w:szCs w:val="20"/>
                <w:lang w:val="es-ES"/>
              </w:rPr>
            </w:pPr>
            <w:r>
              <w:rPr>
                <w:rFonts w:asciiTheme="majorHAnsi" w:hAnsiTheme="majorHAnsi"/>
                <w:bCs/>
                <w:sz w:val="20"/>
                <w:szCs w:val="20"/>
                <w:lang w:val="es-ES"/>
              </w:rPr>
              <w:t>5 de agosto de 2014</w:t>
            </w:r>
          </w:p>
        </w:tc>
      </w:tr>
      <w:tr w:rsidR="00131425" w:rsidRPr="00D15302"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3A546499" w:rsidR="00FE057E" w:rsidRPr="00547797" w:rsidRDefault="00501952" w:rsidP="00ED69CC">
            <w:pPr>
              <w:jc w:val="both"/>
              <w:rPr>
                <w:rFonts w:asciiTheme="majorHAnsi" w:hAnsiTheme="majorHAnsi"/>
                <w:bCs/>
                <w:sz w:val="20"/>
                <w:szCs w:val="20"/>
                <w:lang w:val="es-ES"/>
              </w:rPr>
            </w:pPr>
            <w:r>
              <w:rPr>
                <w:rFonts w:asciiTheme="majorHAnsi" w:hAnsiTheme="majorHAnsi"/>
                <w:bCs/>
                <w:sz w:val="20"/>
                <w:szCs w:val="20"/>
                <w:lang w:val="es-ES"/>
              </w:rPr>
              <w:t>26 de julio de 2016, 30 de marzo de 2020</w:t>
            </w:r>
            <w:r w:rsidR="00191B53">
              <w:rPr>
                <w:rFonts w:asciiTheme="majorHAnsi" w:hAnsiTheme="majorHAnsi"/>
                <w:bCs/>
                <w:sz w:val="20"/>
                <w:szCs w:val="20"/>
                <w:lang w:val="es-ES"/>
              </w:rPr>
              <w:t xml:space="preserve"> y 23 de nov</w:t>
            </w:r>
            <w:r w:rsidR="00ED69CC">
              <w:rPr>
                <w:rFonts w:asciiTheme="majorHAnsi" w:hAnsiTheme="majorHAnsi"/>
                <w:bCs/>
                <w:sz w:val="20"/>
                <w:szCs w:val="20"/>
                <w:lang w:val="es-ES"/>
              </w:rPr>
              <w:t>iembre de 2022</w:t>
            </w:r>
          </w:p>
        </w:tc>
      </w:tr>
      <w:tr w:rsidR="004C2312" w:rsidRPr="005A43B2"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7A8B4519" w:rsidR="004C2312" w:rsidRPr="00547797" w:rsidRDefault="00FB5832" w:rsidP="008D2290">
            <w:pPr>
              <w:jc w:val="both"/>
              <w:rPr>
                <w:rFonts w:asciiTheme="majorHAnsi" w:hAnsiTheme="majorHAnsi"/>
                <w:bCs/>
                <w:sz w:val="20"/>
                <w:szCs w:val="20"/>
                <w:lang w:val="es-ES"/>
              </w:rPr>
            </w:pPr>
            <w:r>
              <w:rPr>
                <w:rFonts w:asciiTheme="majorHAnsi" w:hAnsiTheme="majorHAnsi"/>
                <w:bCs/>
                <w:sz w:val="20"/>
                <w:szCs w:val="20"/>
                <w:lang w:val="es-ES"/>
              </w:rPr>
              <w:t>2 de noviembre de 2021</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17163199" w:rsidR="004C2312" w:rsidRPr="00547797" w:rsidRDefault="00191B53" w:rsidP="008D2290">
            <w:pPr>
              <w:jc w:val="both"/>
              <w:rPr>
                <w:rFonts w:asciiTheme="majorHAnsi" w:hAnsiTheme="majorHAnsi"/>
                <w:bCs/>
                <w:sz w:val="20"/>
                <w:szCs w:val="20"/>
                <w:lang w:val="es-ES"/>
              </w:rPr>
            </w:pPr>
            <w:r>
              <w:rPr>
                <w:rFonts w:asciiTheme="majorHAnsi" w:hAnsiTheme="majorHAnsi"/>
                <w:bCs/>
                <w:sz w:val="20"/>
                <w:szCs w:val="20"/>
                <w:lang w:val="es-ES"/>
              </w:rPr>
              <w:t>31 de marzo de 2022</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62ABCA46" w:rsidR="003239B8" w:rsidRPr="00547797" w:rsidRDefault="007D55E9"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6D907173" w:rsidR="003239B8" w:rsidRPr="00547797" w:rsidRDefault="007D55E9"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69896527" w:rsidR="003239B8" w:rsidRPr="00547797" w:rsidRDefault="007D55E9" w:rsidP="008D2290">
            <w:pPr>
              <w:rPr>
                <w:rFonts w:asciiTheme="majorHAnsi" w:hAnsiTheme="majorHAnsi"/>
                <w:bCs/>
                <w:sz w:val="20"/>
                <w:szCs w:val="20"/>
              </w:rPr>
            </w:pPr>
            <w:r>
              <w:rPr>
                <w:rFonts w:asciiTheme="majorHAnsi" w:hAnsiTheme="majorHAnsi"/>
                <w:bCs/>
                <w:sz w:val="20"/>
                <w:szCs w:val="20"/>
              </w:rPr>
              <w:t>Sí</w:t>
            </w:r>
          </w:p>
        </w:tc>
      </w:tr>
      <w:tr w:rsidR="003239B8" w:rsidRPr="00D15302"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7AAB9979" w:rsidR="003239B8" w:rsidRPr="00547797" w:rsidRDefault="00CA0DCA" w:rsidP="008D2290">
            <w:pPr>
              <w:jc w:val="both"/>
              <w:rPr>
                <w:rFonts w:asciiTheme="majorHAnsi" w:hAnsiTheme="majorHAnsi"/>
                <w:bCs/>
                <w:sz w:val="20"/>
                <w:szCs w:val="20"/>
                <w:lang w:val="es-ES"/>
              </w:rPr>
            </w:pPr>
            <w:r w:rsidRPr="0011075B">
              <w:rPr>
                <w:rFonts w:ascii="Cambria" w:hAnsi="Cambria"/>
                <w:bCs/>
                <w:sz w:val="20"/>
                <w:szCs w:val="20"/>
                <w:lang w:val="es-419" w:bidi="es-ES"/>
              </w:rPr>
              <w:t xml:space="preserve">Sí, </w:t>
            </w:r>
            <w:r>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5A43B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3D34F13C" w:rsidR="00EE00E9" w:rsidRPr="00547797" w:rsidRDefault="00ED69CC"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D15302"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23439E3E" w:rsidR="003239B8" w:rsidRPr="008F7FCC" w:rsidRDefault="008F7FCC" w:rsidP="008D2290">
            <w:pPr>
              <w:jc w:val="both"/>
              <w:rPr>
                <w:rFonts w:asciiTheme="majorHAnsi" w:hAnsiTheme="majorHAnsi"/>
                <w:bCs/>
                <w:sz w:val="20"/>
                <w:szCs w:val="20"/>
                <w:lang w:val="es-CO"/>
              </w:rPr>
            </w:pPr>
            <w:r w:rsidRPr="003C0382">
              <w:rPr>
                <w:rFonts w:asciiTheme="majorHAnsi" w:hAnsiTheme="majorHAnsi"/>
                <w:bCs/>
                <w:sz w:val="20"/>
                <w:szCs w:val="20"/>
                <w:lang w:val="es-CO"/>
              </w:rPr>
              <w:t>Artículos 4 (vida), 5 (integridad personal), 8 (garantías judiciales)</w:t>
            </w:r>
            <w:r>
              <w:rPr>
                <w:rFonts w:asciiTheme="majorHAnsi" w:hAnsiTheme="majorHAnsi"/>
                <w:bCs/>
                <w:sz w:val="20"/>
                <w:szCs w:val="20"/>
                <w:lang w:val="es-CO"/>
              </w:rPr>
              <w:t xml:space="preserve"> </w:t>
            </w:r>
            <w:r w:rsidRPr="003C0382">
              <w:rPr>
                <w:rFonts w:asciiTheme="majorHAnsi" w:hAnsiTheme="majorHAnsi"/>
                <w:bCs/>
                <w:sz w:val="20"/>
                <w:szCs w:val="20"/>
                <w:lang w:val="es-CO"/>
              </w:rPr>
              <w:t>y 25 (protección judicial)</w:t>
            </w:r>
            <w:r w:rsidR="00C2708B">
              <w:rPr>
                <w:rFonts w:asciiTheme="majorHAnsi" w:hAnsiTheme="majorHAnsi"/>
                <w:bCs/>
                <w:sz w:val="20"/>
                <w:szCs w:val="20"/>
                <w:lang w:val="es-CO"/>
              </w:rPr>
              <w:t xml:space="preserve"> de la Convención Americana</w:t>
            </w:r>
            <w:r w:rsidR="00E14C97">
              <w:rPr>
                <w:rFonts w:asciiTheme="majorHAnsi" w:hAnsiTheme="majorHAnsi"/>
                <w:bCs/>
                <w:sz w:val="20"/>
                <w:szCs w:val="20"/>
                <w:lang w:val="es-CO"/>
              </w:rPr>
              <w:t>,</w:t>
            </w:r>
            <w:r w:rsidRPr="003C0382">
              <w:rPr>
                <w:rFonts w:asciiTheme="majorHAnsi" w:hAnsiTheme="majorHAnsi"/>
                <w:bCs/>
                <w:sz w:val="20"/>
                <w:szCs w:val="20"/>
                <w:lang w:val="es-CO"/>
              </w:rPr>
              <w:t xml:space="preserve"> en relación con </w:t>
            </w:r>
            <w:r w:rsidR="00C2708B">
              <w:rPr>
                <w:rFonts w:asciiTheme="majorHAnsi" w:hAnsiTheme="majorHAnsi"/>
                <w:bCs/>
                <w:sz w:val="20"/>
                <w:szCs w:val="20"/>
                <w:lang w:val="es-CO"/>
              </w:rPr>
              <w:t>su</w:t>
            </w:r>
            <w:r w:rsidRPr="003C0382">
              <w:rPr>
                <w:rFonts w:asciiTheme="majorHAnsi" w:hAnsiTheme="majorHAnsi"/>
                <w:bCs/>
                <w:sz w:val="20"/>
                <w:szCs w:val="20"/>
                <w:lang w:val="es-CO"/>
              </w:rPr>
              <w:t xml:space="preserve"> artículo 1.1 (obligación de respetar los derechos) </w:t>
            </w:r>
          </w:p>
        </w:tc>
      </w:tr>
      <w:tr w:rsidR="003239B8" w:rsidRPr="00D15302"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3EF33882" w:rsidR="003239B8" w:rsidRPr="00547797" w:rsidRDefault="0040589F" w:rsidP="008D2290">
            <w:pPr>
              <w:rPr>
                <w:rFonts w:asciiTheme="majorHAnsi" w:hAnsiTheme="majorHAnsi"/>
                <w:bCs/>
                <w:sz w:val="20"/>
                <w:szCs w:val="20"/>
                <w:lang w:val="es-ES"/>
              </w:rPr>
            </w:pPr>
            <w:r>
              <w:rPr>
                <w:rFonts w:asciiTheme="majorHAnsi" w:hAnsiTheme="majorHAnsi"/>
                <w:bCs/>
                <w:sz w:val="20"/>
                <w:szCs w:val="20"/>
                <w:lang w:val="es-ES"/>
              </w:rPr>
              <w:t>Sí, en los términos de la Sección VI</w:t>
            </w:r>
          </w:p>
        </w:tc>
      </w:tr>
      <w:tr w:rsidR="003239B8" w:rsidRPr="00D15302"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056DF15D" w:rsidR="003239B8" w:rsidRPr="0040589F" w:rsidRDefault="0040589F" w:rsidP="008D2290">
            <w:pPr>
              <w:rPr>
                <w:rFonts w:asciiTheme="majorHAnsi" w:hAnsiTheme="majorHAnsi"/>
                <w:bCs/>
                <w:sz w:val="20"/>
                <w:szCs w:val="20"/>
                <w:lang w:val="es-CO"/>
              </w:rPr>
            </w:pPr>
            <w:r>
              <w:rPr>
                <w:rFonts w:asciiTheme="majorHAnsi" w:hAnsiTheme="majorHAnsi"/>
                <w:bCs/>
                <w:sz w:val="20"/>
                <w:szCs w:val="20"/>
                <w:lang w:val="es-ES"/>
              </w:rPr>
              <w:t>Sí, en los términos de la Sección VI</w:t>
            </w:r>
          </w:p>
        </w:tc>
      </w:tr>
    </w:tbl>
    <w:p w14:paraId="56FD5D57" w14:textId="252B1FD5" w:rsidR="003239B8" w:rsidRPr="00627045" w:rsidRDefault="00223A29" w:rsidP="003239B8">
      <w:pPr>
        <w:spacing w:before="240" w:after="240"/>
        <w:ind w:firstLine="720"/>
        <w:jc w:val="both"/>
        <w:rPr>
          <w:rFonts w:asciiTheme="majorHAnsi" w:hAnsiTheme="majorHAnsi"/>
          <w:b/>
          <w:sz w:val="20"/>
          <w:szCs w:val="20"/>
          <w:lang w:val="es-ES_tradnl"/>
        </w:rPr>
      </w:pPr>
      <w:r w:rsidRPr="00547797">
        <w:rPr>
          <w:rFonts w:asciiTheme="majorHAnsi" w:hAnsiTheme="majorHAnsi"/>
          <w:b/>
          <w:sz w:val="20"/>
          <w:szCs w:val="20"/>
          <w:lang w:val="es-UY"/>
        </w:rPr>
        <w:t xml:space="preserve">V. </w:t>
      </w:r>
      <w:r w:rsidRPr="00547797">
        <w:rPr>
          <w:rFonts w:asciiTheme="majorHAnsi" w:hAnsiTheme="majorHAnsi"/>
          <w:b/>
          <w:sz w:val="20"/>
          <w:szCs w:val="20"/>
          <w:lang w:val="es-UY"/>
        </w:rPr>
        <w:tab/>
      </w:r>
      <w:r w:rsidR="004241A0" w:rsidRPr="00627045">
        <w:rPr>
          <w:rFonts w:asciiTheme="majorHAnsi" w:hAnsiTheme="majorHAnsi"/>
          <w:b/>
          <w:sz w:val="20"/>
          <w:szCs w:val="20"/>
          <w:lang w:val="es-ES_tradnl"/>
        </w:rPr>
        <w:t>POSICIÓN DE LAS PARTES</w:t>
      </w:r>
      <w:r w:rsidR="003239B8" w:rsidRPr="00627045">
        <w:rPr>
          <w:rFonts w:asciiTheme="majorHAnsi" w:hAnsiTheme="majorHAnsi"/>
          <w:b/>
          <w:sz w:val="20"/>
          <w:szCs w:val="20"/>
          <w:lang w:val="es-ES_tradnl"/>
        </w:rPr>
        <w:t xml:space="preserve"> </w:t>
      </w:r>
    </w:p>
    <w:p w14:paraId="1F447933" w14:textId="6A5BA77C" w:rsidR="005A43B2" w:rsidRPr="00627045" w:rsidRDefault="005A43B2" w:rsidP="005A43B2">
      <w:pPr>
        <w:pStyle w:val="ListParagraph"/>
        <w:spacing w:before="240" w:after="240"/>
        <w:jc w:val="both"/>
        <w:rPr>
          <w:rFonts w:asciiTheme="majorHAnsi" w:hAnsiTheme="majorHAnsi"/>
          <w:bCs/>
          <w:i/>
          <w:iCs/>
          <w:sz w:val="20"/>
          <w:szCs w:val="20"/>
          <w:lang w:val="es-ES_tradnl"/>
        </w:rPr>
      </w:pPr>
      <w:r w:rsidRPr="00627045">
        <w:rPr>
          <w:rFonts w:asciiTheme="majorHAnsi" w:hAnsiTheme="majorHAnsi"/>
          <w:bCs/>
          <w:i/>
          <w:iCs/>
          <w:sz w:val="20"/>
          <w:szCs w:val="20"/>
          <w:lang w:val="es-ES_tradnl"/>
        </w:rPr>
        <w:t>Parte peticionaria</w:t>
      </w:r>
    </w:p>
    <w:p w14:paraId="56F97321" w14:textId="1707F1CD" w:rsidR="00444269" w:rsidRPr="00627045" w:rsidRDefault="00A15E9A" w:rsidP="00444269">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bCs/>
          <w:sz w:val="20"/>
          <w:szCs w:val="20"/>
          <w:lang w:val="es-ES_tradnl"/>
        </w:rPr>
        <w:t xml:space="preserve">La parte peticionaria alega la violación del derecho a la vida </w:t>
      </w:r>
      <w:r w:rsidR="00CE71ED" w:rsidRPr="00627045">
        <w:rPr>
          <w:rFonts w:asciiTheme="majorHAnsi" w:hAnsiTheme="majorHAnsi"/>
          <w:bCs/>
          <w:sz w:val="20"/>
          <w:szCs w:val="20"/>
          <w:lang w:val="es-ES_tradnl"/>
        </w:rPr>
        <w:t xml:space="preserve">de </w:t>
      </w:r>
      <w:r w:rsidR="009B7298" w:rsidRPr="00627045">
        <w:rPr>
          <w:rFonts w:asciiTheme="majorHAnsi" w:hAnsiTheme="majorHAnsi"/>
          <w:bCs/>
          <w:sz w:val="20"/>
          <w:szCs w:val="20"/>
          <w:lang w:val="es-ES_tradnl"/>
        </w:rPr>
        <w:t>once</w:t>
      </w:r>
      <w:r w:rsidR="00CE71ED" w:rsidRPr="00627045">
        <w:rPr>
          <w:rFonts w:asciiTheme="majorHAnsi" w:hAnsiTheme="majorHAnsi"/>
          <w:bCs/>
          <w:sz w:val="20"/>
          <w:szCs w:val="20"/>
          <w:lang w:val="es-ES_tradnl"/>
        </w:rPr>
        <w:t xml:space="preserve"> </w:t>
      </w:r>
      <w:r w:rsidR="00891AE1" w:rsidRPr="00627045">
        <w:rPr>
          <w:rFonts w:asciiTheme="majorHAnsi" w:hAnsiTheme="majorHAnsi"/>
          <w:bCs/>
          <w:sz w:val="20"/>
          <w:szCs w:val="20"/>
          <w:lang w:val="es-ES_tradnl"/>
        </w:rPr>
        <w:t xml:space="preserve">servidores públicos </w:t>
      </w:r>
      <w:r w:rsidR="00CE71ED" w:rsidRPr="00627045">
        <w:rPr>
          <w:rFonts w:asciiTheme="majorHAnsi" w:hAnsiTheme="majorHAnsi"/>
          <w:bCs/>
          <w:sz w:val="20"/>
          <w:szCs w:val="20"/>
          <w:lang w:val="es-ES_tradnl"/>
        </w:rPr>
        <w:t xml:space="preserve">y del derecho a la integridad personal de </w:t>
      </w:r>
      <w:r w:rsidR="004C4659" w:rsidRPr="00627045">
        <w:rPr>
          <w:rFonts w:asciiTheme="majorHAnsi" w:hAnsiTheme="majorHAnsi"/>
          <w:bCs/>
          <w:sz w:val="20"/>
          <w:szCs w:val="20"/>
          <w:lang w:val="es-ES_tradnl"/>
        </w:rPr>
        <w:t>cuarenta y tres</w:t>
      </w:r>
      <w:r w:rsidR="00CE71ED" w:rsidRPr="00627045">
        <w:rPr>
          <w:rFonts w:asciiTheme="majorHAnsi" w:hAnsiTheme="majorHAnsi"/>
          <w:bCs/>
          <w:sz w:val="20"/>
          <w:szCs w:val="20"/>
          <w:lang w:val="es-ES_tradnl"/>
        </w:rPr>
        <w:t xml:space="preserve"> funcionarios más</w:t>
      </w:r>
      <w:r w:rsidR="00955F48" w:rsidRPr="00627045">
        <w:rPr>
          <w:rFonts w:asciiTheme="majorHAnsi" w:hAnsiTheme="majorHAnsi"/>
          <w:bCs/>
          <w:sz w:val="20"/>
          <w:szCs w:val="20"/>
          <w:lang w:val="es-ES_tradnl"/>
        </w:rPr>
        <w:t xml:space="preserve">, pertenecientes a </w:t>
      </w:r>
      <w:r w:rsidR="0011618B" w:rsidRPr="00627045">
        <w:rPr>
          <w:rFonts w:asciiTheme="majorHAnsi" w:hAnsiTheme="majorHAnsi"/>
          <w:bCs/>
          <w:sz w:val="20"/>
          <w:szCs w:val="20"/>
          <w:lang w:val="es-ES_tradnl"/>
        </w:rPr>
        <w:t xml:space="preserve">la Fiscalía, </w:t>
      </w:r>
      <w:r w:rsidR="00955F48" w:rsidRPr="00627045">
        <w:rPr>
          <w:rFonts w:asciiTheme="majorHAnsi" w:hAnsiTheme="majorHAnsi"/>
          <w:bCs/>
          <w:sz w:val="20"/>
          <w:szCs w:val="20"/>
          <w:lang w:val="es-ES_tradnl"/>
        </w:rPr>
        <w:t xml:space="preserve">a </w:t>
      </w:r>
      <w:r w:rsidR="0011618B" w:rsidRPr="00627045">
        <w:rPr>
          <w:rFonts w:asciiTheme="majorHAnsi" w:hAnsiTheme="majorHAnsi"/>
          <w:bCs/>
          <w:sz w:val="20"/>
          <w:szCs w:val="20"/>
          <w:lang w:val="es-ES_tradnl"/>
        </w:rPr>
        <w:t xml:space="preserve">la Procuraduría, </w:t>
      </w:r>
      <w:r w:rsidR="00955F48" w:rsidRPr="00627045">
        <w:rPr>
          <w:rFonts w:asciiTheme="majorHAnsi" w:hAnsiTheme="majorHAnsi"/>
          <w:bCs/>
          <w:sz w:val="20"/>
          <w:szCs w:val="20"/>
          <w:lang w:val="es-ES_tradnl"/>
        </w:rPr>
        <w:t>a</w:t>
      </w:r>
      <w:r w:rsidR="0011618B" w:rsidRPr="00627045">
        <w:rPr>
          <w:rFonts w:asciiTheme="majorHAnsi" w:hAnsiTheme="majorHAnsi"/>
          <w:bCs/>
          <w:sz w:val="20"/>
          <w:szCs w:val="20"/>
          <w:lang w:val="es-ES_tradnl"/>
        </w:rPr>
        <w:t>l D</w:t>
      </w:r>
      <w:r w:rsidR="00CE71ED" w:rsidRPr="00627045">
        <w:rPr>
          <w:rFonts w:asciiTheme="majorHAnsi" w:hAnsiTheme="majorHAnsi"/>
          <w:bCs/>
          <w:sz w:val="20"/>
          <w:szCs w:val="20"/>
          <w:lang w:val="es-ES_tradnl"/>
        </w:rPr>
        <w:t xml:space="preserve">epartamento Administrativo de </w:t>
      </w:r>
      <w:r w:rsidR="0011618B" w:rsidRPr="00627045">
        <w:rPr>
          <w:rFonts w:asciiTheme="majorHAnsi" w:hAnsiTheme="majorHAnsi"/>
          <w:bCs/>
          <w:sz w:val="20"/>
          <w:szCs w:val="20"/>
          <w:lang w:val="es-ES_tradnl"/>
        </w:rPr>
        <w:t>S</w:t>
      </w:r>
      <w:r w:rsidR="00CE71ED" w:rsidRPr="00627045">
        <w:rPr>
          <w:rFonts w:asciiTheme="majorHAnsi" w:hAnsiTheme="majorHAnsi"/>
          <w:bCs/>
          <w:sz w:val="20"/>
          <w:szCs w:val="20"/>
          <w:lang w:val="es-ES_tradnl"/>
        </w:rPr>
        <w:t>eguridad (en adelante “DAS”)</w:t>
      </w:r>
      <w:r w:rsidR="0011618B" w:rsidRPr="00627045">
        <w:rPr>
          <w:rFonts w:asciiTheme="majorHAnsi" w:hAnsiTheme="majorHAnsi"/>
          <w:bCs/>
          <w:sz w:val="20"/>
          <w:szCs w:val="20"/>
          <w:lang w:val="es-ES_tradnl"/>
        </w:rPr>
        <w:t xml:space="preserve">, </w:t>
      </w:r>
      <w:r w:rsidR="00845517" w:rsidRPr="00627045">
        <w:rPr>
          <w:rFonts w:asciiTheme="majorHAnsi" w:hAnsiTheme="majorHAnsi"/>
          <w:bCs/>
          <w:sz w:val="20"/>
          <w:szCs w:val="20"/>
          <w:lang w:val="es-ES_tradnl"/>
        </w:rPr>
        <w:t xml:space="preserve">y </w:t>
      </w:r>
      <w:r w:rsidR="00955F48" w:rsidRPr="00627045">
        <w:rPr>
          <w:rFonts w:asciiTheme="majorHAnsi" w:hAnsiTheme="majorHAnsi"/>
          <w:bCs/>
          <w:sz w:val="20"/>
          <w:szCs w:val="20"/>
          <w:lang w:val="es-ES_tradnl"/>
        </w:rPr>
        <w:t>a</w:t>
      </w:r>
      <w:r w:rsidR="0011618B" w:rsidRPr="00627045">
        <w:rPr>
          <w:rFonts w:asciiTheme="majorHAnsi" w:hAnsiTheme="majorHAnsi"/>
          <w:bCs/>
          <w:sz w:val="20"/>
          <w:szCs w:val="20"/>
          <w:lang w:val="es-ES_tradnl"/>
        </w:rPr>
        <w:t>l Ejército</w:t>
      </w:r>
      <w:r w:rsidR="008056F8" w:rsidRPr="00627045">
        <w:rPr>
          <w:rFonts w:asciiTheme="majorHAnsi" w:hAnsiTheme="majorHAnsi"/>
          <w:bCs/>
          <w:sz w:val="20"/>
          <w:szCs w:val="20"/>
          <w:lang w:val="es-ES_tradnl"/>
        </w:rPr>
        <w:t xml:space="preserve">, </w:t>
      </w:r>
      <w:r w:rsidR="004C14A4" w:rsidRPr="00627045">
        <w:rPr>
          <w:rFonts w:asciiTheme="majorHAnsi" w:hAnsiTheme="majorHAnsi"/>
          <w:bCs/>
          <w:sz w:val="20"/>
          <w:szCs w:val="20"/>
          <w:lang w:val="es-ES_tradnl"/>
        </w:rPr>
        <w:t xml:space="preserve">por la omisión </w:t>
      </w:r>
      <w:r w:rsidR="00B62CDC" w:rsidRPr="00627045">
        <w:rPr>
          <w:rFonts w:asciiTheme="majorHAnsi" w:hAnsiTheme="majorHAnsi"/>
          <w:bCs/>
          <w:sz w:val="20"/>
          <w:szCs w:val="20"/>
          <w:lang w:val="es-ES_tradnl"/>
        </w:rPr>
        <w:lastRenderedPageBreak/>
        <w:t xml:space="preserve">estatal de brindar los refuerzos solicitados durante </w:t>
      </w:r>
      <w:r w:rsidR="008056F8" w:rsidRPr="00627045">
        <w:rPr>
          <w:rFonts w:asciiTheme="majorHAnsi" w:hAnsiTheme="majorHAnsi"/>
          <w:bCs/>
          <w:sz w:val="20"/>
          <w:szCs w:val="20"/>
          <w:lang w:val="es-ES_tradnl"/>
        </w:rPr>
        <w:t xml:space="preserve">un operativo </w:t>
      </w:r>
      <w:r w:rsidR="00F37FF4" w:rsidRPr="00627045">
        <w:rPr>
          <w:rFonts w:asciiTheme="majorHAnsi" w:hAnsiTheme="majorHAnsi"/>
          <w:bCs/>
          <w:sz w:val="20"/>
          <w:szCs w:val="20"/>
          <w:lang w:val="es-ES_tradnl"/>
        </w:rPr>
        <w:t xml:space="preserve">de incautación de </w:t>
      </w:r>
      <w:r w:rsidR="007922DA" w:rsidRPr="00627045">
        <w:rPr>
          <w:rFonts w:asciiTheme="majorHAnsi" w:hAnsiTheme="majorHAnsi"/>
          <w:bCs/>
          <w:sz w:val="20"/>
          <w:szCs w:val="20"/>
          <w:lang w:val="es-ES_tradnl"/>
        </w:rPr>
        <w:t xml:space="preserve">narcóticos </w:t>
      </w:r>
      <w:r w:rsidR="00B62CDC" w:rsidRPr="00627045">
        <w:rPr>
          <w:rFonts w:asciiTheme="majorHAnsi" w:hAnsiTheme="majorHAnsi"/>
          <w:bCs/>
          <w:sz w:val="20"/>
          <w:szCs w:val="20"/>
          <w:lang w:val="es-ES_tradnl"/>
        </w:rPr>
        <w:t xml:space="preserve">en el que </w:t>
      </w:r>
      <w:r w:rsidR="00BA6185" w:rsidRPr="00627045">
        <w:rPr>
          <w:rFonts w:asciiTheme="majorHAnsi" w:hAnsiTheme="majorHAnsi"/>
          <w:bCs/>
          <w:sz w:val="20"/>
          <w:szCs w:val="20"/>
          <w:lang w:val="es-ES_tradnl"/>
        </w:rPr>
        <w:t xml:space="preserve">fueron emboscados por </w:t>
      </w:r>
      <w:r w:rsidR="00A05753" w:rsidRPr="00627045">
        <w:rPr>
          <w:rFonts w:asciiTheme="majorHAnsi" w:hAnsiTheme="majorHAnsi"/>
          <w:bCs/>
          <w:sz w:val="20"/>
          <w:szCs w:val="20"/>
          <w:lang w:val="es-ES_tradnl"/>
        </w:rPr>
        <w:t xml:space="preserve">cerca de </w:t>
      </w:r>
      <w:r w:rsidR="003F1AFE" w:rsidRPr="00627045">
        <w:rPr>
          <w:rFonts w:asciiTheme="majorHAnsi" w:hAnsiTheme="majorHAnsi"/>
          <w:bCs/>
          <w:sz w:val="20"/>
          <w:szCs w:val="20"/>
          <w:lang w:val="es-ES_tradnl"/>
        </w:rPr>
        <w:t>ciento cincuenta</w:t>
      </w:r>
      <w:r w:rsidR="00A05753" w:rsidRPr="00627045">
        <w:rPr>
          <w:rFonts w:asciiTheme="majorHAnsi" w:hAnsiTheme="majorHAnsi"/>
          <w:bCs/>
          <w:sz w:val="20"/>
          <w:szCs w:val="20"/>
          <w:lang w:val="es-ES_tradnl"/>
        </w:rPr>
        <w:t xml:space="preserve"> </w:t>
      </w:r>
      <w:r w:rsidR="00BA6185" w:rsidRPr="00627045">
        <w:rPr>
          <w:rFonts w:asciiTheme="majorHAnsi" w:hAnsiTheme="majorHAnsi"/>
          <w:bCs/>
          <w:sz w:val="20"/>
          <w:szCs w:val="20"/>
          <w:lang w:val="es-ES_tradnl"/>
        </w:rPr>
        <w:t>paramilitares</w:t>
      </w:r>
      <w:r w:rsidR="0011618B" w:rsidRPr="00627045">
        <w:rPr>
          <w:rFonts w:asciiTheme="majorHAnsi" w:hAnsiTheme="majorHAnsi"/>
          <w:bCs/>
          <w:sz w:val="20"/>
          <w:szCs w:val="20"/>
          <w:lang w:val="es-ES_tradnl"/>
        </w:rPr>
        <w:t>.</w:t>
      </w:r>
    </w:p>
    <w:p w14:paraId="725B49EE" w14:textId="78A1ABC3" w:rsidR="000F6C14" w:rsidRPr="00627045" w:rsidRDefault="005A52D7"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sz w:val="20"/>
          <w:szCs w:val="20"/>
          <w:lang w:val="es-ES_tradnl"/>
        </w:rPr>
        <w:t>La parte peticionaria explica que el contexto en el que se desarrolló el operativo</w:t>
      </w:r>
      <w:r w:rsidR="003938C3" w:rsidRPr="00627045">
        <w:rPr>
          <w:rFonts w:asciiTheme="majorHAnsi" w:hAnsiTheme="majorHAnsi"/>
          <w:sz w:val="20"/>
          <w:szCs w:val="20"/>
          <w:lang w:val="es-ES_tradnl"/>
        </w:rPr>
        <w:t xml:space="preserve"> y la emboscada paramilitar</w:t>
      </w:r>
      <w:r w:rsidRPr="00627045">
        <w:rPr>
          <w:rFonts w:asciiTheme="majorHAnsi" w:hAnsiTheme="majorHAnsi"/>
          <w:sz w:val="20"/>
          <w:szCs w:val="20"/>
          <w:lang w:val="es-ES_tradnl"/>
        </w:rPr>
        <w:t xml:space="preserve"> en San Carlos de Guaroa</w:t>
      </w:r>
      <w:r w:rsidR="00B34180" w:rsidRPr="00627045">
        <w:rPr>
          <w:rFonts w:asciiTheme="majorHAnsi" w:hAnsiTheme="majorHAnsi"/>
          <w:sz w:val="20"/>
          <w:szCs w:val="20"/>
          <w:lang w:val="es-ES_tradnl"/>
        </w:rPr>
        <w:t xml:space="preserve">, departamento del Meta, </w:t>
      </w:r>
      <w:r w:rsidR="00976275" w:rsidRPr="00627045">
        <w:rPr>
          <w:rFonts w:asciiTheme="majorHAnsi" w:hAnsiTheme="majorHAnsi"/>
          <w:sz w:val="20"/>
          <w:szCs w:val="20"/>
          <w:lang w:val="es-ES_tradnl"/>
        </w:rPr>
        <w:t xml:space="preserve">era dado por la cooptación institucional de dicho departamento </w:t>
      </w:r>
      <w:r w:rsidR="00A10E83" w:rsidRPr="00627045">
        <w:rPr>
          <w:rFonts w:asciiTheme="majorHAnsi" w:hAnsiTheme="majorHAnsi"/>
          <w:sz w:val="20"/>
          <w:szCs w:val="20"/>
          <w:lang w:val="es-ES_tradnl"/>
        </w:rPr>
        <w:t>que ejercían</w:t>
      </w:r>
      <w:r w:rsidR="008174C7" w:rsidRPr="00627045">
        <w:rPr>
          <w:rFonts w:asciiTheme="majorHAnsi" w:hAnsiTheme="majorHAnsi"/>
          <w:sz w:val="20"/>
          <w:szCs w:val="20"/>
          <w:lang w:val="es-ES_tradnl"/>
        </w:rPr>
        <w:t xml:space="preserve"> grupos paramilitares, en particular, las Autodefensas Unidas de Colombia (en adelante “AUC”)</w:t>
      </w:r>
      <w:r w:rsidR="00A10E83" w:rsidRPr="00627045">
        <w:rPr>
          <w:rFonts w:asciiTheme="majorHAnsi" w:hAnsiTheme="majorHAnsi"/>
          <w:sz w:val="20"/>
          <w:szCs w:val="20"/>
          <w:lang w:val="es-ES_tradnl"/>
        </w:rPr>
        <w:t>, que se habían aliado con el ejército y élites políticas regionales</w:t>
      </w:r>
      <w:r w:rsidR="008174C7" w:rsidRPr="00627045">
        <w:rPr>
          <w:rFonts w:asciiTheme="majorHAnsi" w:hAnsiTheme="majorHAnsi"/>
          <w:sz w:val="20"/>
          <w:szCs w:val="20"/>
          <w:lang w:val="es-ES_tradnl"/>
        </w:rPr>
        <w:t>.</w:t>
      </w:r>
      <w:r w:rsidR="001E3B89" w:rsidRPr="00627045">
        <w:rPr>
          <w:rFonts w:asciiTheme="majorHAnsi" w:hAnsiTheme="majorHAnsi"/>
          <w:sz w:val="20"/>
          <w:szCs w:val="20"/>
          <w:lang w:val="es-ES_tradnl"/>
        </w:rPr>
        <w:t xml:space="preserve"> Como ejemplo de ello, recuerdan que la masacre de Mapiripán cometida en el Meta en julio de 1996</w:t>
      </w:r>
      <w:r w:rsidR="001E3B89" w:rsidRPr="00D15302">
        <w:rPr>
          <w:rFonts w:asciiTheme="majorHAnsi" w:hAnsiTheme="majorHAnsi"/>
          <w:sz w:val="20"/>
          <w:szCs w:val="20"/>
          <w:vertAlign w:val="superscript"/>
          <w:lang w:val="es-ES_tradnl"/>
        </w:rPr>
        <w:t>7</w:t>
      </w:r>
      <w:r w:rsidR="001E3B89" w:rsidRPr="00627045">
        <w:rPr>
          <w:rFonts w:asciiTheme="majorHAnsi" w:hAnsiTheme="majorHAnsi"/>
          <w:sz w:val="20"/>
          <w:szCs w:val="20"/>
          <w:lang w:val="es-ES_tradnl"/>
        </w:rPr>
        <w:t xml:space="preserve"> </w:t>
      </w:r>
      <w:r w:rsidR="004C798F" w:rsidRPr="00627045">
        <w:rPr>
          <w:rFonts w:asciiTheme="majorHAnsi" w:hAnsiTheme="majorHAnsi"/>
          <w:sz w:val="20"/>
          <w:szCs w:val="20"/>
          <w:lang w:val="es-ES_tradnl"/>
        </w:rPr>
        <w:t>fue la primera acción de las recién constituidas AUC en el departamento en coordinación con el ejército nacional y otros grupos paramilitares que operaban en la región noroccidental del Urabá.</w:t>
      </w:r>
    </w:p>
    <w:p w14:paraId="5D54910F" w14:textId="7D9C39F1" w:rsidR="00FC1182" w:rsidRPr="00627045" w:rsidRDefault="000D727A"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sz w:val="20"/>
          <w:szCs w:val="20"/>
          <w:lang w:val="es-ES_tradnl"/>
        </w:rPr>
        <w:t>La parte peticionaria relata que en este contexto, para mayo de 1997</w:t>
      </w:r>
      <w:r w:rsidR="00091F4E" w:rsidRPr="00627045">
        <w:rPr>
          <w:rFonts w:asciiTheme="majorHAnsi" w:hAnsiTheme="majorHAnsi"/>
          <w:sz w:val="20"/>
          <w:szCs w:val="20"/>
          <w:lang w:val="es-ES_tradnl"/>
        </w:rPr>
        <w:t>,</w:t>
      </w:r>
      <w:r w:rsidRPr="00627045">
        <w:rPr>
          <w:rFonts w:asciiTheme="majorHAnsi" w:hAnsiTheme="majorHAnsi"/>
          <w:sz w:val="20"/>
          <w:szCs w:val="20"/>
          <w:lang w:val="es-ES_tradnl"/>
        </w:rPr>
        <w:t xml:space="preserve"> la fiscalía y la policía habían realizado una incautación de narcóticos en </w:t>
      </w:r>
      <w:r w:rsidR="00DA16E0" w:rsidRPr="00627045">
        <w:rPr>
          <w:rFonts w:asciiTheme="majorHAnsi" w:hAnsiTheme="majorHAnsi"/>
          <w:sz w:val="20"/>
          <w:szCs w:val="20"/>
          <w:lang w:val="es-ES_tradnl"/>
        </w:rPr>
        <w:t xml:space="preserve">una hacienda </w:t>
      </w:r>
      <w:r w:rsidR="0078782D" w:rsidRPr="00627045">
        <w:rPr>
          <w:rFonts w:asciiTheme="majorHAnsi" w:hAnsiTheme="majorHAnsi"/>
          <w:sz w:val="20"/>
          <w:szCs w:val="20"/>
          <w:lang w:val="es-ES_tradnl"/>
        </w:rPr>
        <w:t xml:space="preserve">‘El Alcaraván’ </w:t>
      </w:r>
      <w:r w:rsidR="00DA16E0" w:rsidRPr="00627045">
        <w:rPr>
          <w:rFonts w:asciiTheme="majorHAnsi" w:hAnsiTheme="majorHAnsi"/>
          <w:sz w:val="20"/>
          <w:szCs w:val="20"/>
          <w:lang w:val="es-ES_tradnl"/>
        </w:rPr>
        <w:t>del municipio de San Carlos de Guaroa en la que decomisaron armas de uso privativo de las fuerzas militares y una gran cantidad de cocaína.</w:t>
      </w:r>
      <w:r w:rsidR="00B617DD" w:rsidRPr="00627045">
        <w:rPr>
          <w:rFonts w:asciiTheme="majorHAnsi" w:hAnsiTheme="majorHAnsi"/>
          <w:sz w:val="20"/>
          <w:szCs w:val="20"/>
          <w:lang w:val="es-ES_tradnl"/>
        </w:rPr>
        <w:t xml:space="preserve"> </w:t>
      </w:r>
      <w:r w:rsidR="009C19A7" w:rsidRPr="00627045">
        <w:rPr>
          <w:rFonts w:asciiTheme="majorHAnsi" w:hAnsiTheme="majorHAnsi"/>
          <w:sz w:val="20"/>
          <w:szCs w:val="20"/>
          <w:lang w:val="es-ES_tradnl"/>
        </w:rPr>
        <w:t xml:space="preserve">Narra que el 9 de septiembre de 1997 la fiscalía solicitó apoyo a la Séptima Brigada del Ejército en la ciudad de Villavicencio </w:t>
      </w:r>
      <w:r w:rsidR="0078782D" w:rsidRPr="00627045">
        <w:rPr>
          <w:rFonts w:asciiTheme="majorHAnsi" w:hAnsiTheme="majorHAnsi"/>
          <w:sz w:val="20"/>
          <w:szCs w:val="20"/>
          <w:lang w:val="es-ES_tradnl"/>
        </w:rPr>
        <w:t>para la realización de una diligencia de embargo y secuestro a la finca ‘El Alcaraván’</w:t>
      </w:r>
      <w:r w:rsidR="00A8245D" w:rsidRPr="00627045">
        <w:rPr>
          <w:rFonts w:asciiTheme="majorHAnsi" w:hAnsiTheme="majorHAnsi"/>
          <w:sz w:val="20"/>
          <w:szCs w:val="20"/>
          <w:lang w:val="es-ES_tradnl"/>
        </w:rPr>
        <w:t xml:space="preserve">, que fue coordinada con el </w:t>
      </w:r>
      <w:r w:rsidR="001F2264" w:rsidRPr="00627045">
        <w:rPr>
          <w:rFonts w:asciiTheme="majorHAnsi" w:hAnsiTheme="majorHAnsi"/>
          <w:sz w:val="20"/>
          <w:szCs w:val="20"/>
          <w:lang w:val="es-ES_tradnl"/>
        </w:rPr>
        <w:t xml:space="preserve">Grupo de Acción Unificada por la Libertad Personal (en adelante “Gaula”) </w:t>
      </w:r>
      <w:r w:rsidR="00885582" w:rsidRPr="00627045">
        <w:rPr>
          <w:rFonts w:asciiTheme="majorHAnsi" w:hAnsiTheme="majorHAnsi"/>
          <w:sz w:val="20"/>
          <w:szCs w:val="20"/>
          <w:lang w:val="es-ES_tradnl"/>
        </w:rPr>
        <w:t>del ejército</w:t>
      </w:r>
      <w:r w:rsidR="00435CDD" w:rsidRPr="00627045">
        <w:rPr>
          <w:rFonts w:asciiTheme="majorHAnsi" w:hAnsiTheme="majorHAnsi"/>
          <w:sz w:val="20"/>
          <w:szCs w:val="20"/>
          <w:lang w:val="es-ES_tradnl"/>
        </w:rPr>
        <w:t xml:space="preserve">, cuyo objetivo era realizar un levantamiento topográfico del predio, ubicar el escondite de </w:t>
      </w:r>
      <w:r w:rsidR="00EA5623" w:rsidRPr="00627045">
        <w:rPr>
          <w:rFonts w:asciiTheme="majorHAnsi" w:hAnsiTheme="majorHAnsi"/>
          <w:sz w:val="20"/>
          <w:szCs w:val="20"/>
          <w:lang w:val="es-ES_tradnl"/>
        </w:rPr>
        <w:t>la droga y las armas, recibir cuatro declaraciones de testigos, y levantar el acta de incautación a la finca.</w:t>
      </w:r>
    </w:p>
    <w:p w14:paraId="1DAFF88F" w14:textId="61DCE0F7" w:rsidR="000D727A" w:rsidRPr="00627045" w:rsidRDefault="00EA5623"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sz w:val="20"/>
          <w:szCs w:val="20"/>
          <w:lang w:val="es-ES_tradnl"/>
        </w:rPr>
        <w:t xml:space="preserve"> </w:t>
      </w:r>
      <w:r w:rsidR="00ED50C6" w:rsidRPr="00627045">
        <w:rPr>
          <w:rFonts w:asciiTheme="majorHAnsi" w:hAnsiTheme="majorHAnsi"/>
          <w:sz w:val="20"/>
          <w:szCs w:val="20"/>
          <w:lang w:val="es-ES_tradnl"/>
        </w:rPr>
        <w:t xml:space="preserve">La parte peticionaria narra que </w:t>
      </w:r>
      <w:r w:rsidR="003F4785" w:rsidRPr="00627045">
        <w:rPr>
          <w:rFonts w:asciiTheme="majorHAnsi" w:hAnsiTheme="majorHAnsi"/>
          <w:sz w:val="20"/>
          <w:szCs w:val="20"/>
          <w:lang w:val="es-ES_tradnl"/>
        </w:rPr>
        <w:t xml:space="preserve">el 3 de octubre de 1997 </w:t>
      </w:r>
      <w:r w:rsidR="00C05C9C" w:rsidRPr="00627045">
        <w:rPr>
          <w:rFonts w:asciiTheme="majorHAnsi" w:hAnsiTheme="majorHAnsi"/>
          <w:sz w:val="20"/>
          <w:szCs w:val="20"/>
          <w:lang w:val="es-ES_tradnl"/>
        </w:rPr>
        <w:t xml:space="preserve">la Comisión Judicial de la Fiscalía General de la Nación de Villavicencio y los miembros del Gaula del ejército partieron sobre las 4:00 a.m. en una caravana de ocho vehículos con dirección a la finca ‘El Alcaraván’ en la zona rural del municipio de San Carlos de Guaroa. </w:t>
      </w:r>
      <w:r w:rsidR="00AF0B88" w:rsidRPr="00627045">
        <w:rPr>
          <w:rFonts w:asciiTheme="majorHAnsi" w:hAnsiTheme="majorHAnsi"/>
          <w:sz w:val="20"/>
          <w:szCs w:val="20"/>
          <w:lang w:val="es-ES_tradnl"/>
        </w:rPr>
        <w:t xml:space="preserve">Afirma que llegaron sobre las 10:00 a.m. y practicaron la diligencia </w:t>
      </w:r>
      <w:r w:rsidR="00A13795" w:rsidRPr="00627045">
        <w:rPr>
          <w:rFonts w:asciiTheme="majorHAnsi" w:hAnsiTheme="majorHAnsi"/>
          <w:sz w:val="20"/>
          <w:szCs w:val="20"/>
          <w:lang w:val="es-ES_tradnl"/>
        </w:rPr>
        <w:t>ordenada por la fiscalía. Sin embargo, la parte peticionaria manifiesta que</w:t>
      </w:r>
      <w:r w:rsidR="00854C0B" w:rsidRPr="00627045">
        <w:rPr>
          <w:rFonts w:asciiTheme="majorHAnsi" w:hAnsiTheme="majorHAnsi"/>
          <w:sz w:val="20"/>
          <w:szCs w:val="20"/>
          <w:lang w:val="es-ES_tradnl"/>
        </w:rPr>
        <w:t>,</w:t>
      </w:r>
      <w:r w:rsidR="00A13795" w:rsidRPr="00627045">
        <w:rPr>
          <w:rFonts w:asciiTheme="majorHAnsi" w:hAnsiTheme="majorHAnsi"/>
          <w:sz w:val="20"/>
          <w:szCs w:val="20"/>
          <w:lang w:val="es-ES_tradnl"/>
        </w:rPr>
        <w:t xml:space="preserve"> de regreso a Villavicencio, la Comisión Judicial fue atacada </w:t>
      </w:r>
      <w:r w:rsidR="00CF0D8B" w:rsidRPr="00627045">
        <w:rPr>
          <w:rFonts w:asciiTheme="majorHAnsi" w:hAnsiTheme="majorHAnsi"/>
          <w:sz w:val="20"/>
          <w:szCs w:val="20"/>
          <w:lang w:val="es-ES_tradnl"/>
        </w:rPr>
        <w:t>por un grupo de hombres armad</w:t>
      </w:r>
      <w:r w:rsidR="00A400B8" w:rsidRPr="00627045">
        <w:rPr>
          <w:rFonts w:asciiTheme="majorHAnsi" w:hAnsiTheme="majorHAnsi"/>
          <w:sz w:val="20"/>
          <w:szCs w:val="20"/>
          <w:lang w:val="es-ES_tradnl"/>
        </w:rPr>
        <w:t>o</w:t>
      </w:r>
      <w:r w:rsidR="00CF0D8B" w:rsidRPr="00627045">
        <w:rPr>
          <w:rFonts w:asciiTheme="majorHAnsi" w:hAnsiTheme="majorHAnsi"/>
          <w:sz w:val="20"/>
          <w:szCs w:val="20"/>
          <w:lang w:val="es-ES_tradnl"/>
        </w:rPr>
        <w:t>s que se enfrentaron al Gaula del ejército que escoltaba la Comisión Judicial.</w:t>
      </w:r>
    </w:p>
    <w:p w14:paraId="3EE7E8DB" w14:textId="5184D1F4" w:rsidR="00854C0B" w:rsidRPr="00627045" w:rsidRDefault="00E51B9C"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bCs/>
          <w:sz w:val="20"/>
          <w:szCs w:val="20"/>
          <w:lang w:val="es-ES_tradnl"/>
        </w:rPr>
        <w:t>C</w:t>
      </w:r>
      <w:r w:rsidR="00854C0B" w:rsidRPr="00627045">
        <w:rPr>
          <w:rFonts w:asciiTheme="majorHAnsi" w:hAnsiTheme="majorHAnsi"/>
          <w:bCs/>
          <w:sz w:val="20"/>
          <w:szCs w:val="20"/>
          <w:lang w:val="es-ES_tradnl"/>
        </w:rPr>
        <w:t>omo consecuencia de este primer enfrentamiento, tres</w:t>
      </w:r>
      <w:r w:rsidR="005C1B92" w:rsidRPr="00627045">
        <w:rPr>
          <w:rFonts w:asciiTheme="majorHAnsi" w:hAnsiTheme="majorHAnsi"/>
          <w:bCs/>
          <w:sz w:val="20"/>
          <w:szCs w:val="20"/>
          <w:lang w:val="es-ES_tradnl"/>
        </w:rPr>
        <w:t xml:space="preserve"> de los atacantes resultaron muertos y tres más detenid</w:t>
      </w:r>
      <w:r w:rsidR="0082499E" w:rsidRPr="00627045">
        <w:rPr>
          <w:rFonts w:asciiTheme="majorHAnsi" w:hAnsiTheme="majorHAnsi"/>
          <w:bCs/>
          <w:sz w:val="20"/>
          <w:szCs w:val="20"/>
          <w:lang w:val="es-ES_tradnl"/>
        </w:rPr>
        <w:t>o</w:t>
      </w:r>
      <w:r w:rsidR="005C1B92" w:rsidRPr="00627045">
        <w:rPr>
          <w:rFonts w:asciiTheme="majorHAnsi" w:hAnsiTheme="majorHAnsi"/>
          <w:bCs/>
          <w:sz w:val="20"/>
          <w:szCs w:val="20"/>
          <w:lang w:val="es-ES_tradnl"/>
        </w:rPr>
        <w:t>s</w:t>
      </w:r>
      <w:r w:rsidR="00E32E66" w:rsidRPr="00627045">
        <w:rPr>
          <w:rFonts w:asciiTheme="majorHAnsi" w:hAnsiTheme="majorHAnsi"/>
          <w:bCs/>
          <w:sz w:val="20"/>
          <w:szCs w:val="20"/>
          <w:lang w:val="es-ES_tradnl"/>
        </w:rPr>
        <w:t xml:space="preserve">, uno de los cuales quedó herido. </w:t>
      </w:r>
      <w:r w:rsidR="00827150" w:rsidRPr="00627045">
        <w:rPr>
          <w:rFonts w:asciiTheme="majorHAnsi" w:hAnsiTheme="majorHAnsi"/>
          <w:bCs/>
          <w:sz w:val="20"/>
          <w:szCs w:val="20"/>
          <w:lang w:val="es-ES_tradnl"/>
        </w:rPr>
        <w:t xml:space="preserve">Señalan que </w:t>
      </w:r>
      <w:r w:rsidR="003F2DDC" w:rsidRPr="00627045">
        <w:rPr>
          <w:rFonts w:asciiTheme="majorHAnsi" w:hAnsiTheme="majorHAnsi"/>
          <w:bCs/>
          <w:sz w:val="20"/>
          <w:szCs w:val="20"/>
          <w:lang w:val="es-ES_tradnl"/>
        </w:rPr>
        <w:t>la Comisión Judicial</w:t>
      </w:r>
      <w:r w:rsidR="00827150" w:rsidRPr="00627045">
        <w:rPr>
          <w:rFonts w:asciiTheme="majorHAnsi" w:hAnsiTheme="majorHAnsi"/>
          <w:bCs/>
          <w:sz w:val="20"/>
          <w:szCs w:val="20"/>
          <w:lang w:val="es-ES_tradnl"/>
        </w:rPr>
        <w:t xml:space="preserve"> procedió a practicar el levantamiento de los cadáveres y a asegurar a los capturados, quienes fueron interrogados y manifestaron de forma voluntaria que pertenecían al grupo paramilitar identificado como “Los Buitragueños” comandado por Héctor José Buitrago Rodríguez alias “El Tripas” y sus dos hijos Héctor Germán y Nelson Orlando conocidos con los alias de “Martín Llanos” y el Caballo”.</w:t>
      </w:r>
      <w:r w:rsidR="00376357" w:rsidRPr="00627045">
        <w:rPr>
          <w:rFonts w:asciiTheme="majorHAnsi" w:hAnsiTheme="majorHAnsi"/>
          <w:bCs/>
          <w:sz w:val="20"/>
          <w:szCs w:val="20"/>
          <w:lang w:val="es-ES_tradnl"/>
        </w:rPr>
        <w:t xml:space="preserve"> Los capturados indicaron que en camino venían </w:t>
      </w:r>
      <w:r w:rsidR="00B5350F" w:rsidRPr="00627045">
        <w:rPr>
          <w:rFonts w:asciiTheme="majorHAnsi" w:hAnsiTheme="majorHAnsi"/>
          <w:bCs/>
          <w:sz w:val="20"/>
          <w:szCs w:val="20"/>
          <w:lang w:val="es-ES_tradnl"/>
        </w:rPr>
        <w:t>ciento cincuenta</w:t>
      </w:r>
      <w:r w:rsidR="00376357" w:rsidRPr="00627045">
        <w:rPr>
          <w:rFonts w:asciiTheme="majorHAnsi" w:hAnsiTheme="majorHAnsi"/>
          <w:bCs/>
          <w:sz w:val="20"/>
          <w:szCs w:val="20"/>
          <w:lang w:val="es-ES_tradnl"/>
        </w:rPr>
        <w:t xml:space="preserve"> hombres</w:t>
      </w:r>
      <w:r w:rsidR="00A35EDE" w:rsidRPr="00627045">
        <w:rPr>
          <w:rFonts w:asciiTheme="majorHAnsi" w:hAnsiTheme="majorHAnsi"/>
          <w:bCs/>
          <w:sz w:val="20"/>
          <w:szCs w:val="20"/>
          <w:lang w:val="es-ES_tradnl"/>
        </w:rPr>
        <w:t xml:space="preserve"> más para enfrentar a la Comisión Judicial que</w:t>
      </w:r>
      <w:r w:rsidR="00446B95" w:rsidRPr="00627045">
        <w:rPr>
          <w:rFonts w:asciiTheme="majorHAnsi" w:hAnsiTheme="majorHAnsi"/>
          <w:bCs/>
          <w:sz w:val="20"/>
          <w:szCs w:val="20"/>
          <w:lang w:val="es-ES_tradnl"/>
        </w:rPr>
        <w:t>,</w:t>
      </w:r>
      <w:r w:rsidR="00A35EDE" w:rsidRPr="00627045">
        <w:rPr>
          <w:rFonts w:asciiTheme="majorHAnsi" w:hAnsiTheme="majorHAnsi"/>
          <w:bCs/>
          <w:sz w:val="20"/>
          <w:szCs w:val="20"/>
          <w:lang w:val="es-ES_tradnl"/>
        </w:rPr>
        <w:t xml:space="preserve"> por orden de sus jefes, </w:t>
      </w:r>
      <w:r w:rsidR="00B25C36" w:rsidRPr="00627045">
        <w:rPr>
          <w:rFonts w:asciiTheme="majorHAnsi" w:hAnsiTheme="majorHAnsi"/>
          <w:bCs/>
          <w:sz w:val="20"/>
          <w:szCs w:val="20"/>
          <w:lang w:val="es-ES_tradnl"/>
        </w:rPr>
        <w:t xml:space="preserve">debía ser ‘exterminada’. </w:t>
      </w:r>
    </w:p>
    <w:p w14:paraId="630D9371" w14:textId="39319383" w:rsidR="00F15481" w:rsidRPr="00627045" w:rsidRDefault="00F15481"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bCs/>
          <w:sz w:val="20"/>
          <w:szCs w:val="20"/>
          <w:lang w:val="es-ES_tradnl"/>
        </w:rPr>
        <w:t xml:space="preserve">Los peticionarios refieren que </w:t>
      </w:r>
      <w:r w:rsidR="004E62EA" w:rsidRPr="00627045">
        <w:rPr>
          <w:rFonts w:asciiTheme="majorHAnsi" w:hAnsiTheme="majorHAnsi"/>
          <w:bCs/>
          <w:sz w:val="20"/>
          <w:szCs w:val="20"/>
          <w:lang w:val="es-ES_tradnl"/>
        </w:rPr>
        <w:t xml:space="preserve">el jefe del Gaula, Mayor Juan Carlos Figueroa, </w:t>
      </w:r>
      <w:r w:rsidR="00AF7FAA" w:rsidRPr="00627045">
        <w:rPr>
          <w:rFonts w:asciiTheme="majorHAnsi" w:hAnsiTheme="majorHAnsi"/>
          <w:bCs/>
          <w:sz w:val="20"/>
          <w:szCs w:val="20"/>
          <w:lang w:val="es-ES_tradnl"/>
        </w:rPr>
        <w:t xml:space="preserve">de inmediato </w:t>
      </w:r>
      <w:r w:rsidR="004E62EA" w:rsidRPr="00627045">
        <w:rPr>
          <w:rFonts w:asciiTheme="majorHAnsi" w:hAnsiTheme="majorHAnsi"/>
          <w:bCs/>
          <w:sz w:val="20"/>
          <w:szCs w:val="20"/>
          <w:lang w:val="es-ES_tradnl"/>
        </w:rPr>
        <w:t xml:space="preserve">se comunicó a la 1:45 p.m. con el mayor Mantilla </w:t>
      </w:r>
      <w:r w:rsidR="00E44385" w:rsidRPr="00627045">
        <w:rPr>
          <w:rFonts w:asciiTheme="majorHAnsi" w:hAnsiTheme="majorHAnsi"/>
          <w:bCs/>
          <w:sz w:val="20"/>
          <w:szCs w:val="20"/>
          <w:lang w:val="es-ES_tradnl"/>
        </w:rPr>
        <w:t xml:space="preserve">de su Brigada </w:t>
      </w:r>
      <w:r w:rsidR="004E62EA" w:rsidRPr="00627045">
        <w:rPr>
          <w:rFonts w:asciiTheme="majorHAnsi" w:hAnsiTheme="majorHAnsi"/>
          <w:bCs/>
          <w:sz w:val="20"/>
          <w:szCs w:val="20"/>
          <w:lang w:val="es-ES_tradnl"/>
        </w:rPr>
        <w:t>solicitando el apoyo de helicópteros artillados o el envío</w:t>
      </w:r>
      <w:r w:rsidR="004778BD" w:rsidRPr="00627045">
        <w:rPr>
          <w:rFonts w:asciiTheme="majorHAnsi" w:hAnsiTheme="majorHAnsi"/>
          <w:bCs/>
          <w:sz w:val="20"/>
          <w:szCs w:val="20"/>
          <w:lang w:val="es-ES_tradnl"/>
        </w:rPr>
        <w:t xml:space="preserve"> </w:t>
      </w:r>
      <w:r w:rsidR="004E62EA" w:rsidRPr="00627045">
        <w:rPr>
          <w:rFonts w:asciiTheme="majorHAnsi" w:hAnsiTheme="majorHAnsi"/>
          <w:bCs/>
          <w:sz w:val="20"/>
          <w:szCs w:val="20"/>
          <w:lang w:val="es-ES_tradnl"/>
        </w:rPr>
        <w:t xml:space="preserve">del </w:t>
      </w:r>
      <w:r w:rsidR="00B839CA" w:rsidRPr="00627045">
        <w:rPr>
          <w:rFonts w:asciiTheme="majorHAnsi" w:hAnsiTheme="majorHAnsi"/>
          <w:bCs/>
          <w:sz w:val="20"/>
          <w:szCs w:val="20"/>
          <w:lang w:val="es-ES_tradnl"/>
        </w:rPr>
        <w:t>“</w:t>
      </w:r>
      <w:r w:rsidR="004E62EA" w:rsidRPr="00627045">
        <w:rPr>
          <w:rFonts w:asciiTheme="majorHAnsi" w:hAnsiTheme="majorHAnsi"/>
          <w:bCs/>
          <w:sz w:val="20"/>
          <w:szCs w:val="20"/>
          <w:lang w:val="es-ES_tradnl"/>
        </w:rPr>
        <w:t>avión fantasma</w:t>
      </w:r>
      <w:r w:rsidR="00B839CA" w:rsidRPr="00627045">
        <w:rPr>
          <w:rFonts w:asciiTheme="majorHAnsi" w:hAnsiTheme="majorHAnsi"/>
          <w:bCs/>
          <w:sz w:val="20"/>
          <w:szCs w:val="20"/>
          <w:lang w:val="es-ES_tradnl"/>
        </w:rPr>
        <w:t>”</w:t>
      </w:r>
      <w:r w:rsidR="004E62EA" w:rsidRPr="00627045">
        <w:rPr>
          <w:rFonts w:asciiTheme="majorHAnsi" w:hAnsiTheme="majorHAnsi"/>
          <w:bCs/>
          <w:sz w:val="20"/>
          <w:szCs w:val="20"/>
          <w:lang w:val="es-ES_tradnl"/>
        </w:rPr>
        <w:t>.</w:t>
      </w:r>
      <w:r w:rsidR="00E44385" w:rsidRPr="00627045">
        <w:rPr>
          <w:rFonts w:asciiTheme="majorHAnsi" w:hAnsiTheme="majorHAnsi"/>
          <w:bCs/>
          <w:sz w:val="20"/>
          <w:szCs w:val="20"/>
          <w:lang w:val="es-ES_tradnl"/>
        </w:rPr>
        <w:t xml:space="preserve"> Esta solicitud habría sido </w:t>
      </w:r>
      <w:r w:rsidR="00710D0E" w:rsidRPr="00627045">
        <w:rPr>
          <w:rFonts w:asciiTheme="majorHAnsi" w:hAnsiTheme="majorHAnsi"/>
          <w:bCs/>
          <w:sz w:val="20"/>
          <w:szCs w:val="20"/>
          <w:lang w:val="es-ES_tradnl"/>
        </w:rPr>
        <w:t xml:space="preserve">transmitida al Brigadier General Jaime Humberto Uscátegui, </w:t>
      </w:r>
      <w:r w:rsidR="00914ACE" w:rsidRPr="00627045">
        <w:rPr>
          <w:rFonts w:asciiTheme="majorHAnsi" w:hAnsiTheme="majorHAnsi"/>
          <w:bCs/>
          <w:sz w:val="20"/>
          <w:szCs w:val="20"/>
          <w:lang w:val="es-ES_tradnl"/>
        </w:rPr>
        <w:t>actualmente condenado por la masacre de Mapiripán.</w:t>
      </w:r>
      <w:r w:rsidR="006020B6" w:rsidRPr="00627045">
        <w:rPr>
          <w:rFonts w:asciiTheme="majorHAnsi" w:hAnsiTheme="majorHAnsi"/>
          <w:bCs/>
          <w:sz w:val="20"/>
          <w:szCs w:val="20"/>
          <w:lang w:val="es-ES_tradnl"/>
        </w:rPr>
        <w:t xml:space="preserve"> </w:t>
      </w:r>
      <w:r w:rsidR="00914ACE" w:rsidRPr="00627045">
        <w:rPr>
          <w:rFonts w:asciiTheme="majorHAnsi" w:hAnsiTheme="majorHAnsi"/>
          <w:bCs/>
          <w:sz w:val="20"/>
          <w:szCs w:val="20"/>
          <w:lang w:val="es-ES_tradnl"/>
        </w:rPr>
        <w:t>A</w:t>
      </w:r>
      <w:r w:rsidR="006020B6" w:rsidRPr="00627045">
        <w:rPr>
          <w:rFonts w:asciiTheme="majorHAnsi" w:hAnsiTheme="majorHAnsi"/>
          <w:bCs/>
          <w:sz w:val="20"/>
          <w:szCs w:val="20"/>
          <w:lang w:val="es-ES_tradnl"/>
        </w:rPr>
        <w:t>dvierte la parte peticionaria,</w:t>
      </w:r>
      <w:r w:rsidR="00710D0E" w:rsidRPr="00627045">
        <w:rPr>
          <w:rFonts w:asciiTheme="majorHAnsi" w:hAnsiTheme="majorHAnsi"/>
          <w:bCs/>
          <w:sz w:val="20"/>
          <w:szCs w:val="20"/>
          <w:lang w:val="es-ES_tradnl"/>
        </w:rPr>
        <w:t xml:space="preserve"> </w:t>
      </w:r>
      <w:r w:rsidR="00914ACE" w:rsidRPr="00627045">
        <w:rPr>
          <w:rFonts w:asciiTheme="majorHAnsi" w:hAnsiTheme="majorHAnsi"/>
          <w:bCs/>
          <w:sz w:val="20"/>
          <w:szCs w:val="20"/>
          <w:lang w:val="es-ES_tradnl"/>
        </w:rPr>
        <w:t xml:space="preserve">que el Brigadier Uscátegui </w:t>
      </w:r>
      <w:r w:rsidR="006020B6" w:rsidRPr="00627045">
        <w:rPr>
          <w:rFonts w:asciiTheme="majorHAnsi" w:hAnsiTheme="majorHAnsi"/>
          <w:bCs/>
          <w:sz w:val="20"/>
          <w:szCs w:val="20"/>
          <w:lang w:val="es-ES_tradnl"/>
        </w:rPr>
        <w:t>“</w:t>
      </w:r>
      <w:r w:rsidR="00710D0E" w:rsidRPr="00627045">
        <w:rPr>
          <w:rFonts w:asciiTheme="majorHAnsi" w:hAnsiTheme="majorHAnsi"/>
          <w:bCs/>
          <w:i/>
          <w:iCs/>
          <w:sz w:val="20"/>
          <w:szCs w:val="20"/>
          <w:lang w:val="es-ES_tradnl"/>
        </w:rPr>
        <w:t>en forma inexplicable pide su verificación por la radio oficial</w:t>
      </w:r>
      <w:r w:rsidR="006020B6" w:rsidRPr="00627045">
        <w:rPr>
          <w:rFonts w:asciiTheme="majorHAnsi" w:hAnsiTheme="majorHAnsi"/>
          <w:bCs/>
          <w:sz w:val="20"/>
          <w:szCs w:val="20"/>
          <w:lang w:val="es-ES_tradnl"/>
        </w:rPr>
        <w:t>”, por lo cual,</w:t>
      </w:r>
      <w:r w:rsidR="00710D0E" w:rsidRPr="00627045">
        <w:rPr>
          <w:rFonts w:asciiTheme="majorHAnsi" w:hAnsiTheme="majorHAnsi"/>
          <w:bCs/>
          <w:sz w:val="20"/>
          <w:szCs w:val="20"/>
          <w:lang w:val="es-ES_tradnl"/>
        </w:rPr>
        <w:t xml:space="preserve"> </w:t>
      </w:r>
      <w:r w:rsidR="006020B6" w:rsidRPr="00627045">
        <w:rPr>
          <w:rFonts w:asciiTheme="majorHAnsi" w:hAnsiTheme="majorHAnsi"/>
          <w:bCs/>
          <w:sz w:val="20"/>
          <w:szCs w:val="20"/>
          <w:lang w:val="es-ES_tradnl"/>
        </w:rPr>
        <w:t>a</w:t>
      </w:r>
      <w:r w:rsidR="00710D0E" w:rsidRPr="00627045">
        <w:rPr>
          <w:rFonts w:asciiTheme="majorHAnsi" w:hAnsiTheme="majorHAnsi"/>
          <w:bCs/>
          <w:sz w:val="20"/>
          <w:szCs w:val="20"/>
          <w:lang w:val="es-ES_tradnl"/>
        </w:rPr>
        <w:t xml:space="preserve"> las 2:00 p.m.</w:t>
      </w:r>
      <w:r w:rsidR="00044D23" w:rsidRPr="00627045">
        <w:rPr>
          <w:rFonts w:asciiTheme="majorHAnsi" w:hAnsiTheme="majorHAnsi"/>
          <w:bCs/>
          <w:sz w:val="20"/>
          <w:szCs w:val="20"/>
          <w:lang w:val="es-ES_tradnl"/>
        </w:rPr>
        <w:t xml:space="preserve"> </w:t>
      </w:r>
      <w:r w:rsidR="006020B6" w:rsidRPr="00627045">
        <w:rPr>
          <w:rFonts w:asciiTheme="majorHAnsi" w:hAnsiTheme="majorHAnsi"/>
          <w:bCs/>
          <w:sz w:val="20"/>
          <w:szCs w:val="20"/>
          <w:lang w:val="es-ES_tradnl"/>
        </w:rPr>
        <w:t xml:space="preserve">el Mayor repitió </w:t>
      </w:r>
      <w:r w:rsidR="00710D0E" w:rsidRPr="00627045">
        <w:rPr>
          <w:rFonts w:asciiTheme="majorHAnsi" w:hAnsiTheme="majorHAnsi"/>
          <w:bCs/>
          <w:sz w:val="20"/>
          <w:szCs w:val="20"/>
          <w:lang w:val="es-ES_tradnl"/>
        </w:rPr>
        <w:t xml:space="preserve">el pedido de apoyo por el radio oficial, </w:t>
      </w:r>
      <w:r w:rsidR="006020B6" w:rsidRPr="00627045">
        <w:rPr>
          <w:rFonts w:asciiTheme="majorHAnsi" w:hAnsiTheme="majorHAnsi"/>
          <w:bCs/>
          <w:sz w:val="20"/>
          <w:szCs w:val="20"/>
          <w:lang w:val="es-ES_tradnl"/>
        </w:rPr>
        <w:t xml:space="preserve">y se comunicó </w:t>
      </w:r>
      <w:r w:rsidR="00710D0E" w:rsidRPr="00627045">
        <w:rPr>
          <w:rFonts w:asciiTheme="majorHAnsi" w:hAnsiTheme="majorHAnsi"/>
          <w:bCs/>
          <w:sz w:val="20"/>
          <w:szCs w:val="20"/>
          <w:lang w:val="es-ES_tradnl"/>
        </w:rPr>
        <w:t>directamente el mayor Figueroa y el Brigadier General Uscátegui.</w:t>
      </w:r>
      <w:r w:rsidR="00ED3121" w:rsidRPr="00627045">
        <w:rPr>
          <w:rFonts w:asciiTheme="majorHAnsi" w:hAnsiTheme="majorHAnsi"/>
          <w:bCs/>
          <w:sz w:val="20"/>
          <w:szCs w:val="20"/>
          <w:lang w:val="es-ES_tradnl"/>
        </w:rPr>
        <w:t xml:space="preserve"> A su turno, </w:t>
      </w:r>
      <w:r w:rsidR="00ED1691" w:rsidRPr="00627045">
        <w:rPr>
          <w:rFonts w:asciiTheme="majorHAnsi" w:hAnsiTheme="majorHAnsi"/>
          <w:bCs/>
          <w:sz w:val="20"/>
          <w:szCs w:val="20"/>
          <w:lang w:val="es-ES_tradnl"/>
        </w:rPr>
        <w:t xml:space="preserve">los funcionarios del DAS y el Cuerpo Técnico de Investigación (en adelante “CTI”) de la fiscalía solicitaron a sus superiores insistir en el llamado de urgencia a la VII Brigada, </w:t>
      </w:r>
      <w:r w:rsidR="001B41CA" w:rsidRPr="00627045">
        <w:rPr>
          <w:rFonts w:asciiTheme="majorHAnsi" w:hAnsiTheme="majorHAnsi"/>
          <w:bCs/>
          <w:sz w:val="20"/>
          <w:szCs w:val="20"/>
          <w:lang w:val="es-ES_tradnl"/>
        </w:rPr>
        <w:t xml:space="preserve">por lo cual tres fiscales regionales se hicieron presentes en las instalaciones de la Brigada para reiterar su llamado de apoyo, pero allí la respuesta habría sido que </w:t>
      </w:r>
      <w:r w:rsidR="00FC5B05" w:rsidRPr="00627045">
        <w:rPr>
          <w:rFonts w:asciiTheme="majorHAnsi" w:hAnsiTheme="majorHAnsi"/>
          <w:bCs/>
          <w:sz w:val="20"/>
          <w:szCs w:val="20"/>
          <w:lang w:val="es-ES_tradnl"/>
        </w:rPr>
        <w:t xml:space="preserve">no había peligro, </w:t>
      </w:r>
      <w:r w:rsidR="00C66AFF" w:rsidRPr="00627045">
        <w:rPr>
          <w:rFonts w:asciiTheme="majorHAnsi" w:hAnsiTheme="majorHAnsi"/>
          <w:bCs/>
          <w:sz w:val="20"/>
          <w:szCs w:val="20"/>
          <w:lang w:val="es-ES_tradnl"/>
        </w:rPr>
        <w:t xml:space="preserve">que: </w:t>
      </w:r>
      <w:r w:rsidR="00FC5B05" w:rsidRPr="00627045">
        <w:rPr>
          <w:rFonts w:asciiTheme="majorHAnsi" w:hAnsiTheme="majorHAnsi"/>
          <w:bCs/>
          <w:sz w:val="20"/>
          <w:szCs w:val="20"/>
          <w:lang w:val="es-ES_tradnl"/>
        </w:rPr>
        <w:t>“</w:t>
      </w:r>
      <w:r w:rsidR="00FC5B05" w:rsidRPr="00627045">
        <w:rPr>
          <w:rFonts w:asciiTheme="majorHAnsi" w:hAnsiTheme="majorHAnsi"/>
          <w:bCs/>
          <w:i/>
          <w:iCs/>
          <w:sz w:val="20"/>
          <w:szCs w:val="20"/>
          <w:lang w:val="es-ES_tradnl"/>
        </w:rPr>
        <w:t>todo estaba controlado</w:t>
      </w:r>
      <w:r w:rsidR="00FC5B05" w:rsidRPr="00627045">
        <w:rPr>
          <w:rFonts w:asciiTheme="majorHAnsi" w:hAnsiTheme="majorHAnsi"/>
          <w:bCs/>
          <w:sz w:val="20"/>
          <w:szCs w:val="20"/>
          <w:lang w:val="es-ES_tradnl"/>
        </w:rPr>
        <w:t>”.</w:t>
      </w:r>
    </w:p>
    <w:p w14:paraId="6ED613F9" w14:textId="36E16F33" w:rsidR="00FC5B05" w:rsidRPr="00627045" w:rsidRDefault="007E1AD5" w:rsidP="002F203C">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bCs/>
          <w:sz w:val="20"/>
          <w:szCs w:val="20"/>
          <w:lang w:val="es-ES_tradnl"/>
        </w:rPr>
        <w:t xml:space="preserve">La parte peticionaria aduce que </w:t>
      </w:r>
      <w:r w:rsidR="005B5006" w:rsidRPr="00627045">
        <w:rPr>
          <w:rFonts w:asciiTheme="majorHAnsi" w:hAnsiTheme="majorHAnsi"/>
          <w:bCs/>
          <w:sz w:val="20"/>
          <w:szCs w:val="20"/>
          <w:lang w:val="es-ES_tradnl"/>
        </w:rPr>
        <w:t>a pesar de que</w:t>
      </w:r>
      <w:r w:rsidRPr="00627045">
        <w:rPr>
          <w:rFonts w:asciiTheme="majorHAnsi" w:hAnsiTheme="majorHAnsi"/>
          <w:bCs/>
          <w:sz w:val="20"/>
          <w:szCs w:val="20"/>
          <w:lang w:val="es-ES_tradnl"/>
        </w:rPr>
        <w:t xml:space="preserve"> </w:t>
      </w:r>
      <w:r w:rsidR="00F56E70" w:rsidRPr="00627045">
        <w:rPr>
          <w:rFonts w:asciiTheme="majorHAnsi" w:hAnsiTheme="majorHAnsi"/>
          <w:bCs/>
          <w:sz w:val="20"/>
          <w:szCs w:val="20"/>
          <w:lang w:val="es-ES_tradnl"/>
        </w:rPr>
        <w:t xml:space="preserve">el </w:t>
      </w:r>
      <w:r w:rsidRPr="00627045">
        <w:rPr>
          <w:rFonts w:asciiTheme="majorHAnsi" w:hAnsiTheme="majorHAnsi"/>
          <w:bCs/>
          <w:sz w:val="20"/>
          <w:szCs w:val="20"/>
          <w:lang w:val="es-ES_tradnl"/>
        </w:rPr>
        <w:t xml:space="preserve">apoyo aéreo se encontraba disponible, </w:t>
      </w:r>
      <w:r w:rsidR="00F56E70" w:rsidRPr="00627045">
        <w:rPr>
          <w:rFonts w:asciiTheme="majorHAnsi" w:hAnsiTheme="majorHAnsi"/>
          <w:bCs/>
          <w:sz w:val="20"/>
          <w:szCs w:val="20"/>
          <w:lang w:val="es-ES_tradnl"/>
        </w:rPr>
        <w:t xml:space="preserve">la Séptima Brigada desatendió la solicitud y </w:t>
      </w:r>
      <w:r w:rsidRPr="00627045">
        <w:rPr>
          <w:rFonts w:asciiTheme="majorHAnsi" w:hAnsiTheme="majorHAnsi"/>
          <w:bCs/>
          <w:sz w:val="20"/>
          <w:szCs w:val="20"/>
          <w:lang w:val="es-ES_tradnl"/>
        </w:rPr>
        <w:t xml:space="preserve">la Comisión Judicial y Militar </w:t>
      </w:r>
      <w:r w:rsidR="00F56E70" w:rsidRPr="00627045">
        <w:rPr>
          <w:rFonts w:asciiTheme="majorHAnsi" w:hAnsiTheme="majorHAnsi"/>
          <w:bCs/>
          <w:sz w:val="20"/>
          <w:szCs w:val="20"/>
          <w:lang w:val="es-ES_tradnl"/>
        </w:rPr>
        <w:t xml:space="preserve">continuó su rumbo, </w:t>
      </w:r>
      <w:r w:rsidR="00640C09" w:rsidRPr="00627045">
        <w:rPr>
          <w:rFonts w:asciiTheme="majorHAnsi" w:hAnsiTheme="majorHAnsi"/>
          <w:bCs/>
          <w:sz w:val="20"/>
          <w:szCs w:val="20"/>
          <w:lang w:val="es-ES_tradnl"/>
        </w:rPr>
        <w:t xml:space="preserve">encontrándose </w:t>
      </w:r>
      <w:r w:rsidRPr="00627045">
        <w:rPr>
          <w:rFonts w:asciiTheme="majorHAnsi" w:hAnsiTheme="majorHAnsi"/>
          <w:bCs/>
          <w:sz w:val="20"/>
          <w:szCs w:val="20"/>
          <w:lang w:val="es-ES_tradnl"/>
        </w:rPr>
        <w:t>veinte minutos de</w:t>
      </w:r>
      <w:r w:rsidR="00640C09" w:rsidRPr="00627045">
        <w:rPr>
          <w:rFonts w:asciiTheme="majorHAnsi" w:hAnsiTheme="majorHAnsi"/>
          <w:bCs/>
          <w:sz w:val="20"/>
          <w:szCs w:val="20"/>
          <w:lang w:val="es-ES_tradnl"/>
        </w:rPr>
        <w:t xml:space="preserve">spués con </w:t>
      </w:r>
      <w:r w:rsidRPr="00627045">
        <w:rPr>
          <w:rFonts w:asciiTheme="majorHAnsi" w:hAnsiTheme="majorHAnsi"/>
          <w:bCs/>
          <w:sz w:val="20"/>
          <w:szCs w:val="20"/>
          <w:lang w:val="es-ES_tradnl"/>
        </w:rPr>
        <w:t xml:space="preserve">un grupo </w:t>
      </w:r>
      <w:r w:rsidR="00640C09" w:rsidRPr="00627045">
        <w:rPr>
          <w:rFonts w:asciiTheme="majorHAnsi" w:hAnsiTheme="majorHAnsi"/>
          <w:bCs/>
          <w:sz w:val="20"/>
          <w:szCs w:val="20"/>
          <w:lang w:val="es-ES_tradnl"/>
        </w:rPr>
        <w:t xml:space="preserve">de </w:t>
      </w:r>
      <w:r w:rsidRPr="00627045">
        <w:rPr>
          <w:rFonts w:asciiTheme="majorHAnsi" w:hAnsiTheme="majorHAnsi"/>
          <w:bCs/>
          <w:sz w:val="20"/>
          <w:szCs w:val="20"/>
          <w:lang w:val="es-ES_tradnl"/>
        </w:rPr>
        <w:t xml:space="preserve">aproximadamente </w:t>
      </w:r>
      <w:r w:rsidR="00FA1848" w:rsidRPr="00627045">
        <w:rPr>
          <w:rFonts w:asciiTheme="majorHAnsi" w:hAnsiTheme="majorHAnsi"/>
          <w:bCs/>
          <w:sz w:val="20"/>
          <w:szCs w:val="20"/>
          <w:lang w:val="es-ES_tradnl"/>
        </w:rPr>
        <w:t>ciento cincuenta</w:t>
      </w:r>
      <w:r w:rsidRPr="00627045">
        <w:rPr>
          <w:rFonts w:asciiTheme="majorHAnsi" w:hAnsiTheme="majorHAnsi"/>
          <w:bCs/>
          <w:sz w:val="20"/>
          <w:szCs w:val="20"/>
          <w:lang w:val="es-ES_tradnl"/>
        </w:rPr>
        <w:t xml:space="preserve"> hombres que </w:t>
      </w:r>
      <w:r w:rsidR="00F277B6" w:rsidRPr="00627045">
        <w:rPr>
          <w:rFonts w:asciiTheme="majorHAnsi" w:hAnsiTheme="majorHAnsi"/>
          <w:bCs/>
          <w:sz w:val="20"/>
          <w:szCs w:val="20"/>
          <w:lang w:val="es-ES_tradnl"/>
        </w:rPr>
        <w:t xml:space="preserve">los </w:t>
      </w:r>
      <w:r w:rsidRPr="00627045">
        <w:rPr>
          <w:rFonts w:asciiTheme="majorHAnsi" w:hAnsiTheme="majorHAnsi"/>
          <w:bCs/>
          <w:sz w:val="20"/>
          <w:szCs w:val="20"/>
          <w:lang w:val="es-ES_tradnl"/>
        </w:rPr>
        <w:t xml:space="preserve">atacaron </w:t>
      </w:r>
      <w:r w:rsidR="00F277B6" w:rsidRPr="00627045">
        <w:rPr>
          <w:rFonts w:asciiTheme="majorHAnsi" w:hAnsiTheme="majorHAnsi"/>
          <w:bCs/>
          <w:sz w:val="20"/>
          <w:szCs w:val="20"/>
          <w:lang w:val="es-ES_tradnl"/>
        </w:rPr>
        <w:t xml:space="preserve">con </w:t>
      </w:r>
      <w:r w:rsidRPr="00627045">
        <w:rPr>
          <w:rFonts w:asciiTheme="majorHAnsi" w:hAnsiTheme="majorHAnsi"/>
          <w:bCs/>
          <w:sz w:val="20"/>
          <w:szCs w:val="20"/>
          <w:lang w:val="es-ES_tradnl"/>
        </w:rPr>
        <w:t>diferentes tipos de armamento</w:t>
      </w:r>
      <w:r w:rsidR="00F277B6" w:rsidRPr="00627045">
        <w:rPr>
          <w:rFonts w:asciiTheme="majorHAnsi" w:hAnsiTheme="majorHAnsi"/>
          <w:bCs/>
          <w:sz w:val="20"/>
          <w:szCs w:val="20"/>
          <w:lang w:val="es-ES_tradnl"/>
        </w:rPr>
        <w:t xml:space="preserve">, mientras que </w:t>
      </w:r>
      <w:r w:rsidRPr="00627045">
        <w:rPr>
          <w:rFonts w:asciiTheme="majorHAnsi" w:hAnsiTheme="majorHAnsi"/>
          <w:bCs/>
          <w:sz w:val="20"/>
          <w:szCs w:val="20"/>
          <w:lang w:val="es-ES_tradnl"/>
        </w:rPr>
        <w:t xml:space="preserve">el mayor Figueroa insistía en apoyo aéreo, pero para </w:t>
      </w:r>
      <w:r w:rsidR="00F277B6" w:rsidRPr="00627045">
        <w:rPr>
          <w:rFonts w:asciiTheme="majorHAnsi" w:hAnsiTheme="majorHAnsi"/>
          <w:bCs/>
          <w:sz w:val="20"/>
          <w:szCs w:val="20"/>
          <w:lang w:val="es-ES_tradnl"/>
        </w:rPr>
        <w:t xml:space="preserve">entonces </w:t>
      </w:r>
      <w:r w:rsidRPr="00627045">
        <w:rPr>
          <w:rFonts w:asciiTheme="majorHAnsi" w:hAnsiTheme="majorHAnsi"/>
          <w:bCs/>
          <w:sz w:val="20"/>
          <w:szCs w:val="20"/>
          <w:lang w:val="es-ES_tradnl"/>
        </w:rPr>
        <w:t xml:space="preserve">la VII Brigada </w:t>
      </w:r>
      <w:r w:rsidR="00F277B6" w:rsidRPr="00627045">
        <w:rPr>
          <w:rFonts w:asciiTheme="majorHAnsi" w:hAnsiTheme="majorHAnsi"/>
          <w:bCs/>
          <w:sz w:val="20"/>
          <w:szCs w:val="20"/>
          <w:lang w:val="es-ES_tradnl"/>
        </w:rPr>
        <w:t xml:space="preserve">habría </w:t>
      </w:r>
      <w:r w:rsidRPr="00627045">
        <w:rPr>
          <w:rFonts w:asciiTheme="majorHAnsi" w:hAnsiTheme="majorHAnsi"/>
          <w:bCs/>
          <w:sz w:val="20"/>
          <w:szCs w:val="20"/>
          <w:lang w:val="es-ES_tradnl"/>
        </w:rPr>
        <w:t>dej</w:t>
      </w:r>
      <w:r w:rsidR="00F277B6" w:rsidRPr="00627045">
        <w:rPr>
          <w:rFonts w:asciiTheme="majorHAnsi" w:hAnsiTheme="majorHAnsi"/>
          <w:bCs/>
          <w:sz w:val="20"/>
          <w:szCs w:val="20"/>
          <w:lang w:val="es-ES_tradnl"/>
        </w:rPr>
        <w:t>ado</w:t>
      </w:r>
      <w:r w:rsidRPr="00627045">
        <w:rPr>
          <w:rFonts w:asciiTheme="majorHAnsi" w:hAnsiTheme="majorHAnsi"/>
          <w:bCs/>
          <w:sz w:val="20"/>
          <w:szCs w:val="20"/>
          <w:lang w:val="es-ES_tradnl"/>
        </w:rPr>
        <w:t xml:space="preserve"> de responder al radio</w:t>
      </w:r>
      <w:r w:rsidR="00F277B6" w:rsidRPr="00627045">
        <w:rPr>
          <w:rFonts w:asciiTheme="majorHAnsi" w:hAnsiTheme="majorHAnsi"/>
          <w:bCs/>
          <w:sz w:val="20"/>
          <w:szCs w:val="20"/>
          <w:lang w:val="es-ES_tradnl"/>
        </w:rPr>
        <w:t>. Firman que en esos hechos e</w:t>
      </w:r>
      <w:r w:rsidRPr="00627045">
        <w:rPr>
          <w:rFonts w:asciiTheme="majorHAnsi" w:hAnsiTheme="majorHAnsi"/>
          <w:bCs/>
          <w:sz w:val="20"/>
          <w:szCs w:val="20"/>
          <w:lang w:val="es-ES_tradnl"/>
        </w:rPr>
        <w:t>l mayor fue asesinado</w:t>
      </w:r>
      <w:r w:rsidR="00F277B6" w:rsidRPr="00627045">
        <w:rPr>
          <w:rFonts w:asciiTheme="majorHAnsi" w:hAnsiTheme="majorHAnsi"/>
          <w:bCs/>
          <w:sz w:val="20"/>
          <w:szCs w:val="20"/>
          <w:lang w:val="es-ES_tradnl"/>
        </w:rPr>
        <w:t xml:space="preserve"> junto a </w:t>
      </w:r>
      <w:r w:rsidRPr="00627045">
        <w:rPr>
          <w:rFonts w:asciiTheme="majorHAnsi" w:hAnsiTheme="majorHAnsi"/>
          <w:bCs/>
          <w:sz w:val="20"/>
          <w:szCs w:val="20"/>
          <w:lang w:val="es-ES_tradnl"/>
        </w:rPr>
        <w:t xml:space="preserve">otros </w:t>
      </w:r>
      <w:r w:rsidR="009E2346" w:rsidRPr="00627045">
        <w:rPr>
          <w:rFonts w:asciiTheme="majorHAnsi" w:hAnsiTheme="majorHAnsi"/>
          <w:bCs/>
          <w:sz w:val="20"/>
          <w:szCs w:val="20"/>
          <w:lang w:val="es-ES_tradnl"/>
        </w:rPr>
        <w:t>diez</w:t>
      </w:r>
      <w:r w:rsidRPr="00627045">
        <w:rPr>
          <w:rFonts w:asciiTheme="majorHAnsi" w:hAnsiTheme="majorHAnsi"/>
          <w:bCs/>
          <w:sz w:val="20"/>
          <w:szCs w:val="20"/>
          <w:lang w:val="es-ES_tradnl"/>
        </w:rPr>
        <w:t xml:space="preserve"> funcionarios.</w:t>
      </w:r>
      <w:r w:rsidR="00F277B6" w:rsidRPr="00627045">
        <w:rPr>
          <w:rFonts w:asciiTheme="majorHAnsi" w:hAnsiTheme="majorHAnsi"/>
          <w:bCs/>
          <w:sz w:val="20"/>
          <w:szCs w:val="20"/>
          <w:lang w:val="es-ES_tradnl"/>
        </w:rPr>
        <w:t xml:space="preserve"> </w:t>
      </w:r>
      <w:r w:rsidR="00B8735D" w:rsidRPr="00627045">
        <w:rPr>
          <w:rFonts w:asciiTheme="majorHAnsi" w:hAnsiTheme="majorHAnsi"/>
          <w:bCs/>
          <w:sz w:val="20"/>
          <w:szCs w:val="20"/>
          <w:lang w:val="es-ES_tradnl"/>
        </w:rPr>
        <w:t>Indican que l</w:t>
      </w:r>
      <w:r w:rsidRPr="00627045">
        <w:rPr>
          <w:rFonts w:asciiTheme="majorHAnsi" w:hAnsiTheme="majorHAnsi"/>
          <w:bCs/>
          <w:sz w:val="20"/>
          <w:szCs w:val="20"/>
          <w:lang w:val="es-ES_tradnl"/>
        </w:rPr>
        <w:t xml:space="preserve">os sobrevivientes del DAS, CTI, </w:t>
      </w:r>
      <w:r w:rsidR="00B8735D" w:rsidRPr="00627045">
        <w:rPr>
          <w:rFonts w:asciiTheme="majorHAnsi" w:hAnsiTheme="majorHAnsi"/>
          <w:bCs/>
          <w:sz w:val="20"/>
          <w:szCs w:val="20"/>
          <w:lang w:val="es-ES_tradnl"/>
        </w:rPr>
        <w:t>la f</w:t>
      </w:r>
      <w:r w:rsidRPr="00627045">
        <w:rPr>
          <w:rFonts w:asciiTheme="majorHAnsi" w:hAnsiTheme="majorHAnsi"/>
          <w:bCs/>
          <w:sz w:val="20"/>
          <w:szCs w:val="20"/>
          <w:lang w:val="es-ES_tradnl"/>
        </w:rPr>
        <w:t xml:space="preserve">iscalía y </w:t>
      </w:r>
      <w:r w:rsidR="00B8735D" w:rsidRPr="00627045">
        <w:rPr>
          <w:rFonts w:asciiTheme="majorHAnsi" w:hAnsiTheme="majorHAnsi"/>
          <w:bCs/>
          <w:sz w:val="20"/>
          <w:szCs w:val="20"/>
          <w:lang w:val="es-ES_tradnl"/>
        </w:rPr>
        <w:t>la p</w:t>
      </w:r>
      <w:r w:rsidRPr="00627045">
        <w:rPr>
          <w:rFonts w:asciiTheme="majorHAnsi" w:hAnsiTheme="majorHAnsi"/>
          <w:bCs/>
          <w:sz w:val="20"/>
          <w:szCs w:val="20"/>
          <w:lang w:val="es-ES_tradnl"/>
        </w:rPr>
        <w:t xml:space="preserve">rocuraduría insistieron con sus superiores y </w:t>
      </w:r>
      <w:r w:rsidR="00B8735D" w:rsidRPr="00627045">
        <w:rPr>
          <w:rFonts w:asciiTheme="majorHAnsi" w:hAnsiTheme="majorHAnsi"/>
          <w:bCs/>
          <w:sz w:val="20"/>
          <w:szCs w:val="20"/>
          <w:lang w:val="es-ES_tradnl"/>
        </w:rPr>
        <w:t>é</w:t>
      </w:r>
      <w:r w:rsidRPr="00627045">
        <w:rPr>
          <w:rFonts w:asciiTheme="majorHAnsi" w:hAnsiTheme="majorHAnsi"/>
          <w:bCs/>
          <w:sz w:val="20"/>
          <w:szCs w:val="20"/>
          <w:lang w:val="es-ES_tradnl"/>
        </w:rPr>
        <w:t>stos a su vez con la VII Brigada</w:t>
      </w:r>
      <w:r w:rsidR="00B8735D" w:rsidRPr="00627045">
        <w:rPr>
          <w:rFonts w:asciiTheme="majorHAnsi" w:hAnsiTheme="majorHAnsi"/>
          <w:bCs/>
          <w:sz w:val="20"/>
          <w:szCs w:val="20"/>
          <w:lang w:val="es-ES_tradnl"/>
        </w:rPr>
        <w:t xml:space="preserve">, lo que derivó en </w:t>
      </w:r>
      <w:r w:rsidR="00057ECD" w:rsidRPr="00627045">
        <w:rPr>
          <w:rFonts w:asciiTheme="majorHAnsi" w:hAnsiTheme="majorHAnsi"/>
          <w:bCs/>
          <w:sz w:val="20"/>
          <w:szCs w:val="20"/>
          <w:lang w:val="es-ES_tradnl"/>
        </w:rPr>
        <w:t xml:space="preserve">la presencia de un avión de carga que sobrevoló </w:t>
      </w:r>
      <w:r w:rsidR="00B8735D" w:rsidRPr="00627045">
        <w:rPr>
          <w:rFonts w:asciiTheme="majorHAnsi" w:hAnsiTheme="majorHAnsi"/>
          <w:bCs/>
          <w:sz w:val="20"/>
          <w:szCs w:val="20"/>
          <w:lang w:val="es-ES_tradnl"/>
        </w:rPr>
        <w:t>a</w:t>
      </w:r>
      <w:r w:rsidRPr="00627045">
        <w:rPr>
          <w:rFonts w:asciiTheme="majorHAnsi" w:hAnsiTheme="majorHAnsi"/>
          <w:bCs/>
          <w:sz w:val="20"/>
          <w:szCs w:val="20"/>
          <w:lang w:val="es-ES_tradnl"/>
        </w:rPr>
        <w:t xml:space="preserve"> las 5</w:t>
      </w:r>
      <w:r w:rsidR="00057ECD" w:rsidRPr="00627045">
        <w:rPr>
          <w:rFonts w:asciiTheme="majorHAnsi" w:hAnsiTheme="majorHAnsi"/>
          <w:bCs/>
          <w:sz w:val="20"/>
          <w:szCs w:val="20"/>
          <w:lang w:val="es-ES_tradnl"/>
        </w:rPr>
        <w:t>:00</w:t>
      </w:r>
      <w:r w:rsidRPr="00627045">
        <w:rPr>
          <w:rFonts w:asciiTheme="majorHAnsi" w:hAnsiTheme="majorHAnsi"/>
          <w:bCs/>
          <w:sz w:val="20"/>
          <w:szCs w:val="20"/>
          <w:lang w:val="es-ES_tradnl"/>
        </w:rPr>
        <w:t xml:space="preserve"> p</w:t>
      </w:r>
      <w:r w:rsidR="00057ECD" w:rsidRPr="00627045">
        <w:rPr>
          <w:rFonts w:asciiTheme="majorHAnsi" w:hAnsiTheme="majorHAnsi"/>
          <w:bCs/>
          <w:sz w:val="20"/>
          <w:szCs w:val="20"/>
          <w:lang w:val="es-ES_tradnl"/>
        </w:rPr>
        <w:t>.</w:t>
      </w:r>
      <w:r w:rsidRPr="00627045">
        <w:rPr>
          <w:rFonts w:asciiTheme="majorHAnsi" w:hAnsiTheme="majorHAnsi"/>
          <w:bCs/>
          <w:sz w:val="20"/>
          <w:szCs w:val="20"/>
          <w:lang w:val="es-ES_tradnl"/>
        </w:rPr>
        <w:t>m</w:t>
      </w:r>
      <w:r w:rsidR="00057ECD" w:rsidRPr="00627045">
        <w:rPr>
          <w:rFonts w:asciiTheme="majorHAnsi" w:hAnsiTheme="majorHAnsi"/>
          <w:bCs/>
          <w:sz w:val="20"/>
          <w:szCs w:val="20"/>
          <w:lang w:val="es-ES_tradnl"/>
        </w:rPr>
        <w:t>.</w:t>
      </w:r>
      <w:r w:rsidRPr="00627045">
        <w:rPr>
          <w:rFonts w:asciiTheme="majorHAnsi" w:hAnsiTheme="majorHAnsi"/>
          <w:bCs/>
          <w:sz w:val="20"/>
          <w:szCs w:val="20"/>
          <w:lang w:val="es-ES_tradnl"/>
        </w:rPr>
        <w:t xml:space="preserve"> el área con propósito de disuasión, pero sin repeler el ataque. El</w:t>
      </w:r>
      <w:r w:rsidR="00057ECD" w:rsidRPr="00627045">
        <w:rPr>
          <w:rFonts w:asciiTheme="majorHAnsi" w:hAnsiTheme="majorHAnsi"/>
          <w:bCs/>
          <w:sz w:val="20"/>
          <w:szCs w:val="20"/>
          <w:lang w:val="es-ES_tradnl"/>
        </w:rPr>
        <w:t>lo habría generado que el</w:t>
      </w:r>
      <w:r w:rsidRPr="00627045">
        <w:rPr>
          <w:rFonts w:asciiTheme="majorHAnsi" w:hAnsiTheme="majorHAnsi"/>
          <w:bCs/>
          <w:sz w:val="20"/>
          <w:szCs w:val="20"/>
          <w:lang w:val="es-ES_tradnl"/>
        </w:rPr>
        <w:t xml:space="preserve"> grupo paramilitar se repleg</w:t>
      </w:r>
      <w:r w:rsidR="00057ECD" w:rsidRPr="00627045">
        <w:rPr>
          <w:rFonts w:asciiTheme="majorHAnsi" w:hAnsiTheme="majorHAnsi"/>
          <w:bCs/>
          <w:sz w:val="20"/>
          <w:szCs w:val="20"/>
          <w:lang w:val="es-ES_tradnl"/>
        </w:rPr>
        <w:t>ara</w:t>
      </w:r>
      <w:r w:rsidRPr="00627045">
        <w:rPr>
          <w:rFonts w:asciiTheme="majorHAnsi" w:hAnsiTheme="majorHAnsi"/>
          <w:bCs/>
          <w:sz w:val="20"/>
          <w:szCs w:val="20"/>
          <w:lang w:val="es-ES_tradnl"/>
        </w:rPr>
        <w:t xml:space="preserve"> y un grupo de los funcionarios pud</w:t>
      </w:r>
      <w:r w:rsidR="00391D5A" w:rsidRPr="00627045">
        <w:rPr>
          <w:rFonts w:asciiTheme="majorHAnsi" w:hAnsiTheme="majorHAnsi"/>
          <w:bCs/>
          <w:sz w:val="20"/>
          <w:szCs w:val="20"/>
          <w:lang w:val="es-ES_tradnl"/>
        </w:rPr>
        <w:t>iera</w:t>
      </w:r>
      <w:r w:rsidRPr="00627045">
        <w:rPr>
          <w:rFonts w:asciiTheme="majorHAnsi" w:hAnsiTheme="majorHAnsi"/>
          <w:bCs/>
          <w:sz w:val="20"/>
          <w:szCs w:val="20"/>
          <w:lang w:val="es-ES_tradnl"/>
        </w:rPr>
        <w:t xml:space="preserve"> salvaguardar su vida.</w:t>
      </w:r>
    </w:p>
    <w:p w14:paraId="41DCC43B" w14:textId="445F6300" w:rsidR="00625BFC" w:rsidRPr="00627045" w:rsidRDefault="00CB4C72" w:rsidP="002F203C">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bCs/>
          <w:sz w:val="20"/>
          <w:szCs w:val="20"/>
          <w:lang w:val="es-ES_tradnl"/>
        </w:rPr>
        <w:lastRenderedPageBreak/>
        <w:t xml:space="preserve">Con respecto a la atención de los heridos, </w:t>
      </w:r>
      <w:r w:rsidR="00B92D54" w:rsidRPr="00627045">
        <w:rPr>
          <w:rFonts w:asciiTheme="majorHAnsi" w:hAnsiTheme="majorHAnsi"/>
          <w:bCs/>
          <w:sz w:val="20"/>
          <w:szCs w:val="20"/>
          <w:lang w:val="es-ES_tradnl"/>
        </w:rPr>
        <w:t xml:space="preserve">la parte peticionaria enfatiza que pese a la gravedad de la situación en la que más de </w:t>
      </w:r>
      <w:r w:rsidR="00A176BB" w:rsidRPr="00627045">
        <w:rPr>
          <w:rFonts w:asciiTheme="majorHAnsi" w:hAnsiTheme="majorHAnsi"/>
          <w:bCs/>
          <w:sz w:val="20"/>
          <w:szCs w:val="20"/>
          <w:lang w:val="es-ES_tradnl"/>
        </w:rPr>
        <w:t>veinte</w:t>
      </w:r>
      <w:r w:rsidR="00B92D54" w:rsidRPr="00627045">
        <w:rPr>
          <w:rFonts w:asciiTheme="majorHAnsi" w:hAnsiTheme="majorHAnsi"/>
          <w:bCs/>
          <w:sz w:val="20"/>
          <w:szCs w:val="20"/>
          <w:lang w:val="es-ES_tradnl"/>
        </w:rPr>
        <w:t xml:space="preserve"> funcionarios resultaron heridos, ese día no llegó el apoyo y sólo hasta el día siguiente a las 3:00 a.m. arribó una patrulla terrestre a cargo del capitán Damián </w:t>
      </w:r>
      <w:r w:rsidR="00C1673B" w:rsidRPr="00627045">
        <w:rPr>
          <w:rFonts w:asciiTheme="majorHAnsi" w:hAnsiTheme="majorHAnsi"/>
          <w:bCs/>
          <w:sz w:val="20"/>
          <w:szCs w:val="20"/>
          <w:lang w:val="es-ES_tradnl"/>
        </w:rPr>
        <w:t>Aníbal</w:t>
      </w:r>
      <w:r w:rsidR="00B92D54" w:rsidRPr="00627045">
        <w:rPr>
          <w:rFonts w:asciiTheme="majorHAnsi" w:hAnsiTheme="majorHAnsi"/>
          <w:bCs/>
          <w:sz w:val="20"/>
          <w:szCs w:val="20"/>
          <w:lang w:val="es-ES_tradnl"/>
        </w:rPr>
        <w:t xml:space="preserve"> Peña Navarro, quien coordinó la atención de los heridos y a las 7:00 a.m., llegó un helicóptero con el fin de evacuar a los heridos y llevarlos a Bogotá y Villavicencio, y a los cadáveres a la Base Aérea de Apiay en donde se realizaron los respectivos levantamientos.</w:t>
      </w:r>
    </w:p>
    <w:p w14:paraId="64724506" w14:textId="25E388E8" w:rsidR="00861BC6" w:rsidRPr="00627045" w:rsidRDefault="001B10C1" w:rsidP="002F203C">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bCs/>
          <w:sz w:val="20"/>
          <w:szCs w:val="20"/>
          <w:lang w:val="es-ES_tradnl"/>
        </w:rPr>
        <w:t xml:space="preserve">Sobre la investigación de los hechos, la parte peticionaria reseña que se inició una investigación de oficio tanto en la jurisdicción penal militar como en la </w:t>
      </w:r>
      <w:r w:rsidR="006A6AEE" w:rsidRPr="00627045">
        <w:rPr>
          <w:rFonts w:asciiTheme="majorHAnsi" w:hAnsiTheme="majorHAnsi"/>
          <w:bCs/>
          <w:sz w:val="20"/>
          <w:szCs w:val="20"/>
          <w:lang w:val="es-ES_tradnl"/>
        </w:rPr>
        <w:t xml:space="preserve">justicia </w:t>
      </w:r>
      <w:r w:rsidRPr="00627045">
        <w:rPr>
          <w:rFonts w:asciiTheme="majorHAnsi" w:hAnsiTheme="majorHAnsi"/>
          <w:bCs/>
          <w:sz w:val="20"/>
          <w:szCs w:val="20"/>
          <w:lang w:val="es-ES_tradnl"/>
        </w:rPr>
        <w:t xml:space="preserve">ordinaria. </w:t>
      </w:r>
      <w:r w:rsidR="006A6AEE" w:rsidRPr="00627045">
        <w:rPr>
          <w:rFonts w:asciiTheme="majorHAnsi" w:hAnsiTheme="majorHAnsi"/>
          <w:bCs/>
          <w:sz w:val="20"/>
          <w:szCs w:val="20"/>
          <w:lang w:val="es-ES_tradnl"/>
        </w:rPr>
        <w:t xml:space="preserve">Refiere que la primera se adelantó por los delitos de homicidio y omisión de apoyo </w:t>
      </w:r>
      <w:r w:rsidR="00827CAF" w:rsidRPr="00627045">
        <w:rPr>
          <w:rFonts w:asciiTheme="majorHAnsi" w:hAnsiTheme="majorHAnsi"/>
          <w:bCs/>
          <w:sz w:val="20"/>
          <w:szCs w:val="20"/>
          <w:lang w:val="es-ES_tradnl"/>
        </w:rPr>
        <w:t xml:space="preserve">en </w:t>
      </w:r>
      <w:r w:rsidR="006A6AEE" w:rsidRPr="00627045">
        <w:rPr>
          <w:rFonts w:asciiTheme="majorHAnsi" w:hAnsiTheme="majorHAnsi"/>
          <w:bCs/>
          <w:sz w:val="20"/>
          <w:szCs w:val="20"/>
          <w:lang w:val="es-ES_tradnl"/>
        </w:rPr>
        <w:t xml:space="preserve">contra </w:t>
      </w:r>
      <w:r w:rsidR="00827CAF" w:rsidRPr="00627045">
        <w:rPr>
          <w:rFonts w:asciiTheme="majorHAnsi" w:hAnsiTheme="majorHAnsi"/>
          <w:bCs/>
          <w:sz w:val="20"/>
          <w:szCs w:val="20"/>
          <w:lang w:val="es-ES_tradnl"/>
        </w:rPr>
        <w:t>d</w:t>
      </w:r>
      <w:r w:rsidR="006A6AEE" w:rsidRPr="00627045">
        <w:rPr>
          <w:rFonts w:asciiTheme="majorHAnsi" w:hAnsiTheme="majorHAnsi"/>
          <w:bCs/>
          <w:sz w:val="20"/>
          <w:szCs w:val="20"/>
          <w:lang w:val="es-ES_tradnl"/>
        </w:rPr>
        <w:t xml:space="preserve">el personal </w:t>
      </w:r>
      <w:r w:rsidR="00827CAF" w:rsidRPr="00627045">
        <w:rPr>
          <w:rFonts w:asciiTheme="majorHAnsi" w:hAnsiTheme="majorHAnsi"/>
          <w:bCs/>
          <w:sz w:val="20"/>
          <w:szCs w:val="20"/>
          <w:lang w:val="es-ES_tradnl"/>
        </w:rPr>
        <w:t xml:space="preserve">militar de la Cuarta </w:t>
      </w:r>
      <w:r w:rsidR="006C766A" w:rsidRPr="00627045">
        <w:rPr>
          <w:rFonts w:asciiTheme="majorHAnsi" w:hAnsiTheme="majorHAnsi"/>
          <w:bCs/>
          <w:sz w:val="20"/>
          <w:szCs w:val="20"/>
          <w:lang w:val="es-ES_tradnl"/>
        </w:rPr>
        <w:t>División</w:t>
      </w:r>
      <w:r w:rsidR="00827CAF" w:rsidRPr="00627045">
        <w:rPr>
          <w:rFonts w:asciiTheme="majorHAnsi" w:hAnsiTheme="majorHAnsi"/>
          <w:bCs/>
          <w:sz w:val="20"/>
          <w:szCs w:val="20"/>
          <w:lang w:val="es-ES_tradnl"/>
        </w:rPr>
        <w:t xml:space="preserve"> y Séptima Brigada, pero el proceso culminó con </w:t>
      </w:r>
      <w:r w:rsidR="00632BA5" w:rsidRPr="00627045">
        <w:rPr>
          <w:rFonts w:asciiTheme="majorHAnsi" w:hAnsiTheme="majorHAnsi"/>
          <w:bCs/>
          <w:sz w:val="20"/>
          <w:szCs w:val="20"/>
          <w:lang w:val="es-ES_tradnl"/>
        </w:rPr>
        <w:t xml:space="preserve">la </w:t>
      </w:r>
      <w:r w:rsidR="00827CAF" w:rsidRPr="00627045">
        <w:rPr>
          <w:rFonts w:asciiTheme="majorHAnsi" w:hAnsiTheme="majorHAnsi"/>
          <w:bCs/>
          <w:sz w:val="20"/>
          <w:szCs w:val="20"/>
          <w:lang w:val="es-ES_tradnl"/>
        </w:rPr>
        <w:t xml:space="preserve">decisión </w:t>
      </w:r>
      <w:r w:rsidR="00632BA5" w:rsidRPr="00627045">
        <w:rPr>
          <w:rFonts w:asciiTheme="majorHAnsi" w:hAnsiTheme="majorHAnsi"/>
          <w:bCs/>
          <w:sz w:val="20"/>
          <w:szCs w:val="20"/>
          <w:lang w:val="es-ES_tradnl"/>
        </w:rPr>
        <w:t xml:space="preserve">de abstención de apertura de investigación el 4 de febrero de 1999. Por otra parte, relata que </w:t>
      </w:r>
      <w:r w:rsidR="000F4A54" w:rsidRPr="00627045">
        <w:rPr>
          <w:rFonts w:asciiTheme="majorHAnsi" w:hAnsiTheme="majorHAnsi"/>
          <w:bCs/>
          <w:sz w:val="20"/>
          <w:szCs w:val="20"/>
          <w:lang w:val="es-ES_tradnl"/>
        </w:rPr>
        <w:t xml:space="preserve">la investigación </w:t>
      </w:r>
      <w:r w:rsidR="00632BA5" w:rsidRPr="00627045">
        <w:rPr>
          <w:rFonts w:asciiTheme="majorHAnsi" w:hAnsiTheme="majorHAnsi"/>
          <w:bCs/>
          <w:sz w:val="20"/>
          <w:szCs w:val="20"/>
          <w:lang w:val="es-ES_tradnl"/>
        </w:rPr>
        <w:t>ante la jurisdicción ordinaria</w:t>
      </w:r>
      <w:r w:rsidR="000F4A54" w:rsidRPr="00627045">
        <w:rPr>
          <w:rFonts w:asciiTheme="majorHAnsi" w:hAnsiTheme="majorHAnsi"/>
          <w:bCs/>
          <w:sz w:val="20"/>
          <w:szCs w:val="20"/>
          <w:lang w:val="es-ES_tradnl"/>
        </w:rPr>
        <w:t xml:space="preserve"> se tramitó contra los miembros de</w:t>
      </w:r>
      <w:r w:rsidR="00694170" w:rsidRPr="00627045">
        <w:rPr>
          <w:rFonts w:asciiTheme="majorHAnsi" w:hAnsiTheme="majorHAnsi"/>
          <w:bCs/>
          <w:sz w:val="20"/>
          <w:szCs w:val="20"/>
          <w:lang w:val="es-ES_tradnl"/>
        </w:rPr>
        <w:t xml:space="preserve">l grupo paramilitar ‘Los Buitragueños’, en particular contra sus jefes identificados como Héctor Buitrago y sus dos hijos de alias </w:t>
      </w:r>
      <w:r w:rsidR="006C2A11" w:rsidRPr="00627045">
        <w:rPr>
          <w:rFonts w:asciiTheme="majorHAnsi" w:hAnsiTheme="majorHAnsi"/>
          <w:bCs/>
          <w:sz w:val="20"/>
          <w:szCs w:val="20"/>
          <w:lang w:val="es-ES_tradnl"/>
        </w:rPr>
        <w:t>‘Caballo’ y ‘Martín Llanos’.</w:t>
      </w:r>
      <w:r w:rsidR="00CA0463" w:rsidRPr="00627045">
        <w:rPr>
          <w:rFonts w:asciiTheme="majorHAnsi" w:hAnsiTheme="majorHAnsi"/>
          <w:bCs/>
          <w:sz w:val="20"/>
          <w:szCs w:val="20"/>
          <w:lang w:val="es-ES_tradnl"/>
        </w:rPr>
        <w:t xml:space="preserve"> Refiere que los tres fueron declarados reos ausentes y fueron condenados a penas de 40 y 38 años de prisión en abril de 1999. </w:t>
      </w:r>
      <w:r w:rsidR="00D14A57" w:rsidRPr="00627045">
        <w:rPr>
          <w:rFonts w:asciiTheme="majorHAnsi" w:hAnsiTheme="majorHAnsi"/>
          <w:bCs/>
          <w:sz w:val="20"/>
          <w:szCs w:val="20"/>
          <w:lang w:val="es-ES_tradnl"/>
        </w:rPr>
        <w:t>La parte peticionaria enfatiza que, a pesar de la desmovilización colectiva de las AUC realizada en 2005, la estructura ‘Los Buitragueños’</w:t>
      </w:r>
      <w:r w:rsidR="00E60487" w:rsidRPr="00627045">
        <w:rPr>
          <w:rFonts w:asciiTheme="majorHAnsi" w:hAnsiTheme="majorHAnsi"/>
          <w:bCs/>
          <w:sz w:val="20"/>
          <w:szCs w:val="20"/>
          <w:lang w:val="es-ES_tradnl"/>
        </w:rPr>
        <w:t xml:space="preserve"> no participó en dicha desmovilización, por lo cual, ningún atacante se sometió a la Jurisdicción de Justicia y Paz.</w:t>
      </w:r>
    </w:p>
    <w:p w14:paraId="26992372" w14:textId="2C6831E3" w:rsidR="00E60487" w:rsidRPr="00627045" w:rsidRDefault="009B119E" w:rsidP="002F203C">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bCs/>
          <w:sz w:val="20"/>
          <w:szCs w:val="20"/>
          <w:lang w:val="es-ES_tradnl"/>
        </w:rPr>
        <w:t>Señalan que en 20</w:t>
      </w:r>
      <w:r w:rsidR="00565AD4" w:rsidRPr="00627045">
        <w:rPr>
          <w:rFonts w:asciiTheme="majorHAnsi" w:hAnsiTheme="majorHAnsi"/>
          <w:bCs/>
          <w:sz w:val="20"/>
          <w:szCs w:val="20"/>
          <w:lang w:val="es-ES_tradnl"/>
        </w:rPr>
        <w:t>1</w:t>
      </w:r>
      <w:r w:rsidRPr="00627045">
        <w:rPr>
          <w:rFonts w:asciiTheme="majorHAnsi" w:hAnsiTheme="majorHAnsi"/>
          <w:bCs/>
          <w:sz w:val="20"/>
          <w:szCs w:val="20"/>
          <w:lang w:val="es-ES_tradnl"/>
        </w:rPr>
        <w:t>1 fueron capturados Héctor Buitrago y sus hij</w:t>
      </w:r>
      <w:r w:rsidR="006105D2" w:rsidRPr="00627045">
        <w:rPr>
          <w:rFonts w:asciiTheme="majorHAnsi" w:hAnsiTheme="majorHAnsi"/>
          <w:bCs/>
          <w:sz w:val="20"/>
          <w:szCs w:val="20"/>
          <w:lang w:val="es-ES_tradnl"/>
        </w:rPr>
        <w:t>o</w:t>
      </w:r>
      <w:r w:rsidRPr="00627045">
        <w:rPr>
          <w:rFonts w:asciiTheme="majorHAnsi" w:hAnsiTheme="majorHAnsi"/>
          <w:bCs/>
          <w:sz w:val="20"/>
          <w:szCs w:val="20"/>
          <w:lang w:val="es-ES_tradnl"/>
        </w:rPr>
        <w:t>s</w:t>
      </w:r>
      <w:r w:rsidR="006105D2" w:rsidRPr="00627045">
        <w:rPr>
          <w:rFonts w:asciiTheme="majorHAnsi" w:hAnsiTheme="majorHAnsi"/>
          <w:bCs/>
          <w:sz w:val="20"/>
          <w:szCs w:val="20"/>
          <w:lang w:val="es-ES_tradnl"/>
        </w:rPr>
        <w:t xml:space="preserve">; sin embargo, aducen que </w:t>
      </w:r>
      <w:r w:rsidR="00EC5B53" w:rsidRPr="00627045">
        <w:rPr>
          <w:rFonts w:asciiTheme="majorHAnsi" w:hAnsiTheme="majorHAnsi"/>
          <w:bCs/>
          <w:sz w:val="20"/>
          <w:szCs w:val="20"/>
          <w:lang w:val="es-ES_tradnl"/>
        </w:rPr>
        <w:t xml:space="preserve">ningún otro de los </w:t>
      </w:r>
      <w:r w:rsidR="005F4ED0" w:rsidRPr="00627045">
        <w:rPr>
          <w:rFonts w:asciiTheme="majorHAnsi" w:hAnsiTheme="majorHAnsi"/>
          <w:bCs/>
          <w:sz w:val="20"/>
          <w:szCs w:val="20"/>
          <w:lang w:val="es-ES_tradnl"/>
        </w:rPr>
        <w:t>ciento cincuenta</w:t>
      </w:r>
      <w:r w:rsidR="00EC5B53" w:rsidRPr="00627045">
        <w:rPr>
          <w:rFonts w:asciiTheme="majorHAnsi" w:hAnsiTheme="majorHAnsi"/>
          <w:bCs/>
          <w:sz w:val="20"/>
          <w:szCs w:val="20"/>
          <w:lang w:val="es-ES_tradnl"/>
        </w:rPr>
        <w:t xml:space="preserve"> miembros del grupo paramilitar ha sido identificado por la fiscalía.</w:t>
      </w:r>
      <w:r w:rsidR="00EF2000" w:rsidRPr="00627045">
        <w:rPr>
          <w:rFonts w:asciiTheme="majorHAnsi" w:hAnsiTheme="majorHAnsi"/>
          <w:bCs/>
          <w:sz w:val="20"/>
          <w:szCs w:val="20"/>
          <w:lang w:val="es-ES_tradnl"/>
        </w:rPr>
        <w:t xml:space="preserve"> Reseñan que a finales de 2011 las</w:t>
      </w:r>
      <w:r w:rsidR="00924683" w:rsidRPr="00627045">
        <w:rPr>
          <w:rFonts w:asciiTheme="majorHAnsi" w:hAnsiTheme="majorHAnsi"/>
          <w:bCs/>
          <w:sz w:val="20"/>
          <w:szCs w:val="20"/>
          <w:lang w:val="es-ES_tradnl"/>
        </w:rPr>
        <w:t xml:space="preserve"> presuntas víctimas y sus familiares se constituyeron en el proceso penal como parte civil y rindieron sus testimonios. A raíz de ello, </w:t>
      </w:r>
      <w:r w:rsidR="004505E0" w:rsidRPr="00627045">
        <w:rPr>
          <w:rFonts w:asciiTheme="majorHAnsi" w:hAnsiTheme="majorHAnsi"/>
          <w:bCs/>
          <w:sz w:val="20"/>
          <w:szCs w:val="20"/>
          <w:lang w:val="es-ES_tradnl"/>
        </w:rPr>
        <w:t>el</w:t>
      </w:r>
      <w:r w:rsidR="00924683" w:rsidRPr="00627045">
        <w:rPr>
          <w:rFonts w:asciiTheme="majorHAnsi" w:hAnsiTheme="majorHAnsi"/>
          <w:bCs/>
          <w:sz w:val="20"/>
          <w:szCs w:val="20"/>
          <w:lang w:val="es-ES_tradnl"/>
        </w:rPr>
        <w:t xml:space="preserve"> 4 de octubre de 2011 la fiscalía 101 de Derechos Humanos vinculó mediante indagatoria al Brigadier General Jaime Humberto Uscátegui Ramírez y al coronel Luis Felipe Molano Díaz. </w:t>
      </w:r>
      <w:r w:rsidR="00BB07C2" w:rsidRPr="00627045">
        <w:rPr>
          <w:rFonts w:asciiTheme="majorHAnsi" w:hAnsiTheme="majorHAnsi"/>
          <w:bCs/>
          <w:sz w:val="20"/>
          <w:szCs w:val="20"/>
          <w:lang w:val="es-ES_tradnl"/>
        </w:rPr>
        <w:t xml:space="preserve">Esta fue la última información de la </w:t>
      </w:r>
      <w:r w:rsidR="00D15302">
        <w:rPr>
          <w:rFonts w:asciiTheme="majorHAnsi" w:hAnsiTheme="majorHAnsi"/>
          <w:bCs/>
          <w:sz w:val="20"/>
          <w:szCs w:val="20"/>
          <w:lang w:val="es-ES_tradnl"/>
        </w:rPr>
        <w:t xml:space="preserve">que </w:t>
      </w:r>
      <w:r w:rsidR="00BB07C2" w:rsidRPr="00627045">
        <w:rPr>
          <w:rFonts w:asciiTheme="majorHAnsi" w:hAnsiTheme="majorHAnsi"/>
          <w:bCs/>
          <w:sz w:val="20"/>
          <w:szCs w:val="20"/>
          <w:lang w:val="es-ES_tradnl"/>
        </w:rPr>
        <w:t xml:space="preserve">dispuso la parte peticionaria sobre el proceso penal. </w:t>
      </w:r>
      <w:r w:rsidR="00F639F2" w:rsidRPr="00627045">
        <w:rPr>
          <w:rFonts w:asciiTheme="majorHAnsi" w:hAnsiTheme="majorHAnsi"/>
          <w:bCs/>
          <w:sz w:val="20"/>
          <w:szCs w:val="20"/>
          <w:lang w:val="es-ES_tradnl"/>
        </w:rPr>
        <w:t>En consecuencia, invoca la excepción de retardo injustificado en la resolución de los recursos internos, prevista en el artículo 46.2.c) de la Convención, en vista de que</w:t>
      </w:r>
      <w:r w:rsidR="00D65EF5" w:rsidRPr="00627045">
        <w:rPr>
          <w:rFonts w:asciiTheme="majorHAnsi" w:hAnsiTheme="majorHAnsi"/>
          <w:bCs/>
          <w:sz w:val="20"/>
          <w:szCs w:val="20"/>
          <w:lang w:val="es-ES_tradnl"/>
        </w:rPr>
        <w:t>,</w:t>
      </w:r>
      <w:r w:rsidR="00F639F2" w:rsidRPr="00627045">
        <w:rPr>
          <w:rFonts w:asciiTheme="majorHAnsi" w:hAnsiTheme="majorHAnsi"/>
          <w:bCs/>
          <w:sz w:val="20"/>
          <w:szCs w:val="20"/>
          <w:lang w:val="es-ES_tradnl"/>
        </w:rPr>
        <w:t xml:space="preserve"> transcurridos 15 años de los sucesos, el Estado no ha condenado a los demás autores de la masacre y la emboscada, y ha tardado </w:t>
      </w:r>
      <w:r w:rsidR="00B60359" w:rsidRPr="00627045">
        <w:rPr>
          <w:rFonts w:asciiTheme="majorHAnsi" w:hAnsiTheme="majorHAnsi"/>
          <w:bCs/>
          <w:sz w:val="20"/>
          <w:szCs w:val="20"/>
          <w:lang w:val="es-ES_tradnl"/>
        </w:rPr>
        <w:t>mucho en llevar a cabo el proceso contra los agentes estatales posiblemente involucrados.</w:t>
      </w:r>
    </w:p>
    <w:p w14:paraId="0AA28979" w14:textId="2AC4C364" w:rsidR="00496052" w:rsidRPr="00627045" w:rsidRDefault="00496052" w:rsidP="002F203C">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bCs/>
          <w:sz w:val="20"/>
          <w:szCs w:val="20"/>
          <w:lang w:val="es-ES_tradnl"/>
        </w:rPr>
        <w:t xml:space="preserve">Por otro lado, </w:t>
      </w:r>
      <w:r w:rsidR="00D65EF5" w:rsidRPr="00627045">
        <w:rPr>
          <w:rFonts w:asciiTheme="majorHAnsi" w:hAnsiTheme="majorHAnsi"/>
          <w:bCs/>
          <w:sz w:val="20"/>
          <w:szCs w:val="20"/>
          <w:lang w:val="es-ES_tradnl"/>
        </w:rPr>
        <w:t xml:space="preserve">la parte peticionaria informa que varios grupos de familiares de las presuntas víctimas acudieron a la jurisdicción contencioso-administrativa para reclamar los daños y perjuicios ocasionados por la omisión de apoyo en varias demandas </w:t>
      </w:r>
      <w:r w:rsidR="008525C7" w:rsidRPr="00627045">
        <w:rPr>
          <w:rFonts w:asciiTheme="majorHAnsi" w:hAnsiTheme="majorHAnsi"/>
          <w:bCs/>
          <w:sz w:val="20"/>
          <w:szCs w:val="20"/>
          <w:lang w:val="es-ES_tradnl"/>
        </w:rPr>
        <w:t xml:space="preserve">de reparación directa </w:t>
      </w:r>
      <w:r w:rsidR="00D65EF5" w:rsidRPr="00627045">
        <w:rPr>
          <w:rFonts w:asciiTheme="majorHAnsi" w:hAnsiTheme="majorHAnsi"/>
          <w:bCs/>
          <w:sz w:val="20"/>
          <w:szCs w:val="20"/>
          <w:lang w:val="es-ES_tradnl"/>
        </w:rPr>
        <w:t>presentadas contra la Nación.</w:t>
      </w:r>
      <w:r w:rsidR="008129F9" w:rsidRPr="00627045">
        <w:rPr>
          <w:rFonts w:asciiTheme="majorHAnsi" w:hAnsiTheme="majorHAnsi"/>
          <w:bCs/>
          <w:sz w:val="20"/>
          <w:szCs w:val="20"/>
          <w:lang w:val="es-ES_tradnl"/>
        </w:rPr>
        <w:t xml:space="preserve"> Señalan que en 2003 el Tribunal Administrativo del Meta negó las pretensiones de la demanda de los familiares de</w:t>
      </w:r>
      <w:r w:rsidR="008D0119" w:rsidRPr="00627045">
        <w:rPr>
          <w:rFonts w:asciiTheme="majorHAnsi" w:hAnsiTheme="majorHAnsi"/>
          <w:bCs/>
          <w:sz w:val="20"/>
          <w:szCs w:val="20"/>
          <w:lang w:val="es-ES_tradnl"/>
        </w:rPr>
        <w:t>l conductor fallecido Aldemar Manchola Ramos y de</w:t>
      </w:r>
      <w:r w:rsidR="00C93EC7" w:rsidRPr="00627045">
        <w:rPr>
          <w:rFonts w:asciiTheme="majorHAnsi" w:hAnsiTheme="majorHAnsi"/>
          <w:bCs/>
          <w:sz w:val="20"/>
          <w:szCs w:val="20"/>
          <w:lang w:val="es-ES_tradnl"/>
        </w:rPr>
        <w:t>l investigador que resultó herido,</w:t>
      </w:r>
      <w:r w:rsidR="008D0119" w:rsidRPr="00627045">
        <w:rPr>
          <w:rFonts w:asciiTheme="majorHAnsi" w:hAnsiTheme="majorHAnsi"/>
          <w:bCs/>
          <w:sz w:val="20"/>
          <w:szCs w:val="20"/>
          <w:lang w:val="es-ES_tradnl"/>
        </w:rPr>
        <w:t xml:space="preserve"> Fernando Sierra Zambrano y su familia.</w:t>
      </w:r>
      <w:r w:rsidR="00C93EC7" w:rsidRPr="00627045">
        <w:rPr>
          <w:rFonts w:asciiTheme="majorHAnsi" w:hAnsiTheme="majorHAnsi"/>
          <w:bCs/>
          <w:sz w:val="20"/>
          <w:szCs w:val="20"/>
          <w:lang w:val="es-ES_tradnl"/>
        </w:rPr>
        <w:t xml:space="preserve"> </w:t>
      </w:r>
      <w:r w:rsidR="00AB759F" w:rsidRPr="00627045">
        <w:rPr>
          <w:rFonts w:asciiTheme="majorHAnsi" w:hAnsiTheme="majorHAnsi"/>
          <w:bCs/>
          <w:sz w:val="20"/>
          <w:szCs w:val="20"/>
          <w:lang w:val="es-ES_tradnl"/>
        </w:rPr>
        <w:t xml:space="preserve">En el mismo sentido falló el Tribunal Administrativo de Cundinamarca </w:t>
      </w:r>
      <w:r w:rsidR="00467E4D" w:rsidRPr="00627045">
        <w:rPr>
          <w:rFonts w:asciiTheme="majorHAnsi" w:hAnsiTheme="majorHAnsi"/>
          <w:bCs/>
          <w:sz w:val="20"/>
          <w:szCs w:val="20"/>
          <w:lang w:val="es-ES_tradnl"/>
        </w:rPr>
        <w:t xml:space="preserve">las demandas </w:t>
      </w:r>
      <w:r w:rsidR="004944A9" w:rsidRPr="00627045">
        <w:rPr>
          <w:rFonts w:asciiTheme="majorHAnsi" w:hAnsiTheme="majorHAnsi"/>
          <w:bCs/>
          <w:sz w:val="20"/>
          <w:szCs w:val="20"/>
          <w:lang w:val="es-ES_tradnl"/>
        </w:rPr>
        <w:t xml:space="preserve">acumuladas de </w:t>
      </w:r>
      <w:r w:rsidR="00467E4D" w:rsidRPr="00627045">
        <w:rPr>
          <w:rFonts w:asciiTheme="majorHAnsi" w:hAnsiTheme="majorHAnsi"/>
          <w:bCs/>
          <w:sz w:val="20"/>
          <w:szCs w:val="20"/>
          <w:lang w:val="es-ES_tradnl"/>
        </w:rPr>
        <w:t xml:space="preserve">las familias de los funcionarios fallecidos José Noel Nossa Díaz, </w:t>
      </w:r>
      <w:r w:rsidR="007719C5" w:rsidRPr="00627045">
        <w:rPr>
          <w:rFonts w:asciiTheme="majorHAnsi" w:hAnsiTheme="majorHAnsi"/>
          <w:bCs/>
          <w:sz w:val="20"/>
          <w:szCs w:val="20"/>
          <w:lang w:val="es-ES_tradnl"/>
        </w:rPr>
        <w:t xml:space="preserve">Otto Ruiz </w:t>
      </w:r>
      <w:r w:rsidR="004944A9" w:rsidRPr="00627045">
        <w:rPr>
          <w:rFonts w:asciiTheme="majorHAnsi" w:hAnsiTheme="majorHAnsi"/>
          <w:bCs/>
          <w:sz w:val="20"/>
          <w:szCs w:val="20"/>
          <w:lang w:val="es-ES_tradnl"/>
        </w:rPr>
        <w:t>Pérez</w:t>
      </w:r>
      <w:r w:rsidR="007719C5" w:rsidRPr="00627045">
        <w:rPr>
          <w:rFonts w:asciiTheme="majorHAnsi" w:hAnsiTheme="majorHAnsi"/>
          <w:bCs/>
          <w:sz w:val="20"/>
          <w:szCs w:val="20"/>
          <w:lang w:val="es-ES_tradnl"/>
        </w:rPr>
        <w:t xml:space="preserve">, </w:t>
      </w:r>
      <w:r w:rsidR="004944A9" w:rsidRPr="00627045">
        <w:rPr>
          <w:rFonts w:asciiTheme="majorHAnsi" w:hAnsiTheme="majorHAnsi"/>
          <w:bCs/>
          <w:sz w:val="20"/>
          <w:szCs w:val="20"/>
          <w:lang w:val="es-ES_tradnl"/>
        </w:rPr>
        <w:t>José</w:t>
      </w:r>
      <w:r w:rsidR="007719C5" w:rsidRPr="00627045">
        <w:rPr>
          <w:rFonts w:asciiTheme="majorHAnsi" w:hAnsiTheme="majorHAnsi"/>
          <w:bCs/>
          <w:sz w:val="20"/>
          <w:szCs w:val="20"/>
          <w:lang w:val="es-ES_tradnl"/>
        </w:rPr>
        <w:t xml:space="preserve"> Luis Castro Barón, Aldier Castro </w:t>
      </w:r>
      <w:r w:rsidR="004944A9" w:rsidRPr="00627045">
        <w:rPr>
          <w:rFonts w:asciiTheme="majorHAnsi" w:hAnsiTheme="majorHAnsi"/>
          <w:bCs/>
          <w:sz w:val="20"/>
          <w:szCs w:val="20"/>
          <w:lang w:val="es-ES_tradnl"/>
        </w:rPr>
        <w:t>Merchán</w:t>
      </w:r>
      <w:r w:rsidR="007719C5" w:rsidRPr="00627045">
        <w:rPr>
          <w:rFonts w:asciiTheme="majorHAnsi" w:hAnsiTheme="majorHAnsi"/>
          <w:bCs/>
          <w:sz w:val="20"/>
          <w:szCs w:val="20"/>
          <w:lang w:val="es-ES_tradnl"/>
        </w:rPr>
        <w:t>, Artidoro Vasallo</w:t>
      </w:r>
      <w:r w:rsidR="004944A9" w:rsidRPr="00627045">
        <w:rPr>
          <w:rFonts w:asciiTheme="majorHAnsi" w:hAnsiTheme="majorHAnsi"/>
          <w:bCs/>
          <w:sz w:val="20"/>
          <w:szCs w:val="20"/>
          <w:lang w:val="es-ES_tradnl"/>
        </w:rPr>
        <w:t xml:space="preserve"> y</w:t>
      </w:r>
      <w:r w:rsidR="007719C5" w:rsidRPr="00627045">
        <w:rPr>
          <w:rFonts w:asciiTheme="majorHAnsi" w:hAnsiTheme="majorHAnsi"/>
          <w:bCs/>
          <w:sz w:val="20"/>
          <w:szCs w:val="20"/>
          <w:lang w:val="es-ES_tradnl"/>
        </w:rPr>
        <w:t xml:space="preserve"> Jorge Giovanny Alfonso Arévalo</w:t>
      </w:r>
      <w:r w:rsidR="008578D9" w:rsidRPr="00627045">
        <w:rPr>
          <w:rFonts w:asciiTheme="majorHAnsi" w:hAnsiTheme="majorHAnsi"/>
          <w:bCs/>
          <w:sz w:val="20"/>
          <w:szCs w:val="20"/>
          <w:lang w:val="es-ES_tradnl"/>
        </w:rPr>
        <w:t>.</w:t>
      </w:r>
      <w:r w:rsidR="006C0C7C" w:rsidRPr="00627045">
        <w:rPr>
          <w:rFonts w:asciiTheme="majorHAnsi" w:hAnsiTheme="majorHAnsi"/>
          <w:bCs/>
          <w:sz w:val="20"/>
          <w:szCs w:val="20"/>
          <w:lang w:val="es-ES_tradnl"/>
        </w:rPr>
        <w:t xml:space="preserve"> Refieren que en 2005 y 2007 el Tribunal Administrativo del Meta condenó a la Nación por </w:t>
      </w:r>
      <w:r w:rsidR="000961D6" w:rsidRPr="00627045">
        <w:rPr>
          <w:rFonts w:asciiTheme="majorHAnsi" w:hAnsiTheme="majorHAnsi"/>
          <w:bCs/>
          <w:sz w:val="20"/>
          <w:szCs w:val="20"/>
          <w:lang w:val="es-ES_tradnl"/>
        </w:rPr>
        <w:t xml:space="preserve">el fallecimiento del investigador de la fiscalía Luis Fernando </w:t>
      </w:r>
      <w:r w:rsidR="00B221AA" w:rsidRPr="00627045">
        <w:rPr>
          <w:rFonts w:asciiTheme="majorHAnsi" w:hAnsiTheme="majorHAnsi"/>
          <w:bCs/>
          <w:sz w:val="20"/>
          <w:szCs w:val="20"/>
          <w:lang w:val="es-ES_tradnl"/>
        </w:rPr>
        <w:t>Vargas Jaimes y en 2007 también la condenó por el fallecimiento del fiscal Carlos Degly Cortés. Finalmente, refiere que el Consejo de Estado condenó en segunda instancia a la Nación en mayo de 2014, aunque no especifican en qué proceso.</w:t>
      </w:r>
    </w:p>
    <w:p w14:paraId="678D6FD9" w14:textId="534F9208" w:rsidR="005A43B2" w:rsidRPr="00627045" w:rsidRDefault="008E1024" w:rsidP="005A43B2">
      <w:pPr>
        <w:pStyle w:val="ListParagraph"/>
        <w:spacing w:before="240" w:after="240"/>
        <w:jc w:val="both"/>
        <w:rPr>
          <w:rFonts w:asciiTheme="majorHAnsi" w:hAnsiTheme="majorHAnsi"/>
          <w:bCs/>
          <w:i/>
          <w:iCs/>
          <w:sz w:val="20"/>
          <w:szCs w:val="20"/>
          <w:lang w:val="es-ES_tradnl"/>
        </w:rPr>
      </w:pPr>
      <w:r w:rsidRPr="00627045">
        <w:rPr>
          <w:rFonts w:asciiTheme="majorHAnsi" w:hAnsiTheme="majorHAnsi"/>
          <w:i/>
          <w:iCs/>
          <w:sz w:val="20"/>
          <w:szCs w:val="20"/>
          <w:lang w:val="es-ES_tradnl"/>
        </w:rPr>
        <w:t xml:space="preserve">El </w:t>
      </w:r>
      <w:r w:rsidR="005A43B2" w:rsidRPr="00627045">
        <w:rPr>
          <w:rFonts w:asciiTheme="majorHAnsi" w:hAnsiTheme="majorHAnsi"/>
          <w:i/>
          <w:iCs/>
          <w:sz w:val="20"/>
          <w:szCs w:val="20"/>
          <w:lang w:val="es-ES_tradnl"/>
        </w:rPr>
        <w:t>Estado</w:t>
      </w:r>
      <w:r w:rsidRPr="00627045">
        <w:rPr>
          <w:rFonts w:asciiTheme="majorHAnsi" w:hAnsiTheme="majorHAnsi"/>
          <w:i/>
          <w:iCs/>
          <w:sz w:val="20"/>
          <w:szCs w:val="20"/>
          <w:lang w:val="es-ES_tradnl"/>
        </w:rPr>
        <w:t xml:space="preserve"> colombiano</w:t>
      </w:r>
    </w:p>
    <w:p w14:paraId="147C99E4" w14:textId="4C82F164" w:rsidR="008364D5" w:rsidRPr="00627045" w:rsidRDefault="0058376C" w:rsidP="00325BFC">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sz w:val="20"/>
          <w:szCs w:val="20"/>
          <w:lang w:val="es-ES_tradnl"/>
        </w:rPr>
        <w:t>E</w:t>
      </w:r>
      <w:r w:rsidR="00B93D7F" w:rsidRPr="00627045">
        <w:rPr>
          <w:rFonts w:asciiTheme="majorHAnsi" w:hAnsiTheme="majorHAnsi"/>
          <w:sz w:val="20"/>
          <w:szCs w:val="20"/>
          <w:lang w:val="es-ES_tradnl"/>
        </w:rPr>
        <w:t>l Es</w:t>
      </w:r>
      <w:r w:rsidR="003F5154" w:rsidRPr="00627045">
        <w:rPr>
          <w:rFonts w:asciiTheme="majorHAnsi" w:hAnsiTheme="majorHAnsi"/>
          <w:sz w:val="20"/>
          <w:szCs w:val="20"/>
          <w:lang w:val="es-ES_tradnl"/>
        </w:rPr>
        <w:t xml:space="preserve">tado, </w:t>
      </w:r>
      <w:r w:rsidRPr="00627045">
        <w:rPr>
          <w:rFonts w:asciiTheme="majorHAnsi" w:hAnsiTheme="majorHAnsi"/>
          <w:sz w:val="20"/>
          <w:szCs w:val="20"/>
          <w:lang w:val="es-ES_tradnl"/>
        </w:rPr>
        <w:t xml:space="preserve">por su parte, </w:t>
      </w:r>
      <w:r w:rsidR="002777C4" w:rsidRPr="00627045">
        <w:rPr>
          <w:rFonts w:asciiTheme="majorHAnsi" w:hAnsiTheme="majorHAnsi"/>
          <w:sz w:val="20"/>
          <w:szCs w:val="20"/>
          <w:lang w:val="es-ES_tradnl"/>
        </w:rPr>
        <w:t>plantea que la presente petición es inadmisible por la falta de agotamiento de l</w:t>
      </w:r>
      <w:r w:rsidR="00325BFC" w:rsidRPr="00627045">
        <w:rPr>
          <w:rFonts w:asciiTheme="majorHAnsi" w:hAnsiTheme="majorHAnsi"/>
          <w:sz w:val="20"/>
          <w:szCs w:val="20"/>
          <w:lang w:val="es-ES_tradnl"/>
        </w:rPr>
        <w:t xml:space="preserve">a investigación penal </w:t>
      </w:r>
      <w:r w:rsidR="00BB273E" w:rsidRPr="00627045">
        <w:rPr>
          <w:rFonts w:asciiTheme="majorHAnsi" w:hAnsiTheme="majorHAnsi"/>
          <w:sz w:val="20"/>
          <w:szCs w:val="20"/>
          <w:lang w:val="es-ES_tradnl"/>
        </w:rPr>
        <w:t>y de la acción de reparación directa, así como por la configuración de la denominada ‘fórmula de la cuarta instancia internacional’.</w:t>
      </w:r>
    </w:p>
    <w:p w14:paraId="68A417B2" w14:textId="6A82A599" w:rsidR="00B93D7F" w:rsidRPr="00627045" w:rsidRDefault="007F7C5A" w:rsidP="00325BFC">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bCs/>
          <w:sz w:val="20"/>
          <w:szCs w:val="20"/>
          <w:lang w:val="es-ES_tradnl"/>
        </w:rPr>
        <w:t xml:space="preserve">Con respecto al agotamiento de la investigación penal, </w:t>
      </w:r>
      <w:r w:rsidR="00F120BD" w:rsidRPr="00627045">
        <w:rPr>
          <w:rFonts w:asciiTheme="majorHAnsi" w:hAnsiTheme="majorHAnsi"/>
          <w:bCs/>
          <w:sz w:val="20"/>
          <w:szCs w:val="20"/>
          <w:lang w:val="es-ES_tradnl"/>
        </w:rPr>
        <w:t xml:space="preserve">recuerda que </w:t>
      </w:r>
      <w:r w:rsidR="00EA61AB" w:rsidRPr="00627045">
        <w:rPr>
          <w:rFonts w:asciiTheme="majorHAnsi" w:hAnsiTheme="majorHAnsi"/>
          <w:bCs/>
          <w:sz w:val="20"/>
          <w:szCs w:val="20"/>
          <w:lang w:val="es-ES_tradnl"/>
        </w:rPr>
        <w:t xml:space="preserve">el principio de subsidiariedad y el requisito de previo agotamiento de los recursos de la jurisdicción interna son garantías </w:t>
      </w:r>
      <w:r w:rsidR="00671447" w:rsidRPr="00627045">
        <w:rPr>
          <w:rFonts w:asciiTheme="majorHAnsi" w:hAnsiTheme="majorHAnsi"/>
          <w:bCs/>
          <w:sz w:val="20"/>
          <w:szCs w:val="20"/>
          <w:lang w:val="es-ES_tradnl"/>
        </w:rPr>
        <w:t>a favor d</w:t>
      </w:r>
      <w:r w:rsidR="00EA61AB" w:rsidRPr="00627045">
        <w:rPr>
          <w:rFonts w:asciiTheme="majorHAnsi" w:hAnsiTheme="majorHAnsi"/>
          <w:bCs/>
          <w:sz w:val="20"/>
          <w:szCs w:val="20"/>
          <w:lang w:val="es-ES_tradnl"/>
        </w:rPr>
        <w:t>el Estado</w:t>
      </w:r>
      <w:r w:rsidR="00E240AC" w:rsidRPr="00627045">
        <w:rPr>
          <w:rFonts w:asciiTheme="majorHAnsi" w:hAnsiTheme="majorHAnsi"/>
          <w:bCs/>
          <w:sz w:val="20"/>
          <w:szCs w:val="20"/>
          <w:lang w:val="es-ES_tradnl"/>
        </w:rPr>
        <w:t>, concebidas para que éste</w:t>
      </w:r>
      <w:r w:rsidR="00EA61AB" w:rsidRPr="00627045">
        <w:rPr>
          <w:rFonts w:asciiTheme="majorHAnsi" w:hAnsiTheme="majorHAnsi"/>
          <w:bCs/>
          <w:sz w:val="20"/>
          <w:szCs w:val="20"/>
          <w:lang w:val="es-ES_tradnl"/>
        </w:rPr>
        <w:t xml:space="preserve"> tenga la oportunidad de resolver el asunto </w:t>
      </w:r>
      <w:r w:rsidR="006B4537" w:rsidRPr="00627045">
        <w:rPr>
          <w:rFonts w:asciiTheme="majorHAnsi" w:hAnsiTheme="majorHAnsi"/>
          <w:bCs/>
          <w:sz w:val="20"/>
          <w:szCs w:val="20"/>
          <w:lang w:val="es-ES_tradnl"/>
        </w:rPr>
        <w:t>antes de que los peticionarios recurran al Sistema Interamericano. Bajo este entendido,</w:t>
      </w:r>
      <w:r w:rsidR="00497F03" w:rsidRPr="00627045">
        <w:rPr>
          <w:rFonts w:asciiTheme="majorHAnsi" w:hAnsiTheme="majorHAnsi"/>
          <w:bCs/>
          <w:sz w:val="20"/>
          <w:szCs w:val="20"/>
          <w:lang w:val="es-ES_tradnl"/>
        </w:rPr>
        <w:t xml:space="preserve"> el Estado se refiere a la excepción invocada por la parte peticionaria de retardo injustificado en la resolución de la investigación penal, y arguye que, de conformidad con los elementos del plazo razonable, todavía se encuentra dentro de un plazo razonable para conducir y llevar a término l</w:t>
      </w:r>
      <w:r w:rsidR="000165B7" w:rsidRPr="00627045">
        <w:rPr>
          <w:rFonts w:asciiTheme="majorHAnsi" w:hAnsiTheme="majorHAnsi"/>
          <w:bCs/>
          <w:sz w:val="20"/>
          <w:szCs w:val="20"/>
          <w:lang w:val="es-ES_tradnl"/>
        </w:rPr>
        <w:t>a</w:t>
      </w:r>
      <w:r w:rsidR="00497F03" w:rsidRPr="00627045">
        <w:rPr>
          <w:rFonts w:asciiTheme="majorHAnsi" w:hAnsiTheme="majorHAnsi"/>
          <w:bCs/>
          <w:sz w:val="20"/>
          <w:szCs w:val="20"/>
          <w:lang w:val="es-ES_tradnl"/>
        </w:rPr>
        <w:t xml:space="preserve"> investigación por la masacre de </w:t>
      </w:r>
      <w:r w:rsidR="00C81E13" w:rsidRPr="00627045">
        <w:rPr>
          <w:rFonts w:asciiTheme="majorHAnsi" w:hAnsiTheme="majorHAnsi"/>
          <w:bCs/>
          <w:sz w:val="20"/>
          <w:szCs w:val="20"/>
          <w:lang w:val="es-ES_tradnl"/>
        </w:rPr>
        <w:t xml:space="preserve">San </w:t>
      </w:r>
      <w:r w:rsidR="00497F03" w:rsidRPr="00627045">
        <w:rPr>
          <w:rFonts w:asciiTheme="majorHAnsi" w:hAnsiTheme="majorHAnsi"/>
          <w:bCs/>
          <w:sz w:val="20"/>
          <w:szCs w:val="20"/>
          <w:lang w:val="es-ES_tradnl"/>
        </w:rPr>
        <w:t xml:space="preserve">Carlos </w:t>
      </w:r>
      <w:r w:rsidR="00C81E13" w:rsidRPr="00627045">
        <w:rPr>
          <w:rFonts w:asciiTheme="majorHAnsi" w:hAnsiTheme="majorHAnsi"/>
          <w:bCs/>
          <w:sz w:val="20"/>
          <w:szCs w:val="20"/>
          <w:lang w:val="es-ES_tradnl"/>
        </w:rPr>
        <w:t>de Guaroa.</w:t>
      </w:r>
    </w:p>
    <w:p w14:paraId="612EFCE8" w14:textId="46EBD8F7" w:rsidR="009F357E" w:rsidRPr="00627045" w:rsidRDefault="00093C74" w:rsidP="00325BFC">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bCs/>
          <w:sz w:val="20"/>
          <w:szCs w:val="20"/>
          <w:lang w:val="es-ES_tradnl"/>
        </w:rPr>
        <w:lastRenderedPageBreak/>
        <w:t xml:space="preserve">El Estado asevera que </w:t>
      </w:r>
      <w:r w:rsidR="005F2BBD" w:rsidRPr="00627045">
        <w:rPr>
          <w:rFonts w:asciiTheme="majorHAnsi" w:hAnsiTheme="majorHAnsi"/>
          <w:bCs/>
          <w:sz w:val="20"/>
          <w:szCs w:val="20"/>
          <w:lang w:val="es-ES_tradnl"/>
        </w:rPr>
        <w:t xml:space="preserve">el proceso penal </w:t>
      </w:r>
      <w:r w:rsidR="00C63F30" w:rsidRPr="00627045">
        <w:rPr>
          <w:rFonts w:asciiTheme="majorHAnsi" w:hAnsiTheme="majorHAnsi"/>
          <w:bCs/>
          <w:sz w:val="20"/>
          <w:szCs w:val="20"/>
          <w:lang w:val="es-ES_tradnl"/>
        </w:rPr>
        <w:t>tiene</w:t>
      </w:r>
      <w:r w:rsidR="005F2BBD" w:rsidRPr="00627045">
        <w:rPr>
          <w:rFonts w:asciiTheme="majorHAnsi" w:hAnsiTheme="majorHAnsi"/>
          <w:bCs/>
          <w:sz w:val="20"/>
          <w:szCs w:val="20"/>
          <w:lang w:val="es-ES_tradnl"/>
        </w:rPr>
        <w:t xml:space="preserve"> un alto grado de complejidad, </w:t>
      </w:r>
      <w:r w:rsidR="00E75453" w:rsidRPr="00627045">
        <w:rPr>
          <w:rFonts w:asciiTheme="majorHAnsi" w:hAnsiTheme="majorHAnsi"/>
          <w:bCs/>
          <w:sz w:val="20"/>
          <w:szCs w:val="20"/>
          <w:lang w:val="es-ES_tradnl"/>
        </w:rPr>
        <w:t>debido a la pluralidad de sujetos investigados</w:t>
      </w:r>
      <w:r w:rsidR="001D7A3F" w:rsidRPr="00627045">
        <w:rPr>
          <w:rFonts w:asciiTheme="majorHAnsi" w:hAnsiTheme="majorHAnsi"/>
          <w:bCs/>
          <w:sz w:val="20"/>
          <w:szCs w:val="20"/>
          <w:lang w:val="es-ES_tradnl"/>
        </w:rPr>
        <w:t>, y</w:t>
      </w:r>
      <w:r w:rsidR="0080746E" w:rsidRPr="00627045">
        <w:rPr>
          <w:rFonts w:asciiTheme="majorHAnsi" w:hAnsiTheme="majorHAnsi"/>
          <w:bCs/>
          <w:sz w:val="20"/>
          <w:szCs w:val="20"/>
          <w:lang w:val="es-ES_tradnl"/>
        </w:rPr>
        <w:t xml:space="preserve"> porque</w:t>
      </w:r>
      <w:r w:rsidR="001D7A3F" w:rsidRPr="00627045">
        <w:rPr>
          <w:rFonts w:asciiTheme="majorHAnsi" w:hAnsiTheme="majorHAnsi"/>
          <w:bCs/>
          <w:sz w:val="20"/>
          <w:szCs w:val="20"/>
          <w:lang w:val="es-ES_tradnl"/>
        </w:rPr>
        <w:t xml:space="preserve"> </w:t>
      </w:r>
      <w:r w:rsidR="0080746E" w:rsidRPr="00627045">
        <w:rPr>
          <w:rFonts w:asciiTheme="majorHAnsi" w:hAnsiTheme="majorHAnsi"/>
          <w:bCs/>
          <w:sz w:val="20"/>
          <w:szCs w:val="20"/>
          <w:lang w:val="es-ES_tradnl"/>
        </w:rPr>
        <w:t xml:space="preserve">en </w:t>
      </w:r>
      <w:r w:rsidR="001D7A3F" w:rsidRPr="00627045">
        <w:rPr>
          <w:rFonts w:asciiTheme="majorHAnsi" w:hAnsiTheme="majorHAnsi"/>
          <w:bCs/>
          <w:sz w:val="20"/>
          <w:szCs w:val="20"/>
          <w:lang w:val="es-ES_tradnl"/>
        </w:rPr>
        <w:t xml:space="preserve">la investigación se ha vinculado a </w:t>
      </w:r>
      <w:r w:rsidR="004B4236" w:rsidRPr="00627045">
        <w:rPr>
          <w:rFonts w:asciiTheme="majorHAnsi" w:hAnsiTheme="majorHAnsi"/>
          <w:bCs/>
          <w:sz w:val="20"/>
          <w:szCs w:val="20"/>
          <w:lang w:val="es-ES_tradnl"/>
        </w:rPr>
        <w:t>doce sospechos</w:t>
      </w:r>
      <w:r w:rsidR="0080746E" w:rsidRPr="00627045">
        <w:rPr>
          <w:rFonts w:asciiTheme="majorHAnsi" w:hAnsiTheme="majorHAnsi"/>
          <w:bCs/>
          <w:sz w:val="20"/>
          <w:szCs w:val="20"/>
          <w:lang w:val="es-ES_tradnl"/>
        </w:rPr>
        <w:t>o</w:t>
      </w:r>
      <w:r w:rsidR="004B4236" w:rsidRPr="00627045">
        <w:rPr>
          <w:rFonts w:asciiTheme="majorHAnsi" w:hAnsiTheme="majorHAnsi"/>
          <w:bCs/>
          <w:sz w:val="20"/>
          <w:szCs w:val="20"/>
          <w:lang w:val="es-ES_tradnl"/>
        </w:rPr>
        <w:t>s, de l</w:t>
      </w:r>
      <w:r w:rsidR="00F7669D" w:rsidRPr="00627045">
        <w:rPr>
          <w:rFonts w:asciiTheme="majorHAnsi" w:hAnsiTheme="majorHAnsi"/>
          <w:bCs/>
          <w:sz w:val="20"/>
          <w:szCs w:val="20"/>
          <w:lang w:val="es-ES_tradnl"/>
        </w:rPr>
        <w:t>o</w:t>
      </w:r>
      <w:r w:rsidR="004B4236" w:rsidRPr="00627045">
        <w:rPr>
          <w:rFonts w:asciiTheme="majorHAnsi" w:hAnsiTheme="majorHAnsi"/>
          <w:bCs/>
          <w:sz w:val="20"/>
          <w:szCs w:val="20"/>
          <w:lang w:val="es-ES_tradnl"/>
        </w:rPr>
        <w:t xml:space="preserve">s cuales se ha archivado la investigación a favor de </w:t>
      </w:r>
      <w:r w:rsidR="00C61136" w:rsidRPr="00627045">
        <w:rPr>
          <w:rFonts w:asciiTheme="majorHAnsi" w:hAnsiTheme="majorHAnsi"/>
          <w:bCs/>
          <w:sz w:val="20"/>
          <w:szCs w:val="20"/>
          <w:lang w:val="es-ES_tradnl"/>
        </w:rPr>
        <w:t>seis</w:t>
      </w:r>
      <w:r w:rsidR="00F7669D" w:rsidRPr="00627045">
        <w:rPr>
          <w:rFonts w:asciiTheme="majorHAnsi" w:hAnsiTheme="majorHAnsi"/>
          <w:bCs/>
          <w:sz w:val="20"/>
          <w:szCs w:val="20"/>
          <w:lang w:val="es-ES_tradnl"/>
        </w:rPr>
        <w:t>,</w:t>
      </w:r>
      <w:r w:rsidR="00C61136" w:rsidRPr="00627045">
        <w:rPr>
          <w:rFonts w:asciiTheme="majorHAnsi" w:hAnsiTheme="majorHAnsi"/>
          <w:bCs/>
          <w:sz w:val="20"/>
          <w:szCs w:val="20"/>
          <w:lang w:val="es-ES_tradnl"/>
        </w:rPr>
        <w:t xml:space="preserve"> por no haber participado en los hechos o por la muerte del procesado. </w:t>
      </w:r>
      <w:r w:rsidR="000D1C20" w:rsidRPr="00627045">
        <w:rPr>
          <w:rFonts w:asciiTheme="majorHAnsi" w:hAnsiTheme="majorHAnsi"/>
          <w:bCs/>
          <w:sz w:val="20"/>
          <w:szCs w:val="20"/>
          <w:lang w:val="es-ES_tradnl"/>
        </w:rPr>
        <w:t>Reseña que desde el 2011 se han practicado múltiples diligencias de indagatoria contra el Brigadier Uscátegui</w:t>
      </w:r>
      <w:r w:rsidR="00331884" w:rsidRPr="00627045">
        <w:rPr>
          <w:rFonts w:asciiTheme="majorHAnsi" w:hAnsiTheme="majorHAnsi"/>
          <w:bCs/>
          <w:sz w:val="20"/>
          <w:szCs w:val="20"/>
          <w:lang w:val="es-ES_tradnl"/>
        </w:rPr>
        <w:t>, lo</w:t>
      </w:r>
      <w:r w:rsidR="000D1C20" w:rsidRPr="00627045">
        <w:rPr>
          <w:rFonts w:asciiTheme="majorHAnsi" w:hAnsiTheme="majorHAnsi"/>
          <w:bCs/>
          <w:sz w:val="20"/>
          <w:szCs w:val="20"/>
          <w:lang w:val="es-ES_tradnl"/>
        </w:rPr>
        <w:t xml:space="preserve"> </w:t>
      </w:r>
      <w:r w:rsidR="00DE6EB5" w:rsidRPr="00627045">
        <w:rPr>
          <w:rFonts w:asciiTheme="majorHAnsi" w:hAnsiTheme="majorHAnsi"/>
          <w:bCs/>
          <w:sz w:val="20"/>
          <w:szCs w:val="20"/>
          <w:lang w:val="es-ES_tradnl"/>
        </w:rPr>
        <w:t xml:space="preserve">que llevó a la emisión de una resolución </w:t>
      </w:r>
      <w:r w:rsidR="00331884" w:rsidRPr="00627045">
        <w:rPr>
          <w:rFonts w:asciiTheme="majorHAnsi" w:hAnsiTheme="majorHAnsi"/>
          <w:bCs/>
          <w:sz w:val="20"/>
          <w:szCs w:val="20"/>
          <w:lang w:val="es-ES_tradnl"/>
        </w:rPr>
        <w:t xml:space="preserve">de </w:t>
      </w:r>
      <w:r w:rsidR="00DE6EB5" w:rsidRPr="00627045">
        <w:rPr>
          <w:rFonts w:asciiTheme="majorHAnsi" w:hAnsiTheme="majorHAnsi"/>
          <w:bCs/>
          <w:sz w:val="20"/>
          <w:szCs w:val="20"/>
          <w:lang w:val="es-ES_tradnl"/>
        </w:rPr>
        <w:t xml:space="preserve">acusación en su contra el </w:t>
      </w:r>
      <w:r w:rsidR="00B26447" w:rsidRPr="00627045">
        <w:rPr>
          <w:rFonts w:asciiTheme="majorHAnsi" w:hAnsiTheme="majorHAnsi"/>
          <w:bCs/>
          <w:sz w:val="20"/>
          <w:szCs w:val="20"/>
          <w:lang w:val="es-ES_tradnl"/>
        </w:rPr>
        <w:t xml:space="preserve">26 de enero </w:t>
      </w:r>
      <w:r w:rsidR="00DE6EB5" w:rsidRPr="00627045">
        <w:rPr>
          <w:rFonts w:asciiTheme="majorHAnsi" w:hAnsiTheme="majorHAnsi"/>
          <w:bCs/>
          <w:sz w:val="20"/>
          <w:szCs w:val="20"/>
          <w:lang w:val="es-ES_tradnl"/>
        </w:rPr>
        <w:t>de 2</w:t>
      </w:r>
      <w:r w:rsidR="00B26447" w:rsidRPr="00627045">
        <w:rPr>
          <w:rFonts w:asciiTheme="majorHAnsi" w:hAnsiTheme="majorHAnsi"/>
          <w:bCs/>
          <w:sz w:val="20"/>
          <w:szCs w:val="20"/>
          <w:lang w:val="es-ES_tradnl"/>
        </w:rPr>
        <w:t xml:space="preserve">015 </w:t>
      </w:r>
      <w:r w:rsidR="00175344" w:rsidRPr="00627045">
        <w:rPr>
          <w:rFonts w:asciiTheme="majorHAnsi" w:hAnsiTheme="majorHAnsi"/>
          <w:bCs/>
          <w:sz w:val="20"/>
          <w:szCs w:val="20"/>
          <w:lang w:val="es-ES_tradnl"/>
        </w:rPr>
        <w:t xml:space="preserve">y </w:t>
      </w:r>
      <w:r w:rsidR="00331884" w:rsidRPr="00627045">
        <w:rPr>
          <w:rFonts w:asciiTheme="majorHAnsi" w:hAnsiTheme="majorHAnsi"/>
          <w:bCs/>
          <w:sz w:val="20"/>
          <w:szCs w:val="20"/>
          <w:lang w:val="es-ES_tradnl"/>
        </w:rPr>
        <w:t>a</w:t>
      </w:r>
      <w:r w:rsidR="00175344" w:rsidRPr="00627045">
        <w:rPr>
          <w:rFonts w:asciiTheme="majorHAnsi" w:hAnsiTheme="majorHAnsi"/>
          <w:bCs/>
          <w:sz w:val="20"/>
          <w:szCs w:val="20"/>
          <w:lang w:val="es-ES_tradnl"/>
        </w:rPr>
        <w:t>l rechazo de la solicitud de prescripción de la acción penal.</w:t>
      </w:r>
      <w:r w:rsidR="00097E8C" w:rsidRPr="00627045">
        <w:rPr>
          <w:rFonts w:asciiTheme="majorHAnsi" w:hAnsiTheme="majorHAnsi"/>
          <w:bCs/>
          <w:sz w:val="20"/>
          <w:szCs w:val="20"/>
          <w:lang w:val="es-ES_tradnl"/>
        </w:rPr>
        <w:t xml:space="preserve"> Posteriormente el proceso contra el Brigadier General</w:t>
      </w:r>
      <w:r w:rsidR="00C374E8" w:rsidRPr="00627045">
        <w:rPr>
          <w:rFonts w:asciiTheme="majorHAnsi" w:hAnsiTheme="majorHAnsi"/>
          <w:bCs/>
          <w:sz w:val="20"/>
          <w:szCs w:val="20"/>
          <w:lang w:val="es-ES_tradnl"/>
        </w:rPr>
        <w:t xml:space="preserve"> fue remitido a la Jurisdicción Especial para la Paz (en adelante “JEP”) el 5 de agosto de 2020.</w:t>
      </w:r>
    </w:p>
    <w:p w14:paraId="40DE0799" w14:textId="464A345E" w:rsidR="00C374E8" w:rsidRPr="00627045" w:rsidRDefault="00C374E8" w:rsidP="00325BFC">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bCs/>
          <w:sz w:val="20"/>
          <w:szCs w:val="20"/>
          <w:lang w:val="es-ES_tradnl"/>
        </w:rPr>
        <w:t xml:space="preserve">De lo anterior, el Estado </w:t>
      </w:r>
      <w:r w:rsidR="00F91E25" w:rsidRPr="00627045">
        <w:rPr>
          <w:rFonts w:asciiTheme="majorHAnsi" w:hAnsiTheme="majorHAnsi"/>
          <w:bCs/>
          <w:sz w:val="20"/>
          <w:szCs w:val="20"/>
          <w:lang w:val="es-ES_tradnl"/>
        </w:rPr>
        <w:t>sostiene</w:t>
      </w:r>
      <w:r w:rsidRPr="00627045">
        <w:rPr>
          <w:rFonts w:asciiTheme="majorHAnsi" w:hAnsiTheme="majorHAnsi"/>
          <w:bCs/>
          <w:sz w:val="20"/>
          <w:szCs w:val="20"/>
          <w:lang w:val="es-ES_tradnl"/>
        </w:rPr>
        <w:t xml:space="preserve"> que existe un proceso penal en curso que, </w:t>
      </w:r>
      <w:r w:rsidR="00C64D8F" w:rsidRPr="00627045">
        <w:rPr>
          <w:rFonts w:asciiTheme="majorHAnsi" w:hAnsiTheme="majorHAnsi"/>
          <w:bCs/>
          <w:sz w:val="20"/>
          <w:szCs w:val="20"/>
          <w:lang w:val="es-ES_tradnl"/>
        </w:rPr>
        <w:t>dada la complejidad del asunto</w:t>
      </w:r>
      <w:r w:rsidR="00217EB2" w:rsidRPr="00627045">
        <w:rPr>
          <w:rFonts w:asciiTheme="majorHAnsi" w:hAnsiTheme="majorHAnsi"/>
          <w:bCs/>
          <w:sz w:val="20"/>
          <w:szCs w:val="20"/>
          <w:lang w:val="es-ES_tradnl"/>
        </w:rPr>
        <w:t xml:space="preserve"> por la pluralidad de víctimas y victimarios</w:t>
      </w:r>
      <w:r w:rsidR="00C64D8F" w:rsidRPr="00627045">
        <w:rPr>
          <w:rFonts w:asciiTheme="majorHAnsi" w:hAnsiTheme="majorHAnsi"/>
          <w:bCs/>
          <w:sz w:val="20"/>
          <w:szCs w:val="20"/>
          <w:lang w:val="es-ES_tradnl"/>
        </w:rPr>
        <w:t xml:space="preserve">, ha involucrado y descartado a su vez a muchas personas. </w:t>
      </w:r>
      <w:r w:rsidR="002F2539" w:rsidRPr="00627045">
        <w:rPr>
          <w:rFonts w:asciiTheme="majorHAnsi" w:hAnsiTheme="majorHAnsi"/>
          <w:bCs/>
          <w:sz w:val="20"/>
          <w:szCs w:val="20"/>
          <w:lang w:val="es-ES_tradnl"/>
        </w:rPr>
        <w:t xml:space="preserve">Asimismo, </w:t>
      </w:r>
      <w:r w:rsidR="00CF1C1A" w:rsidRPr="00627045">
        <w:rPr>
          <w:rFonts w:asciiTheme="majorHAnsi" w:hAnsiTheme="majorHAnsi"/>
          <w:bCs/>
          <w:sz w:val="20"/>
          <w:szCs w:val="20"/>
          <w:lang w:val="es-ES_tradnl"/>
        </w:rPr>
        <w:t>asegura que la conducta de la fiscalía ha sido diligente, pues ha llevado a cabo múltiples actuaciones, obteniendo resultados contundentes como el archivo de la indagación a favor de varias personas</w:t>
      </w:r>
      <w:r w:rsidR="00BB5C2C" w:rsidRPr="00627045">
        <w:rPr>
          <w:rFonts w:asciiTheme="majorHAnsi" w:hAnsiTheme="majorHAnsi"/>
          <w:bCs/>
          <w:sz w:val="20"/>
          <w:szCs w:val="20"/>
          <w:lang w:val="es-ES_tradnl"/>
        </w:rPr>
        <w:t>. Por ello, el Estado colombiano considera que no existe un retardo injustificado en la investigación penal del caso, y, en consecuencia, la parte peticionaria no ha agotado dicho recurso.</w:t>
      </w:r>
    </w:p>
    <w:p w14:paraId="2C23CDA0" w14:textId="19B0A7B3" w:rsidR="00B5643B" w:rsidRPr="00627045" w:rsidRDefault="00D908E9" w:rsidP="00B5643B">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bCs/>
          <w:sz w:val="20"/>
          <w:szCs w:val="20"/>
          <w:lang w:val="es-ES_tradnl"/>
        </w:rPr>
        <w:t xml:space="preserve">Por otro lado, </w:t>
      </w:r>
      <w:r w:rsidR="00D432BB" w:rsidRPr="00627045">
        <w:rPr>
          <w:rFonts w:asciiTheme="majorHAnsi" w:hAnsiTheme="majorHAnsi"/>
          <w:bCs/>
          <w:sz w:val="20"/>
          <w:szCs w:val="20"/>
          <w:lang w:val="es-ES_tradnl"/>
        </w:rPr>
        <w:t xml:space="preserve">Colombia aduce que </w:t>
      </w:r>
      <w:r w:rsidR="00CB6386" w:rsidRPr="00627045">
        <w:rPr>
          <w:rFonts w:asciiTheme="majorHAnsi" w:hAnsiTheme="majorHAnsi"/>
          <w:bCs/>
          <w:sz w:val="20"/>
          <w:szCs w:val="20"/>
          <w:lang w:val="es-ES_tradnl"/>
        </w:rPr>
        <w:t>no todas las presuntas víctimas y sus familiares agotaron la acción de reparación directa</w:t>
      </w:r>
      <w:r w:rsidR="00133BDB" w:rsidRPr="00627045">
        <w:rPr>
          <w:rFonts w:asciiTheme="majorHAnsi" w:hAnsiTheme="majorHAnsi"/>
          <w:bCs/>
          <w:sz w:val="20"/>
          <w:szCs w:val="20"/>
          <w:lang w:val="es-ES_tradnl"/>
        </w:rPr>
        <w:t xml:space="preserve">. </w:t>
      </w:r>
      <w:r w:rsidR="00B5643B" w:rsidRPr="00627045">
        <w:rPr>
          <w:rFonts w:asciiTheme="majorHAnsi" w:hAnsiTheme="majorHAnsi"/>
          <w:bCs/>
          <w:sz w:val="20"/>
          <w:szCs w:val="20"/>
          <w:lang w:val="es-ES_tradnl"/>
        </w:rPr>
        <w:t xml:space="preserve">En esa línea, </w:t>
      </w:r>
      <w:r w:rsidR="00754209" w:rsidRPr="00627045">
        <w:rPr>
          <w:rFonts w:asciiTheme="majorHAnsi" w:hAnsiTheme="majorHAnsi"/>
          <w:bCs/>
          <w:sz w:val="20"/>
          <w:szCs w:val="20"/>
          <w:lang w:val="es-ES_tradnl"/>
        </w:rPr>
        <w:t xml:space="preserve">sostiene </w:t>
      </w:r>
      <w:r w:rsidR="00B5643B" w:rsidRPr="00627045">
        <w:rPr>
          <w:rFonts w:asciiTheme="majorHAnsi" w:hAnsiTheme="majorHAnsi"/>
          <w:bCs/>
          <w:sz w:val="20"/>
          <w:szCs w:val="20"/>
          <w:lang w:val="es-ES_tradnl"/>
        </w:rPr>
        <w:t xml:space="preserve">que ésta constituye un recurso adecuado y efectivo para condenar a la Nación por la acción u omisión de sus autoridades. Afirma que, en el marco del proceso contencioso-administrativo, el Consejo de Estado colombiano toma como fundamento de imputación la violación de la Convención Americana y acoge los criterios de reparación integral del Sistema Interamericano. </w:t>
      </w:r>
    </w:p>
    <w:p w14:paraId="79D0A921" w14:textId="555519A7" w:rsidR="00D908E9" w:rsidRPr="00627045" w:rsidRDefault="00A36A7C" w:rsidP="005D5BDB">
      <w:pPr>
        <w:pStyle w:val="ListParagraph"/>
        <w:numPr>
          <w:ilvl w:val="0"/>
          <w:numId w:val="60"/>
        </w:numPr>
        <w:spacing w:before="240" w:after="240"/>
        <w:ind w:left="0" w:firstLine="720"/>
        <w:jc w:val="both"/>
        <w:rPr>
          <w:rFonts w:asciiTheme="majorHAnsi" w:hAnsiTheme="majorHAnsi"/>
          <w:bCs/>
          <w:sz w:val="20"/>
          <w:szCs w:val="20"/>
          <w:lang w:val="es-ES_tradnl"/>
        </w:rPr>
      </w:pPr>
      <w:r w:rsidRPr="00627045">
        <w:rPr>
          <w:rFonts w:asciiTheme="majorHAnsi" w:hAnsiTheme="majorHAnsi"/>
          <w:bCs/>
          <w:sz w:val="20"/>
          <w:szCs w:val="20"/>
          <w:lang w:val="es-ES_tradnl"/>
        </w:rPr>
        <w:t xml:space="preserve">Finalmente, el Estado </w:t>
      </w:r>
      <w:r w:rsidR="00B67F88" w:rsidRPr="00627045">
        <w:rPr>
          <w:rFonts w:asciiTheme="majorHAnsi" w:hAnsiTheme="majorHAnsi"/>
          <w:bCs/>
          <w:sz w:val="20"/>
          <w:szCs w:val="20"/>
          <w:lang w:val="es-ES_tradnl"/>
        </w:rPr>
        <w:t>a</w:t>
      </w:r>
      <w:r w:rsidRPr="00627045">
        <w:rPr>
          <w:rFonts w:asciiTheme="majorHAnsi" w:hAnsiTheme="majorHAnsi"/>
          <w:bCs/>
          <w:sz w:val="20"/>
          <w:szCs w:val="20"/>
          <w:lang w:val="es-ES_tradnl"/>
        </w:rPr>
        <w:t xml:space="preserve">lega que la parte peticionaria </w:t>
      </w:r>
      <w:r w:rsidR="00D432BB" w:rsidRPr="00627045">
        <w:rPr>
          <w:rFonts w:asciiTheme="majorHAnsi" w:hAnsiTheme="majorHAnsi"/>
          <w:bCs/>
          <w:sz w:val="20"/>
          <w:szCs w:val="20"/>
          <w:lang w:val="es-ES_tradnl"/>
        </w:rPr>
        <w:t xml:space="preserve">pretende </w:t>
      </w:r>
      <w:r w:rsidR="00054E90" w:rsidRPr="00627045">
        <w:rPr>
          <w:rFonts w:asciiTheme="majorHAnsi" w:hAnsiTheme="majorHAnsi"/>
          <w:bCs/>
          <w:sz w:val="20"/>
          <w:szCs w:val="20"/>
          <w:lang w:val="es-ES_tradnl"/>
        </w:rPr>
        <w:t>utilizar a</w:t>
      </w:r>
      <w:r w:rsidR="00D432BB" w:rsidRPr="00627045">
        <w:rPr>
          <w:rFonts w:asciiTheme="majorHAnsi" w:hAnsiTheme="majorHAnsi"/>
          <w:bCs/>
          <w:sz w:val="20"/>
          <w:szCs w:val="20"/>
          <w:lang w:val="es-ES_tradnl"/>
        </w:rPr>
        <w:t xml:space="preserve"> la CIDH </w:t>
      </w:r>
      <w:r w:rsidR="00054E90" w:rsidRPr="00627045">
        <w:rPr>
          <w:rFonts w:asciiTheme="majorHAnsi" w:hAnsiTheme="majorHAnsi"/>
          <w:bCs/>
          <w:sz w:val="20"/>
          <w:szCs w:val="20"/>
          <w:lang w:val="es-ES_tradnl"/>
        </w:rPr>
        <w:t>como un</w:t>
      </w:r>
      <w:r w:rsidR="00D432BB" w:rsidRPr="00627045">
        <w:rPr>
          <w:rFonts w:asciiTheme="majorHAnsi" w:hAnsiTheme="majorHAnsi"/>
          <w:bCs/>
          <w:sz w:val="20"/>
          <w:szCs w:val="20"/>
          <w:lang w:val="es-ES_tradnl"/>
        </w:rPr>
        <w:t xml:space="preserve"> tribunal de alzada internacional</w:t>
      </w:r>
      <w:r w:rsidR="001254FE" w:rsidRPr="00627045">
        <w:rPr>
          <w:rFonts w:asciiTheme="majorHAnsi" w:hAnsiTheme="majorHAnsi"/>
          <w:bCs/>
          <w:sz w:val="20"/>
          <w:szCs w:val="20"/>
          <w:lang w:val="es-ES_tradnl"/>
        </w:rPr>
        <w:t xml:space="preserve"> para que revise las decisiones adoptadas en la jurisdicción contencioso-administrativa. </w:t>
      </w:r>
      <w:r w:rsidR="009A4AE0" w:rsidRPr="00627045">
        <w:rPr>
          <w:rFonts w:asciiTheme="majorHAnsi" w:hAnsiTheme="majorHAnsi"/>
          <w:bCs/>
          <w:sz w:val="20"/>
          <w:szCs w:val="20"/>
          <w:lang w:val="es-ES_tradnl"/>
        </w:rPr>
        <w:t>Así, realiza un recuento de los procesos contencioso-administrativos y constata que en todos los casos la Nación colombiana fue condenada en segunda instancia al pago de indemnizaciones a favor de los familiares de las presuntas víctimas. Así, e</w:t>
      </w:r>
      <w:r w:rsidR="000C6C96" w:rsidRPr="00627045">
        <w:rPr>
          <w:rFonts w:asciiTheme="majorHAnsi" w:hAnsiTheme="majorHAnsi"/>
          <w:bCs/>
          <w:sz w:val="20"/>
          <w:szCs w:val="20"/>
          <w:lang w:val="es-ES_tradnl"/>
        </w:rPr>
        <w:t xml:space="preserve">l Estado </w:t>
      </w:r>
      <w:r w:rsidR="00715095" w:rsidRPr="00627045">
        <w:rPr>
          <w:rFonts w:asciiTheme="majorHAnsi" w:hAnsiTheme="majorHAnsi"/>
          <w:bCs/>
          <w:sz w:val="20"/>
          <w:szCs w:val="20"/>
          <w:lang w:val="es-ES_tradnl"/>
        </w:rPr>
        <w:t xml:space="preserve">asevera </w:t>
      </w:r>
      <w:r w:rsidR="000C6C96" w:rsidRPr="00627045">
        <w:rPr>
          <w:rFonts w:asciiTheme="majorHAnsi" w:hAnsiTheme="majorHAnsi"/>
          <w:bCs/>
          <w:sz w:val="20"/>
          <w:szCs w:val="20"/>
          <w:lang w:val="es-ES_tradnl"/>
        </w:rPr>
        <w:t>que</w:t>
      </w:r>
      <w:r w:rsidR="00A138E8" w:rsidRPr="00627045">
        <w:rPr>
          <w:rFonts w:asciiTheme="majorHAnsi" w:hAnsiTheme="majorHAnsi"/>
          <w:bCs/>
          <w:sz w:val="20"/>
          <w:szCs w:val="20"/>
          <w:lang w:val="es-ES_tradnl"/>
        </w:rPr>
        <w:t>,</w:t>
      </w:r>
      <w:r w:rsidR="000C6C96" w:rsidRPr="00627045">
        <w:rPr>
          <w:rFonts w:asciiTheme="majorHAnsi" w:hAnsiTheme="majorHAnsi"/>
          <w:bCs/>
          <w:sz w:val="20"/>
          <w:szCs w:val="20"/>
          <w:lang w:val="es-ES_tradnl"/>
        </w:rPr>
        <w:t xml:space="preserve"> cuando una violación de derechos humanos es resuelta y reparada a nivel interno, no es necesario elevarla ante la jurisdicción internacional, ya que ello infringiría el carácter subsidiario y complementario del Sistema Interamericano de Protección de Derechos Humanos. </w:t>
      </w:r>
      <w:r w:rsidR="00A138E8" w:rsidRPr="00627045">
        <w:rPr>
          <w:rFonts w:asciiTheme="majorHAnsi" w:hAnsiTheme="majorHAnsi"/>
          <w:bCs/>
          <w:sz w:val="20"/>
          <w:szCs w:val="20"/>
          <w:lang w:val="es-ES_tradnl"/>
        </w:rPr>
        <w:t>Por consiguiente</w:t>
      </w:r>
      <w:r w:rsidR="000C6C96" w:rsidRPr="00627045">
        <w:rPr>
          <w:rFonts w:asciiTheme="majorHAnsi" w:hAnsiTheme="majorHAnsi"/>
          <w:bCs/>
          <w:sz w:val="20"/>
          <w:szCs w:val="20"/>
          <w:lang w:val="es-ES_tradnl"/>
        </w:rPr>
        <w:t>, Colombia entiende que, en el presente caso, la</w:t>
      </w:r>
      <w:r w:rsidR="00A138E8" w:rsidRPr="00627045">
        <w:rPr>
          <w:rFonts w:asciiTheme="majorHAnsi" w:hAnsiTheme="majorHAnsi"/>
          <w:bCs/>
          <w:sz w:val="20"/>
          <w:szCs w:val="20"/>
          <w:lang w:val="es-ES_tradnl"/>
        </w:rPr>
        <w:t>s</w:t>
      </w:r>
      <w:r w:rsidR="000C6C96" w:rsidRPr="00627045">
        <w:rPr>
          <w:rFonts w:asciiTheme="majorHAnsi" w:hAnsiTheme="majorHAnsi"/>
          <w:bCs/>
          <w:sz w:val="20"/>
          <w:szCs w:val="20"/>
          <w:lang w:val="es-ES_tradnl"/>
        </w:rPr>
        <w:t xml:space="preserve"> alegada</w:t>
      </w:r>
      <w:r w:rsidR="00A138E8" w:rsidRPr="00627045">
        <w:rPr>
          <w:rFonts w:asciiTheme="majorHAnsi" w:hAnsiTheme="majorHAnsi"/>
          <w:bCs/>
          <w:sz w:val="20"/>
          <w:szCs w:val="20"/>
          <w:lang w:val="es-ES_tradnl"/>
        </w:rPr>
        <w:t>s</w:t>
      </w:r>
      <w:r w:rsidR="000C6C96" w:rsidRPr="00627045">
        <w:rPr>
          <w:rFonts w:asciiTheme="majorHAnsi" w:hAnsiTheme="majorHAnsi"/>
          <w:bCs/>
          <w:sz w:val="20"/>
          <w:szCs w:val="20"/>
          <w:lang w:val="es-ES_tradnl"/>
        </w:rPr>
        <w:t xml:space="preserve"> violaci</w:t>
      </w:r>
      <w:r w:rsidR="00A138E8" w:rsidRPr="00627045">
        <w:rPr>
          <w:rFonts w:asciiTheme="majorHAnsi" w:hAnsiTheme="majorHAnsi"/>
          <w:bCs/>
          <w:sz w:val="20"/>
          <w:szCs w:val="20"/>
          <w:lang w:val="es-ES_tradnl"/>
        </w:rPr>
        <w:t>ones</w:t>
      </w:r>
      <w:r w:rsidR="000C6C96" w:rsidRPr="00627045">
        <w:rPr>
          <w:rFonts w:asciiTheme="majorHAnsi" w:hAnsiTheme="majorHAnsi"/>
          <w:bCs/>
          <w:sz w:val="20"/>
          <w:szCs w:val="20"/>
          <w:lang w:val="es-ES_tradnl"/>
        </w:rPr>
        <w:t xml:space="preserve"> fue</w:t>
      </w:r>
      <w:r w:rsidR="00A138E8" w:rsidRPr="00627045">
        <w:rPr>
          <w:rFonts w:asciiTheme="majorHAnsi" w:hAnsiTheme="majorHAnsi"/>
          <w:bCs/>
          <w:sz w:val="20"/>
          <w:szCs w:val="20"/>
          <w:lang w:val="es-ES_tradnl"/>
        </w:rPr>
        <w:t>ron</w:t>
      </w:r>
      <w:r w:rsidR="000C6C96" w:rsidRPr="00627045">
        <w:rPr>
          <w:rFonts w:asciiTheme="majorHAnsi" w:hAnsiTheme="majorHAnsi"/>
          <w:bCs/>
          <w:sz w:val="20"/>
          <w:szCs w:val="20"/>
          <w:lang w:val="es-ES_tradnl"/>
        </w:rPr>
        <w:t xml:space="preserve"> reparada</w:t>
      </w:r>
      <w:r w:rsidR="00A138E8" w:rsidRPr="00627045">
        <w:rPr>
          <w:rFonts w:asciiTheme="majorHAnsi" w:hAnsiTheme="majorHAnsi"/>
          <w:bCs/>
          <w:sz w:val="20"/>
          <w:szCs w:val="20"/>
          <w:lang w:val="es-ES_tradnl"/>
        </w:rPr>
        <w:t>s</w:t>
      </w:r>
      <w:r w:rsidR="000C6C96" w:rsidRPr="00627045">
        <w:rPr>
          <w:rFonts w:asciiTheme="majorHAnsi" w:hAnsiTheme="majorHAnsi"/>
          <w:bCs/>
          <w:sz w:val="20"/>
          <w:szCs w:val="20"/>
          <w:lang w:val="es-ES_tradnl"/>
        </w:rPr>
        <w:t xml:space="preserve"> mediante el otorgamiento de la indemnización a los familiares de la</w:t>
      </w:r>
      <w:r w:rsidR="00A138E8" w:rsidRPr="00627045">
        <w:rPr>
          <w:rFonts w:asciiTheme="majorHAnsi" w:hAnsiTheme="majorHAnsi"/>
          <w:bCs/>
          <w:sz w:val="20"/>
          <w:szCs w:val="20"/>
          <w:lang w:val="es-ES_tradnl"/>
        </w:rPr>
        <w:t>s</w:t>
      </w:r>
      <w:r w:rsidR="000C6C96" w:rsidRPr="00627045">
        <w:rPr>
          <w:rFonts w:asciiTheme="majorHAnsi" w:hAnsiTheme="majorHAnsi"/>
          <w:bCs/>
          <w:sz w:val="20"/>
          <w:szCs w:val="20"/>
          <w:lang w:val="es-ES_tradnl"/>
        </w:rPr>
        <w:t xml:space="preserve"> presunta</w:t>
      </w:r>
      <w:r w:rsidR="00A138E8" w:rsidRPr="00627045">
        <w:rPr>
          <w:rFonts w:asciiTheme="majorHAnsi" w:hAnsiTheme="majorHAnsi"/>
          <w:bCs/>
          <w:sz w:val="20"/>
          <w:szCs w:val="20"/>
          <w:lang w:val="es-ES_tradnl"/>
        </w:rPr>
        <w:t>s</w:t>
      </w:r>
      <w:r w:rsidR="000C6C96" w:rsidRPr="00627045">
        <w:rPr>
          <w:rFonts w:asciiTheme="majorHAnsi" w:hAnsiTheme="majorHAnsi"/>
          <w:bCs/>
          <w:sz w:val="20"/>
          <w:szCs w:val="20"/>
          <w:lang w:val="es-ES_tradnl"/>
        </w:rPr>
        <w:t xml:space="preserve"> víctima</w:t>
      </w:r>
      <w:r w:rsidR="00A138E8" w:rsidRPr="00627045">
        <w:rPr>
          <w:rFonts w:asciiTheme="majorHAnsi" w:hAnsiTheme="majorHAnsi"/>
          <w:bCs/>
          <w:sz w:val="20"/>
          <w:szCs w:val="20"/>
          <w:lang w:val="es-ES_tradnl"/>
        </w:rPr>
        <w:t>s</w:t>
      </w:r>
      <w:r w:rsidR="000C6C96" w:rsidRPr="00627045">
        <w:rPr>
          <w:rFonts w:asciiTheme="majorHAnsi" w:hAnsiTheme="majorHAnsi"/>
          <w:bCs/>
          <w:sz w:val="20"/>
          <w:szCs w:val="20"/>
          <w:lang w:val="es-ES_tradnl"/>
        </w:rPr>
        <w:t xml:space="preserve"> en el ámbito contencioso-administrativo. En consecuencia, solicita la declaratoria de inadmisibilidad de la presente petición.</w:t>
      </w:r>
    </w:p>
    <w:p w14:paraId="51F68C92" w14:textId="77777777" w:rsidR="003239B8" w:rsidRPr="00627045" w:rsidRDefault="003239B8" w:rsidP="003239B8">
      <w:pPr>
        <w:spacing w:before="240" w:after="240"/>
        <w:ind w:firstLine="720"/>
        <w:jc w:val="both"/>
        <w:rPr>
          <w:rFonts w:asciiTheme="majorHAnsi" w:hAnsiTheme="majorHAnsi"/>
          <w:sz w:val="20"/>
          <w:szCs w:val="20"/>
          <w:lang w:val="es-ES_tradnl"/>
        </w:rPr>
      </w:pPr>
      <w:r w:rsidRPr="00627045">
        <w:rPr>
          <w:rFonts w:asciiTheme="majorHAnsi" w:eastAsia="Cambria" w:hAnsiTheme="majorHAnsi" w:cs="Cambria"/>
          <w:b/>
          <w:bCs/>
          <w:color w:val="000000"/>
          <w:sz w:val="20"/>
          <w:szCs w:val="20"/>
          <w:u w:color="000000"/>
          <w:lang w:val="es-ES_tradnl" w:eastAsia="es-ES"/>
        </w:rPr>
        <w:t>VI.</w:t>
      </w:r>
      <w:r w:rsidRPr="00627045">
        <w:rPr>
          <w:rFonts w:asciiTheme="majorHAnsi" w:eastAsia="Cambria" w:hAnsiTheme="majorHAnsi" w:cs="Cambria"/>
          <w:b/>
          <w:bCs/>
          <w:color w:val="000000"/>
          <w:sz w:val="20"/>
          <w:szCs w:val="20"/>
          <w:u w:color="000000"/>
          <w:lang w:val="es-ES_tradnl" w:eastAsia="es-ES"/>
        </w:rPr>
        <w:tab/>
      </w:r>
      <w:r w:rsidR="004A6A54" w:rsidRPr="00627045">
        <w:rPr>
          <w:rFonts w:asciiTheme="majorHAnsi" w:hAnsiTheme="majorHAnsi"/>
          <w:b/>
          <w:bCs/>
          <w:sz w:val="20"/>
          <w:szCs w:val="20"/>
          <w:lang w:val="es-ES_tradnl"/>
        </w:rPr>
        <w:t xml:space="preserve">ANÁLISIS DE </w:t>
      </w:r>
      <w:r w:rsidR="00C21FEF" w:rsidRPr="00627045">
        <w:rPr>
          <w:rFonts w:asciiTheme="majorHAnsi" w:hAnsiTheme="majorHAnsi"/>
          <w:b/>
          <w:sz w:val="20"/>
          <w:szCs w:val="20"/>
          <w:lang w:val="es-ES_tradnl"/>
        </w:rPr>
        <w:t>AGOTAMIENTO DE LOS RECURSOS INTERNOS Y PLAZO DE PRESENTACIÓN</w:t>
      </w:r>
      <w:r w:rsidR="00C21FEF" w:rsidRPr="00627045">
        <w:rPr>
          <w:rFonts w:asciiTheme="majorHAnsi" w:eastAsia="Cambria" w:hAnsiTheme="majorHAnsi" w:cs="Cambria"/>
          <w:b/>
          <w:bCs/>
          <w:color w:val="000000"/>
          <w:sz w:val="20"/>
          <w:szCs w:val="20"/>
          <w:u w:color="000000"/>
          <w:lang w:val="es-ES_tradnl" w:eastAsia="es-ES"/>
        </w:rPr>
        <w:t xml:space="preserve"> </w:t>
      </w:r>
    </w:p>
    <w:p w14:paraId="2B76362A" w14:textId="078C895D" w:rsidR="00D92E0C" w:rsidRPr="00627045" w:rsidRDefault="00F47349" w:rsidP="003B161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27045">
        <w:rPr>
          <w:rFonts w:asciiTheme="majorHAnsi" w:hAnsiTheme="majorHAnsi"/>
          <w:sz w:val="20"/>
          <w:szCs w:val="20"/>
          <w:lang w:val="es-ES_tradnl"/>
        </w:rPr>
        <w:t xml:space="preserve">La presente petición versa sobre la masacre y </w:t>
      </w:r>
      <w:r w:rsidR="00862F84" w:rsidRPr="00627045">
        <w:rPr>
          <w:rFonts w:asciiTheme="majorHAnsi" w:hAnsiTheme="majorHAnsi"/>
          <w:sz w:val="20"/>
          <w:szCs w:val="20"/>
          <w:lang w:val="es-ES_tradnl"/>
        </w:rPr>
        <w:t xml:space="preserve">el </w:t>
      </w:r>
      <w:r w:rsidRPr="00627045">
        <w:rPr>
          <w:rFonts w:asciiTheme="majorHAnsi" w:hAnsiTheme="majorHAnsi"/>
          <w:sz w:val="20"/>
          <w:szCs w:val="20"/>
          <w:lang w:val="es-ES_tradnl"/>
        </w:rPr>
        <w:t xml:space="preserve">ataque perpetrados </w:t>
      </w:r>
      <w:r w:rsidR="00B6709E" w:rsidRPr="00627045">
        <w:rPr>
          <w:rFonts w:asciiTheme="majorHAnsi" w:hAnsiTheme="majorHAnsi"/>
          <w:sz w:val="20"/>
          <w:szCs w:val="20"/>
          <w:lang w:val="es-ES_tradnl"/>
        </w:rPr>
        <w:t xml:space="preserve">por el grupo paramilitar ‘Los Buitragueños’ </w:t>
      </w:r>
      <w:r w:rsidR="00E1098B" w:rsidRPr="00627045">
        <w:rPr>
          <w:rFonts w:asciiTheme="majorHAnsi" w:hAnsiTheme="majorHAnsi"/>
          <w:sz w:val="20"/>
          <w:szCs w:val="20"/>
          <w:lang w:val="es-ES_tradnl"/>
        </w:rPr>
        <w:t xml:space="preserve">contra la Comisión Judicial y Militar </w:t>
      </w:r>
      <w:r w:rsidR="00A51BC3" w:rsidRPr="00627045">
        <w:rPr>
          <w:rFonts w:asciiTheme="majorHAnsi" w:hAnsiTheme="majorHAnsi"/>
          <w:sz w:val="20"/>
          <w:szCs w:val="20"/>
          <w:lang w:val="es-ES_tradnl"/>
        </w:rPr>
        <w:t>que realizaba una diligencia de inspección e incautación a la finca ‘El Alcaraván’</w:t>
      </w:r>
      <w:r w:rsidR="00543D16" w:rsidRPr="00627045">
        <w:rPr>
          <w:rFonts w:asciiTheme="majorHAnsi" w:hAnsiTheme="majorHAnsi"/>
          <w:sz w:val="20"/>
          <w:szCs w:val="20"/>
          <w:lang w:val="es-ES_tradnl"/>
        </w:rPr>
        <w:t xml:space="preserve"> el 3 de octubre de 1997</w:t>
      </w:r>
      <w:r w:rsidR="000C1C29" w:rsidRPr="00627045">
        <w:rPr>
          <w:rFonts w:asciiTheme="majorHAnsi" w:hAnsiTheme="majorHAnsi"/>
          <w:sz w:val="20"/>
          <w:szCs w:val="20"/>
          <w:lang w:val="es-ES_tradnl"/>
        </w:rPr>
        <w:t>. La parte peticionaria invoca la excepción de retardo injustificado en la resolución del proceso penal; mientras que el Estado, por otra parte, aduce que no existe retardo injustificado puesto que la investigación se ha adelant</w:t>
      </w:r>
      <w:r w:rsidR="002E4404" w:rsidRPr="00627045">
        <w:rPr>
          <w:rFonts w:asciiTheme="majorHAnsi" w:hAnsiTheme="majorHAnsi"/>
          <w:sz w:val="20"/>
          <w:szCs w:val="20"/>
          <w:lang w:val="es-ES_tradnl"/>
        </w:rPr>
        <w:t>ado de manera diligente</w:t>
      </w:r>
      <w:r w:rsidR="000C1C29" w:rsidRPr="00627045">
        <w:rPr>
          <w:rFonts w:asciiTheme="majorHAnsi" w:hAnsiTheme="majorHAnsi"/>
          <w:sz w:val="20"/>
          <w:szCs w:val="20"/>
          <w:lang w:val="es-ES_tradnl"/>
        </w:rPr>
        <w:t xml:space="preserve"> dentro de un plazo razonable</w:t>
      </w:r>
      <w:r w:rsidR="002E4404" w:rsidRPr="00627045">
        <w:rPr>
          <w:rFonts w:asciiTheme="majorHAnsi" w:hAnsiTheme="majorHAnsi"/>
          <w:sz w:val="20"/>
          <w:szCs w:val="20"/>
          <w:lang w:val="es-ES_tradnl"/>
        </w:rPr>
        <w:t>, de acuerdo con la complejidad del asunto</w:t>
      </w:r>
      <w:r w:rsidR="000C1C29" w:rsidRPr="00627045">
        <w:rPr>
          <w:rFonts w:asciiTheme="majorHAnsi" w:hAnsiTheme="majorHAnsi"/>
          <w:sz w:val="20"/>
          <w:szCs w:val="20"/>
          <w:lang w:val="es-ES_tradnl"/>
        </w:rPr>
        <w:t>.</w:t>
      </w:r>
      <w:r w:rsidR="00681CD9" w:rsidRPr="00627045">
        <w:rPr>
          <w:rFonts w:asciiTheme="majorHAnsi" w:hAnsiTheme="majorHAnsi"/>
          <w:sz w:val="20"/>
          <w:szCs w:val="20"/>
          <w:lang w:val="es-ES_tradnl"/>
        </w:rPr>
        <w:t xml:space="preserve"> Plantea, además, que </w:t>
      </w:r>
      <w:r w:rsidR="002E4404" w:rsidRPr="00627045">
        <w:rPr>
          <w:rFonts w:asciiTheme="majorHAnsi" w:hAnsiTheme="majorHAnsi"/>
          <w:sz w:val="20"/>
          <w:szCs w:val="20"/>
          <w:lang w:val="es-ES_tradnl"/>
        </w:rPr>
        <w:t xml:space="preserve">algunos </w:t>
      </w:r>
      <w:r w:rsidR="00681CD9" w:rsidRPr="00627045">
        <w:rPr>
          <w:rFonts w:asciiTheme="majorHAnsi" w:hAnsiTheme="majorHAnsi"/>
          <w:sz w:val="20"/>
          <w:szCs w:val="20"/>
          <w:lang w:val="es-ES_tradnl"/>
        </w:rPr>
        <w:t xml:space="preserve">familiares </w:t>
      </w:r>
      <w:r w:rsidR="002E4404" w:rsidRPr="00627045">
        <w:rPr>
          <w:rFonts w:asciiTheme="majorHAnsi" w:hAnsiTheme="majorHAnsi"/>
          <w:sz w:val="20"/>
          <w:szCs w:val="20"/>
          <w:lang w:val="es-ES_tradnl"/>
        </w:rPr>
        <w:t xml:space="preserve">y </w:t>
      </w:r>
      <w:r w:rsidR="00681CD9" w:rsidRPr="00627045">
        <w:rPr>
          <w:rFonts w:asciiTheme="majorHAnsi" w:hAnsiTheme="majorHAnsi"/>
          <w:sz w:val="20"/>
          <w:szCs w:val="20"/>
          <w:lang w:val="es-ES_tradnl"/>
        </w:rPr>
        <w:t>las presuntas víctimas no agotaron la acción de reparación directa.</w:t>
      </w:r>
    </w:p>
    <w:p w14:paraId="247B12E1" w14:textId="22E5D592" w:rsidR="003D1ADB" w:rsidRPr="00627045" w:rsidRDefault="003D1ADB" w:rsidP="003D1AD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27045">
        <w:rPr>
          <w:rFonts w:asciiTheme="majorHAnsi" w:hAnsiTheme="majorHAnsi"/>
          <w:sz w:val="20"/>
          <w:szCs w:val="20"/>
          <w:lang w:val="es-ES_tradnl"/>
        </w:rPr>
        <w:t>La CIDH recuerda que, en casos de graves violaciones de derechos humanos, que constituyen delitos perseguibles de oficio,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w:t>
      </w:r>
      <w:r w:rsidRPr="00627045">
        <w:rPr>
          <w:rFonts w:asciiTheme="majorHAnsi" w:hAnsiTheme="majorHAnsi"/>
          <w:sz w:val="20"/>
          <w:szCs w:val="20"/>
          <w:vertAlign w:val="superscript"/>
          <w:lang w:val="es-ES_tradnl"/>
        </w:rPr>
        <w:footnoteReference w:id="6"/>
      </w:r>
      <w:r w:rsidRPr="00627045">
        <w:rPr>
          <w:rFonts w:asciiTheme="majorHAnsi" w:hAnsiTheme="majorHAnsi"/>
          <w:sz w:val="20"/>
          <w:szCs w:val="20"/>
          <w:lang w:val="es-ES_tradnl"/>
        </w:rPr>
        <w:t>. En relación con los argumentos del Estado frente a la falta de agotamiento de la acción de reparación directa, la Comisión ha sostenido reiteradamente que dicha vía no constituye un recurso idóneo a efectos de analizar la admisibilidad de un reclamo de la naturaleza del presente</w:t>
      </w:r>
      <w:r w:rsidRPr="00627045">
        <w:rPr>
          <w:rFonts w:asciiTheme="majorHAnsi" w:hAnsiTheme="majorHAnsi"/>
          <w:sz w:val="20"/>
          <w:szCs w:val="20"/>
          <w:vertAlign w:val="superscript"/>
          <w:lang w:val="es-ES_tradnl"/>
        </w:rPr>
        <w:footnoteReference w:id="7"/>
      </w:r>
      <w:r w:rsidRPr="00627045">
        <w:rPr>
          <w:rFonts w:asciiTheme="majorHAnsi" w:hAnsiTheme="majorHAnsi"/>
          <w:sz w:val="20"/>
          <w:szCs w:val="20"/>
          <w:lang w:val="es-ES_tradnl"/>
        </w:rPr>
        <w:t xml:space="preserve">, toda vez que el alegato principal de la parte peticionaria versa sobre la impunidad y la falta de acceso a la justicia para las presuntas </w:t>
      </w:r>
      <w:r w:rsidRPr="00627045">
        <w:rPr>
          <w:rFonts w:asciiTheme="majorHAnsi" w:hAnsiTheme="majorHAnsi"/>
          <w:sz w:val="20"/>
          <w:szCs w:val="20"/>
          <w:lang w:val="es-ES_tradnl"/>
        </w:rPr>
        <w:lastRenderedPageBreak/>
        <w:t xml:space="preserve">víctimas. En ese sentido, la Comisión advierte que han transcurrido </w:t>
      </w:r>
      <w:r w:rsidR="00E0137D" w:rsidRPr="00627045">
        <w:rPr>
          <w:rFonts w:asciiTheme="majorHAnsi" w:hAnsiTheme="majorHAnsi"/>
          <w:sz w:val="20"/>
          <w:szCs w:val="20"/>
          <w:lang w:val="es-ES_tradnl"/>
        </w:rPr>
        <w:t>veintisiete</w:t>
      </w:r>
      <w:r w:rsidRPr="00627045">
        <w:rPr>
          <w:rFonts w:asciiTheme="majorHAnsi" w:hAnsiTheme="majorHAnsi"/>
          <w:sz w:val="20"/>
          <w:szCs w:val="20"/>
          <w:lang w:val="es-ES_tradnl"/>
        </w:rPr>
        <w:t xml:space="preserve"> años desde que ocurrieron los hechos, sin que el Estado </w:t>
      </w:r>
      <w:r w:rsidR="00882835" w:rsidRPr="00627045">
        <w:rPr>
          <w:rFonts w:asciiTheme="majorHAnsi" w:hAnsiTheme="majorHAnsi"/>
          <w:sz w:val="20"/>
          <w:szCs w:val="20"/>
          <w:lang w:val="es-ES_tradnl"/>
        </w:rPr>
        <w:t>inicie</w:t>
      </w:r>
      <w:r w:rsidRPr="00627045">
        <w:rPr>
          <w:rFonts w:asciiTheme="majorHAnsi" w:hAnsiTheme="majorHAnsi"/>
          <w:sz w:val="20"/>
          <w:szCs w:val="20"/>
          <w:lang w:val="es-ES_tradnl"/>
        </w:rPr>
        <w:t xml:space="preserve"> la etapa de juicio contra </w:t>
      </w:r>
      <w:r w:rsidR="00100069" w:rsidRPr="00627045">
        <w:rPr>
          <w:rFonts w:asciiTheme="majorHAnsi" w:hAnsiTheme="majorHAnsi"/>
          <w:sz w:val="20"/>
          <w:szCs w:val="20"/>
          <w:lang w:val="es-ES_tradnl"/>
        </w:rPr>
        <w:t xml:space="preserve">dos de los </w:t>
      </w:r>
      <w:r w:rsidRPr="00627045">
        <w:rPr>
          <w:rFonts w:asciiTheme="majorHAnsi" w:hAnsiTheme="majorHAnsi"/>
          <w:sz w:val="20"/>
          <w:szCs w:val="20"/>
          <w:lang w:val="es-ES_tradnl"/>
        </w:rPr>
        <w:t>acusados de la masacre</w:t>
      </w:r>
      <w:r w:rsidR="00100069" w:rsidRPr="00627045">
        <w:rPr>
          <w:rFonts w:asciiTheme="majorHAnsi" w:hAnsiTheme="majorHAnsi"/>
          <w:sz w:val="20"/>
          <w:szCs w:val="20"/>
          <w:lang w:val="es-ES_tradnl"/>
        </w:rPr>
        <w:t xml:space="preserve"> ni haya identificado a la totalidad de sus autores</w:t>
      </w:r>
      <w:r w:rsidRPr="00627045">
        <w:rPr>
          <w:rFonts w:asciiTheme="majorHAnsi" w:hAnsiTheme="majorHAnsi"/>
          <w:sz w:val="20"/>
          <w:szCs w:val="20"/>
          <w:lang w:val="es-ES_tradnl"/>
        </w:rPr>
        <w:t>.</w:t>
      </w:r>
    </w:p>
    <w:p w14:paraId="208FFE48" w14:textId="27F1AA6F" w:rsidR="003D1ADB" w:rsidRPr="00627045" w:rsidRDefault="003D1ADB" w:rsidP="003D1ADB">
      <w:pPr>
        <w:pStyle w:val="ListParagraph"/>
        <w:numPr>
          <w:ilvl w:val="0"/>
          <w:numId w:val="60"/>
        </w:numPr>
        <w:spacing w:after="240"/>
        <w:ind w:left="0" w:firstLine="720"/>
        <w:jc w:val="both"/>
        <w:rPr>
          <w:rFonts w:asciiTheme="majorHAnsi" w:hAnsiTheme="majorHAnsi"/>
          <w:sz w:val="20"/>
          <w:szCs w:val="20"/>
          <w:lang w:val="es-ES_tradnl"/>
        </w:rPr>
      </w:pPr>
      <w:r w:rsidRPr="00627045">
        <w:rPr>
          <w:rFonts w:asciiTheme="majorHAnsi" w:hAnsiTheme="majorHAnsi"/>
          <w:sz w:val="20"/>
          <w:szCs w:val="20"/>
          <w:lang w:val="es-ES_tradnl"/>
        </w:rPr>
        <w:t>La C</w:t>
      </w:r>
      <w:r w:rsidR="003D289E" w:rsidRPr="00627045">
        <w:rPr>
          <w:rFonts w:asciiTheme="majorHAnsi" w:hAnsiTheme="majorHAnsi"/>
          <w:sz w:val="20"/>
          <w:szCs w:val="20"/>
          <w:lang w:val="es-ES_tradnl"/>
        </w:rPr>
        <w:t>omisión</w:t>
      </w:r>
      <w:r w:rsidRPr="00627045">
        <w:rPr>
          <w:rFonts w:asciiTheme="majorHAnsi" w:hAnsiTheme="majorHAnsi"/>
          <w:sz w:val="20"/>
          <w:szCs w:val="20"/>
          <w:lang w:val="es-ES_tradnl"/>
        </w:rPr>
        <w:t xml:space="preserve"> ha determinado que, cuando se presentan elementos concretos de impunidad parcial en casos de graves violaciones de derechos humanos, como en el presente, resulta aplicable la excepción al agotamiento de los recursos internos prevista en el artículo 46.2.c) de la Convención Americana</w:t>
      </w:r>
      <w:r w:rsidRPr="00627045">
        <w:rPr>
          <w:rFonts w:asciiTheme="majorHAnsi" w:hAnsiTheme="majorHAnsi"/>
          <w:sz w:val="20"/>
          <w:szCs w:val="20"/>
          <w:vertAlign w:val="superscript"/>
          <w:lang w:val="es-ES_tradnl"/>
        </w:rPr>
        <w:footnoteReference w:id="8"/>
      </w:r>
      <w:r w:rsidRPr="00627045">
        <w:rPr>
          <w:rFonts w:asciiTheme="majorHAnsi" w:hAnsiTheme="majorHAnsi"/>
          <w:sz w:val="20"/>
          <w:szCs w:val="20"/>
          <w:lang w:val="es-ES_tradnl"/>
        </w:rPr>
        <w:t>. Asimismo, la CIDH considera que los hechos planteados en este extremo de la petición se mantienen vigentes por la falta de sanción a todos los responsables, y fueron presentados dentro de un plazo razonable en los términos del artículo 32.2 del Reglamento de la CIDH.</w:t>
      </w:r>
    </w:p>
    <w:p w14:paraId="673598AF" w14:textId="77777777" w:rsidR="003239B8" w:rsidRPr="00627045" w:rsidRDefault="003239B8" w:rsidP="003239B8">
      <w:pPr>
        <w:pStyle w:val="ListParagraph"/>
        <w:spacing w:before="240" w:after="240"/>
        <w:jc w:val="both"/>
        <w:rPr>
          <w:rFonts w:asciiTheme="majorHAnsi" w:hAnsiTheme="majorHAnsi"/>
          <w:b/>
          <w:sz w:val="20"/>
          <w:szCs w:val="20"/>
          <w:lang w:val="es-ES_tradnl"/>
        </w:rPr>
      </w:pPr>
      <w:r w:rsidRPr="00627045">
        <w:rPr>
          <w:rFonts w:asciiTheme="majorHAnsi" w:hAnsiTheme="majorHAnsi"/>
          <w:b/>
          <w:bCs/>
          <w:sz w:val="20"/>
          <w:szCs w:val="20"/>
          <w:lang w:val="es-ES_tradnl"/>
        </w:rPr>
        <w:t>VII.</w:t>
      </w:r>
      <w:r w:rsidRPr="00627045">
        <w:rPr>
          <w:rFonts w:asciiTheme="majorHAnsi" w:hAnsiTheme="majorHAnsi"/>
          <w:b/>
          <w:bCs/>
          <w:sz w:val="20"/>
          <w:szCs w:val="20"/>
          <w:lang w:val="es-ES_tradnl"/>
        </w:rPr>
        <w:tab/>
      </w:r>
      <w:r w:rsidR="004A6A54" w:rsidRPr="00627045">
        <w:rPr>
          <w:rFonts w:asciiTheme="majorHAnsi" w:hAnsiTheme="majorHAnsi"/>
          <w:b/>
          <w:bCs/>
          <w:sz w:val="20"/>
          <w:szCs w:val="20"/>
          <w:lang w:val="es-ES_tradnl"/>
        </w:rPr>
        <w:t xml:space="preserve">ANÁLISIS DE </w:t>
      </w:r>
      <w:r w:rsidR="00C21FEF" w:rsidRPr="00627045">
        <w:rPr>
          <w:rFonts w:asciiTheme="majorHAnsi" w:hAnsiTheme="majorHAnsi"/>
          <w:b/>
          <w:bCs/>
          <w:sz w:val="20"/>
          <w:szCs w:val="20"/>
          <w:lang w:val="es-ES_tradnl"/>
        </w:rPr>
        <w:t>CARACTERIZACIÓN DE LOS HECHOS ALEGADOS</w:t>
      </w:r>
    </w:p>
    <w:p w14:paraId="67F90608" w14:textId="7BC52E15" w:rsidR="00F76881" w:rsidRPr="00627045" w:rsidRDefault="008C5E2D" w:rsidP="00F7688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27045">
        <w:rPr>
          <w:rFonts w:asciiTheme="majorHAnsi" w:hAnsiTheme="majorHAnsi"/>
          <w:sz w:val="20"/>
          <w:szCs w:val="20"/>
          <w:lang w:val="es-ES_tradnl"/>
        </w:rPr>
        <w:t>La Comisión observa que la presente petición inclu</w:t>
      </w:r>
      <w:r w:rsidR="004B421C" w:rsidRPr="00627045">
        <w:rPr>
          <w:rFonts w:asciiTheme="majorHAnsi" w:hAnsiTheme="majorHAnsi"/>
          <w:sz w:val="20"/>
          <w:szCs w:val="20"/>
          <w:lang w:val="es-ES_tradnl"/>
        </w:rPr>
        <w:t xml:space="preserve">ye alegaciones con respecto a </w:t>
      </w:r>
      <w:r w:rsidR="0040589F" w:rsidRPr="00627045">
        <w:rPr>
          <w:rFonts w:asciiTheme="majorHAnsi" w:hAnsiTheme="majorHAnsi"/>
          <w:sz w:val="20"/>
          <w:szCs w:val="20"/>
          <w:lang w:val="es-ES_tradnl"/>
        </w:rPr>
        <w:t xml:space="preserve">la omisión </w:t>
      </w:r>
      <w:r w:rsidR="001421C8" w:rsidRPr="00627045">
        <w:rPr>
          <w:rFonts w:asciiTheme="majorHAnsi" w:hAnsiTheme="majorHAnsi"/>
          <w:sz w:val="20"/>
          <w:szCs w:val="20"/>
          <w:lang w:val="es-ES_tradnl"/>
        </w:rPr>
        <w:t xml:space="preserve">estatal </w:t>
      </w:r>
      <w:r w:rsidR="0040589F" w:rsidRPr="00627045">
        <w:rPr>
          <w:rFonts w:asciiTheme="majorHAnsi" w:hAnsiTheme="majorHAnsi"/>
          <w:sz w:val="20"/>
          <w:szCs w:val="20"/>
          <w:lang w:val="es-ES_tradnl"/>
        </w:rPr>
        <w:t xml:space="preserve">de </w:t>
      </w:r>
      <w:r w:rsidR="00F9023C" w:rsidRPr="00627045">
        <w:rPr>
          <w:rFonts w:asciiTheme="majorHAnsi" w:hAnsiTheme="majorHAnsi"/>
          <w:sz w:val="20"/>
          <w:szCs w:val="20"/>
          <w:lang w:val="es-ES_tradnl"/>
        </w:rPr>
        <w:t xml:space="preserve">brindar el </w:t>
      </w:r>
      <w:r w:rsidR="008C2E76" w:rsidRPr="00627045">
        <w:rPr>
          <w:rFonts w:asciiTheme="majorHAnsi" w:hAnsiTheme="majorHAnsi"/>
          <w:sz w:val="20"/>
          <w:szCs w:val="20"/>
          <w:lang w:val="es-ES_tradnl"/>
        </w:rPr>
        <w:t xml:space="preserve">apoyo militar </w:t>
      </w:r>
      <w:r w:rsidR="00F9023C" w:rsidRPr="00627045">
        <w:rPr>
          <w:rFonts w:asciiTheme="majorHAnsi" w:hAnsiTheme="majorHAnsi"/>
          <w:sz w:val="20"/>
          <w:szCs w:val="20"/>
          <w:lang w:val="es-ES_tradnl"/>
        </w:rPr>
        <w:t xml:space="preserve">solicitado </w:t>
      </w:r>
      <w:r w:rsidR="008C2E76" w:rsidRPr="00627045">
        <w:rPr>
          <w:rFonts w:asciiTheme="majorHAnsi" w:hAnsiTheme="majorHAnsi"/>
          <w:sz w:val="20"/>
          <w:szCs w:val="20"/>
          <w:lang w:val="es-ES_tradnl"/>
        </w:rPr>
        <w:t xml:space="preserve">a la misión </w:t>
      </w:r>
      <w:r w:rsidR="00ED69A0" w:rsidRPr="00627045">
        <w:rPr>
          <w:rFonts w:asciiTheme="majorHAnsi" w:hAnsiTheme="majorHAnsi"/>
          <w:sz w:val="20"/>
          <w:szCs w:val="20"/>
          <w:lang w:val="es-ES_tradnl"/>
        </w:rPr>
        <w:t xml:space="preserve">de la fiscalía en coordinación con el Gaula del ejército, la procuraduría y el CTI </w:t>
      </w:r>
      <w:r w:rsidR="00F9023C" w:rsidRPr="00627045">
        <w:rPr>
          <w:rFonts w:asciiTheme="majorHAnsi" w:hAnsiTheme="majorHAnsi"/>
          <w:sz w:val="20"/>
          <w:szCs w:val="20"/>
          <w:lang w:val="es-ES_tradnl"/>
        </w:rPr>
        <w:t xml:space="preserve">que derivó en la masacre en la que fallecieron </w:t>
      </w:r>
      <w:r w:rsidR="00D27D65" w:rsidRPr="00627045">
        <w:rPr>
          <w:rFonts w:asciiTheme="majorHAnsi" w:hAnsiTheme="majorHAnsi"/>
          <w:sz w:val="20"/>
          <w:szCs w:val="20"/>
          <w:lang w:val="es-ES_tradnl"/>
        </w:rPr>
        <w:t>once</w:t>
      </w:r>
      <w:r w:rsidR="00F9023C" w:rsidRPr="00627045">
        <w:rPr>
          <w:rFonts w:asciiTheme="majorHAnsi" w:hAnsiTheme="majorHAnsi"/>
          <w:sz w:val="20"/>
          <w:szCs w:val="20"/>
          <w:lang w:val="es-ES_tradnl"/>
        </w:rPr>
        <w:t xml:space="preserve"> servidores públicos y </w:t>
      </w:r>
      <w:r w:rsidR="00D27D65" w:rsidRPr="00627045">
        <w:rPr>
          <w:rFonts w:asciiTheme="majorHAnsi" w:hAnsiTheme="majorHAnsi"/>
          <w:sz w:val="20"/>
          <w:szCs w:val="20"/>
          <w:lang w:val="es-ES_tradnl"/>
        </w:rPr>
        <w:t>resultaron</w:t>
      </w:r>
      <w:r w:rsidR="00F9023C" w:rsidRPr="00627045">
        <w:rPr>
          <w:rFonts w:asciiTheme="majorHAnsi" w:hAnsiTheme="majorHAnsi"/>
          <w:sz w:val="20"/>
          <w:szCs w:val="20"/>
          <w:lang w:val="es-ES_tradnl"/>
        </w:rPr>
        <w:t xml:space="preserve"> heridas</w:t>
      </w:r>
      <w:r w:rsidR="00405869" w:rsidRPr="00627045">
        <w:rPr>
          <w:rFonts w:asciiTheme="majorHAnsi" w:hAnsiTheme="majorHAnsi"/>
          <w:sz w:val="20"/>
          <w:szCs w:val="20"/>
          <w:lang w:val="es-ES_tradnl"/>
        </w:rPr>
        <w:t xml:space="preserve"> otras </w:t>
      </w:r>
      <w:r w:rsidR="00D27D65" w:rsidRPr="00627045">
        <w:rPr>
          <w:rFonts w:asciiTheme="majorHAnsi" w:hAnsiTheme="majorHAnsi"/>
          <w:sz w:val="20"/>
          <w:szCs w:val="20"/>
          <w:lang w:val="es-ES_tradnl"/>
        </w:rPr>
        <w:t>catorce</w:t>
      </w:r>
      <w:r w:rsidR="00405869" w:rsidRPr="00627045">
        <w:rPr>
          <w:rFonts w:asciiTheme="majorHAnsi" w:hAnsiTheme="majorHAnsi"/>
          <w:sz w:val="20"/>
          <w:szCs w:val="20"/>
          <w:lang w:val="es-ES_tradnl"/>
        </w:rPr>
        <w:t xml:space="preserve"> personas.</w:t>
      </w:r>
      <w:r w:rsidR="00C133EE" w:rsidRPr="00627045">
        <w:rPr>
          <w:rFonts w:asciiTheme="majorHAnsi" w:hAnsiTheme="majorHAnsi"/>
          <w:sz w:val="20"/>
          <w:szCs w:val="20"/>
          <w:lang w:val="es-ES_tradnl"/>
        </w:rPr>
        <w:t xml:space="preserve"> </w:t>
      </w:r>
      <w:r w:rsidR="001B7261" w:rsidRPr="00627045">
        <w:rPr>
          <w:rFonts w:asciiTheme="majorHAnsi" w:hAnsiTheme="majorHAnsi"/>
          <w:sz w:val="20"/>
          <w:szCs w:val="20"/>
          <w:lang w:val="es-ES_tradnl"/>
        </w:rPr>
        <w:t xml:space="preserve">El Estado alega que la parte peticionaria pretende </w:t>
      </w:r>
      <w:r w:rsidR="00F45DFC" w:rsidRPr="00627045">
        <w:rPr>
          <w:rFonts w:asciiTheme="majorHAnsi" w:hAnsiTheme="majorHAnsi"/>
          <w:sz w:val="20"/>
          <w:szCs w:val="20"/>
          <w:lang w:val="es-ES_tradnl"/>
        </w:rPr>
        <w:t>que</w:t>
      </w:r>
      <w:r w:rsidR="001B7261" w:rsidRPr="00627045">
        <w:rPr>
          <w:rFonts w:asciiTheme="majorHAnsi" w:hAnsiTheme="majorHAnsi"/>
          <w:sz w:val="20"/>
          <w:szCs w:val="20"/>
          <w:lang w:val="es-ES_tradnl"/>
        </w:rPr>
        <w:t xml:space="preserve"> la CIDH </w:t>
      </w:r>
      <w:r w:rsidR="00F45DFC" w:rsidRPr="00627045">
        <w:rPr>
          <w:rFonts w:asciiTheme="majorHAnsi" w:hAnsiTheme="majorHAnsi"/>
          <w:sz w:val="20"/>
          <w:szCs w:val="20"/>
          <w:lang w:val="es-ES_tradnl"/>
        </w:rPr>
        <w:t>revise</w:t>
      </w:r>
      <w:r w:rsidR="001B7261" w:rsidRPr="00627045">
        <w:rPr>
          <w:rFonts w:asciiTheme="majorHAnsi" w:hAnsiTheme="majorHAnsi"/>
          <w:sz w:val="20"/>
          <w:szCs w:val="20"/>
          <w:lang w:val="es-ES_tradnl"/>
        </w:rPr>
        <w:t xml:space="preserve"> las sentencias emitidas en la jurisdicción contencioso-administrativa que ordenaron una indemnización a favor de algunas de las presuntas víctimas.</w:t>
      </w:r>
    </w:p>
    <w:p w14:paraId="73A89E25" w14:textId="4443C45D" w:rsidR="00F76881" w:rsidRPr="00627045" w:rsidRDefault="00F76881" w:rsidP="00F7688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27045">
        <w:rPr>
          <w:rFonts w:asciiTheme="majorHAnsi" w:hAnsiTheme="majorHAnsi"/>
          <w:sz w:val="20"/>
          <w:szCs w:val="20"/>
          <w:lang w:val="es-ES_tradnl"/>
        </w:rPr>
        <w:t>La Comisión reitera que, a los efectos de la admisibilidad, ésta debe decidir si los hechos alegados pueden caracterizar una violación de derechos humanos, según lo establecido en el artículo 47(b) de la Convención Americana, o si la petición es “manifiestamente infundada” o es “evidente su total improcedencia”, conforme al inciso (c) de dicho artículo. En este sentido, la Comisión observa los alegatos planteados por los peticionarios en su conjunto no resultan manifiestamente infundados, y en gran medida</w:t>
      </w:r>
      <w:r w:rsidR="000561A8" w:rsidRPr="00627045">
        <w:rPr>
          <w:rFonts w:asciiTheme="majorHAnsi" w:hAnsiTheme="majorHAnsi"/>
          <w:sz w:val="20"/>
          <w:szCs w:val="20"/>
          <w:lang w:val="es-ES_tradnl"/>
        </w:rPr>
        <w:t>,</w:t>
      </w:r>
      <w:r w:rsidRPr="00627045">
        <w:rPr>
          <w:rFonts w:asciiTheme="majorHAnsi" w:hAnsiTheme="majorHAnsi"/>
          <w:sz w:val="20"/>
          <w:szCs w:val="20"/>
          <w:lang w:val="es-ES_tradnl"/>
        </w:rPr>
        <w:t xml:space="preserve"> se refieren a hechos ya conocidos en la jurisprudencia de los órganos del Sistema Interamericano. </w:t>
      </w:r>
      <w:r w:rsidR="008101E2" w:rsidRPr="00627045">
        <w:rPr>
          <w:rFonts w:asciiTheme="majorHAnsi" w:hAnsiTheme="majorHAnsi"/>
          <w:sz w:val="20"/>
          <w:szCs w:val="20"/>
          <w:lang w:val="es-ES_tradnl"/>
        </w:rPr>
        <w:t xml:space="preserve">A este respecto, la CIDH toma nota de que el objeto de la presente petición versa sobre la responsabilidad estatal en la masacre y la impunidad que rodea el suceso, </w:t>
      </w:r>
      <w:r w:rsidR="00084185" w:rsidRPr="00627045">
        <w:rPr>
          <w:rFonts w:asciiTheme="majorHAnsi" w:hAnsiTheme="majorHAnsi"/>
          <w:sz w:val="20"/>
          <w:szCs w:val="20"/>
          <w:lang w:val="es-ES_tradnl"/>
        </w:rPr>
        <w:t xml:space="preserve">contrario a lo que alega el Estado, </w:t>
      </w:r>
      <w:r w:rsidR="00BF3DB7" w:rsidRPr="00627045">
        <w:rPr>
          <w:rFonts w:asciiTheme="majorHAnsi" w:hAnsiTheme="majorHAnsi"/>
          <w:sz w:val="20"/>
          <w:szCs w:val="20"/>
          <w:lang w:val="es-ES_tradnl"/>
        </w:rPr>
        <w:t>la Comisión no revisará los procesos contencioso-administrativos, a menos que se aleguen violaciones específicas a derechos cometidas en el marco de éstos.</w:t>
      </w:r>
    </w:p>
    <w:p w14:paraId="71B7A1BC" w14:textId="319C85CA" w:rsidR="00874C6E" w:rsidRPr="00627045" w:rsidRDefault="00F76881" w:rsidP="00A71DEC">
      <w:pPr>
        <w:pStyle w:val="ListParagraph"/>
        <w:numPr>
          <w:ilvl w:val="0"/>
          <w:numId w:val="60"/>
        </w:numPr>
        <w:spacing w:after="240"/>
        <w:ind w:left="0" w:firstLine="720"/>
        <w:jc w:val="both"/>
        <w:rPr>
          <w:rFonts w:asciiTheme="majorHAnsi" w:hAnsiTheme="majorHAnsi"/>
          <w:b/>
          <w:bCs/>
          <w:sz w:val="20"/>
          <w:szCs w:val="20"/>
          <w:lang w:val="es-ES_tradnl"/>
        </w:rPr>
      </w:pPr>
      <w:r w:rsidRPr="00627045">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627045">
        <w:rPr>
          <w:rFonts w:asciiTheme="majorHAnsi" w:hAnsiTheme="majorHAnsi"/>
          <w:bCs/>
          <w:sz w:val="20"/>
          <w:szCs w:val="20"/>
          <w:lang w:val="es-ES_tradnl"/>
        </w:rPr>
        <w:t>4 (vida), 5 (integridad personal), 8 (garantías judiciales) y 25 (protección judicial)</w:t>
      </w:r>
      <w:r w:rsidRPr="00627045">
        <w:rPr>
          <w:rFonts w:asciiTheme="majorHAnsi" w:hAnsiTheme="majorHAnsi"/>
          <w:sz w:val="20"/>
          <w:szCs w:val="20"/>
          <w:lang w:val="es-ES_tradnl"/>
        </w:rPr>
        <w:t xml:space="preserve"> en perjuicio de </w:t>
      </w:r>
      <w:r w:rsidR="005275AD" w:rsidRPr="00627045">
        <w:rPr>
          <w:rFonts w:asciiTheme="majorHAnsi" w:hAnsiTheme="majorHAnsi"/>
          <w:bCs/>
          <w:sz w:val="20"/>
          <w:szCs w:val="20"/>
          <w:lang w:val="es-ES_tradnl"/>
        </w:rPr>
        <w:t>las presuntas víctimas individualizadas en el anexo del presente informe.</w:t>
      </w:r>
    </w:p>
    <w:p w14:paraId="445BF42E" w14:textId="4C78D2B1" w:rsidR="003239B8" w:rsidRPr="00627045" w:rsidRDefault="003239B8" w:rsidP="00084185">
      <w:pPr>
        <w:pStyle w:val="ListParagraph"/>
        <w:spacing w:after="240"/>
        <w:jc w:val="both"/>
        <w:rPr>
          <w:rFonts w:asciiTheme="majorHAnsi" w:hAnsiTheme="majorHAnsi"/>
          <w:b/>
          <w:bCs/>
          <w:sz w:val="20"/>
          <w:szCs w:val="20"/>
          <w:lang w:val="es-ES_tradnl"/>
        </w:rPr>
      </w:pPr>
      <w:r w:rsidRPr="00627045">
        <w:rPr>
          <w:rFonts w:asciiTheme="majorHAnsi" w:hAnsiTheme="majorHAnsi"/>
          <w:b/>
          <w:bCs/>
          <w:sz w:val="20"/>
          <w:szCs w:val="20"/>
          <w:lang w:val="es-ES_tradnl"/>
        </w:rPr>
        <w:t xml:space="preserve">VIII. </w:t>
      </w:r>
      <w:r w:rsidRPr="00627045">
        <w:rPr>
          <w:rFonts w:asciiTheme="majorHAnsi" w:hAnsiTheme="majorHAnsi"/>
          <w:b/>
          <w:bCs/>
          <w:sz w:val="20"/>
          <w:szCs w:val="20"/>
          <w:lang w:val="es-ES_tradnl"/>
        </w:rPr>
        <w:tab/>
        <w:t>DECISIÓN</w:t>
      </w:r>
    </w:p>
    <w:p w14:paraId="547DFF8E" w14:textId="74202AF1" w:rsidR="000419AD" w:rsidRPr="00627045" w:rsidRDefault="003239B8" w:rsidP="00897D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27045">
        <w:rPr>
          <w:rFonts w:asciiTheme="majorHAnsi" w:hAnsiTheme="majorHAnsi"/>
          <w:sz w:val="20"/>
          <w:szCs w:val="20"/>
          <w:lang w:val="es-ES_tradnl"/>
        </w:rPr>
        <w:t>Declarar admisible la presente petición en relación con</w:t>
      </w:r>
      <w:r w:rsidR="001D7F96" w:rsidRPr="00627045">
        <w:rPr>
          <w:rFonts w:asciiTheme="majorHAnsi" w:hAnsiTheme="majorHAnsi"/>
          <w:sz w:val="20"/>
          <w:szCs w:val="20"/>
          <w:lang w:val="es-ES_tradnl"/>
        </w:rPr>
        <w:t xml:space="preserve"> </w:t>
      </w:r>
      <w:r w:rsidR="00897DCB" w:rsidRPr="00627045">
        <w:rPr>
          <w:rFonts w:asciiTheme="majorHAnsi" w:hAnsiTheme="majorHAnsi"/>
          <w:sz w:val="20"/>
          <w:szCs w:val="20"/>
          <w:lang w:val="es-ES_tradnl"/>
        </w:rPr>
        <w:t>los artículos 4, 5, 8 y 25 de la Convención Americana en relación con su artículo 1.1</w:t>
      </w:r>
      <w:r w:rsidR="00A758AA" w:rsidRPr="00627045">
        <w:rPr>
          <w:rFonts w:asciiTheme="majorHAnsi" w:hAnsiTheme="majorHAnsi"/>
          <w:sz w:val="20"/>
          <w:szCs w:val="20"/>
          <w:lang w:val="es-ES_tradnl"/>
        </w:rPr>
        <w:t>;</w:t>
      </w:r>
      <w:r w:rsidR="007B76D3" w:rsidRPr="00627045">
        <w:rPr>
          <w:rFonts w:asciiTheme="majorHAnsi" w:hAnsiTheme="majorHAnsi"/>
          <w:sz w:val="20"/>
          <w:szCs w:val="20"/>
          <w:lang w:val="es-ES_tradnl"/>
        </w:rPr>
        <w:t xml:space="preserve"> y</w:t>
      </w:r>
    </w:p>
    <w:p w14:paraId="00C1D3B7" w14:textId="2EE7D294" w:rsidR="00A15E9A"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27045">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854AE6A" w14:textId="77777777" w:rsidR="00CF52C0" w:rsidRDefault="00CF52C0" w:rsidP="00CF5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p w14:paraId="191E8D53" w14:textId="2856F960" w:rsidR="005A7C4B" w:rsidRPr="00407104" w:rsidRDefault="005A7C4B" w:rsidP="005A7C4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por la Comisión Interamericana de Derechos Humanos a los </w:t>
      </w:r>
      <w:r w:rsidR="002A62F7">
        <w:rPr>
          <w:rStyle w:val="normaltextrun"/>
          <w:rFonts w:ascii="Cambria" w:hAnsi="Cambria" w:cs="Segoe UI"/>
          <w:sz w:val="20"/>
          <w:szCs w:val="20"/>
          <w:lang w:val="es-CL"/>
        </w:rPr>
        <w:t>16</w:t>
      </w:r>
      <w:r>
        <w:rPr>
          <w:rStyle w:val="normaltextrun"/>
          <w:rFonts w:ascii="Cambria" w:hAnsi="Cambria" w:cs="Segoe UI"/>
          <w:sz w:val="20"/>
          <w:szCs w:val="20"/>
          <w:lang w:val="es-CL"/>
        </w:rPr>
        <w:t xml:space="preserve"> días del mes de </w:t>
      </w:r>
      <w:r w:rsidR="00DC60B5">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José Luis Caballero Ochoa, Segundo Vicepresidente; Arif Bulkan</w:t>
      </w:r>
      <w:r w:rsidR="00216100">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y Gloria Monique de Mees, </w:t>
      </w:r>
      <w:r w:rsidR="00B9690E">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4420726F" w14:textId="77777777" w:rsidR="005A7C4B" w:rsidRPr="00407104" w:rsidRDefault="005A7C4B" w:rsidP="005A7C4B">
      <w:pPr>
        <w:pStyle w:val="paragraph"/>
        <w:spacing w:before="0" w:beforeAutospacing="0" w:after="0" w:afterAutospacing="0"/>
        <w:ind w:firstLine="720"/>
        <w:jc w:val="both"/>
        <w:textAlignment w:val="baseline"/>
        <w:rPr>
          <w:rFonts w:ascii="Segoe UI" w:hAnsi="Segoe UI" w:cs="Segoe UI"/>
          <w:sz w:val="18"/>
          <w:szCs w:val="18"/>
          <w:lang w:val="es-ES"/>
        </w:rPr>
      </w:pPr>
      <w:r w:rsidRPr="00407104">
        <w:rPr>
          <w:rStyle w:val="eop"/>
          <w:rFonts w:ascii="Cambria" w:hAnsi="Cambria" w:cs="Segoe UI"/>
          <w:sz w:val="20"/>
          <w:szCs w:val="20"/>
          <w:lang w:val="es-ES"/>
        </w:rPr>
        <w:t> </w:t>
      </w:r>
    </w:p>
    <w:p w14:paraId="35895D94" w14:textId="77777777" w:rsidR="00D15302" w:rsidRPr="00B9690E" w:rsidRDefault="00D15302" w:rsidP="00A15E9A">
      <w:pPr>
        <w:jc w:val="center"/>
        <w:rPr>
          <w:rFonts w:asciiTheme="majorHAnsi" w:hAnsiTheme="majorHAnsi"/>
          <w:b/>
          <w:bCs/>
          <w:sz w:val="20"/>
          <w:szCs w:val="20"/>
          <w:lang w:val="es-AR"/>
        </w:rPr>
      </w:pPr>
    </w:p>
    <w:p w14:paraId="7C9EDC2E" w14:textId="77777777" w:rsidR="00D15302" w:rsidRPr="00B9690E" w:rsidRDefault="00D15302" w:rsidP="00A15E9A">
      <w:pPr>
        <w:jc w:val="center"/>
        <w:rPr>
          <w:rFonts w:asciiTheme="majorHAnsi" w:hAnsiTheme="majorHAnsi"/>
          <w:b/>
          <w:bCs/>
          <w:sz w:val="20"/>
          <w:szCs w:val="20"/>
          <w:lang w:val="es-AR"/>
        </w:rPr>
      </w:pPr>
    </w:p>
    <w:p w14:paraId="28E74416" w14:textId="77777777" w:rsidR="00D15302" w:rsidRPr="00B9690E" w:rsidRDefault="00D15302" w:rsidP="00A15E9A">
      <w:pPr>
        <w:jc w:val="center"/>
        <w:rPr>
          <w:rFonts w:asciiTheme="majorHAnsi" w:hAnsiTheme="majorHAnsi"/>
          <w:b/>
          <w:bCs/>
          <w:sz w:val="20"/>
          <w:szCs w:val="20"/>
          <w:lang w:val="es-AR"/>
        </w:rPr>
      </w:pPr>
    </w:p>
    <w:p w14:paraId="69D26EC2" w14:textId="77777777" w:rsidR="00D15302" w:rsidRPr="00B9690E" w:rsidRDefault="00D15302" w:rsidP="00A15E9A">
      <w:pPr>
        <w:jc w:val="center"/>
        <w:rPr>
          <w:rFonts w:asciiTheme="majorHAnsi" w:hAnsiTheme="majorHAnsi"/>
          <w:b/>
          <w:bCs/>
          <w:sz w:val="20"/>
          <w:szCs w:val="20"/>
          <w:lang w:val="es-AR"/>
        </w:rPr>
      </w:pPr>
    </w:p>
    <w:p w14:paraId="3A9857BF" w14:textId="77777777" w:rsidR="00D15302" w:rsidRPr="00B9690E" w:rsidRDefault="00D15302" w:rsidP="00A15E9A">
      <w:pPr>
        <w:jc w:val="center"/>
        <w:rPr>
          <w:rFonts w:asciiTheme="majorHAnsi" w:hAnsiTheme="majorHAnsi"/>
          <w:b/>
          <w:bCs/>
          <w:sz w:val="20"/>
          <w:szCs w:val="20"/>
          <w:lang w:val="es-AR"/>
        </w:rPr>
      </w:pPr>
    </w:p>
    <w:p w14:paraId="040505F8" w14:textId="77777777" w:rsidR="00D15302" w:rsidRPr="00B9690E" w:rsidRDefault="00D15302" w:rsidP="00A15E9A">
      <w:pPr>
        <w:jc w:val="center"/>
        <w:rPr>
          <w:rFonts w:asciiTheme="majorHAnsi" w:hAnsiTheme="majorHAnsi"/>
          <w:b/>
          <w:bCs/>
          <w:sz w:val="20"/>
          <w:szCs w:val="20"/>
          <w:lang w:val="es-AR"/>
        </w:rPr>
      </w:pPr>
    </w:p>
    <w:p w14:paraId="7CA9DD71" w14:textId="77777777" w:rsidR="00D15302" w:rsidRPr="00B9690E" w:rsidRDefault="00D15302" w:rsidP="00A15E9A">
      <w:pPr>
        <w:jc w:val="center"/>
        <w:rPr>
          <w:rFonts w:asciiTheme="majorHAnsi" w:hAnsiTheme="majorHAnsi"/>
          <w:b/>
          <w:bCs/>
          <w:sz w:val="20"/>
          <w:szCs w:val="20"/>
          <w:lang w:val="es-AR"/>
        </w:rPr>
      </w:pPr>
    </w:p>
    <w:p w14:paraId="147ED5C6" w14:textId="77777777" w:rsidR="00D15302" w:rsidRPr="00B9690E" w:rsidRDefault="00D15302" w:rsidP="00A15E9A">
      <w:pPr>
        <w:jc w:val="center"/>
        <w:rPr>
          <w:rFonts w:asciiTheme="majorHAnsi" w:hAnsiTheme="majorHAnsi"/>
          <w:b/>
          <w:bCs/>
          <w:sz w:val="20"/>
          <w:szCs w:val="20"/>
          <w:lang w:val="es-AR"/>
        </w:rPr>
      </w:pPr>
    </w:p>
    <w:p w14:paraId="6CAA2256" w14:textId="77777777" w:rsidR="00D15302" w:rsidRPr="00B9690E" w:rsidRDefault="00D15302" w:rsidP="00A15E9A">
      <w:pPr>
        <w:jc w:val="center"/>
        <w:rPr>
          <w:rFonts w:asciiTheme="majorHAnsi" w:hAnsiTheme="majorHAnsi"/>
          <w:b/>
          <w:bCs/>
          <w:sz w:val="20"/>
          <w:szCs w:val="20"/>
          <w:lang w:val="es-AR"/>
        </w:rPr>
      </w:pPr>
    </w:p>
    <w:p w14:paraId="110F27D4" w14:textId="77777777" w:rsidR="00D15302" w:rsidRPr="00B9690E" w:rsidRDefault="00D15302" w:rsidP="00A15E9A">
      <w:pPr>
        <w:jc w:val="center"/>
        <w:rPr>
          <w:rFonts w:asciiTheme="majorHAnsi" w:hAnsiTheme="majorHAnsi"/>
          <w:b/>
          <w:bCs/>
          <w:sz w:val="20"/>
          <w:szCs w:val="20"/>
          <w:lang w:val="es-AR"/>
        </w:rPr>
      </w:pPr>
    </w:p>
    <w:p w14:paraId="436E776F" w14:textId="77777777" w:rsidR="00D15302" w:rsidRPr="00B9690E" w:rsidRDefault="00D15302" w:rsidP="00A15E9A">
      <w:pPr>
        <w:jc w:val="center"/>
        <w:rPr>
          <w:rFonts w:asciiTheme="majorHAnsi" w:hAnsiTheme="majorHAnsi"/>
          <w:b/>
          <w:bCs/>
          <w:sz w:val="20"/>
          <w:szCs w:val="20"/>
          <w:lang w:val="es-AR"/>
        </w:rPr>
      </w:pPr>
    </w:p>
    <w:p w14:paraId="1EE9EADF" w14:textId="77777777" w:rsidR="00D15302" w:rsidRPr="00B9690E" w:rsidRDefault="00D15302" w:rsidP="00A15E9A">
      <w:pPr>
        <w:jc w:val="center"/>
        <w:rPr>
          <w:rFonts w:asciiTheme="majorHAnsi" w:hAnsiTheme="majorHAnsi"/>
          <w:b/>
          <w:bCs/>
          <w:sz w:val="20"/>
          <w:szCs w:val="20"/>
          <w:lang w:val="es-AR"/>
        </w:rPr>
      </w:pPr>
    </w:p>
    <w:p w14:paraId="618E23C5" w14:textId="77777777" w:rsidR="00D15302" w:rsidRPr="00B9690E" w:rsidRDefault="00D15302" w:rsidP="00A15E9A">
      <w:pPr>
        <w:jc w:val="center"/>
        <w:rPr>
          <w:rFonts w:asciiTheme="majorHAnsi" w:hAnsiTheme="majorHAnsi"/>
          <w:b/>
          <w:bCs/>
          <w:sz w:val="20"/>
          <w:szCs w:val="20"/>
          <w:lang w:val="es-AR"/>
        </w:rPr>
      </w:pPr>
    </w:p>
    <w:p w14:paraId="6A8114A3" w14:textId="77777777" w:rsidR="00D15302" w:rsidRPr="00B9690E" w:rsidRDefault="00D15302" w:rsidP="00A15E9A">
      <w:pPr>
        <w:jc w:val="center"/>
        <w:rPr>
          <w:rFonts w:asciiTheme="majorHAnsi" w:hAnsiTheme="majorHAnsi"/>
          <w:b/>
          <w:bCs/>
          <w:sz w:val="20"/>
          <w:szCs w:val="20"/>
          <w:lang w:val="es-AR"/>
        </w:rPr>
      </w:pPr>
    </w:p>
    <w:p w14:paraId="5D22A5FD" w14:textId="77777777" w:rsidR="00D15302" w:rsidRPr="00B9690E" w:rsidRDefault="00D15302" w:rsidP="00A15E9A">
      <w:pPr>
        <w:jc w:val="center"/>
        <w:rPr>
          <w:rFonts w:asciiTheme="majorHAnsi" w:hAnsiTheme="majorHAnsi"/>
          <w:b/>
          <w:bCs/>
          <w:sz w:val="20"/>
          <w:szCs w:val="20"/>
          <w:lang w:val="es-AR"/>
        </w:rPr>
      </w:pPr>
    </w:p>
    <w:p w14:paraId="589BCCDD" w14:textId="77777777" w:rsidR="00D15302" w:rsidRPr="00B9690E" w:rsidRDefault="00D15302" w:rsidP="00A15E9A">
      <w:pPr>
        <w:jc w:val="center"/>
        <w:rPr>
          <w:rFonts w:asciiTheme="majorHAnsi" w:hAnsiTheme="majorHAnsi"/>
          <w:b/>
          <w:bCs/>
          <w:sz w:val="20"/>
          <w:szCs w:val="20"/>
          <w:lang w:val="es-AR"/>
        </w:rPr>
      </w:pPr>
    </w:p>
    <w:p w14:paraId="1B558C59" w14:textId="77777777" w:rsidR="00D15302" w:rsidRPr="00B9690E" w:rsidRDefault="00D15302" w:rsidP="00A15E9A">
      <w:pPr>
        <w:jc w:val="center"/>
        <w:rPr>
          <w:rFonts w:asciiTheme="majorHAnsi" w:hAnsiTheme="majorHAnsi"/>
          <w:b/>
          <w:bCs/>
          <w:sz w:val="20"/>
          <w:szCs w:val="20"/>
          <w:lang w:val="es-AR"/>
        </w:rPr>
      </w:pPr>
    </w:p>
    <w:p w14:paraId="66DC6112" w14:textId="77777777" w:rsidR="00D15302" w:rsidRPr="00B9690E" w:rsidRDefault="00D15302" w:rsidP="00A15E9A">
      <w:pPr>
        <w:jc w:val="center"/>
        <w:rPr>
          <w:rFonts w:asciiTheme="majorHAnsi" w:hAnsiTheme="majorHAnsi"/>
          <w:b/>
          <w:bCs/>
          <w:sz w:val="20"/>
          <w:szCs w:val="20"/>
          <w:lang w:val="es-AR"/>
        </w:rPr>
      </w:pPr>
    </w:p>
    <w:p w14:paraId="188F6D7A" w14:textId="77777777" w:rsidR="00D15302" w:rsidRPr="00B9690E" w:rsidRDefault="00D15302" w:rsidP="00A15E9A">
      <w:pPr>
        <w:jc w:val="center"/>
        <w:rPr>
          <w:rFonts w:asciiTheme="majorHAnsi" w:hAnsiTheme="majorHAnsi"/>
          <w:b/>
          <w:bCs/>
          <w:sz w:val="20"/>
          <w:szCs w:val="20"/>
          <w:lang w:val="es-AR"/>
        </w:rPr>
      </w:pPr>
    </w:p>
    <w:p w14:paraId="0E4E2194" w14:textId="77777777" w:rsidR="00D15302" w:rsidRPr="00B9690E" w:rsidRDefault="00D15302" w:rsidP="00A15E9A">
      <w:pPr>
        <w:jc w:val="center"/>
        <w:rPr>
          <w:rFonts w:asciiTheme="majorHAnsi" w:hAnsiTheme="majorHAnsi"/>
          <w:b/>
          <w:bCs/>
          <w:sz w:val="20"/>
          <w:szCs w:val="20"/>
          <w:lang w:val="es-AR"/>
        </w:rPr>
      </w:pPr>
    </w:p>
    <w:p w14:paraId="2BE58D52" w14:textId="77777777" w:rsidR="00D15302" w:rsidRPr="00B9690E" w:rsidRDefault="00D15302" w:rsidP="00A15E9A">
      <w:pPr>
        <w:jc w:val="center"/>
        <w:rPr>
          <w:rFonts w:asciiTheme="majorHAnsi" w:hAnsiTheme="majorHAnsi"/>
          <w:b/>
          <w:bCs/>
          <w:sz w:val="20"/>
          <w:szCs w:val="20"/>
          <w:lang w:val="es-AR"/>
        </w:rPr>
      </w:pPr>
    </w:p>
    <w:p w14:paraId="4D5B115F" w14:textId="77777777" w:rsidR="00D15302" w:rsidRPr="00B9690E" w:rsidRDefault="00D15302" w:rsidP="00A15E9A">
      <w:pPr>
        <w:jc w:val="center"/>
        <w:rPr>
          <w:rFonts w:asciiTheme="majorHAnsi" w:hAnsiTheme="majorHAnsi"/>
          <w:b/>
          <w:bCs/>
          <w:sz w:val="20"/>
          <w:szCs w:val="20"/>
          <w:lang w:val="es-AR"/>
        </w:rPr>
      </w:pPr>
    </w:p>
    <w:p w14:paraId="234AC274" w14:textId="77777777" w:rsidR="00D15302" w:rsidRPr="00B9690E" w:rsidRDefault="00D15302" w:rsidP="00A15E9A">
      <w:pPr>
        <w:jc w:val="center"/>
        <w:rPr>
          <w:rFonts w:asciiTheme="majorHAnsi" w:hAnsiTheme="majorHAnsi"/>
          <w:b/>
          <w:bCs/>
          <w:sz w:val="20"/>
          <w:szCs w:val="20"/>
          <w:lang w:val="es-AR"/>
        </w:rPr>
      </w:pPr>
    </w:p>
    <w:p w14:paraId="1105731C" w14:textId="77777777" w:rsidR="00D15302" w:rsidRPr="00B9690E" w:rsidRDefault="00D15302" w:rsidP="00A15E9A">
      <w:pPr>
        <w:jc w:val="center"/>
        <w:rPr>
          <w:rFonts w:asciiTheme="majorHAnsi" w:hAnsiTheme="majorHAnsi"/>
          <w:b/>
          <w:bCs/>
          <w:sz w:val="20"/>
          <w:szCs w:val="20"/>
          <w:lang w:val="es-AR"/>
        </w:rPr>
      </w:pPr>
    </w:p>
    <w:p w14:paraId="2194F811" w14:textId="77777777" w:rsidR="00D15302" w:rsidRPr="00B9690E" w:rsidRDefault="00D15302" w:rsidP="00A15E9A">
      <w:pPr>
        <w:jc w:val="center"/>
        <w:rPr>
          <w:rFonts w:asciiTheme="majorHAnsi" w:hAnsiTheme="majorHAnsi"/>
          <w:b/>
          <w:bCs/>
          <w:sz w:val="20"/>
          <w:szCs w:val="20"/>
          <w:lang w:val="es-AR"/>
        </w:rPr>
      </w:pPr>
    </w:p>
    <w:p w14:paraId="1634DB08" w14:textId="77777777" w:rsidR="00D15302" w:rsidRPr="00B9690E" w:rsidRDefault="00D15302" w:rsidP="00A15E9A">
      <w:pPr>
        <w:jc w:val="center"/>
        <w:rPr>
          <w:rFonts w:asciiTheme="majorHAnsi" w:hAnsiTheme="majorHAnsi"/>
          <w:b/>
          <w:bCs/>
          <w:sz w:val="20"/>
          <w:szCs w:val="20"/>
          <w:lang w:val="es-AR"/>
        </w:rPr>
      </w:pPr>
    </w:p>
    <w:p w14:paraId="58500FB9" w14:textId="77777777" w:rsidR="00D15302" w:rsidRPr="00B9690E" w:rsidRDefault="00D15302" w:rsidP="00A15E9A">
      <w:pPr>
        <w:jc w:val="center"/>
        <w:rPr>
          <w:rFonts w:asciiTheme="majorHAnsi" w:hAnsiTheme="majorHAnsi"/>
          <w:b/>
          <w:bCs/>
          <w:sz w:val="20"/>
          <w:szCs w:val="20"/>
          <w:lang w:val="es-AR"/>
        </w:rPr>
      </w:pPr>
    </w:p>
    <w:p w14:paraId="2278816E" w14:textId="77777777" w:rsidR="00D15302" w:rsidRPr="00B9690E" w:rsidRDefault="00D15302" w:rsidP="00A15E9A">
      <w:pPr>
        <w:jc w:val="center"/>
        <w:rPr>
          <w:rFonts w:asciiTheme="majorHAnsi" w:hAnsiTheme="majorHAnsi"/>
          <w:b/>
          <w:bCs/>
          <w:sz w:val="20"/>
          <w:szCs w:val="20"/>
          <w:lang w:val="es-AR"/>
        </w:rPr>
      </w:pPr>
    </w:p>
    <w:p w14:paraId="11946A77" w14:textId="77777777" w:rsidR="00D15302" w:rsidRPr="00B9690E" w:rsidRDefault="00D15302" w:rsidP="00A15E9A">
      <w:pPr>
        <w:jc w:val="center"/>
        <w:rPr>
          <w:rFonts w:asciiTheme="majorHAnsi" w:hAnsiTheme="majorHAnsi"/>
          <w:b/>
          <w:bCs/>
          <w:sz w:val="20"/>
          <w:szCs w:val="20"/>
          <w:lang w:val="es-AR"/>
        </w:rPr>
      </w:pPr>
    </w:p>
    <w:p w14:paraId="73D3CC70" w14:textId="77777777" w:rsidR="00D15302" w:rsidRPr="00B9690E" w:rsidRDefault="00D15302" w:rsidP="00A15E9A">
      <w:pPr>
        <w:jc w:val="center"/>
        <w:rPr>
          <w:rFonts w:asciiTheme="majorHAnsi" w:hAnsiTheme="majorHAnsi"/>
          <w:b/>
          <w:bCs/>
          <w:sz w:val="20"/>
          <w:szCs w:val="20"/>
          <w:lang w:val="es-AR"/>
        </w:rPr>
      </w:pPr>
    </w:p>
    <w:p w14:paraId="64ABC428" w14:textId="77777777" w:rsidR="00D15302" w:rsidRPr="00B9690E" w:rsidRDefault="00D15302" w:rsidP="00A15E9A">
      <w:pPr>
        <w:jc w:val="center"/>
        <w:rPr>
          <w:rFonts w:asciiTheme="majorHAnsi" w:hAnsiTheme="majorHAnsi"/>
          <w:b/>
          <w:bCs/>
          <w:sz w:val="20"/>
          <w:szCs w:val="20"/>
          <w:lang w:val="es-AR"/>
        </w:rPr>
      </w:pPr>
    </w:p>
    <w:p w14:paraId="58825169" w14:textId="77777777" w:rsidR="00D15302" w:rsidRPr="00B9690E" w:rsidRDefault="00D15302" w:rsidP="00A15E9A">
      <w:pPr>
        <w:jc w:val="center"/>
        <w:rPr>
          <w:rFonts w:asciiTheme="majorHAnsi" w:hAnsiTheme="majorHAnsi"/>
          <w:b/>
          <w:bCs/>
          <w:sz w:val="20"/>
          <w:szCs w:val="20"/>
          <w:lang w:val="es-AR"/>
        </w:rPr>
      </w:pPr>
    </w:p>
    <w:p w14:paraId="54D73A78" w14:textId="77777777" w:rsidR="00D15302" w:rsidRPr="00B9690E" w:rsidRDefault="00D15302" w:rsidP="00A15E9A">
      <w:pPr>
        <w:jc w:val="center"/>
        <w:rPr>
          <w:rFonts w:asciiTheme="majorHAnsi" w:hAnsiTheme="majorHAnsi"/>
          <w:b/>
          <w:bCs/>
          <w:sz w:val="20"/>
          <w:szCs w:val="20"/>
          <w:lang w:val="es-AR"/>
        </w:rPr>
      </w:pPr>
    </w:p>
    <w:p w14:paraId="53A8E8E1" w14:textId="77777777" w:rsidR="00D15302" w:rsidRPr="00B9690E" w:rsidRDefault="00D15302" w:rsidP="00A15E9A">
      <w:pPr>
        <w:jc w:val="center"/>
        <w:rPr>
          <w:rFonts w:asciiTheme="majorHAnsi" w:hAnsiTheme="majorHAnsi"/>
          <w:b/>
          <w:bCs/>
          <w:sz w:val="20"/>
          <w:szCs w:val="20"/>
          <w:lang w:val="es-AR"/>
        </w:rPr>
      </w:pPr>
    </w:p>
    <w:p w14:paraId="63090B70" w14:textId="77777777" w:rsidR="00D15302" w:rsidRPr="00B9690E" w:rsidRDefault="00D15302" w:rsidP="00A15E9A">
      <w:pPr>
        <w:jc w:val="center"/>
        <w:rPr>
          <w:rFonts w:asciiTheme="majorHAnsi" w:hAnsiTheme="majorHAnsi"/>
          <w:b/>
          <w:bCs/>
          <w:sz w:val="20"/>
          <w:szCs w:val="20"/>
          <w:lang w:val="es-AR"/>
        </w:rPr>
      </w:pPr>
    </w:p>
    <w:p w14:paraId="048A6BC6" w14:textId="77777777" w:rsidR="00D15302" w:rsidRPr="00B9690E" w:rsidRDefault="00D15302" w:rsidP="00A15E9A">
      <w:pPr>
        <w:jc w:val="center"/>
        <w:rPr>
          <w:rFonts w:asciiTheme="majorHAnsi" w:hAnsiTheme="majorHAnsi"/>
          <w:b/>
          <w:bCs/>
          <w:sz w:val="20"/>
          <w:szCs w:val="20"/>
          <w:lang w:val="es-AR"/>
        </w:rPr>
      </w:pPr>
    </w:p>
    <w:p w14:paraId="579BCC3B" w14:textId="77777777" w:rsidR="00D15302" w:rsidRPr="00B9690E" w:rsidRDefault="00D15302" w:rsidP="00A15E9A">
      <w:pPr>
        <w:jc w:val="center"/>
        <w:rPr>
          <w:rFonts w:asciiTheme="majorHAnsi" w:hAnsiTheme="majorHAnsi"/>
          <w:b/>
          <w:bCs/>
          <w:sz w:val="20"/>
          <w:szCs w:val="20"/>
          <w:lang w:val="es-AR"/>
        </w:rPr>
      </w:pPr>
    </w:p>
    <w:p w14:paraId="305E2360" w14:textId="77777777" w:rsidR="00D15302" w:rsidRPr="00B9690E" w:rsidRDefault="00D15302" w:rsidP="00A15E9A">
      <w:pPr>
        <w:jc w:val="center"/>
        <w:rPr>
          <w:rFonts w:asciiTheme="majorHAnsi" w:hAnsiTheme="majorHAnsi"/>
          <w:b/>
          <w:bCs/>
          <w:sz w:val="20"/>
          <w:szCs w:val="20"/>
          <w:lang w:val="es-AR"/>
        </w:rPr>
      </w:pPr>
    </w:p>
    <w:p w14:paraId="12B8E78E" w14:textId="77777777" w:rsidR="00D15302" w:rsidRPr="00B9690E" w:rsidRDefault="00D15302" w:rsidP="00A15E9A">
      <w:pPr>
        <w:jc w:val="center"/>
        <w:rPr>
          <w:rFonts w:asciiTheme="majorHAnsi" w:hAnsiTheme="majorHAnsi"/>
          <w:b/>
          <w:bCs/>
          <w:sz w:val="20"/>
          <w:szCs w:val="20"/>
          <w:lang w:val="es-AR"/>
        </w:rPr>
      </w:pPr>
    </w:p>
    <w:p w14:paraId="139DA03E" w14:textId="77777777" w:rsidR="00D15302" w:rsidRPr="00B9690E" w:rsidRDefault="00D15302" w:rsidP="00A15E9A">
      <w:pPr>
        <w:jc w:val="center"/>
        <w:rPr>
          <w:rFonts w:asciiTheme="majorHAnsi" w:hAnsiTheme="majorHAnsi"/>
          <w:b/>
          <w:bCs/>
          <w:sz w:val="20"/>
          <w:szCs w:val="20"/>
          <w:lang w:val="es-AR"/>
        </w:rPr>
      </w:pPr>
    </w:p>
    <w:p w14:paraId="5BEB744F" w14:textId="77777777" w:rsidR="00D15302" w:rsidRPr="00B9690E" w:rsidRDefault="00D15302" w:rsidP="00A15E9A">
      <w:pPr>
        <w:jc w:val="center"/>
        <w:rPr>
          <w:rFonts w:asciiTheme="majorHAnsi" w:hAnsiTheme="majorHAnsi"/>
          <w:b/>
          <w:bCs/>
          <w:sz w:val="20"/>
          <w:szCs w:val="20"/>
          <w:lang w:val="es-AR"/>
        </w:rPr>
      </w:pPr>
    </w:p>
    <w:p w14:paraId="2ADAF6E0" w14:textId="77777777" w:rsidR="00D15302" w:rsidRPr="00B9690E" w:rsidRDefault="00D15302" w:rsidP="00A15E9A">
      <w:pPr>
        <w:jc w:val="center"/>
        <w:rPr>
          <w:rFonts w:asciiTheme="majorHAnsi" w:hAnsiTheme="majorHAnsi"/>
          <w:b/>
          <w:bCs/>
          <w:sz w:val="20"/>
          <w:szCs w:val="20"/>
          <w:lang w:val="es-AR"/>
        </w:rPr>
      </w:pPr>
    </w:p>
    <w:p w14:paraId="320D4651" w14:textId="77777777" w:rsidR="00D15302" w:rsidRPr="00B9690E" w:rsidRDefault="00D15302" w:rsidP="00A15E9A">
      <w:pPr>
        <w:jc w:val="center"/>
        <w:rPr>
          <w:rFonts w:asciiTheme="majorHAnsi" w:hAnsiTheme="majorHAnsi"/>
          <w:b/>
          <w:bCs/>
          <w:sz w:val="20"/>
          <w:szCs w:val="20"/>
          <w:lang w:val="es-AR"/>
        </w:rPr>
      </w:pPr>
    </w:p>
    <w:p w14:paraId="7771D3CF" w14:textId="77777777" w:rsidR="00D15302" w:rsidRPr="00B9690E" w:rsidRDefault="00D15302" w:rsidP="00A15E9A">
      <w:pPr>
        <w:jc w:val="center"/>
        <w:rPr>
          <w:rFonts w:asciiTheme="majorHAnsi" w:hAnsiTheme="majorHAnsi"/>
          <w:b/>
          <w:bCs/>
          <w:sz w:val="20"/>
          <w:szCs w:val="20"/>
          <w:lang w:val="es-AR"/>
        </w:rPr>
      </w:pPr>
    </w:p>
    <w:p w14:paraId="405144ED" w14:textId="77777777" w:rsidR="00D15302" w:rsidRPr="00B9690E" w:rsidRDefault="00D15302" w:rsidP="00A15E9A">
      <w:pPr>
        <w:jc w:val="center"/>
        <w:rPr>
          <w:rFonts w:asciiTheme="majorHAnsi" w:hAnsiTheme="majorHAnsi"/>
          <w:b/>
          <w:bCs/>
          <w:sz w:val="20"/>
          <w:szCs w:val="20"/>
          <w:lang w:val="es-AR"/>
        </w:rPr>
      </w:pPr>
    </w:p>
    <w:p w14:paraId="625CAF56" w14:textId="77777777" w:rsidR="00D15302" w:rsidRPr="00B9690E" w:rsidRDefault="00D15302" w:rsidP="00A15E9A">
      <w:pPr>
        <w:jc w:val="center"/>
        <w:rPr>
          <w:rFonts w:asciiTheme="majorHAnsi" w:hAnsiTheme="majorHAnsi"/>
          <w:b/>
          <w:bCs/>
          <w:sz w:val="20"/>
          <w:szCs w:val="20"/>
          <w:lang w:val="es-AR"/>
        </w:rPr>
      </w:pPr>
    </w:p>
    <w:p w14:paraId="7F4D5D57" w14:textId="77777777" w:rsidR="00D15302" w:rsidRPr="00B9690E" w:rsidRDefault="00D15302" w:rsidP="00A15E9A">
      <w:pPr>
        <w:jc w:val="center"/>
        <w:rPr>
          <w:rFonts w:asciiTheme="majorHAnsi" w:hAnsiTheme="majorHAnsi"/>
          <w:b/>
          <w:bCs/>
          <w:sz w:val="20"/>
          <w:szCs w:val="20"/>
          <w:lang w:val="es-AR"/>
        </w:rPr>
      </w:pPr>
    </w:p>
    <w:p w14:paraId="43BD53C6" w14:textId="77777777" w:rsidR="00D15302" w:rsidRPr="00B9690E" w:rsidRDefault="00D15302" w:rsidP="00A15E9A">
      <w:pPr>
        <w:jc w:val="center"/>
        <w:rPr>
          <w:rFonts w:asciiTheme="majorHAnsi" w:hAnsiTheme="majorHAnsi"/>
          <w:b/>
          <w:bCs/>
          <w:sz w:val="20"/>
          <w:szCs w:val="20"/>
          <w:lang w:val="es-AR"/>
        </w:rPr>
      </w:pPr>
    </w:p>
    <w:p w14:paraId="2BDD7806" w14:textId="77777777" w:rsidR="00D15302" w:rsidRPr="00B9690E" w:rsidRDefault="00D15302" w:rsidP="00A15E9A">
      <w:pPr>
        <w:jc w:val="center"/>
        <w:rPr>
          <w:rFonts w:asciiTheme="majorHAnsi" w:hAnsiTheme="majorHAnsi"/>
          <w:b/>
          <w:bCs/>
          <w:sz w:val="20"/>
          <w:szCs w:val="20"/>
          <w:lang w:val="es-AR"/>
        </w:rPr>
      </w:pPr>
    </w:p>
    <w:p w14:paraId="73D0EBF1" w14:textId="77777777" w:rsidR="00D15302" w:rsidRPr="00B9690E" w:rsidRDefault="00D15302" w:rsidP="00A15E9A">
      <w:pPr>
        <w:jc w:val="center"/>
        <w:rPr>
          <w:rFonts w:asciiTheme="majorHAnsi" w:hAnsiTheme="majorHAnsi"/>
          <w:b/>
          <w:bCs/>
          <w:sz w:val="20"/>
          <w:szCs w:val="20"/>
          <w:lang w:val="es-AR"/>
        </w:rPr>
      </w:pPr>
    </w:p>
    <w:p w14:paraId="4801E7FF" w14:textId="77777777" w:rsidR="00D15302" w:rsidRPr="00B9690E" w:rsidRDefault="00D15302" w:rsidP="00A15E9A">
      <w:pPr>
        <w:jc w:val="center"/>
        <w:rPr>
          <w:rFonts w:asciiTheme="majorHAnsi" w:hAnsiTheme="majorHAnsi"/>
          <w:b/>
          <w:bCs/>
          <w:sz w:val="20"/>
          <w:szCs w:val="20"/>
          <w:lang w:val="es-AR"/>
        </w:rPr>
      </w:pPr>
    </w:p>
    <w:p w14:paraId="50539783" w14:textId="30F87DE1" w:rsidR="00A15E9A" w:rsidRPr="003221F4" w:rsidRDefault="00A15E9A" w:rsidP="00A15E9A">
      <w:pPr>
        <w:jc w:val="center"/>
        <w:rPr>
          <w:rFonts w:asciiTheme="majorHAnsi" w:hAnsiTheme="majorHAnsi"/>
          <w:b/>
          <w:bCs/>
          <w:sz w:val="20"/>
          <w:szCs w:val="20"/>
          <w:lang w:val="pt-BR"/>
        </w:rPr>
      </w:pPr>
      <w:r w:rsidRPr="003221F4">
        <w:rPr>
          <w:rFonts w:asciiTheme="majorHAnsi" w:hAnsiTheme="majorHAnsi"/>
          <w:b/>
          <w:bCs/>
          <w:sz w:val="20"/>
          <w:szCs w:val="20"/>
          <w:lang w:val="pt-BR"/>
        </w:rPr>
        <w:lastRenderedPageBreak/>
        <w:t>ANEXO</w:t>
      </w:r>
    </w:p>
    <w:p w14:paraId="0F3C88BC" w14:textId="77777777" w:rsidR="00216100" w:rsidRPr="003221F4" w:rsidRDefault="00216100" w:rsidP="00A15E9A">
      <w:pPr>
        <w:jc w:val="center"/>
        <w:rPr>
          <w:rFonts w:asciiTheme="majorHAnsi" w:hAnsiTheme="majorHAnsi"/>
          <w:b/>
          <w:bCs/>
          <w:sz w:val="20"/>
          <w:szCs w:val="20"/>
          <w:lang w:val="pt-BR"/>
        </w:rPr>
      </w:pPr>
    </w:p>
    <w:p w14:paraId="31E86424" w14:textId="77777777" w:rsidR="00A15E9A" w:rsidRDefault="00A15E9A" w:rsidP="00A15E9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ES"/>
        </w:rPr>
      </w:pPr>
      <w:r>
        <w:rPr>
          <w:rFonts w:asciiTheme="majorHAnsi" w:hAnsiTheme="majorHAnsi"/>
          <w:b/>
          <w:bCs/>
          <w:sz w:val="20"/>
          <w:szCs w:val="20"/>
          <w:lang w:val="es-ES"/>
        </w:rPr>
        <w:t>Lista de Presuntas Víctimas</w:t>
      </w:r>
    </w:p>
    <w:p w14:paraId="3B5693F7" w14:textId="77777777" w:rsidR="00A15E9A" w:rsidRDefault="00A15E9A" w:rsidP="00A15E9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ES"/>
        </w:rPr>
      </w:pPr>
    </w:p>
    <w:p w14:paraId="535A1A9A" w14:textId="22F4DF7F" w:rsidR="009D6F4A" w:rsidRDefault="009D6F4A" w:rsidP="009D6F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 xml:space="preserve">Funcionarios de la </w:t>
      </w:r>
      <w:r w:rsidR="00DA7BB3">
        <w:rPr>
          <w:rFonts w:asciiTheme="majorHAnsi" w:hAnsiTheme="majorHAnsi"/>
          <w:sz w:val="20"/>
          <w:szCs w:val="20"/>
          <w:lang w:val="es-ES"/>
        </w:rPr>
        <w:t>F</w:t>
      </w:r>
      <w:r>
        <w:rPr>
          <w:rFonts w:asciiTheme="majorHAnsi" w:hAnsiTheme="majorHAnsi"/>
          <w:sz w:val="20"/>
          <w:szCs w:val="20"/>
          <w:lang w:val="es-ES"/>
        </w:rPr>
        <w:t>iscalía</w:t>
      </w:r>
      <w:r w:rsidR="00DA7BB3">
        <w:rPr>
          <w:rFonts w:asciiTheme="majorHAnsi" w:hAnsiTheme="majorHAnsi"/>
          <w:sz w:val="20"/>
          <w:szCs w:val="20"/>
          <w:lang w:val="es-ES"/>
        </w:rPr>
        <w:t xml:space="preserve"> General de la Nación</w:t>
      </w:r>
      <w:r>
        <w:rPr>
          <w:rFonts w:asciiTheme="majorHAnsi" w:hAnsiTheme="majorHAnsi"/>
          <w:sz w:val="20"/>
          <w:szCs w:val="20"/>
          <w:lang w:val="es-ES"/>
        </w:rPr>
        <w:t>:</w:t>
      </w:r>
    </w:p>
    <w:p w14:paraId="57C6B25B" w14:textId="77777777" w:rsidR="009D6F4A" w:rsidRPr="009D6F4A" w:rsidRDefault="009D6F4A" w:rsidP="009D6F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A694162" w14:textId="57C47481" w:rsidR="009D6F4A" w:rsidRPr="009D6F4A" w:rsidRDefault="009D6F4A" w:rsidP="009D6F4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Carlos Degly Reyes, fiscal delegado ante el Gaula (fallecido).</w:t>
      </w:r>
    </w:p>
    <w:p w14:paraId="0ABD1AC5" w14:textId="38C43221" w:rsidR="009D6F4A" w:rsidRPr="009D6F4A" w:rsidRDefault="009D6F4A" w:rsidP="007845D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D6F4A">
        <w:rPr>
          <w:rFonts w:asciiTheme="majorHAnsi" w:hAnsiTheme="majorHAnsi"/>
          <w:sz w:val="20"/>
          <w:szCs w:val="20"/>
          <w:lang w:val="es-ES"/>
        </w:rPr>
        <w:t xml:space="preserve">José Noel Nossa Díaz, </w:t>
      </w:r>
      <w:r>
        <w:rPr>
          <w:rFonts w:asciiTheme="majorHAnsi" w:hAnsiTheme="majorHAnsi"/>
          <w:sz w:val="20"/>
          <w:szCs w:val="20"/>
          <w:lang w:val="es-ES"/>
        </w:rPr>
        <w:t>a</w:t>
      </w:r>
      <w:r w:rsidRPr="009D6F4A">
        <w:rPr>
          <w:rFonts w:asciiTheme="majorHAnsi" w:hAnsiTheme="majorHAnsi"/>
          <w:sz w:val="20"/>
          <w:szCs w:val="20"/>
          <w:lang w:val="es-ES"/>
        </w:rPr>
        <w:t xml:space="preserve">sistente </w:t>
      </w:r>
      <w:r>
        <w:rPr>
          <w:rFonts w:asciiTheme="majorHAnsi" w:hAnsiTheme="majorHAnsi"/>
          <w:sz w:val="20"/>
          <w:szCs w:val="20"/>
          <w:lang w:val="es-ES"/>
        </w:rPr>
        <w:t>(fallecido)</w:t>
      </w:r>
      <w:r w:rsidR="00C919CC">
        <w:rPr>
          <w:rFonts w:asciiTheme="majorHAnsi" w:hAnsiTheme="majorHAnsi"/>
          <w:sz w:val="20"/>
          <w:szCs w:val="20"/>
          <w:lang w:val="es-ES"/>
        </w:rPr>
        <w:t>.</w:t>
      </w:r>
    </w:p>
    <w:p w14:paraId="629C79D3" w14:textId="59C3E0FF" w:rsidR="009D6F4A" w:rsidRPr="009D6F4A" w:rsidRDefault="009D6F4A" w:rsidP="00167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D6F4A">
        <w:rPr>
          <w:rFonts w:asciiTheme="majorHAnsi" w:hAnsiTheme="majorHAnsi"/>
          <w:sz w:val="20"/>
          <w:szCs w:val="20"/>
          <w:lang w:val="es-ES"/>
        </w:rPr>
        <w:t xml:space="preserve">Aldemar Manchola Ramos, </w:t>
      </w:r>
      <w:r>
        <w:rPr>
          <w:rFonts w:asciiTheme="majorHAnsi" w:hAnsiTheme="majorHAnsi"/>
          <w:sz w:val="20"/>
          <w:szCs w:val="20"/>
          <w:lang w:val="es-ES"/>
        </w:rPr>
        <w:t>c</w:t>
      </w:r>
      <w:r w:rsidRPr="009D6F4A">
        <w:rPr>
          <w:rFonts w:asciiTheme="majorHAnsi" w:hAnsiTheme="majorHAnsi"/>
          <w:sz w:val="20"/>
          <w:szCs w:val="20"/>
          <w:lang w:val="es-ES"/>
        </w:rPr>
        <w:t xml:space="preserve">onductor </w:t>
      </w:r>
      <w:r>
        <w:rPr>
          <w:rFonts w:asciiTheme="majorHAnsi" w:hAnsiTheme="majorHAnsi"/>
          <w:sz w:val="20"/>
          <w:szCs w:val="20"/>
          <w:lang w:val="es-ES"/>
        </w:rPr>
        <w:t>(fallecido)</w:t>
      </w:r>
      <w:r w:rsidR="00C919CC">
        <w:rPr>
          <w:rFonts w:asciiTheme="majorHAnsi" w:hAnsiTheme="majorHAnsi"/>
          <w:sz w:val="20"/>
          <w:szCs w:val="20"/>
          <w:lang w:val="es-ES"/>
        </w:rPr>
        <w:t>.</w:t>
      </w:r>
    </w:p>
    <w:p w14:paraId="7E2DF952" w14:textId="747D2F98" w:rsidR="009D6F4A" w:rsidRPr="009D6F4A" w:rsidRDefault="009D6F4A" w:rsidP="00AD502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D6F4A">
        <w:rPr>
          <w:rFonts w:asciiTheme="majorHAnsi" w:hAnsiTheme="majorHAnsi"/>
          <w:sz w:val="20"/>
          <w:szCs w:val="20"/>
          <w:lang w:val="es-ES"/>
        </w:rPr>
        <w:t xml:space="preserve">Mario Alberto Carmona Vanegas, </w:t>
      </w:r>
      <w:r>
        <w:rPr>
          <w:rFonts w:asciiTheme="majorHAnsi" w:hAnsiTheme="majorHAnsi"/>
          <w:sz w:val="20"/>
          <w:szCs w:val="20"/>
          <w:lang w:val="es-ES"/>
        </w:rPr>
        <w:t>t</w:t>
      </w:r>
      <w:r w:rsidRPr="009D6F4A">
        <w:rPr>
          <w:rFonts w:asciiTheme="majorHAnsi" w:hAnsiTheme="majorHAnsi"/>
          <w:sz w:val="20"/>
          <w:szCs w:val="20"/>
          <w:lang w:val="es-ES"/>
        </w:rPr>
        <w:t xml:space="preserve">écnico </w:t>
      </w:r>
      <w:r>
        <w:rPr>
          <w:rFonts w:asciiTheme="majorHAnsi" w:hAnsiTheme="majorHAnsi"/>
          <w:sz w:val="20"/>
          <w:szCs w:val="20"/>
          <w:lang w:val="es-ES"/>
        </w:rPr>
        <w:t>c</w:t>
      </w:r>
      <w:r w:rsidRPr="009D6F4A">
        <w:rPr>
          <w:rFonts w:asciiTheme="majorHAnsi" w:hAnsiTheme="majorHAnsi"/>
          <w:sz w:val="20"/>
          <w:szCs w:val="20"/>
          <w:lang w:val="es-ES"/>
        </w:rPr>
        <w:t xml:space="preserve">riminalístico </w:t>
      </w:r>
      <w:r>
        <w:rPr>
          <w:rFonts w:asciiTheme="majorHAnsi" w:hAnsiTheme="majorHAnsi"/>
          <w:sz w:val="20"/>
          <w:szCs w:val="20"/>
          <w:lang w:val="es-ES"/>
        </w:rPr>
        <w:t>(h</w:t>
      </w:r>
      <w:r w:rsidRPr="009D6F4A">
        <w:rPr>
          <w:rFonts w:asciiTheme="majorHAnsi" w:hAnsiTheme="majorHAnsi"/>
          <w:sz w:val="20"/>
          <w:szCs w:val="20"/>
          <w:lang w:val="es-ES"/>
        </w:rPr>
        <w:t>erido</w:t>
      </w:r>
      <w:r>
        <w:rPr>
          <w:rFonts w:asciiTheme="majorHAnsi" w:hAnsiTheme="majorHAnsi"/>
          <w:sz w:val="20"/>
          <w:szCs w:val="20"/>
          <w:lang w:val="es-ES"/>
        </w:rPr>
        <w:t>).</w:t>
      </w:r>
    </w:p>
    <w:p w14:paraId="64342BB3" w14:textId="3B91E90B" w:rsidR="009D6F4A" w:rsidRPr="009D6F4A" w:rsidRDefault="009D6F4A" w:rsidP="002F26C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D6F4A">
        <w:rPr>
          <w:rFonts w:asciiTheme="majorHAnsi" w:hAnsiTheme="majorHAnsi"/>
          <w:sz w:val="20"/>
          <w:szCs w:val="20"/>
          <w:lang w:val="es-ES"/>
        </w:rPr>
        <w:t xml:space="preserve">José Feliciano Romero Bejarano, </w:t>
      </w:r>
      <w:r>
        <w:rPr>
          <w:rFonts w:asciiTheme="majorHAnsi" w:hAnsiTheme="majorHAnsi"/>
          <w:sz w:val="20"/>
          <w:szCs w:val="20"/>
          <w:lang w:val="es-ES"/>
        </w:rPr>
        <w:t>i</w:t>
      </w:r>
      <w:r w:rsidRPr="009D6F4A">
        <w:rPr>
          <w:rFonts w:asciiTheme="majorHAnsi" w:hAnsiTheme="majorHAnsi"/>
          <w:sz w:val="20"/>
          <w:szCs w:val="20"/>
          <w:lang w:val="es-ES"/>
        </w:rPr>
        <w:t xml:space="preserve">nvestigador </w:t>
      </w:r>
      <w:r>
        <w:rPr>
          <w:rFonts w:asciiTheme="majorHAnsi" w:hAnsiTheme="majorHAnsi"/>
          <w:sz w:val="20"/>
          <w:szCs w:val="20"/>
          <w:lang w:val="es-ES"/>
        </w:rPr>
        <w:t>(h</w:t>
      </w:r>
      <w:r w:rsidRPr="009D6F4A">
        <w:rPr>
          <w:rFonts w:asciiTheme="majorHAnsi" w:hAnsiTheme="majorHAnsi"/>
          <w:sz w:val="20"/>
          <w:szCs w:val="20"/>
          <w:lang w:val="es-ES"/>
        </w:rPr>
        <w:t>erido</w:t>
      </w:r>
      <w:r>
        <w:rPr>
          <w:rFonts w:asciiTheme="majorHAnsi" w:hAnsiTheme="majorHAnsi"/>
          <w:sz w:val="20"/>
          <w:szCs w:val="20"/>
          <w:lang w:val="es-ES"/>
        </w:rPr>
        <w:t>).</w:t>
      </w:r>
    </w:p>
    <w:p w14:paraId="367508CF" w14:textId="188C8E33" w:rsidR="009D6F4A" w:rsidRPr="009D6F4A" w:rsidRDefault="009D6F4A" w:rsidP="004B2D7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D6F4A">
        <w:rPr>
          <w:rFonts w:asciiTheme="majorHAnsi" w:hAnsiTheme="majorHAnsi"/>
          <w:sz w:val="20"/>
          <w:szCs w:val="20"/>
          <w:lang w:val="es-ES"/>
        </w:rPr>
        <w:t>Jovi Celso Hernández Angulo,</w:t>
      </w:r>
      <w:r>
        <w:rPr>
          <w:rFonts w:asciiTheme="majorHAnsi" w:hAnsiTheme="majorHAnsi"/>
          <w:sz w:val="20"/>
          <w:szCs w:val="20"/>
          <w:lang w:val="es-ES"/>
        </w:rPr>
        <w:t xml:space="preserve"> c</w:t>
      </w:r>
      <w:r w:rsidRPr="009D6F4A">
        <w:rPr>
          <w:rFonts w:asciiTheme="majorHAnsi" w:hAnsiTheme="majorHAnsi"/>
          <w:sz w:val="20"/>
          <w:szCs w:val="20"/>
          <w:lang w:val="es-ES"/>
        </w:rPr>
        <w:t xml:space="preserve">onductor </w:t>
      </w:r>
      <w:r>
        <w:rPr>
          <w:rFonts w:asciiTheme="majorHAnsi" w:hAnsiTheme="majorHAnsi"/>
          <w:sz w:val="20"/>
          <w:szCs w:val="20"/>
          <w:lang w:val="es-ES"/>
        </w:rPr>
        <w:t>(h</w:t>
      </w:r>
      <w:r w:rsidRPr="009D6F4A">
        <w:rPr>
          <w:rFonts w:asciiTheme="majorHAnsi" w:hAnsiTheme="majorHAnsi"/>
          <w:sz w:val="20"/>
          <w:szCs w:val="20"/>
          <w:lang w:val="es-ES"/>
        </w:rPr>
        <w:t>erido</w:t>
      </w:r>
      <w:r>
        <w:rPr>
          <w:rFonts w:asciiTheme="majorHAnsi" w:hAnsiTheme="majorHAnsi"/>
          <w:sz w:val="20"/>
          <w:szCs w:val="20"/>
          <w:lang w:val="es-ES"/>
        </w:rPr>
        <w:t>).</w:t>
      </w:r>
    </w:p>
    <w:p w14:paraId="6D8167CC" w14:textId="13C1DA11" w:rsidR="009D6F4A" w:rsidRPr="009D6F4A" w:rsidRDefault="009D6F4A" w:rsidP="00883C8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D6F4A">
        <w:rPr>
          <w:rFonts w:asciiTheme="majorHAnsi" w:hAnsiTheme="majorHAnsi"/>
          <w:sz w:val="20"/>
          <w:szCs w:val="20"/>
          <w:lang w:val="es-ES"/>
        </w:rPr>
        <w:t xml:space="preserve">Luis Fernando Sierra Zambrano, </w:t>
      </w:r>
      <w:r>
        <w:rPr>
          <w:rFonts w:asciiTheme="majorHAnsi" w:hAnsiTheme="majorHAnsi"/>
          <w:sz w:val="20"/>
          <w:szCs w:val="20"/>
          <w:lang w:val="es-ES"/>
        </w:rPr>
        <w:t>i</w:t>
      </w:r>
      <w:r w:rsidRPr="009D6F4A">
        <w:rPr>
          <w:rFonts w:asciiTheme="majorHAnsi" w:hAnsiTheme="majorHAnsi"/>
          <w:sz w:val="20"/>
          <w:szCs w:val="20"/>
          <w:lang w:val="es-ES"/>
        </w:rPr>
        <w:t xml:space="preserve">nvestigador </w:t>
      </w:r>
      <w:r>
        <w:rPr>
          <w:rFonts w:asciiTheme="majorHAnsi" w:hAnsiTheme="majorHAnsi"/>
          <w:sz w:val="20"/>
          <w:szCs w:val="20"/>
          <w:lang w:val="es-ES"/>
        </w:rPr>
        <w:t>(h</w:t>
      </w:r>
      <w:r w:rsidRPr="009D6F4A">
        <w:rPr>
          <w:rFonts w:asciiTheme="majorHAnsi" w:hAnsiTheme="majorHAnsi"/>
          <w:sz w:val="20"/>
          <w:szCs w:val="20"/>
          <w:lang w:val="es-ES"/>
        </w:rPr>
        <w:t>erido</w:t>
      </w:r>
      <w:r>
        <w:rPr>
          <w:rFonts w:asciiTheme="majorHAnsi" w:hAnsiTheme="majorHAnsi"/>
          <w:sz w:val="20"/>
          <w:szCs w:val="20"/>
          <w:lang w:val="es-ES"/>
        </w:rPr>
        <w:t>).</w:t>
      </w:r>
    </w:p>
    <w:p w14:paraId="5CC905E3" w14:textId="0C27EE0A" w:rsidR="009D6F4A" w:rsidRPr="009D6F4A" w:rsidRDefault="009D6F4A" w:rsidP="007B627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D6F4A">
        <w:rPr>
          <w:rFonts w:asciiTheme="majorHAnsi" w:hAnsiTheme="majorHAnsi"/>
          <w:sz w:val="20"/>
          <w:szCs w:val="20"/>
          <w:lang w:val="es-ES"/>
        </w:rPr>
        <w:t>Luis Fernando Vargas Jaimes</w:t>
      </w:r>
      <w:r>
        <w:rPr>
          <w:rFonts w:asciiTheme="majorHAnsi" w:hAnsiTheme="majorHAnsi"/>
          <w:sz w:val="20"/>
          <w:szCs w:val="20"/>
          <w:lang w:val="es-ES"/>
        </w:rPr>
        <w:t>,</w:t>
      </w:r>
      <w:r w:rsidRPr="009D6F4A">
        <w:rPr>
          <w:rFonts w:asciiTheme="majorHAnsi" w:hAnsiTheme="majorHAnsi"/>
          <w:sz w:val="20"/>
          <w:szCs w:val="20"/>
          <w:lang w:val="es-ES"/>
        </w:rPr>
        <w:t xml:space="preserve"> </w:t>
      </w:r>
      <w:r>
        <w:rPr>
          <w:rFonts w:asciiTheme="majorHAnsi" w:hAnsiTheme="majorHAnsi"/>
          <w:sz w:val="20"/>
          <w:szCs w:val="20"/>
          <w:lang w:val="es-ES"/>
        </w:rPr>
        <w:t>i</w:t>
      </w:r>
      <w:r w:rsidRPr="009D6F4A">
        <w:rPr>
          <w:rFonts w:asciiTheme="majorHAnsi" w:hAnsiTheme="majorHAnsi"/>
          <w:sz w:val="20"/>
          <w:szCs w:val="20"/>
          <w:lang w:val="es-ES"/>
        </w:rPr>
        <w:t xml:space="preserve">nvestigador del Gaula </w:t>
      </w:r>
      <w:r>
        <w:rPr>
          <w:rFonts w:asciiTheme="majorHAnsi" w:hAnsiTheme="majorHAnsi"/>
          <w:sz w:val="20"/>
          <w:szCs w:val="20"/>
          <w:lang w:val="es-ES"/>
        </w:rPr>
        <w:t>(fallecido).</w:t>
      </w:r>
    </w:p>
    <w:p w14:paraId="3E7A44CD" w14:textId="4AE2CAAF" w:rsidR="009D6F4A" w:rsidRPr="009D6F4A" w:rsidRDefault="009D6F4A" w:rsidP="00C8335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D6F4A">
        <w:rPr>
          <w:rFonts w:asciiTheme="majorHAnsi" w:hAnsiTheme="majorHAnsi"/>
          <w:sz w:val="20"/>
          <w:szCs w:val="20"/>
          <w:lang w:val="es-ES"/>
        </w:rPr>
        <w:t xml:space="preserve">Maivi Esperanza Acosta Daza, </w:t>
      </w:r>
      <w:r>
        <w:rPr>
          <w:rFonts w:asciiTheme="majorHAnsi" w:hAnsiTheme="majorHAnsi"/>
          <w:sz w:val="20"/>
          <w:szCs w:val="20"/>
          <w:lang w:val="es-ES"/>
        </w:rPr>
        <w:t>a</w:t>
      </w:r>
      <w:r w:rsidRPr="009D6F4A">
        <w:rPr>
          <w:rFonts w:asciiTheme="majorHAnsi" w:hAnsiTheme="majorHAnsi"/>
          <w:sz w:val="20"/>
          <w:szCs w:val="20"/>
          <w:lang w:val="es-ES"/>
        </w:rPr>
        <w:t xml:space="preserve">sistente judicial </w:t>
      </w:r>
      <w:r>
        <w:rPr>
          <w:rFonts w:asciiTheme="majorHAnsi" w:hAnsiTheme="majorHAnsi"/>
          <w:sz w:val="20"/>
          <w:szCs w:val="20"/>
          <w:lang w:val="es-ES"/>
        </w:rPr>
        <w:t>(h</w:t>
      </w:r>
      <w:r w:rsidRPr="009D6F4A">
        <w:rPr>
          <w:rFonts w:asciiTheme="majorHAnsi" w:hAnsiTheme="majorHAnsi"/>
          <w:sz w:val="20"/>
          <w:szCs w:val="20"/>
          <w:lang w:val="es-ES"/>
        </w:rPr>
        <w:t>erid</w:t>
      </w:r>
      <w:r>
        <w:rPr>
          <w:rFonts w:asciiTheme="majorHAnsi" w:hAnsiTheme="majorHAnsi"/>
          <w:sz w:val="20"/>
          <w:szCs w:val="20"/>
          <w:lang w:val="es-ES"/>
        </w:rPr>
        <w:t>a).</w:t>
      </w:r>
    </w:p>
    <w:p w14:paraId="10375AF9" w14:textId="5FC43D9C" w:rsidR="009D6F4A" w:rsidRPr="00170CD4" w:rsidRDefault="009D6F4A" w:rsidP="00F4532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70CD4">
        <w:rPr>
          <w:rFonts w:asciiTheme="majorHAnsi" w:hAnsiTheme="majorHAnsi"/>
          <w:sz w:val="20"/>
          <w:szCs w:val="20"/>
          <w:lang w:val="es-ES"/>
        </w:rPr>
        <w:t>Carlos Arturo Barrera</w:t>
      </w:r>
      <w:r w:rsidR="00170CD4" w:rsidRPr="00170CD4">
        <w:rPr>
          <w:rFonts w:asciiTheme="majorHAnsi" w:hAnsiTheme="majorHAnsi"/>
          <w:sz w:val="20"/>
          <w:szCs w:val="20"/>
          <w:lang w:val="es-ES"/>
        </w:rPr>
        <w:t xml:space="preserve">, </w:t>
      </w:r>
      <w:r w:rsidR="00170CD4">
        <w:rPr>
          <w:rFonts w:asciiTheme="majorHAnsi" w:hAnsiTheme="majorHAnsi"/>
          <w:sz w:val="20"/>
          <w:szCs w:val="20"/>
          <w:lang w:val="es-ES"/>
        </w:rPr>
        <w:t>i</w:t>
      </w:r>
      <w:r w:rsidRPr="00170CD4">
        <w:rPr>
          <w:rFonts w:asciiTheme="majorHAnsi" w:hAnsiTheme="majorHAnsi"/>
          <w:sz w:val="20"/>
          <w:szCs w:val="20"/>
          <w:lang w:val="es-ES"/>
        </w:rPr>
        <w:t xml:space="preserve">nvestigador </w:t>
      </w:r>
      <w:r w:rsidR="00170CD4">
        <w:rPr>
          <w:rFonts w:asciiTheme="majorHAnsi" w:hAnsiTheme="majorHAnsi"/>
          <w:sz w:val="20"/>
          <w:szCs w:val="20"/>
          <w:lang w:val="es-ES"/>
        </w:rPr>
        <w:t>(s</w:t>
      </w:r>
      <w:r w:rsidRPr="00170CD4">
        <w:rPr>
          <w:rFonts w:asciiTheme="majorHAnsi" w:hAnsiTheme="majorHAnsi"/>
          <w:sz w:val="20"/>
          <w:szCs w:val="20"/>
          <w:lang w:val="es-ES"/>
        </w:rPr>
        <w:t>obreviviente</w:t>
      </w:r>
      <w:r w:rsidR="00170CD4">
        <w:rPr>
          <w:rFonts w:asciiTheme="majorHAnsi" w:hAnsiTheme="majorHAnsi"/>
          <w:sz w:val="20"/>
          <w:szCs w:val="20"/>
          <w:lang w:val="es-ES"/>
        </w:rPr>
        <w:t>).</w:t>
      </w:r>
    </w:p>
    <w:p w14:paraId="4494A616" w14:textId="496250CA" w:rsidR="009D6F4A" w:rsidRPr="00170CD4" w:rsidRDefault="009D6F4A" w:rsidP="002977A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70CD4">
        <w:rPr>
          <w:rFonts w:asciiTheme="majorHAnsi" w:hAnsiTheme="majorHAnsi"/>
          <w:sz w:val="20"/>
          <w:szCs w:val="20"/>
          <w:lang w:val="es-ES"/>
        </w:rPr>
        <w:t xml:space="preserve">José Reinaldo Díaz </w:t>
      </w:r>
      <w:r w:rsidR="00170CD4" w:rsidRPr="00170CD4">
        <w:rPr>
          <w:rFonts w:asciiTheme="majorHAnsi" w:hAnsiTheme="majorHAnsi"/>
          <w:sz w:val="20"/>
          <w:szCs w:val="20"/>
          <w:lang w:val="es-ES"/>
        </w:rPr>
        <w:t>Martínez</w:t>
      </w:r>
      <w:r w:rsidRPr="00170CD4">
        <w:rPr>
          <w:rFonts w:asciiTheme="majorHAnsi" w:hAnsiTheme="majorHAnsi"/>
          <w:sz w:val="20"/>
          <w:szCs w:val="20"/>
          <w:lang w:val="es-ES"/>
        </w:rPr>
        <w:t>,</w:t>
      </w:r>
      <w:r w:rsidR="00170CD4" w:rsidRPr="00170CD4">
        <w:rPr>
          <w:rFonts w:asciiTheme="majorHAnsi" w:hAnsiTheme="majorHAnsi"/>
          <w:sz w:val="20"/>
          <w:szCs w:val="20"/>
          <w:lang w:val="es-ES"/>
        </w:rPr>
        <w:t xml:space="preserve"> </w:t>
      </w:r>
      <w:r w:rsidR="00170CD4">
        <w:rPr>
          <w:rFonts w:asciiTheme="majorHAnsi" w:hAnsiTheme="majorHAnsi"/>
          <w:sz w:val="20"/>
          <w:szCs w:val="20"/>
          <w:lang w:val="es-ES"/>
        </w:rPr>
        <w:t>i</w:t>
      </w:r>
      <w:r w:rsidRPr="00170CD4">
        <w:rPr>
          <w:rFonts w:asciiTheme="majorHAnsi" w:hAnsiTheme="majorHAnsi"/>
          <w:sz w:val="20"/>
          <w:szCs w:val="20"/>
          <w:lang w:val="es-ES"/>
        </w:rPr>
        <w:t xml:space="preserve">nvestigador del Gaula </w:t>
      </w:r>
      <w:r w:rsidR="00B35AD1">
        <w:rPr>
          <w:rFonts w:asciiTheme="majorHAnsi" w:hAnsiTheme="majorHAnsi"/>
          <w:sz w:val="20"/>
          <w:szCs w:val="20"/>
          <w:lang w:val="es-ES"/>
        </w:rPr>
        <w:t>(s</w:t>
      </w:r>
      <w:r w:rsidRPr="00170CD4">
        <w:rPr>
          <w:rFonts w:asciiTheme="majorHAnsi" w:hAnsiTheme="majorHAnsi"/>
          <w:sz w:val="20"/>
          <w:szCs w:val="20"/>
          <w:lang w:val="es-ES"/>
        </w:rPr>
        <w:t>obreviviente</w:t>
      </w:r>
      <w:r w:rsidR="00B35AD1">
        <w:rPr>
          <w:rFonts w:asciiTheme="majorHAnsi" w:hAnsiTheme="majorHAnsi"/>
          <w:sz w:val="20"/>
          <w:szCs w:val="20"/>
          <w:lang w:val="es-ES"/>
        </w:rPr>
        <w:t>).</w:t>
      </w:r>
    </w:p>
    <w:p w14:paraId="6A6FC02A" w14:textId="64165751" w:rsidR="009D6F4A" w:rsidRPr="00B35AD1" w:rsidRDefault="009D6F4A" w:rsidP="00493DA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35AD1">
        <w:rPr>
          <w:rFonts w:asciiTheme="majorHAnsi" w:hAnsiTheme="majorHAnsi"/>
          <w:sz w:val="20"/>
          <w:szCs w:val="20"/>
          <w:lang w:val="es-ES"/>
        </w:rPr>
        <w:t xml:space="preserve">Luis Eduardo Jurado, </w:t>
      </w:r>
      <w:r w:rsidR="00B35AD1">
        <w:rPr>
          <w:rFonts w:asciiTheme="majorHAnsi" w:hAnsiTheme="majorHAnsi"/>
          <w:sz w:val="20"/>
          <w:szCs w:val="20"/>
          <w:lang w:val="es-ES"/>
        </w:rPr>
        <w:t>i</w:t>
      </w:r>
      <w:r w:rsidRPr="00B35AD1">
        <w:rPr>
          <w:rFonts w:asciiTheme="majorHAnsi" w:hAnsiTheme="majorHAnsi"/>
          <w:sz w:val="20"/>
          <w:szCs w:val="20"/>
          <w:lang w:val="es-ES"/>
        </w:rPr>
        <w:t xml:space="preserve">nvestigador </w:t>
      </w:r>
      <w:r w:rsidR="00B35AD1">
        <w:rPr>
          <w:rFonts w:asciiTheme="majorHAnsi" w:hAnsiTheme="majorHAnsi"/>
          <w:sz w:val="20"/>
          <w:szCs w:val="20"/>
          <w:lang w:val="es-ES"/>
        </w:rPr>
        <w:t>(s</w:t>
      </w:r>
      <w:r w:rsidRPr="00B35AD1">
        <w:rPr>
          <w:rFonts w:asciiTheme="majorHAnsi" w:hAnsiTheme="majorHAnsi"/>
          <w:sz w:val="20"/>
          <w:szCs w:val="20"/>
          <w:lang w:val="es-ES"/>
        </w:rPr>
        <w:t>obreviviente</w:t>
      </w:r>
      <w:r w:rsidR="00B35AD1">
        <w:rPr>
          <w:rFonts w:asciiTheme="majorHAnsi" w:hAnsiTheme="majorHAnsi"/>
          <w:sz w:val="20"/>
          <w:szCs w:val="20"/>
          <w:lang w:val="es-ES"/>
        </w:rPr>
        <w:t>).</w:t>
      </w:r>
    </w:p>
    <w:p w14:paraId="12601DC8" w14:textId="643E2BB4" w:rsidR="009D6F4A" w:rsidRPr="00B35AD1" w:rsidRDefault="009D6F4A" w:rsidP="0001619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35AD1">
        <w:rPr>
          <w:rFonts w:asciiTheme="majorHAnsi" w:hAnsiTheme="majorHAnsi"/>
          <w:sz w:val="20"/>
          <w:szCs w:val="20"/>
          <w:lang w:val="es-ES"/>
        </w:rPr>
        <w:t>Juan Carlos Guevara</w:t>
      </w:r>
      <w:r w:rsidR="00B35AD1" w:rsidRPr="00B35AD1">
        <w:rPr>
          <w:rFonts w:asciiTheme="majorHAnsi" w:hAnsiTheme="majorHAnsi"/>
          <w:sz w:val="20"/>
          <w:szCs w:val="20"/>
          <w:lang w:val="es-ES"/>
        </w:rPr>
        <w:t>,</w:t>
      </w:r>
      <w:r w:rsidR="00B35AD1">
        <w:rPr>
          <w:rFonts w:asciiTheme="majorHAnsi" w:hAnsiTheme="majorHAnsi"/>
          <w:sz w:val="20"/>
          <w:szCs w:val="20"/>
          <w:lang w:val="es-ES"/>
        </w:rPr>
        <w:t xml:space="preserve"> i</w:t>
      </w:r>
      <w:r w:rsidRPr="00B35AD1">
        <w:rPr>
          <w:rFonts w:asciiTheme="majorHAnsi" w:hAnsiTheme="majorHAnsi"/>
          <w:sz w:val="20"/>
          <w:szCs w:val="20"/>
          <w:lang w:val="es-ES"/>
        </w:rPr>
        <w:t xml:space="preserve">nvestigador </w:t>
      </w:r>
      <w:r w:rsidR="00B35AD1">
        <w:rPr>
          <w:rFonts w:asciiTheme="majorHAnsi" w:hAnsiTheme="majorHAnsi"/>
          <w:sz w:val="20"/>
          <w:szCs w:val="20"/>
          <w:lang w:val="es-ES"/>
        </w:rPr>
        <w:t>(s</w:t>
      </w:r>
      <w:r w:rsidRPr="00B35AD1">
        <w:rPr>
          <w:rFonts w:asciiTheme="majorHAnsi" w:hAnsiTheme="majorHAnsi"/>
          <w:sz w:val="20"/>
          <w:szCs w:val="20"/>
          <w:lang w:val="es-ES"/>
        </w:rPr>
        <w:t>obreviviente</w:t>
      </w:r>
      <w:r w:rsidR="00B35AD1">
        <w:rPr>
          <w:rFonts w:asciiTheme="majorHAnsi" w:hAnsiTheme="majorHAnsi"/>
          <w:sz w:val="20"/>
          <w:szCs w:val="20"/>
          <w:lang w:val="es-ES"/>
        </w:rPr>
        <w:t>).</w:t>
      </w:r>
    </w:p>
    <w:p w14:paraId="767AD9DB" w14:textId="0F5B6F6A" w:rsidR="009D6F4A" w:rsidRPr="00B35AD1" w:rsidRDefault="009D6F4A" w:rsidP="000842D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35AD1">
        <w:rPr>
          <w:rFonts w:asciiTheme="majorHAnsi" w:hAnsiTheme="majorHAnsi"/>
          <w:sz w:val="20"/>
          <w:szCs w:val="20"/>
          <w:lang w:val="es-ES"/>
        </w:rPr>
        <w:t>Oscar León Rojas,</w:t>
      </w:r>
      <w:r w:rsidR="00B35AD1" w:rsidRPr="00B35AD1">
        <w:rPr>
          <w:rFonts w:asciiTheme="majorHAnsi" w:hAnsiTheme="majorHAnsi"/>
          <w:sz w:val="20"/>
          <w:szCs w:val="20"/>
          <w:lang w:val="es-ES"/>
        </w:rPr>
        <w:t xml:space="preserve"> </w:t>
      </w:r>
      <w:r w:rsidR="00B35AD1">
        <w:rPr>
          <w:rFonts w:asciiTheme="majorHAnsi" w:hAnsiTheme="majorHAnsi"/>
          <w:sz w:val="20"/>
          <w:szCs w:val="20"/>
          <w:lang w:val="es-ES"/>
        </w:rPr>
        <w:t>i</w:t>
      </w:r>
      <w:r w:rsidRPr="00B35AD1">
        <w:rPr>
          <w:rFonts w:asciiTheme="majorHAnsi" w:hAnsiTheme="majorHAnsi"/>
          <w:sz w:val="20"/>
          <w:szCs w:val="20"/>
          <w:lang w:val="es-ES"/>
        </w:rPr>
        <w:t xml:space="preserve">nvestigador </w:t>
      </w:r>
      <w:r w:rsidR="00B35AD1">
        <w:rPr>
          <w:rFonts w:asciiTheme="majorHAnsi" w:hAnsiTheme="majorHAnsi"/>
          <w:sz w:val="20"/>
          <w:szCs w:val="20"/>
          <w:lang w:val="es-ES"/>
        </w:rPr>
        <w:t>(s</w:t>
      </w:r>
      <w:r w:rsidRPr="00B35AD1">
        <w:rPr>
          <w:rFonts w:asciiTheme="majorHAnsi" w:hAnsiTheme="majorHAnsi"/>
          <w:sz w:val="20"/>
          <w:szCs w:val="20"/>
          <w:lang w:val="es-ES"/>
        </w:rPr>
        <w:t>obreviviente</w:t>
      </w:r>
      <w:r w:rsidR="00B35AD1">
        <w:rPr>
          <w:rFonts w:asciiTheme="majorHAnsi" w:hAnsiTheme="majorHAnsi"/>
          <w:sz w:val="20"/>
          <w:szCs w:val="20"/>
          <w:lang w:val="es-ES"/>
        </w:rPr>
        <w:t>).</w:t>
      </w:r>
    </w:p>
    <w:p w14:paraId="66F17EFF" w14:textId="539D438B" w:rsidR="009D6F4A" w:rsidRPr="00B35AD1" w:rsidRDefault="009D6F4A" w:rsidP="009B204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35AD1">
        <w:rPr>
          <w:rFonts w:asciiTheme="majorHAnsi" w:hAnsiTheme="majorHAnsi"/>
          <w:sz w:val="20"/>
          <w:szCs w:val="20"/>
          <w:lang w:val="es-ES"/>
        </w:rPr>
        <w:t>José Uriel Sánchez Rosas,</w:t>
      </w:r>
      <w:r w:rsidR="00B35AD1" w:rsidRPr="00B35AD1">
        <w:rPr>
          <w:rFonts w:asciiTheme="majorHAnsi" w:hAnsiTheme="majorHAnsi"/>
          <w:sz w:val="20"/>
          <w:szCs w:val="20"/>
          <w:lang w:val="es-ES"/>
        </w:rPr>
        <w:t xml:space="preserve"> </w:t>
      </w:r>
      <w:r w:rsidR="00B35AD1">
        <w:rPr>
          <w:rFonts w:asciiTheme="majorHAnsi" w:hAnsiTheme="majorHAnsi"/>
          <w:sz w:val="20"/>
          <w:szCs w:val="20"/>
          <w:lang w:val="es-ES"/>
        </w:rPr>
        <w:t>t</w:t>
      </w:r>
      <w:r w:rsidRPr="00B35AD1">
        <w:rPr>
          <w:rFonts w:asciiTheme="majorHAnsi" w:hAnsiTheme="majorHAnsi"/>
          <w:sz w:val="20"/>
          <w:szCs w:val="20"/>
          <w:lang w:val="es-ES"/>
        </w:rPr>
        <w:t xml:space="preserve">écnico de </w:t>
      </w:r>
      <w:r w:rsidR="00B35AD1">
        <w:rPr>
          <w:rFonts w:asciiTheme="majorHAnsi" w:hAnsiTheme="majorHAnsi"/>
          <w:sz w:val="20"/>
          <w:szCs w:val="20"/>
          <w:lang w:val="es-ES"/>
        </w:rPr>
        <w:t>c</w:t>
      </w:r>
      <w:r w:rsidRPr="00B35AD1">
        <w:rPr>
          <w:rFonts w:asciiTheme="majorHAnsi" w:hAnsiTheme="majorHAnsi"/>
          <w:sz w:val="20"/>
          <w:szCs w:val="20"/>
          <w:lang w:val="es-ES"/>
        </w:rPr>
        <w:t xml:space="preserve">riminalística </w:t>
      </w:r>
      <w:r w:rsidR="00B35AD1">
        <w:rPr>
          <w:rFonts w:asciiTheme="majorHAnsi" w:hAnsiTheme="majorHAnsi"/>
          <w:sz w:val="20"/>
          <w:szCs w:val="20"/>
          <w:lang w:val="es-ES"/>
        </w:rPr>
        <w:t>(s</w:t>
      </w:r>
      <w:r w:rsidRPr="00B35AD1">
        <w:rPr>
          <w:rFonts w:asciiTheme="majorHAnsi" w:hAnsiTheme="majorHAnsi"/>
          <w:sz w:val="20"/>
          <w:szCs w:val="20"/>
          <w:lang w:val="es-ES"/>
        </w:rPr>
        <w:t>obreviviente</w:t>
      </w:r>
      <w:r w:rsidR="00B35AD1">
        <w:rPr>
          <w:rFonts w:asciiTheme="majorHAnsi" w:hAnsiTheme="majorHAnsi"/>
          <w:sz w:val="20"/>
          <w:szCs w:val="20"/>
          <w:lang w:val="es-ES"/>
        </w:rPr>
        <w:t>).</w:t>
      </w:r>
    </w:p>
    <w:p w14:paraId="34374F41" w14:textId="0A0B02B3" w:rsidR="009D6F4A" w:rsidRPr="009D6F4A" w:rsidRDefault="009D6F4A" w:rsidP="009D6F4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D6F4A">
        <w:rPr>
          <w:rFonts w:asciiTheme="majorHAnsi" w:hAnsiTheme="majorHAnsi"/>
          <w:sz w:val="20"/>
          <w:szCs w:val="20"/>
          <w:lang w:val="es-ES"/>
        </w:rPr>
        <w:t xml:space="preserve">Wilson Riveros, </w:t>
      </w:r>
      <w:r w:rsidR="00B35AD1">
        <w:rPr>
          <w:rFonts w:asciiTheme="majorHAnsi" w:hAnsiTheme="majorHAnsi"/>
          <w:sz w:val="20"/>
          <w:szCs w:val="20"/>
          <w:lang w:val="es-ES"/>
        </w:rPr>
        <w:t>i</w:t>
      </w:r>
      <w:r w:rsidRPr="009D6F4A">
        <w:rPr>
          <w:rFonts w:asciiTheme="majorHAnsi" w:hAnsiTheme="majorHAnsi"/>
          <w:sz w:val="20"/>
          <w:szCs w:val="20"/>
          <w:lang w:val="es-ES"/>
        </w:rPr>
        <w:t xml:space="preserve">nvestigador del Gaula </w:t>
      </w:r>
      <w:r w:rsidR="00B35AD1">
        <w:rPr>
          <w:rFonts w:asciiTheme="majorHAnsi" w:hAnsiTheme="majorHAnsi"/>
          <w:sz w:val="20"/>
          <w:szCs w:val="20"/>
          <w:lang w:val="es-ES"/>
        </w:rPr>
        <w:t>(s</w:t>
      </w:r>
      <w:r w:rsidRPr="009D6F4A">
        <w:rPr>
          <w:rFonts w:asciiTheme="majorHAnsi" w:hAnsiTheme="majorHAnsi"/>
          <w:sz w:val="20"/>
          <w:szCs w:val="20"/>
          <w:lang w:val="es-ES"/>
        </w:rPr>
        <w:t>obreviviente</w:t>
      </w:r>
      <w:r w:rsidR="00B35AD1">
        <w:rPr>
          <w:rFonts w:asciiTheme="majorHAnsi" w:hAnsiTheme="majorHAnsi"/>
          <w:sz w:val="20"/>
          <w:szCs w:val="20"/>
          <w:lang w:val="es-ES"/>
        </w:rPr>
        <w:t>).</w:t>
      </w:r>
    </w:p>
    <w:p w14:paraId="0EE87F89" w14:textId="7259D5D2" w:rsidR="009D6F4A" w:rsidRPr="00B35AD1" w:rsidRDefault="00B35AD1" w:rsidP="00823BA5">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35AD1">
        <w:rPr>
          <w:rFonts w:asciiTheme="majorHAnsi" w:hAnsiTheme="majorHAnsi"/>
          <w:sz w:val="20"/>
          <w:szCs w:val="20"/>
          <w:lang w:val="es-ES"/>
        </w:rPr>
        <w:t>Ó</w:t>
      </w:r>
      <w:r w:rsidR="009D6F4A" w:rsidRPr="00B35AD1">
        <w:rPr>
          <w:rFonts w:asciiTheme="majorHAnsi" w:hAnsiTheme="majorHAnsi"/>
          <w:sz w:val="20"/>
          <w:szCs w:val="20"/>
          <w:lang w:val="es-ES"/>
        </w:rPr>
        <w:t>scar Ovidio Campo Estrada,</w:t>
      </w:r>
      <w:r w:rsidRPr="00B35AD1">
        <w:rPr>
          <w:rFonts w:asciiTheme="majorHAnsi" w:hAnsiTheme="majorHAnsi"/>
          <w:sz w:val="20"/>
          <w:szCs w:val="20"/>
          <w:lang w:val="es-ES"/>
        </w:rPr>
        <w:t xml:space="preserve"> </w:t>
      </w:r>
      <w:r>
        <w:rPr>
          <w:rFonts w:asciiTheme="majorHAnsi" w:hAnsiTheme="majorHAnsi"/>
          <w:sz w:val="20"/>
          <w:szCs w:val="20"/>
          <w:lang w:val="es-ES"/>
        </w:rPr>
        <w:t>i</w:t>
      </w:r>
      <w:r w:rsidR="009D6F4A" w:rsidRPr="00B35AD1">
        <w:rPr>
          <w:rFonts w:asciiTheme="majorHAnsi" w:hAnsiTheme="majorHAnsi"/>
          <w:sz w:val="20"/>
          <w:szCs w:val="20"/>
          <w:lang w:val="es-ES"/>
        </w:rPr>
        <w:t xml:space="preserve">nvestigador del Gaula </w:t>
      </w:r>
      <w:r w:rsidR="00DA7BB3">
        <w:rPr>
          <w:rFonts w:asciiTheme="majorHAnsi" w:hAnsiTheme="majorHAnsi"/>
          <w:sz w:val="20"/>
          <w:szCs w:val="20"/>
          <w:lang w:val="es-ES"/>
        </w:rPr>
        <w:t>(s</w:t>
      </w:r>
      <w:r w:rsidR="009D6F4A" w:rsidRPr="00B35AD1">
        <w:rPr>
          <w:rFonts w:asciiTheme="majorHAnsi" w:hAnsiTheme="majorHAnsi"/>
          <w:sz w:val="20"/>
          <w:szCs w:val="20"/>
          <w:lang w:val="es-ES"/>
        </w:rPr>
        <w:t>obreviviente</w:t>
      </w:r>
      <w:r w:rsidR="00DA7BB3">
        <w:rPr>
          <w:rFonts w:asciiTheme="majorHAnsi" w:hAnsiTheme="majorHAnsi"/>
          <w:sz w:val="20"/>
          <w:szCs w:val="20"/>
          <w:lang w:val="es-ES"/>
        </w:rPr>
        <w:t>).</w:t>
      </w:r>
    </w:p>
    <w:p w14:paraId="48B03231" w14:textId="30A7C877" w:rsidR="009D6F4A" w:rsidRPr="00DA7BB3" w:rsidRDefault="009D6F4A" w:rsidP="00CD25D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A7BB3">
        <w:rPr>
          <w:rFonts w:asciiTheme="majorHAnsi" w:hAnsiTheme="majorHAnsi"/>
          <w:sz w:val="20"/>
          <w:szCs w:val="20"/>
          <w:lang w:val="es-ES"/>
        </w:rPr>
        <w:t>Jairo Adolfo Calderón Mora</w:t>
      </w:r>
      <w:r w:rsidR="00DA7BB3" w:rsidRPr="00DA7BB3">
        <w:rPr>
          <w:rFonts w:asciiTheme="majorHAnsi" w:hAnsiTheme="majorHAnsi"/>
          <w:sz w:val="20"/>
          <w:szCs w:val="20"/>
          <w:lang w:val="es-ES"/>
        </w:rPr>
        <w:t xml:space="preserve">, </w:t>
      </w:r>
      <w:r w:rsidR="00DA7BB3">
        <w:rPr>
          <w:rFonts w:asciiTheme="majorHAnsi" w:hAnsiTheme="majorHAnsi"/>
          <w:sz w:val="20"/>
          <w:szCs w:val="20"/>
          <w:lang w:val="es-ES"/>
        </w:rPr>
        <w:t>i</w:t>
      </w:r>
      <w:r w:rsidRPr="00DA7BB3">
        <w:rPr>
          <w:rFonts w:asciiTheme="majorHAnsi" w:hAnsiTheme="majorHAnsi"/>
          <w:sz w:val="20"/>
          <w:szCs w:val="20"/>
          <w:lang w:val="es-ES"/>
        </w:rPr>
        <w:t xml:space="preserve">nvestigador </w:t>
      </w:r>
      <w:r w:rsidR="00DA7BB3">
        <w:rPr>
          <w:rFonts w:asciiTheme="majorHAnsi" w:hAnsiTheme="majorHAnsi"/>
          <w:sz w:val="20"/>
          <w:szCs w:val="20"/>
          <w:lang w:val="es-ES"/>
        </w:rPr>
        <w:t>(h</w:t>
      </w:r>
      <w:r w:rsidRPr="00DA7BB3">
        <w:rPr>
          <w:rFonts w:asciiTheme="majorHAnsi" w:hAnsiTheme="majorHAnsi"/>
          <w:sz w:val="20"/>
          <w:szCs w:val="20"/>
          <w:lang w:val="es-ES"/>
        </w:rPr>
        <w:t>erido</w:t>
      </w:r>
      <w:r w:rsidR="00DA7BB3">
        <w:rPr>
          <w:rFonts w:asciiTheme="majorHAnsi" w:hAnsiTheme="majorHAnsi"/>
          <w:sz w:val="20"/>
          <w:szCs w:val="20"/>
          <w:lang w:val="es-ES"/>
        </w:rPr>
        <w:t>).</w:t>
      </w:r>
    </w:p>
    <w:p w14:paraId="0CAB0E1C" w14:textId="3A3F8BFD" w:rsidR="009D6F4A" w:rsidRPr="00DA7BB3" w:rsidRDefault="009D6F4A" w:rsidP="00D05EA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A7BB3">
        <w:rPr>
          <w:rFonts w:asciiTheme="majorHAnsi" w:hAnsiTheme="majorHAnsi"/>
          <w:sz w:val="20"/>
          <w:szCs w:val="20"/>
          <w:lang w:val="es-ES"/>
        </w:rPr>
        <w:t xml:space="preserve">José Antonio León, </w:t>
      </w:r>
      <w:r w:rsidR="00DA7BB3">
        <w:rPr>
          <w:rFonts w:asciiTheme="majorHAnsi" w:hAnsiTheme="majorHAnsi"/>
          <w:sz w:val="20"/>
          <w:szCs w:val="20"/>
          <w:lang w:val="es-ES"/>
        </w:rPr>
        <w:t>i</w:t>
      </w:r>
      <w:r w:rsidRPr="00DA7BB3">
        <w:rPr>
          <w:rFonts w:asciiTheme="majorHAnsi" w:hAnsiTheme="majorHAnsi"/>
          <w:sz w:val="20"/>
          <w:szCs w:val="20"/>
          <w:lang w:val="es-ES"/>
        </w:rPr>
        <w:t xml:space="preserve">nvestigador </w:t>
      </w:r>
      <w:r w:rsidR="00DA7BB3">
        <w:rPr>
          <w:rFonts w:asciiTheme="majorHAnsi" w:hAnsiTheme="majorHAnsi"/>
          <w:sz w:val="20"/>
          <w:szCs w:val="20"/>
          <w:lang w:val="es-ES"/>
        </w:rPr>
        <w:t>(s</w:t>
      </w:r>
      <w:r w:rsidRPr="00DA7BB3">
        <w:rPr>
          <w:rFonts w:asciiTheme="majorHAnsi" w:hAnsiTheme="majorHAnsi"/>
          <w:sz w:val="20"/>
          <w:szCs w:val="20"/>
          <w:lang w:val="es-ES"/>
        </w:rPr>
        <w:t>obreviviente</w:t>
      </w:r>
      <w:r w:rsidR="00DA7BB3">
        <w:rPr>
          <w:rFonts w:asciiTheme="majorHAnsi" w:hAnsiTheme="majorHAnsi"/>
          <w:sz w:val="20"/>
          <w:szCs w:val="20"/>
          <w:lang w:val="es-ES"/>
        </w:rPr>
        <w:t>).</w:t>
      </w:r>
    </w:p>
    <w:p w14:paraId="201BEDD4" w14:textId="449AB16D" w:rsidR="009D6F4A" w:rsidRDefault="009D6F4A" w:rsidP="006516C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A7BB3">
        <w:rPr>
          <w:rFonts w:asciiTheme="majorHAnsi" w:hAnsiTheme="majorHAnsi"/>
          <w:sz w:val="20"/>
          <w:szCs w:val="20"/>
          <w:lang w:val="es-ES"/>
        </w:rPr>
        <w:t>Javier Alfonso Amaya Urrego</w:t>
      </w:r>
      <w:r w:rsidR="00DA7BB3" w:rsidRPr="00DA7BB3">
        <w:rPr>
          <w:rFonts w:asciiTheme="majorHAnsi" w:hAnsiTheme="majorHAnsi"/>
          <w:sz w:val="20"/>
          <w:szCs w:val="20"/>
          <w:lang w:val="es-ES"/>
        </w:rPr>
        <w:t>,</w:t>
      </w:r>
      <w:r w:rsidRPr="00DA7BB3">
        <w:rPr>
          <w:rFonts w:asciiTheme="majorHAnsi" w:hAnsiTheme="majorHAnsi"/>
          <w:sz w:val="20"/>
          <w:szCs w:val="20"/>
          <w:lang w:val="es-ES"/>
        </w:rPr>
        <w:t xml:space="preserve"> </w:t>
      </w:r>
      <w:r w:rsidR="00DA7BB3" w:rsidRPr="00DA7BB3">
        <w:rPr>
          <w:rFonts w:asciiTheme="majorHAnsi" w:hAnsiTheme="majorHAnsi"/>
          <w:sz w:val="20"/>
          <w:szCs w:val="20"/>
          <w:lang w:val="es-ES"/>
        </w:rPr>
        <w:t>i</w:t>
      </w:r>
      <w:r w:rsidRPr="00DA7BB3">
        <w:rPr>
          <w:rFonts w:asciiTheme="majorHAnsi" w:hAnsiTheme="majorHAnsi"/>
          <w:sz w:val="20"/>
          <w:szCs w:val="20"/>
          <w:lang w:val="es-ES"/>
        </w:rPr>
        <w:t>nvestigador</w:t>
      </w:r>
      <w:r w:rsidR="00DA7BB3" w:rsidRPr="00DA7BB3">
        <w:rPr>
          <w:rFonts w:asciiTheme="majorHAnsi" w:hAnsiTheme="majorHAnsi"/>
          <w:sz w:val="20"/>
          <w:szCs w:val="20"/>
          <w:lang w:val="es-ES"/>
        </w:rPr>
        <w:t xml:space="preserve"> </w:t>
      </w:r>
      <w:r w:rsidR="00DA7BB3">
        <w:rPr>
          <w:rFonts w:asciiTheme="majorHAnsi" w:hAnsiTheme="majorHAnsi"/>
          <w:sz w:val="20"/>
          <w:szCs w:val="20"/>
          <w:lang w:val="es-ES"/>
        </w:rPr>
        <w:t>(s</w:t>
      </w:r>
      <w:r w:rsidRPr="00DA7BB3">
        <w:rPr>
          <w:rFonts w:asciiTheme="majorHAnsi" w:hAnsiTheme="majorHAnsi"/>
          <w:sz w:val="20"/>
          <w:szCs w:val="20"/>
          <w:lang w:val="es-ES"/>
        </w:rPr>
        <w:t>obreviviente</w:t>
      </w:r>
      <w:r w:rsidR="00DA7BB3">
        <w:rPr>
          <w:rFonts w:asciiTheme="majorHAnsi" w:hAnsiTheme="majorHAnsi"/>
          <w:sz w:val="20"/>
          <w:szCs w:val="20"/>
          <w:lang w:val="es-ES"/>
        </w:rPr>
        <w:t>).</w:t>
      </w:r>
    </w:p>
    <w:p w14:paraId="4B63EFE4" w14:textId="77777777" w:rsidR="00DA7BB3" w:rsidRPr="00DA7BB3" w:rsidRDefault="00DA7BB3" w:rsidP="00DA7BB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A7FB30F" w14:textId="7854F77A" w:rsidR="009D6F4A" w:rsidRDefault="009D6F4A" w:rsidP="00DA7BB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A7BB3">
        <w:rPr>
          <w:rFonts w:asciiTheme="majorHAnsi" w:hAnsiTheme="majorHAnsi"/>
          <w:sz w:val="20"/>
          <w:szCs w:val="20"/>
          <w:lang w:val="es-ES"/>
        </w:rPr>
        <w:t xml:space="preserve">Funcionarios de la Procuraduría General de la </w:t>
      </w:r>
      <w:r w:rsidR="003E0AF4">
        <w:rPr>
          <w:rFonts w:asciiTheme="majorHAnsi" w:hAnsiTheme="majorHAnsi"/>
          <w:sz w:val="20"/>
          <w:szCs w:val="20"/>
          <w:lang w:val="es-ES"/>
        </w:rPr>
        <w:t>Nación</w:t>
      </w:r>
      <w:r w:rsidR="00DA7BB3">
        <w:rPr>
          <w:rFonts w:asciiTheme="majorHAnsi" w:hAnsiTheme="majorHAnsi"/>
          <w:sz w:val="20"/>
          <w:szCs w:val="20"/>
          <w:lang w:val="es-ES"/>
        </w:rPr>
        <w:t>:</w:t>
      </w:r>
    </w:p>
    <w:p w14:paraId="7B686BBD" w14:textId="77777777" w:rsidR="00DA7BB3" w:rsidRPr="00DA7BB3" w:rsidRDefault="00DA7BB3" w:rsidP="00DA7BB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CBBDDE7" w14:textId="07B68158" w:rsidR="009D6F4A" w:rsidRPr="004C1E1C" w:rsidRDefault="009D6F4A" w:rsidP="005F3A6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4C1E1C">
        <w:rPr>
          <w:rFonts w:asciiTheme="majorHAnsi" w:hAnsiTheme="majorHAnsi"/>
          <w:sz w:val="20"/>
          <w:szCs w:val="20"/>
          <w:lang w:val="pt-BR"/>
        </w:rPr>
        <w:t>Jorge Alberto Socotá</w:t>
      </w:r>
      <w:r w:rsidR="004C1E1C" w:rsidRPr="004C1E1C">
        <w:rPr>
          <w:rFonts w:asciiTheme="majorHAnsi" w:hAnsiTheme="majorHAnsi"/>
          <w:sz w:val="20"/>
          <w:szCs w:val="20"/>
          <w:lang w:val="pt-BR"/>
        </w:rPr>
        <w:t>, p</w:t>
      </w:r>
      <w:r w:rsidRPr="004C1E1C">
        <w:rPr>
          <w:rFonts w:asciiTheme="majorHAnsi" w:hAnsiTheme="majorHAnsi"/>
          <w:sz w:val="20"/>
          <w:szCs w:val="20"/>
          <w:lang w:val="pt-BR"/>
        </w:rPr>
        <w:t xml:space="preserve">rocurador </w:t>
      </w:r>
      <w:r w:rsidR="004C1E1C">
        <w:rPr>
          <w:rFonts w:asciiTheme="majorHAnsi" w:hAnsiTheme="majorHAnsi"/>
          <w:sz w:val="20"/>
          <w:szCs w:val="20"/>
          <w:lang w:val="pt-BR"/>
        </w:rPr>
        <w:t>de v</w:t>
      </w:r>
      <w:r w:rsidRPr="004C1E1C">
        <w:rPr>
          <w:rFonts w:asciiTheme="majorHAnsi" w:hAnsiTheme="majorHAnsi"/>
          <w:sz w:val="20"/>
          <w:szCs w:val="20"/>
          <w:lang w:val="pt-BR"/>
        </w:rPr>
        <w:t xml:space="preserve">igilancia </w:t>
      </w:r>
      <w:r w:rsidR="004C1E1C">
        <w:rPr>
          <w:rFonts w:asciiTheme="majorHAnsi" w:hAnsiTheme="majorHAnsi"/>
          <w:sz w:val="20"/>
          <w:szCs w:val="20"/>
          <w:lang w:val="pt-BR"/>
        </w:rPr>
        <w:t>j</w:t>
      </w:r>
      <w:r w:rsidRPr="004C1E1C">
        <w:rPr>
          <w:rFonts w:asciiTheme="majorHAnsi" w:hAnsiTheme="majorHAnsi"/>
          <w:sz w:val="20"/>
          <w:szCs w:val="20"/>
          <w:lang w:val="pt-BR"/>
        </w:rPr>
        <w:t xml:space="preserve">udicial </w:t>
      </w:r>
      <w:r w:rsidR="004C1E1C">
        <w:rPr>
          <w:rFonts w:asciiTheme="majorHAnsi" w:hAnsiTheme="majorHAnsi"/>
          <w:sz w:val="20"/>
          <w:szCs w:val="20"/>
          <w:lang w:val="pt-BR"/>
        </w:rPr>
        <w:t>(s</w:t>
      </w:r>
      <w:r w:rsidRPr="004C1E1C">
        <w:rPr>
          <w:rFonts w:asciiTheme="majorHAnsi" w:hAnsiTheme="majorHAnsi"/>
          <w:sz w:val="20"/>
          <w:szCs w:val="20"/>
          <w:lang w:val="pt-BR"/>
        </w:rPr>
        <w:t>obreviviente</w:t>
      </w:r>
      <w:r w:rsidR="004C1E1C">
        <w:rPr>
          <w:rFonts w:asciiTheme="majorHAnsi" w:hAnsiTheme="majorHAnsi"/>
          <w:sz w:val="20"/>
          <w:szCs w:val="20"/>
          <w:lang w:val="pt-BR"/>
        </w:rPr>
        <w:t>).</w:t>
      </w:r>
    </w:p>
    <w:p w14:paraId="38212849" w14:textId="77777777" w:rsidR="004C1E1C" w:rsidRPr="00E14C97" w:rsidRDefault="004C1E1C" w:rsidP="004C1E1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p>
    <w:p w14:paraId="3E3CADE0" w14:textId="521ECE7B" w:rsidR="009D6F4A" w:rsidRDefault="009D6F4A" w:rsidP="004C1E1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4C1E1C">
        <w:rPr>
          <w:rFonts w:asciiTheme="majorHAnsi" w:hAnsiTheme="majorHAnsi"/>
          <w:sz w:val="20"/>
          <w:szCs w:val="20"/>
          <w:lang w:val="es-ES"/>
        </w:rPr>
        <w:t>Funcionarios del D</w:t>
      </w:r>
      <w:r w:rsidR="006802FB">
        <w:rPr>
          <w:rFonts w:asciiTheme="majorHAnsi" w:hAnsiTheme="majorHAnsi"/>
          <w:sz w:val="20"/>
          <w:szCs w:val="20"/>
          <w:lang w:val="es-ES"/>
        </w:rPr>
        <w:t>AS</w:t>
      </w:r>
      <w:r w:rsidRPr="004C1E1C">
        <w:rPr>
          <w:rFonts w:asciiTheme="majorHAnsi" w:hAnsiTheme="majorHAnsi"/>
          <w:sz w:val="20"/>
          <w:szCs w:val="20"/>
          <w:lang w:val="es-ES"/>
        </w:rPr>
        <w:t xml:space="preserve">, delegados ante el </w:t>
      </w:r>
      <w:r w:rsidR="006802FB" w:rsidRPr="004C1E1C">
        <w:rPr>
          <w:rFonts w:asciiTheme="majorHAnsi" w:hAnsiTheme="majorHAnsi"/>
          <w:sz w:val="20"/>
          <w:szCs w:val="20"/>
          <w:lang w:val="es-ES"/>
        </w:rPr>
        <w:t>Gaula</w:t>
      </w:r>
      <w:r w:rsidRPr="004C1E1C">
        <w:rPr>
          <w:rFonts w:asciiTheme="majorHAnsi" w:hAnsiTheme="majorHAnsi"/>
          <w:sz w:val="20"/>
          <w:szCs w:val="20"/>
          <w:lang w:val="es-ES"/>
        </w:rPr>
        <w:t xml:space="preserve"> del </w:t>
      </w:r>
      <w:r w:rsidR="006802FB" w:rsidRPr="004C1E1C">
        <w:rPr>
          <w:rFonts w:asciiTheme="majorHAnsi" w:hAnsiTheme="majorHAnsi"/>
          <w:sz w:val="20"/>
          <w:szCs w:val="20"/>
          <w:lang w:val="es-ES"/>
        </w:rPr>
        <w:t>ejército</w:t>
      </w:r>
      <w:r w:rsidR="006802FB">
        <w:rPr>
          <w:rFonts w:asciiTheme="majorHAnsi" w:hAnsiTheme="majorHAnsi"/>
          <w:sz w:val="20"/>
          <w:szCs w:val="20"/>
          <w:lang w:val="es-ES"/>
        </w:rPr>
        <w:t>:</w:t>
      </w:r>
    </w:p>
    <w:p w14:paraId="470121DA" w14:textId="77777777" w:rsidR="006802FB" w:rsidRPr="004C1E1C" w:rsidRDefault="006802FB" w:rsidP="004C1E1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CBB9C4B" w14:textId="6C88795B" w:rsidR="009D6F4A" w:rsidRPr="00745E38" w:rsidRDefault="009D6F4A" w:rsidP="00D55FC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745E38">
        <w:rPr>
          <w:rFonts w:asciiTheme="majorHAnsi" w:hAnsiTheme="majorHAnsi"/>
          <w:sz w:val="20"/>
          <w:szCs w:val="20"/>
          <w:lang w:val="pt-BR"/>
        </w:rPr>
        <w:t>Otto Ruiz Pérez</w:t>
      </w:r>
      <w:r w:rsidR="00745E38" w:rsidRPr="00745E38">
        <w:rPr>
          <w:rFonts w:asciiTheme="majorHAnsi" w:hAnsiTheme="majorHAnsi"/>
          <w:sz w:val="20"/>
          <w:szCs w:val="20"/>
          <w:lang w:val="pt-BR"/>
        </w:rPr>
        <w:t>, d</w:t>
      </w:r>
      <w:r w:rsidRPr="00745E38">
        <w:rPr>
          <w:rFonts w:asciiTheme="majorHAnsi" w:hAnsiTheme="majorHAnsi"/>
          <w:sz w:val="20"/>
          <w:szCs w:val="20"/>
          <w:lang w:val="pt-BR"/>
        </w:rPr>
        <w:t xml:space="preserve">etective </w:t>
      </w:r>
      <w:r w:rsidR="00745E38" w:rsidRPr="00745E38">
        <w:rPr>
          <w:rFonts w:asciiTheme="majorHAnsi" w:hAnsiTheme="majorHAnsi"/>
          <w:sz w:val="20"/>
          <w:szCs w:val="20"/>
          <w:lang w:val="pt-BR"/>
        </w:rPr>
        <w:t>(fa</w:t>
      </w:r>
      <w:r w:rsidR="00745E38">
        <w:rPr>
          <w:rFonts w:asciiTheme="majorHAnsi" w:hAnsiTheme="majorHAnsi"/>
          <w:sz w:val="20"/>
          <w:szCs w:val="20"/>
          <w:lang w:val="pt-BR"/>
        </w:rPr>
        <w:t>llecido).</w:t>
      </w:r>
    </w:p>
    <w:p w14:paraId="30BC5445" w14:textId="5EF2F4C6" w:rsidR="009D6F4A" w:rsidRPr="00745E38" w:rsidRDefault="009D6F4A" w:rsidP="0022444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45E38">
        <w:rPr>
          <w:rFonts w:asciiTheme="majorHAnsi" w:hAnsiTheme="majorHAnsi"/>
          <w:sz w:val="20"/>
          <w:szCs w:val="20"/>
          <w:lang w:val="es-ES"/>
        </w:rPr>
        <w:t>Wilber Pulido Alba</w:t>
      </w:r>
      <w:r w:rsidR="00745E38" w:rsidRPr="00745E38">
        <w:rPr>
          <w:rFonts w:asciiTheme="majorHAnsi" w:hAnsiTheme="majorHAnsi"/>
          <w:sz w:val="20"/>
          <w:szCs w:val="20"/>
          <w:lang w:val="es-ES"/>
        </w:rPr>
        <w:t xml:space="preserve">, </w:t>
      </w:r>
      <w:r w:rsidR="00745E38">
        <w:rPr>
          <w:rFonts w:asciiTheme="majorHAnsi" w:hAnsiTheme="majorHAnsi"/>
          <w:sz w:val="20"/>
          <w:szCs w:val="20"/>
          <w:lang w:val="es-ES"/>
        </w:rPr>
        <w:t>d</w:t>
      </w:r>
      <w:r w:rsidRPr="00745E38">
        <w:rPr>
          <w:rFonts w:asciiTheme="majorHAnsi" w:hAnsiTheme="majorHAnsi"/>
          <w:sz w:val="20"/>
          <w:szCs w:val="20"/>
          <w:lang w:val="es-ES"/>
        </w:rPr>
        <w:t xml:space="preserve">etective </w:t>
      </w:r>
      <w:r w:rsidR="00745E38">
        <w:rPr>
          <w:rFonts w:asciiTheme="majorHAnsi" w:hAnsiTheme="majorHAnsi"/>
          <w:sz w:val="20"/>
          <w:szCs w:val="20"/>
          <w:lang w:val="es-ES"/>
        </w:rPr>
        <w:t>(s</w:t>
      </w:r>
      <w:r w:rsidRPr="00745E38">
        <w:rPr>
          <w:rFonts w:asciiTheme="majorHAnsi" w:hAnsiTheme="majorHAnsi"/>
          <w:sz w:val="20"/>
          <w:szCs w:val="20"/>
          <w:lang w:val="es-ES"/>
        </w:rPr>
        <w:t>obreviviente</w:t>
      </w:r>
      <w:r w:rsidR="00745E38">
        <w:rPr>
          <w:rFonts w:asciiTheme="majorHAnsi" w:hAnsiTheme="majorHAnsi"/>
          <w:sz w:val="20"/>
          <w:szCs w:val="20"/>
          <w:lang w:val="es-ES"/>
        </w:rPr>
        <w:t>).</w:t>
      </w:r>
    </w:p>
    <w:p w14:paraId="63B45B99" w14:textId="2BBAD3C2" w:rsidR="009D6F4A" w:rsidRPr="00745E38" w:rsidRDefault="009D6F4A" w:rsidP="004C552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45E38">
        <w:rPr>
          <w:rFonts w:asciiTheme="majorHAnsi" w:hAnsiTheme="majorHAnsi"/>
          <w:sz w:val="20"/>
          <w:szCs w:val="20"/>
          <w:lang w:val="es-ES"/>
        </w:rPr>
        <w:t>José Quevedo Acosta</w:t>
      </w:r>
      <w:r w:rsidR="00745E38" w:rsidRPr="00745E38">
        <w:rPr>
          <w:rFonts w:asciiTheme="majorHAnsi" w:hAnsiTheme="majorHAnsi"/>
          <w:sz w:val="20"/>
          <w:szCs w:val="20"/>
          <w:lang w:val="es-ES"/>
        </w:rPr>
        <w:t xml:space="preserve">, </w:t>
      </w:r>
      <w:r w:rsidR="00745E38">
        <w:rPr>
          <w:rFonts w:asciiTheme="majorHAnsi" w:hAnsiTheme="majorHAnsi"/>
          <w:sz w:val="20"/>
          <w:szCs w:val="20"/>
          <w:lang w:val="es-ES"/>
        </w:rPr>
        <w:t>d</w:t>
      </w:r>
      <w:r w:rsidRPr="00745E38">
        <w:rPr>
          <w:rFonts w:asciiTheme="majorHAnsi" w:hAnsiTheme="majorHAnsi"/>
          <w:sz w:val="20"/>
          <w:szCs w:val="20"/>
          <w:lang w:val="es-ES"/>
        </w:rPr>
        <w:t xml:space="preserve">etective </w:t>
      </w:r>
      <w:r w:rsidR="00745E38">
        <w:rPr>
          <w:rFonts w:asciiTheme="majorHAnsi" w:hAnsiTheme="majorHAnsi"/>
          <w:sz w:val="20"/>
          <w:szCs w:val="20"/>
          <w:lang w:val="es-ES"/>
        </w:rPr>
        <w:t>(s</w:t>
      </w:r>
      <w:r w:rsidRPr="00745E38">
        <w:rPr>
          <w:rFonts w:asciiTheme="majorHAnsi" w:hAnsiTheme="majorHAnsi"/>
          <w:sz w:val="20"/>
          <w:szCs w:val="20"/>
          <w:lang w:val="es-ES"/>
        </w:rPr>
        <w:t>obreviviente</w:t>
      </w:r>
      <w:r w:rsidR="00745E38">
        <w:rPr>
          <w:rFonts w:asciiTheme="majorHAnsi" w:hAnsiTheme="majorHAnsi"/>
          <w:sz w:val="20"/>
          <w:szCs w:val="20"/>
          <w:lang w:val="es-ES"/>
        </w:rPr>
        <w:t>).</w:t>
      </w:r>
    </w:p>
    <w:p w14:paraId="51014D85" w14:textId="6A39D928" w:rsidR="009D6F4A" w:rsidRPr="006B2C0D" w:rsidRDefault="009D6F4A" w:rsidP="00EE1CE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B2C0D">
        <w:rPr>
          <w:rFonts w:asciiTheme="majorHAnsi" w:hAnsiTheme="majorHAnsi"/>
          <w:sz w:val="20"/>
          <w:szCs w:val="20"/>
          <w:lang w:val="es-ES"/>
        </w:rPr>
        <w:t xml:space="preserve">Numar Efren Arboleda Ibarra, </w:t>
      </w:r>
      <w:r w:rsidR="006B2C0D">
        <w:rPr>
          <w:rFonts w:asciiTheme="majorHAnsi" w:hAnsiTheme="majorHAnsi"/>
          <w:sz w:val="20"/>
          <w:szCs w:val="20"/>
          <w:lang w:val="es-ES"/>
        </w:rPr>
        <w:t>d</w:t>
      </w:r>
      <w:r w:rsidRPr="006B2C0D">
        <w:rPr>
          <w:rFonts w:asciiTheme="majorHAnsi" w:hAnsiTheme="majorHAnsi"/>
          <w:sz w:val="20"/>
          <w:szCs w:val="20"/>
          <w:lang w:val="es-ES"/>
        </w:rPr>
        <w:t xml:space="preserve">etective </w:t>
      </w:r>
      <w:r w:rsidR="006B2C0D">
        <w:rPr>
          <w:rFonts w:asciiTheme="majorHAnsi" w:hAnsiTheme="majorHAnsi"/>
          <w:sz w:val="20"/>
          <w:szCs w:val="20"/>
          <w:lang w:val="es-ES"/>
        </w:rPr>
        <w:t>(s</w:t>
      </w:r>
      <w:r w:rsidRPr="006B2C0D">
        <w:rPr>
          <w:rFonts w:asciiTheme="majorHAnsi" w:hAnsiTheme="majorHAnsi"/>
          <w:sz w:val="20"/>
          <w:szCs w:val="20"/>
          <w:lang w:val="es-ES"/>
        </w:rPr>
        <w:t>obreviviente</w:t>
      </w:r>
      <w:r w:rsidR="006B2C0D">
        <w:rPr>
          <w:rFonts w:asciiTheme="majorHAnsi" w:hAnsiTheme="majorHAnsi"/>
          <w:sz w:val="20"/>
          <w:szCs w:val="20"/>
          <w:lang w:val="es-ES"/>
        </w:rPr>
        <w:t>).</w:t>
      </w:r>
    </w:p>
    <w:p w14:paraId="3B332975" w14:textId="4BB49C12" w:rsidR="009D6F4A" w:rsidRPr="006B2C0D" w:rsidRDefault="009D6F4A" w:rsidP="003E3EE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B2C0D">
        <w:rPr>
          <w:rFonts w:asciiTheme="majorHAnsi" w:hAnsiTheme="majorHAnsi"/>
          <w:sz w:val="20"/>
          <w:szCs w:val="20"/>
          <w:lang w:val="es-ES"/>
        </w:rPr>
        <w:t>Juan Carlos Cruz Giraldo</w:t>
      </w:r>
      <w:r w:rsidR="006B2C0D" w:rsidRPr="006B2C0D">
        <w:rPr>
          <w:rFonts w:asciiTheme="majorHAnsi" w:hAnsiTheme="majorHAnsi"/>
          <w:sz w:val="20"/>
          <w:szCs w:val="20"/>
          <w:lang w:val="es-ES"/>
        </w:rPr>
        <w:t>,</w:t>
      </w:r>
      <w:r w:rsidRPr="006B2C0D">
        <w:rPr>
          <w:rFonts w:asciiTheme="majorHAnsi" w:hAnsiTheme="majorHAnsi"/>
          <w:sz w:val="20"/>
          <w:szCs w:val="20"/>
          <w:lang w:val="es-ES"/>
        </w:rPr>
        <w:t xml:space="preserve"> </w:t>
      </w:r>
      <w:r w:rsidR="006B2C0D" w:rsidRPr="006B2C0D">
        <w:rPr>
          <w:rFonts w:asciiTheme="majorHAnsi" w:hAnsiTheme="majorHAnsi"/>
          <w:sz w:val="20"/>
          <w:szCs w:val="20"/>
          <w:lang w:val="es-ES"/>
        </w:rPr>
        <w:t>d</w:t>
      </w:r>
      <w:r w:rsidRPr="006B2C0D">
        <w:rPr>
          <w:rFonts w:asciiTheme="majorHAnsi" w:hAnsiTheme="majorHAnsi"/>
          <w:sz w:val="20"/>
          <w:szCs w:val="20"/>
          <w:lang w:val="es-ES"/>
        </w:rPr>
        <w:t>etective</w:t>
      </w:r>
      <w:r w:rsidR="006B2C0D" w:rsidRPr="006B2C0D">
        <w:rPr>
          <w:rFonts w:asciiTheme="majorHAnsi" w:hAnsiTheme="majorHAnsi"/>
          <w:sz w:val="20"/>
          <w:szCs w:val="20"/>
          <w:lang w:val="es-ES"/>
        </w:rPr>
        <w:t xml:space="preserve"> (</w:t>
      </w:r>
      <w:r w:rsidR="006B2C0D">
        <w:rPr>
          <w:rFonts w:asciiTheme="majorHAnsi" w:hAnsiTheme="majorHAnsi"/>
          <w:sz w:val="20"/>
          <w:szCs w:val="20"/>
          <w:lang w:val="es-ES"/>
        </w:rPr>
        <w:t>s</w:t>
      </w:r>
      <w:r w:rsidRPr="006B2C0D">
        <w:rPr>
          <w:rFonts w:asciiTheme="majorHAnsi" w:hAnsiTheme="majorHAnsi"/>
          <w:sz w:val="20"/>
          <w:szCs w:val="20"/>
          <w:lang w:val="es-ES"/>
        </w:rPr>
        <w:t>obreviviente</w:t>
      </w:r>
      <w:r w:rsidR="006B2C0D">
        <w:rPr>
          <w:rFonts w:asciiTheme="majorHAnsi" w:hAnsiTheme="majorHAnsi"/>
          <w:sz w:val="20"/>
          <w:szCs w:val="20"/>
          <w:lang w:val="es-ES"/>
        </w:rPr>
        <w:t>).</w:t>
      </w:r>
    </w:p>
    <w:p w14:paraId="52AFC0C9" w14:textId="6EBA6863" w:rsidR="009D6F4A" w:rsidRPr="006B2C0D" w:rsidRDefault="009D6F4A" w:rsidP="00C927F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B2C0D">
        <w:rPr>
          <w:rFonts w:asciiTheme="majorHAnsi" w:hAnsiTheme="majorHAnsi"/>
          <w:sz w:val="20"/>
          <w:szCs w:val="20"/>
          <w:lang w:val="es-ES"/>
        </w:rPr>
        <w:t>Luis Hernando Perdomo Castro</w:t>
      </w:r>
      <w:r w:rsidR="006B2C0D" w:rsidRPr="006B2C0D">
        <w:rPr>
          <w:rFonts w:asciiTheme="majorHAnsi" w:hAnsiTheme="majorHAnsi"/>
          <w:sz w:val="20"/>
          <w:szCs w:val="20"/>
          <w:lang w:val="es-ES"/>
        </w:rPr>
        <w:t>,</w:t>
      </w:r>
      <w:r w:rsidRPr="006B2C0D">
        <w:rPr>
          <w:rFonts w:asciiTheme="majorHAnsi" w:hAnsiTheme="majorHAnsi"/>
          <w:sz w:val="20"/>
          <w:szCs w:val="20"/>
          <w:lang w:val="es-ES"/>
        </w:rPr>
        <w:t xml:space="preserve"> </w:t>
      </w:r>
      <w:r w:rsidR="006B2C0D" w:rsidRPr="006B2C0D">
        <w:rPr>
          <w:rFonts w:asciiTheme="majorHAnsi" w:hAnsiTheme="majorHAnsi"/>
          <w:sz w:val="20"/>
          <w:szCs w:val="20"/>
          <w:lang w:val="es-ES"/>
        </w:rPr>
        <w:t>d</w:t>
      </w:r>
      <w:r w:rsidRPr="006B2C0D">
        <w:rPr>
          <w:rFonts w:asciiTheme="majorHAnsi" w:hAnsiTheme="majorHAnsi"/>
          <w:sz w:val="20"/>
          <w:szCs w:val="20"/>
          <w:lang w:val="es-ES"/>
        </w:rPr>
        <w:t>etective</w:t>
      </w:r>
      <w:r w:rsidR="006B2C0D" w:rsidRPr="006B2C0D">
        <w:rPr>
          <w:rFonts w:asciiTheme="majorHAnsi" w:hAnsiTheme="majorHAnsi"/>
          <w:sz w:val="20"/>
          <w:szCs w:val="20"/>
          <w:lang w:val="es-ES"/>
        </w:rPr>
        <w:t xml:space="preserve"> (</w:t>
      </w:r>
      <w:r w:rsidR="006B2C0D">
        <w:rPr>
          <w:rFonts w:asciiTheme="majorHAnsi" w:hAnsiTheme="majorHAnsi"/>
          <w:sz w:val="20"/>
          <w:szCs w:val="20"/>
          <w:lang w:val="es-ES"/>
        </w:rPr>
        <w:t>s</w:t>
      </w:r>
      <w:r w:rsidRPr="006B2C0D">
        <w:rPr>
          <w:rFonts w:asciiTheme="majorHAnsi" w:hAnsiTheme="majorHAnsi"/>
          <w:sz w:val="20"/>
          <w:szCs w:val="20"/>
          <w:lang w:val="es-ES"/>
        </w:rPr>
        <w:t>obreviviente</w:t>
      </w:r>
      <w:r w:rsidR="006B2C0D">
        <w:rPr>
          <w:rFonts w:asciiTheme="majorHAnsi" w:hAnsiTheme="majorHAnsi"/>
          <w:sz w:val="20"/>
          <w:szCs w:val="20"/>
          <w:lang w:val="es-ES"/>
        </w:rPr>
        <w:t>).</w:t>
      </w:r>
    </w:p>
    <w:p w14:paraId="363D6916" w14:textId="77777777" w:rsidR="006B2C0D" w:rsidRDefault="006B2C0D" w:rsidP="006B2C0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B83BE54" w14:textId="49040A9F" w:rsidR="009D6F4A" w:rsidRDefault="0029670C" w:rsidP="006B2C0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Funcionari</w:t>
      </w:r>
      <w:r w:rsidR="009D6F4A" w:rsidRPr="006B2C0D">
        <w:rPr>
          <w:rFonts w:asciiTheme="majorHAnsi" w:hAnsiTheme="majorHAnsi"/>
          <w:sz w:val="20"/>
          <w:szCs w:val="20"/>
          <w:lang w:val="es-ES"/>
        </w:rPr>
        <w:t xml:space="preserve">os del Gaula </w:t>
      </w:r>
      <w:r w:rsidR="006B2C0D">
        <w:rPr>
          <w:rFonts w:asciiTheme="majorHAnsi" w:hAnsiTheme="majorHAnsi"/>
          <w:sz w:val="20"/>
          <w:szCs w:val="20"/>
          <w:lang w:val="es-ES"/>
        </w:rPr>
        <w:t xml:space="preserve">del </w:t>
      </w:r>
      <w:r w:rsidR="009D6F4A" w:rsidRPr="006B2C0D">
        <w:rPr>
          <w:rFonts w:asciiTheme="majorHAnsi" w:hAnsiTheme="majorHAnsi"/>
          <w:sz w:val="20"/>
          <w:szCs w:val="20"/>
          <w:lang w:val="es-ES"/>
        </w:rPr>
        <w:t>Ejército Nacional</w:t>
      </w:r>
      <w:r w:rsidR="006B2C0D">
        <w:rPr>
          <w:rFonts w:asciiTheme="majorHAnsi" w:hAnsiTheme="majorHAnsi"/>
          <w:sz w:val="20"/>
          <w:szCs w:val="20"/>
          <w:lang w:val="es-ES"/>
        </w:rPr>
        <w:t>:</w:t>
      </w:r>
    </w:p>
    <w:p w14:paraId="10BF8022" w14:textId="77777777" w:rsidR="006B2C0D" w:rsidRPr="006B2C0D" w:rsidRDefault="006B2C0D" w:rsidP="006B2C0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64296B4" w14:textId="1DA93895" w:rsidR="009D6F4A" w:rsidRPr="003464DF" w:rsidRDefault="009D6F4A" w:rsidP="002A06D9">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3464DF">
        <w:rPr>
          <w:rFonts w:asciiTheme="majorHAnsi" w:hAnsiTheme="majorHAnsi"/>
          <w:sz w:val="20"/>
          <w:szCs w:val="20"/>
          <w:lang w:val="es-ES"/>
        </w:rPr>
        <w:t>Mayor Juan Carlos Figueroa Escobar</w:t>
      </w:r>
      <w:r w:rsidR="003464DF" w:rsidRPr="003464DF">
        <w:rPr>
          <w:rFonts w:asciiTheme="majorHAnsi" w:hAnsiTheme="majorHAnsi"/>
          <w:sz w:val="20"/>
          <w:szCs w:val="20"/>
          <w:lang w:val="es-ES"/>
        </w:rPr>
        <w:t xml:space="preserve">, </w:t>
      </w:r>
      <w:r w:rsidR="003464DF">
        <w:rPr>
          <w:rFonts w:asciiTheme="majorHAnsi" w:hAnsiTheme="majorHAnsi"/>
          <w:sz w:val="20"/>
          <w:szCs w:val="20"/>
          <w:lang w:val="es-ES"/>
        </w:rPr>
        <w:t>j</w:t>
      </w:r>
      <w:r w:rsidRPr="003464DF">
        <w:rPr>
          <w:rFonts w:asciiTheme="majorHAnsi" w:hAnsiTheme="majorHAnsi"/>
          <w:sz w:val="20"/>
          <w:szCs w:val="20"/>
          <w:lang w:val="es-ES"/>
        </w:rPr>
        <w:t xml:space="preserve">efe del Gaula del Ejército </w:t>
      </w:r>
      <w:r w:rsidR="003464DF">
        <w:rPr>
          <w:rFonts w:asciiTheme="majorHAnsi" w:hAnsiTheme="majorHAnsi"/>
          <w:sz w:val="20"/>
          <w:szCs w:val="20"/>
          <w:lang w:val="es-ES"/>
        </w:rPr>
        <w:t>(fallecido).</w:t>
      </w:r>
    </w:p>
    <w:p w14:paraId="63600AE5" w14:textId="087B812E" w:rsidR="009D6F4A" w:rsidRPr="003464DF" w:rsidRDefault="009D6F4A" w:rsidP="006052F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3464DF">
        <w:rPr>
          <w:rFonts w:asciiTheme="majorHAnsi" w:hAnsiTheme="majorHAnsi"/>
          <w:sz w:val="20"/>
          <w:szCs w:val="20"/>
          <w:lang w:val="es-ES"/>
        </w:rPr>
        <w:t>Sargento Otoniel Amaya López</w:t>
      </w:r>
      <w:r w:rsidR="003464DF">
        <w:rPr>
          <w:rFonts w:asciiTheme="majorHAnsi" w:hAnsiTheme="majorHAnsi"/>
          <w:sz w:val="20"/>
          <w:szCs w:val="20"/>
          <w:lang w:val="es-ES"/>
        </w:rPr>
        <w:t>,</w:t>
      </w:r>
      <w:r w:rsidRPr="003464DF">
        <w:rPr>
          <w:rFonts w:asciiTheme="majorHAnsi" w:hAnsiTheme="majorHAnsi"/>
          <w:sz w:val="20"/>
          <w:szCs w:val="20"/>
          <w:lang w:val="es-ES"/>
        </w:rPr>
        <w:t xml:space="preserve"> </w:t>
      </w:r>
      <w:r w:rsidR="003464DF">
        <w:rPr>
          <w:rFonts w:asciiTheme="majorHAnsi" w:hAnsiTheme="majorHAnsi"/>
          <w:sz w:val="20"/>
          <w:szCs w:val="20"/>
          <w:lang w:val="es-ES"/>
        </w:rPr>
        <w:t>(he</w:t>
      </w:r>
      <w:r w:rsidRPr="003464DF">
        <w:rPr>
          <w:rFonts w:asciiTheme="majorHAnsi" w:hAnsiTheme="majorHAnsi"/>
          <w:sz w:val="20"/>
          <w:szCs w:val="20"/>
          <w:lang w:val="es-ES"/>
        </w:rPr>
        <w:t>rido</w:t>
      </w:r>
      <w:r w:rsidR="003464DF">
        <w:rPr>
          <w:rFonts w:asciiTheme="majorHAnsi" w:hAnsiTheme="majorHAnsi"/>
          <w:sz w:val="20"/>
          <w:szCs w:val="20"/>
          <w:lang w:val="es-ES"/>
        </w:rPr>
        <w:t>).</w:t>
      </w:r>
    </w:p>
    <w:p w14:paraId="07B9C9CA" w14:textId="65416FF7" w:rsidR="009D6F4A" w:rsidRPr="003464DF" w:rsidRDefault="009D6F4A" w:rsidP="00CA1929">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464DF">
        <w:rPr>
          <w:rFonts w:asciiTheme="majorHAnsi" w:hAnsiTheme="majorHAnsi"/>
          <w:sz w:val="20"/>
          <w:szCs w:val="20"/>
          <w:lang w:val="pt-BR"/>
        </w:rPr>
        <w:t xml:space="preserve">Sargento Ricardo Ruperto Guarnizo Cruz </w:t>
      </w:r>
      <w:r w:rsidR="003464DF" w:rsidRPr="003464DF">
        <w:rPr>
          <w:rFonts w:asciiTheme="majorHAnsi" w:hAnsiTheme="majorHAnsi"/>
          <w:sz w:val="20"/>
          <w:szCs w:val="20"/>
          <w:lang w:val="pt-BR"/>
        </w:rPr>
        <w:t>(</w:t>
      </w:r>
      <w:r w:rsidR="003464DF">
        <w:rPr>
          <w:rFonts w:asciiTheme="majorHAnsi" w:hAnsiTheme="majorHAnsi"/>
          <w:sz w:val="20"/>
          <w:szCs w:val="20"/>
          <w:lang w:val="pt-BR"/>
        </w:rPr>
        <w:t>fallecido).</w:t>
      </w:r>
    </w:p>
    <w:p w14:paraId="4790D531" w14:textId="194095E4" w:rsidR="009D6F4A" w:rsidRPr="00085BCA" w:rsidRDefault="009D6F4A" w:rsidP="002F207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85BCA">
        <w:rPr>
          <w:rFonts w:asciiTheme="majorHAnsi" w:hAnsiTheme="majorHAnsi"/>
          <w:sz w:val="20"/>
          <w:szCs w:val="20"/>
          <w:lang w:val="es-ES"/>
        </w:rPr>
        <w:t>Cabo Fredy Guillermo Pinilla Correa</w:t>
      </w:r>
      <w:r w:rsidR="00085BCA" w:rsidRPr="00085BCA">
        <w:rPr>
          <w:rFonts w:asciiTheme="majorHAnsi" w:hAnsiTheme="majorHAnsi"/>
          <w:sz w:val="20"/>
          <w:szCs w:val="20"/>
          <w:lang w:val="es-ES"/>
        </w:rPr>
        <w:t xml:space="preserve"> </w:t>
      </w:r>
      <w:r w:rsidR="00085BCA">
        <w:rPr>
          <w:rFonts w:asciiTheme="majorHAnsi" w:hAnsiTheme="majorHAnsi"/>
          <w:sz w:val="20"/>
          <w:szCs w:val="20"/>
          <w:lang w:val="es-ES"/>
        </w:rPr>
        <w:t>(h</w:t>
      </w:r>
      <w:r w:rsidRPr="00085BCA">
        <w:rPr>
          <w:rFonts w:asciiTheme="majorHAnsi" w:hAnsiTheme="majorHAnsi"/>
          <w:sz w:val="20"/>
          <w:szCs w:val="20"/>
          <w:lang w:val="es-ES"/>
        </w:rPr>
        <w:t>erido</w:t>
      </w:r>
      <w:r w:rsidR="00085BCA">
        <w:rPr>
          <w:rFonts w:asciiTheme="majorHAnsi" w:hAnsiTheme="majorHAnsi"/>
          <w:sz w:val="20"/>
          <w:szCs w:val="20"/>
          <w:lang w:val="es-ES"/>
        </w:rPr>
        <w:t>).</w:t>
      </w:r>
    </w:p>
    <w:p w14:paraId="04DD6303" w14:textId="0508382A" w:rsidR="009D6F4A" w:rsidRPr="00085BCA" w:rsidRDefault="009D6F4A" w:rsidP="009D6AA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85BCA">
        <w:rPr>
          <w:rFonts w:asciiTheme="majorHAnsi" w:hAnsiTheme="majorHAnsi"/>
          <w:sz w:val="20"/>
          <w:szCs w:val="20"/>
          <w:lang w:val="es-ES"/>
        </w:rPr>
        <w:t xml:space="preserve">Soldado José Campos Hernández </w:t>
      </w:r>
      <w:r w:rsidR="00085BCA">
        <w:rPr>
          <w:rFonts w:asciiTheme="majorHAnsi" w:hAnsiTheme="majorHAnsi"/>
          <w:sz w:val="20"/>
          <w:szCs w:val="20"/>
          <w:lang w:val="es-ES"/>
        </w:rPr>
        <w:t>(h</w:t>
      </w:r>
      <w:r w:rsidRPr="00085BCA">
        <w:rPr>
          <w:rFonts w:asciiTheme="majorHAnsi" w:hAnsiTheme="majorHAnsi"/>
          <w:sz w:val="20"/>
          <w:szCs w:val="20"/>
          <w:lang w:val="es-ES"/>
        </w:rPr>
        <w:t>erido</w:t>
      </w:r>
      <w:r w:rsidR="00085BCA">
        <w:rPr>
          <w:rFonts w:asciiTheme="majorHAnsi" w:hAnsiTheme="majorHAnsi"/>
          <w:sz w:val="20"/>
          <w:szCs w:val="20"/>
          <w:lang w:val="es-ES"/>
        </w:rPr>
        <w:t>).</w:t>
      </w:r>
    </w:p>
    <w:p w14:paraId="02DF4078" w14:textId="305D7742" w:rsidR="009D6F4A" w:rsidRPr="00085BCA" w:rsidRDefault="009D6F4A" w:rsidP="00164C5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85BCA">
        <w:rPr>
          <w:rFonts w:asciiTheme="majorHAnsi" w:hAnsiTheme="majorHAnsi"/>
          <w:sz w:val="20"/>
          <w:szCs w:val="20"/>
          <w:lang w:val="es-ES"/>
        </w:rPr>
        <w:t>Soldado Misael Gómez</w:t>
      </w:r>
      <w:r w:rsidR="00085BCA" w:rsidRPr="00085BCA">
        <w:rPr>
          <w:rFonts w:asciiTheme="majorHAnsi" w:hAnsiTheme="majorHAnsi"/>
          <w:sz w:val="20"/>
          <w:szCs w:val="20"/>
          <w:lang w:val="es-ES"/>
        </w:rPr>
        <w:t xml:space="preserve"> (h</w:t>
      </w:r>
      <w:r w:rsidRPr="00085BCA">
        <w:rPr>
          <w:rFonts w:asciiTheme="majorHAnsi" w:hAnsiTheme="majorHAnsi"/>
          <w:sz w:val="20"/>
          <w:szCs w:val="20"/>
          <w:lang w:val="es-ES"/>
        </w:rPr>
        <w:t>erido</w:t>
      </w:r>
      <w:r w:rsidR="00085BCA">
        <w:rPr>
          <w:rFonts w:asciiTheme="majorHAnsi" w:hAnsiTheme="majorHAnsi"/>
          <w:sz w:val="20"/>
          <w:szCs w:val="20"/>
          <w:lang w:val="es-ES"/>
        </w:rPr>
        <w:t>).</w:t>
      </w:r>
    </w:p>
    <w:p w14:paraId="2B647802" w14:textId="2ED3C35C" w:rsidR="009D6F4A" w:rsidRPr="00085BCA" w:rsidRDefault="009D6F4A" w:rsidP="00AC1AE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85BCA">
        <w:rPr>
          <w:rFonts w:asciiTheme="majorHAnsi" w:hAnsiTheme="majorHAnsi"/>
          <w:sz w:val="20"/>
          <w:szCs w:val="20"/>
          <w:lang w:val="es-ES"/>
        </w:rPr>
        <w:t>Soldado Jimmy Jacobo Noguera</w:t>
      </w:r>
      <w:r w:rsidR="00085BCA" w:rsidRPr="00085BCA">
        <w:rPr>
          <w:rFonts w:asciiTheme="majorHAnsi" w:hAnsiTheme="majorHAnsi"/>
          <w:sz w:val="20"/>
          <w:szCs w:val="20"/>
          <w:lang w:val="es-ES"/>
        </w:rPr>
        <w:t xml:space="preserve"> (h</w:t>
      </w:r>
      <w:r w:rsidRPr="00085BCA">
        <w:rPr>
          <w:rFonts w:asciiTheme="majorHAnsi" w:hAnsiTheme="majorHAnsi"/>
          <w:sz w:val="20"/>
          <w:szCs w:val="20"/>
          <w:lang w:val="es-ES"/>
        </w:rPr>
        <w:t>erido</w:t>
      </w:r>
      <w:r w:rsidR="00085BCA">
        <w:rPr>
          <w:rFonts w:asciiTheme="majorHAnsi" w:hAnsiTheme="majorHAnsi"/>
          <w:sz w:val="20"/>
          <w:szCs w:val="20"/>
          <w:lang w:val="es-ES"/>
        </w:rPr>
        <w:t>).</w:t>
      </w:r>
    </w:p>
    <w:p w14:paraId="2ABD5B83" w14:textId="49D2405E" w:rsidR="009D6F4A" w:rsidRPr="00085BCA" w:rsidRDefault="009D6F4A" w:rsidP="00A622B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85BCA">
        <w:rPr>
          <w:rFonts w:asciiTheme="majorHAnsi" w:hAnsiTheme="majorHAnsi"/>
          <w:sz w:val="20"/>
          <w:szCs w:val="20"/>
          <w:lang w:val="es-ES"/>
        </w:rPr>
        <w:t>Soldado Jhonny Hernán Pacheco</w:t>
      </w:r>
      <w:r w:rsidR="00085BCA" w:rsidRPr="00085BCA">
        <w:rPr>
          <w:rFonts w:asciiTheme="majorHAnsi" w:hAnsiTheme="majorHAnsi"/>
          <w:sz w:val="20"/>
          <w:szCs w:val="20"/>
          <w:lang w:val="es-ES"/>
        </w:rPr>
        <w:t xml:space="preserve"> (h</w:t>
      </w:r>
      <w:r w:rsidRPr="00085BCA">
        <w:rPr>
          <w:rFonts w:asciiTheme="majorHAnsi" w:hAnsiTheme="majorHAnsi"/>
          <w:sz w:val="20"/>
          <w:szCs w:val="20"/>
          <w:lang w:val="es-ES"/>
        </w:rPr>
        <w:t>erido</w:t>
      </w:r>
      <w:r w:rsidR="00085BCA">
        <w:rPr>
          <w:rFonts w:asciiTheme="majorHAnsi" w:hAnsiTheme="majorHAnsi"/>
          <w:sz w:val="20"/>
          <w:szCs w:val="20"/>
          <w:lang w:val="es-ES"/>
        </w:rPr>
        <w:t>).</w:t>
      </w:r>
    </w:p>
    <w:p w14:paraId="1E6B8F2E" w14:textId="5DAE1D31" w:rsidR="009D6F4A" w:rsidRPr="00085BCA" w:rsidRDefault="009D6F4A" w:rsidP="00CE1B7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85BCA">
        <w:rPr>
          <w:rFonts w:asciiTheme="majorHAnsi" w:hAnsiTheme="majorHAnsi"/>
          <w:sz w:val="20"/>
          <w:szCs w:val="20"/>
          <w:lang w:val="es-ES"/>
        </w:rPr>
        <w:t>Soldado Augusto Espinosa</w:t>
      </w:r>
      <w:r w:rsidR="00085BCA" w:rsidRPr="00085BCA">
        <w:rPr>
          <w:rFonts w:asciiTheme="majorHAnsi" w:hAnsiTheme="majorHAnsi"/>
          <w:sz w:val="20"/>
          <w:szCs w:val="20"/>
          <w:lang w:val="es-ES"/>
        </w:rPr>
        <w:t xml:space="preserve"> (</w:t>
      </w:r>
      <w:r w:rsidR="00085BCA">
        <w:rPr>
          <w:rFonts w:asciiTheme="majorHAnsi" w:hAnsiTheme="majorHAnsi"/>
          <w:sz w:val="20"/>
          <w:szCs w:val="20"/>
          <w:lang w:val="es-ES"/>
        </w:rPr>
        <w:t>h</w:t>
      </w:r>
      <w:r w:rsidRPr="00085BCA">
        <w:rPr>
          <w:rFonts w:asciiTheme="majorHAnsi" w:hAnsiTheme="majorHAnsi"/>
          <w:sz w:val="20"/>
          <w:szCs w:val="20"/>
          <w:lang w:val="es-ES"/>
        </w:rPr>
        <w:t>erido</w:t>
      </w:r>
      <w:r w:rsidR="00085BCA">
        <w:rPr>
          <w:rFonts w:asciiTheme="majorHAnsi" w:hAnsiTheme="majorHAnsi"/>
          <w:sz w:val="20"/>
          <w:szCs w:val="20"/>
          <w:lang w:val="es-ES"/>
        </w:rPr>
        <w:t>).</w:t>
      </w:r>
    </w:p>
    <w:p w14:paraId="46E37C35" w14:textId="2CEFBA21" w:rsidR="009D6F4A" w:rsidRPr="00085BCA" w:rsidRDefault="009D6F4A" w:rsidP="0088748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85BCA">
        <w:rPr>
          <w:rFonts w:asciiTheme="majorHAnsi" w:hAnsiTheme="majorHAnsi"/>
          <w:sz w:val="20"/>
          <w:szCs w:val="20"/>
          <w:lang w:val="es-ES"/>
        </w:rPr>
        <w:t>Soldado Gilberto Melo</w:t>
      </w:r>
      <w:r w:rsidR="00085BCA" w:rsidRPr="00085BCA">
        <w:rPr>
          <w:rFonts w:asciiTheme="majorHAnsi" w:hAnsiTheme="majorHAnsi"/>
          <w:sz w:val="20"/>
          <w:szCs w:val="20"/>
          <w:lang w:val="es-ES"/>
        </w:rPr>
        <w:t xml:space="preserve"> (</w:t>
      </w:r>
      <w:r w:rsidR="00085BCA">
        <w:rPr>
          <w:rFonts w:asciiTheme="majorHAnsi" w:hAnsiTheme="majorHAnsi"/>
          <w:sz w:val="20"/>
          <w:szCs w:val="20"/>
          <w:lang w:val="es-ES"/>
        </w:rPr>
        <w:t>h</w:t>
      </w:r>
      <w:r w:rsidRPr="00085BCA">
        <w:rPr>
          <w:rFonts w:asciiTheme="majorHAnsi" w:hAnsiTheme="majorHAnsi"/>
          <w:sz w:val="20"/>
          <w:szCs w:val="20"/>
          <w:lang w:val="es-ES"/>
        </w:rPr>
        <w:t>erido</w:t>
      </w:r>
      <w:r w:rsidR="00085BCA">
        <w:rPr>
          <w:rFonts w:asciiTheme="majorHAnsi" w:hAnsiTheme="majorHAnsi"/>
          <w:sz w:val="20"/>
          <w:szCs w:val="20"/>
          <w:lang w:val="es-ES"/>
        </w:rPr>
        <w:t>).</w:t>
      </w:r>
    </w:p>
    <w:p w14:paraId="294852E2" w14:textId="31490D68" w:rsidR="009D6F4A" w:rsidRPr="00085BCA" w:rsidRDefault="009D6F4A" w:rsidP="001F772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085BCA">
        <w:rPr>
          <w:rFonts w:asciiTheme="majorHAnsi" w:hAnsiTheme="majorHAnsi"/>
          <w:sz w:val="20"/>
          <w:szCs w:val="20"/>
          <w:lang w:val="pt-BR"/>
        </w:rPr>
        <w:t xml:space="preserve">Soldado Jorge Giovanny Alfonso Arévalo </w:t>
      </w:r>
      <w:r w:rsidR="00085BCA" w:rsidRPr="003464DF">
        <w:rPr>
          <w:rFonts w:asciiTheme="majorHAnsi" w:hAnsiTheme="majorHAnsi"/>
          <w:sz w:val="20"/>
          <w:szCs w:val="20"/>
          <w:lang w:val="pt-BR"/>
        </w:rPr>
        <w:t>(</w:t>
      </w:r>
      <w:r w:rsidR="00085BCA">
        <w:rPr>
          <w:rFonts w:asciiTheme="majorHAnsi" w:hAnsiTheme="majorHAnsi"/>
          <w:sz w:val="20"/>
          <w:szCs w:val="20"/>
          <w:lang w:val="pt-BR"/>
        </w:rPr>
        <w:t>fallecido).</w:t>
      </w:r>
    </w:p>
    <w:p w14:paraId="65A5F7BB" w14:textId="50BFFEF3" w:rsidR="009D6F4A" w:rsidRPr="009D6F4A" w:rsidRDefault="009D6F4A" w:rsidP="009D6F4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D6F4A">
        <w:rPr>
          <w:rFonts w:asciiTheme="majorHAnsi" w:hAnsiTheme="majorHAnsi"/>
          <w:sz w:val="20"/>
          <w:szCs w:val="20"/>
          <w:lang w:val="es-ES"/>
        </w:rPr>
        <w:t>Soldado Artidoro Vasallo</w:t>
      </w:r>
      <w:r w:rsidR="00085BCA">
        <w:rPr>
          <w:rFonts w:asciiTheme="majorHAnsi" w:hAnsiTheme="majorHAnsi"/>
          <w:sz w:val="20"/>
          <w:szCs w:val="20"/>
          <w:lang w:val="es-ES"/>
        </w:rPr>
        <w:t xml:space="preserve"> </w:t>
      </w:r>
      <w:r w:rsidR="00085BCA" w:rsidRPr="003464DF">
        <w:rPr>
          <w:rFonts w:asciiTheme="majorHAnsi" w:hAnsiTheme="majorHAnsi"/>
          <w:sz w:val="20"/>
          <w:szCs w:val="20"/>
          <w:lang w:val="pt-BR"/>
        </w:rPr>
        <w:t>(</w:t>
      </w:r>
      <w:r w:rsidR="00085BCA">
        <w:rPr>
          <w:rFonts w:asciiTheme="majorHAnsi" w:hAnsiTheme="majorHAnsi"/>
          <w:sz w:val="20"/>
          <w:szCs w:val="20"/>
          <w:lang w:val="pt-BR"/>
        </w:rPr>
        <w:t>fallecido).</w:t>
      </w:r>
    </w:p>
    <w:p w14:paraId="6E5B7B9C" w14:textId="3736441E" w:rsidR="009D6F4A" w:rsidRPr="009D6F4A" w:rsidRDefault="009D6F4A" w:rsidP="009D6F4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D6F4A">
        <w:rPr>
          <w:rFonts w:asciiTheme="majorHAnsi" w:hAnsiTheme="majorHAnsi"/>
          <w:sz w:val="20"/>
          <w:szCs w:val="20"/>
          <w:lang w:val="es-ES"/>
        </w:rPr>
        <w:t>Soldado Aldi</w:t>
      </w:r>
      <w:r w:rsidR="0021547E">
        <w:rPr>
          <w:rFonts w:asciiTheme="majorHAnsi" w:hAnsiTheme="majorHAnsi"/>
          <w:sz w:val="20"/>
          <w:szCs w:val="20"/>
          <w:lang w:val="es-ES"/>
        </w:rPr>
        <w:t>e</w:t>
      </w:r>
      <w:r w:rsidRPr="009D6F4A">
        <w:rPr>
          <w:rFonts w:asciiTheme="majorHAnsi" w:hAnsiTheme="majorHAnsi"/>
          <w:sz w:val="20"/>
          <w:szCs w:val="20"/>
          <w:lang w:val="es-ES"/>
        </w:rPr>
        <w:t>r Castro Merchán</w:t>
      </w:r>
      <w:r w:rsidR="00085BCA">
        <w:rPr>
          <w:rFonts w:asciiTheme="majorHAnsi" w:hAnsiTheme="majorHAnsi"/>
          <w:sz w:val="20"/>
          <w:szCs w:val="20"/>
          <w:lang w:val="es-ES"/>
        </w:rPr>
        <w:t xml:space="preserve"> </w:t>
      </w:r>
      <w:r w:rsidR="00085BCA" w:rsidRPr="003464DF">
        <w:rPr>
          <w:rFonts w:asciiTheme="majorHAnsi" w:hAnsiTheme="majorHAnsi"/>
          <w:sz w:val="20"/>
          <w:szCs w:val="20"/>
          <w:lang w:val="pt-BR"/>
        </w:rPr>
        <w:t>(</w:t>
      </w:r>
      <w:r w:rsidR="00085BCA">
        <w:rPr>
          <w:rFonts w:asciiTheme="majorHAnsi" w:hAnsiTheme="majorHAnsi"/>
          <w:sz w:val="20"/>
          <w:szCs w:val="20"/>
          <w:lang w:val="pt-BR"/>
        </w:rPr>
        <w:t>fallecido).</w:t>
      </w:r>
    </w:p>
    <w:p w14:paraId="7643F6E3" w14:textId="46FC66C6" w:rsidR="009D6F4A" w:rsidRPr="009D6F4A" w:rsidRDefault="009D6F4A" w:rsidP="009D6F4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D6F4A">
        <w:rPr>
          <w:rFonts w:asciiTheme="majorHAnsi" w:hAnsiTheme="majorHAnsi"/>
          <w:sz w:val="20"/>
          <w:szCs w:val="20"/>
          <w:lang w:val="es-ES"/>
        </w:rPr>
        <w:lastRenderedPageBreak/>
        <w:t>Soldado José Luis Castro Barón</w:t>
      </w:r>
      <w:r w:rsidR="00085BCA">
        <w:rPr>
          <w:rFonts w:asciiTheme="majorHAnsi" w:hAnsiTheme="majorHAnsi"/>
          <w:sz w:val="20"/>
          <w:szCs w:val="20"/>
          <w:lang w:val="es-ES"/>
        </w:rPr>
        <w:t xml:space="preserve"> </w:t>
      </w:r>
      <w:r w:rsidR="00085BCA" w:rsidRPr="00085BCA">
        <w:rPr>
          <w:rFonts w:asciiTheme="majorHAnsi" w:hAnsiTheme="majorHAnsi"/>
          <w:sz w:val="20"/>
          <w:szCs w:val="20"/>
          <w:lang w:val="es-CO"/>
        </w:rPr>
        <w:t>(fallecido).</w:t>
      </w:r>
    </w:p>
    <w:p w14:paraId="336A95BE" w14:textId="1AB0CC45" w:rsidR="009D6F4A" w:rsidRPr="00085BCA" w:rsidRDefault="009D6F4A" w:rsidP="00F90DA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85BCA">
        <w:rPr>
          <w:rFonts w:asciiTheme="majorHAnsi" w:hAnsiTheme="majorHAnsi"/>
          <w:sz w:val="20"/>
          <w:szCs w:val="20"/>
          <w:lang w:val="es-ES"/>
        </w:rPr>
        <w:t xml:space="preserve">Teniente Rafael Andrés Rave Rojas </w:t>
      </w:r>
      <w:r w:rsidR="00085BCA">
        <w:rPr>
          <w:rFonts w:asciiTheme="majorHAnsi" w:hAnsiTheme="majorHAnsi"/>
          <w:sz w:val="20"/>
          <w:szCs w:val="20"/>
          <w:lang w:val="es-ES"/>
        </w:rPr>
        <w:t>(s</w:t>
      </w:r>
      <w:r w:rsidRPr="00085BCA">
        <w:rPr>
          <w:rFonts w:asciiTheme="majorHAnsi" w:hAnsiTheme="majorHAnsi"/>
          <w:sz w:val="20"/>
          <w:szCs w:val="20"/>
          <w:lang w:val="es-ES"/>
        </w:rPr>
        <w:t>obreviviente</w:t>
      </w:r>
      <w:r w:rsidR="00085BCA">
        <w:rPr>
          <w:rFonts w:asciiTheme="majorHAnsi" w:hAnsiTheme="majorHAnsi"/>
          <w:sz w:val="20"/>
          <w:szCs w:val="20"/>
          <w:lang w:val="es-ES"/>
        </w:rPr>
        <w:t>).</w:t>
      </w:r>
    </w:p>
    <w:p w14:paraId="4D96B7CF" w14:textId="10D17A6A" w:rsidR="009D6F4A" w:rsidRPr="00D76567" w:rsidRDefault="009D6F4A" w:rsidP="007172A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76567">
        <w:rPr>
          <w:rFonts w:asciiTheme="majorHAnsi" w:hAnsiTheme="majorHAnsi"/>
          <w:sz w:val="20"/>
          <w:szCs w:val="20"/>
          <w:lang w:val="es-ES"/>
        </w:rPr>
        <w:t>Soldado Jairo Raúl Velásquez Chisica</w:t>
      </w:r>
      <w:r w:rsidR="00D76567" w:rsidRPr="00D76567">
        <w:rPr>
          <w:rFonts w:asciiTheme="majorHAnsi" w:hAnsiTheme="majorHAnsi"/>
          <w:sz w:val="20"/>
          <w:szCs w:val="20"/>
          <w:lang w:val="es-ES"/>
        </w:rPr>
        <w:t xml:space="preserve"> </w:t>
      </w:r>
      <w:r w:rsidR="00D76567">
        <w:rPr>
          <w:rFonts w:asciiTheme="majorHAnsi" w:hAnsiTheme="majorHAnsi"/>
          <w:sz w:val="20"/>
          <w:szCs w:val="20"/>
          <w:lang w:val="es-ES"/>
        </w:rPr>
        <w:t>(s</w:t>
      </w:r>
      <w:r w:rsidRPr="00D76567">
        <w:rPr>
          <w:rFonts w:asciiTheme="majorHAnsi" w:hAnsiTheme="majorHAnsi"/>
          <w:sz w:val="20"/>
          <w:szCs w:val="20"/>
          <w:lang w:val="es-ES"/>
        </w:rPr>
        <w:t>obreviviente</w:t>
      </w:r>
      <w:r w:rsidR="00D76567">
        <w:rPr>
          <w:rFonts w:asciiTheme="majorHAnsi" w:hAnsiTheme="majorHAnsi"/>
          <w:sz w:val="20"/>
          <w:szCs w:val="20"/>
          <w:lang w:val="es-ES"/>
        </w:rPr>
        <w:t>).</w:t>
      </w:r>
    </w:p>
    <w:p w14:paraId="307A21FC" w14:textId="4D8D5BAB" w:rsidR="009D6F4A" w:rsidRPr="00D76567" w:rsidRDefault="009D6F4A" w:rsidP="00662CE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76567">
        <w:rPr>
          <w:rFonts w:asciiTheme="majorHAnsi" w:hAnsiTheme="majorHAnsi"/>
          <w:sz w:val="20"/>
          <w:szCs w:val="20"/>
          <w:lang w:val="es-ES"/>
        </w:rPr>
        <w:t>Sargento Gonzalo Israel Callejas Castro</w:t>
      </w:r>
      <w:r w:rsidR="00D76567" w:rsidRPr="00D76567">
        <w:rPr>
          <w:rFonts w:asciiTheme="majorHAnsi" w:hAnsiTheme="majorHAnsi"/>
          <w:sz w:val="20"/>
          <w:szCs w:val="20"/>
          <w:lang w:val="es-ES"/>
        </w:rPr>
        <w:t xml:space="preserve"> </w:t>
      </w:r>
      <w:r w:rsidR="00D76567">
        <w:rPr>
          <w:rFonts w:asciiTheme="majorHAnsi" w:hAnsiTheme="majorHAnsi"/>
          <w:sz w:val="20"/>
          <w:szCs w:val="20"/>
          <w:lang w:val="es-ES"/>
        </w:rPr>
        <w:t>(s</w:t>
      </w:r>
      <w:r w:rsidRPr="00D76567">
        <w:rPr>
          <w:rFonts w:asciiTheme="majorHAnsi" w:hAnsiTheme="majorHAnsi"/>
          <w:sz w:val="20"/>
          <w:szCs w:val="20"/>
          <w:lang w:val="es-ES"/>
        </w:rPr>
        <w:t>obreviviente</w:t>
      </w:r>
      <w:r w:rsidR="00D76567">
        <w:rPr>
          <w:rFonts w:asciiTheme="majorHAnsi" w:hAnsiTheme="majorHAnsi"/>
          <w:sz w:val="20"/>
          <w:szCs w:val="20"/>
          <w:lang w:val="es-ES"/>
        </w:rPr>
        <w:t>).</w:t>
      </w:r>
    </w:p>
    <w:p w14:paraId="1FA8ED3A" w14:textId="17F19E22" w:rsidR="002B5548" w:rsidRPr="003F7EAC" w:rsidRDefault="002B5548" w:rsidP="002B554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CO"/>
        </w:rPr>
      </w:pPr>
      <w:r w:rsidRPr="003F7EAC">
        <w:rPr>
          <w:rFonts w:asciiTheme="majorHAnsi" w:hAnsiTheme="majorHAnsi"/>
          <w:sz w:val="20"/>
          <w:szCs w:val="20"/>
          <w:lang w:val="es-CO"/>
        </w:rPr>
        <w:t>Soldado José E</w:t>
      </w:r>
      <w:r w:rsidR="003F7EAC" w:rsidRPr="003F7EAC">
        <w:rPr>
          <w:rFonts w:asciiTheme="majorHAnsi" w:hAnsiTheme="majorHAnsi"/>
          <w:sz w:val="20"/>
          <w:szCs w:val="20"/>
          <w:lang w:val="es-CO"/>
        </w:rPr>
        <w:t xml:space="preserve">duardo Peña Rodríguez </w:t>
      </w:r>
      <w:bookmarkStart w:id="2" w:name="_Hlk161656116"/>
      <w:r w:rsidR="003F7EAC" w:rsidRPr="003F7EAC">
        <w:rPr>
          <w:rFonts w:asciiTheme="majorHAnsi" w:hAnsiTheme="majorHAnsi"/>
          <w:sz w:val="20"/>
          <w:szCs w:val="20"/>
          <w:lang w:val="es-CO"/>
        </w:rPr>
        <w:t>(sobrevivien</w:t>
      </w:r>
      <w:r w:rsidR="003F7EAC">
        <w:rPr>
          <w:rFonts w:asciiTheme="majorHAnsi" w:hAnsiTheme="majorHAnsi"/>
          <w:sz w:val="20"/>
          <w:szCs w:val="20"/>
          <w:lang w:val="es-CO"/>
        </w:rPr>
        <w:t>te).</w:t>
      </w:r>
      <w:bookmarkEnd w:id="2"/>
    </w:p>
    <w:p w14:paraId="2EA18018" w14:textId="3CD9C662" w:rsidR="002B5548" w:rsidRPr="002B5548" w:rsidRDefault="002B5548" w:rsidP="002B554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2B5548">
        <w:rPr>
          <w:rFonts w:asciiTheme="majorHAnsi" w:hAnsiTheme="majorHAnsi"/>
          <w:sz w:val="20"/>
          <w:szCs w:val="20"/>
          <w:lang w:val="es-ES"/>
        </w:rPr>
        <w:t>Jorge Alberto Guarnizo Gonzales</w:t>
      </w:r>
      <w:r w:rsidR="003F7EAC">
        <w:rPr>
          <w:rFonts w:asciiTheme="majorHAnsi" w:hAnsiTheme="majorHAnsi"/>
          <w:sz w:val="20"/>
          <w:szCs w:val="20"/>
          <w:lang w:val="es-ES"/>
        </w:rPr>
        <w:t xml:space="preserve"> </w:t>
      </w:r>
      <w:r w:rsidR="003F7EAC" w:rsidRPr="003F7EAC">
        <w:rPr>
          <w:rFonts w:asciiTheme="majorHAnsi" w:hAnsiTheme="majorHAnsi"/>
          <w:sz w:val="20"/>
          <w:szCs w:val="20"/>
          <w:lang w:val="es-CO"/>
        </w:rPr>
        <w:t>(sobrevivien</w:t>
      </w:r>
      <w:r w:rsidR="003F7EAC">
        <w:rPr>
          <w:rFonts w:asciiTheme="majorHAnsi" w:hAnsiTheme="majorHAnsi"/>
          <w:sz w:val="20"/>
          <w:szCs w:val="20"/>
          <w:lang w:val="es-CO"/>
        </w:rPr>
        <w:t>te).</w:t>
      </w:r>
    </w:p>
    <w:p w14:paraId="63F0B63A" w14:textId="052EF280" w:rsidR="002B5548" w:rsidRPr="002B5548" w:rsidRDefault="002B5548" w:rsidP="002B554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2B5548">
        <w:rPr>
          <w:rFonts w:asciiTheme="majorHAnsi" w:hAnsiTheme="majorHAnsi"/>
          <w:sz w:val="20"/>
          <w:szCs w:val="20"/>
          <w:lang w:val="es-ES"/>
        </w:rPr>
        <w:t>Javier Alfonso Amaya Urrego</w:t>
      </w:r>
      <w:r w:rsidR="003F7EAC" w:rsidRPr="003F7EAC">
        <w:rPr>
          <w:rFonts w:asciiTheme="majorHAnsi" w:hAnsiTheme="majorHAnsi"/>
          <w:sz w:val="20"/>
          <w:szCs w:val="20"/>
          <w:lang w:val="es-CO"/>
        </w:rPr>
        <w:t>(sobrevivien</w:t>
      </w:r>
      <w:r w:rsidR="003F7EAC">
        <w:rPr>
          <w:rFonts w:asciiTheme="majorHAnsi" w:hAnsiTheme="majorHAnsi"/>
          <w:sz w:val="20"/>
          <w:szCs w:val="20"/>
          <w:lang w:val="es-CO"/>
        </w:rPr>
        <w:t>te).</w:t>
      </w:r>
    </w:p>
    <w:p w14:paraId="1217902C" w14:textId="7525D657" w:rsidR="002B5548" w:rsidRPr="002B5548" w:rsidRDefault="002B5548" w:rsidP="002B554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2B5548">
        <w:rPr>
          <w:rFonts w:asciiTheme="majorHAnsi" w:hAnsiTheme="majorHAnsi"/>
          <w:sz w:val="20"/>
          <w:szCs w:val="20"/>
          <w:lang w:val="es-ES"/>
        </w:rPr>
        <w:t>Soldado Víctor Argumedo Díaz</w:t>
      </w:r>
      <w:r w:rsidR="003F7EAC" w:rsidRPr="003F7EAC">
        <w:rPr>
          <w:rFonts w:asciiTheme="majorHAnsi" w:hAnsiTheme="majorHAnsi"/>
          <w:sz w:val="20"/>
          <w:szCs w:val="20"/>
          <w:lang w:val="es-CO"/>
        </w:rPr>
        <w:t>(sobrevivien</w:t>
      </w:r>
      <w:r w:rsidR="003F7EAC">
        <w:rPr>
          <w:rFonts w:asciiTheme="majorHAnsi" w:hAnsiTheme="majorHAnsi"/>
          <w:sz w:val="20"/>
          <w:szCs w:val="20"/>
          <w:lang w:val="es-CO"/>
        </w:rPr>
        <w:t>te).</w:t>
      </w:r>
    </w:p>
    <w:p w14:paraId="1AFD7F78" w14:textId="5ADE6517" w:rsidR="002B5548" w:rsidRPr="003F7EAC" w:rsidRDefault="002B5548" w:rsidP="00AD1B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3F7EAC">
        <w:rPr>
          <w:rFonts w:asciiTheme="majorHAnsi" w:hAnsiTheme="majorHAnsi"/>
          <w:sz w:val="20"/>
          <w:szCs w:val="20"/>
          <w:lang w:val="es-ES"/>
        </w:rPr>
        <w:t xml:space="preserve">Soldado Norberto Vera Méndez </w:t>
      </w:r>
      <w:r w:rsidR="003F7EAC" w:rsidRPr="003F7EAC">
        <w:rPr>
          <w:rFonts w:asciiTheme="majorHAnsi" w:hAnsiTheme="majorHAnsi"/>
          <w:sz w:val="20"/>
          <w:szCs w:val="20"/>
          <w:lang w:val="es-CO"/>
        </w:rPr>
        <w:t>(sobrevivien</w:t>
      </w:r>
      <w:r w:rsidR="003F7EAC">
        <w:rPr>
          <w:rFonts w:asciiTheme="majorHAnsi" w:hAnsiTheme="majorHAnsi"/>
          <w:sz w:val="20"/>
          <w:szCs w:val="20"/>
          <w:lang w:val="es-CO"/>
        </w:rPr>
        <w:t>te).</w:t>
      </w:r>
    </w:p>
    <w:p w14:paraId="1F78C5FE" w14:textId="32349708" w:rsidR="002B5548" w:rsidRPr="002B5548" w:rsidRDefault="002B5548" w:rsidP="002B554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2B5548">
        <w:rPr>
          <w:rFonts w:asciiTheme="majorHAnsi" w:hAnsiTheme="majorHAnsi"/>
          <w:sz w:val="20"/>
          <w:szCs w:val="20"/>
          <w:lang w:val="es-ES"/>
        </w:rPr>
        <w:t>Soldado Arturo Samboni Pérez</w:t>
      </w:r>
      <w:r w:rsidR="003F7EAC">
        <w:rPr>
          <w:rFonts w:asciiTheme="majorHAnsi" w:hAnsiTheme="majorHAnsi"/>
          <w:sz w:val="20"/>
          <w:szCs w:val="20"/>
          <w:lang w:val="es-ES"/>
        </w:rPr>
        <w:t xml:space="preserve"> </w:t>
      </w:r>
      <w:r w:rsidR="003F7EAC" w:rsidRPr="003F7EAC">
        <w:rPr>
          <w:rFonts w:asciiTheme="majorHAnsi" w:hAnsiTheme="majorHAnsi"/>
          <w:sz w:val="20"/>
          <w:szCs w:val="20"/>
          <w:lang w:val="es-CO"/>
        </w:rPr>
        <w:t>(sobrevivien</w:t>
      </w:r>
      <w:r w:rsidR="003F7EAC">
        <w:rPr>
          <w:rFonts w:asciiTheme="majorHAnsi" w:hAnsiTheme="majorHAnsi"/>
          <w:sz w:val="20"/>
          <w:szCs w:val="20"/>
          <w:lang w:val="es-CO"/>
        </w:rPr>
        <w:t>te).</w:t>
      </w:r>
    </w:p>
    <w:p w14:paraId="3D69B13A" w14:textId="0122F53B" w:rsidR="002B5548" w:rsidRPr="002B5548" w:rsidRDefault="002B5548" w:rsidP="002B554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2B5548">
        <w:rPr>
          <w:rFonts w:asciiTheme="majorHAnsi" w:hAnsiTheme="majorHAnsi"/>
          <w:sz w:val="20"/>
          <w:szCs w:val="20"/>
          <w:lang w:val="es-ES"/>
        </w:rPr>
        <w:t>Soldado Jairo Sánchez Ariza</w:t>
      </w:r>
      <w:r w:rsidR="003F7EAC">
        <w:rPr>
          <w:rFonts w:asciiTheme="majorHAnsi" w:hAnsiTheme="majorHAnsi"/>
          <w:sz w:val="20"/>
          <w:szCs w:val="20"/>
          <w:lang w:val="es-ES"/>
        </w:rPr>
        <w:t xml:space="preserve"> </w:t>
      </w:r>
      <w:r w:rsidR="003F7EAC" w:rsidRPr="003F7EAC">
        <w:rPr>
          <w:rFonts w:asciiTheme="majorHAnsi" w:hAnsiTheme="majorHAnsi"/>
          <w:sz w:val="20"/>
          <w:szCs w:val="20"/>
          <w:lang w:val="es-CO"/>
        </w:rPr>
        <w:t>(sobrevivien</w:t>
      </w:r>
      <w:r w:rsidR="003F7EAC">
        <w:rPr>
          <w:rFonts w:asciiTheme="majorHAnsi" w:hAnsiTheme="majorHAnsi"/>
          <w:sz w:val="20"/>
          <w:szCs w:val="20"/>
          <w:lang w:val="es-CO"/>
        </w:rPr>
        <w:t>te).</w:t>
      </w:r>
    </w:p>
    <w:p w14:paraId="2D675A2C" w14:textId="7BEEED35" w:rsidR="002B5548" w:rsidRPr="002B5548" w:rsidRDefault="002B5548" w:rsidP="002B554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2B5548">
        <w:rPr>
          <w:rFonts w:asciiTheme="majorHAnsi" w:hAnsiTheme="majorHAnsi"/>
          <w:sz w:val="20"/>
          <w:szCs w:val="20"/>
          <w:lang w:val="es-ES"/>
        </w:rPr>
        <w:t>Soldado Aduenar Pérez</w:t>
      </w:r>
      <w:r w:rsidR="003F7EAC">
        <w:rPr>
          <w:rFonts w:asciiTheme="majorHAnsi" w:hAnsiTheme="majorHAnsi"/>
          <w:sz w:val="20"/>
          <w:szCs w:val="20"/>
          <w:lang w:val="es-ES"/>
        </w:rPr>
        <w:t xml:space="preserve"> </w:t>
      </w:r>
      <w:r w:rsidR="003F7EAC" w:rsidRPr="003F7EAC">
        <w:rPr>
          <w:rFonts w:asciiTheme="majorHAnsi" w:hAnsiTheme="majorHAnsi"/>
          <w:sz w:val="20"/>
          <w:szCs w:val="20"/>
          <w:lang w:val="es-CO"/>
        </w:rPr>
        <w:t>(sobrevivien</w:t>
      </w:r>
      <w:r w:rsidR="003F7EAC">
        <w:rPr>
          <w:rFonts w:asciiTheme="majorHAnsi" w:hAnsiTheme="majorHAnsi"/>
          <w:sz w:val="20"/>
          <w:szCs w:val="20"/>
          <w:lang w:val="es-CO"/>
        </w:rPr>
        <w:t>te).</w:t>
      </w:r>
    </w:p>
    <w:p w14:paraId="7BFF5C5C" w14:textId="4797AEB4" w:rsidR="002B5548" w:rsidRPr="003F7EAC" w:rsidRDefault="002B5548" w:rsidP="008A79B5">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3F7EAC">
        <w:rPr>
          <w:rFonts w:asciiTheme="majorHAnsi" w:hAnsiTheme="majorHAnsi"/>
          <w:sz w:val="20"/>
          <w:szCs w:val="20"/>
          <w:lang w:val="es-ES"/>
        </w:rPr>
        <w:t>William Alexander More</w:t>
      </w:r>
      <w:r w:rsidR="003F7EAC" w:rsidRPr="003F7EAC">
        <w:rPr>
          <w:rFonts w:asciiTheme="majorHAnsi" w:hAnsiTheme="majorHAnsi"/>
          <w:sz w:val="20"/>
          <w:szCs w:val="20"/>
          <w:lang w:val="es-ES"/>
        </w:rPr>
        <w:t xml:space="preserve">no </w:t>
      </w:r>
      <w:r w:rsidRPr="003F7EAC">
        <w:rPr>
          <w:rFonts w:asciiTheme="majorHAnsi" w:hAnsiTheme="majorHAnsi"/>
          <w:sz w:val="20"/>
          <w:szCs w:val="20"/>
          <w:lang w:val="es-ES"/>
        </w:rPr>
        <w:t xml:space="preserve">Gonzales </w:t>
      </w:r>
      <w:r w:rsidR="003F7EAC" w:rsidRPr="003F7EAC">
        <w:rPr>
          <w:rFonts w:asciiTheme="majorHAnsi" w:hAnsiTheme="majorHAnsi"/>
          <w:sz w:val="20"/>
          <w:szCs w:val="20"/>
          <w:lang w:val="es-CO"/>
        </w:rPr>
        <w:t>(sobrevivien</w:t>
      </w:r>
      <w:r w:rsidR="003F7EAC">
        <w:rPr>
          <w:rFonts w:asciiTheme="majorHAnsi" w:hAnsiTheme="majorHAnsi"/>
          <w:sz w:val="20"/>
          <w:szCs w:val="20"/>
          <w:lang w:val="es-CO"/>
        </w:rPr>
        <w:t>te).</w:t>
      </w:r>
    </w:p>
    <w:p w14:paraId="758E574A" w14:textId="11176EFB" w:rsidR="009D6F4A" w:rsidRPr="003F7EAC" w:rsidRDefault="002B5548" w:rsidP="003A31F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3F7EAC">
        <w:rPr>
          <w:rFonts w:asciiTheme="majorHAnsi" w:hAnsiTheme="majorHAnsi"/>
          <w:sz w:val="20"/>
          <w:szCs w:val="20"/>
          <w:lang w:val="es-ES"/>
        </w:rPr>
        <w:t xml:space="preserve">Germán Darío Pinilla Jiménez </w:t>
      </w:r>
      <w:r w:rsidR="003F7EAC" w:rsidRPr="003F7EAC">
        <w:rPr>
          <w:rFonts w:asciiTheme="majorHAnsi" w:hAnsiTheme="majorHAnsi"/>
          <w:sz w:val="20"/>
          <w:szCs w:val="20"/>
          <w:lang w:val="es-CO"/>
        </w:rPr>
        <w:t>(sobrevivien</w:t>
      </w:r>
      <w:r w:rsidR="003F7EAC">
        <w:rPr>
          <w:rFonts w:asciiTheme="majorHAnsi" w:hAnsiTheme="majorHAnsi"/>
          <w:sz w:val="20"/>
          <w:szCs w:val="20"/>
          <w:lang w:val="es-CO"/>
        </w:rPr>
        <w:t>te).</w:t>
      </w:r>
    </w:p>
    <w:sectPr w:rsidR="009D6F4A" w:rsidRPr="003F7EA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8CC6" w14:textId="77777777" w:rsidR="00B96D11" w:rsidRDefault="00B96D11">
      <w:r>
        <w:separator/>
      </w:r>
    </w:p>
  </w:endnote>
  <w:endnote w:type="continuationSeparator" w:id="0">
    <w:p w14:paraId="17725A14" w14:textId="77777777" w:rsidR="00B96D11" w:rsidRDefault="00B9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D3AD" w14:textId="77777777" w:rsidR="00B96D11" w:rsidRPr="000F35ED" w:rsidRDefault="00B96D1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DD811E" w14:textId="77777777" w:rsidR="00B96D11" w:rsidRPr="000F35ED" w:rsidRDefault="00B96D11" w:rsidP="000F35ED">
      <w:pPr>
        <w:rPr>
          <w:rFonts w:asciiTheme="majorHAnsi" w:hAnsiTheme="majorHAnsi"/>
          <w:sz w:val="16"/>
          <w:szCs w:val="16"/>
        </w:rPr>
      </w:pPr>
      <w:r w:rsidRPr="000F35ED">
        <w:rPr>
          <w:rFonts w:asciiTheme="majorHAnsi" w:hAnsiTheme="majorHAnsi"/>
          <w:sz w:val="16"/>
          <w:szCs w:val="16"/>
        </w:rPr>
        <w:separator/>
      </w:r>
    </w:p>
    <w:p w14:paraId="55AF17D7" w14:textId="77777777" w:rsidR="00B96D11" w:rsidRPr="000F35ED" w:rsidRDefault="00B96D1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0563CE4" w14:textId="77777777" w:rsidR="00B96D11" w:rsidRPr="000F35ED" w:rsidRDefault="00B96D1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FBDCD80" w14:textId="49379AC4" w:rsidR="00E6559F" w:rsidRPr="00E6559F" w:rsidRDefault="00E6559F" w:rsidP="00E6559F">
      <w:pPr>
        <w:pStyle w:val="FootnoteText"/>
        <w:ind w:firstLine="720"/>
        <w:jc w:val="both"/>
        <w:rPr>
          <w:rFonts w:asciiTheme="majorHAnsi" w:hAnsiTheme="majorHAnsi"/>
          <w:sz w:val="16"/>
          <w:szCs w:val="16"/>
          <w:lang w:val="es-CO"/>
        </w:rPr>
      </w:pPr>
      <w:r w:rsidRPr="00E6559F">
        <w:rPr>
          <w:rStyle w:val="FootnoteReference"/>
          <w:rFonts w:asciiTheme="majorHAnsi" w:hAnsiTheme="majorHAnsi"/>
          <w:sz w:val="16"/>
          <w:szCs w:val="16"/>
        </w:rPr>
        <w:footnoteRef/>
      </w:r>
      <w:r w:rsidRPr="00E6559F">
        <w:rPr>
          <w:rFonts w:asciiTheme="majorHAnsi" w:hAnsiTheme="majorHAnsi"/>
          <w:sz w:val="16"/>
          <w:szCs w:val="16"/>
          <w:lang w:val="es-CO"/>
        </w:rPr>
        <w:t xml:space="preserve"> </w:t>
      </w:r>
      <w:r w:rsidR="005C2E6B" w:rsidRPr="005C2E6B">
        <w:rPr>
          <w:rFonts w:asciiTheme="majorHAnsi" w:hAnsiTheme="majorHAnsi"/>
          <w:sz w:val="16"/>
          <w:szCs w:val="16"/>
          <w:lang w:val="es-CO"/>
        </w:rPr>
        <w:t xml:space="preserve">La </w:t>
      </w:r>
      <w:r w:rsidR="005C2E6B">
        <w:rPr>
          <w:rFonts w:asciiTheme="majorHAnsi" w:hAnsiTheme="majorHAnsi"/>
          <w:sz w:val="16"/>
          <w:szCs w:val="16"/>
          <w:lang w:val="es-CO"/>
        </w:rPr>
        <w:t xml:space="preserve">parte </w:t>
      </w:r>
      <w:r w:rsidR="005C2E6B" w:rsidRPr="005C2E6B">
        <w:rPr>
          <w:rFonts w:asciiTheme="majorHAnsi" w:hAnsiTheme="majorHAnsi"/>
          <w:sz w:val="16"/>
          <w:szCs w:val="16"/>
          <w:lang w:val="es-CO"/>
        </w:rPr>
        <w:t>petici</w:t>
      </w:r>
      <w:r w:rsidR="005C2E6B">
        <w:rPr>
          <w:rFonts w:asciiTheme="majorHAnsi" w:hAnsiTheme="majorHAnsi"/>
          <w:sz w:val="16"/>
          <w:szCs w:val="16"/>
          <w:lang w:val="es-CO"/>
        </w:rPr>
        <w:t>onaria</w:t>
      </w:r>
      <w:r w:rsidR="005C2E6B" w:rsidRPr="005C2E6B">
        <w:rPr>
          <w:rFonts w:asciiTheme="majorHAnsi" w:hAnsiTheme="majorHAnsi"/>
          <w:sz w:val="16"/>
          <w:szCs w:val="16"/>
          <w:lang w:val="es-CO"/>
        </w:rPr>
        <w:t xml:space="preserve"> </w:t>
      </w:r>
      <w:r w:rsidR="005C2E6B">
        <w:rPr>
          <w:rFonts w:asciiTheme="majorHAnsi" w:hAnsiTheme="majorHAnsi"/>
          <w:sz w:val="16"/>
          <w:szCs w:val="16"/>
          <w:lang w:val="es-CO"/>
        </w:rPr>
        <w:t xml:space="preserve">identifica </w:t>
      </w:r>
      <w:r w:rsidR="005C2E6B" w:rsidRPr="005C2E6B">
        <w:rPr>
          <w:rFonts w:asciiTheme="majorHAnsi" w:hAnsiTheme="majorHAnsi"/>
          <w:sz w:val="16"/>
          <w:szCs w:val="16"/>
          <w:lang w:val="es-CO"/>
        </w:rPr>
        <w:t xml:space="preserve">a </w:t>
      </w:r>
      <w:r w:rsidR="00F01274">
        <w:rPr>
          <w:rFonts w:asciiTheme="majorHAnsi" w:hAnsiTheme="majorHAnsi"/>
          <w:sz w:val="16"/>
          <w:szCs w:val="16"/>
          <w:lang w:val="es-CO"/>
        </w:rPr>
        <w:t>cincuenta</w:t>
      </w:r>
      <w:r w:rsidR="003221F4">
        <w:rPr>
          <w:rFonts w:asciiTheme="majorHAnsi" w:hAnsiTheme="majorHAnsi"/>
          <w:sz w:val="16"/>
          <w:szCs w:val="16"/>
          <w:lang w:val="es-CO"/>
        </w:rPr>
        <w:t xml:space="preserve"> y cuatro</w:t>
      </w:r>
      <w:r w:rsidR="005C2E6B" w:rsidRPr="005C2E6B">
        <w:rPr>
          <w:rFonts w:asciiTheme="majorHAnsi" w:hAnsiTheme="majorHAnsi"/>
          <w:sz w:val="16"/>
          <w:szCs w:val="16"/>
          <w:lang w:val="es-CO"/>
        </w:rPr>
        <w:t xml:space="preserve"> personas como presuntas víctimas, sus nombres están incluidos en anexo al presente informe.</w:t>
      </w:r>
    </w:p>
  </w:footnote>
  <w:footnote w:id="3">
    <w:p w14:paraId="66E930B8" w14:textId="0550C803" w:rsidR="004A6A54" w:rsidRPr="00306F33" w:rsidRDefault="004A6A54" w:rsidP="00CA0DCA">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CA0DCA">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CA0DCA">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0EB92A6F" w14:textId="77777777" w:rsidR="001908FD" w:rsidRPr="000E11E2" w:rsidRDefault="001908FD" w:rsidP="001908FD">
      <w:pPr>
        <w:pStyle w:val="FootnoteText"/>
        <w:ind w:firstLine="720"/>
        <w:jc w:val="both"/>
        <w:rPr>
          <w:rFonts w:asciiTheme="majorHAnsi" w:hAnsiTheme="majorHAnsi"/>
          <w:sz w:val="16"/>
          <w:szCs w:val="16"/>
          <w:lang w:val="es-CO"/>
        </w:rPr>
      </w:pPr>
      <w:r w:rsidRPr="000E11E2">
        <w:rPr>
          <w:rStyle w:val="FootnoteReference"/>
          <w:rFonts w:asciiTheme="majorHAnsi" w:hAnsiTheme="majorHAnsi"/>
          <w:sz w:val="16"/>
          <w:szCs w:val="16"/>
        </w:rPr>
        <w:footnoteRef/>
      </w:r>
      <w:r w:rsidRPr="000E11E2">
        <w:rPr>
          <w:rFonts w:asciiTheme="majorHAnsi" w:hAnsiTheme="majorHAnsi"/>
          <w:sz w:val="16"/>
          <w:szCs w:val="16"/>
          <w:lang w:val="es-CO"/>
        </w:rPr>
        <w:t xml:space="preserve"> </w:t>
      </w:r>
      <w:r>
        <w:rPr>
          <w:rFonts w:asciiTheme="majorHAnsi" w:hAnsiTheme="majorHAnsi"/>
          <w:sz w:val="16"/>
          <w:szCs w:val="16"/>
          <w:lang w:val="es-CO"/>
        </w:rPr>
        <w:t>En adelante “la Convención Americana” o “la Convención”.</w:t>
      </w:r>
    </w:p>
  </w:footnote>
  <w:footnote w:id="5">
    <w:p w14:paraId="6075F332" w14:textId="16F94D1A"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6">
    <w:p w14:paraId="5536BCD4" w14:textId="77777777" w:rsidR="003D1ADB" w:rsidRPr="007D443D" w:rsidRDefault="003D1ADB" w:rsidP="003D1ADB">
      <w:pPr>
        <w:pStyle w:val="FootnoteText"/>
        <w:ind w:firstLine="720"/>
        <w:jc w:val="both"/>
        <w:rPr>
          <w:rFonts w:ascii="Cambria" w:hAnsi="Cambria"/>
          <w:lang w:val="es-CO"/>
        </w:rPr>
      </w:pPr>
      <w:r w:rsidRPr="007D443D">
        <w:rPr>
          <w:rStyle w:val="FootnoteReference"/>
          <w:rFonts w:ascii="Cambria" w:hAnsi="Cambria"/>
          <w:sz w:val="16"/>
          <w:szCs w:val="16"/>
        </w:rPr>
        <w:footnoteRef/>
      </w:r>
      <w:r w:rsidRPr="000101D3">
        <w:rPr>
          <w:rFonts w:ascii="Cambria" w:hAnsi="Cambria"/>
          <w:sz w:val="16"/>
          <w:szCs w:val="16"/>
          <w:lang w:val="es-CO"/>
        </w:rPr>
        <w:t xml:space="preserve"> </w:t>
      </w:r>
      <w:r w:rsidRPr="00AD0ABB">
        <w:rPr>
          <w:rFonts w:ascii="Cambria" w:hAnsi="Cambria"/>
          <w:sz w:val="16"/>
          <w:szCs w:val="16"/>
          <w:lang w:val="es-CO"/>
        </w:rPr>
        <w:t xml:space="preserve">CIDH, Informe No. 131/21. Petición 784-10. Admisibilidad. Wilson Mario Taborda Cardona y familia. </w:t>
      </w:r>
      <w:r w:rsidRPr="009D1F86">
        <w:rPr>
          <w:rFonts w:ascii="Cambria" w:hAnsi="Cambria"/>
          <w:sz w:val="16"/>
          <w:szCs w:val="16"/>
          <w:lang w:val="es-CO"/>
        </w:rPr>
        <w:t>Colombia. 13 de mayo de 2021, párr. 12.</w:t>
      </w:r>
    </w:p>
  </w:footnote>
  <w:footnote w:id="7">
    <w:p w14:paraId="2FF6E636" w14:textId="77777777" w:rsidR="003D1ADB" w:rsidRPr="00F61B64" w:rsidRDefault="003D1ADB" w:rsidP="003D1ADB">
      <w:pPr>
        <w:pStyle w:val="FootnoteText"/>
        <w:ind w:firstLine="720"/>
        <w:jc w:val="both"/>
        <w:rPr>
          <w:rFonts w:ascii="Cambria" w:hAnsi="Cambria"/>
          <w:lang w:val="es-CO"/>
        </w:rPr>
      </w:pPr>
      <w:r w:rsidRPr="00844BEC">
        <w:rPr>
          <w:rStyle w:val="FootnoteReference"/>
          <w:rFonts w:ascii="Cambria" w:hAnsi="Cambria"/>
          <w:sz w:val="16"/>
          <w:szCs w:val="16"/>
        </w:rPr>
        <w:footnoteRef/>
      </w:r>
      <w:r w:rsidRPr="00844BEC">
        <w:rPr>
          <w:rFonts w:ascii="Cambria" w:hAnsi="Cambria"/>
          <w:sz w:val="16"/>
          <w:szCs w:val="16"/>
          <w:lang w:val="es-CO"/>
        </w:rPr>
        <w:t xml:space="preserve"> CIDH, Informe No. 157/21. Petición 1753-11. Admisibilidad. Julio Daniel Chaparro Hurtado, Jorge Enrique Torres Navas y familias. </w:t>
      </w:r>
      <w:r w:rsidRPr="00F61B64">
        <w:rPr>
          <w:rFonts w:ascii="Cambria" w:hAnsi="Cambria"/>
          <w:sz w:val="16"/>
          <w:szCs w:val="16"/>
          <w:lang w:val="es-CO"/>
        </w:rPr>
        <w:t>Colombia. 28 de julio de 2021, párr. 12; CIDH, Informe No. 72/16. Petición 694-06. Admisibilidad. Onofre Antonio de La Hoz Montero y Familia. Colombia. 6 de</w:t>
      </w:r>
      <w:r>
        <w:rPr>
          <w:rFonts w:ascii="Cambria" w:hAnsi="Cambria"/>
          <w:sz w:val="16"/>
          <w:szCs w:val="16"/>
          <w:lang w:val="es-CO"/>
        </w:rPr>
        <w:t xml:space="preserve"> </w:t>
      </w:r>
      <w:r w:rsidRPr="00F61B64">
        <w:rPr>
          <w:rFonts w:ascii="Cambria" w:hAnsi="Cambria"/>
          <w:sz w:val="16"/>
          <w:szCs w:val="16"/>
          <w:lang w:val="es-CO"/>
        </w:rPr>
        <w:t>diciembre de 2016, párr.32.</w:t>
      </w:r>
    </w:p>
  </w:footnote>
  <w:footnote w:id="8">
    <w:p w14:paraId="2DEA6D40" w14:textId="77777777" w:rsidR="003D1ADB" w:rsidRPr="000365AE" w:rsidRDefault="003D1ADB" w:rsidP="003D1ADB">
      <w:pPr>
        <w:pStyle w:val="FootnoteText"/>
        <w:ind w:firstLine="720"/>
        <w:jc w:val="both"/>
        <w:rPr>
          <w:lang w:val="es-CO"/>
        </w:rPr>
      </w:pPr>
      <w:r w:rsidRPr="00BA7A59">
        <w:rPr>
          <w:rStyle w:val="FootnoteReference"/>
          <w:rFonts w:ascii="Cambria" w:hAnsi="Cambria"/>
          <w:sz w:val="16"/>
          <w:szCs w:val="16"/>
        </w:rPr>
        <w:footnoteRef/>
      </w:r>
      <w:r w:rsidRPr="00BA7A59">
        <w:rPr>
          <w:rFonts w:ascii="Cambria" w:hAnsi="Cambria"/>
          <w:sz w:val="16"/>
          <w:szCs w:val="16"/>
          <w:lang w:val="es-CO"/>
        </w:rPr>
        <w:t xml:space="preserve"> </w:t>
      </w:r>
      <w:r w:rsidRPr="0099377A">
        <w:rPr>
          <w:rFonts w:ascii="Cambria" w:hAnsi="Cambria"/>
          <w:sz w:val="16"/>
          <w:szCs w:val="16"/>
          <w:lang w:val="es-CO"/>
        </w:rPr>
        <w:t>CIDH, Informe No. 129/21. Petición 894-09. Admisibilidad. Alcira Pérez Melgar y otros. Perú. 14 de junio de 2021</w:t>
      </w:r>
      <w:r>
        <w:rPr>
          <w:rFonts w:ascii="Cambria" w:hAnsi="Cambria"/>
          <w:sz w:val="16"/>
          <w:szCs w:val="16"/>
          <w:lang w:val="es-CO"/>
        </w:rPr>
        <w:t xml:space="preserve">, párr. 9; </w:t>
      </w:r>
      <w:r w:rsidRPr="00BA7A59">
        <w:rPr>
          <w:rFonts w:ascii="Cambria" w:hAnsi="Cambria"/>
          <w:sz w:val="16"/>
          <w:szCs w:val="16"/>
          <w:lang w:val="es-CO"/>
        </w:rPr>
        <w:t>CIDH</w:t>
      </w:r>
      <w:r>
        <w:rPr>
          <w:rFonts w:ascii="Cambria" w:hAnsi="Cambria"/>
          <w:sz w:val="16"/>
          <w:szCs w:val="16"/>
          <w:lang w:val="es-CO"/>
        </w:rPr>
        <w:t xml:space="preserve">, </w:t>
      </w:r>
      <w:r w:rsidRPr="00BA7A59">
        <w:rPr>
          <w:rFonts w:ascii="Cambria" w:hAnsi="Cambria"/>
          <w:sz w:val="16"/>
          <w:szCs w:val="16"/>
          <w:lang w:val="es-CO"/>
        </w:rPr>
        <w:t>Informe No. 240/20. Petición 399-11. Admisibilidad. Over Jos</w:t>
      </w:r>
      <w:r>
        <w:rPr>
          <w:rFonts w:ascii="Cambria" w:hAnsi="Cambria"/>
          <w:sz w:val="16"/>
          <w:szCs w:val="16"/>
          <w:lang w:val="es-CO"/>
        </w:rPr>
        <w:t>é</w:t>
      </w:r>
      <w:r w:rsidRPr="00BA7A59">
        <w:rPr>
          <w:rFonts w:ascii="Cambria" w:hAnsi="Cambria"/>
          <w:sz w:val="16"/>
          <w:szCs w:val="16"/>
          <w:lang w:val="es-CO"/>
        </w:rPr>
        <w:t xml:space="preserve"> Quila y otros (Masacre de la Rejoya). </w:t>
      </w:r>
      <w:r w:rsidRPr="000365AE">
        <w:rPr>
          <w:rFonts w:ascii="Cambria" w:hAnsi="Cambria"/>
          <w:sz w:val="16"/>
          <w:szCs w:val="16"/>
          <w:lang w:val="es-CO"/>
        </w:rPr>
        <w:t>Colombia. 6 de septiembre de 2020, párr. 12; Informe No. 129/18, Petición 1256/07, Admisibilidad. Cornelio Antonio Isaza Arango y otros (Masacre de los Aserraderos de El Retiro), Colombia, 20 de noviembre de 2018; e Informe No. 104/18, Petición 221/08, Admisibilidad. Delis Palacio Herrón y otros (Masacre de Bojayá), Colombia, 20 de septiembre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12E79"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A3B9A"/>
    <w:multiLevelType w:val="hybridMultilevel"/>
    <w:tmpl w:val="9DBE22B0"/>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458008E"/>
    <w:multiLevelType w:val="hybridMultilevel"/>
    <w:tmpl w:val="71AAED88"/>
    <w:lvl w:ilvl="0" w:tplc="241A510C">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493B61"/>
    <w:multiLevelType w:val="hybridMultilevel"/>
    <w:tmpl w:val="80C81D0E"/>
    <w:lvl w:ilvl="0" w:tplc="E7B4952C">
      <w:start w:val="1"/>
      <w:numFmt w:val="decimal"/>
      <w:lvlText w:val="%1."/>
      <w:lvlJc w:val="left"/>
      <w:pPr>
        <w:ind w:left="-252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C270B1"/>
    <w:multiLevelType w:val="hybridMultilevel"/>
    <w:tmpl w:val="F49A7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5"/>
  </w:num>
  <w:num w:numId="2" w16cid:durableId="2119787510">
    <w:abstractNumId w:val="7"/>
  </w:num>
  <w:num w:numId="3" w16cid:durableId="1836843260">
    <w:abstractNumId w:val="57"/>
  </w:num>
  <w:num w:numId="4" w16cid:durableId="2018339747">
    <w:abstractNumId w:val="24"/>
  </w:num>
  <w:num w:numId="5" w16cid:durableId="368341374">
    <w:abstractNumId w:val="51"/>
  </w:num>
  <w:num w:numId="6" w16cid:durableId="1074009954">
    <w:abstractNumId w:val="31"/>
  </w:num>
  <w:num w:numId="7" w16cid:durableId="1545016965">
    <w:abstractNumId w:val="8"/>
  </w:num>
  <w:num w:numId="8" w16cid:durableId="1165165820">
    <w:abstractNumId w:val="20"/>
  </w:num>
  <w:num w:numId="9" w16cid:durableId="751703382">
    <w:abstractNumId w:val="46"/>
  </w:num>
  <w:num w:numId="10" w16cid:durableId="1010065578">
    <w:abstractNumId w:val="0"/>
  </w:num>
  <w:num w:numId="11" w16cid:durableId="599265313">
    <w:abstractNumId w:val="41"/>
  </w:num>
  <w:num w:numId="12" w16cid:durableId="1094203649">
    <w:abstractNumId w:val="42"/>
  </w:num>
  <w:num w:numId="13" w16cid:durableId="393090155">
    <w:abstractNumId w:val="48"/>
  </w:num>
  <w:num w:numId="14" w16cid:durableId="1198931784">
    <w:abstractNumId w:val="1"/>
  </w:num>
  <w:num w:numId="15" w16cid:durableId="2056192837">
    <w:abstractNumId w:val="4"/>
  </w:num>
  <w:num w:numId="16" w16cid:durableId="1680153077">
    <w:abstractNumId w:val="9"/>
  </w:num>
  <w:num w:numId="17" w16cid:durableId="1790273299">
    <w:abstractNumId w:val="10"/>
  </w:num>
  <w:num w:numId="18" w16cid:durableId="2128112662">
    <w:abstractNumId w:val="11"/>
  </w:num>
  <w:num w:numId="19" w16cid:durableId="7217114">
    <w:abstractNumId w:val="12"/>
  </w:num>
  <w:num w:numId="20" w16cid:durableId="1858302314">
    <w:abstractNumId w:val="13"/>
  </w:num>
  <w:num w:numId="21" w16cid:durableId="1702172520">
    <w:abstractNumId w:val="14"/>
  </w:num>
  <w:num w:numId="22" w16cid:durableId="1700861223">
    <w:abstractNumId w:val="15"/>
  </w:num>
  <w:num w:numId="23" w16cid:durableId="1025131478">
    <w:abstractNumId w:val="17"/>
  </w:num>
  <w:num w:numId="24" w16cid:durableId="477890311">
    <w:abstractNumId w:val="18"/>
  </w:num>
  <w:num w:numId="25" w16cid:durableId="1967855925">
    <w:abstractNumId w:val="21"/>
  </w:num>
  <w:num w:numId="26" w16cid:durableId="998537020">
    <w:abstractNumId w:val="22"/>
  </w:num>
  <w:num w:numId="27" w16cid:durableId="642350406">
    <w:abstractNumId w:val="25"/>
  </w:num>
  <w:num w:numId="28" w16cid:durableId="1616718871">
    <w:abstractNumId w:val="26"/>
  </w:num>
  <w:num w:numId="29" w16cid:durableId="1530486082">
    <w:abstractNumId w:val="27"/>
  </w:num>
  <w:num w:numId="30" w16cid:durableId="802582976">
    <w:abstractNumId w:val="29"/>
  </w:num>
  <w:num w:numId="31" w16cid:durableId="287396833">
    <w:abstractNumId w:val="32"/>
  </w:num>
  <w:num w:numId="32" w16cid:durableId="535119711">
    <w:abstractNumId w:val="33"/>
  </w:num>
  <w:num w:numId="33" w16cid:durableId="2078547275">
    <w:abstractNumId w:val="34"/>
  </w:num>
  <w:num w:numId="34" w16cid:durableId="1703632659">
    <w:abstractNumId w:val="35"/>
  </w:num>
  <w:num w:numId="35" w16cid:durableId="1264075887">
    <w:abstractNumId w:val="36"/>
  </w:num>
  <w:num w:numId="36" w16cid:durableId="1752315512">
    <w:abstractNumId w:val="37"/>
  </w:num>
  <w:num w:numId="37" w16cid:durableId="1536426887">
    <w:abstractNumId w:val="38"/>
  </w:num>
  <w:num w:numId="38" w16cid:durableId="949702590">
    <w:abstractNumId w:val="39"/>
  </w:num>
  <w:num w:numId="39" w16cid:durableId="115605940">
    <w:abstractNumId w:val="43"/>
  </w:num>
  <w:num w:numId="40" w16cid:durableId="2008750670">
    <w:abstractNumId w:val="44"/>
  </w:num>
  <w:num w:numId="41" w16cid:durableId="579801488">
    <w:abstractNumId w:val="50"/>
  </w:num>
  <w:num w:numId="42" w16cid:durableId="910309630">
    <w:abstractNumId w:val="52"/>
  </w:num>
  <w:num w:numId="43" w16cid:durableId="221603102">
    <w:abstractNumId w:val="53"/>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3"/>
  </w:num>
  <w:num w:numId="50" w16cid:durableId="2025083079">
    <w:abstractNumId w:val="64"/>
  </w:num>
  <w:num w:numId="51" w16cid:durableId="530342504">
    <w:abstractNumId w:val="23"/>
  </w:num>
  <w:num w:numId="52" w16cid:durableId="955454438">
    <w:abstractNumId w:val="45"/>
  </w:num>
  <w:num w:numId="53" w16cid:durableId="586957926">
    <w:abstractNumId w:val="54"/>
  </w:num>
  <w:num w:numId="54" w16cid:durableId="1498381482">
    <w:abstractNumId w:val="49"/>
  </w:num>
  <w:num w:numId="55" w16cid:durableId="1930308158">
    <w:abstractNumId w:val="47"/>
  </w:num>
  <w:num w:numId="56" w16cid:durableId="71783945">
    <w:abstractNumId w:val="30"/>
  </w:num>
  <w:num w:numId="57" w16cid:durableId="327246300">
    <w:abstractNumId w:val="28"/>
  </w:num>
  <w:num w:numId="58" w16cid:durableId="823088829">
    <w:abstractNumId w:val="40"/>
  </w:num>
  <w:num w:numId="59" w16cid:durableId="178545844">
    <w:abstractNumId w:val="6"/>
  </w:num>
  <w:num w:numId="60" w16cid:durableId="166218650">
    <w:abstractNumId w:val="16"/>
  </w:num>
  <w:num w:numId="61" w16cid:durableId="2067682195">
    <w:abstractNumId w:val="2"/>
  </w:num>
  <w:num w:numId="62" w16cid:durableId="167595866">
    <w:abstractNumId w:val="61"/>
  </w:num>
  <w:num w:numId="63" w16cid:durableId="846941894">
    <w:abstractNumId w:val="3"/>
  </w:num>
  <w:num w:numId="64" w16cid:durableId="665792024">
    <w:abstractNumId w:val="62"/>
  </w:num>
  <w:num w:numId="65" w16cid:durableId="1078864585">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3793"/>
    <w:rsid w:val="000165B7"/>
    <w:rsid w:val="0001788C"/>
    <w:rsid w:val="00023CED"/>
    <w:rsid w:val="00030B24"/>
    <w:rsid w:val="000337EF"/>
    <w:rsid w:val="00040C3A"/>
    <w:rsid w:val="000419AD"/>
    <w:rsid w:val="000433C9"/>
    <w:rsid w:val="00044D23"/>
    <w:rsid w:val="00054E90"/>
    <w:rsid w:val="000561A8"/>
    <w:rsid w:val="00057ECD"/>
    <w:rsid w:val="00071174"/>
    <w:rsid w:val="000716C5"/>
    <w:rsid w:val="00075E23"/>
    <w:rsid w:val="00084185"/>
    <w:rsid w:val="00085BCA"/>
    <w:rsid w:val="00091F4E"/>
    <w:rsid w:val="0009344A"/>
    <w:rsid w:val="00093C74"/>
    <w:rsid w:val="000961D6"/>
    <w:rsid w:val="00096562"/>
    <w:rsid w:val="00097E8C"/>
    <w:rsid w:val="000A392E"/>
    <w:rsid w:val="000A575F"/>
    <w:rsid w:val="000C1C29"/>
    <w:rsid w:val="000C6C96"/>
    <w:rsid w:val="000D05CB"/>
    <w:rsid w:val="000D10DB"/>
    <w:rsid w:val="000D1C20"/>
    <w:rsid w:val="000D727A"/>
    <w:rsid w:val="000E5EB5"/>
    <w:rsid w:val="000F35ED"/>
    <w:rsid w:val="000F4A54"/>
    <w:rsid w:val="000F6C14"/>
    <w:rsid w:val="00100069"/>
    <w:rsid w:val="001004FE"/>
    <w:rsid w:val="00107131"/>
    <w:rsid w:val="0010736F"/>
    <w:rsid w:val="00113F73"/>
    <w:rsid w:val="0011618B"/>
    <w:rsid w:val="00121584"/>
    <w:rsid w:val="00121CC2"/>
    <w:rsid w:val="001254FE"/>
    <w:rsid w:val="00131425"/>
    <w:rsid w:val="00133BDB"/>
    <w:rsid w:val="00133EE5"/>
    <w:rsid w:val="001421C8"/>
    <w:rsid w:val="001567E7"/>
    <w:rsid w:val="00167A34"/>
    <w:rsid w:val="00170CD4"/>
    <w:rsid w:val="00173717"/>
    <w:rsid w:val="00175344"/>
    <w:rsid w:val="001908FD"/>
    <w:rsid w:val="00191B53"/>
    <w:rsid w:val="001A520D"/>
    <w:rsid w:val="001A7870"/>
    <w:rsid w:val="001B10C1"/>
    <w:rsid w:val="001B3A00"/>
    <w:rsid w:val="001B41CA"/>
    <w:rsid w:val="001B478B"/>
    <w:rsid w:val="001B7261"/>
    <w:rsid w:val="001C1B41"/>
    <w:rsid w:val="001D65EF"/>
    <w:rsid w:val="001D7A3F"/>
    <w:rsid w:val="001D7F96"/>
    <w:rsid w:val="001E3B89"/>
    <w:rsid w:val="001E49E7"/>
    <w:rsid w:val="001F2264"/>
    <w:rsid w:val="001F7201"/>
    <w:rsid w:val="0021547E"/>
    <w:rsid w:val="00216100"/>
    <w:rsid w:val="00217EB2"/>
    <w:rsid w:val="00223A29"/>
    <w:rsid w:val="002250A3"/>
    <w:rsid w:val="00235217"/>
    <w:rsid w:val="00246D1F"/>
    <w:rsid w:val="00247403"/>
    <w:rsid w:val="00247542"/>
    <w:rsid w:val="0026587E"/>
    <w:rsid w:val="00266B61"/>
    <w:rsid w:val="0026712A"/>
    <w:rsid w:val="002704DB"/>
    <w:rsid w:val="00274D81"/>
    <w:rsid w:val="002777C4"/>
    <w:rsid w:val="0029670C"/>
    <w:rsid w:val="002A0AAE"/>
    <w:rsid w:val="002A5820"/>
    <w:rsid w:val="002A62F7"/>
    <w:rsid w:val="002B5548"/>
    <w:rsid w:val="002D2B26"/>
    <w:rsid w:val="002D7EA2"/>
    <w:rsid w:val="002E187C"/>
    <w:rsid w:val="002E4404"/>
    <w:rsid w:val="002F2539"/>
    <w:rsid w:val="00302733"/>
    <w:rsid w:val="00305835"/>
    <w:rsid w:val="00306F33"/>
    <w:rsid w:val="00311ECF"/>
    <w:rsid w:val="00312E79"/>
    <w:rsid w:val="00314078"/>
    <w:rsid w:val="0031535D"/>
    <w:rsid w:val="00316B0F"/>
    <w:rsid w:val="003221F4"/>
    <w:rsid w:val="003239B8"/>
    <w:rsid w:val="00325BFC"/>
    <w:rsid w:val="0033169F"/>
    <w:rsid w:val="00331884"/>
    <w:rsid w:val="00344977"/>
    <w:rsid w:val="003464DF"/>
    <w:rsid w:val="00346C95"/>
    <w:rsid w:val="00356185"/>
    <w:rsid w:val="00360380"/>
    <w:rsid w:val="00362029"/>
    <w:rsid w:val="0037519E"/>
    <w:rsid w:val="00376357"/>
    <w:rsid w:val="00386CF0"/>
    <w:rsid w:val="003906C8"/>
    <w:rsid w:val="00391D5A"/>
    <w:rsid w:val="003938C3"/>
    <w:rsid w:val="00394073"/>
    <w:rsid w:val="003B1618"/>
    <w:rsid w:val="003B70FB"/>
    <w:rsid w:val="003C676B"/>
    <w:rsid w:val="003D1ADB"/>
    <w:rsid w:val="003D289E"/>
    <w:rsid w:val="003D3BC2"/>
    <w:rsid w:val="003E0AF4"/>
    <w:rsid w:val="003E6CA1"/>
    <w:rsid w:val="003F1AFE"/>
    <w:rsid w:val="003F2DDC"/>
    <w:rsid w:val="003F4785"/>
    <w:rsid w:val="003F5154"/>
    <w:rsid w:val="003F7EAC"/>
    <w:rsid w:val="00401955"/>
    <w:rsid w:val="00405869"/>
    <w:rsid w:val="0040589F"/>
    <w:rsid w:val="00405F9C"/>
    <w:rsid w:val="004065A8"/>
    <w:rsid w:val="004165C2"/>
    <w:rsid w:val="004241A0"/>
    <w:rsid w:val="00435CDD"/>
    <w:rsid w:val="004364E9"/>
    <w:rsid w:val="00441ECB"/>
    <w:rsid w:val="00444269"/>
    <w:rsid w:val="00445193"/>
    <w:rsid w:val="00446B95"/>
    <w:rsid w:val="004505E0"/>
    <w:rsid w:val="00462C1B"/>
    <w:rsid w:val="00467B7E"/>
    <w:rsid w:val="00467E4D"/>
    <w:rsid w:val="00473BB4"/>
    <w:rsid w:val="00477592"/>
    <w:rsid w:val="004778BD"/>
    <w:rsid w:val="00481558"/>
    <w:rsid w:val="00486F1C"/>
    <w:rsid w:val="0049419D"/>
    <w:rsid w:val="004944A9"/>
    <w:rsid w:val="00496052"/>
    <w:rsid w:val="00497F03"/>
    <w:rsid w:val="004A057B"/>
    <w:rsid w:val="004A6A54"/>
    <w:rsid w:val="004A7F31"/>
    <w:rsid w:val="004B421C"/>
    <w:rsid w:val="004B4236"/>
    <w:rsid w:val="004C14A4"/>
    <w:rsid w:val="004C1E1C"/>
    <w:rsid w:val="004C20D2"/>
    <w:rsid w:val="004C2312"/>
    <w:rsid w:val="004C4659"/>
    <w:rsid w:val="004C4B62"/>
    <w:rsid w:val="004C54C9"/>
    <w:rsid w:val="004C5CF0"/>
    <w:rsid w:val="004C798F"/>
    <w:rsid w:val="004D4ABA"/>
    <w:rsid w:val="004D6025"/>
    <w:rsid w:val="004E2649"/>
    <w:rsid w:val="004E62EA"/>
    <w:rsid w:val="004F626F"/>
    <w:rsid w:val="00501399"/>
    <w:rsid w:val="00501952"/>
    <w:rsid w:val="005047ED"/>
    <w:rsid w:val="0050633D"/>
    <w:rsid w:val="00507BC4"/>
    <w:rsid w:val="005128E4"/>
    <w:rsid w:val="005133DB"/>
    <w:rsid w:val="00514504"/>
    <w:rsid w:val="00514EEA"/>
    <w:rsid w:val="00521E1F"/>
    <w:rsid w:val="00525560"/>
    <w:rsid w:val="005275AD"/>
    <w:rsid w:val="00543D16"/>
    <w:rsid w:val="005441F3"/>
    <w:rsid w:val="00544C49"/>
    <w:rsid w:val="00547008"/>
    <w:rsid w:val="00547797"/>
    <w:rsid w:val="005479FD"/>
    <w:rsid w:val="005516A1"/>
    <w:rsid w:val="005559EF"/>
    <w:rsid w:val="00563557"/>
    <w:rsid w:val="00565AD4"/>
    <w:rsid w:val="0057402A"/>
    <w:rsid w:val="005771D0"/>
    <w:rsid w:val="0058376C"/>
    <w:rsid w:val="0059191A"/>
    <w:rsid w:val="005921FF"/>
    <w:rsid w:val="005A24ED"/>
    <w:rsid w:val="005A43B2"/>
    <w:rsid w:val="005A52D7"/>
    <w:rsid w:val="005A6D0E"/>
    <w:rsid w:val="005A7C4B"/>
    <w:rsid w:val="005B5006"/>
    <w:rsid w:val="005B52B0"/>
    <w:rsid w:val="005B6806"/>
    <w:rsid w:val="005C1B92"/>
    <w:rsid w:val="005C2E6B"/>
    <w:rsid w:val="005C4225"/>
    <w:rsid w:val="005C5663"/>
    <w:rsid w:val="005F0DAD"/>
    <w:rsid w:val="005F0F33"/>
    <w:rsid w:val="005F2BBD"/>
    <w:rsid w:val="005F4ED0"/>
    <w:rsid w:val="00600DEB"/>
    <w:rsid w:val="006020B6"/>
    <w:rsid w:val="006105D2"/>
    <w:rsid w:val="00613D83"/>
    <w:rsid w:val="00625BFC"/>
    <w:rsid w:val="00627045"/>
    <w:rsid w:val="00627C9F"/>
    <w:rsid w:val="006311E9"/>
    <w:rsid w:val="006313C1"/>
    <w:rsid w:val="00632354"/>
    <w:rsid w:val="00632BA5"/>
    <w:rsid w:val="00635421"/>
    <w:rsid w:val="00640C09"/>
    <w:rsid w:val="00642810"/>
    <w:rsid w:val="00652333"/>
    <w:rsid w:val="006600D9"/>
    <w:rsid w:val="006611CA"/>
    <w:rsid w:val="00671447"/>
    <w:rsid w:val="0068009E"/>
    <w:rsid w:val="006802FB"/>
    <w:rsid w:val="00681CD9"/>
    <w:rsid w:val="00692219"/>
    <w:rsid w:val="00694170"/>
    <w:rsid w:val="006A17D2"/>
    <w:rsid w:val="006A6AEE"/>
    <w:rsid w:val="006A73E6"/>
    <w:rsid w:val="006B2C0D"/>
    <w:rsid w:val="006B2D5C"/>
    <w:rsid w:val="006B4537"/>
    <w:rsid w:val="006B5697"/>
    <w:rsid w:val="006B6932"/>
    <w:rsid w:val="006C0C7C"/>
    <w:rsid w:val="006C0ECF"/>
    <w:rsid w:val="006C2A11"/>
    <w:rsid w:val="006C4EB1"/>
    <w:rsid w:val="006C766A"/>
    <w:rsid w:val="006E0166"/>
    <w:rsid w:val="006E2FFB"/>
    <w:rsid w:val="006E7B34"/>
    <w:rsid w:val="006F106D"/>
    <w:rsid w:val="0070526B"/>
    <w:rsid w:val="0070697F"/>
    <w:rsid w:val="007103C4"/>
    <w:rsid w:val="00710D0E"/>
    <w:rsid w:val="00715095"/>
    <w:rsid w:val="0072199C"/>
    <w:rsid w:val="00722C9F"/>
    <w:rsid w:val="007253B8"/>
    <w:rsid w:val="00732E5A"/>
    <w:rsid w:val="0073683A"/>
    <w:rsid w:val="0073741F"/>
    <w:rsid w:val="00745E38"/>
    <w:rsid w:val="00754209"/>
    <w:rsid w:val="0075654D"/>
    <w:rsid w:val="0076643F"/>
    <w:rsid w:val="007719C5"/>
    <w:rsid w:val="00777F63"/>
    <w:rsid w:val="0078782D"/>
    <w:rsid w:val="007922DA"/>
    <w:rsid w:val="0079593D"/>
    <w:rsid w:val="007A540D"/>
    <w:rsid w:val="007A5817"/>
    <w:rsid w:val="007B05C4"/>
    <w:rsid w:val="007B60E9"/>
    <w:rsid w:val="007B6CC3"/>
    <w:rsid w:val="007B76D3"/>
    <w:rsid w:val="007C3334"/>
    <w:rsid w:val="007D2B98"/>
    <w:rsid w:val="007D55E9"/>
    <w:rsid w:val="007E1AD5"/>
    <w:rsid w:val="007E21BC"/>
    <w:rsid w:val="007E7C82"/>
    <w:rsid w:val="007F2AA1"/>
    <w:rsid w:val="007F588D"/>
    <w:rsid w:val="007F7C5A"/>
    <w:rsid w:val="00803F1C"/>
    <w:rsid w:val="008056F8"/>
    <w:rsid w:val="0080600E"/>
    <w:rsid w:val="0080746E"/>
    <w:rsid w:val="008101E2"/>
    <w:rsid w:val="008129F9"/>
    <w:rsid w:val="00814688"/>
    <w:rsid w:val="008174C7"/>
    <w:rsid w:val="00817612"/>
    <w:rsid w:val="0082499E"/>
    <w:rsid w:val="0082534C"/>
    <w:rsid w:val="00827150"/>
    <w:rsid w:val="00827CAF"/>
    <w:rsid w:val="008338A4"/>
    <w:rsid w:val="00834D49"/>
    <w:rsid w:val="00835130"/>
    <w:rsid w:val="008364D5"/>
    <w:rsid w:val="00837C45"/>
    <w:rsid w:val="00844730"/>
    <w:rsid w:val="00845517"/>
    <w:rsid w:val="008457C2"/>
    <w:rsid w:val="008525C7"/>
    <w:rsid w:val="00854C0B"/>
    <w:rsid w:val="008578D9"/>
    <w:rsid w:val="00857A82"/>
    <w:rsid w:val="00861BC6"/>
    <w:rsid w:val="00862F84"/>
    <w:rsid w:val="00866943"/>
    <w:rsid w:val="00873836"/>
    <w:rsid w:val="00874C6E"/>
    <w:rsid w:val="00882835"/>
    <w:rsid w:val="00885582"/>
    <w:rsid w:val="00885737"/>
    <w:rsid w:val="00890650"/>
    <w:rsid w:val="00891AE1"/>
    <w:rsid w:val="008944DC"/>
    <w:rsid w:val="00897DCB"/>
    <w:rsid w:val="00897E12"/>
    <w:rsid w:val="008A7E0F"/>
    <w:rsid w:val="008B12F5"/>
    <w:rsid w:val="008C2E76"/>
    <w:rsid w:val="008C5E2D"/>
    <w:rsid w:val="008D0119"/>
    <w:rsid w:val="008D768D"/>
    <w:rsid w:val="008E1024"/>
    <w:rsid w:val="008E3759"/>
    <w:rsid w:val="008E3BFE"/>
    <w:rsid w:val="008F1912"/>
    <w:rsid w:val="008F7FCC"/>
    <w:rsid w:val="0090270B"/>
    <w:rsid w:val="009041DC"/>
    <w:rsid w:val="00914ACE"/>
    <w:rsid w:val="00917B5A"/>
    <w:rsid w:val="00920A58"/>
    <w:rsid w:val="00920A8C"/>
    <w:rsid w:val="00924683"/>
    <w:rsid w:val="00931FEA"/>
    <w:rsid w:val="00934A2C"/>
    <w:rsid w:val="00955F48"/>
    <w:rsid w:val="0096706E"/>
    <w:rsid w:val="00974491"/>
    <w:rsid w:val="00975C4E"/>
    <w:rsid w:val="00976275"/>
    <w:rsid w:val="00981FBA"/>
    <w:rsid w:val="00994934"/>
    <w:rsid w:val="00997BC5"/>
    <w:rsid w:val="009A4AE0"/>
    <w:rsid w:val="009A4F41"/>
    <w:rsid w:val="009A56CE"/>
    <w:rsid w:val="009B119E"/>
    <w:rsid w:val="009B381B"/>
    <w:rsid w:val="009B7298"/>
    <w:rsid w:val="009C19A7"/>
    <w:rsid w:val="009D1753"/>
    <w:rsid w:val="009D6F4A"/>
    <w:rsid w:val="009D7611"/>
    <w:rsid w:val="009E0B61"/>
    <w:rsid w:val="009E2346"/>
    <w:rsid w:val="009E53DE"/>
    <w:rsid w:val="009F08AA"/>
    <w:rsid w:val="009F357E"/>
    <w:rsid w:val="00A05753"/>
    <w:rsid w:val="00A10E83"/>
    <w:rsid w:val="00A11212"/>
    <w:rsid w:val="00A11E44"/>
    <w:rsid w:val="00A13795"/>
    <w:rsid w:val="00A138E8"/>
    <w:rsid w:val="00A15562"/>
    <w:rsid w:val="00A15E9A"/>
    <w:rsid w:val="00A176BB"/>
    <w:rsid w:val="00A30100"/>
    <w:rsid w:val="00A328B3"/>
    <w:rsid w:val="00A35EDE"/>
    <w:rsid w:val="00A36A7C"/>
    <w:rsid w:val="00A400B8"/>
    <w:rsid w:val="00A50FCF"/>
    <w:rsid w:val="00A51BC3"/>
    <w:rsid w:val="00A528D1"/>
    <w:rsid w:val="00A53B4E"/>
    <w:rsid w:val="00A610CD"/>
    <w:rsid w:val="00A71DEC"/>
    <w:rsid w:val="00A758AA"/>
    <w:rsid w:val="00A8245D"/>
    <w:rsid w:val="00A904A1"/>
    <w:rsid w:val="00AA09A2"/>
    <w:rsid w:val="00AA7996"/>
    <w:rsid w:val="00AB759F"/>
    <w:rsid w:val="00AC19CB"/>
    <w:rsid w:val="00AE5488"/>
    <w:rsid w:val="00AE6F91"/>
    <w:rsid w:val="00AF0B88"/>
    <w:rsid w:val="00AF5571"/>
    <w:rsid w:val="00AF7FAA"/>
    <w:rsid w:val="00B04818"/>
    <w:rsid w:val="00B07341"/>
    <w:rsid w:val="00B221AA"/>
    <w:rsid w:val="00B25C36"/>
    <w:rsid w:val="00B26447"/>
    <w:rsid w:val="00B30539"/>
    <w:rsid w:val="00B314DB"/>
    <w:rsid w:val="00B34180"/>
    <w:rsid w:val="00B35AD1"/>
    <w:rsid w:val="00B361F2"/>
    <w:rsid w:val="00B3718B"/>
    <w:rsid w:val="00B3745F"/>
    <w:rsid w:val="00B4632A"/>
    <w:rsid w:val="00B530F1"/>
    <w:rsid w:val="00B5350F"/>
    <w:rsid w:val="00B55AB1"/>
    <w:rsid w:val="00B5643B"/>
    <w:rsid w:val="00B60359"/>
    <w:rsid w:val="00B617DD"/>
    <w:rsid w:val="00B62CDC"/>
    <w:rsid w:val="00B6709E"/>
    <w:rsid w:val="00B67F88"/>
    <w:rsid w:val="00B838A1"/>
    <w:rsid w:val="00B839CA"/>
    <w:rsid w:val="00B84BF4"/>
    <w:rsid w:val="00B8735D"/>
    <w:rsid w:val="00B92D54"/>
    <w:rsid w:val="00B93D7F"/>
    <w:rsid w:val="00B9690E"/>
    <w:rsid w:val="00B96D11"/>
    <w:rsid w:val="00BA276C"/>
    <w:rsid w:val="00BA6185"/>
    <w:rsid w:val="00BB019D"/>
    <w:rsid w:val="00BB07C2"/>
    <w:rsid w:val="00BB273E"/>
    <w:rsid w:val="00BB306F"/>
    <w:rsid w:val="00BB5C2C"/>
    <w:rsid w:val="00BD0FF5"/>
    <w:rsid w:val="00BD4B89"/>
    <w:rsid w:val="00BD5922"/>
    <w:rsid w:val="00BF02CB"/>
    <w:rsid w:val="00BF3DB7"/>
    <w:rsid w:val="00BF6FD8"/>
    <w:rsid w:val="00C03680"/>
    <w:rsid w:val="00C054DF"/>
    <w:rsid w:val="00C05C9C"/>
    <w:rsid w:val="00C07675"/>
    <w:rsid w:val="00C122CC"/>
    <w:rsid w:val="00C133EE"/>
    <w:rsid w:val="00C1673B"/>
    <w:rsid w:val="00C21762"/>
    <w:rsid w:val="00C21FEF"/>
    <w:rsid w:val="00C23BA4"/>
    <w:rsid w:val="00C23EBF"/>
    <w:rsid w:val="00C24543"/>
    <w:rsid w:val="00C256A2"/>
    <w:rsid w:val="00C25ADB"/>
    <w:rsid w:val="00C2708B"/>
    <w:rsid w:val="00C374E8"/>
    <w:rsid w:val="00C42413"/>
    <w:rsid w:val="00C51515"/>
    <w:rsid w:val="00C5660B"/>
    <w:rsid w:val="00C61136"/>
    <w:rsid w:val="00C63F30"/>
    <w:rsid w:val="00C64D8F"/>
    <w:rsid w:val="00C66AFF"/>
    <w:rsid w:val="00C66B72"/>
    <w:rsid w:val="00C70701"/>
    <w:rsid w:val="00C81E13"/>
    <w:rsid w:val="00C87AC4"/>
    <w:rsid w:val="00C919CC"/>
    <w:rsid w:val="00C93EC7"/>
    <w:rsid w:val="00C9567A"/>
    <w:rsid w:val="00CA0463"/>
    <w:rsid w:val="00CA0DCA"/>
    <w:rsid w:val="00CB212D"/>
    <w:rsid w:val="00CB2660"/>
    <w:rsid w:val="00CB4C72"/>
    <w:rsid w:val="00CB6386"/>
    <w:rsid w:val="00CC5E90"/>
    <w:rsid w:val="00CD046C"/>
    <w:rsid w:val="00CD5768"/>
    <w:rsid w:val="00CD701A"/>
    <w:rsid w:val="00CD74AA"/>
    <w:rsid w:val="00CE076C"/>
    <w:rsid w:val="00CE5199"/>
    <w:rsid w:val="00CE66D5"/>
    <w:rsid w:val="00CE71ED"/>
    <w:rsid w:val="00CF0D8B"/>
    <w:rsid w:val="00CF1C1A"/>
    <w:rsid w:val="00CF52C0"/>
    <w:rsid w:val="00CF637A"/>
    <w:rsid w:val="00D059DE"/>
    <w:rsid w:val="00D05ABD"/>
    <w:rsid w:val="00D106D6"/>
    <w:rsid w:val="00D13FCE"/>
    <w:rsid w:val="00D14A57"/>
    <w:rsid w:val="00D15302"/>
    <w:rsid w:val="00D27D65"/>
    <w:rsid w:val="00D306D1"/>
    <w:rsid w:val="00D30800"/>
    <w:rsid w:val="00D34786"/>
    <w:rsid w:val="00D37BFC"/>
    <w:rsid w:val="00D432BB"/>
    <w:rsid w:val="00D47A8E"/>
    <w:rsid w:val="00D52D14"/>
    <w:rsid w:val="00D65EF5"/>
    <w:rsid w:val="00D712D3"/>
    <w:rsid w:val="00D71422"/>
    <w:rsid w:val="00D72DC6"/>
    <w:rsid w:val="00D7558D"/>
    <w:rsid w:val="00D76567"/>
    <w:rsid w:val="00D81894"/>
    <w:rsid w:val="00D81D92"/>
    <w:rsid w:val="00D876F9"/>
    <w:rsid w:val="00D908E9"/>
    <w:rsid w:val="00D92E0C"/>
    <w:rsid w:val="00DA16E0"/>
    <w:rsid w:val="00DA7B5F"/>
    <w:rsid w:val="00DA7BB3"/>
    <w:rsid w:val="00DB382E"/>
    <w:rsid w:val="00DB4F24"/>
    <w:rsid w:val="00DC11E7"/>
    <w:rsid w:val="00DC24E3"/>
    <w:rsid w:val="00DC60B5"/>
    <w:rsid w:val="00DC7023"/>
    <w:rsid w:val="00DC769A"/>
    <w:rsid w:val="00DD3D86"/>
    <w:rsid w:val="00DD4AD2"/>
    <w:rsid w:val="00DE2862"/>
    <w:rsid w:val="00DE4D82"/>
    <w:rsid w:val="00DE6EB5"/>
    <w:rsid w:val="00DF1EC4"/>
    <w:rsid w:val="00DF6536"/>
    <w:rsid w:val="00E0137D"/>
    <w:rsid w:val="00E0340B"/>
    <w:rsid w:val="00E04A90"/>
    <w:rsid w:val="00E0551F"/>
    <w:rsid w:val="00E1098B"/>
    <w:rsid w:val="00E14C97"/>
    <w:rsid w:val="00E219C7"/>
    <w:rsid w:val="00E23477"/>
    <w:rsid w:val="00E240AC"/>
    <w:rsid w:val="00E32E66"/>
    <w:rsid w:val="00E4118C"/>
    <w:rsid w:val="00E42DB6"/>
    <w:rsid w:val="00E43157"/>
    <w:rsid w:val="00E44385"/>
    <w:rsid w:val="00E461CE"/>
    <w:rsid w:val="00E51B9C"/>
    <w:rsid w:val="00E573E4"/>
    <w:rsid w:val="00E60487"/>
    <w:rsid w:val="00E64C3D"/>
    <w:rsid w:val="00E6559F"/>
    <w:rsid w:val="00E720CA"/>
    <w:rsid w:val="00E75453"/>
    <w:rsid w:val="00E816DD"/>
    <w:rsid w:val="00E84EB5"/>
    <w:rsid w:val="00E85662"/>
    <w:rsid w:val="00E8789F"/>
    <w:rsid w:val="00E97B71"/>
    <w:rsid w:val="00EA3D34"/>
    <w:rsid w:val="00EA5623"/>
    <w:rsid w:val="00EA61AB"/>
    <w:rsid w:val="00EA6FCF"/>
    <w:rsid w:val="00EB15DE"/>
    <w:rsid w:val="00EB454D"/>
    <w:rsid w:val="00EC5B53"/>
    <w:rsid w:val="00ED1691"/>
    <w:rsid w:val="00ED3121"/>
    <w:rsid w:val="00ED50C6"/>
    <w:rsid w:val="00ED549D"/>
    <w:rsid w:val="00ED5E10"/>
    <w:rsid w:val="00ED69A0"/>
    <w:rsid w:val="00ED69CC"/>
    <w:rsid w:val="00ED76BE"/>
    <w:rsid w:val="00EE00E9"/>
    <w:rsid w:val="00EF1AAA"/>
    <w:rsid w:val="00EF2000"/>
    <w:rsid w:val="00EF619B"/>
    <w:rsid w:val="00F00B55"/>
    <w:rsid w:val="00F01274"/>
    <w:rsid w:val="00F02AD1"/>
    <w:rsid w:val="00F120BD"/>
    <w:rsid w:val="00F15481"/>
    <w:rsid w:val="00F21BCB"/>
    <w:rsid w:val="00F253CC"/>
    <w:rsid w:val="00F25B4B"/>
    <w:rsid w:val="00F277B6"/>
    <w:rsid w:val="00F37106"/>
    <w:rsid w:val="00F37FF4"/>
    <w:rsid w:val="00F44E25"/>
    <w:rsid w:val="00F45DFC"/>
    <w:rsid w:val="00F47349"/>
    <w:rsid w:val="00F519CF"/>
    <w:rsid w:val="00F56BA5"/>
    <w:rsid w:val="00F56E70"/>
    <w:rsid w:val="00F56ECB"/>
    <w:rsid w:val="00F60E22"/>
    <w:rsid w:val="00F639F2"/>
    <w:rsid w:val="00F7001A"/>
    <w:rsid w:val="00F7669D"/>
    <w:rsid w:val="00F76881"/>
    <w:rsid w:val="00F81395"/>
    <w:rsid w:val="00F81BB8"/>
    <w:rsid w:val="00F9023C"/>
    <w:rsid w:val="00F90C64"/>
    <w:rsid w:val="00F917D1"/>
    <w:rsid w:val="00F91E25"/>
    <w:rsid w:val="00F9653B"/>
    <w:rsid w:val="00FA1848"/>
    <w:rsid w:val="00FA3D85"/>
    <w:rsid w:val="00FB5832"/>
    <w:rsid w:val="00FB62CF"/>
    <w:rsid w:val="00FC1182"/>
    <w:rsid w:val="00FC5B05"/>
    <w:rsid w:val="00FD3C3B"/>
    <w:rsid w:val="00FE057E"/>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1908F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5A7C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A7C4B"/>
  </w:style>
  <w:style w:type="character" w:customStyle="1" w:styleId="eop">
    <w:name w:val="eop"/>
    <w:basedOn w:val="DefaultParagraphFont"/>
    <w:rsid w:val="005A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0B24"/>
    <w:rsid w:val="0011128B"/>
    <w:rsid w:val="001E5310"/>
    <w:rsid w:val="00200821"/>
    <w:rsid w:val="0025245B"/>
    <w:rsid w:val="002A3923"/>
    <w:rsid w:val="00394049"/>
    <w:rsid w:val="003B0C71"/>
    <w:rsid w:val="004B5BBB"/>
    <w:rsid w:val="004F2DF8"/>
    <w:rsid w:val="00517E2A"/>
    <w:rsid w:val="006D3128"/>
    <w:rsid w:val="006F24A1"/>
    <w:rsid w:val="00875B8A"/>
    <w:rsid w:val="008953BC"/>
    <w:rsid w:val="00944013"/>
    <w:rsid w:val="009A261B"/>
    <w:rsid w:val="00A9228A"/>
    <w:rsid w:val="00AA2E17"/>
    <w:rsid w:val="00AC15A4"/>
    <w:rsid w:val="00B0336C"/>
    <w:rsid w:val="00B754DD"/>
    <w:rsid w:val="00C60155"/>
    <w:rsid w:val="00D241E9"/>
    <w:rsid w:val="00D7750D"/>
    <w:rsid w:val="00DE3BB2"/>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3472</Words>
  <Characters>19795</Characters>
  <Application>Microsoft Office Word</Application>
  <DocSecurity>0</DocSecurity>
  <Lines>164</Lines>
  <Paragraphs>46</Paragraphs>
  <ScaleCrop>false</ScaleCrop>
  <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2024-08-09T15:13:00Z</dcterms:created>
  <dcterms:modified xsi:type="dcterms:W3CDTF">2024-08-09T15:13:00Z</dcterms:modified>
</cp:coreProperties>
</file>