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F4DE3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4B41D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D5941">
                              <w:rPr>
                                <w:rFonts w:asciiTheme="majorHAnsi" w:hAnsiTheme="majorHAnsi" w:cs="Arial"/>
                                <w:b/>
                                <w:bCs/>
                                <w:color w:val="0D0D0D" w:themeColor="text1" w:themeTint="F2"/>
                                <w:sz w:val="36"/>
                                <w:szCs w:val="22"/>
                                <w:lang w:val="es-ES_tradnl"/>
                              </w:rPr>
                              <w:t>67</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30ACB39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2E8E">
                              <w:rPr>
                                <w:rFonts w:asciiTheme="majorHAnsi" w:hAnsiTheme="majorHAnsi" w:cs="Arial"/>
                                <w:b/>
                                <w:color w:val="0D0D0D" w:themeColor="text1" w:themeTint="F2"/>
                                <w:sz w:val="36"/>
                                <w:szCs w:val="22"/>
                                <w:lang w:val="es-ES_tradnl"/>
                              </w:rPr>
                              <w:t>326-21</w:t>
                            </w:r>
                            <w:r w:rsidR="00246D1F" w:rsidRPr="004E2649">
                              <w:rPr>
                                <w:rFonts w:asciiTheme="majorHAnsi" w:hAnsiTheme="majorHAnsi" w:cs="Arial"/>
                                <w:b/>
                                <w:color w:val="0D0D0D" w:themeColor="text1" w:themeTint="F2"/>
                                <w:sz w:val="36"/>
                                <w:szCs w:val="22"/>
                                <w:lang w:val="es-ES_tradnl"/>
                              </w:rPr>
                              <w:t xml:space="preserve"> </w:t>
                            </w:r>
                          </w:p>
                          <w:p w14:paraId="188B4303" w14:textId="379D5C2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21C1DE4" w:rsidR="005B52B0" w:rsidRPr="0010736F" w:rsidRDefault="00BE2E8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w:t>
                            </w:r>
                            <w:r w:rsidR="00EB7EA6">
                              <w:rPr>
                                <w:rFonts w:asciiTheme="majorHAnsi" w:hAnsiTheme="majorHAnsi" w:cs="Arial"/>
                                <w:color w:val="0D0D0D" w:themeColor="text1" w:themeTint="F2"/>
                                <w:szCs w:val="22"/>
                                <w:lang w:val="es-ES_tradnl"/>
                              </w:rPr>
                              <w:t>.</w:t>
                            </w:r>
                            <w:r>
                              <w:rPr>
                                <w:rFonts w:asciiTheme="majorHAnsi" w:hAnsiTheme="majorHAnsi" w:cs="Arial"/>
                                <w:color w:val="0D0D0D" w:themeColor="text1" w:themeTint="F2"/>
                                <w:szCs w:val="22"/>
                                <w:lang w:val="es-ES_tradnl"/>
                              </w:rPr>
                              <w:t xml:space="preserve"> </w:t>
                            </w:r>
                            <w:r w:rsidR="00002AF5">
                              <w:rPr>
                                <w:rFonts w:asciiTheme="majorHAnsi" w:hAnsiTheme="majorHAnsi" w:cs="Arial"/>
                                <w:color w:val="0D0D0D" w:themeColor="text1" w:themeTint="F2"/>
                                <w:szCs w:val="22"/>
                                <w:lang w:val="es-ES_tradnl"/>
                              </w:rPr>
                              <w:t>Z</w:t>
                            </w:r>
                            <w:r w:rsidR="00EB7EA6">
                              <w:rPr>
                                <w:rFonts w:asciiTheme="majorHAnsi" w:hAnsiTheme="majorHAnsi" w:cs="Arial"/>
                                <w:color w:val="0D0D0D" w:themeColor="text1" w:themeTint="F2"/>
                                <w:szCs w:val="22"/>
                                <w:lang w:val="es-ES_tradnl"/>
                              </w:rPr>
                              <w:t>.</w:t>
                            </w:r>
                            <w:r w:rsidR="00002AF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M</w:t>
                            </w:r>
                            <w:r w:rsidR="00EB7EA6">
                              <w:rPr>
                                <w:rFonts w:asciiTheme="majorHAnsi" w:hAnsiTheme="majorHAnsi" w:cs="Arial"/>
                                <w:color w:val="0D0D0D" w:themeColor="text1" w:themeTint="F2"/>
                                <w:szCs w:val="22"/>
                                <w:lang w:val="es-ES_tradnl"/>
                              </w:rPr>
                              <w:t>.</w:t>
                            </w:r>
                            <w:r>
                              <w:rPr>
                                <w:rFonts w:asciiTheme="majorHAnsi" w:hAnsiTheme="majorHAnsi" w:cs="Arial"/>
                                <w:color w:val="0D0D0D" w:themeColor="text1" w:themeTint="F2"/>
                                <w:szCs w:val="22"/>
                                <w:lang w:val="es-ES_tradnl"/>
                              </w:rPr>
                              <w:t xml:space="preserve"> Y OTRAS</w:t>
                            </w:r>
                          </w:p>
                          <w:bookmarkEnd w:id="0"/>
                          <w:p w14:paraId="0B9F7D22" w14:textId="455B171E" w:rsidR="005B52B0" w:rsidRPr="00F56ECB" w:rsidRDefault="00BE2E8E"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4B41D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D5941">
                        <w:rPr>
                          <w:rFonts w:asciiTheme="majorHAnsi" w:hAnsiTheme="majorHAnsi" w:cs="Arial"/>
                          <w:b/>
                          <w:bCs/>
                          <w:color w:val="0D0D0D" w:themeColor="text1" w:themeTint="F2"/>
                          <w:sz w:val="36"/>
                          <w:szCs w:val="22"/>
                          <w:lang w:val="es-ES_tradnl"/>
                        </w:rPr>
                        <w:t>67</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30ACB39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2E8E">
                        <w:rPr>
                          <w:rFonts w:asciiTheme="majorHAnsi" w:hAnsiTheme="majorHAnsi" w:cs="Arial"/>
                          <w:b/>
                          <w:color w:val="0D0D0D" w:themeColor="text1" w:themeTint="F2"/>
                          <w:sz w:val="36"/>
                          <w:szCs w:val="22"/>
                          <w:lang w:val="es-ES_tradnl"/>
                        </w:rPr>
                        <w:t>326-21</w:t>
                      </w:r>
                      <w:r w:rsidR="00246D1F" w:rsidRPr="004E2649">
                        <w:rPr>
                          <w:rFonts w:asciiTheme="majorHAnsi" w:hAnsiTheme="majorHAnsi" w:cs="Arial"/>
                          <w:b/>
                          <w:color w:val="0D0D0D" w:themeColor="text1" w:themeTint="F2"/>
                          <w:sz w:val="36"/>
                          <w:szCs w:val="22"/>
                          <w:lang w:val="es-ES_tradnl"/>
                        </w:rPr>
                        <w:t xml:space="preserve"> </w:t>
                      </w:r>
                    </w:p>
                    <w:p w14:paraId="188B4303" w14:textId="379D5C2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21C1DE4" w:rsidR="005B52B0" w:rsidRPr="0010736F" w:rsidRDefault="00BE2E8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w:t>
                      </w:r>
                      <w:r w:rsidR="00EB7EA6">
                        <w:rPr>
                          <w:rFonts w:asciiTheme="majorHAnsi" w:hAnsiTheme="majorHAnsi" w:cs="Arial"/>
                          <w:color w:val="0D0D0D" w:themeColor="text1" w:themeTint="F2"/>
                          <w:szCs w:val="22"/>
                          <w:lang w:val="es-ES_tradnl"/>
                        </w:rPr>
                        <w:t>.</w:t>
                      </w:r>
                      <w:r>
                        <w:rPr>
                          <w:rFonts w:asciiTheme="majorHAnsi" w:hAnsiTheme="majorHAnsi" w:cs="Arial"/>
                          <w:color w:val="0D0D0D" w:themeColor="text1" w:themeTint="F2"/>
                          <w:szCs w:val="22"/>
                          <w:lang w:val="es-ES_tradnl"/>
                        </w:rPr>
                        <w:t xml:space="preserve"> </w:t>
                      </w:r>
                      <w:r w:rsidR="00002AF5">
                        <w:rPr>
                          <w:rFonts w:asciiTheme="majorHAnsi" w:hAnsiTheme="majorHAnsi" w:cs="Arial"/>
                          <w:color w:val="0D0D0D" w:themeColor="text1" w:themeTint="F2"/>
                          <w:szCs w:val="22"/>
                          <w:lang w:val="es-ES_tradnl"/>
                        </w:rPr>
                        <w:t>Z</w:t>
                      </w:r>
                      <w:r w:rsidR="00EB7EA6">
                        <w:rPr>
                          <w:rFonts w:asciiTheme="majorHAnsi" w:hAnsiTheme="majorHAnsi" w:cs="Arial"/>
                          <w:color w:val="0D0D0D" w:themeColor="text1" w:themeTint="F2"/>
                          <w:szCs w:val="22"/>
                          <w:lang w:val="es-ES_tradnl"/>
                        </w:rPr>
                        <w:t>.</w:t>
                      </w:r>
                      <w:r w:rsidR="00002AF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M</w:t>
                      </w:r>
                      <w:r w:rsidR="00EB7EA6">
                        <w:rPr>
                          <w:rFonts w:asciiTheme="majorHAnsi" w:hAnsiTheme="majorHAnsi" w:cs="Arial"/>
                          <w:color w:val="0D0D0D" w:themeColor="text1" w:themeTint="F2"/>
                          <w:szCs w:val="22"/>
                          <w:lang w:val="es-ES_tradnl"/>
                        </w:rPr>
                        <w:t>.</w:t>
                      </w:r>
                      <w:r>
                        <w:rPr>
                          <w:rFonts w:asciiTheme="majorHAnsi" w:hAnsiTheme="majorHAnsi" w:cs="Arial"/>
                          <w:color w:val="0D0D0D" w:themeColor="text1" w:themeTint="F2"/>
                          <w:szCs w:val="22"/>
                          <w:lang w:val="es-ES_tradnl"/>
                        </w:rPr>
                        <w:t xml:space="preserve"> Y OTRAS</w:t>
                      </w:r>
                    </w:p>
                    <w:bookmarkEnd w:id="1"/>
                    <w:p w14:paraId="0B9F7D22" w14:textId="455B171E" w:rsidR="005B52B0" w:rsidRPr="00F56ECB" w:rsidRDefault="00BE2E8E"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CE363C4" w:rsidR="00627C9F" w:rsidRPr="00C83624" w:rsidRDefault="00834D49" w:rsidP="007A5817">
                            <w:pPr>
                              <w:spacing w:line="276" w:lineRule="auto"/>
                              <w:jc w:val="right"/>
                              <w:rPr>
                                <w:rFonts w:asciiTheme="minorHAnsi" w:hAnsiTheme="minorHAnsi"/>
                                <w:color w:val="FFFFFF" w:themeColor="background1"/>
                                <w:sz w:val="22"/>
                                <w:lang w:val="es-ES"/>
                              </w:rPr>
                            </w:pPr>
                            <w:r w:rsidRPr="00C83624">
                              <w:rPr>
                                <w:rFonts w:asciiTheme="minorHAnsi" w:hAnsiTheme="minorHAnsi"/>
                                <w:color w:val="FFFFFF" w:themeColor="background1"/>
                                <w:sz w:val="22"/>
                                <w:lang w:val="es-ES"/>
                              </w:rPr>
                              <w:t>OEA/Ser.L/V/II</w:t>
                            </w:r>
                          </w:p>
                          <w:p w14:paraId="71D2D5D2" w14:textId="5DCAA01B" w:rsidR="00627C9F" w:rsidRPr="00C83624" w:rsidRDefault="00627C9F" w:rsidP="007A5817">
                            <w:pPr>
                              <w:spacing w:line="276" w:lineRule="auto"/>
                              <w:jc w:val="right"/>
                              <w:rPr>
                                <w:rFonts w:asciiTheme="minorHAnsi" w:hAnsiTheme="minorHAnsi"/>
                                <w:color w:val="FFFFFF" w:themeColor="background1"/>
                                <w:sz w:val="22"/>
                                <w:lang w:val="es-ES"/>
                              </w:rPr>
                            </w:pPr>
                            <w:r w:rsidRPr="00C83624">
                              <w:rPr>
                                <w:rFonts w:asciiTheme="minorHAnsi" w:hAnsiTheme="minorHAnsi"/>
                                <w:color w:val="FFFFFF" w:themeColor="background1"/>
                                <w:sz w:val="22"/>
                                <w:lang w:val="es-ES"/>
                              </w:rPr>
                              <w:t xml:space="preserve">Doc. </w:t>
                            </w:r>
                            <w:r w:rsidR="00ED5941" w:rsidRPr="00C83624">
                              <w:rPr>
                                <w:rFonts w:asciiTheme="minorHAnsi" w:hAnsiTheme="minorHAnsi"/>
                                <w:color w:val="FFFFFF" w:themeColor="background1"/>
                                <w:sz w:val="22"/>
                                <w:lang w:val="es-ES"/>
                              </w:rPr>
                              <w:t>70</w:t>
                            </w:r>
                          </w:p>
                          <w:p w14:paraId="4061DBBD" w14:textId="6085B063" w:rsidR="00627C9F" w:rsidRPr="00C25ADB" w:rsidRDefault="00ED594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5CE363C4" w:rsidR="00627C9F" w:rsidRPr="00C83624" w:rsidRDefault="00834D49" w:rsidP="007A5817">
                      <w:pPr>
                        <w:spacing w:line="276" w:lineRule="auto"/>
                        <w:jc w:val="right"/>
                        <w:rPr>
                          <w:rFonts w:asciiTheme="minorHAnsi" w:hAnsiTheme="minorHAnsi"/>
                          <w:color w:val="FFFFFF" w:themeColor="background1"/>
                          <w:sz w:val="22"/>
                          <w:lang w:val="es-ES"/>
                        </w:rPr>
                      </w:pPr>
                      <w:r w:rsidRPr="00C83624">
                        <w:rPr>
                          <w:rFonts w:asciiTheme="minorHAnsi" w:hAnsiTheme="minorHAnsi"/>
                          <w:color w:val="FFFFFF" w:themeColor="background1"/>
                          <w:sz w:val="22"/>
                          <w:lang w:val="es-ES"/>
                        </w:rPr>
                        <w:t>OEA/Ser.L/V/II</w:t>
                      </w:r>
                    </w:p>
                    <w:p w14:paraId="71D2D5D2" w14:textId="5DCAA01B" w:rsidR="00627C9F" w:rsidRPr="00C83624" w:rsidRDefault="00627C9F" w:rsidP="007A5817">
                      <w:pPr>
                        <w:spacing w:line="276" w:lineRule="auto"/>
                        <w:jc w:val="right"/>
                        <w:rPr>
                          <w:rFonts w:asciiTheme="minorHAnsi" w:hAnsiTheme="minorHAnsi"/>
                          <w:color w:val="FFFFFF" w:themeColor="background1"/>
                          <w:sz w:val="22"/>
                          <w:lang w:val="es-ES"/>
                        </w:rPr>
                      </w:pPr>
                      <w:r w:rsidRPr="00C83624">
                        <w:rPr>
                          <w:rFonts w:asciiTheme="minorHAnsi" w:hAnsiTheme="minorHAnsi"/>
                          <w:color w:val="FFFFFF" w:themeColor="background1"/>
                          <w:sz w:val="22"/>
                          <w:lang w:val="es-ES"/>
                        </w:rPr>
                        <w:t xml:space="preserve">Doc. </w:t>
                      </w:r>
                      <w:r w:rsidR="00ED5941" w:rsidRPr="00C83624">
                        <w:rPr>
                          <w:rFonts w:asciiTheme="minorHAnsi" w:hAnsiTheme="minorHAnsi"/>
                          <w:color w:val="FFFFFF" w:themeColor="background1"/>
                          <w:sz w:val="22"/>
                          <w:lang w:val="es-ES"/>
                        </w:rPr>
                        <w:t>70</w:t>
                      </w:r>
                    </w:p>
                    <w:p w14:paraId="4061DBBD" w14:textId="6085B063" w:rsidR="00627C9F" w:rsidRPr="00C25ADB" w:rsidRDefault="00ED594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589339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D5941">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ED5941">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ED594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589339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D5941">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ED5941">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ED594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A114D" w14:textId="77777777" w:rsidR="00ED594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D5941">
                              <w:rPr>
                                <w:rFonts w:asciiTheme="majorHAnsi" w:hAnsiTheme="majorHAnsi"/>
                                <w:color w:val="595959" w:themeColor="text1" w:themeTint="A6"/>
                                <w:sz w:val="18"/>
                                <w:szCs w:val="18"/>
                                <w:lang w:val="pt-BR"/>
                              </w:rPr>
                              <w:t>67</w:t>
                            </w:r>
                            <w:r w:rsidR="007B05C4" w:rsidRPr="00ED5941">
                              <w:rPr>
                                <w:rFonts w:asciiTheme="majorHAnsi" w:hAnsiTheme="majorHAnsi"/>
                                <w:color w:val="595959" w:themeColor="text1" w:themeTint="A6"/>
                                <w:sz w:val="18"/>
                                <w:szCs w:val="18"/>
                                <w:lang w:val="pt-BR"/>
                              </w:rPr>
                              <w:t>/</w:t>
                            </w:r>
                            <w:r w:rsidR="00ED5941" w:rsidRPr="00ED5941">
                              <w:rPr>
                                <w:rFonts w:asciiTheme="majorHAnsi" w:hAnsiTheme="majorHAnsi"/>
                                <w:color w:val="595959" w:themeColor="text1" w:themeTint="A6"/>
                                <w:sz w:val="18"/>
                                <w:szCs w:val="18"/>
                                <w:lang w:val="pt-BR"/>
                              </w:rPr>
                              <w:t>24</w:t>
                            </w:r>
                            <w:r w:rsidRPr="00ED594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E2E8E">
                              <w:rPr>
                                <w:rFonts w:asciiTheme="majorHAnsi" w:hAnsiTheme="majorHAnsi"/>
                                <w:color w:val="595959" w:themeColor="text1" w:themeTint="A6"/>
                                <w:sz w:val="18"/>
                                <w:szCs w:val="18"/>
                                <w:lang w:val="es-ES"/>
                              </w:rPr>
                              <w:t>326-21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142C8FF1" w:rsidR="00113F73" w:rsidRPr="007B05C4" w:rsidRDefault="00BE2E8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w:t>
                            </w:r>
                            <w:r w:rsidR="00EB7EA6">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Z</w:t>
                            </w:r>
                            <w:r w:rsidR="00EB7EA6">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w:t>
                            </w:r>
                            <w:r w:rsidR="00EB7EA6">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y otras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ED5941">
                              <w:rPr>
                                <w:rFonts w:asciiTheme="majorHAnsi" w:hAnsiTheme="majorHAnsi"/>
                                <w:color w:val="595959" w:themeColor="text1" w:themeTint="A6"/>
                                <w:sz w:val="18"/>
                                <w:szCs w:val="18"/>
                                <w:lang w:val="es-ES"/>
                              </w:rPr>
                              <w:t>8 de mayo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B5A114D" w14:textId="77777777" w:rsidR="00ED594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D5941">
                        <w:rPr>
                          <w:rFonts w:asciiTheme="majorHAnsi" w:hAnsiTheme="majorHAnsi"/>
                          <w:color w:val="595959" w:themeColor="text1" w:themeTint="A6"/>
                          <w:sz w:val="18"/>
                          <w:szCs w:val="18"/>
                          <w:lang w:val="pt-BR"/>
                        </w:rPr>
                        <w:t>67</w:t>
                      </w:r>
                      <w:r w:rsidR="007B05C4" w:rsidRPr="00ED5941">
                        <w:rPr>
                          <w:rFonts w:asciiTheme="majorHAnsi" w:hAnsiTheme="majorHAnsi"/>
                          <w:color w:val="595959" w:themeColor="text1" w:themeTint="A6"/>
                          <w:sz w:val="18"/>
                          <w:szCs w:val="18"/>
                          <w:lang w:val="pt-BR"/>
                        </w:rPr>
                        <w:t>/</w:t>
                      </w:r>
                      <w:r w:rsidR="00ED5941" w:rsidRPr="00ED5941">
                        <w:rPr>
                          <w:rFonts w:asciiTheme="majorHAnsi" w:hAnsiTheme="majorHAnsi"/>
                          <w:color w:val="595959" w:themeColor="text1" w:themeTint="A6"/>
                          <w:sz w:val="18"/>
                          <w:szCs w:val="18"/>
                          <w:lang w:val="pt-BR"/>
                        </w:rPr>
                        <w:t>24</w:t>
                      </w:r>
                      <w:r w:rsidRPr="00ED594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E2E8E">
                        <w:rPr>
                          <w:rFonts w:asciiTheme="majorHAnsi" w:hAnsiTheme="majorHAnsi"/>
                          <w:color w:val="595959" w:themeColor="text1" w:themeTint="A6"/>
                          <w:sz w:val="18"/>
                          <w:szCs w:val="18"/>
                          <w:lang w:val="es-ES"/>
                        </w:rPr>
                        <w:t>326-21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142C8FF1" w:rsidR="00113F73" w:rsidRPr="007B05C4" w:rsidRDefault="00BE2E8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w:t>
                      </w:r>
                      <w:r w:rsidR="00EB7EA6">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Z</w:t>
                      </w:r>
                      <w:r w:rsidR="00EB7EA6">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w:t>
                      </w:r>
                      <w:r w:rsidR="00EB7EA6">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y otras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ED5941">
                        <w:rPr>
                          <w:rFonts w:asciiTheme="majorHAnsi" w:hAnsiTheme="majorHAnsi"/>
                          <w:color w:val="595959" w:themeColor="text1" w:themeTint="A6"/>
                          <w:sz w:val="18"/>
                          <w:szCs w:val="18"/>
                          <w:lang w:val="es-ES"/>
                        </w:rPr>
                        <w:t>8 de mayo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5F1760A5" w:rsidR="003239B8" w:rsidRPr="00547797" w:rsidRDefault="004431F5" w:rsidP="008D2290">
            <w:pPr>
              <w:jc w:val="both"/>
              <w:rPr>
                <w:rFonts w:asciiTheme="majorHAnsi" w:hAnsiTheme="majorHAnsi"/>
                <w:bCs/>
                <w:sz w:val="20"/>
                <w:szCs w:val="20"/>
              </w:rPr>
            </w:pPr>
            <w:r>
              <w:rPr>
                <w:rFonts w:asciiTheme="majorHAnsi" w:hAnsiTheme="majorHAnsi"/>
                <w:bCs/>
                <w:sz w:val="20"/>
                <w:szCs w:val="20"/>
              </w:rPr>
              <w:t xml:space="preserve">Bufete </w:t>
            </w:r>
            <w:r w:rsidR="00AA441F">
              <w:rPr>
                <w:rFonts w:asciiTheme="majorHAnsi" w:hAnsiTheme="majorHAnsi"/>
                <w:bCs/>
                <w:sz w:val="20"/>
                <w:szCs w:val="20"/>
              </w:rPr>
              <w:t>Ramírez &amp; Asociados</w:t>
            </w:r>
          </w:p>
        </w:tc>
      </w:tr>
      <w:tr w:rsidR="003239B8" w:rsidRPr="000C606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4F3754"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02E14CB1" w:rsidR="003239B8" w:rsidRPr="00C0468C" w:rsidRDefault="00263A51" w:rsidP="008D2290">
            <w:pPr>
              <w:jc w:val="both"/>
              <w:rPr>
                <w:rFonts w:asciiTheme="majorHAnsi" w:hAnsiTheme="majorHAnsi"/>
                <w:bCs/>
                <w:sz w:val="20"/>
                <w:szCs w:val="20"/>
                <w:lang w:val="es-CO"/>
              </w:rPr>
            </w:pPr>
            <w:r w:rsidRPr="00C0468C">
              <w:rPr>
                <w:rFonts w:asciiTheme="majorHAnsi" w:hAnsiTheme="majorHAnsi"/>
                <w:bCs/>
                <w:sz w:val="20"/>
                <w:szCs w:val="20"/>
                <w:lang w:val="es-CO"/>
              </w:rPr>
              <w:t>M</w:t>
            </w:r>
            <w:r w:rsidR="00766147">
              <w:rPr>
                <w:rFonts w:asciiTheme="majorHAnsi" w:hAnsiTheme="majorHAnsi"/>
                <w:bCs/>
                <w:sz w:val="20"/>
                <w:szCs w:val="20"/>
                <w:lang w:val="es-CO"/>
              </w:rPr>
              <w:t>.</w:t>
            </w:r>
            <w:r w:rsidRPr="00C0468C">
              <w:rPr>
                <w:rFonts w:asciiTheme="majorHAnsi" w:hAnsiTheme="majorHAnsi"/>
                <w:bCs/>
                <w:sz w:val="20"/>
                <w:szCs w:val="20"/>
                <w:lang w:val="es-CO"/>
              </w:rPr>
              <w:t xml:space="preserve"> Z</w:t>
            </w:r>
            <w:r w:rsidR="00766147">
              <w:rPr>
                <w:rFonts w:asciiTheme="majorHAnsi" w:hAnsiTheme="majorHAnsi"/>
                <w:bCs/>
                <w:sz w:val="20"/>
                <w:szCs w:val="20"/>
                <w:lang w:val="es-CO"/>
              </w:rPr>
              <w:t>.</w:t>
            </w:r>
            <w:r w:rsidRPr="00C0468C">
              <w:rPr>
                <w:rFonts w:asciiTheme="majorHAnsi" w:hAnsiTheme="majorHAnsi"/>
                <w:bCs/>
                <w:sz w:val="20"/>
                <w:szCs w:val="20"/>
                <w:lang w:val="es-CO"/>
              </w:rPr>
              <w:t xml:space="preserve"> M</w:t>
            </w:r>
            <w:r w:rsidR="00766147">
              <w:rPr>
                <w:rFonts w:asciiTheme="majorHAnsi" w:hAnsiTheme="majorHAnsi"/>
                <w:bCs/>
                <w:sz w:val="20"/>
                <w:szCs w:val="20"/>
                <w:lang w:val="es-CO"/>
              </w:rPr>
              <w:t>. y otras</w:t>
            </w:r>
            <w:r w:rsidR="00C0468C">
              <w:rPr>
                <w:rStyle w:val="FootnoteReference"/>
                <w:rFonts w:asciiTheme="majorHAnsi" w:hAnsiTheme="majorHAnsi"/>
                <w:sz w:val="20"/>
                <w:szCs w:val="20"/>
                <w:lang w:val="es-CO"/>
              </w:rPr>
              <w:footnoteReference w:id="2"/>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2DD124A8" w:rsidR="003239B8" w:rsidRPr="00547797" w:rsidRDefault="00C85A36" w:rsidP="008D2290">
            <w:pPr>
              <w:jc w:val="both"/>
              <w:rPr>
                <w:rFonts w:asciiTheme="majorHAnsi" w:hAnsiTheme="majorHAnsi"/>
                <w:bCs/>
                <w:sz w:val="20"/>
                <w:szCs w:val="20"/>
              </w:rPr>
            </w:pPr>
            <w:r>
              <w:rPr>
                <w:rFonts w:asciiTheme="majorHAnsi" w:hAnsiTheme="majorHAnsi"/>
                <w:bCs/>
                <w:sz w:val="20"/>
                <w:szCs w:val="20"/>
              </w:rPr>
              <w:t>Costa Rica</w:t>
            </w:r>
          </w:p>
        </w:tc>
      </w:tr>
      <w:tr w:rsidR="00223A29" w:rsidRPr="0019343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32A14361" w:rsidR="00223A29" w:rsidRPr="00531A87" w:rsidRDefault="00FE0049" w:rsidP="008D2290">
            <w:pPr>
              <w:jc w:val="both"/>
              <w:rPr>
                <w:rFonts w:asciiTheme="majorHAnsi" w:hAnsiTheme="majorHAnsi"/>
                <w:bCs/>
                <w:sz w:val="20"/>
                <w:szCs w:val="20"/>
                <w:lang w:val="es-CO"/>
              </w:rPr>
            </w:pPr>
            <w:r w:rsidRPr="00531A87">
              <w:rPr>
                <w:rFonts w:asciiTheme="majorHAnsi" w:hAnsiTheme="majorHAnsi"/>
                <w:bCs/>
                <w:sz w:val="20"/>
                <w:szCs w:val="20"/>
                <w:lang w:val="es-CO"/>
              </w:rPr>
              <w:t>Artículos 4 (vida), 8 (garantías judiciales)</w:t>
            </w:r>
            <w:r w:rsidR="00531A87" w:rsidRPr="00531A87">
              <w:rPr>
                <w:rFonts w:asciiTheme="majorHAnsi" w:hAnsiTheme="majorHAnsi"/>
                <w:bCs/>
                <w:sz w:val="20"/>
                <w:szCs w:val="20"/>
                <w:lang w:val="es-CO"/>
              </w:rPr>
              <w:t>, 24 (ig</w:t>
            </w:r>
            <w:r w:rsidR="00531A87">
              <w:rPr>
                <w:rFonts w:asciiTheme="majorHAnsi" w:hAnsiTheme="majorHAnsi"/>
                <w:bCs/>
                <w:sz w:val="20"/>
                <w:szCs w:val="20"/>
                <w:lang w:val="es-CO"/>
              </w:rPr>
              <w:t>ualdad ante la ley) y 25 (protección judicial)</w:t>
            </w:r>
            <w:r w:rsidR="00DB6BA3">
              <w:rPr>
                <w:rFonts w:ascii="Cambria" w:hAnsi="Cambria"/>
                <w:bCs/>
                <w:sz w:val="20"/>
                <w:szCs w:val="20"/>
                <w:lang w:val="es-CO"/>
              </w:rPr>
              <w:t xml:space="preserve"> de la Convención Americana sobre Derechos Humanos</w:t>
            </w:r>
            <w:r w:rsidR="00DB6BA3">
              <w:rPr>
                <w:rStyle w:val="FootnoteReference"/>
                <w:rFonts w:ascii="Cambria" w:hAnsi="Cambria"/>
                <w:bCs/>
                <w:sz w:val="20"/>
                <w:szCs w:val="20"/>
                <w:lang w:val="es-CO"/>
              </w:rPr>
              <w:footnoteReference w:id="3"/>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471A4503" w:rsidR="004C2312" w:rsidRPr="00547797" w:rsidRDefault="00AA441F" w:rsidP="002625EA">
            <w:pPr>
              <w:jc w:val="both"/>
              <w:rPr>
                <w:rFonts w:asciiTheme="majorHAnsi" w:hAnsiTheme="majorHAnsi"/>
                <w:bCs/>
                <w:sz w:val="20"/>
                <w:szCs w:val="20"/>
                <w:lang w:val="es-ES"/>
              </w:rPr>
            </w:pPr>
            <w:r>
              <w:rPr>
                <w:rFonts w:asciiTheme="majorHAnsi" w:hAnsiTheme="majorHAnsi"/>
                <w:bCs/>
                <w:sz w:val="20"/>
                <w:szCs w:val="20"/>
                <w:lang w:val="es-ES"/>
              </w:rPr>
              <w:t>18 de febrero de 2021</w:t>
            </w:r>
          </w:p>
        </w:tc>
      </w:tr>
      <w:tr w:rsidR="00131425" w:rsidRPr="00193437"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46364B4C" w:rsidR="00FE057E" w:rsidRPr="00547797" w:rsidRDefault="00DB4376" w:rsidP="00B2639B">
            <w:pPr>
              <w:jc w:val="both"/>
              <w:rPr>
                <w:rFonts w:asciiTheme="majorHAnsi" w:hAnsiTheme="majorHAnsi"/>
                <w:bCs/>
                <w:sz w:val="20"/>
                <w:szCs w:val="20"/>
                <w:lang w:val="es-ES"/>
              </w:rPr>
            </w:pPr>
            <w:r>
              <w:rPr>
                <w:rFonts w:asciiTheme="majorHAnsi" w:hAnsiTheme="majorHAnsi"/>
                <w:bCs/>
                <w:sz w:val="20"/>
                <w:szCs w:val="20"/>
                <w:lang w:val="es-ES"/>
              </w:rPr>
              <w:t xml:space="preserve">29 de marzo de 2021, </w:t>
            </w:r>
            <w:r w:rsidR="005658FF">
              <w:rPr>
                <w:rFonts w:asciiTheme="majorHAnsi" w:hAnsiTheme="majorHAnsi"/>
                <w:bCs/>
                <w:sz w:val="20"/>
                <w:szCs w:val="20"/>
                <w:lang w:val="es-ES"/>
              </w:rPr>
              <w:t>23 de abril de 2021</w:t>
            </w:r>
            <w:r w:rsidR="00DC776D">
              <w:rPr>
                <w:rFonts w:asciiTheme="majorHAnsi" w:hAnsiTheme="majorHAnsi"/>
                <w:bCs/>
                <w:sz w:val="20"/>
                <w:szCs w:val="20"/>
                <w:lang w:val="es-ES"/>
              </w:rPr>
              <w:t>, 26 de abril de 2021</w:t>
            </w:r>
            <w:r w:rsidR="00B2639B">
              <w:rPr>
                <w:rFonts w:asciiTheme="majorHAnsi" w:hAnsiTheme="majorHAnsi"/>
                <w:bCs/>
                <w:sz w:val="20"/>
                <w:szCs w:val="20"/>
                <w:lang w:val="es-ES"/>
              </w:rPr>
              <w:t xml:space="preserve"> y</w:t>
            </w:r>
            <w:r w:rsidR="004D1BF5">
              <w:rPr>
                <w:rFonts w:asciiTheme="majorHAnsi" w:hAnsiTheme="majorHAnsi"/>
                <w:bCs/>
                <w:sz w:val="20"/>
                <w:szCs w:val="20"/>
                <w:lang w:val="es-ES"/>
              </w:rPr>
              <w:t xml:space="preserve"> 12 de abril de 2023</w:t>
            </w:r>
          </w:p>
        </w:tc>
      </w:tr>
      <w:tr w:rsidR="004C2312" w:rsidRPr="0034726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4337BA43" w:rsidR="004C2312" w:rsidRPr="00547797" w:rsidRDefault="00B2639B" w:rsidP="008D2290">
            <w:pPr>
              <w:jc w:val="both"/>
              <w:rPr>
                <w:rFonts w:asciiTheme="majorHAnsi" w:hAnsiTheme="majorHAnsi"/>
                <w:bCs/>
                <w:sz w:val="20"/>
                <w:szCs w:val="20"/>
                <w:lang w:val="es-ES"/>
              </w:rPr>
            </w:pPr>
            <w:r>
              <w:rPr>
                <w:rFonts w:asciiTheme="majorHAnsi" w:hAnsiTheme="majorHAnsi"/>
                <w:bCs/>
                <w:sz w:val="20"/>
                <w:szCs w:val="20"/>
                <w:lang w:val="es-ES"/>
              </w:rPr>
              <w:t>5 de julio de 2023</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5BC9AC59" w:rsidR="004C2312" w:rsidRPr="00547797" w:rsidRDefault="009E6FE1" w:rsidP="004A6A54">
            <w:pPr>
              <w:jc w:val="center"/>
              <w:rPr>
                <w:rFonts w:asciiTheme="majorHAnsi" w:hAnsiTheme="majorHAnsi"/>
                <w:b/>
                <w:bCs/>
                <w:color w:val="FFFFFF" w:themeColor="background1"/>
                <w:sz w:val="20"/>
                <w:szCs w:val="20"/>
                <w:lang w:val="es-ES"/>
              </w:rPr>
            </w:pPr>
            <w:r>
              <w:rPr>
                <w:rFonts w:asciiTheme="majorHAnsi" w:hAnsiTheme="majorHAnsi"/>
                <w:b/>
                <w:color w:val="FFFFFF" w:themeColor="background1"/>
                <w:sz w:val="20"/>
                <w:szCs w:val="20"/>
                <w:lang w:val="es-ES"/>
              </w:rPr>
              <w:t>R</w:t>
            </w:r>
            <w:r w:rsidR="004C2312" w:rsidRPr="00547797">
              <w:rPr>
                <w:rFonts w:asciiTheme="majorHAnsi" w:hAnsiTheme="majorHAnsi"/>
                <w:b/>
                <w:color w:val="FFFFFF" w:themeColor="background1"/>
                <w:sz w:val="20"/>
                <w:szCs w:val="20"/>
                <w:lang w:val="es-ES"/>
              </w:rPr>
              <w:t>espuesta del Estado:</w:t>
            </w:r>
          </w:p>
        </w:tc>
        <w:tc>
          <w:tcPr>
            <w:tcW w:w="5647" w:type="dxa"/>
            <w:vAlign w:val="center"/>
          </w:tcPr>
          <w:p w14:paraId="6B47064C" w14:textId="44CD8482" w:rsidR="004C2312" w:rsidRPr="00547797" w:rsidRDefault="00056DEC" w:rsidP="008D2290">
            <w:pPr>
              <w:jc w:val="both"/>
              <w:rPr>
                <w:rFonts w:asciiTheme="majorHAnsi" w:hAnsiTheme="majorHAnsi"/>
                <w:bCs/>
                <w:sz w:val="20"/>
                <w:szCs w:val="20"/>
                <w:lang w:val="es-ES"/>
              </w:rPr>
            </w:pPr>
            <w:r>
              <w:rPr>
                <w:rFonts w:asciiTheme="majorHAnsi" w:hAnsiTheme="majorHAnsi"/>
                <w:bCs/>
                <w:sz w:val="20"/>
                <w:szCs w:val="20"/>
                <w:lang w:val="es-ES"/>
              </w:rPr>
              <w:t>5 de octubre de 2023</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5122AC4E" w:rsidR="003239B8" w:rsidRPr="00547797" w:rsidRDefault="004721A2"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3C07577B" w:rsidR="003239B8" w:rsidRPr="00547797" w:rsidRDefault="004721A2"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1009DEE8" w:rsidR="003239B8" w:rsidRPr="00547797" w:rsidRDefault="004721A2" w:rsidP="008D2290">
            <w:pPr>
              <w:rPr>
                <w:rFonts w:asciiTheme="majorHAnsi" w:hAnsiTheme="majorHAnsi"/>
                <w:bCs/>
                <w:sz w:val="20"/>
                <w:szCs w:val="20"/>
              </w:rPr>
            </w:pPr>
            <w:r>
              <w:rPr>
                <w:rFonts w:asciiTheme="majorHAnsi" w:hAnsiTheme="majorHAnsi"/>
                <w:bCs/>
                <w:sz w:val="20"/>
                <w:szCs w:val="20"/>
              </w:rPr>
              <w:t>Sí</w:t>
            </w:r>
          </w:p>
        </w:tc>
      </w:tr>
      <w:tr w:rsidR="003239B8" w:rsidRPr="0019343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216C1AFD" w:rsidR="003239B8" w:rsidRPr="00547797" w:rsidRDefault="004721A2" w:rsidP="008D2290">
            <w:pPr>
              <w:jc w:val="both"/>
              <w:rPr>
                <w:rFonts w:asciiTheme="majorHAnsi" w:hAnsiTheme="majorHAnsi"/>
                <w:bCs/>
                <w:sz w:val="20"/>
                <w:szCs w:val="20"/>
                <w:lang w:val="es-ES"/>
              </w:rPr>
            </w:pPr>
            <w:r w:rsidRPr="004721A2">
              <w:rPr>
                <w:rFonts w:asciiTheme="majorHAnsi" w:hAnsiTheme="majorHAnsi"/>
                <w:bCs/>
                <w:sz w:val="20"/>
                <w:szCs w:val="20"/>
                <w:lang w:val="es-ES"/>
              </w:rPr>
              <w:t>Sí, Convención Americana (depósito del instrumento de ratificación realizado el 4 de agosto de 1970)</w:t>
            </w:r>
            <w:r w:rsidR="008A2751">
              <w:rPr>
                <w:rFonts w:asciiTheme="majorHAnsi" w:hAnsiTheme="majorHAnsi"/>
                <w:bCs/>
                <w:sz w:val="20"/>
                <w:szCs w:val="20"/>
                <w:lang w:val="es-ES"/>
              </w:rPr>
              <w:t>;</w:t>
            </w:r>
            <w:r w:rsidR="00BB3493">
              <w:rPr>
                <w:rFonts w:asciiTheme="majorHAnsi" w:hAnsiTheme="majorHAnsi"/>
                <w:bCs/>
                <w:sz w:val="20"/>
                <w:szCs w:val="20"/>
                <w:lang w:val="es-ES"/>
              </w:rPr>
              <w:t xml:space="preserve"> Convención Interamericana para Prevenir y Sancionar la Tortura (depósito del instrumento de ratificación realizado el </w:t>
            </w:r>
            <w:r w:rsidR="008A2751">
              <w:rPr>
                <w:rFonts w:asciiTheme="majorHAnsi" w:hAnsiTheme="majorHAnsi"/>
                <w:bCs/>
                <w:sz w:val="20"/>
                <w:szCs w:val="20"/>
                <w:lang w:val="es-ES"/>
              </w:rPr>
              <w:t xml:space="preserve">8 de febrero del 2000); y Convención Interamericana para </w:t>
            </w:r>
            <w:r w:rsidR="008618A1">
              <w:rPr>
                <w:rFonts w:asciiTheme="majorHAnsi" w:hAnsiTheme="majorHAnsi"/>
                <w:bCs/>
                <w:sz w:val="20"/>
                <w:szCs w:val="20"/>
                <w:lang w:val="es-ES"/>
              </w:rPr>
              <w:t>Prevenir, Sancionar y Erradicar la Violencia contra la Mujer</w:t>
            </w:r>
            <w:r w:rsidR="00874715">
              <w:rPr>
                <w:rStyle w:val="FootnoteReference"/>
                <w:rFonts w:asciiTheme="majorHAnsi" w:hAnsiTheme="majorHAnsi"/>
                <w:bCs/>
                <w:sz w:val="20"/>
                <w:szCs w:val="20"/>
                <w:lang w:val="es-ES"/>
              </w:rPr>
              <w:footnoteReference w:id="5"/>
            </w:r>
            <w:r w:rsidR="008618A1">
              <w:rPr>
                <w:rFonts w:asciiTheme="majorHAnsi" w:hAnsiTheme="majorHAnsi"/>
                <w:bCs/>
                <w:sz w:val="20"/>
                <w:szCs w:val="20"/>
                <w:lang w:val="es-ES"/>
              </w:rPr>
              <w:t xml:space="preserve"> (depósito del instrumento de ratificación realizado el </w:t>
            </w:r>
            <w:r w:rsidR="008618A1" w:rsidRPr="008618A1">
              <w:rPr>
                <w:rFonts w:asciiTheme="majorHAnsi" w:hAnsiTheme="majorHAnsi"/>
                <w:bCs/>
                <w:sz w:val="20"/>
                <w:szCs w:val="20"/>
                <w:lang w:val="es-ES"/>
              </w:rPr>
              <w:t>12</w:t>
            </w:r>
            <w:r w:rsidR="008618A1">
              <w:rPr>
                <w:rFonts w:asciiTheme="majorHAnsi" w:hAnsiTheme="majorHAnsi"/>
                <w:bCs/>
                <w:sz w:val="20"/>
                <w:szCs w:val="20"/>
                <w:lang w:val="es-ES"/>
              </w:rPr>
              <w:t xml:space="preserve"> de julio de 19</w:t>
            </w:r>
            <w:r w:rsidR="008618A1" w:rsidRPr="008618A1">
              <w:rPr>
                <w:rFonts w:asciiTheme="majorHAnsi" w:hAnsiTheme="majorHAnsi"/>
                <w:bCs/>
                <w:sz w:val="20"/>
                <w:szCs w:val="20"/>
                <w:lang w:val="es-ES"/>
              </w:rPr>
              <w:t>95</w:t>
            </w:r>
            <w:r w:rsidR="008618A1">
              <w:rPr>
                <w:rFonts w:asciiTheme="majorHAnsi" w:hAnsiTheme="majorHAnsi"/>
                <w:bCs/>
                <w:sz w:val="20"/>
                <w:szCs w:val="20"/>
                <w:lang w:val="es-ES"/>
              </w:rPr>
              <w:t>)</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34726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51D796C8" w:rsidR="00EE00E9" w:rsidRPr="00547797" w:rsidRDefault="00DB6BA3"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19343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35BA7CCF" w:rsidR="003239B8" w:rsidRPr="00DB6BA3" w:rsidRDefault="00DB6BA3" w:rsidP="008D2290">
            <w:pPr>
              <w:jc w:val="both"/>
              <w:rPr>
                <w:rFonts w:asciiTheme="majorHAnsi" w:hAnsiTheme="majorHAnsi"/>
                <w:bCs/>
                <w:sz w:val="20"/>
                <w:szCs w:val="20"/>
                <w:lang w:val="es-CO"/>
              </w:rPr>
            </w:pPr>
            <w:r w:rsidRPr="00DB6BA3">
              <w:rPr>
                <w:rFonts w:asciiTheme="majorHAnsi" w:hAnsiTheme="majorHAnsi"/>
                <w:bCs/>
                <w:sz w:val="20"/>
                <w:szCs w:val="20"/>
                <w:lang w:val="es-CO"/>
              </w:rPr>
              <w:t xml:space="preserve">Artículos </w:t>
            </w:r>
            <w:r w:rsidRPr="00531A87">
              <w:rPr>
                <w:rFonts w:asciiTheme="majorHAnsi" w:hAnsiTheme="majorHAnsi"/>
                <w:bCs/>
                <w:sz w:val="20"/>
                <w:szCs w:val="20"/>
                <w:lang w:val="es-CO"/>
              </w:rPr>
              <w:t xml:space="preserve">4 (vida), </w:t>
            </w:r>
            <w:r w:rsidR="00195B6E">
              <w:rPr>
                <w:rFonts w:asciiTheme="majorHAnsi" w:hAnsiTheme="majorHAnsi"/>
                <w:bCs/>
                <w:sz w:val="20"/>
                <w:szCs w:val="20"/>
                <w:lang w:val="es-CO"/>
              </w:rPr>
              <w:t xml:space="preserve">5 (integridad personal), </w:t>
            </w:r>
            <w:r w:rsidRPr="00531A87">
              <w:rPr>
                <w:rFonts w:asciiTheme="majorHAnsi" w:hAnsiTheme="majorHAnsi"/>
                <w:bCs/>
                <w:sz w:val="20"/>
                <w:szCs w:val="20"/>
                <w:lang w:val="es-CO"/>
              </w:rPr>
              <w:t>8 (garantías judiciales),</w:t>
            </w:r>
            <w:r w:rsidR="005D787C">
              <w:rPr>
                <w:rFonts w:asciiTheme="majorHAnsi" w:hAnsiTheme="majorHAnsi"/>
                <w:bCs/>
                <w:sz w:val="20"/>
                <w:szCs w:val="20"/>
                <w:lang w:val="es-CO"/>
              </w:rPr>
              <w:t xml:space="preserve"> 19 (derechos del niño)</w:t>
            </w:r>
            <w:r w:rsidR="00065D82">
              <w:rPr>
                <w:rFonts w:asciiTheme="majorHAnsi" w:hAnsiTheme="majorHAnsi"/>
                <w:bCs/>
                <w:sz w:val="20"/>
                <w:szCs w:val="20"/>
                <w:lang w:val="es-CO"/>
              </w:rPr>
              <w:t>,</w:t>
            </w:r>
            <w:r w:rsidRPr="00531A87">
              <w:rPr>
                <w:rFonts w:asciiTheme="majorHAnsi" w:hAnsiTheme="majorHAnsi"/>
                <w:bCs/>
                <w:sz w:val="20"/>
                <w:szCs w:val="20"/>
                <w:lang w:val="es-CO"/>
              </w:rPr>
              <w:t xml:space="preserve"> 24 (ig</w:t>
            </w:r>
            <w:r>
              <w:rPr>
                <w:rFonts w:asciiTheme="majorHAnsi" w:hAnsiTheme="majorHAnsi"/>
                <w:bCs/>
                <w:sz w:val="20"/>
                <w:szCs w:val="20"/>
                <w:lang w:val="es-CO"/>
              </w:rPr>
              <w:t>ualdad ante la ley) y 25 (protección judicial)</w:t>
            </w:r>
            <w:r>
              <w:rPr>
                <w:rFonts w:ascii="Cambria" w:hAnsi="Cambria"/>
                <w:bCs/>
                <w:sz w:val="20"/>
                <w:szCs w:val="20"/>
                <w:lang w:val="es-CO"/>
              </w:rPr>
              <w:t xml:space="preserve"> de la Convención Americana</w:t>
            </w:r>
            <w:r w:rsidR="00065D82">
              <w:rPr>
                <w:rFonts w:ascii="Cambria" w:hAnsi="Cambria"/>
                <w:bCs/>
                <w:sz w:val="20"/>
                <w:szCs w:val="20"/>
                <w:lang w:val="es-CO"/>
              </w:rPr>
              <w:t xml:space="preserve">; artículos 1, 6 y 8 de la Convención Interamericana para Prevenir y Sancionar la Tortura; y </w:t>
            </w:r>
            <w:r w:rsidR="000674FD">
              <w:rPr>
                <w:rFonts w:ascii="Cambria" w:hAnsi="Cambria"/>
                <w:bCs/>
                <w:sz w:val="20"/>
                <w:szCs w:val="20"/>
                <w:lang w:val="es-CO"/>
              </w:rPr>
              <w:t xml:space="preserve">el </w:t>
            </w:r>
            <w:r w:rsidR="00065D82">
              <w:rPr>
                <w:rFonts w:ascii="Cambria" w:hAnsi="Cambria"/>
                <w:bCs/>
                <w:sz w:val="20"/>
                <w:szCs w:val="20"/>
                <w:lang w:val="es-CO"/>
              </w:rPr>
              <w:t>artículo 7 de la Convención de Belém do Pará</w:t>
            </w:r>
          </w:p>
        </w:tc>
      </w:tr>
      <w:tr w:rsidR="003239B8" w:rsidRPr="0019343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4DA4F020" w:rsidR="003239B8" w:rsidRPr="00547797" w:rsidRDefault="00DB6BA3" w:rsidP="008D2290">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19343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08551865" w:rsidR="003239B8" w:rsidRPr="00DB6BA3" w:rsidRDefault="00DB6BA3" w:rsidP="008D2290">
            <w:pPr>
              <w:rPr>
                <w:rFonts w:asciiTheme="majorHAnsi" w:hAnsiTheme="majorHAnsi"/>
                <w:bCs/>
                <w:sz w:val="20"/>
                <w:szCs w:val="20"/>
                <w:lang w:val="es-CO"/>
              </w:rPr>
            </w:pPr>
            <w:r>
              <w:rPr>
                <w:rFonts w:asciiTheme="majorHAnsi" w:hAnsiTheme="majorHAnsi"/>
                <w:bCs/>
                <w:sz w:val="20"/>
                <w:szCs w:val="20"/>
                <w:lang w:val="es-ES"/>
              </w:rPr>
              <w:t>Sí, en los términos de la Sección VI</w:t>
            </w:r>
          </w:p>
        </w:tc>
      </w:tr>
    </w:tbl>
    <w:p w14:paraId="1C9DA322" w14:textId="77777777" w:rsidR="00C0140C" w:rsidRDefault="00C0140C" w:rsidP="003239B8">
      <w:pPr>
        <w:spacing w:before="240" w:after="240"/>
        <w:ind w:firstLine="720"/>
        <w:jc w:val="both"/>
        <w:rPr>
          <w:rFonts w:asciiTheme="majorHAnsi" w:hAnsiTheme="majorHAnsi"/>
          <w:b/>
          <w:sz w:val="20"/>
          <w:szCs w:val="20"/>
          <w:lang w:val="es-UY"/>
        </w:rPr>
      </w:pPr>
    </w:p>
    <w:p w14:paraId="56FD5D57" w14:textId="421E39D6" w:rsidR="003239B8" w:rsidRPr="00B4143C" w:rsidRDefault="00223A29" w:rsidP="003239B8">
      <w:pPr>
        <w:spacing w:before="240" w:after="240"/>
        <w:ind w:firstLine="720"/>
        <w:jc w:val="both"/>
        <w:rPr>
          <w:rFonts w:asciiTheme="majorHAnsi" w:hAnsiTheme="majorHAnsi"/>
          <w:b/>
          <w:sz w:val="20"/>
          <w:szCs w:val="20"/>
          <w:lang w:val="es-ES"/>
        </w:rPr>
      </w:pPr>
      <w:r w:rsidRPr="00547797">
        <w:rPr>
          <w:rFonts w:asciiTheme="majorHAnsi" w:hAnsiTheme="majorHAnsi"/>
          <w:b/>
          <w:sz w:val="20"/>
          <w:szCs w:val="20"/>
          <w:lang w:val="es-UY"/>
        </w:rPr>
        <w:lastRenderedPageBreak/>
        <w:t xml:space="preserve">V. </w:t>
      </w:r>
      <w:r w:rsidRPr="00547797">
        <w:rPr>
          <w:rFonts w:asciiTheme="majorHAnsi" w:hAnsiTheme="majorHAnsi"/>
          <w:b/>
          <w:sz w:val="20"/>
          <w:szCs w:val="20"/>
          <w:lang w:val="es-UY"/>
        </w:rPr>
        <w:tab/>
      </w:r>
      <w:r w:rsidR="004241A0" w:rsidRPr="00B4143C">
        <w:rPr>
          <w:rFonts w:asciiTheme="majorHAnsi" w:hAnsiTheme="majorHAnsi"/>
          <w:b/>
          <w:sz w:val="20"/>
          <w:szCs w:val="20"/>
          <w:lang w:val="es-ES"/>
        </w:rPr>
        <w:t>POSICIÓN DE LAS PARTES</w:t>
      </w:r>
      <w:r w:rsidR="003239B8" w:rsidRPr="00B4143C">
        <w:rPr>
          <w:rFonts w:asciiTheme="majorHAnsi" w:hAnsiTheme="majorHAnsi"/>
          <w:b/>
          <w:sz w:val="20"/>
          <w:szCs w:val="20"/>
          <w:lang w:val="es-ES"/>
        </w:rPr>
        <w:t xml:space="preserve"> </w:t>
      </w:r>
    </w:p>
    <w:p w14:paraId="1F447933" w14:textId="76B51DE7" w:rsidR="005A43B2" w:rsidRPr="00B4143C" w:rsidRDefault="000C606E" w:rsidP="005A43B2">
      <w:pPr>
        <w:pStyle w:val="ListParagraph"/>
        <w:spacing w:before="240" w:after="240"/>
        <w:jc w:val="both"/>
        <w:rPr>
          <w:rFonts w:asciiTheme="majorHAnsi" w:hAnsiTheme="majorHAnsi"/>
          <w:bCs/>
          <w:i/>
          <w:iCs/>
          <w:sz w:val="20"/>
          <w:szCs w:val="20"/>
          <w:lang w:val="es-ES"/>
        </w:rPr>
      </w:pPr>
      <w:r w:rsidRPr="00B4143C">
        <w:rPr>
          <w:rFonts w:asciiTheme="majorHAnsi" w:hAnsiTheme="majorHAnsi"/>
          <w:bCs/>
          <w:i/>
          <w:iCs/>
          <w:sz w:val="20"/>
          <w:szCs w:val="20"/>
          <w:lang w:val="es-ES"/>
        </w:rPr>
        <w:t>La p</w:t>
      </w:r>
      <w:r w:rsidR="005A43B2" w:rsidRPr="00B4143C">
        <w:rPr>
          <w:rFonts w:asciiTheme="majorHAnsi" w:hAnsiTheme="majorHAnsi"/>
          <w:bCs/>
          <w:i/>
          <w:iCs/>
          <w:sz w:val="20"/>
          <w:szCs w:val="20"/>
          <w:lang w:val="es-ES"/>
        </w:rPr>
        <w:t>arte peticionaria</w:t>
      </w:r>
    </w:p>
    <w:p w14:paraId="56F97321" w14:textId="1F1ECFB2" w:rsidR="00444269" w:rsidRPr="00B4143C" w:rsidRDefault="00B57C95" w:rsidP="00444269">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bCs/>
          <w:sz w:val="20"/>
          <w:szCs w:val="20"/>
          <w:lang w:val="es-ES"/>
        </w:rPr>
        <w:t xml:space="preserve">La parte peticionaria alega la responsabilidad del Estado costarricense por la impunidad que rodea una masacre cometida en perjuicio de siete mujeres </w:t>
      </w:r>
      <w:r w:rsidR="00E56A76">
        <w:rPr>
          <w:rFonts w:asciiTheme="majorHAnsi" w:hAnsiTheme="majorHAnsi"/>
          <w:bCs/>
          <w:sz w:val="20"/>
          <w:szCs w:val="20"/>
          <w:lang w:val="es-ES"/>
        </w:rPr>
        <w:t>(una mayor de edad,</w:t>
      </w:r>
      <w:r w:rsidR="00CF4F18">
        <w:rPr>
          <w:rFonts w:asciiTheme="majorHAnsi" w:hAnsiTheme="majorHAnsi"/>
          <w:bCs/>
          <w:sz w:val="20"/>
          <w:szCs w:val="20"/>
          <w:lang w:val="es-ES"/>
        </w:rPr>
        <w:t xml:space="preserve"> dos adolescentes y </w:t>
      </w:r>
      <w:r w:rsidR="005A1F80">
        <w:rPr>
          <w:rFonts w:asciiTheme="majorHAnsi" w:hAnsiTheme="majorHAnsi"/>
          <w:bCs/>
          <w:sz w:val="20"/>
          <w:szCs w:val="20"/>
          <w:lang w:val="es-ES"/>
        </w:rPr>
        <w:t>cuatro</w:t>
      </w:r>
      <w:r w:rsidR="00CF4F18">
        <w:rPr>
          <w:rFonts w:asciiTheme="majorHAnsi" w:hAnsiTheme="majorHAnsi"/>
          <w:bCs/>
          <w:sz w:val="20"/>
          <w:szCs w:val="20"/>
          <w:lang w:val="es-ES"/>
        </w:rPr>
        <w:t xml:space="preserve"> niñas) </w:t>
      </w:r>
      <w:r w:rsidRPr="00B4143C">
        <w:rPr>
          <w:rFonts w:asciiTheme="majorHAnsi" w:hAnsiTheme="majorHAnsi"/>
          <w:bCs/>
          <w:sz w:val="20"/>
          <w:szCs w:val="20"/>
          <w:lang w:val="es-ES"/>
        </w:rPr>
        <w:t xml:space="preserve">el 6 de abril de 1986, </w:t>
      </w:r>
      <w:r w:rsidR="004B6880" w:rsidRPr="00B4143C">
        <w:rPr>
          <w:rFonts w:asciiTheme="majorHAnsi" w:hAnsiTheme="majorHAnsi"/>
          <w:bCs/>
          <w:sz w:val="20"/>
          <w:szCs w:val="20"/>
          <w:lang w:val="es-ES"/>
        </w:rPr>
        <w:t xml:space="preserve">como consecuencia de </w:t>
      </w:r>
      <w:r w:rsidRPr="00B4143C">
        <w:rPr>
          <w:rFonts w:asciiTheme="majorHAnsi" w:hAnsiTheme="majorHAnsi"/>
          <w:bCs/>
          <w:sz w:val="20"/>
          <w:szCs w:val="20"/>
          <w:lang w:val="es-ES"/>
        </w:rPr>
        <w:t>la inadecuada conducción de</w:t>
      </w:r>
      <w:r w:rsidR="00DE480D" w:rsidRPr="00B4143C">
        <w:rPr>
          <w:rFonts w:asciiTheme="majorHAnsi" w:hAnsiTheme="majorHAnsi"/>
          <w:bCs/>
          <w:sz w:val="20"/>
          <w:szCs w:val="20"/>
          <w:lang w:val="es-ES"/>
        </w:rPr>
        <w:t>l proceso penal</w:t>
      </w:r>
      <w:r w:rsidRPr="00B4143C">
        <w:rPr>
          <w:rFonts w:asciiTheme="majorHAnsi" w:hAnsiTheme="majorHAnsi"/>
          <w:bCs/>
          <w:sz w:val="20"/>
          <w:szCs w:val="20"/>
          <w:lang w:val="es-ES"/>
        </w:rPr>
        <w:t xml:space="preserve"> y </w:t>
      </w:r>
      <w:r w:rsidR="00361E12" w:rsidRPr="00B4143C">
        <w:rPr>
          <w:rFonts w:asciiTheme="majorHAnsi" w:hAnsiTheme="majorHAnsi"/>
          <w:bCs/>
          <w:sz w:val="20"/>
          <w:szCs w:val="20"/>
          <w:lang w:val="es-ES"/>
        </w:rPr>
        <w:t>de</w:t>
      </w:r>
      <w:r w:rsidR="008128ED" w:rsidRPr="00B4143C">
        <w:rPr>
          <w:rFonts w:asciiTheme="majorHAnsi" w:hAnsiTheme="majorHAnsi"/>
          <w:bCs/>
          <w:sz w:val="20"/>
          <w:szCs w:val="20"/>
          <w:lang w:val="es-ES"/>
        </w:rPr>
        <w:t xml:space="preserve"> </w:t>
      </w:r>
      <w:r w:rsidR="00DE480D" w:rsidRPr="00B4143C">
        <w:rPr>
          <w:rFonts w:asciiTheme="majorHAnsi" w:hAnsiTheme="majorHAnsi"/>
          <w:bCs/>
          <w:sz w:val="20"/>
          <w:szCs w:val="20"/>
          <w:lang w:val="es-ES"/>
        </w:rPr>
        <w:t>la falta de exploración de líneas plausibles de investigación para dar con los responsables.</w:t>
      </w:r>
    </w:p>
    <w:p w14:paraId="5EF1942C" w14:textId="622377C6" w:rsidR="00CC460D" w:rsidRPr="00B4143C" w:rsidRDefault="00F65732"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bCs/>
          <w:sz w:val="20"/>
          <w:szCs w:val="20"/>
          <w:lang w:val="es-ES"/>
        </w:rPr>
        <w:t>La parte peticionaria relata que las presuntas víctimas son s</w:t>
      </w:r>
      <w:r w:rsidR="0008507B" w:rsidRPr="00B4143C">
        <w:rPr>
          <w:rFonts w:asciiTheme="majorHAnsi" w:hAnsiTheme="majorHAnsi"/>
          <w:bCs/>
          <w:sz w:val="20"/>
          <w:szCs w:val="20"/>
          <w:lang w:val="es-ES"/>
        </w:rPr>
        <w:t xml:space="preserve">iete mujeres, una adulta y sus </w:t>
      </w:r>
      <w:r w:rsidRPr="00B4143C">
        <w:rPr>
          <w:rFonts w:asciiTheme="majorHAnsi" w:hAnsiTheme="majorHAnsi"/>
          <w:bCs/>
          <w:sz w:val="20"/>
          <w:szCs w:val="20"/>
          <w:lang w:val="es-ES"/>
        </w:rPr>
        <w:t>tres hijas y tres sobrinas</w:t>
      </w:r>
      <w:r w:rsidR="0008507B" w:rsidRPr="00B4143C">
        <w:rPr>
          <w:rFonts w:asciiTheme="majorHAnsi" w:hAnsiTheme="majorHAnsi"/>
          <w:bCs/>
          <w:sz w:val="20"/>
          <w:szCs w:val="20"/>
          <w:lang w:val="es-ES"/>
        </w:rPr>
        <w:t>.</w:t>
      </w:r>
      <w:r w:rsidRPr="00B4143C">
        <w:rPr>
          <w:rFonts w:asciiTheme="majorHAnsi" w:hAnsiTheme="majorHAnsi"/>
          <w:bCs/>
          <w:sz w:val="20"/>
          <w:szCs w:val="20"/>
          <w:lang w:val="es-ES"/>
        </w:rPr>
        <w:t xml:space="preserve"> </w:t>
      </w:r>
      <w:r w:rsidR="00BE15CE" w:rsidRPr="00B4143C">
        <w:rPr>
          <w:rFonts w:asciiTheme="majorHAnsi" w:hAnsiTheme="majorHAnsi"/>
          <w:bCs/>
          <w:sz w:val="20"/>
          <w:szCs w:val="20"/>
          <w:lang w:val="es-ES"/>
        </w:rPr>
        <w:t>Narra que e</w:t>
      </w:r>
      <w:r w:rsidR="00CC460D" w:rsidRPr="00B4143C">
        <w:rPr>
          <w:rFonts w:asciiTheme="majorHAnsi" w:hAnsiTheme="majorHAnsi"/>
          <w:bCs/>
          <w:sz w:val="20"/>
          <w:szCs w:val="20"/>
          <w:lang w:val="es-ES"/>
        </w:rPr>
        <w:t>l 6 de abril de</w:t>
      </w:r>
      <w:r w:rsidR="00752687" w:rsidRPr="00B4143C">
        <w:rPr>
          <w:rFonts w:asciiTheme="majorHAnsi" w:hAnsiTheme="majorHAnsi"/>
          <w:bCs/>
          <w:sz w:val="20"/>
          <w:szCs w:val="20"/>
          <w:lang w:val="es-ES"/>
        </w:rPr>
        <w:t xml:space="preserve"> 1986 las s</w:t>
      </w:r>
      <w:r w:rsidR="001A76A5" w:rsidRPr="00B4143C">
        <w:rPr>
          <w:rFonts w:asciiTheme="majorHAnsi" w:hAnsiTheme="majorHAnsi"/>
          <w:bCs/>
          <w:sz w:val="20"/>
          <w:szCs w:val="20"/>
          <w:lang w:val="es-ES"/>
        </w:rPr>
        <w:t>iete mujeres</w:t>
      </w:r>
      <w:r w:rsidR="00752687" w:rsidRPr="00B4143C">
        <w:rPr>
          <w:rFonts w:asciiTheme="majorHAnsi" w:hAnsiTheme="majorHAnsi"/>
          <w:bCs/>
          <w:sz w:val="20"/>
          <w:szCs w:val="20"/>
          <w:lang w:val="es-ES"/>
        </w:rPr>
        <w:t xml:space="preserve"> </w:t>
      </w:r>
      <w:r w:rsidR="00E96580" w:rsidRPr="00B4143C">
        <w:rPr>
          <w:rFonts w:asciiTheme="majorHAnsi" w:hAnsiTheme="majorHAnsi"/>
          <w:bCs/>
          <w:sz w:val="20"/>
          <w:szCs w:val="20"/>
          <w:lang w:val="es-ES"/>
        </w:rPr>
        <w:t xml:space="preserve">participaron en la celebración de un evento religioso masivo llevado a cabo </w:t>
      </w:r>
      <w:r w:rsidR="00B06471">
        <w:rPr>
          <w:rFonts w:asciiTheme="majorHAnsi" w:hAnsiTheme="majorHAnsi"/>
          <w:bCs/>
          <w:sz w:val="20"/>
          <w:szCs w:val="20"/>
          <w:lang w:val="es-ES"/>
        </w:rPr>
        <w:t>en</w:t>
      </w:r>
      <w:r w:rsidR="00B06471" w:rsidRPr="00B4143C">
        <w:rPr>
          <w:rFonts w:asciiTheme="majorHAnsi" w:hAnsiTheme="majorHAnsi"/>
          <w:bCs/>
          <w:sz w:val="20"/>
          <w:szCs w:val="20"/>
          <w:lang w:val="es-ES"/>
        </w:rPr>
        <w:t xml:space="preserve"> </w:t>
      </w:r>
      <w:r w:rsidR="00ED2DD7" w:rsidRPr="00B4143C">
        <w:rPr>
          <w:rFonts w:asciiTheme="majorHAnsi" w:hAnsiTheme="majorHAnsi"/>
          <w:bCs/>
          <w:sz w:val="20"/>
          <w:szCs w:val="20"/>
          <w:lang w:val="es-ES"/>
        </w:rPr>
        <w:t xml:space="preserve">un lugar conocido como </w:t>
      </w:r>
      <w:r w:rsidR="008552C1">
        <w:rPr>
          <w:rFonts w:asciiTheme="majorHAnsi" w:hAnsiTheme="majorHAnsi"/>
          <w:bCs/>
          <w:sz w:val="20"/>
          <w:szCs w:val="20"/>
          <w:lang w:val="es-ES"/>
        </w:rPr>
        <w:t>“</w:t>
      </w:r>
      <w:r w:rsidR="00ED2DD7" w:rsidRPr="00B4143C">
        <w:rPr>
          <w:rFonts w:asciiTheme="majorHAnsi" w:hAnsiTheme="majorHAnsi"/>
          <w:bCs/>
          <w:sz w:val="20"/>
          <w:szCs w:val="20"/>
          <w:lang w:val="es-ES"/>
        </w:rPr>
        <w:t>La Cruz de Alajuelita</w:t>
      </w:r>
      <w:r w:rsidR="008552C1">
        <w:rPr>
          <w:rFonts w:asciiTheme="majorHAnsi" w:hAnsiTheme="majorHAnsi"/>
          <w:bCs/>
          <w:sz w:val="20"/>
          <w:szCs w:val="20"/>
          <w:lang w:val="es-ES"/>
        </w:rPr>
        <w:t>”</w:t>
      </w:r>
      <w:r w:rsidR="0030093E" w:rsidRPr="00B4143C">
        <w:rPr>
          <w:rFonts w:asciiTheme="majorHAnsi" w:hAnsiTheme="majorHAnsi"/>
          <w:bCs/>
          <w:sz w:val="20"/>
          <w:szCs w:val="20"/>
          <w:lang w:val="es-ES"/>
        </w:rPr>
        <w:t xml:space="preserve">; </w:t>
      </w:r>
      <w:r w:rsidR="00BE15CE" w:rsidRPr="00B4143C">
        <w:rPr>
          <w:rFonts w:asciiTheme="majorHAnsi" w:hAnsiTheme="majorHAnsi"/>
          <w:bCs/>
          <w:sz w:val="20"/>
          <w:szCs w:val="20"/>
          <w:lang w:val="es-ES"/>
        </w:rPr>
        <w:t>y</w:t>
      </w:r>
      <w:r w:rsidR="00D41D88">
        <w:rPr>
          <w:rFonts w:asciiTheme="majorHAnsi" w:hAnsiTheme="majorHAnsi"/>
          <w:bCs/>
          <w:sz w:val="20"/>
          <w:szCs w:val="20"/>
          <w:lang w:val="es-ES"/>
        </w:rPr>
        <w:t>,</w:t>
      </w:r>
      <w:r w:rsidR="00BE15CE" w:rsidRPr="00B4143C">
        <w:rPr>
          <w:rFonts w:asciiTheme="majorHAnsi" w:hAnsiTheme="majorHAnsi"/>
          <w:bCs/>
          <w:sz w:val="20"/>
          <w:szCs w:val="20"/>
          <w:lang w:val="es-ES"/>
        </w:rPr>
        <w:t xml:space="preserve"> </w:t>
      </w:r>
      <w:r w:rsidR="00141DAB" w:rsidRPr="00B4143C">
        <w:rPr>
          <w:rFonts w:asciiTheme="majorHAnsi" w:hAnsiTheme="majorHAnsi"/>
          <w:bCs/>
          <w:sz w:val="20"/>
          <w:szCs w:val="20"/>
          <w:lang w:val="es-ES"/>
        </w:rPr>
        <w:t>como</w:t>
      </w:r>
      <w:r w:rsidR="0030093E" w:rsidRPr="00B4143C">
        <w:rPr>
          <w:rFonts w:asciiTheme="majorHAnsi" w:hAnsiTheme="majorHAnsi"/>
          <w:bCs/>
          <w:sz w:val="20"/>
          <w:szCs w:val="20"/>
          <w:lang w:val="es-ES"/>
        </w:rPr>
        <w:t xml:space="preserve"> </w:t>
      </w:r>
      <w:r w:rsidR="00141DAB" w:rsidRPr="00B4143C">
        <w:rPr>
          <w:rFonts w:asciiTheme="majorHAnsi" w:hAnsiTheme="majorHAnsi"/>
          <w:bCs/>
          <w:sz w:val="20"/>
          <w:szCs w:val="20"/>
          <w:lang w:val="es-ES"/>
        </w:rPr>
        <w:t xml:space="preserve">se establecería en la investigación posterior, </w:t>
      </w:r>
      <w:r w:rsidR="0030093E" w:rsidRPr="00B4143C">
        <w:rPr>
          <w:rFonts w:asciiTheme="majorHAnsi" w:hAnsiTheme="majorHAnsi"/>
          <w:bCs/>
          <w:sz w:val="20"/>
          <w:szCs w:val="20"/>
          <w:lang w:val="es-ES"/>
        </w:rPr>
        <w:t xml:space="preserve">al finalizar </w:t>
      </w:r>
      <w:r w:rsidR="004023D5" w:rsidRPr="00B4143C">
        <w:rPr>
          <w:rFonts w:asciiTheme="majorHAnsi" w:hAnsiTheme="majorHAnsi"/>
          <w:bCs/>
          <w:sz w:val="20"/>
          <w:szCs w:val="20"/>
          <w:lang w:val="es-ES"/>
        </w:rPr>
        <w:t>el</w:t>
      </w:r>
      <w:r w:rsidR="0030093E" w:rsidRPr="00B4143C">
        <w:rPr>
          <w:rFonts w:asciiTheme="majorHAnsi" w:hAnsiTheme="majorHAnsi"/>
          <w:bCs/>
          <w:sz w:val="20"/>
          <w:szCs w:val="20"/>
          <w:lang w:val="es-ES"/>
        </w:rPr>
        <w:t xml:space="preserve"> evento</w:t>
      </w:r>
      <w:r w:rsidR="004023D5" w:rsidRPr="00B4143C">
        <w:rPr>
          <w:rFonts w:asciiTheme="majorHAnsi" w:hAnsiTheme="majorHAnsi"/>
          <w:bCs/>
          <w:sz w:val="20"/>
          <w:szCs w:val="20"/>
          <w:lang w:val="es-ES"/>
        </w:rPr>
        <w:t>,</w:t>
      </w:r>
      <w:r w:rsidR="0030093E" w:rsidRPr="00B4143C">
        <w:rPr>
          <w:rFonts w:asciiTheme="majorHAnsi" w:hAnsiTheme="majorHAnsi"/>
          <w:bCs/>
          <w:sz w:val="20"/>
          <w:szCs w:val="20"/>
          <w:lang w:val="es-ES"/>
        </w:rPr>
        <w:t xml:space="preserve"> poco después del mediodía</w:t>
      </w:r>
      <w:r w:rsidR="004023D5" w:rsidRPr="00B4143C">
        <w:rPr>
          <w:rFonts w:asciiTheme="majorHAnsi" w:hAnsiTheme="majorHAnsi"/>
          <w:bCs/>
          <w:sz w:val="20"/>
          <w:szCs w:val="20"/>
          <w:lang w:val="es-ES"/>
        </w:rPr>
        <w:t>,</w:t>
      </w:r>
      <w:r w:rsidR="0030093E" w:rsidRPr="00B4143C">
        <w:rPr>
          <w:rFonts w:asciiTheme="majorHAnsi" w:hAnsiTheme="majorHAnsi"/>
          <w:bCs/>
          <w:sz w:val="20"/>
          <w:szCs w:val="20"/>
          <w:lang w:val="es-ES"/>
        </w:rPr>
        <w:t xml:space="preserve"> las presuntas víctimas descendieron la montaña a través de potreros y senderos donde las habrían interceptado y asesinado ese mismo </w:t>
      </w:r>
      <w:r w:rsidR="0061401F" w:rsidRPr="00B4143C">
        <w:rPr>
          <w:rFonts w:asciiTheme="majorHAnsi" w:hAnsiTheme="majorHAnsi"/>
          <w:bCs/>
          <w:sz w:val="20"/>
          <w:szCs w:val="20"/>
          <w:lang w:val="es-ES"/>
        </w:rPr>
        <w:t>día</w:t>
      </w:r>
      <w:r w:rsidR="0030093E" w:rsidRPr="00B4143C">
        <w:rPr>
          <w:rFonts w:asciiTheme="majorHAnsi" w:hAnsiTheme="majorHAnsi"/>
          <w:bCs/>
          <w:sz w:val="20"/>
          <w:szCs w:val="20"/>
          <w:lang w:val="es-ES"/>
        </w:rPr>
        <w:t>.</w:t>
      </w:r>
    </w:p>
    <w:p w14:paraId="725B49EE" w14:textId="506A956E" w:rsidR="000F6C14" w:rsidRPr="00B4143C" w:rsidRDefault="0061401F"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sz w:val="20"/>
          <w:szCs w:val="20"/>
          <w:lang w:val="es-ES"/>
        </w:rPr>
        <w:t>La parte peticionaria refiere</w:t>
      </w:r>
      <w:r w:rsidR="006E33FF" w:rsidRPr="00B4143C">
        <w:rPr>
          <w:rFonts w:asciiTheme="majorHAnsi" w:hAnsiTheme="majorHAnsi"/>
          <w:sz w:val="20"/>
          <w:szCs w:val="20"/>
          <w:lang w:val="es-ES"/>
        </w:rPr>
        <w:t xml:space="preserve"> que e</w:t>
      </w:r>
      <w:r w:rsidR="00132833" w:rsidRPr="00B4143C">
        <w:rPr>
          <w:rFonts w:asciiTheme="majorHAnsi" w:hAnsiTheme="majorHAnsi"/>
          <w:sz w:val="20"/>
          <w:szCs w:val="20"/>
          <w:lang w:val="es-ES"/>
        </w:rPr>
        <w:t>l 7 de abril de 198</w:t>
      </w:r>
      <w:r w:rsidR="00CD5B20" w:rsidRPr="00B4143C">
        <w:rPr>
          <w:rFonts w:asciiTheme="majorHAnsi" w:hAnsiTheme="majorHAnsi"/>
          <w:sz w:val="20"/>
          <w:szCs w:val="20"/>
          <w:lang w:val="es-ES"/>
        </w:rPr>
        <w:t>6</w:t>
      </w:r>
      <w:r w:rsidR="00D41D88">
        <w:rPr>
          <w:rFonts w:asciiTheme="majorHAnsi" w:hAnsiTheme="majorHAnsi"/>
          <w:sz w:val="20"/>
          <w:szCs w:val="20"/>
          <w:lang w:val="es-ES"/>
        </w:rPr>
        <w:t>,</w:t>
      </w:r>
      <w:r w:rsidR="00CD5B20" w:rsidRPr="00B4143C">
        <w:rPr>
          <w:rFonts w:asciiTheme="majorHAnsi" w:hAnsiTheme="majorHAnsi"/>
          <w:sz w:val="20"/>
          <w:szCs w:val="20"/>
          <w:lang w:val="es-ES"/>
        </w:rPr>
        <w:t xml:space="preserve"> sobre el mediodía</w:t>
      </w:r>
      <w:r w:rsidR="00D41D88">
        <w:rPr>
          <w:rFonts w:asciiTheme="majorHAnsi" w:hAnsiTheme="majorHAnsi"/>
          <w:sz w:val="20"/>
          <w:szCs w:val="20"/>
          <w:lang w:val="es-ES"/>
        </w:rPr>
        <w:t>,</w:t>
      </w:r>
      <w:r w:rsidR="00CD5B20" w:rsidRPr="00B4143C">
        <w:rPr>
          <w:rFonts w:asciiTheme="majorHAnsi" w:hAnsiTheme="majorHAnsi"/>
          <w:sz w:val="20"/>
          <w:szCs w:val="20"/>
          <w:lang w:val="es-ES"/>
        </w:rPr>
        <w:t xml:space="preserve"> las autoridades policiales fueron informadas del hallazgo de siete cadáveres de mujeres en una zona rural y montañosa</w:t>
      </w:r>
      <w:r w:rsidR="007A58E9" w:rsidRPr="00B4143C">
        <w:rPr>
          <w:rFonts w:asciiTheme="majorHAnsi" w:hAnsiTheme="majorHAnsi"/>
          <w:sz w:val="20"/>
          <w:szCs w:val="20"/>
          <w:lang w:val="es-ES"/>
        </w:rPr>
        <w:t xml:space="preserve">, conocida como el </w:t>
      </w:r>
      <w:r w:rsidR="0053596D">
        <w:rPr>
          <w:rFonts w:asciiTheme="majorHAnsi" w:hAnsiTheme="majorHAnsi"/>
          <w:sz w:val="20"/>
          <w:szCs w:val="20"/>
          <w:lang w:val="es-ES"/>
        </w:rPr>
        <w:t>“</w:t>
      </w:r>
      <w:r w:rsidR="007A58E9" w:rsidRPr="00B4143C">
        <w:rPr>
          <w:rFonts w:asciiTheme="majorHAnsi" w:hAnsiTheme="majorHAnsi"/>
          <w:sz w:val="20"/>
          <w:szCs w:val="20"/>
          <w:lang w:val="es-ES"/>
        </w:rPr>
        <w:t>Cerro San Miguel</w:t>
      </w:r>
      <w:r w:rsidR="0053596D">
        <w:rPr>
          <w:rFonts w:asciiTheme="majorHAnsi" w:hAnsiTheme="majorHAnsi"/>
          <w:sz w:val="20"/>
          <w:szCs w:val="20"/>
          <w:lang w:val="es-ES"/>
        </w:rPr>
        <w:t>”</w:t>
      </w:r>
      <w:r w:rsidR="007A58E9" w:rsidRPr="00B4143C">
        <w:rPr>
          <w:rFonts w:asciiTheme="majorHAnsi" w:hAnsiTheme="majorHAnsi"/>
          <w:sz w:val="20"/>
          <w:szCs w:val="20"/>
          <w:lang w:val="es-ES"/>
        </w:rPr>
        <w:t>, ubicada al suroeste de la capital costarricense.</w:t>
      </w:r>
      <w:r w:rsidR="002760A8" w:rsidRPr="00B4143C">
        <w:rPr>
          <w:rFonts w:asciiTheme="majorHAnsi" w:hAnsiTheme="majorHAnsi"/>
          <w:sz w:val="20"/>
          <w:szCs w:val="20"/>
          <w:lang w:val="es-ES"/>
        </w:rPr>
        <w:t xml:space="preserve"> Las siete mujeres habrían sido asesinadas dentro de un cafetal.</w:t>
      </w:r>
      <w:r w:rsidR="00864E21" w:rsidRPr="00B4143C">
        <w:rPr>
          <w:rFonts w:asciiTheme="majorHAnsi" w:hAnsiTheme="majorHAnsi"/>
          <w:sz w:val="20"/>
          <w:szCs w:val="20"/>
          <w:lang w:val="es-ES"/>
        </w:rPr>
        <w:t xml:space="preserve"> </w:t>
      </w:r>
      <w:r w:rsidR="00215F34" w:rsidRPr="00B4143C">
        <w:rPr>
          <w:rFonts w:asciiTheme="majorHAnsi" w:hAnsiTheme="majorHAnsi"/>
          <w:sz w:val="20"/>
          <w:szCs w:val="20"/>
          <w:lang w:val="es-ES"/>
        </w:rPr>
        <w:t>L</w:t>
      </w:r>
      <w:r w:rsidR="00864E21" w:rsidRPr="00B4143C">
        <w:rPr>
          <w:rFonts w:asciiTheme="majorHAnsi" w:hAnsiTheme="majorHAnsi"/>
          <w:sz w:val="20"/>
          <w:szCs w:val="20"/>
          <w:lang w:val="es-ES"/>
        </w:rPr>
        <w:t>os cuerpos fueron encontrados en dos grupos</w:t>
      </w:r>
      <w:r w:rsidR="005E4698" w:rsidRPr="00B4143C">
        <w:rPr>
          <w:rFonts w:asciiTheme="majorHAnsi" w:hAnsiTheme="majorHAnsi"/>
          <w:sz w:val="20"/>
          <w:szCs w:val="20"/>
          <w:lang w:val="es-ES"/>
        </w:rPr>
        <w:t>, el primero de dos mujeres y el segundo de las otras cinco mujeres que se hallaban en una distancia de pocos metros.</w:t>
      </w:r>
    </w:p>
    <w:p w14:paraId="63FCABF1" w14:textId="0BAF3956" w:rsidR="005757B2" w:rsidRPr="00B4143C" w:rsidRDefault="005757B2"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sz w:val="20"/>
          <w:szCs w:val="20"/>
          <w:lang w:val="es-ES"/>
        </w:rPr>
        <w:t>M</w:t>
      </w:r>
      <w:r w:rsidR="00C0140C">
        <w:rPr>
          <w:rFonts w:asciiTheme="majorHAnsi" w:hAnsiTheme="majorHAnsi"/>
          <w:sz w:val="20"/>
          <w:szCs w:val="20"/>
          <w:lang w:val="es-ES"/>
        </w:rPr>
        <w:t>.</w:t>
      </w:r>
      <w:r w:rsidRPr="00B4143C">
        <w:rPr>
          <w:rFonts w:asciiTheme="majorHAnsi" w:hAnsiTheme="majorHAnsi"/>
          <w:sz w:val="20"/>
          <w:szCs w:val="20"/>
          <w:lang w:val="es-ES"/>
        </w:rPr>
        <w:t xml:space="preserve"> Z</w:t>
      </w:r>
      <w:r w:rsidR="00C0140C">
        <w:rPr>
          <w:rFonts w:asciiTheme="majorHAnsi" w:hAnsiTheme="majorHAnsi"/>
          <w:sz w:val="20"/>
          <w:szCs w:val="20"/>
          <w:lang w:val="es-ES"/>
        </w:rPr>
        <w:t>.</w:t>
      </w:r>
      <w:r w:rsidRPr="00B4143C">
        <w:rPr>
          <w:rFonts w:asciiTheme="majorHAnsi" w:hAnsiTheme="majorHAnsi"/>
          <w:sz w:val="20"/>
          <w:szCs w:val="20"/>
          <w:lang w:val="es-ES"/>
        </w:rPr>
        <w:t xml:space="preserve"> M</w:t>
      </w:r>
      <w:r w:rsidR="00C0140C">
        <w:rPr>
          <w:rFonts w:asciiTheme="majorHAnsi" w:hAnsiTheme="majorHAnsi"/>
          <w:sz w:val="20"/>
          <w:szCs w:val="20"/>
          <w:lang w:val="es-ES"/>
        </w:rPr>
        <w:t>.</w:t>
      </w:r>
      <w:r w:rsidRPr="00B4143C">
        <w:rPr>
          <w:rFonts w:asciiTheme="majorHAnsi" w:hAnsiTheme="majorHAnsi"/>
          <w:sz w:val="20"/>
          <w:szCs w:val="20"/>
          <w:lang w:val="es-ES"/>
        </w:rPr>
        <w:t xml:space="preserve"> de 41 </w:t>
      </w:r>
      <w:r w:rsidR="00AC5C22" w:rsidRPr="00B4143C">
        <w:rPr>
          <w:rFonts w:asciiTheme="majorHAnsi" w:hAnsiTheme="majorHAnsi"/>
          <w:sz w:val="20"/>
          <w:szCs w:val="20"/>
          <w:lang w:val="es-ES"/>
        </w:rPr>
        <w:t>años</w:t>
      </w:r>
      <w:r w:rsidRPr="00B4143C">
        <w:rPr>
          <w:rFonts w:asciiTheme="majorHAnsi" w:hAnsiTheme="majorHAnsi"/>
          <w:sz w:val="20"/>
          <w:szCs w:val="20"/>
          <w:lang w:val="es-ES"/>
        </w:rPr>
        <w:t xml:space="preserve">, presentaba tres heridas por proyectil de arma de fuego en cara, cabeza y pelvis. </w:t>
      </w:r>
      <w:r w:rsidR="00C805C6" w:rsidRPr="00B4143C">
        <w:rPr>
          <w:rFonts w:asciiTheme="majorHAnsi" w:hAnsiTheme="majorHAnsi"/>
          <w:sz w:val="20"/>
          <w:szCs w:val="20"/>
          <w:lang w:val="es-ES"/>
        </w:rPr>
        <w:t>A</w:t>
      </w:r>
      <w:r w:rsidR="00A83051" w:rsidRPr="00B4143C">
        <w:rPr>
          <w:rFonts w:asciiTheme="majorHAnsi" w:hAnsiTheme="majorHAnsi"/>
          <w:sz w:val="20"/>
          <w:szCs w:val="20"/>
          <w:lang w:val="es-ES"/>
        </w:rPr>
        <w:t xml:space="preserve"> su lado se encontró el cadáver de la niña </w:t>
      </w:r>
      <w:r w:rsidR="001C0717" w:rsidRPr="00B4143C">
        <w:rPr>
          <w:rFonts w:asciiTheme="majorHAnsi" w:hAnsiTheme="majorHAnsi"/>
          <w:sz w:val="20"/>
          <w:szCs w:val="20"/>
          <w:lang w:val="es-ES"/>
        </w:rPr>
        <w:t>K</w:t>
      </w:r>
      <w:r w:rsidR="00AD2C80">
        <w:rPr>
          <w:rFonts w:asciiTheme="majorHAnsi" w:hAnsiTheme="majorHAnsi"/>
          <w:sz w:val="20"/>
          <w:szCs w:val="20"/>
          <w:lang w:val="es-ES"/>
        </w:rPr>
        <w:t>.</w:t>
      </w:r>
      <w:r w:rsidR="001C0717" w:rsidRPr="00B4143C">
        <w:rPr>
          <w:rFonts w:asciiTheme="majorHAnsi" w:hAnsiTheme="majorHAnsi"/>
          <w:sz w:val="20"/>
          <w:szCs w:val="20"/>
          <w:lang w:val="es-ES"/>
        </w:rPr>
        <w:t xml:space="preserve"> S</w:t>
      </w:r>
      <w:r w:rsidR="00AD2C80">
        <w:rPr>
          <w:rFonts w:asciiTheme="majorHAnsi" w:hAnsiTheme="majorHAnsi"/>
          <w:sz w:val="20"/>
          <w:szCs w:val="20"/>
          <w:lang w:val="es-ES"/>
        </w:rPr>
        <w:t>.</w:t>
      </w:r>
      <w:r w:rsidR="001C0717" w:rsidRPr="00B4143C">
        <w:rPr>
          <w:rFonts w:asciiTheme="majorHAnsi" w:hAnsiTheme="majorHAnsi"/>
          <w:sz w:val="20"/>
          <w:szCs w:val="20"/>
          <w:lang w:val="es-ES"/>
        </w:rPr>
        <w:t xml:space="preserve"> Z</w:t>
      </w:r>
      <w:r w:rsidR="00AD2C80">
        <w:rPr>
          <w:rFonts w:asciiTheme="majorHAnsi" w:hAnsiTheme="majorHAnsi"/>
          <w:sz w:val="20"/>
          <w:szCs w:val="20"/>
          <w:lang w:val="es-ES"/>
        </w:rPr>
        <w:t>.</w:t>
      </w:r>
      <w:r w:rsidR="001C0717" w:rsidRPr="00B4143C">
        <w:rPr>
          <w:rFonts w:asciiTheme="majorHAnsi" w:hAnsiTheme="majorHAnsi"/>
          <w:sz w:val="20"/>
          <w:szCs w:val="20"/>
          <w:lang w:val="es-ES"/>
        </w:rPr>
        <w:t xml:space="preserve"> </w:t>
      </w:r>
      <w:r w:rsidR="00A83051" w:rsidRPr="00B4143C">
        <w:rPr>
          <w:rFonts w:asciiTheme="majorHAnsi" w:hAnsiTheme="majorHAnsi"/>
          <w:sz w:val="20"/>
          <w:szCs w:val="20"/>
          <w:lang w:val="es-ES"/>
        </w:rPr>
        <w:t>de 12 años, quien también presentaba tres heridas por proyectil de arma de fuego, dos en la cara y otra en el muslo.</w:t>
      </w:r>
      <w:r w:rsidR="00354C14" w:rsidRPr="00B4143C">
        <w:rPr>
          <w:rFonts w:asciiTheme="majorHAnsi" w:hAnsiTheme="majorHAnsi"/>
          <w:sz w:val="20"/>
          <w:szCs w:val="20"/>
          <w:lang w:val="es-ES"/>
        </w:rPr>
        <w:t xml:space="preserve"> </w:t>
      </w:r>
      <w:r w:rsidR="00DB4937">
        <w:rPr>
          <w:rFonts w:asciiTheme="majorHAnsi" w:hAnsiTheme="majorHAnsi"/>
          <w:sz w:val="20"/>
          <w:szCs w:val="20"/>
          <w:lang w:val="es-ES"/>
        </w:rPr>
        <w:t>La petición a</w:t>
      </w:r>
      <w:r w:rsidR="00354C14" w:rsidRPr="00B4143C">
        <w:rPr>
          <w:rFonts w:asciiTheme="majorHAnsi" w:hAnsiTheme="majorHAnsi"/>
          <w:sz w:val="20"/>
          <w:szCs w:val="20"/>
          <w:lang w:val="es-ES"/>
        </w:rPr>
        <w:t xml:space="preserve">segura que el análisis de la escena determinaría que ambas fueron movidas a dicho sitio después de </w:t>
      </w:r>
      <w:r w:rsidR="00D56276" w:rsidRPr="00B4143C">
        <w:rPr>
          <w:rFonts w:asciiTheme="majorHAnsi" w:hAnsiTheme="majorHAnsi"/>
          <w:sz w:val="20"/>
          <w:szCs w:val="20"/>
          <w:lang w:val="es-ES"/>
        </w:rPr>
        <w:t>haber recibido los disparos.</w:t>
      </w:r>
      <w:r w:rsidR="00F968BF" w:rsidRPr="00B4143C">
        <w:rPr>
          <w:rFonts w:asciiTheme="majorHAnsi" w:hAnsiTheme="majorHAnsi"/>
          <w:sz w:val="20"/>
          <w:szCs w:val="20"/>
          <w:lang w:val="es-ES"/>
        </w:rPr>
        <w:t xml:space="preserve"> </w:t>
      </w:r>
      <w:r w:rsidR="00925F4C" w:rsidRPr="00B4143C">
        <w:rPr>
          <w:rFonts w:asciiTheme="majorHAnsi" w:hAnsiTheme="majorHAnsi"/>
          <w:sz w:val="20"/>
          <w:szCs w:val="20"/>
          <w:lang w:val="es-ES"/>
        </w:rPr>
        <w:t>E</w:t>
      </w:r>
      <w:r w:rsidR="00F968BF" w:rsidRPr="00B4143C">
        <w:rPr>
          <w:rFonts w:asciiTheme="majorHAnsi" w:hAnsiTheme="majorHAnsi"/>
          <w:sz w:val="20"/>
          <w:szCs w:val="20"/>
          <w:lang w:val="es-ES"/>
        </w:rPr>
        <w:t>n el segundo grupo, se encontraban los cadáveres</w:t>
      </w:r>
      <w:r w:rsidR="004306E6" w:rsidRPr="00B4143C">
        <w:rPr>
          <w:rFonts w:asciiTheme="majorHAnsi" w:hAnsiTheme="majorHAnsi"/>
          <w:sz w:val="20"/>
          <w:szCs w:val="20"/>
          <w:lang w:val="es-ES"/>
        </w:rPr>
        <w:t xml:space="preserve"> acomodados uno junto al otro</w:t>
      </w:r>
      <w:r w:rsidR="00F968BF" w:rsidRPr="00B4143C">
        <w:rPr>
          <w:rFonts w:asciiTheme="majorHAnsi" w:hAnsiTheme="majorHAnsi"/>
          <w:sz w:val="20"/>
          <w:szCs w:val="20"/>
          <w:lang w:val="es-ES"/>
        </w:rPr>
        <w:t xml:space="preserve"> de la niña K</w:t>
      </w:r>
      <w:r w:rsidR="00AD2C80">
        <w:rPr>
          <w:rFonts w:asciiTheme="majorHAnsi" w:hAnsiTheme="majorHAnsi"/>
          <w:sz w:val="20"/>
          <w:szCs w:val="20"/>
          <w:lang w:val="es-ES"/>
        </w:rPr>
        <w:t>.</w:t>
      </w:r>
      <w:r w:rsidR="00F968BF" w:rsidRPr="00B4143C">
        <w:rPr>
          <w:rFonts w:asciiTheme="majorHAnsi" w:hAnsiTheme="majorHAnsi"/>
          <w:sz w:val="20"/>
          <w:szCs w:val="20"/>
          <w:lang w:val="es-ES"/>
        </w:rPr>
        <w:t xml:space="preserve"> S</w:t>
      </w:r>
      <w:r w:rsidR="00AD2C80">
        <w:rPr>
          <w:rFonts w:asciiTheme="majorHAnsi" w:hAnsiTheme="majorHAnsi"/>
          <w:sz w:val="20"/>
          <w:szCs w:val="20"/>
          <w:lang w:val="es-ES"/>
        </w:rPr>
        <w:t>.</w:t>
      </w:r>
      <w:r w:rsidR="00F968BF" w:rsidRPr="00B4143C">
        <w:rPr>
          <w:rFonts w:asciiTheme="majorHAnsi" w:hAnsiTheme="majorHAnsi"/>
          <w:sz w:val="20"/>
          <w:szCs w:val="20"/>
          <w:lang w:val="es-ES"/>
        </w:rPr>
        <w:t xml:space="preserve"> Z</w:t>
      </w:r>
      <w:r w:rsidR="00AD2C80">
        <w:rPr>
          <w:rFonts w:asciiTheme="majorHAnsi" w:hAnsiTheme="majorHAnsi"/>
          <w:sz w:val="20"/>
          <w:szCs w:val="20"/>
          <w:lang w:val="es-ES"/>
        </w:rPr>
        <w:t>.</w:t>
      </w:r>
      <w:r w:rsidR="002A4432" w:rsidRPr="00B4143C">
        <w:rPr>
          <w:rFonts w:asciiTheme="majorHAnsi" w:hAnsiTheme="majorHAnsi"/>
          <w:sz w:val="20"/>
          <w:szCs w:val="20"/>
          <w:lang w:val="es-ES"/>
        </w:rPr>
        <w:t xml:space="preserve"> de 9 años</w:t>
      </w:r>
      <w:r w:rsidR="00FD2095">
        <w:rPr>
          <w:rFonts w:asciiTheme="majorHAnsi" w:hAnsiTheme="majorHAnsi"/>
          <w:sz w:val="20"/>
          <w:szCs w:val="20"/>
          <w:lang w:val="es-ES"/>
        </w:rPr>
        <w:t>,</w:t>
      </w:r>
      <w:r w:rsidR="004D3721" w:rsidRPr="00B4143C">
        <w:rPr>
          <w:rFonts w:asciiTheme="majorHAnsi" w:hAnsiTheme="majorHAnsi"/>
          <w:sz w:val="20"/>
          <w:szCs w:val="20"/>
          <w:lang w:val="es-ES"/>
        </w:rPr>
        <w:t xml:space="preserve"> hallada con disparos en su cara y cabeza</w:t>
      </w:r>
      <w:r w:rsidR="007661D6" w:rsidRPr="00B4143C">
        <w:rPr>
          <w:rFonts w:asciiTheme="majorHAnsi" w:hAnsiTheme="majorHAnsi"/>
          <w:sz w:val="20"/>
          <w:szCs w:val="20"/>
          <w:lang w:val="es-ES"/>
        </w:rPr>
        <w:t>;</w:t>
      </w:r>
      <w:r w:rsidR="002A4432" w:rsidRPr="00B4143C">
        <w:rPr>
          <w:rFonts w:asciiTheme="majorHAnsi" w:hAnsiTheme="majorHAnsi"/>
          <w:sz w:val="20"/>
          <w:szCs w:val="20"/>
          <w:lang w:val="es-ES"/>
        </w:rPr>
        <w:t xml:space="preserve"> </w:t>
      </w:r>
      <w:r w:rsidR="004F267F" w:rsidRPr="00B4143C">
        <w:rPr>
          <w:rFonts w:asciiTheme="majorHAnsi" w:hAnsiTheme="majorHAnsi"/>
          <w:sz w:val="20"/>
          <w:szCs w:val="20"/>
          <w:lang w:val="es-ES"/>
        </w:rPr>
        <w:t xml:space="preserve">la niña </w:t>
      </w:r>
      <w:r w:rsidR="002A4432" w:rsidRPr="00B4143C">
        <w:rPr>
          <w:rFonts w:asciiTheme="majorHAnsi" w:hAnsiTheme="majorHAnsi"/>
          <w:sz w:val="20"/>
          <w:szCs w:val="20"/>
          <w:lang w:val="es-ES"/>
        </w:rPr>
        <w:t>M</w:t>
      </w:r>
      <w:r w:rsidR="00623CE9">
        <w:rPr>
          <w:rFonts w:asciiTheme="majorHAnsi" w:hAnsiTheme="majorHAnsi"/>
          <w:sz w:val="20"/>
          <w:szCs w:val="20"/>
          <w:lang w:val="es-ES"/>
        </w:rPr>
        <w:t>.</w:t>
      </w:r>
      <w:r w:rsidR="002A4432" w:rsidRPr="00B4143C">
        <w:rPr>
          <w:rFonts w:asciiTheme="majorHAnsi" w:hAnsiTheme="majorHAnsi"/>
          <w:sz w:val="20"/>
          <w:szCs w:val="20"/>
          <w:lang w:val="es-ES"/>
        </w:rPr>
        <w:t xml:space="preserve"> E</w:t>
      </w:r>
      <w:r w:rsidR="00623CE9">
        <w:rPr>
          <w:rFonts w:asciiTheme="majorHAnsi" w:hAnsiTheme="majorHAnsi"/>
          <w:sz w:val="20"/>
          <w:szCs w:val="20"/>
          <w:lang w:val="es-ES"/>
        </w:rPr>
        <w:t>.</w:t>
      </w:r>
      <w:r w:rsidR="004D3721" w:rsidRPr="00B4143C">
        <w:rPr>
          <w:rFonts w:asciiTheme="majorHAnsi" w:hAnsiTheme="majorHAnsi"/>
          <w:sz w:val="20"/>
          <w:szCs w:val="20"/>
          <w:lang w:val="es-ES"/>
        </w:rPr>
        <w:t xml:space="preserve"> S</w:t>
      </w:r>
      <w:r w:rsidR="00623CE9">
        <w:rPr>
          <w:rFonts w:asciiTheme="majorHAnsi" w:hAnsiTheme="majorHAnsi"/>
          <w:sz w:val="20"/>
          <w:szCs w:val="20"/>
          <w:lang w:val="es-ES"/>
        </w:rPr>
        <w:t>.</w:t>
      </w:r>
      <w:r w:rsidR="004D3721" w:rsidRPr="00B4143C">
        <w:rPr>
          <w:rFonts w:asciiTheme="majorHAnsi" w:hAnsiTheme="majorHAnsi"/>
          <w:sz w:val="20"/>
          <w:szCs w:val="20"/>
          <w:lang w:val="es-ES"/>
        </w:rPr>
        <w:t xml:space="preserve"> Z</w:t>
      </w:r>
      <w:r w:rsidR="00623CE9">
        <w:rPr>
          <w:rFonts w:asciiTheme="majorHAnsi" w:hAnsiTheme="majorHAnsi"/>
          <w:sz w:val="20"/>
          <w:szCs w:val="20"/>
          <w:lang w:val="es-ES"/>
        </w:rPr>
        <w:t>.</w:t>
      </w:r>
      <w:r w:rsidR="00D14191" w:rsidRPr="00B4143C">
        <w:rPr>
          <w:rFonts w:asciiTheme="majorHAnsi" w:hAnsiTheme="majorHAnsi"/>
          <w:sz w:val="20"/>
          <w:szCs w:val="20"/>
          <w:lang w:val="es-ES"/>
        </w:rPr>
        <w:t xml:space="preserve"> de </w:t>
      </w:r>
      <w:r w:rsidR="004F267F" w:rsidRPr="00B4143C">
        <w:rPr>
          <w:rFonts w:asciiTheme="majorHAnsi" w:hAnsiTheme="majorHAnsi"/>
          <w:sz w:val="20"/>
          <w:szCs w:val="20"/>
          <w:lang w:val="es-ES"/>
        </w:rPr>
        <w:t>6 años</w:t>
      </w:r>
      <w:r w:rsidR="00FD2095">
        <w:rPr>
          <w:rFonts w:asciiTheme="majorHAnsi" w:hAnsiTheme="majorHAnsi"/>
          <w:sz w:val="20"/>
          <w:szCs w:val="20"/>
          <w:lang w:val="es-ES"/>
        </w:rPr>
        <w:t>,</w:t>
      </w:r>
      <w:r w:rsidR="004F267F" w:rsidRPr="00B4143C">
        <w:rPr>
          <w:rFonts w:asciiTheme="majorHAnsi" w:hAnsiTheme="majorHAnsi"/>
          <w:sz w:val="20"/>
          <w:szCs w:val="20"/>
          <w:lang w:val="es-ES"/>
        </w:rPr>
        <w:t xml:space="preserve"> </w:t>
      </w:r>
      <w:r w:rsidR="007661D6" w:rsidRPr="00B4143C">
        <w:rPr>
          <w:rFonts w:asciiTheme="majorHAnsi" w:hAnsiTheme="majorHAnsi"/>
          <w:sz w:val="20"/>
          <w:szCs w:val="20"/>
          <w:lang w:val="es-ES"/>
        </w:rPr>
        <w:t xml:space="preserve">con tres disparos en la cabeza; </w:t>
      </w:r>
      <w:r w:rsidR="00A22E09" w:rsidRPr="00B4143C">
        <w:rPr>
          <w:rFonts w:asciiTheme="majorHAnsi" w:hAnsiTheme="majorHAnsi"/>
          <w:sz w:val="20"/>
          <w:szCs w:val="20"/>
          <w:lang w:val="es-ES"/>
        </w:rPr>
        <w:t>la niña M</w:t>
      </w:r>
      <w:r w:rsidR="00623CE9">
        <w:rPr>
          <w:rFonts w:asciiTheme="majorHAnsi" w:hAnsiTheme="majorHAnsi"/>
          <w:sz w:val="20"/>
          <w:szCs w:val="20"/>
          <w:lang w:val="es-ES"/>
        </w:rPr>
        <w:t>.</w:t>
      </w:r>
      <w:r w:rsidR="00A22E09" w:rsidRPr="00B4143C">
        <w:rPr>
          <w:rFonts w:asciiTheme="majorHAnsi" w:hAnsiTheme="majorHAnsi"/>
          <w:sz w:val="20"/>
          <w:szCs w:val="20"/>
          <w:lang w:val="es-ES"/>
        </w:rPr>
        <w:t xml:space="preserve"> </w:t>
      </w:r>
      <w:r w:rsidR="0009799A" w:rsidRPr="00B4143C">
        <w:rPr>
          <w:rFonts w:asciiTheme="majorHAnsi" w:hAnsiTheme="majorHAnsi"/>
          <w:sz w:val="20"/>
          <w:szCs w:val="20"/>
          <w:lang w:val="es-ES"/>
        </w:rPr>
        <w:t>A</w:t>
      </w:r>
      <w:r w:rsidR="00623CE9">
        <w:rPr>
          <w:rFonts w:asciiTheme="majorHAnsi" w:hAnsiTheme="majorHAnsi"/>
          <w:sz w:val="20"/>
          <w:szCs w:val="20"/>
          <w:lang w:val="es-ES"/>
        </w:rPr>
        <w:t>.</w:t>
      </w:r>
      <w:r w:rsidR="0009799A" w:rsidRPr="00B4143C">
        <w:rPr>
          <w:rFonts w:asciiTheme="majorHAnsi" w:hAnsiTheme="majorHAnsi"/>
          <w:sz w:val="20"/>
          <w:szCs w:val="20"/>
          <w:lang w:val="es-ES"/>
        </w:rPr>
        <w:t xml:space="preserve"> </w:t>
      </w:r>
      <w:r w:rsidR="00A22E09" w:rsidRPr="00B4143C">
        <w:rPr>
          <w:rFonts w:asciiTheme="majorHAnsi" w:hAnsiTheme="majorHAnsi"/>
          <w:sz w:val="20"/>
          <w:szCs w:val="20"/>
          <w:lang w:val="es-ES"/>
        </w:rPr>
        <w:t>S</w:t>
      </w:r>
      <w:r w:rsidR="00623CE9">
        <w:rPr>
          <w:rFonts w:asciiTheme="majorHAnsi" w:hAnsiTheme="majorHAnsi"/>
          <w:sz w:val="20"/>
          <w:szCs w:val="20"/>
          <w:lang w:val="es-ES"/>
        </w:rPr>
        <w:t xml:space="preserve">. </w:t>
      </w:r>
      <w:r w:rsidR="00A22E09" w:rsidRPr="00B4143C">
        <w:rPr>
          <w:rFonts w:asciiTheme="majorHAnsi" w:hAnsiTheme="majorHAnsi"/>
          <w:sz w:val="20"/>
          <w:szCs w:val="20"/>
          <w:lang w:val="es-ES"/>
        </w:rPr>
        <w:t>Z</w:t>
      </w:r>
      <w:r w:rsidR="00623CE9">
        <w:rPr>
          <w:rFonts w:asciiTheme="majorHAnsi" w:hAnsiTheme="majorHAnsi"/>
          <w:sz w:val="20"/>
          <w:szCs w:val="20"/>
          <w:lang w:val="es-ES"/>
        </w:rPr>
        <w:t>.</w:t>
      </w:r>
      <w:r w:rsidR="00A5622E" w:rsidRPr="00B4143C">
        <w:rPr>
          <w:rFonts w:asciiTheme="majorHAnsi" w:hAnsiTheme="majorHAnsi"/>
          <w:sz w:val="20"/>
          <w:szCs w:val="20"/>
          <w:lang w:val="es-ES"/>
        </w:rPr>
        <w:t xml:space="preserve"> de </w:t>
      </w:r>
      <w:r w:rsidR="003C096F" w:rsidRPr="00B4143C">
        <w:rPr>
          <w:rFonts w:asciiTheme="majorHAnsi" w:hAnsiTheme="majorHAnsi"/>
          <w:sz w:val="20"/>
          <w:szCs w:val="20"/>
          <w:lang w:val="es-ES"/>
        </w:rPr>
        <w:t>11</w:t>
      </w:r>
      <w:r w:rsidR="00A5622E" w:rsidRPr="00B4143C">
        <w:rPr>
          <w:rFonts w:asciiTheme="majorHAnsi" w:hAnsiTheme="majorHAnsi"/>
          <w:sz w:val="20"/>
          <w:szCs w:val="20"/>
          <w:lang w:val="es-ES"/>
        </w:rPr>
        <w:t xml:space="preserve"> años, hallada con disparos en la cabeza y signos de </w:t>
      </w:r>
      <w:r w:rsidR="007255AE" w:rsidRPr="00B4143C">
        <w:rPr>
          <w:rFonts w:asciiTheme="majorHAnsi" w:hAnsiTheme="majorHAnsi"/>
          <w:sz w:val="20"/>
          <w:szCs w:val="20"/>
          <w:lang w:val="es-ES"/>
        </w:rPr>
        <w:t xml:space="preserve">violación </w:t>
      </w:r>
      <w:r w:rsidR="00A5622E" w:rsidRPr="00B4143C">
        <w:rPr>
          <w:rFonts w:asciiTheme="majorHAnsi" w:hAnsiTheme="majorHAnsi"/>
          <w:sz w:val="20"/>
          <w:szCs w:val="20"/>
          <w:lang w:val="es-ES"/>
        </w:rPr>
        <w:t>sexual</w:t>
      </w:r>
      <w:r w:rsidR="00D175F3" w:rsidRPr="00B4143C">
        <w:rPr>
          <w:rFonts w:asciiTheme="majorHAnsi" w:hAnsiTheme="majorHAnsi"/>
          <w:sz w:val="20"/>
          <w:szCs w:val="20"/>
          <w:lang w:val="es-ES"/>
        </w:rPr>
        <w:t>,</w:t>
      </w:r>
      <w:r w:rsidR="00A5622E" w:rsidRPr="00B4143C">
        <w:rPr>
          <w:rFonts w:asciiTheme="majorHAnsi" w:hAnsiTheme="majorHAnsi"/>
          <w:sz w:val="20"/>
          <w:szCs w:val="20"/>
          <w:lang w:val="es-ES"/>
        </w:rPr>
        <w:t xml:space="preserve"> semen en su boca, ano y vagina</w:t>
      </w:r>
      <w:r w:rsidR="003C096F" w:rsidRPr="00B4143C">
        <w:rPr>
          <w:rFonts w:asciiTheme="majorHAnsi" w:hAnsiTheme="majorHAnsi"/>
          <w:sz w:val="20"/>
          <w:szCs w:val="20"/>
          <w:lang w:val="es-ES"/>
        </w:rPr>
        <w:t xml:space="preserve"> y signos de mordida en sus pómulos; la adolescente M</w:t>
      </w:r>
      <w:r w:rsidR="00623CE9">
        <w:rPr>
          <w:rFonts w:asciiTheme="majorHAnsi" w:hAnsiTheme="majorHAnsi"/>
          <w:sz w:val="20"/>
          <w:szCs w:val="20"/>
          <w:lang w:val="es-ES"/>
        </w:rPr>
        <w:t>.</w:t>
      </w:r>
      <w:r w:rsidR="003C096F" w:rsidRPr="00B4143C">
        <w:rPr>
          <w:rFonts w:asciiTheme="majorHAnsi" w:hAnsiTheme="majorHAnsi"/>
          <w:sz w:val="20"/>
          <w:szCs w:val="20"/>
          <w:lang w:val="es-ES"/>
        </w:rPr>
        <w:t xml:space="preserve"> A</w:t>
      </w:r>
      <w:r w:rsidR="00904B72">
        <w:rPr>
          <w:rFonts w:asciiTheme="majorHAnsi" w:hAnsiTheme="majorHAnsi"/>
          <w:sz w:val="20"/>
          <w:szCs w:val="20"/>
          <w:lang w:val="es-ES"/>
        </w:rPr>
        <w:t>.</w:t>
      </w:r>
      <w:r w:rsidR="003C096F" w:rsidRPr="00B4143C">
        <w:rPr>
          <w:rFonts w:asciiTheme="majorHAnsi" w:hAnsiTheme="majorHAnsi"/>
          <w:sz w:val="20"/>
          <w:szCs w:val="20"/>
          <w:lang w:val="es-ES"/>
        </w:rPr>
        <w:t xml:space="preserve"> S</w:t>
      </w:r>
      <w:r w:rsidR="00904B72">
        <w:rPr>
          <w:rFonts w:asciiTheme="majorHAnsi" w:hAnsiTheme="majorHAnsi"/>
          <w:sz w:val="20"/>
          <w:szCs w:val="20"/>
          <w:lang w:val="es-ES"/>
        </w:rPr>
        <w:t>.</w:t>
      </w:r>
      <w:r w:rsidR="003C096F" w:rsidRPr="00B4143C">
        <w:rPr>
          <w:rFonts w:asciiTheme="majorHAnsi" w:hAnsiTheme="majorHAnsi"/>
          <w:sz w:val="20"/>
          <w:szCs w:val="20"/>
          <w:lang w:val="es-ES"/>
        </w:rPr>
        <w:t xml:space="preserve"> Z</w:t>
      </w:r>
      <w:r w:rsidR="00904B72">
        <w:rPr>
          <w:rFonts w:asciiTheme="majorHAnsi" w:hAnsiTheme="majorHAnsi"/>
          <w:sz w:val="20"/>
          <w:szCs w:val="20"/>
          <w:lang w:val="es-ES"/>
        </w:rPr>
        <w:t>.</w:t>
      </w:r>
      <w:r w:rsidR="003C096F" w:rsidRPr="00B4143C">
        <w:rPr>
          <w:rFonts w:asciiTheme="majorHAnsi" w:hAnsiTheme="majorHAnsi"/>
          <w:sz w:val="20"/>
          <w:szCs w:val="20"/>
          <w:lang w:val="es-ES"/>
        </w:rPr>
        <w:t xml:space="preserve"> de 13</w:t>
      </w:r>
      <w:r w:rsidR="00F328AC" w:rsidRPr="00B4143C">
        <w:rPr>
          <w:rFonts w:asciiTheme="majorHAnsi" w:hAnsiTheme="majorHAnsi"/>
          <w:sz w:val="20"/>
          <w:szCs w:val="20"/>
          <w:lang w:val="es-ES"/>
        </w:rPr>
        <w:t xml:space="preserve"> años, </w:t>
      </w:r>
      <w:r w:rsidR="00AA3299" w:rsidRPr="00B4143C">
        <w:rPr>
          <w:rFonts w:asciiTheme="majorHAnsi" w:hAnsiTheme="majorHAnsi"/>
          <w:sz w:val="20"/>
          <w:szCs w:val="20"/>
          <w:lang w:val="es-ES"/>
        </w:rPr>
        <w:t xml:space="preserve">hallada con dos disparos en la cabeza y signos de </w:t>
      </w:r>
      <w:r w:rsidR="007255AE" w:rsidRPr="00B4143C">
        <w:rPr>
          <w:rFonts w:asciiTheme="majorHAnsi" w:hAnsiTheme="majorHAnsi"/>
          <w:sz w:val="20"/>
          <w:szCs w:val="20"/>
          <w:lang w:val="es-ES"/>
        </w:rPr>
        <w:t xml:space="preserve">violación </w:t>
      </w:r>
      <w:r w:rsidR="00AA3299" w:rsidRPr="00B4143C">
        <w:rPr>
          <w:rFonts w:asciiTheme="majorHAnsi" w:hAnsiTheme="majorHAnsi"/>
          <w:sz w:val="20"/>
          <w:szCs w:val="20"/>
          <w:lang w:val="es-ES"/>
        </w:rPr>
        <w:t>sexual</w:t>
      </w:r>
      <w:r w:rsidR="00D175F3" w:rsidRPr="00B4143C">
        <w:rPr>
          <w:rFonts w:asciiTheme="majorHAnsi" w:hAnsiTheme="majorHAnsi"/>
          <w:sz w:val="20"/>
          <w:szCs w:val="20"/>
          <w:lang w:val="es-ES"/>
        </w:rPr>
        <w:t xml:space="preserve">, semen en su boca y vagina, además de lesiones </w:t>
      </w:r>
      <w:r w:rsidR="003E3DEE" w:rsidRPr="00B4143C">
        <w:rPr>
          <w:rFonts w:asciiTheme="majorHAnsi" w:hAnsiTheme="majorHAnsi"/>
          <w:sz w:val="20"/>
          <w:szCs w:val="20"/>
          <w:lang w:val="es-ES"/>
        </w:rPr>
        <w:t xml:space="preserve">en el ano y vagina; y </w:t>
      </w:r>
      <w:r w:rsidR="007255AE" w:rsidRPr="00B4143C">
        <w:rPr>
          <w:rFonts w:asciiTheme="majorHAnsi" w:hAnsiTheme="majorHAnsi"/>
          <w:sz w:val="20"/>
          <w:szCs w:val="20"/>
          <w:lang w:val="es-ES"/>
        </w:rPr>
        <w:t>la adolescente G</w:t>
      </w:r>
      <w:r w:rsidR="00993B22">
        <w:rPr>
          <w:rFonts w:asciiTheme="majorHAnsi" w:hAnsiTheme="majorHAnsi"/>
          <w:sz w:val="20"/>
          <w:szCs w:val="20"/>
          <w:lang w:val="es-ES"/>
        </w:rPr>
        <w:t>.</w:t>
      </w:r>
      <w:r w:rsidR="007255AE" w:rsidRPr="00B4143C">
        <w:rPr>
          <w:rFonts w:asciiTheme="majorHAnsi" w:hAnsiTheme="majorHAnsi"/>
          <w:sz w:val="20"/>
          <w:szCs w:val="20"/>
          <w:lang w:val="es-ES"/>
        </w:rPr>
        <w:t xml:space="preserve"> S</w:t>
      </w:r>
      <w:r w:rsidR="00993B22">
        <w:rPr>
          <w:rFonts w:asciiTheme="majorHAnsi" w:hAnsiTheme="majorHAnsi"/>
          <w:sz w:val="20"/>
          <w:szCs w:val="20"/>
          <w:lang w:val="es-ES"/>
        </w:rPr>
        <w:t>.</w:t>
      </w:r>
      <w:r w:rsidR="007255AE" w:rsidRPr="00B4143C">
        <w:rPr>
          <w:rFonts w:asciiTheme="majorHAnsi" w:hAnsiTheme="majorHAnsi"/>
          <w:sz w:val="20"/>
          <w:szCs w:val="20"/>
          <w:lang w:val="es-ES"/>
        </w:rPr>
        <w:t xml:space="preserve"> Z</w:t>
      </w:r>
      <w:r w:rsidR="00993B22">
        <w:rPr>
          <w:rFonts w:asciiTheme="majorHAnsi" w:hAnsiTheme="majorHAnsi"/>
          <w:sz w:val="20"/>
          <w:szCs w:val="20"/>
          <w:lang w:val="es-ES"/>
        </w:rPr>
        <w:t>.</w:t>
      </w:r>
      <w:r w:rsidR="007255AE" w:rsidRPr="00B4143C">
        <w:rPr>
          <w:rFonts w:asciiTheme="majorHAnsi" w:hAnsiTheme="majorHAnsi"/>
          <w:sz w:val="20"/>
          <w:szCs w:val="20"/>
          <w:lang w:val="es-ES"/>
        </w:rPr>
        <w:t xml:space="preserve"> de 16 años, quien presentaba cuatro heridas por proyectil de arma de fuego en la cabeza, los brazos y los glúteos, así como signos de violación sexual</w:t>
      </w:r>
      <w:r w:rsidR="007723CD" w:rsidRPr="00B4143C">
        <w:rPr>
          <w:rFonts w:asciiTheme="majorHAnsi" w:hAnsiTheme="majorHAnsi"/>
          <w:sz w:val="20"/>
          <w:szCs w:val="20"/>
          <w:lang w:val="es-ES"/>
        </w:rPr>
        <w:t xml:space="preserve"> con lesiones en ano y vagina.</w:t>
      </w:r>
    </w:p>
    <w:p w14:paraId="5A4E0254" w14:textId="0FF7D18F" w:rsidR="000F6C14" w:rsidRPr="00B4143C" w:rsidRDefault="00140F5C"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sz w:val="20"/>
          <w:szCs w:val="20"/>
          <w:lang w:val="es-ES"/>
        </w:rPr>
        <w:t>La parte peticionaria indica que</w:t>
      </w:r>
      <w:r w:rsidR="006D357F" w:rsidRPr="00B4143C">
        <w:rPr>
          <w:rFonts w:asciiTheme="majorHAnsi" w:hAnsiTheme="majorHAnsi"/>
          <w:sz w:val="20"/>
          <w:szCs w:val="20"/>
          <w:lang w:val="es-ES"/>
        </w:rPr>
        <w:t>, en el marco de la investigación de los sucesos,</w:t>
      </w:r>
      <w:r w:rsidRPr="00B4143C">
        <w:rPr>
          <w:rFonts w:asciiTheme="majorHAnsi" w:hAnsiTheme="majorHAnsi"/>
          <w:sz w:val="20"/>
          <w:szCs w:val="20"/>
          <w:lang w:val="es-ES"/>
        </w:rPr>
        <w:t xml:space="preserve"> </w:t>
      </w:r>
      <w:r w:rsidR="00891B07" w:rsidRPr="00B4143C">
        <w:rPr>
          <w:rFonts w:asciiTheme="majorHAnsi" w:hAnsiTheme="majorHAnsi"/>
          <w:sz w:val="20"/>
          <w:szCs w:val="20"/>
          <w:lang w:val="es-ES"/>
        </w:rPr>
        <w:t>la policía identificó como presuntos responsables a cuatro hombres con antecedentes policiales por delitos menores</w:t>
      </w:r>
      <w:r w:rsidR="007D3AEC" w:rsidRPr="00B4143C">
        <w:rPr>
          <w:rFonts w:asciiTheme="majorHAnsi" w:hAnsiTheme="majorHAnsi"/>
          <w:sz w:val="20"/>
          <w:szCs w:val="20"/>
          <w:lang w:val="es-ES"/>
        </w:rPr>
        <w:t xml:space="preserve">. </w:t>
      </w:r>
      <w:r w:rsidR="00DF7E46" w:rsidRPr="00B4143C">
        <w:rPr>
          <w:rFonts w:asciiTheme="majorHAnsi" w:hAnsiTheme="majorHAnsi"/>
          <w:sz w:val="20"/>
          <w:szCs w:val="20"/>
          <w:lang w:val="es-ES"/>
        </w:rPr>
        <w:t>D</w:t>
      </w:r>
      <w:r w:rsidR="006D357F" w:rsidRPr="00B4143C">
        <w:rPr>
          <w:rFonts w:asciiTheme="majorHAnsi" w:hAnsiTheme="majorHAnsi"/>
          <w:sz w:val="20"/>
          <w:szCs w:val="20"/>
          <w:lang w:val="es-ES"/>
        </w:rPr>
        <w:t>os de ellos murieron en el transcurso del proceso y los otros dos fueron acusados por el Ministerio Público</w:t>
      </w:r>
      <w:r w:rsidR="00FE0D9C" w:rsidRPr="00B4143C">
        <w:rPr>
          <w:rFonts w:asciiTheme="majorHAnsi" w:hAnsiTheme="majorHAnsi"/>
          <w:sz w:val="20"/>
          <w:szCs w:val="20"/>
          <w:lang w:val="es-ES"/>
        </w:rPr>
        <w:t>, uno de ellos era</w:t>
      </w:r>
      <w:r w:rsidR="000C48B7" w:rsidRPr="00B4143C">
        <w:rPr>
          <w:rFonts w:asciiTheme="majorHAnsi" w:hAnsiTheme="majorHAnsi"/>
          <w:sz w:val="20"/>
          <w:szCs w:val="20"/>
          <w:lang w:val="es-ES"/>
        </w:rPr>
        <w:t xml:space="preserve"> un</w:t>
      </w:r>
      <w:r w:rsidR="00FE0D9C" w:rsidRPr="00B4143C">
        <w:rPr>
          <w:rFonts w:asciiTheme="majorHAnsi" w:hAnsiTheme="majorHAnsi"/>
          <w:sz w:val="20"/>
          <w:szCs w:val="20"/>
          <w:lang w:val="es-ES"/>
        </w:rPr>
        <w:t xml:space="preserve"> adolescente</w:t>
      </w:r>
      <w:r w:rsidR="006D357F" w:rsidRPr="00B4143C">
        <w:rPr>
          <w:rFonts w:asciiTheme="majorHAnsi" w:hAnsiTheme="majorHAnsi"/>
          <w:sz w:val="20"/>
          <w:szCs w:val="20"/>
          <w:lang w:val="es-ES"/>
        </w:rPr>
        <w:t xml:space="preserve">. </w:t>
      </w:r>
      <w:r w:rsidR="00DF7E46" w:rsidRPr="00B4143C">
        <w:rPr>
          <w:rFonts w:asciiTheme="majorHAnsi" w:hAnsiTheme="majorHAnsi"/>
          <w:sz w:val="20"/>
          <w:szCs w:val="20"/>
          <w:lang w:val="es-ES"/>
        </w:rPr>
        <w:t>E</w:t>
      </w:r>
      <w:r w:rsidR="006D357F" w:rsidRPr="00B4143C">
        <w:rPr>
          <w:rFonts w:asciiTheme="majorHAnsi" w:hAnsiTheme="majorHAnsi"/>
          <w:sz w:val="20"/>
          <w:szCs w:val="20"/>
          <w:lang w:val="es-ES"/>
        </w:rPr>
        <w:t xml:space="preserve">l juicio </w:t>
      </w:r>
      <w:r w:rsidR="000A6DE6" w:rsidRPr="00B4143C">
        <w:rPr>
          <w:rFonts w:asciiTheme="majorHAnsi" w:hAnsiTheme="majorHAnsi"/>
          <w:sz w:val="20"/>
          <w:szCs w:val="20"/>
          <w:lang w:val="es-ES"/>
        </w:rPr>
        <w:t xml:space="preserve">finalizó en abril de 1989 con una sentencia condenatoria proferida contra ambos, que fue apelada por </w:t>
      </w:r>
      <w:r w:rsidR="00C045F2" w:rsidRPr="00B4143C">
        <w:rPr>
          <w:rFonts w:asciiTheme="majorHAnsi" w:hAnsiTheme="majorHAnsi"/>
          <w:sz w:val="20"/>
          <w:szCs w:val="20"/>
          <w:lang w:val="es-ES"/>
        </w:rPr>
        <w:t>la</w:t>
      </w:r>
      <w:r w:rsidR="000A6DE6" w:rsidRPr="00B4143C">
        <w:rPr>
          <w:rFonts w:asciiTheme="majorHAnsi" w:hAnsiTheme="majorHAnsi"/>
          <w:sz w:val="20"/>
          <w:szCs w:val="20"/>
          <w:lang w:val="es-ES"/>
        </w:rPr>
        <w:t xml:space="preserve"> defensa. </w:t>
      </w:r>
      <w:r w:rsidR="008F33AB" w:rsidRPr="00B4143C">
        <w:rPr>
          <w:rFonts w:asciiTheme="majorHAnsi" w:hAnsiTheme="majorHAnsi"/>
          <w:sz w:val="20"/>
          <w:szCs w:val="20"/>
          <w:lang w:val="es-ES"/>
        </w:rPr>
        <w:t>Sin embargo,</w:t>
      </w:r>
      <w:r w:rsidR="00004EC5" w:rsidRPr="00B4143C">
        <w:rPr>
          <w:rFonts w:asciiTheme="majorHAnsi" w:hAnsiTheme="majorHAnsi"/>
          <w:sz w:val="20"/>
          <w:szCs w:val="20"/>
          <w:lang w:val="es-ES"/>
        </w:rPr>
        <w:t xml:space="preserve"> la Sala Penal de la Corte Suprema de Justicia </w:t>
      </w:r>
      <w:r w:rsidR="000A4C25" w:rsidRPr="00B4143C">
        <w:rPr>
          <w:rFonts w:asciiTheme="majorHAnsi" w:hAnsiTheme="majorHAnsi"/>
          <w:sz w:val="20"/>
          <w:szCs w:val="20"/>
          <w:lang w:val="es-ES"/>
        </w:rPr>
        <w:t>revocó la sentencia condenatoria en segunda instancia al verificar la existencia de graves irregularidades cometidas en el proceso, entre ellas, la</w:t>
      </w:r>
      <w:r w:rsidR="006F13C0" w:rsidRPr="00B4143C">
        <w:rPr>
          <w:rFonts w:asciiTheme="majorHAnsi" w:hAnsiTheme="majorHAnsi"/>
          <w:sz w:val="20"/>
          <w:szCs w:val="20"/>
          <w:lang w:val="es-ES"/>
        </w:rPr>
        <w:t xml:space="preserve"> comisión de actos de</w:t>
      </w:r>
      <w:r w:rsidR="000A4C25" w:rsidRPr="00B4143C">
        <w:rPr>
          <w:rFonts w:asciiTheme="majorHAnsi" w:hAnsiTheme="majorHAnsi"/>
          <w:sz w:val="20"/>
          <w:szCs w:val="20"/>
          <w:lang w:val="es-ES"/>
        </w:rPr>
        <w:t xml:space="preserve"> tortura para obtener la confesión del adolescente procesado</w:t>
      </w:r>
      <w:r w:rsidR="00F404B1" w:rsidRPr="00B4143C">
        <w:rPr>
          <w:rFonts w:asciiTheme="majorHAnsi" w:hAnsiTheme="majorHAnsi"/>
          <w:sz w:val="20"/>
          <w:szCs w:val="20"/>
          <w:lang w:val="es-ES"/>
        </w:rPr>
        <w:t>;</w:t>
      </w:r>
      <w:r w:rsidR="00491A85" w:rsidRPr="00B4143C">
        <w:rPr>
          <w:rFonts w:asciiTheme="majorHAnsi" w:hAnsiTheme="majorHAnsi"/>
          <w:sz w:val="20"/>
          <w:szCs w:val="20"/>
          <w:lang w:val="es-ES"/>
        </w:rPr>
        <w:t xml:space="preserve"> por lo cual, el juicio fue anulado en 1990 y se ordenó la celebración de un nuevo juicio.</w:t>
      </w:r>
    </w:p>
    <w:p w14:paraId="0058AE05" w14:textId="4CA5C22F" w:rsidR="00445325" w:rsidRPr="00B4143C" w:rsidRDefault="00CB2BF4" w:rsidP="00445325">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sz w:val="20"/>
          <w:szCs w:val="20"/>
          <w:lang w:val="es-ES"/>
        </w:rPr>
        <w:t xml:space="preserve">La parte peticionaria enfatiza que, durante la celebración del </w:t>
      </w:r>
      <w:r w:rsidR="00004C6D" w:rsidRPr="00B4143C">
        <w:rPr>
          <w:rFonts w:asciiTheme="majorHAnsi" w:hAnsiTheme="majorHAnsi"/>
          <w:sz w:val="20"/>
          <w:szCs w:val="20"/>
          <w:lang w:val="es-ES"/>
        </w:rPr>
        <w:t xml:space="preserve">segundo </w:t>
      </w:r>
      <w:r w:rsidRPr="00B4143C">
        <w:rPr>
          <w:rFonts w:asciiTheme="majorHAnsi" w:hAnsiTheme="majorHAnsi"/>
          <w:sz w:val="20"/>
          <w:szCs w:val="20"/>
          <w:lang w:val="es-ES"/>
        </w:rPr>
        <w:t xml:space="preserve">juicio, </w:t>
      </w:r>
      <w:r w:rsidR="00BF3CCE" w:rsidRPr="00B4143C">
        <w:rPr>
          <w:rFonts w:asciiTheme="majorHAnsi" w:hAnsiTheme="majorHAnsi"/>
          <w:sz w:val="20"/>
          <w:szCs w:val="20"/>
          <w:lang w:val="es-ES"/>
        </w:rPr>
        <w:t xml:space="preserve">otro de los procesados murió de forma violenta, por lo que se sobreseyó dicho proceso. También indican que </w:t>
      </w:r>
      <w:r w:rsidR="00004C6D" w:rsidRPr="00B4143C">
        <w:rPr>
          <w:rFonts w:asciiTheme="majorHAnsi" w:hAnsiTheme="majorHAnsi"/>
          <w:sz w:val="20"/>
          <w:szCs w:val="20"/>
          <w:lang w:val="es-ES"/>
        </w:rPr>
        <w:t xml:space="preserve">el Organismo de Investigación Judicial (en adelante “OIJ”) atendió nuevos casos </w:t>
      </w:r>
      <w:r w:rsidR="00685879" w:rsidRPr="00B4143C">
        <w:rPr>
          <w:rFonts w:asciiTheme="majorHAnsi" w:hAnsiTheme="majorHAnsi"/>
          <w:sz w:val="20"/>
          <w:szCs w:val="20"/>
          <w:lang w:val="es-ES"/>
        </w:rPr>
        <w:t xml:space="preserve">de asesinato de mujeres en los que las pericias forenses determinaron que se había utilizado la misma arma </w:t>
      </w:r>
      <w:r w:rsidR="009A4ECD" w:rsidRPr="00B4143C">
        <w:rPr>
          <w:rFonts w:asciiTheme="majorHAnsi" w:hAnsiTheme="majorHAnsi"/>
          <w:sz w:val="20"/>
          <w:szCs w:val="20"/>
          <w:lang w:val="es-ES"/>
        </w:rPr>
        <w:t>que la de la masacre de</w:t>
      </w:r>
      <w:r w:rsidR="00D306FA">
        <w:rPr>
          <w:rFonts w:asciiTheme="majorHAnsi" w:hAnsiTheme="majorHAnsi"/>
          <w:sz w:val="20"/>
          <w:szCs w:val="20"/>
          <w:lang w:val="es-ES"/>
        </w:rPr>
        <w:t>l</w:t>
      </w:r>
      <w:r w:rsidR="009A4ECD" w:rsidRPr="00B4143C">
        <w:rPr>
          <w:rFonts w:asciiTheme="majorHAnsi" w:hAnsiTheme="majorHAnsi"/>
          <w:sz w:val="20"/>
          <w:szCs w:val="20"/>
          <w:lang w:val="es-ES"/>
        </w:rPr>
        <w:t xml:space="preserve"> 6 de abril de 1986. Por ello, y por la debilidad probatoria del caso, los peticionarios </w:t>
      </w:r>
      <w:r w:rsidR="00B574A9">
        <w:rPr>
          <w:rFonts w:asciiTheme="majorHAnsi" w:hAnsiTheme="majorHAnsi"/>
          <w:sz w:val="20"/>
          <w:szCs w:val="20"/>
          <w:lang w:val="es-ES"/>
        </w:rPr>
        <w:t>explican</w:t>
      </w:r>
      <w:r w:rsidR="009A4ECD" w:rsidRPr="00B4143C">
        <w:rPr>
          <w:rFonts w:asciiTheme="majorHAnsi" w:hAnsiTheme="majorHAnsi"/>
          <w:sz w:val="20"/>
          <w:szCs w:val="20"/>
          <w:lang w:val="es-ES"/>
        </w:rPr>
        <w:t xml:space="preserve"> que el proceso </w:t>
      </w:r>
      <w:r w:rsidR="0035005F" w:rsidRPr="00B4143C">
        <w:rPr>
          <w:rFonts w:asciiTheme="majorHAnsi" w:hAnsiTheme="majorHAnsi"/>
          <w:sz w:val="20"/>
          <w:szCs w:val="20"/>
          <w:lang w:val="es-ES"/>
        </w:rPr>
        <w:t xml:space="preserve">penal </w:t>
      </w:r>
      <w:r w:rsidR="009A4ECD" w:rsidRPr="00B4143C">
        <w:rPr>
          <w:rFonts w:asciiTheme="majorHAnsi" w:hAnsiTheme="majorHAnsi"/>
          <w:sz w:val="20"/>
          <w:szCs w:val="20"/>
          <w:lang w:val="es-ES"/>
        </w:rPr>
        <w:t>culminó con una sentencia absolutoria</w:t>
      </w:r>
      <w:r w:rsidR="00CA7D92">
        <w:rPr>
          <w:rFonts w:asciiTheme="majorHAnsi" w:hAnsiTheme="majorHAnsi"/>
          <w:sz w:val="20"/>
          <w:szCs w:val="20"/>
          <w:lang w:val="es-ES"/>
        </w:rPr>
        <w:t>; y</w:t>
      </w:r>
      <w:r w:rsidR="00243A96" w:rsidRPr="00B4143C">
        <w:rPr>
          <w:rFonts w:asciiTheme="majorHAnsi" w:hAnsiTheme="majorHAnsi"/>
          <w:sz w:val="20"/>
          <w:szCs w:val="20"/>
          <w:lang w:val="es-ES"/>
        </w:rPr>
        <w:t xml:space="preserve"> que en la escena del delito se recabó evidencia de tipo biológico como sangre, semen, cabellos, vellos e incluso huellas de calzado</w:t>
      </w:r>
      <w:r w:rsidR="0047741A">
        <w:rPr>
          <w:rFonts w:asciiTheme="majorHAnsi" w:hAnsiTheme="majorHAnsi"/>
          <w:sz w:val="20"/>
          <w:szCs w:val="20"/>
          <w:lang w:val="es-ES"/>
        </w:rPr>
        <w:t>,</w:t>
      </w:r>
      <w:r w:rsidR="00243A96" w:rsidRPr="00B4143C">
        <w:rPr>
          <w:rFonts w:asciiTheme="majorHAnsi" w:hAnsiTheme="majorHAnsi"/>
          <w:sz w:val="20"/>
          <w:szCs w:val="20"/>
          <w:lang w:val="es-ES"/>
        </w:rPr>
        <w:t xml:space="preserve"> pese a lo cual </w:t>
      </w:r>
      <w:r w:rsidR="00195E4A" w:rsidRPr="00B4143C">
        <w:rPr>
          <w:rFonts w:asciiTheme="majorHAnsi" w:hAnsiTheme="majorHAnsi"/>
          <w:sz w:val="20"/>
          <w:szCs w:val="20"/>
          <w:lang w:val="es-ES"/>
        </w:rPr>
        <w:t xml:space="preserve">no se identificó a los </w:t>
      </w:r>
      <w:r w:rsidR="0047741A">
        <w:rPr>
          <w:rFonts w:asciiTheme="majorHAnsi" w:hAnsiTheme="majorHAnsi"/>
          <w:sz w:val="20"/>
          <w:szCs w:val="20"/>
          <w:lang w:val="es-ES"/>
        </w:rPr>
        <w:t>perpetradores</w:t>
      </w:r>
      <w:r w:rsidR="00195E4A" w:rsidRPr="00B4143C">
        <w:rPr>
          <w:rFonts w:asciiTheme="majorHAnsi" w:hAnsiTheme="majorHAnsi"/>
          <w:sz w:val="20"/>
          <w:szCs w:val="20"/>
          <w:lang w:val="es-ES"/>
        </w:rPr>
        <w:t>.</w:t>
      </w:r>
    </w:p>
    <w:p w14:paraId="277A2914" w14:textId="12DE4DC3" w:rsidR="00195E4A" w:rsidRPr="00B4143C" w:rsidRDefault="00707530" w:rsidP="00445325">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sz w:val="20"/>
          <w:szCs w:val="20"/>
          <w:lang w:val="es-ES"/>
        </w:rPr>
        <w:t>Posteriormente</w:t>
      </w:r>
      <w:r w:rsidR="0047741A">
        <w:rPr>
          <w:rFonts w:asciiTheme="majorHAnsi" w:hAnsiTheme="majorHAnsi"/>
          <w:sz w:val="20"/>
          <w:szCs w:val="20"/>
          <w:lang w:val="es-ES"/>
        </w:rPr>
        <w:t>,</w:t>
      </w:r>
      <w:r w:rsidRPr="00B4143C">
        <w:rPr>
          <w:rFonts w:asciiTheme="majorHAnsi" w:hAnsiTheme="majorHAnsi"/>
          <w:sz w:val="20"/>
          <w:szCs w:val="20"/>
          <w:lang w:val="es-ES"/>
        </w:rPr>
        <w:t xml:space="preserve"> surgió una nueva línea de investigación, </w:t>
      </w:r>
      <w:r w:rsidR="00AC76AC" w:rsidRPr="00B4143C">
        <w:rPr>
          <w:rFonts w:asciiTheme="majorHAnsi" w:hAnsiTheme="majorHAnsi"/>
          <w:sz w:val="20"/>
          <w:szCs w:val="20"/>
          <w:lang w:val="es-ES"/>
        </w:rPr>
        <w:t>y</w:t>
      </w:r>
      <w:r w:rsidR="00EB333A" w:rsidRPr="00B4143C">
        <w:rPr>
          <w:rFonts w:asciiTheme="majorHAnsi" w:hAnsiTheme="majorHAnsi"/>
          <w:sz w:val="20"/>
          <w:szCs w:val="20"/>
          <w:lang w:val="es-ES"/>
        </w:rPr>
        <w:t xml:space="preserve"> e</w:t>
      </w:r>
      <w:r w:rsidR="0079673E" w:rsidRPr="00B4143C">
        <w:rPr>
          <w:rFonts w:asciiTheme="majorHAnsi" w:hAnsiTheme="majorHAnsi"/>
          <w:sz w:val="20"/>
          <w:szCs w:val="20"/>
          <w:lang w:val="es-ES"/>
        </w:rPr>
        <w:t xml:space="preserve">n 2001 los investigadores </w:t>
      </w:r>
      <w:r w:rsidR="00DB3C0C" w:rsidRPr="00B4143C">
        <w:rPr>
          <w:rFonts w:asciiTheme="majorHAnsi" w:hAnsiTheme="majorHAnsi"/>
          <w:sz w:val="20"/>
          <w:szCs w:val="20"/>
          <w:lang w:val="es-ES"/>
        </w:rPr>
        <w:t>de la</w:t>
      </w:r>
      <w:r w:rsidR="0079673E" w:rsidRPr="00B4143C">
        <w:rPr>
          <w:rFonts w:asciiTheme="majorHAnsi" w:hAnsiTheme="majorHAnsi"/>
          <w:sz w:val="20"/>
          <w:szCs w:val="20"/>
          <w:lang w:val="es-ES"/>
        </w:rPr>
        <w:t xml:space="preserve"> policía judicial </w:t>
      </w:r>
      <w:r w:rsidR="00DB3C0C" w:rsidRPr="00B4143C">
        <w:rPr>
          <w:rFonts w:asciiTheme="majorHAnsi" w:hAnsiTheme="majorHAnsi"/>
          <w:sz w:val="20"/>
          <w:szCs w:val="20"/>
          <w:lang w:val="es-ES"/>
        </w:rPr>
        <w:t>hallaron</w:t>
      </w:r>
      <w:r w:rsidR="0079673E" w:rsidRPr="00B4143C">
        <w:rPr>
          <w:rFonts w:asciiTheme="majorHAnsi" w:hAnsiTheme="majorHAnsi"/>
          <w:sz w:val="20"/>
          <w:szCs w:val="20"/>
          <w:lang w:val="es-ES"/>
        </w:rPr>
        <w:t xml:space="preserve"> elementos relevantes para identificar a los autores de la masacre</w:t>
      </w:r>
      <w:r w:rsidR="00CA68A6">
        <w:rPr>
          <w:rFonts w:asciiTheme="majorHAnsi" w:hAnsiTheme="majorHAnsi"/>
          <w:sz w:val="20"/>
          <w:szCs w:val="20"/>
          <w:lang w:val="es-ES"/>
        </w:rPr>
        <w:t>. E</w:t>
      </w:r>
      <w:r w:rsidR="00134622" w:rsidRPr="00B4143C">
        <w:rPr>
          <w:rFonts w:asciiTheme="majorHAnsi" w:hAnsiTheme="majorHAnsi"/>
          <w:sz w:val="20"/>
          <w:szCs w:val="20"/>
          <w:lang w:val="es-ES"/>
        </w:rPr>
        <w:t xml:space="preserve">stos apuntaban a </w:t>
      </w:r>
      <w:r w:rsidR="00AF11A5" w:rsidRPr="00B4143C">
        <w:rPr>
          <w:rFonts w:asciiTheme="majorHAnsi" w:hAnsiTheme="majorHAnsi"/>
          <w:sz w:val="20"/>
          <w:szCs w:val="20"/>
          <w:lang w:val="es-ES"/>
        </w:rPr>
        <w:t>la existencia de un</w:t>
      </w:r>
      <w:r w:rsidR="005D0853" w:rsidRPr="00B4143C">
        <w:rPr>
          <w:rFonts w:asciiTheme="majorHAnsi" w:hAnsiTheme="majorHAnsi"/>
          <w:sz w:val="20"/>
          <w:szCs w:val="20"/>
          <w:lang w:val="es-ES"/>
        </w:rPr>
        <w:t>a</w:t>
      </w:r>
      <w:r w:rsidR="00AF11A5" w:rsidRPr="00B4143C">
        <w:rPr>
          <w:rFonts w:asciiTheme="majorHAnsi" w:hAnsiTheme="majorHAnsi"/>
          <w:sz w:val="20"/>
          <w:szCs w:val="20"/>
          <w:lang w:val="es-ES"/>
        </w:rPr>
        <w:t xml:space="preserve"> célula conformada por cuatro guerrilleros provenientes de Nicaragua que </w:t>
      </w:r>
      <w:r w:rsidR="008F4940" w:rsidRPr="00B4143C">
        <w:rPr>
          <w:rFonts w:asciiTheme="majorHAnsi" w:hAnsiTheme="majorHAnsi"/>
          <w:sz w:val="20"/>
          <w:szCs w:val="20"/>
          <w:lang w:val="es-ES"/>
        </w:rPr>
        <w:t>habían ingresado a Costa Rica en septiembre de 1985</w:t>
      </w:r>
      <w:r w:rsidR="009E265C" w:rsidRPr="00B4143C">
        <w:rPr>
          <w:rFonts w:asciiTheme="majorHAnsi" w:hAnsiTheme="majorHAnsi"/>
          <w:sz w:val="20"/>
          <w:szCs w:val="20"/>
          <w:lang w:val="es-ES"/>
        </w:rPr>
        <w:t>,</w:t>
      </w:r>
      <w:r w:rsidR="008F4940" w:rsidRPr="00B4143C">
        <w:rPr>
          <w:rFonts w:asciiTheme="majorHAnsi" w:hAnsiTheme="majorHAnsi"/>
          <w:sz w:val="20"/>
          <w:szCs w:val="20"/>
          <w:lang w:val="es-ES"/>
        </w:rPr>
        <w:t xml:space="preserve"> y</w:t>
      </w:r>
      <w:r w:rsidR="00134622" w:rsidRPr="00B4143C">
        <w:rPr>
          <w:rFonts w:asciiTheme="majorHAnsi" w:hAnsiTheme="majorHAnsi"/>
          <w:sz w:val="20"/>
          <w:szCs w:val="20"/>
          <w:lang w:val="es-ES"/>
        </w:rPr>
        <w:t xml:space="preserve"> que</w:t>
      </w:r>
      <w:r w:rsidR="008F4940" w:rsidRPr="00B4143C">
        <w:rPr>
          <w:rFonts w:asciiTheme="majorHAnsi" w:hAnsiTheme="majorHAnsi"/>
          <w:sz w:val="20"/>
          <w:szCs w:val="20"/>
          <w:lang w:val="es-ES"/>
        </w:rPr>
        <w:t xml:space="preserve"> se habrían instalado en el caserí</w:t>
      </w:r>
      <w:r w:rsidR="005D0853" w:rsidRPr="00B4143C">
        <w:rPr>
          <w:rFonts w:asciiTheme="majorHAnsi" w:hAnsiTheme="majorHAnsi"/>
          <w:sz w:val="20"/>
          <w:szCs w:val="20"/>
          <w:lang w:val="es-ES"/>
        </w:rPr>
        <w:t>o</w:t>
      </w:r>
      <w:r w:rsidR="008F4940" w:rsidRPr="00B4143C">
        <w:rPr>
          <w:rFonts w:asciiTheme="majorHAnsi" w:hAnsiTheme="majorHAnsi"/>
          <w:sz w:val="20"/>
          <w:szCs w:val="20"/>
          <w:lang w:val="es-ES"/>
        </w:rPr>
        <w:t xml:space="preserve"> de Río Azul</w:t>
      </w:r>
      <w:r w:rsidR="006F1B62" w:rsidRPr="00B4143C">
        <w:rPr>
          <w:rFonts w:asciiTheme="majorHAnsi" w:hAnsiTheme="majorHAnsi"/>
          <w:sz w:val="20"/>
          <w:szCs w:val="20"/>
          <w:lang w:val="es-ES"/>
        </w:rPr>
        <w:t xml:space="preserve">, aledaño al Cerro San </w:t>
      </w:r>
      <w:r w:rsidR="006F1B62" w:rsidRPr="00B4143C">
        <w:rPr>
          <w:rFonts w:asciiTheme="majorHAnsi" w:hAnsiTheme="majorHAnsi"/>
          <w:sz w:val="20"/>
          <w:szCs w:val="20"/>
          <w:lang w:val="es-ES"/>
        </w:rPr>
        <w:lastRenderedPageBreak/>
        <w:t xml:space="preserve">Miguel de Alajuelita. </w:t>
      </w:r>
      <w:r w:rsidR="005D0853" w:rsidRPr="00B4143C">
        <w:rPr>
          <w:rFonts w:asciiTheme="majorHAnsi" w:hAnsiTheme="majorHAnsi"/>
          <w:sz w:val="20"/>
          <w:szCs w:val="20"/>
          <w:lang w:val="es-ES"/>
        </w:rPr>
        <w:t xml:space="preserve">La parte peticionaria </w:t>
      </w:r>
      <w:r w:rsidR="004B705B">
        <w:rPr>
          <w:rFonts w:asciiTheme="majorHAnsi" w:hAnsiTheme="majorHAnsi"/>
          <w:sz w:val="20"/>
          <w:szCs w:val="20"/>
          <w:lang w:val="es-ES"/>
        </w:rPr>
        <w:t>relata</w:t>
      </w:r>
      <w:r w:rsidR="005D0853" w:rsidRPr="00B4143C">
        <w:rPr>
          <w:rFonts w:asciiTheme="majorHAnsi" w:hAnsiTheme="majorHAnsi"/>
          <w:sz w:val="20"/>
          <w:szCs w:val="20"/>
          <w:lang w:val="es-ES"/>
        </w:rPr>
        <w:t xml:space="preserve"> que esta hipótesis de investigación </w:t>
      </w:r>
      <w:r w:rsidR="00BE5990" w:rsidRPr="00B4143C">
        <w:rPr>
          <w:rFonts w:asciiTheme="majorHAnsi" w:hAnsiTheme="majorHAnsi"/>
          <w:sz w:val="20"/>
          <w:szCs w:val="20"/>
          <w:lang w:val="es-ES"/>
        </w:rPr>
        <w:t>fue concebida</w:t>
      </w:r>
      <w:r w:rsidR="005D0853" w:rsidRPr="00B4143C">
        <w:rPr>
          <w:rFonts w:asciiTheme="majorHAnsi" w:hAnsiTheme="majorHAnsi"/>
          <w:sz w:val="20"/>
          <w:szCs w:val="20"/>
          <w:lang w:val="es-ES"/>
        </w:rPr>
        <w:t xml:space="preserve"> en 1998 con el hallazgo de</w:t>
      </w:r>
      <w:r w:rsidR="004D0EA7" w:rsidRPr="00B4143C">
        <w:rPr>
          <w:rFonts w:asciiTheme="majorHAnsi" w:hAnsiTheme="majorHAnsi"/>
          <w:sz w:val="20"/>
          <w:szCs w:val="20"/>
          <w:lang w:val="es-ES"/>
        </w:rPr>
        <w:t>l</w:t>
      </w:r>
      <w:r w:rsidR="005D0853" w:rsidRPr="00B4143C">
        <w:rPr>
          <w:rFonts w:asciiTheme="majorHAnsi" w:hAnsiTheme="majorHAnsi"/>
          <w:sz w:val="20"/>
          <w:szCs w:val="20"/>
          <w:lang w:val="es-ES"/>
        </w:rPr>
        <w:t xml:space="preserve"> cadáver de </w:t>
      </w:r>
      <w:r w:rsidR="004D0EA7" w:rsidRPr="00B4143C">
        <w:rPr>
          <w:rFonts w:asciiTheme="majorHAnsi" w:hAnsiTheme="majorHAnsi"/>
          <w:sz w:val="20"/>
          <w:szCs w:val="20"/>
          <w:lang w:val="es-ES"/>
        </w:rPr>
        <w:t>uno de los</w:t>
      </w:r>
      <w:r w:rsidR="005D0853" w:rsidRPr="00B4143C">
        <w:rPr>
          <w:rFonts w:asciiTheme="majorHAnsi" w:hAnsiTheme="majorHAnsi"/>
          <w:sz w:val="20"/>
          <w:szCs w:val="20"/>
          <w:lang w:val="es-ES"/>
        </w:rPr>
        <w:t xml:space="preserve"> guerrilleros, que </w:t>
      </w:r>
      <w:r w:rsidR="003B10FF" w:rsidRPr="00B4143C">
        <w:rPr>
          <w:rFonts w:asciiTheme="majorHAnsi" w:hAnsiTheme="majorHAnsi"/>
          <w:sz w:val="20"/>
          <w:szCs w:val="20"/>
          <w:lang w:val="es-ES"/>
        </w:rPr>
        <w:t xml:space="preserve">presentaba evidencia de que había estado </w:t>
      </w:r>
      <w:r w:rsidR="005D0853" w:rsidRPr="00B4143C">
        <w:rPr>
          <w:rFonts w:asciiTheme="majorHAnsi" w:hAnsiTheme="majorHAnsi"/>
          <w:sz w:val="20"/>
          <w:szCs w:val="20"/>
          <w:lang w:val="es-ES"/>
        </w:rPr>
        <w:t xml:space="preserve">vinculado con </w:t>
      </w:r>
      <w:r w:rsidR="00B26D2A" w:rsidRPr="00B4143C">
        <w:rPr>
          <w:rFonts w:asciiTheme="majorHAnsi" w:hAnsiTheme="majorHAnsi"/>
          <w:sz w:val="20"/>
          <w:szCs w:val="20"/>
          <w:lang w:val="es-ES"/>
        </w:rPr>
        <w:t>la masacre de</w:t>
      </w:r>
      <w:r w:rsidR="00685487">
        <w:rPr>
          <w:rFonts w:asciiTheme="majorHAnsi" w:hAnsiTheme="majorHAnsi"/>
          <w:sz w:val="20"/>
          <w:szCs w:val="20"/>
          <w:lang w:val="es-ES"/>
        </w:rPr>
        <w:t>l</w:t>
      </w:r>
      <w:r w:rsidR="00B26D2A" w:rsidRPr="00B4143C">
        <w:rPr>
          <w:rFonts w:asciiTheme="majorHAnsi" w:hAnsiTheme="majorHAnsi"/>
          <w:sz w:val="20"/>
          <w:szCs w:val="20"/>
          <w:lang w:val="es-ES"/>
        </w:rPr>
        <w:t xml:space="preserve"> 6 de abril de 1986</w:t>
      </w:r>
      <w:r w:rsidR="004D0EA7" w:rsidRPr="00B4143C">
        <w:rPr>
          <w:rFonts w:asciiTheme="majorHAnsi" w:hAnsiTheme="majorHAnsi"/>
          <w:sz w:val="20"/>
          <w:szCs w:val="20"/>
          <w:lang w:val="es-ES"/>
        </w:rPr>
        <w:t>,</w:t>
      </w:r>
      <w:r w:rsidR="00B26D2A" w:rsidRPr="00B4143C">
        <w:rPr>
          <w:rFonts w:asciiTheme="majorHAnsi" w:hAnsiTheme="majorHAnsi"/>
          <w:sz w:val="20"/>
          <w:szCs w:val="20"/>
          <w:lang w:val="es-ES"/>
        </w:rPr>
        <w:t xml:space="preserve"> y con otros doce asesinatos más.</w:t>
      </w:r>
      <w:r w:rsidR="003B10FF" w:rsidRPr="00B4143C">
        <w:rPr>
          <w:rFonts w:asciiTheme="majorHAnsi" w:hAnsiTheme="majorHAnsi"/>
          <w:sz w:val="20"/>
          <w:szCs w:val="20"/>
          <w:lang w:val="es-ES"/>
        </w:rPr>
        <w:t xml:space="preserve"> La fiscalía habría solicitado al OIJ </w:t>
      </w:r>
      <w:r w:rsidR="00010FA7" w:rsidRPr="00B4143C">
        <w:rPr>
          <w:rFonts w:asciiTheme="majorHAnsi" w:hAnsiTheme="majorHAnsi"/>
          <w:sz w:val="20"/>
          <w:szCs w:val="20"/>
          <w:lang w:val="es-ES"/>
        </w:rPr>
        <w:t xml:space="preserve">la ampliación de esta línea de investigación y toda la evidencia relacionada para el 2002; sin embargo, </w:t>
      </w:r>
      <w:r w:rsidR="00882FD2" w:rsidRPr="00B4143C">
        <w:rPr>
          <w:rFonts w:asciiTheme="majorHAnsi" w:hAnsiTheme="majorHAnsi"/>
          <w:sz w:val="20"/>
          <w:szCs w:val="20"/>
          <w:lang w:val="es-ES"/>
        </w:rPr>
        <w:t>aduce que la fiscalía no retomó dicha hipótesis de investi</w:t>
      </w:r>
      <w:r w:rsidR="002A1828" w:rsidRPr="00B4143C">
        <w:rPr>
          <w:rFonts w:asciiTheme="majorHAnsi" w:hAnsiTheme="majorHAnsi"/>
          <w:sz w:val="20"/>
          <w:szCs w:val="20"/>
          <w:lang w:val="es-ES"/>
        </w:rPr>
        <w:t>gación</w:t>
      </w:r>
      <w:r w:rsidR="00FB2EB3" w:rsidRPr="00B4143C">
        <w:rPr>
          <w:rFonts w:asciiTheme="majorHAnsi" w:hAnsiTheme="majorHAnsi"/>
          <w:sz w:val="20"/>
          <w:szCs w:val="20"/>
          <w:lang w:val="es-ES"/>
        </w:rPr>
        <w:t>,</w:t>
      </w:r>
      <w:r w:rsidR="002A1828" w:rsidRPr="00B4143C">
        <w:rPr>
          <w:rFonts w:asciiTheme="majorHAnsi" w:hAnsiTheme="majorHAnsi"/>
          <w:sz w:val="20"/>
          <w:szCs w:val="20"/>
          <w:lang w:val="es-ES"/>
        </w:rPr>
        <w:t xml:space="preserve"> </w:t>
      </w:r>
      <w:r w:rsidR="006E2B66" w:rsidRPr="00B4143C">
        <w:rPr>
          <w:rFonts w:asciiTheme="majorHAnsi" w:hAnsiTheme="majorHAnsi"/>
          <w:sz w:val="20"/>
          <w:szCs w:val="20"/>
          <w:lang w:val="es-ES"/>
        </w:rPr>
        <w:t>y en octubre de 2006 el caso prescribió.</w:t>
      </w:r>
    </w:p>
    <w:p w14:paraId="57124042" w14:textId="5099C969" w:rsidR="0029586C" w:rsidRPr="00B4143C" w:rsidRDefault="00A972E0"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bCs/>
          <w:sz w:val="20"/>
          <w:szCs w:val="20"/>
          <w:lang w:val="es-ES"/>
        </w:rPr>
        <w:t>La parte peticionaria alega que</w:t>
      </w:r>
      <w:r w:rsidR="007A7B11" w:rsidRPr="00B4143C">
        <w:rPr>
          <w:rFonts w:asciiTheme="majorHAnsi" w:hAnsiTheme="majorHAnsi"/>
          <w:bCs/>
          <w:sz w:val="20"/>
          <w:szCs w:val="20"/>
          <w:lang w:val="es-ES"/>
        </w:rPr>
        <w:t xml:space="preserve"> existen multiplicidad de indicios que apuntan que la masacre de las siete mujeres fue cometida por un grupo de guerrilleros nicaragüenses que</w:t>
      </w:r>
      <w:r w:rsidR="00E82BC8" w:rsidRPr="00B4143C">
        <w:rPr>
          <w:rFonts w:asciiTheme="majorHAnsi" w:hAnsiTheme="majorHAnsi"/>
          <w:bCs/>
          <w:sz w:val="20"/>
          <w:szCs w:val="20"/>
          <w:lang w:val="es-ES"/>
        </w:rPr>
        <w:t>, con anuencia del Estado costarricense, mantenían campamentos en la zona donde ocurrió el crimen. Aunado a ello, aduce que el Estado no actuó con la debida diligencia en la investigación del suceso, en especial</w:t>
      </w:r>
      <w:r w:rsidR="001E32B9" w:rsidRPr="00B4143C">
        <w:rPr>
          <w:rFonts w:asciiTheme="majorHAnsi" w:hAnsiTheme="majorHAnsi"/>
          <w:bCs/>
          <w:sz w:val="20"/>
          <w:szCs w:val="20"/>
          <w:lang w:val="es-ES"/>
        </w:rPr>
        <w:t>,</w:t>
      </w:r>
      <w:r w:rsidR="00E82BC8" w:rsidRPr="00B4143C">
        <w:rPr>
          <w:rFonts w:asciiTheme="majorHAnsi" w:hAnsiTheme="majorHAnsi"/>
          <w:bCs/>
          <w:sz w:val="20"/>
          <w:szCs w:val="20"/>
          <w:lang w:val="es-ES"/>
        </w:rPr>
        <w:t xml:space="preserve"> por tratarse de </w:t>
      </w:r>
      <w:r w:rsidR="001E32B9" w:rsidRPr="00B4143C">
        <w:rPr>
          <w:rFonts w:asciiTheme="majorHAnsi" w:hAnsiTheme="majorHAnsi"/>
          <w:bCs/>
          <w:sz w:val="20"/>
          <w:szCs w:val="20"/>
          <w:lang w:val="es-ES"/>
        </w:rPr>
        <w:t xml:space="preserve">un asesinato y violencia </w:t>
      </w:r>
      <w:r w:rsidR="00E82BC8" w:rsidRPr="00B4143C">
        <w:rPr>
          <w:rFonts w:asciiTheme="majorHAnsi" w:hAnsiTheme="majorHAnsi"/>
          <w:bCs/>
          <w:sz w:val="20"/>
          <w:szCs w:val="20"/>
          <w:lang w:val="es-ES"/>
        </w:rPr>
        <w:t xml:space="preserve">basados en el género de las víctimas, </w:t>
      </w:r>
      <w:r w:rsidR="00035713" w:rsidRPr="00B4143C">
        <w:rPr>
          <w:rFonts w:asciiTheme="majorHAnsi" w:hAnsiTheme="majorHAnsi"/>
          <w:bCs/>
          <w:sz w:val="20"/>
          <w:szCs w:val="20"/>
          <w:lang w:val="es-ES"/>
        </w:rPr>
        <w:t xml:space="preserve">y es responsable por la impunidad </w:t>
      </w:r>
      <w:r w:rsidR="00F06ED7" w:rsidRPr="00B4143C">
        <w:rPr>
          <w:rFonts w:asciiTheme="majorHAnsi" w:hAnsiTheme="majorHAnsi"/>
          <w:bCs/>
          <w:sz w:val="20"/>
          <w:szCs w:val="20"/>
          <w:lang w:val="es-ES"/>
        </w:rPr>
        <w:t xml:space="preserve">en que se mantiene </w:t>
      </w:r>
      <w:r w:rsidR="00035713" w:rsidRPr="00B4143C">
        <w:rPr>
          <w:rFonts w:asciiTheme="majorHAnsi" w:hAnsiTheme="majorHAnsi"/>
          <w:bCs/>
          <w:sz w:val="20"/>
          <w:szCs w:val="20"/>
          <w:lang w:val="es-ES"/>
        </w:rPr>
        <w:t xml:space="preserve">el delito </w:t>
      </w:r>
      <w:r w:rsidR="00F06ED7" w:rsidRPr="00B4143C">
        <w:rPr>
          <w:rFonts w:asciiTheme="majorHAnsi" w:hAnsiTheme="majorHAnsi"/>
          <w:bCs/>
          <w:sz w:val="20"/>
          <w:szCs w:val="20"/>
          <w:lang w:val="es-ES"/>
        </w:rPr>
        <w:t>y el sufrimiento que ha causado el proceso penal a los familiares de las víctimas.</w:t>
      </w:r>
      <w:r w:rsidR="00970228" w:rsidRPr="00B4143C">
        <w:rPr>
          <w:rFonts w:asciiTheme="majorHAnsi" w:hAnsiTheme="majorHAnsi"/>
          <w:bCs/>
          <w:sz w:val="20"/>
          <w:szCs w:val="20"/>
          <w:lang w:val="es-ES"/>
        </w:rPr>
        <w:t xml:space="preserve"> También arguye que </w:t>
      </w:r>
      <w:r w:rsidR="00142BE5" w:rsidRPr="00B4143C">
        <w:rPr>
          <w:rFonts w:asciiTheme="majorHAnsi" w:hAnsiTheme="majorHAnsi"/>
          <w:bCs/>
          <w:sz w:val="20"/>
          <w:szCs w:val="20"/>
          <w:lang w:val="es-ES"/>
        </w:rPr>
        <w:t xml:space="preserve">se han presentado varios hechos de </w:t>
      </w:r>
      <w:r w:rsidR="00970228" w:rsidRPr="00B4143C">
        <w:rPr>
          <w:rFonts w:asciiTheme="majorHAnsi" w:hAnsiTheme="majorHAnsi"/>
          <w:bCs/>
          <w:sz w:val="20"/>
          <w:szCs w:val="20"/>
          <w:lang w:val="es-ES"/>
        </w:rPr>
        <w:t>revictimización hacia los familiares</w:t>
      </w:r>
      <w:r w:rsidR="00142BE5" w:rsidRPr="00B4143C">
        <w:rPr>
          <w:rFonts w:asciiTheme="majorHAnsi" w:hAnsiTheme="majorHAnsi"/>
          <w:bCs/>
          <w:sz w:val="20"/>
          <w:szCs w:val="20"/>
          <w:lang w:val="es-ES"/>
        </w:rPr>
        <w:t xml:space="preserve">, llegando incluso </w:t>
      </w:r>
      <w:r w:rsidR="005A2CA0" w:rsidRPr="00B4143C">
        <w:rPr>
          <w:rFonts w:asciiTheme="majorHAnsi" w:hAnsiTheme="majorHAnsi"/>
          <w:bCs/>
          <w:sz w:val="20"/>
          <w:szCs w:val="20"/>
          <w:lang w:val="es-ES"/>
        </w:rPr>
        <w:t xml:space="preserve">los detectives del caso a amenazar con abuso sexual y forcejear con una de las hermanas de las víctimas en un vehículo oficial </w:t>
      </w:r>
      <w:r w:rsidR="00B1477E" w:rsidRPr="00B4143C">
        <w:rPr>
          <w:rFonts w:asciiTheme="majorHAnsi" w:hAnsiTheme="majorHAnsi"/>
          <w:bCs/>
          <w:sz w:val="20"/>
          <w:szCs w:val="20"/>
          <w:lang w:val="es-ES"/>
        </w:rPr>
        <w:t xml:space="preserve">en donde la llevaron a un hotel, después de lo cual, ante la presentación de una queja, los detectives fueron sustituidos, pero el proceso no avanzó ni se realizó una investigación de lo sucedido. En ese sentido, la parte peticionaria explica que no había acudido </w:t>
      </w:r>
      <w:r w:rsidR="008E692D">
        <w:rPr>
          <w:rFonts w:asciiTheme="majorHAnsi" w:hAnsiTheme="majorHAnsi"/>
          <w:bCs/>
          <w:sz w:val="20"/>
          <w:szCs w:val="20"/>
          <w:lang w:val="es-ES"/>
        </w:rPr>
        <w:t xml:space="preserve">antes </w:t>
      </w:r>
      <w:r w:rsidR="00B1477E" w:rsidRPr="00B4143C">
        <w:rPr>
          <w:rFonts w:asciiTheme="majorHAnsi" w:hAnsiTheme="majorHAnsi"/>
          <w:bCs/>
          <w:sz w:val="20"/>
          <w:szCs w:val="20"/>
          <w:lang w:val="es-ES"/>
        </w:rPr>
        <w:t xml:space="preserve">al Sistema Interamericano por </w:t>
      </w:r>
      <w:r w:rsidR="00620200" w:rsidRPr="00B4143C">
        <w:rPr>
          <w:rFonts w:asciiTheme="majorHAnsi" w:hAnsiTheme="majorHAnsi"/>
          <w:bCs/>
          <w:sz w:val="20"/>
          <w:szCs w:val="20"/>
          <w:lang w:val="es-ES"/>
        </w:rPr>
        <w:t>falta de asistencia jurídica, y no habría interpuesto otros recursos por temor a represalias y desconfianza en la administración de justicia.</w:t>
      </w:r>
    </w:p>
    <w:p w14:paraId="678D6FD9" w14:textId="1D8C16C7" w:rsidR="005A43B2" w:rsidRPr="00B4143C" w:rsidRDefault="00495616" w:rsidP="005A43B2">
      <w:pPr>
        <w:pStyle w:val="ListParagraph"/>
        <w:spacing w:before="240" w:after="240"/>
        <w:jc w:val="both"/>
        <w:rPr>
          <w:rFonts w:asciiTheme="majorHAnsi" w:hAnsiTheme="majorHAnsi"/>
          <w:bCs/>
          <w:i/>
          <w:iCs/>
          <w:sz w:val="20"/>
          <w:szCs w:val="20"/>
          <w:lang w:val="es-ES"/>
        </w:rPr>
      </w:pPr>
      <w:r w:rsidRPr="00B4143C">
        <w:rPr>
          <w:rFonts w:asciiTheme="majorHAnsi" w:hAnsiTheme="majorHAnsi"/>
          <w:i/>
          <w:iCs/>
          <w:sz w:val="20"/>
          <w:szCs w:val="20"/>
          <w:lang w:val="es-ES"/>
        </w:rPr>
        <w:t xml:space="preserve">El </w:t>
      </w:r>
      <w:r w:rsidR="005A43B2" w:rsidRPr="00B4143C">
        <w:rPr>
          <w:rFonts w:asciiTheme="majorHAnsi" w:hAnsiTheme="majorHAnsi"/>
          <w:i/>
          <w:iCs/>
          <w:sz w:val="20"/>
          <w:szCs w:val="20"/>
          <w:lang w:val="es-ES"/>
        </w:rPr>
        <w:t>Estado</w:t>
      </w:r>
      <w:r w:rsidRPr="00B4143C">
        <w:rPr>
          <w:rFonts w:asciiTheme="majorHAnsi" w:hAnsiTheme="majorHAnsi"/>
          <w:i/>
          <w:iCs/>
          <w:sz w:val="20"/>
          <w:szCs w:val="20"/>
          <w:lang w:val="es-ES"/>
        </w:rPr>
        <w:t xml:space="preserve"> costarricense</w:t>
      </w:r>
    </w:p>
    <w:p w14:paraId="68A417B2" w14:textId="7539552F" w:rsidR="00B93D7F" w:rsidRPr="00B4143C" w:rsidRDefault="00806AA1"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sz w:val="20"/>
          <w:szCs w:val="20"/>
          <w:lang w:val="es-ES"/>
        </w:rPr>
        <w:t>E</w:t>
      </w:r>
      <w:r w:rsidR="00B93D7F" w:rsidRPr="00B4143C">
        <w:rPr>
          <w:rFonts w:asciiTheme="majorHAnsi" w:hAnsiTheme="majorHAnsi"/>
          <w:sz w:val="20"/>
          <w:szCs w:val="20"/>
          <w:lang w:val="es-ES"/>
        </w:rPr>
        <w:t>l Es</w:t>
      </w:r>
      <w:r w:rsidR="003F5154" w:rsidRPr="00B4143C">
        <w:rPr>
          <w:rFonts w:asciiTheme="majorHAnsi" w:hAnsiTheme="majorHAnsi"/>
          <w:sz w:val="20"/>
          <w:szCs w:val="20"/>
          <w:lang w:val="es-ES"/>
        </w:rPr>
        <w:t>tado</w:t>
      </w:r>
      <w:r w:rsidRPr="00B4143C">
        <w:rPr>
          <w:rFonts w:asciiTheme="majorHAnsi" w:hAnsiTheme="majorHAnsi"/>
          <w:sz w:val="20"/>
          <w:szCs w:val="20"/>
          <w:lang w:val="es-ES"/>
        </w:rPr>
        <w:t xml:space="preserve"> </w:t>
      </w:r>
      <w:r w:rsidR="00E015C2" w:rsidRPr="00B4143C">
        <w:rPr>
          <w:rFonts w:asciiTheme="majorHAnsi" w:hAnsiTheme="majorHAnsi"/>
          <w:sz w:val="20"/>
          <w:szCs w:val="20"/>
          <w:lang w:val="es-ES"/>
        </w:rPr>
        <w:t>alega</w:t>
      </w:r>
      <w:r w:rsidRPr="00B4143C">
        <w:rPr>
          <w:rFonts w:asciiTheme="majorHAnsi" w:hAnsiTheme="majorHAnsi"/>
          <w:sz w:val="20"/>
          <w:szCs w:val="20"/>
          <w:lang w:val="es-ES"/>
        </w:rPr>
        <w:t xml:space="preserve"> que la presente petición es inadmisible por </w:t>
      </w:r>
      <w:r w:rsidR="0085421B" w:rsidRPr="00B4143C">
        <w:rPr>
          <w:rFonts w:asciiTheme="majorHAnsi" w:hAnsiTheme="majorHAnsi"/>
          <w:sz w:val="20"/>
          <w:szCs w:val="20"/>
          <w:lang w:val="es-ES"/>
        </w:rPr>
        <w:t>extempor</w:t>
      </w:r>
      <w:r w:rsidR="00395141" w:rsidRPr="00B4143C">
        <w:rPr>
          <w:rFonts w:asciiTheme="majorHAnsi" w:hAnsiTheme="majorHAnsi"/>
          <w:sz w:val="20"/>
          <w:szCs w:val="20"/>
          <w:lang w:val="es-ES"/>
        </w:rPr>
        <w:t>aneidad</w:t>
      </w:r>
      <w:r w:rsidR="003C3C16" w:rsidRPr="00B4143C">
        <w:rPr>
          <w:rFonts w:asciiTheme="majorHAnsi" w:hAnsiTheme="majorHAnsi"/>
          <w:sz w:val="20"/>
          <w:szCs w:val="20"/>
          <w:lang w:val="es-ES"/>
        </w:rPr>
        <w:t xml:space="preserve"> y</w:t>
      </w:r>
      <w:r w:rsidR="00897489">
        <w:rPr>
          <w:rFonts w:asciiTheme="majorHAnsi" w:hAnsiTheme="majorHAnsi"/>
          <w:sz w:val="20"/>
          <w:szCs w:val="20"/>
          <w:lang w:val="es-ES"/>
        </w:rPr>
        <w:t>,</w:t>
      </w:r>
      <w:r w:rsidR="003C3C16" w:rsidRPr="00B4143C">
        <w:rPr>
          <w:rFonts w:asciiTheme="majorHAnsi" w:hAnsiTheme="majorHAnsi"/>
          <w:sz w:val="20"/>
          <w:szCs w:val="20"/>
          <w:lang w:val="es-ES"/>
        </w:rPr>
        <w:t xml:space="preserve"> de manera subsidiaria</w:t>
      </w:r>
      <w:r w:rsidR="00F867FF" w:rsidRPr="00B4143C">
        <w:rPr>
          <w:rFonts w:asciiTheme="majorHAnsi" w:hAnsiTheme="majorHAnsi"/>
          <w:sz w:val="20"/>
          <w:szCs w:val="20"/>
          <w:lang w:val="es-ES"/>
        </w:rPr>
        <w:t>, alega que la parte peticionaria</w:t>
      </w:r>
      <w:r w:rsidR="003C3C16" w:rsidRPr="00B4143C">
        <w:rPr>
          <w:rFonts w:asciiTheme="majorHAnsi" w:hAnsiTheme="majorHAnsi"/>
          <w:sz w:val="20"/>
          <w:szCs w:val="20"/>
          <w:lang w:val="es-ES"/>
        </w:rPr>
        <w:t xml:space="preserve"> </w:t>
      </w:r>
      <w:r w:rsidR="00644AB0" w:rsidRPr="00B4143C">
        <w:rPr>
          <w:rFonts w:asciiTheme="majorHAnsi" w:hAnsiTheme="majorHAnsi"/>
          <w:sz w:val="20"/>
          <w:szCs w:val="20"/>
          <w:lang w:val="es-ES"/>
        </w:rPr>
        <w:t xml:space="preserve">pretende </w:t>
      </w:r>
      <w:r w:rsidR="00493BA9" w:rsidRPr="00B4143C">
        <w:rPr>
          <w:rFonts w:asciiTheme="majorHAnsi" w:hAnsiTheme="majorHAnsi"/>
          <w:sz w:val="20"/>
          <w:szCs w:val="20"/>
          <w:lang w:val="es-ES"/>
        </w:rPr>
        <w:t>utilizar a</w:t>
      </w:r>
      <w:r w:rsidR="00644AB0" w:rsidRPr="00B4143C">
        <w:rPr>
          <w:rFonts w:asciiTheme="majorHAnsi" w:hAnsiTheme="majorHAnsi"/>
          <w:sz w:val="20"/>
          <w:szCs w:val="20"/>
          <w:lang w:val="es-ES"/>
        </w:rPr>
        <w:t xml:space="preserve"> la CIDH como </w:t>
      </w:r>
      <w:r w:rsidR="00493BA9" w:rsidRPr="00B4143C">
        <w:rPr>
          <w:rFonts w:asciiTheme="majorHAnsi" w:hAnsiTheme="majorHAnsi"/>
          <w:sz w:val="20"/>
          <w:szCs w:val="20"/>
          <w:lang w:val="es-ES"/>
        </w:rPr>
        <w:t xml:space="preserve">un </w:t>
      </w:r>
      <w:r w:rsidR="00644AB0" w:rsidRPr="00B4143C">
        <w:rPr>
          <w:rFonts w:asciiTheme="majorHAnsi" w:hAnsiTheme="majorHAnsi"/>
          <w:sz w:val="20"/>
          <w:szCs w:val="20"/>
          <w:lang w:val="es-ES"/>
        </w:rPr>
        <w:t xml:space="preserve">tribunal de cuarta instancia internacional </w:t>
      </w:r>
      <w:r w:rsidR="0002018D">
        <w:rPr>
          <w:rFonts w:asciiTheme="majorHAnsi" w:hAnsiTheme="majorHAnsi"/>
          <w:sz w:val="20"/>
          <w:szCs w:val="20"/>
          <w:lang w:val="es-ES"/>
        </w:rPr>
        <w:t>que</w:t>
      </w:r>
      <w:r w:rsidR="00644AB0" w:rsidRPr="00B4143C">
        <w:rPr>
          <w:rFonts w:asciiTheme="majorHAnsi" w:hAnsiTheme="majorHAnsi"/>
          <w:sz w:val="20"/>
          <w:szCs w:val="20"/>
          <w:lang w:val="es-ES"/>
        </w:rPr>
        <w:t xml:space="preserve"> revise las decisiones adoptadas en el proceso penal interno</w:t>
      </w:r>
      <w:r w:rsidR="0002018D">
        <w:rPr>
          <w:rFonts w:asciiTheme="majorHAnsi" w:hAnsiTheme="majorHAnsi"/>
          <w:sz w:val="20"/>
          <w:szCs w:val="20"/>
          <w:lang w:val="es-ES"/>
        </w:rPr>
        <w:t>,</w:t>
      </w:r>
      <w:r w:rsidR="00644AB0" w:rsidRPr="00B4143C">
        <w:rPr>
          <w:rFonts w:asciiTheme="majorHAnsi" w:hAnsiTheme="majorHAnsi"/>
          <w:sz w:val="20"/>
          <w:szCs w:val="20"/>
          <w:lang w:val="es-ES"/>
        </w:rPr>
        <w:t xml:space="preserve"> y </w:t>
      </w:r>
      <w:r w:rsidR="008846E2" w:rsidRPr="00B4143C">
        <w:rPr>
          <w:rFonts w:asciiTheme="majorHAnsi" w:hAnsiTheme="majorHAnsi"/>
          <w:sz w:val="20"/>
          <w:szCs w:val="20"/>
          <w:lang w:val="es-ES"/>
        </w:rPr>
        <w:t xml:space="preserve">que la petición </w:t>
      </w:r>
      <w:r w:rsidR="003C3C16" w:rsidRPr="00B4143C">
        <w:rPr>
          <w:rFonts w:asciiTheme="majorHAnsi" w:hAnsiTheme="majorHAnsi"/>
          <w:sz w:val="20"/>
          <w:szCs w:val="20"/>
          <w:lang w:val="es-ES"/>
        </w:rPr>
        <w:t xml:space="preserve">no contiene hechos que caractericen </w:t>
      </w:r>
      <w:r w:rsidR="00054D83">
        <w:rPr>
          <w:rFonts w:asciiTheme="majorHAnsi" w:hAnsiTheme="majorHAnsi"/>
          <w:sz w:val="20"/>
          <w:szCs w:val="20"/>
          <w:lang w:val="es-ES"/>
        </w:rPr>
        <w:t>violaciones a</w:t>
      </w:r>
      <w:r w:rsidR="003C3C16" w:rsidRPr="00B4143C">
        <w:rPr>
          <w:rFonts w:asciiTheme="majorHAnsi" w:hAnsiTheme="majorHAnsi"/>
          <w:sz w:val="20"/>
          <w:szCs w:val="20"/>
          <w:lang w:val="es-ES"/>
        </w:rPr>
        <w:t xml:space="preserve"> los derechos invocados.</w:t>
      </w:r>
    </w:p>
    <w:p w14:paraId="1A5C7CDD" w14:textId="30409236" w:rsidR="00A9679B" w:rsidRPr="00B4143C" w:rsidRDefault="00872DA3"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sz w:val="20"/>
          <w:szCs w:val="20"/>
          <w:lang w:val="es-ES"/>
        </w:rPr>
        <w:t>De manera preliminar, e</w:t>
      </w:r>
      <w:r w:rsidR="00D66624" w:rsidRPr="00B4143C">
        <w:rPr>
          <w:rFonts w:asciiTheme="majorHAnsi" w:hAnsiTheme="majorHAnsi"/>
          <w:sz w:val="20"/>
          <w:szCs w:val="20"/>
          <w:lang w:val="es-ES"/>
        </w:rPr>
        <w:t>l Estado contextualiza que</w:t>
      </w:r>
      <w:r w:rsidR="007D6C3F">
        <w:rPr>
          <w:rFonts w:asciiTheme="majorHAnsi" w:hAnsiTheme="majorHAnsi"/>
          <w:sz w:val="20"/>
          <w:szCs w:val="20"/>
          <w:lang w:val="es-ES"/>
        </w:rPr>
        <w:t>,</w:t>
      </w:r>
      <w:r w:rsidR="00D66624" w:rsidRPr="00B4143C">
        <w:rPr>
          <w:rFonts w:asciiTheme="majorHAnsi" w:hAnsiTheme="majorHAnsi"/>
          <w:sz w:val="20"/>
          <w:szCs w:val="20"/>
          <w:lang w:val="es-ES"/>
        </w:rPr>
        <w:t xml:space="preserve"> para la época de los hechos, aplicó una reforma penal que </w:t>
      </w:r>
      <w:r w:rsidR="003030A1" w:rsidRPr="00B4143C">
        <w:rPr>
          <w:rFonts w:asciiTheme="majorHAnsi" w:hAnsiTheme="majorHAnsi"/>
          <w:sz w:val="20"/>
          <w:szCs w:val="20"/>
          <w:lang w:val="es-ES"/>
        </w:rPr>
        <w:t>introdujo garantías judiciales básicas en los proceso penales a favor de los acusados, como el principio de presunción de inocencia y la posible anulación del juicio por irregularidades en la investigación y procesamiento de los acusados</w:t>
      </w:r>
      <w:r w:rsidR="00A90ECD">
        <w:rPr>
          <w:rFonts w:asciiTheme="majorHAnsi" w:hAnsiTheme="majorHAnsi"/>
          <w:sz w:val="20"/>
          <w:szCs w:val="20"/>
          <w:lang w:val="es-ES"/>
        </w:rPr>
        <w:t>. T</w:t>
      </w:r>
      <w:r w:rsidR="005B2C85" w:rsidRPr="00B4143C">
        <w:rPr>
          <w:rFonts w:asciiTheme="majorHAnsi" w:hAnsiTheme="majorHAnsi"/>
          <w:sz w:val="20"/>
          <w:szCs w:val="20"/>
          <w:lang w:val="es-ES"/>
        </w:rPr>
        <w:t>odo ello para garantizar los derechos protegidos en la Convención a favor de las personas procesadas penalmente</w:t>
      </w:r>
      <w:r w:rsidR="00723712" w:rsidRPr="00B4143C">
        <w:rPr>
          <w:rFonts w:asciiTheme="majorHAnsi" w:hAnsiTheme="majorHAnsi"/>
          <w:sz w:val="20"/>
          <w:szCs w:val="20"/>
          <w:lang w:val="es-ES"/>
        </w:rPr>
        <w:t>, por lo cual, ést</w:t>
      </w:r>
      <w:r w:rsidR="005B2C85" w:rsidRPr="00B4143C">
        <w:rPr>
          <w:rFonts w:asciiTheme="majorHAnsi" w:hAnsiTheme="majorHAnsi"/>
          <w:sz w:val="20"/>
          <w:szCs w:val="20"/>
          <w:lang w:val="es-ES"/>
        </w:rPr>
        <w:t>a</w:t>
      </w:r>
      <w:r w:rsidR="00723712" w:rsidRPr="00B4143C">
        <w:rPr>
          <w:rFonts w:asciiTheme="majorHAnsi" w:hAnsiTheme="majorHAnsi"/>
          <w:sz w:val="20"/>
          <w:szCs w:val="20"/>
          <w:lang w:val="es-ES"/>
        </w:rPr>
        <w:t>s podían solicitar la revisión de las sentencias condenatorias, como ocurrió en el presente caso</w:t>
      </w:r>
      <w:r w:rsidR="005B2C85" w:rsidRPr="00B4143C">
        <w:rPr>
          <w:rFonts w:asciiTheme="majorHAnsi" w:hAnsiTheme="majorHAnsi"/>
          <w:sz w:val="20"/>
          <w:szCs w:val="20"/>
          <w:lang w:val="es-ES"/>
        </w:rPr>
        <w:t>.</w:t>
      </w:r>
    </w:p>
    <w:p w14:paraId="4B9F6990" w14:textId="7C38B444" w:rsidR="00D66624" w:rsidRPr="00B4143C" w:rsidRDefault="00677AEF"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sz w:val="20"/>
          <w:szCs w:val="20"/>
          <w:lang w:val="es-ES"/>
        </w:rPr>
        <w:t>Explica que según los hallazgos de la investigación realizada a nivel interno, los cuatro</w:t>
      </w:r>
      <w:r w:rsidR="005669E1" w:rsidRPr="00B4143C">
        <w:rPr>
          <w:rFonts w:asciiTheme="majorHAnsi" w:hAnsiTheme="majorHAnsi"/>
          <w:sz w:val="20"/>
          <w:szCs w:val="20"/>
          <w:lang w:val="es-ES"/>
        </w:rPr>
        <w:t xml:space="preserve"> procesados perpetraron el crimen y al día siguiente vendieron las armas con las que asesinaron a las cuatro presuntas víctimas</w:t>
      </w:r>
      <w:r w:rsidR="008B42A7">
        <w:rPr>
          <w:rFonts w:asciiTheme="majorHAnsi" w:hAnsiTheme="majorHAnsi"/>
          <w:sz w:val="20"/>
          <w:szCs w:val="20"/>
          <w:lang w:val="es-ES"/>
        </w:rPr>
        <w:t>;</w:t>
      </w:r>
      <w:r w:rsidR="005669E1" w:rsidRPr="00B4143C">
        <w:rPr>
          <w:rFonts w:asciiTheme="majorHAnsi" w:hAnsiTheme="majorHAnsi"/>
          <w:sz w:val="20"/>
          <w:szCs w:val="20"/>
          <w:lang w:val="es-ES"/>
        </w:rPr>
        <w:t xml:space="preserve"> pero el Estado no </w:t>
      </w:r>
      <w:r w:rsidR="00300D2D" w:rsidRPr="00B4143C">
        <w:rPr>
          <w:rFonts w:asciiTheme="majorHAnsi" w:hAnsiTheme="majorHAnsi"/>
          <w:sz w:val="20"/>
          <w:szCs w:val="20"/>
          <w:lang w:val="es-ES"/>
        </w:rPr>
        <w:t xml:space="preserve">pudo </w:t>
      </w:r>
      <w:r w:rsidR="00DA3399">
        <w:rPr>
          <w:rFonts w:asciiTheme="majorHAnsi" w:hAnsiTheme="majorHAnsi"/>
          <w:sz w:val="20"/>
          <w:szCs w:val="20"/>
          <w:lang w:val="es-ES"/>
        </w:rPr>
        <w:t>materializar</w:t>
      </w:r>
      <w:r w:rsidR="00300D2D" w:rsidRPr="00B4143C">
        <w:rPr>
          <w:rFonts w:asciiTheme="majorHAnsi" w:hAnsiTheme="majorHAnsi"/>
          <w:sz w:val="20"/>
          <w:szCs w:val="20"/>
          <w:lang w:val="es-ES"/>
        </w:rPr>
        <w:t xml:space="preserve"> su condena </w:t>
      </w:r>
      <w:r w:rsidR="009742BA">
        <w:rPr>
          <w:rFonts w:asciiTheme="majorHAnsi" w:hAnsiTheme="majorHAnsi"/>
          <w:sz w:val="20"/>
          <w:szCs w:val="20"/>
          <w:lang w:val="es-ES"/>
        </w:rPr>
        <w:t>porque</w:t>
      </w:r>
      <w:r w:rsidR="00300D2D" w:rsidRPr="00B4143C">
        <w:rPr>
          <w:rFonts w:asciiTheme="majorHAnsi" w:hAnsiTheme="majorHAnsi"/>
          <w:sz w:val="20"/>
          <w:szCs w:val="20"/>
          <w:lang w:val="es-ES"/>
        </w:rPr>
        <w:t xml:space="preserve"> dos de ellos fallecieron en la etapa de la investigación inicial, el tercero </w:t>
      </w:r>
      <w:r w:rsidR="006A35AE" w:rsidRPr="00B4143C">
        <w:rPr>
          <w:rFonts w:asciiTheme="majorHAnsi" w:hAnsiTheme="majorHAnsi"/>
          <w:sz w:val="20"/>
          <w:szCs w:val="20"/>
          <w:lang w:val="es-ES"/>
        </w:rPr>
        <w:t xml:space="preserve">fue asesinado </w:t>
      </w:r>
      <w:r w:rsidR="00300D2D" w:rsidRPr="00B4143C">
        <w:rPr>
          <w:rFonts w:asciiTheme="majorHAnsi" w:hAnsiTheme="majorHAnsi"/>
          <w:sz w:val="20"/>
          <w:szCs w:val="20"/>
          <w:lang w:val="es-ES"/>
        </w:rPr>
        <w:t>durante la realización del segundo juicio</w:t>
      </w:r>
      <w:r w:rsidR="009742BA">
        <w:rPr>
          <w:rFonts w:asciiTheme="majorHAnsi" w:hAnsiTheme="majorHAnsi"/>
          <w:sz w:val="20"/>
          <w:szCs w:val="20"/>
          <w:lang w:val="es-ES"/>
        </w:rPr>
        <w:t>,</w:t>
      </w:r>
      <w:r w:rsidR="00300D2D" w:rsidRPr="00B4143C">
        <w:rPr>
          <w:rFonts w:asciiTheme="majorHAnsi" w:hAnsiTheme="majorHAnsi"/>
          <w:sz w:val="20"/>
          <w:szCs w:val="20"/>
          <w:lang w:val="es-ES"/>
        </w:rPr>
        <w:t xml:space="preserve"> y el cua</w:t>
      </w:r>
      <w:r w:rsidR="008B42A7">
        <w:rPr>
          <w:rFonts w:asciiTheme="majorHAnsi" w:hAnsiTheme="majorHAnsi"/>
          <w:sz w:val="20"/>
          <w:szCs w:val="20"/>
          <w:lang w:val="es-ES"/>
        </w:rPr>
        <w:t>r</w:t>
      </w:r>
      <w:r w:rsidR="00300D2D" w:rsidRPr="00B4143C">
        <w:rPr>
          <w:rFonts w:asciiTheme="majorHAnsi" w:hAnsiTheme="majorHAnsi"/>
          <w:sz w:val="20"/>
          <w:szCs w:val="20"/>
          <w:lang w:val="es-ES"/>
        </w:rPr>
        <w:t xml:space="preserve">to fue absuelto porque al momento de los hechos era menor de </w:t>
      </w:r>
      <w:r w:rsidR="008B42A7">
        <w:rPr>
          <w:rFonts w:asciiTheme="majorHAnsi" w:hAnsiTheme="majorHAnsi"/>
          <w:sz w:val="20"/>
          <w:szCs w:val="20"/>
          <w:lang w:val="es-ES"/>
        </w:rPr>
        <w:t>18</w:t>
      </w:r>
      <w:r w:rsidR="008B42A7" w:rsidRPr="00B4143C">
        <w:rPr>
          <w:rFonts w:asciiTheme="majorHAnsi" w:hAnsiTheme="majorHAnsi"/>
          <w:sz w:val="20"/>
          <w:szCs w:val="20"/>
          <w:lang w:val="es-ES"/>
        </w:rPr>
        <w:t xml:space="preserve"> </w:t>
      </w:r>
      <w:r w:rsidR="00300D2D" w:rsidRPr="00B4143C">
        <w:rPr>
          <w:rFonts w:asciiTheme="majorHAnsi" w:hAnsiTheme="majorHAnsi"/>
          <w:sz w:val="20"/>
          <w:szCs w:val="20"/>
          <w:lang w:val="es-ES"/>
        </w:rPr>
        <w:t>años</w:t>
      </w:r>
      <w:r w:rsidR="009742BA">
        <w:rPr>
          <w:rFonts w:asciiTheme="majorHAnsi" w:hAnsiTheme="majorHAnsi"/>
          <w:sz w:val="20"/>
          <w:szCs w:val="20"/>
          <w:lang w:val="es-ES"/>
        </w:rPr>
        <w:t>,</w:t>
      </w:r>
      <w:r w:rsidR="00026EA2" w:rsidRPr="00B4143C">
        <w:rPr>
          <w:rFonts w:asciiTheme="majorHAnsi" w:hAnsiTheme="majorHAnsi"/>
          <w:sz w:val="20"/>
          <w:szCs w:val="20"/>
          <w:lang w:val="es-ES"/>
        </w:rPr>
        <w:t xml:space="preserve"> y porque se aplicó </w:t>
      </w:r>
      <w:r w:rsidR="00D459A8">
        <w:rPr>
          <w:rFonts w:asciiTheme="majorHAnsi" w:hAnsiTheme="majorHAnsi"/>
          <w:sz w:val="20"/>
          <w:szCs w:val="20"/>
          <w:lang w:val="es-ES"/>
        </w:rPr>
        <w:t>l</w:t>
      </w:r>
      <w:r w:rsidR="00026EA2" w:rsidRPr="00B4143C">
        <w:rPr>
          <w:rFonts w:asciiTheme="majorHAnsi" w:hAnsiTheme="majorHAnsi"/>
          <w:sz w:val="20"/>
          <w:szCs w:val="20"/>
          <w:lang w:val="es-ES"/>
        </w:rPr>
        <w:t>a duda razonable a su favor</w:t>
      </w:r>
      <w:r w:rsidR="00300D2D" w:rsidRPr="00B4143C">
        <w:rPr>
          <w:rFonts w:asciiTheme="majorHAnsi" w:hAnsiTheme="majorHAnsi"/>
          <w:sz w:val="20"/>
          <w:szCs w:val="20"/>
          <w:lang w:val="es-ES"/>
        </w:rPr>
        <w:t>. Sin embargo, aduce que la fiscalía logró esclarecer los hechos y</w:t>
      </w:r>
      <w:r w:rsidR="00D459A8">
        <w:rPr>
          <w:rFonts w:asciiTheme="majorHAnsi" w:hAnsiTheme="majorHAnsi"/>
          <w:sz w:val="20"/>
          <w:szCs w:val="20"/>
          <w:lang w:val="es-ES"/>
        </w:rPr>
        <w:t xml:space="preserve"> que</w:t>
      </w:r>
      <w:r w:rsidR="00300D2D" w:rsidRPr="00B4143C">
        <w:rPr>
          <w:rFonts w:asciiTheme="majorHAnsi" w:hAnsiTheme="majorHAnsi"/>
          <w:sz w:val="20"/>
          <w:szCs w:val="20"/>
          <w:lang w:val="es-ES"/>
        </w:rPr>
        <w:t xml:space="preserve"> </w:t>
      </w:r>
      <w:r w:rsidR="003E0BE8" w:rsidRPr="00B4143C">
        <w:rPr>
          <w:rFonts w:asciiTheme="majorHAnsi" w:hAnsiTheme="majorHAnsi"/>
          <w:sz w:val="20"/>
          <w:szCs w:val="20"/>
          <w:lang w:val="es-ES"/>
        </w:rPr>
        <w:t>no se obtuvo la condena de los responsables por razones ajenas a la actuación del Estado</w:t>
      </w:r>
      <w:r w:rsidR="00BB54A6">
        <w:rPr>
          <w:rFonts w:asciiTheme="majorHAnsi" w:hAnsiTheme="majorHAnsi"/>
          <w:sz w:val="20"/>
          <w:szCs w:val="20"/>
          <w:lang w:val="es-ES"/>
        </w:rPr>
        <w:t>;</w:t>
      </w:r>
      <w:r w:rsidR="003E0BE8" w:rsidRPr="00B4143C">
        <w:rPr>
          <w:rFonts w:asciiTheme="majorHAnsi" w:hAnsiTheme="majorHAnsi"/>
          <w:sz w:val="20"/>
          <w:szCs w:val="20"/>
          <w:lang w:val="es-ES"/>
        </w:rPr>
        <w:t xml:space="preserve"> con lo que</w:t>
      </w:r>
      <w:r w:rsidR="006526C7" w:rsidRPr="00B4143C">
        <w:rPr>
          <w:rFonts w:asciiTheme="majorHAnsi" w:hAnsiTheme="majorHAnsi"/>
          <w:sz w:val="20"/>
          <w:szCs w:val="20"/>
          <w:lang w:val="es-ES"/>
        </w:rPr>
        <w:t>, contrario a lo alegado por la parte peticionaria,</w:t>
      </w:r>
      <w:r w:rsidR="003E0BE8" w:rsidRPr="00B4143C">
        <w:rPr>
          <w:rFonts w:asciiTheme="majorHAnsi" w:hAnsiTheme="majorHAnsi"/>
          <w:sz w:val="20"/>
          <w:szCs w:val="20"/>
          <w:lang w:val="es-ES"/>
        </w:rPr>
        <w:t xml:space="preserve"> no existe un cuadro de impunidad parcial o total</w:t>
      </w:r>
      <w:r w:rsidR="001B7E00" w:rsidRPr="00B4143C">
        <w:rPr>
          <w:rFonts w:asciiTheme="majorHAnsi" w:hAnsiTheme="majorHAnsi"/>
          <w:sz w:val="20"/>
          <w:szCs w:val="20"/>
          <w:lang w:val="es-ES"/>
        </w:rPr>
        <w:t xml:space="preserve"> de la masacre</w:t>
      </w:r>
      <w:r w:rsidR="003E0BE8" w:rsidRPr="00B4143C">
        <w:rPr>
          <w:rFonts w:asciiTheme="majorHAnsi" w:hAnsiTheme="majorHAnsi"/>
          <w:sz w:val="20"/>
          <w:szCs w:val="20"/>
          <w:lang w:val="es-ES"/>
        </w:rPr>
        <w:t>.</w:t>
      </w:r>
    </w:p>
    <w:p w14:paraId="49AA4939" w14:textId="0620BE00" w:rsidR="00A9679B" w:rsidRPr="00ED5941" w:rsidRDefault="00A9679B"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sz w:val="20"/>
          <w:szCs w:val="20"/>
          <w:lang w:val="es-ES"/>
        </w:rPr>
        <w:t xml:space="preserve">En relación con el alegato de extemporaneidad de la petición, Costa Rica </w:t>
      </w:r>
      <w:r w:rsidR="0014779F" w:rsidRPr="00B4143C">
        <w:rPr>
          <w:rFonts w:asciiTheme="majorHAnsi" w:hAnsiTheme="majorHAnsi"/>
          <w:sz w:val="20"/>
          <w:szCs w:val="20"/>
          <w:lang w:val="es-ES"/>
        </w:rPr>
        <w:t xml:space="preserve">plantea dos </w:t>
      </w:r>
      <w:r w:rsidR="00783B7D" w:rsidRPr="00B4143C">
        <w:rPr>
          <w:rFonts w:asciiTheme="majorHAnsi" w:hAnsiTheme="majorHAnsi"/>
          <w:sz w:val="20"/>
          <w:szCs w:val="20"/>
          <w:lang w:val="es-ES"/>
        </w:rPr>
        <w:t>argumentos</w:t>
      </w:r>
      <w:r w:rsidR="0014779F" w:rsidRPr="00B4143C">
        <w:rPr>
          <w:rFonts w:asciiTheme="majorHAnsi" w:hAnsiTheme="majorHAnsi"/>
          <w:sz w:val="20"/>
          <w:szCs w:val="20"/>
          <w:lang w:val="es-ES"/>
        </w:rPr>
        <w:t>: el incumplimiento del plazo de seis meses para la presentación de la petición</w:t>
      </w:r>
      <w:r w:rsidR="00A7450A" w:rsidRPr="00B4143C">
        <w:rPr>
          <w:rFonts w:asciiTheme="majorHAnsi" w:hAnsiTheme="majorHAnsi"/>
          <w:sz w:val="20"/>
          <w:szCs w:val="20"/>
          <w:lang w:val="es-ES"/>
        </w:rPr>
        <w:t xml:space="preserve"> después de la prescripción de la acción penal en </w:t>
      </w:r>
      <w:r w:rsidR="000A4592" w:rsidRPr="00B4143C">
        <w:rPr>
          <w:rFonts w:asciiTheme="majorHAnsi" w:hAnsiTheme="majorHAnsi"/>
          <w:sz w:val="20"/>
          <w:szCs w:val="20"/>
          <w:lang w:val="es-ES"/>
        </w:rPr>
        <w:t xml:space="preserve">octubre de </w:t>
      </w:r>
      <w:r w:rsidR="00A7450A" w:rsidRPr="00B4143C">
        <w:rPr>
          <w:rFonts w:asciiTheme="majorHAnsi" w:hAnsiTheme="majorHAnsi"/>
          <w:sz w:val="20"/>
          <w:szCs w:val="20"/>
          <w:lang w:val="es-ES"/>
        </w:rPr>
        <w:t>2006</w:t>
      </w:r>
      <w:r w:rsidR="00E56CC4" w:rsidRPr="00B4143C">
        <w:rPr>
          <w:rFonts w:asciiTheme="majorHAnsi" w:hAnsiTheme="majorHAnsi"/>
          <w:sz w:val="20"/>
          <w:szCs w:val="20"/>
          <w:lang w:val="es-ES"/>
        </w:rPr>
        <w:t xml:space="preserve">, conforme </w:t>
      </w:r>
      <w:r w:rsidR="00A7450A" w:rsidRPr="00B4143C">
        <w:rPr>
          <w:rFonts w:asciiTheme="majorHAnsi" w:hAnsiTheme="majorHAnsi"/>
          <w:sz w:val="20"/>
          <w:szCs w:val="20"/>
          <w:lang w:val="es-ES"/>
        </w:rPr>
        <w:t>al requisito establecido en el artículo 46.1.b) de la Convención</w:t>
      </w:r>
      <w:r w:rsidR="0014779F" w:rsidRPr="00B4143C">
        <w:rPr>
          <w:rFonts w:asciiTheme="majorHAnsi" w:hAnsiTheme="majorHAnsi"/>
          <w:sz w:val="20"/>
          <w:szCs w:val="20"/>
          <w:lang w:val="es-ES"/>
        </w:rPr>
        <w:t xml:space="preserve">; y, </w:t>
      </w:r>
      <w:r w:rsidR="006435E6" w:rsidRPr="00B4143C">
        <w:rPr>
          <w:rFonts w:asciiTheme="majorHAnsi" w:hAnsiTheme="majorHAnsi"/>
          <w:sz w:val="20"/>
          <w:szCs w:val="20"/>
          <w:lang w:val="es-ES"/>
        </w:rPr>
        <w:t>de manera subsidiaria</w:t>
      </w:r>
      <w:r w:rsidR="00A7450A" w:rsidRPr="00B4143C">
        <w:rPr>
          <w:rFonts w:asciiTheme="majorHAnsi" w:hAnsiTheme="majorHAnsi"/>
          <w:sz w:val="20"/>
          <w:szCs w:val="20"/>
          <w:lang w:val="es-ES"/>
        </w:rPr>
        <w:t xml:space="preserve">, </w:t>
      </w:r>
      <w:r w:rsidR="004E1DEF" w:rsidRPr="00B4143C">
        <w:rPr>
          <w:rFonts w:asciiTheme="majorHAnsi" w:hAnsiTheme="majorHAnsi"/>
          <w:sz w:val="20"/>
          <w:szCs w:val="20"/>
          <w:lang w:val="es-ES"/>
        </w:rPr>
        <w:t xml:space="preserve">aduce </w:t>
      </w:r>
      <w:r w:rsidR="00862200" w:rsidRPr="00B4143C">
        <w:rPr>
          <w:rFonts w:asciiTheme="majorHAnsi" w:hAnsiTheme="majorHAnsi"/>
          <w:sz w:val="20"/>
          <w:szCs w:val="20"/>
          <w:lang w:val="es-ES"/>
        </w:rPr>
        <w:t xml:space="preserve">que, aún si se considera que aplica una de las excepciones al </w:t>
      </w:r>
      <w:r w:rsidR="00F444C5" w:rsidRPr="00B4143C">
        <w:rPr>
          <w:rFonts w:asciiTheme="majorHAnsi" w:hAnsiTheme="majorHAnsi"/>
          <w:sz w:val="20"/>
          <w:szCs w:val="20"/>
          <w:lang w:val="es-ES"/>
        </w:rPr>
        <w:t xml:space="preserve">término de seis meses de presentación, </w:t>
      </w:r>
      <w:r w:rsidR="0014779F" w:rsidRPr="00B4143C">
        <w:rPr>
          <w:rFonts w:asciiTheme="majorHAnsi" w:hAnsiTheme="majorHAnsi"/>
          <w:sz w:val="20"/>
          <w:szCs w:val="20"/>
          <w:lang w:val="es-ES"/>
        </w:rPr>
        <w:t xml:space="preserve">la </w:t>
      </w:r>
      <w:r w:rsidR="00BB54A6">
        <w:rPr>
          <w:rFonts w:asciiTheme="majorHAnsi" w:hAnsiTheme="majorHAnsi"/>
          <w:sz w:val="20"/>
          <w:szCs w:val="20"/>
          <w:lang w:val="es-ES"/>
        </w:rPr>
        <w:t xml:space="preserve">formalización </w:t>
      </w:r>
      <w:r w:rsidR="0014779F" w:rsidRPr="00B4143C">
        <w:rPr>
          <w:rFonts w:asciiTheme="majorHAnsi" w:hAnsiTheme="majorHAnsi"/>
          <w:sz w:val="20"/>
          <w:szCs w:val="20"/>
          <w:lang w:val="es-ES"/>
        </w:rPr>
        <w:t xml:space="preserve">de la petición </w:t>
      </w:r>
      <w:r w:rsidR="00F444C5" w:rsidRPr="00B4143C">
        <w:rPr>
          <w:rFonts w:asciiTheme="majorHAnsi" w:hAnsiTheme="majorHAnsi"/>
          <w:sz w:val="20"/>
          <w:szCs w:val="20"/>
          <w:lang w:val="es-ES"/>
        </w:rPr>
        <w:t xml:space="preserve">excede el </w:t>
      </w:r>
      <w:r w:rsidR="0014779F" w:rsidRPr="00B4143C">
        <w:rPr>
          <w:rFonts w:asciiTheme="majorHAnsi" w:hAnsiTheme="majorHAnsi"/>
          <w:sz w:val="20"/>
          <w:szCs w:val="20"/>
          <w:lang w:val="es-ES"/>
        </w:rPr>
        <w:t>plazo razonable</w:t>
      </w:r>
      <w:r w:rsidR="007A5DFA" w:rsidRPr="00B4143C">
        <w:rPr>
          <w:rFonts w:asciiTheme="majorHAnsi" w:hAnsiTheme="majorHAnsi"/>
          <w:sz w:val="20"/>
          <w:szCs w:val="20"/>
          <w:lang w:val="es-ES"/>
        </w:rPr>
        <w:t xml:space="preserve"> en los términos del artículo 32.2 del Reglamento de la CIDH,</w:t>
      </w:r>
      <w:r w:rsidR="006C6712" w:rsidRPr="00B4143C">
        <w:rPr>
          <w:rFonts w:asciiTheme="majorHAnsi" w:hAnsiTheme="majorHAnsi"/>
          <w:sz w:val="20"/>
          <w:szCs w:val="20"/>
          <w:lang w:val="es-ES"/>
        </w:rPr>
        <w:t xml:space="preserve"> puesto que </w:t>
      </w:r>
      <w:r w:rsidR="00183688" w:rsidRPr="00B4143C">
        <w:rPr>
          <w:rFonts w:asciiTheme="majorHAnsi" w:hAnsiTheme="majorHAnsi"/>
          <w:sz w:val="20"/>
          <w:szCs w:val="20"/>
          <w:lang w:val="es-ES"/>
        </w:rPr>
        <w:t xml:space="preserve">transcurrieron </w:t>
      </w:r>
      <w:r w:rsidR="00C11D5D" w:rsidRPr="00B4143C">
        <w:rPr>
          <w:rFonts w:asciiTheme="majorHAnsi" w:hAnsiTheme="majorHAnsi"/>
          <w:sz w:val="20"/>
          <w:szCs w:val="20"/>
          <w:lang w:val="es-ES"/>
        </w:rPr>
        <w:t>15</w:t>
      </w:r>
      <w:r w:rsidR="006C6712" w:rsidRPr="00B4143C">
        <w:rPr>
          <w:rFonts w:asciiTheme="majorHAnsi" w:hAnsiTheme="majorHAnsi"/>
          <w:sz w:val="20"/>
          <w:szCs w:val="20"/>
          <w:lang w:val="es-ES"/>
        </w:rPr>
        <w:t xml:space="preserve"> años desde la prescripción de la acción penal hasta </w:t>
      </w:r>
      <w:r w:rsidR="000442AD">
        <w:rPr>
          <w:rFonts w:asciiTheme="majorHAnsi" w:hAnsiTheme="majorHAnsi"/>
          <w:sz w:val="20"/>
          <w:szCs w:val="20"/>
          <w:lang w:val="es-ES"/>
        </w:rPr>
        <w:t>su interposición</w:t>
      </w:r>
      <w:r w:rsidR="00675601" w:rsidRPr="00B4143C">
        <w:rPr>
          <w:rFonts w:asciiTheme="majorHAnsi" w:hAnsiTheme="majorHAnsi"/>
          <w:sz w:val="20"/>
          <w:szCs w:val="20"/>
          <w:lang w:val="es-ES"/>
        </w:rPr>
        <w:t>.</w:t>
      </w:r>
      <w:r w:rsidR="0049483E" w:rsidRPr="00B4143C">
        <w:rPr>
          <w:rFonts w:asciiTheme="majorHAnsi" w:hAnsiTheme="majorHAnsi"/>
          <w:sz w:val="20"/>
          <w:szCs w:val="20"/>
          <w:lang w:val="es-ES"/>
        </w:rPr>
        <w:t xml:space="preserve"> Sostiene que las razones expresadas por la parte peticionaria sobre la desconfianza en las autoridades no cuentan con sustento fáctico ni jurídico</w:t>
      </w:r>
      <w:r w:rsidR="002F77D2" w:rsidRPr="00B4143C">
        <w:rPr>
          <w:rFonts w:asciiTheme="majorHAnsi" w:hAnsiTheme="majorHAnsi"/>
          <w:sz w:val="20"/>
          <w:szCs w:val="20"/>
          <w:lang w:val="es-ES"/>
        </w:rPr>
        <w:t>, pues no se presentó denuncia por la presunta amenaza de violencia sexual y forcejeo a la familiar de las presuntas víctimas.</w:t>
      </w:r>
    </w:p>
    <w:p w14:paraId="70ED6A2F" w14:textId="77777777" w:rsidR="00ED5941" w:rsidRPr="00ED5941" w:rsidRDefault="00ED5941" w:rsidP="00ED5941">
      <w:pPr>
        <w:pStyle w:val="ListParagraph"/>
        <w:spacing w:before="240" w:after="240"/>
        <w:jc w:val="both"/>
        <w:rPr>
          <w:rFonts w:asciiTheme="majorHAnsi" w:hAnsiTheme="majorHAnsi"/>
          <w:bCs/>
          <w:sz w:val="20"/>
          <w:szCs w:val="20"/>
          <w:lang w:val="es-ES"/>
        </w:rPr>
      </w:pPr>
    </w:p>
    <w:p w14:paraId="14D7F93C" w14:textId="4E5E48C3" w:rsidR="00132A06" w:rsidRPr="00B4143C" w:rsidRDefault="002A06EC"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bCs/>
          <w:sz w:val="20"/>
          <w:szCs w:val="20"/>
          <w:lang w:val="es-ES"/>
        </w:rPr>
        <w:lastRenderedPageBreak/>
        <w:t>Por otr</w:t>
      </w:r>
      <w:r w:rsidR="00BD47A9" w:rsidRPr="00B4143C">
        <w:rPr>
          <w:rFonts w:asciiTheme="majorHAnsi" w:hAnsiTheme="majorHAnsi"/>
          <w:bCs/>
          <w:sz w:val="20"/>
          <w:szCs w:val="20"/>
          <w:lang w:val="es-ES"/>
        </w:rPr>
        <w:t>o</w:t>
      </w:r>
      <w:r w:rsidRPr="00B4143C">
        <w:rPr>
          <w:rFonts w:asciiTheme="majorHAnsi" w:hAnsiTheme="majorHAnsi"/>
          <w:bCs/>
          <w:sz w:val="20"/>
          <w:szCs w:val="20"/>
          <w:lang w:val="es-ES"/>
        </w:rPr>
        <w:t xml:space="preserve"> lado, </w:t>
      </w:r>
      <w:r w:rsidR="009B35FB" w:rsidRPr="00B4143C">
        <w:rPr>
          <w:rFonts w:asciiTheme="majorHAnsi" w:hAnsiTheme="majorHAnsi"/>
          <w:bCs/>
          <w:sz w:val="20"/>
          <w:szCs w:val="20"/>
          <w:lang w:val="es-ES"/>
        </w:rPr>
        <w:t xml:space="preserve">el Estado aduce que </w:t>
      </w:r>
      <w:r w:rsidR="003A7494" w:rsidRPr="00B4143C">
        <w:rPr>
          <w:rFonts w:asciiTheme="majorHAnsi" w:hAnsiTheme="majorHAnsi"/>
          <w:bCs/>
          <w:sz w:val="20"/>
          <w:szCs w:val="20"/>
          <w:lang w:val="es-ES"/>
        </w:rPr>
        <w:t>la petición viola el principio de subsidiariedad internacional, pues pretende que la CIDH actúe como una cuarta instancia internacional del proceso penal</w:t>
      </w:r>
      <w:r w:rsidR="00C44542" w:rsidRPr="00B4143C">
        <w:rPr>
          <w:rFonts w:asciiTheme="majorHAnsi" w:hAnsiTheme="majorHAnsi"/>
          <w:bCs/>
          <w:sz w:val="20"/>
          <w:szCs w:val="20"/>
          <w:lang w:val="es-ES"/>
        </w:rPr>
        <w:t xml:space="preserve"> para que </w:t>
      </w:r>
      <w:r w:rsidR="008C3903" w:rsidRPr="00B4143C">
        <w:rPr>
          <w:rFonts w:asciiTheme="majorHAnsi" w:hAnsiTheme="majorHAnsi"/>
          <w:bCs/>
          <w:sz w:val="20"/>
          <w:szCs w:val="20"/>
          <w:lang w:val="es-ES"/>
        </w:rPr>
        <w:t>eva</w:t>
      </w:r>
      <w:r w:rsidR="00C44542" w:rsidRPr="00B4143C">
        <w:rPr>
          <w:rFonts w:asciiTheme="majorHAnsi" w:hAnsiTheme="majorHAnsi"/>
          <w:bCs/>
          <w:sz w:val="20"/>
          <w:szCs w:val="20"/>
          <w:lang w:val="es-ES"/>
        </w:rPr>
        <w:t xml:space="preserve">lúe si las autoridades </w:t>
      </w:r>
      <w:r w:rsidR="008C3903" w:rsidRPr="00B4143C">
        <w:rPr>
          <w:rFonts w:asciiTheme="majorHAnsi" w:hAnsiTheme="majorHAnsi"/>
          <w:bCs/>
          <w:sz w:val="20"/>
          <w:szCs w:val="20"/>
          <w:lang w:val="es-ES"/>
        </w:rPr>
        <w:t xml:space="preserve">siguieron o no la línea de investigación que </w:t>
      </w:r>
      <w:r w:rsidR="004C3BAA" w:rsidRPr="00B4143C">
        <w:rPr>
          <w:rFonts w:asciiTheme="majorHAnsi" w:hAnsiTheme="majorHAnsi"/>
          <w:bCs/>
          <w:sz w:val="20"/>
          <w:szCs w:val="20"/>
          <w:lang w:val="es-ES"/>
        </w:rPr>
        <w:t>la parte peticionaria</w:t>
      </w:r>
      <w:r w:rsidR="008C3903" w:rsidRPr="00B4143C">
        <w:rPr>
          <w:rFonts w:asciiTheme="majorHAnsi" w:hAnsiTheme="majorHAnsi"/>
          <w:bCs/>
          <w:sz w:val="20"/>
          <w:szCs w:val="20"/>
          <w:lang w:val="es-ES"/>
        </w:rPr>
        <w:t xml:space="preserve"> considera correcta.</w:t>
      </w:r>
      <w:r w:rsidR="00DF3C75" w:rsidRPr="00B4143C">
        <w:rPr>
          <w:rFonts w:asciiTheme="majorHAnsi" w:hAnsiTheme="majorHAnsi"/>
          <w:bCs/>
          <w:sz w:val="20"/>
          <w:szCs w:val="20"/>
          <w:lang w:val="es-ES"/>
        </w:rPr>
        <w:t xml:space="preserve"> Manifiesta que </w:t>
      </w:r>
      <w:r w:rsidR="00120A9B" w:rsidRPr="00B4143C">
        <w:rPr>
          <w:rFonts w:asciiTheme="majorHAnsi" w:hAnsiTheme="majorHAnsi"/>
          <w:bCs/>
          <w:sz w:val="20"/>
          <w:szCs w:val="20"/>
          <w:lang w:val="es-ES"/>
        </w:rPr>
        <w:t>l</w:t>
      </w:r>
      <w:r w:rsidR="00DF3C75" w:rsidRPr="00B4143C">
        <w:rPr>
          <w:rFonts w:asciiTheme="majorHAnsi" w:hAnsiTheme="majorHAnsi"/>
          <w:bCs/>
          <w:sz w:val="20"/>
          <w:szCs w:val="20"/>
          <w:lang w:val="es-ES"/>
        </w:rPr>
        <w:t xml:space="preserve">a pretensión principal es que la Comisión declare que la fiscalía fue negligente por no seguir la </w:t>
      </w:r>
      <w:r w:rsidR="001931DB" w:rsidRPr="00B4143C">
        <w:rPr>
          <w:rFonts w:asciiTheme="majorHAnsi" w:hAnsiTheme="majorHAnsi"/>
          <w:bCs/>
          <w:sz w:val="20"/>
          <w:szCs w:val="20"/>
          <w:lang w:val="es-ES"/>
        </w:rPr>
        <w:t>teoría del caso sugerida por los investigadores a part</w:t>
      </w:r>
      <w:r w:rsidR="00281272" w:rsidRPr="00B4143C">
        <w:rPr>
          <w:rFonts w:asciiTheme="majorHAnsi" w:hAnsiTheme="majorHAnsi"/>
          <w:bCs/>
          <w:sz w:val="20"/>
          <w:szCs w:val="20"/>
          <w:lang w:val="es-ES"/>
        </w:rPr>
        <w:t>ir</w:t>
      </w:r>
      <w:r w:rsidR="001931DB" w:rsidRPr="00B4143C">
        <w:rPr>
          <w:rFonts w:asciiTheme="majorHAnsi" w:hAnsiTheme="majorHAnsi"/>
          <w:bCs/>
          <w:sz w:val="20"/>
          <w:szCs w:val="20"/>
          <w:lang w:val="es-ES"/>
        </w:rPr>
        <w:t xml:space="preserve"> de 1998</w:t>
      </w:r>
      <w:r w:rsidR="00281272" w:rsidRPr="00B4143C">
        <w:rPr>
          <w:rFonts w:asciiTheme="majorHAnsi" w:hAnsiTheme="majorHAnsi"/>
          <w:bCs/>
          <w:sz w:val="20"/>
          <w:szCs w:val="20"/>
          <w:lang w:val="es-ES"/>
        </w:rPr>
        <w:t>, pese a que dicha línea sí fue explorada</w:t>
      </w:r>
      <w:r w:rsidR="00195384">
        <w:rPr>
          <w:rFonts w:asciiTheme="majorHAnsi" w:hAnsiTheme="majorHAnsi"/>
          <w:bCs/>
          <w:sz w:val="20"/>
          <w:szCs w:val="20"/>
          <w:lang w:val="es-ES"/>
        </w:rPr>
        <w:t>,</w:t>
      </w:r>
      <w:r w:rsidR="00281272" w:rsidRPr="00B4143C">
        <w:rPr>
          <w:rFonts w:asciiTheme="majorHAnsi" w:hAnsiTheme="majorHAnsi"/>
          <w:bCs/>
          <w:sz w:val="20"/>
          <w:szCs w:val="20"/>
          <w:lang w:val="es-ES"/>
        </w:rPr>
        <w:t xml:space="preserve"> pero descartada por la fiscalía</w:t>
      </w:r>
      <w:r w:rsidR="000C49C3" w:rsidRPr="00B4143C">
        <w:rPr>
          <w:rFonts w:asciiTheme="majorHAnsi" w:hAnsiTheme="majorHAnsi"/>
          <w:bCs/>
          <w:sz w:val="20"/>
          <w:szCs w:val="20"/>
          <w:lang w:val="es-ES"/>
        </w:rPr>
        <w:t xml:space="preserve"> con base en estudios de balística de los otros crímenes</w:t>
      </w:r>
      <w:r w:rsidR="001931DB" w:rsidRPr="00B4143C">
        <w:rPr>
          <w:rFonts w:asciiTheme="majorHAnsi" w:hAnsiTheme="majorHAnsi"/>
          <w:bCs/>
          <w:sz w:val="20"/>
          <w:szCs w:val="20"/>
          <w:lang w:val="es-ES"/>
        </w:rPr>
        <w:t>.</w:t>
      </w:r>
      <w:r w:rsidR="00B34377" w:rsidRPr="00B4143C">
        <w:rPr>
          <w:rFonts w:asciiTheme="majorHAnsi" w:hAnsiTheme="majorHAnsi"/>
          <w:bCs/>
          <w:sz w:val="20"/>
          <w:szCs w:val="20"/>
          <w:lang w:val="es-ES"/>
        </w:rPr>
        <w:t xml:space="preserve"> En tal sentido, considera que </w:t>
      </w:r>
      <w:r w:rsidR="00B34377" w:rsidRPr="00B4143C">
        <w:rPr>
          <w:rFonts w:asciiTheme="majorHAnsi" w:hAnsiTheme="majorHAnsi"/>
          <w:sz w:val="20"/>
          <w:szCs w:val="20"/>
          <w:lang w:val="es-ES"/>
        </w:rPr>
        <w:t xml:space="preserve">la parte peticionaria no señala vicios o aspectos concretos del proceso de investigación seguido por el Estado en los que </w:t>
      </w:r>
      <w:r w:rsidR="002D56CA" w:rsidRPr="00B4143C">
        <w:rPr>
          <w:rFonts w:asciiTheme="majorHAnsi" w:hAnsiTheme="majorHAnsi"/>
          <w:sz w:val="20"/>
          <w:szCs w:val="20"/>
          <w:lang w:val="es-ES"/>
        </w:rPr>
        <w:t>éste</w:t>
      </w:r>
      <w:r w:rsidR="00B34377" w:rsidRPr="00B4143C">
        <w:rPr>
          <w:rFonts w:asciiTheme="majorHAnsi" w:hAnsiTheme="majorHAnsi"/>
          <w:sz w:val="20"/>
          <w:szCs w:val="20"/>
          <w:lang w:val="es-ES"/>
        </w:rPr>
        <w:t xml:space="preserve"> haya faltado a las garantías del debido proceso</w:t>
      </w:r>
      <w:r w:rsidR="00543539">
        <w:rPr>
          <w:rFonts w:asciiTheme="majorHAnsi" w:hAnsiTheme="majorHAnsi"/>
          <w:sz w:val="20"/>
          <w:szCs w:val="20"/>
          <w:lang w:val="es-ES"/>
        </w:rPr>
        <w:t>,</w:t>
      </w:r>
      <w:r w:rsidR="00B34377" w:rsidRPr="00B4143C">
        <w:rPr>
          <w:rFonts w:asciiTheme="majorHAnsi" w:hAnsiTheme="majorHAnsi"/>
          <w:sz w:val="20"/>
          <w:szCs w:val="20"/>
          <w:lang w:val="es-ES"/>
        </w:rPr>
        <w:t xml:space="preserve"> </w:t>
      </w:r>
      <w:r w:rsidR="0025027C">
        <w:rPr>
          <w:rFonts w:asciiTheme="majorHAnsi" w:hAnsiTheme="majorHAnsi"/>
          <w:sz w:val="20"/>
          <w:szCs w:val="20"/>
          <w:lang w:val="es-ES"/>
        </w:rPr>
        <w:t>o</w:t>
      </w:r>
      <w:r w:rsidR="00B34377" w:rsidRPr="00B4143C">
        <w:rPr>
          <w:rFonts w:asciiTheme="majorHAnsi" w:hAnsiTheme="majorHAnsi"/>
          <w:sz w:val="20"/>
          <w:szCs w:val="20"/>
          <w:lang w:val="es-ES"/>
        </w:rPr>
        <w:t xml:space="preserve"> que hayan incidido de forma directa en que el caso continuara impune. En consecuencia, solicita que la CIDH declare la inadmisibilidad del caso </w:t>
      </w:r>
      <w:r w:rsidR="00090B38" w:rsidRPr="00B4143C">
        <w:rPr>
          <w:rFonts w:asciiTheme="majorHAnsi" w:hAnsiTheme="majorHAnsi"/>
          <w:sz w:val="20"/>
          <w:szCs w:val="20"/>
          <w:lang w:val="es-ES"/>
        </w:rPr>
        <w:t xml:space="preserve">bajo la aplicación de la denominada </w:t>
      </w:r>
      <w:r w:rsidR="00B35D27">
        <w:rPr>
          <w:rFonts w:asciiTheme="majorHAnsi" w:hAnsiTheme="majorHAnsi"/>
          <w:sz w:val="20"/>
          <w:szCs w:val="20"/>
          <w:lang w:val="es-ES"/>
        </w:rPr>
        <w:t>“</w:t>
      </w:r>
      <w:r w:rsidR="00090B38" w:rsidRPr="00B4143C">
        <w:rPr>
          <w:rFonts w:asciiTheme="majorHAnsi" w:hAnsiTheme="majorHAnsi"/>
          <w:sz w:val="20"/>
          <w:szCs w:val="20"/>
          <w:lang w:val="es-ES"/>
        </w:rPr>
        <w:t>doctrina de la cuarta instancia</w:t>
      </w:r>
      <w:r w:rsidR="00B35D27">
        <w:rPr>
          <w:rFonts w:asciiTheme="majorHAnsi" w:hAnsiTheme="majorHAnsi"/>
          <w:sz w:val="20"/>
          <w:szCs w:val="20"/>
          <w:lang w:val="es-ES"/>
        </w:rPr>
        <w:t>”</w:t>
      </w:r>
      <w:r w:rsidR="006D0BCB" w:rsidRPr="00B4143C">
        <w:rPr>
          <w:rFonts w:asciiTheme="majorHAnsi" w:hAnsiTheme="majorHAnsi"/>
          <w:sz w:val="20"/>
          <w:szCs w:val="20"/>
          <w:lang w:val="es-ES"/>
        </w:rPr>
        <w:t>.</w:t>
      </w:r>
    </w:p>
    <w:p w14:paraId="17651F5E" w14:textId="59175FA3" w:rsidR="006D0BCB" w:rsidRPr="00B4143C" w:rsidRDefault="006D0BCB" w:rsidP="000F6C14">
      <w:pPr>
        <w:pStyle w:val="ListParagraph"/>
        <w:numPr>
          <w:ilvl w:val="0"/>
          <w:numId w:val="60"/>
        </w:numPr>
        <w:spacing w:before="240" w:after="240"/>
        <w:ind w:left="0" w:firstLine="720"/>
        <w:jc w:val="both"/>
        <w:rPr>
          <w:rFonts w:asciiTheme="majorHAnsi" w:hAnsiTheme="majorHAnsi"/>
          <w:bCs/>
          <w:sz w:val="20"/>
          <w:szCs w:val="20"/>
          <w:lang w:val="es-ES"/>
        </w:rPr>
      </w:pPr>
      <w:r w:rsidRPr="00B4143C">
        <w:rPr>
          <w:rFonts w:asciiTheme="majorHAnsi" w:hAnsiTheme="majorHAnsi"/>
          <w:sz w:val="20"/>
          <w:szCs w:val="20"/>
          <w:lang w:val="es-ES"/>
        </w:rPr>
        <w:t xml:space="preserve">Finalmente, Costa Rica </w:t>
      </w:r>
      <w:r w:rsidR="00971E51" w:rsidRPr="00B4143C">
        <w:rPr>
          <w:rFonts w:asciiTheme="majorHAnsi" w:hAnsiTheme="majorHAnsi"/>
          <w:sz w:val="20"/>
          <w:szCs w:val="20"/>
          <w:lang w:val="es-ES"/>
        </w:rPr>
        <w:t xml:space="preserve">arguye que la parte peticionaria no ha expuesto hechos que caractericen las violaciones alegadas, sino que se limita a </w:t>
      </w:r>
      <w:r w:rsidR="00613BD9" w:rsidRPr="00B4143C">
        <w:rPr>
          <w:rFonts w:asciiTheme="majorHAnsi" w:hAnsiTheme="majorHAnsi"/>
          <w:sz w:val="20"/>
          <w:szCs w:val="20"/>
          <w:lang w:val="es-ES"/>
        </w:rPr>
        <w:t>expresar su inconformidad con la línea de investigación seguida por el Ministerio Público, pretendiendo imponer su hipótesis investigativa</w:t>
      </w:r>
      <w:r w:rsidR="00563C91" w:rsidRPr="00B4143C">
        <w:rPr>
          <w:rFonts w:asciiTheme="majorHAnsi" w:hAnsiTheme="majorHAnsi"/>
          <w:sz w:val="20"/>
          <w:szCs w:val="20"/>
          <w:lang w:val="es-ES"/>
        </w:rPr>
        <w:t>, la cual carece de elementos probatorios.</w:t>
      </w:r>
      <w:r w:rsidR="008C7C1E" w:rsidRPr="00B4143C">
        <w:rPr>
          <w:rFonts w:asciiTheme="majorHAnsi" w:hAnsiTheme="majorHAnsi"/>
          <w:sz w:val="20"/>
          <w:szCs w:val="20"/>
          <w:lang w:val="es-ES"/>
        </w:rPr>
        <w:t xml:space="preserve"> Por ello, estima que se hace evidente la improcedencia de la presente petición, y no corresponde a la Comisión continuar con su estudio en etapa de fondo.</w:t>
      </w:r>
    </w:p>
    <w:p w14:paraId="51F68C92" w14:textId="77777777" w:rsidR="003239B8" w:rsidRPr="00B4143C" w:rsidRDefault="003239B8" w:rsidP="003239B8">
      <w:pPr>
        <w:spacing w:before="240" w:after="240"/>
        <w:ind w:firstLine="720"/>
        <w:jc w:val="both"/>
        <w:rPr>
          <w:rFonts w:asciiTheme="majorHAnsi" w:hAnsiTheme="majorHAnsi"/>
          <w:sz w:val="20"/>
          <w:szCs w:val="20"/>
          <w:lang w:val="es-ES"/>
        </w:rPr>
      </w:pPr>
      <w:r w:rsidRPr="00B4143C">
        <w:rPr>
          <w:rFonts w:asciiTheme="majorHAnsi" w:eastAsia="Cambria" w:hAnsiTheme="majorHAnsi" w:cs="Cambria"/>
          <w:b/>
          <w:bCs/>
          <w:color w:val="000000"/>
          <w:sz w:val="20"/>
          <w:szCs w:val="20"/>
          <w:u w:color="000000"/>
          <w:lang w:val="es-ES" w:eastAsia="es-ES"/>
        </w:rPr>
        <w:t>VI.</w:t>
      </w:r>
      <w:r w:rsidRPr="00B4143C">
        <w:rPr>
          <w:rFonts w:asciiTheme="majorHAnsi" w:eastAsia="Cambria" w:hAnsiTheme="majorHAnsi" w:cs="Cambria"/>
          <w:b/>
          <w:bCs/>
          <w:color w:val="000000"/>
          <w:sz w:val="20"/>
          <w:szCs w:val="20"/>
          <w:u w:color="000000"/>
          <w:lang w:val="es-ES" w:eastAsia="es-ES"/>
        </w:rPr>
        <w:tab/>
      </w:r>
      <w:r w:rsidR="004A6A54" w:rsidRPr="00B4143C">
        <w:rPr>
          <w:rFonts w:asciiTheme="majorHAnsi" w:hAnsiTheme="majorHAnsi"/>
          <w:b/>
          <w:bCs/>
          <w:sz w:val="20"/>
          <w:szCs w:val="20"/>
          <w:lang w:val="es-ES"/>
        </w:rPr>
        <w:t xml:space="preserve">ANÁLISIS DE </w:t>
      </w:r>
      <w:r w:rsidR="00C21FEF" w:rsidRPr="00B4143C">
        <w:rPr>
          <w:rFonts w:asciiTheme="majorHAnsi" w:hAnsiTheme="majorHAnsi"/>
          <w:b/>
          <w:sz w:val="20"/>
          <w:szCs w:val="20"/>
          <w:lang w:val="es-ES"/>
        </w:rPr>
        <w:t>AGOTAMIENTO DE LOS RECURSOS INTERNOS Y PLAZO DE PRESENTACIÓN</w:t>
      </w:r>
      <w:r w:rsidR="00C21FEF" w:rsidRPr="00B4143C">
        <w:rPr>
          <w:rFonts w:asciiTheme="majorHAnsi" w:eastAsia="Cambria" w:hAnsiTheme="majorHAnsi" w:cs="Cambria"/>
          <w:b/>
          <w:bCs/>
          <w:color w:val="000000"/>
          <w:sz w:val="20"/>
          <w:szCs w:val="20"/>
          <w:u w:color="000000"/>
          <w:lang w:val="es-ES" w:eastAsia="es-ES"/>
        </w:rPr>
        <w:t xml:space="preserve"> </w:t>
      </w:r>
    </w:p>
    <w:p w14:paraId="2B76362A" w14:textId="4436F9EF" w:rsidR="00D92E0C" w:rsidRPr="00B4143C" w:rsidRDefault="000952E8" w:rsidP="008B3F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t>La petición</w:t>
      </w:r>
      <w:r w:rsidR="000032F2">
        <w:rPr>
          <w:rFonts w:asciiTheme="majorHAnsi" w:hAnsiTheme="majorHAnsi"/>
          <w:sz w:val="20"/>
          <w:szCs w:val="20"/>
          <w:lang w:val="es-ES"/>
        </w:rPr>
        <w:t xml:space="preserve"> bajo estudio</w:t>
      </w:r>
      <w:r w:rsidRPr="00B4143C">
        <w:rPr>
          <w:rFonts w:asciiTheme="majorHAnsi" w:hAnsiTheme="majorHAnsi"/>
          <w:sz w:val="20"/>
          <w:szCs w:val="20"/>
          <w:lang w:val="es-ES"/>
        </w:rPr>
        <w:t xml:space="preserve"> versa sobre la alegada impunidad que rodea la masacre de siete mujeres</w:t>
      </w:r>
      <w:r w:rsidR="000032F2">
        <w:rPr>
          <w:rFonts w:asciiTheme="majorHAnsi" w:hAnsiTheme="majorHAnsi"/>
          <w:sz w:val="20"/>
          <w:szCs w:val="20"/>
          <w:lang w:val="es-ES"/>
        </w:rPr>
        <w:t xml:space="preserve"> (en su mayoría niñas y adolescentes)</w:t>
      </w:r>
      <w:r w:rsidRPr="00B4143C">
        <w:rPr>
          <w:rFonts w:asciiTheme="majorHAnsi" w:hAnsiTheme="majorHAnsi"/>
          <w:sz w:val="20"/>
          <w:szCs w:val="20"/>
          <w:lang w:val="es-ES"/>
        </w:rPr>
        <w:t xml:space="preserve"> y la violación sexual de </w:t>
      </w:r>
      <w:r w:rsidR="002E6B2C" w:rsidRPr="00B4143C">
        <w:rPr>
          <w:rFonts w:asciiTheme="majorHAnsi" w:hAnsiTheme="majorHAnsi"/>
          <w:sz w:val="20"/>
          <w:szCs w:val="20"/>
          <w:lang w:val="es-ES"/>
        </w:rPr>
        <w:t>tres de ellas</w:t>
      </w:r>
      <w:r w:rsidR="005C6635" w:rsidRPr="00B4143C">
        <w:rPr>
          <w:rFonts w:asciiTheme="majorHAnsi" w:hAnsiTheme="majorHAnsi"/>
          <w:sz w:val="20"/>
          <w:szCs w:val="20"/>
          <w:lang w:val="es-ES"/>
        </w:rPr>
        <w:t>, así como la supuesta falta de diligencia en la exploración de líneas lógicas de la investigación penal y la comisión de irregularidades en el juicio</w:t>
      </w:r>
      <w:r w:rsidR="002E6B2C" w:rsidRPr="00B4143C">
        <w:rPr>
          <w:rFonts w:asciiTheme="majorHAnsi" w:hAnsiTheme="majorHAnsi"/>
          <w:sz w:val="20"/>
          <w:szCs w:val="20"/>
          <w:lang w:val="es-ES"/>
        </w:rPr>
        <w:t>.</w:t>
      </w:r>
      <w:r w:rsidR="005C6635" w:rsidRPr="00B4143C">
        <w:rPr>
          <w:rFonts w:asciiTheme="majorHAnsi" w:hAnsiTheme="majorHAnsi"/>
          <w:sz w:val="20"/>
          <w:szCs w:val="20"/>
          <w:lang w:val="es-ES"/>
        </w:rPr>
        <w:t xml:space="preserve"> El Estado </w:t>
      </w:r>
      <w:r w:rsidR="00A542BB" w:rsidRPr="00B4143C">
        <w:rPr>
          <w:rFonts w:asciiTheme="majorHAnsi" w:hAnsiTheme="majorHAnsi"/>
          <w:sz w:val="20"/>
          <w:szCs w:val="20"/>
          <w:lang w:val="es-ES"/>
        </w:rPr>
        <w:t xml:space="preserve">plantea la excepción de extemporaneidad de la petición y el incumplimiento del plazo razonable en su presentación, transcurridos 15 años desde la prescripción de la acción penal. La parte peticionaria aduce que </w:t>
      </w:r>
      <w:r w:rsidR="007929B3" w:rsidRPr="00B4143C">
        <w:rPr>
          <w:rFonts w:asciiTheme="majorHAnsi" w:hAnsiTheme="majorHAnsi"/>
          <w:sz w:val="20"/>
          <w:szCs w:val="20"/>
          <w:lang w:val="es-ES"/>
        </w:rPr>
        <w:t xml:space="preserve">los familiares de las víctimas fueron revictimizados en el marco del proceso penal y denuncian una </w:t>
      </w:r>
      <w:r w:rsidR="00C762F1" w:rsidRPr="00B4143C">
        <w:rPr>
          <w:rFonts w:asciiTheme="majorHAnsi" w:hAnsiTheme="majorHAnsi"/>
          <w:sz w:val="20"/>
          <w:szCs w:val="20"/>
          <w:lang w:val="es-ES"/>
        </w:rPr>
        <w:t>intimida</w:t>
      </w:r>
      <w:r w:rsidR="007929B3" w:rsidRPr="00B4143C">
        <w:rPr>
          <w:rFonts w:asciiTheme="majorHAnsi" w:hAnsiTheme="majorHAnsi"/>
          <w:sz w:val="20"/>
          <w:szCs w:val="20"/>
          <w:lang w:val="es-ES"/>
        </w:rPr>
        <w:t xml:space="preserve">ción </w:t>
      </w:r>
      <w:r w:rsidR="00C762F1" w:rsidRPr="00B4143C">
        <w:rPr>
          <w:rFonts w:asciiTheme="majorHAnsi" w:hAnsiTheme="majorHAnsi"/>
          <w:sz w:val="20"/>
          <w:szCs w:val="20"/>
          <w:lang w:val="es-ES"/>
        </w:rPr>
        <w:t xml:space="preserve">a través </w:t>
      </w:r>
      <w:r w:rsidR="007929B3" w:rsidRPr="00B4143C">
        <w:rPr>
          <w:rFonts w:asciiTheme="majorHAnsi" w:hAnsiTheme="majorHAnsi"/>
          <w:sz w:val="20"/>
          <w:szCs w:val="20"/>
          <w:lang w:val="es-ES"/>
        </w:rPr>
        <w:t xml:space="preserve">de </w:t>
      </w:r>
      <w:r w:rsidR="00C762F1" w:rsidRPr="00B4143C">
        <w:rPr>
          <w:rFonts w:asciiTheme="majorHAnsi" w:hAnsiTheme="majorHAnsi"/>
          <w:sz w:val="20"/>
          <w:szCs w:val="20"/>
          <w:lang w:val="es-ES"/>
        </w:rPr>
        <w:t xml:space="preserve">una </w:t>
      </w:r>
      <w:r w:rsidR="00A35CD4" w:rsidRPr="00B4143C">
        <w:rPr>
          <w:rFonts w:asciiTheme="majorHAnsi" w:hAnsiTheme="majorHAnsi"/>
          <w:sz w:val="20"/>
          <w:szCs w:val="20"/>
          <w:lang w:val="es-ES"/>
        </w:rPr>
        <w:t>amenaza de violencia sexual</w:t>
      </w:r>
      <w:r w:rsidR="00513832">
        <w:rPr>
          <w:rFonts w:asciiTheme="majorHAnsi" w:hAnsiTheme="majorHAnsi"/>
          <w:sz w:val="20"/>
          <w:szCs w:val="20"/>
          <w:lang w:val="es-ES"/>
        </w:rPr>
        <w:t>;</w:t>
      </w:r>
      <w:r w:rsidR="00A35CD4" w:rsidRPr="00B4143C">
        <w:rPr>
          <w:rFonts w:asciiTheme="majorHAnsi" w:hAnsiTheme="majorHAnsi"/>
          <w:sz w:val="20"/>
          <w:szCs w:val="20"/>
          <w:lang w:val="es-ES"/>
        </w:rPr>
        <w:t xml:space="preserve"> también explican que no contaban con asistencia jurídica alguna durante el proceso.</w:t>
      </w:r>
      <w:r w:rsidR="001526AE" w:rsidRPr="00B4143C">
        <w:rPr>
          <w:rFonts w:asciiTheme="majorHAnsi" w:hAnsiTheme="majorHAnsi"/>
          <w:sz w:val="20"/>
          <w:szCs w:val="20"/>
          <w:lang w:val="es-ES"/>
        </w:rPr>
        <w:t xml:space="preserve"> El Estado sostiene que el hecho de amenaza de violencia sexual no fue denunciado penalmente</w:t>
      </w:r>
      <w:r w:rsidR="00BF7595" w:rsidRPr="00B4143C">
        <w:rPr>
          <w:rFonts w:asciiTheme="majorHAnsi" w:hAnsiTheme="majorHAnsi"/>
          <w:sz w:val="20"/>
          <w:szCs w:val="20"/>
          <w:lang w:val="es-ES"/>
        </w:rPr>
        <w:t xml:space="preserve">, por lo que, en su </w:t>
      </w:r>
      <w:r w:rsidR="00763773">
        <w:rPr>
          <w:rFonts w:asciiTheme="majorHAnsi" w:hAnsiTheme="majorHAnsi"/>
          <w:sz w:val="20"/>
          <w:szCs w:val="20"/>
          <w:lang w:val="es-ES"/>
        </w:rPr>
        <w:t>opinión</w:t>
      </w:r>
      <w:r w:rsidR="00BF7595" w:rsidRPr="00B4143C">
        <w:rPr>
          <w:rFonts w:asciiTheme="majorHAnsi" w:hAnsiTheme="majorHAnsi"/>
          <w:sz w:val="20"/>
          <w:szCs w:val="20"/>
          <w:lang w:val="es-ES"/>
        </w:rPr>
        <w:t>, dichos alegatos carecen de sustento</w:t>
      </w:r>
      <w:r w:rsidR="001526AE" w:rsidRPr="00B4143C">
        <w:rPr>
          <w:rFonts w:asciiTheme="majorHAnsi" w:hAnsiTheme="majorHAnsi"/>
          <w:sz w:val="20"/>
          <w:szCs w:val="20"/>
          <w:lang w:val="es-ES"/>
        </w:rPr>
        <w:t>.</w:t>
      </w:r>
    </w:p>
    <w:p w14:paraId="6C69DF51" w14:textId="226AF6F0" w:rsidR="003F289A" w:rsidRPr="008B6D70" w:rsidRDefault="00D55656" w:rsidP="008B6D7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t xml:space="preserve">La Comisión Interamericana </w:t>
      </w:r>
      <w:r w:rsidR="00E2256A" w:rsidRPr="00B4143C">
        <w:rPr>
          <w:rFonts w:asciiTheme="majorHAnsi" w:hAnsiTheme="majorHAnsi"/>
          <w:sz w:val="20"/>
          <w:szCs w:val="20"/>
          <w:lang w:val="es-ES"/>
        </w:rPr>
        <w:t xml:space="preserve">recuerda que, en casos de graves violaciones de derechos humanos, que constituyen delitos perseguibles de oficio, los recursos internos que deben tomarse en cuenta a efectos de </w:t>
      </w:r>
      <w:r w:rsidR="002365FE">
        <w:rPr>
          <w:rFonts w:asciiTheme="majorHAnsi" w:hAnsiTheme="majorHAnsi"/>
          <w:sz w:val="20"/>
          <w:szCs w:val="20"/>
          <w:lang w:val="es-ES"/>
        </w:rPr>
        <w:t xml:space="preserve">determinar </w:t>
      </w:r>
      <w:r w:rsidR="00E2256A" w:rsidRPr="00B4143C">
        <w:rPr>
          <w:rFonts w:asciiTheme="majorHAnsi" w:hAnsiTheme="majorHAnsi"/>
          <w:sz w:val="20"/>
          <w:szCs w:val="20"/>
          <w:lang w:val="es-ES"/>
        </w:rPr>
        <w:t>la admisibilidad de una petición son los relacionados con el proceso penal, ya que es la vía idónea para esclarecer los hechos y establecer las sanciones penales correspondientes, además de posibilitar otros modos de reparación de tipo pecuniario</w:t>
      </w:r>
      <w:r w:rsidR="00E2256A" w:rsidRPr="00B4143C">
        <w:rPr>
          <w:rFonts w:asciiTheme="majorHAnsi" w:hAnsiTheme="majorHAnsi"/>
          <w:sz w:val="20"/>
          <w:szCs w:val="20"/>
          <w:vertAlign w:val="superscript"/>
          <w:lang w:val="es-ES"/>
        </w:rPr>
        <w:footnoteReference w:id="6"/>
      </w:r>
      <w:r w:rsidR="00E2256A" w:rsidRPr="00B4143C">
        <w:rPr>
          <w:rFonts w:asciiTheme="majorHAnsi" w:hAnsiTheme="majorHAnsi"/>
          <w:sz w:val="20"/>
          <w:szCs w:val="20"/>
          <w:lang w:val="es-ES"/>
        </w:rPr>
        <w:t>.</w:t>
      </w:r>
      <w:r w:rsidR="00E656B8" w:rsidRPr="00B4143C">
        <w:rPr>
          <w:rFonts w:asciiTheme="majorHAnsi" w:hAnsiTheme="majorHAnsi"/>
          <w:sz w:val="20"/>
          <w:szCs w:val="20"/>
          <w:lang w:val="es-ES"/>
        </w:rPr>
        <w:t xml:space="preserve"> En ese sentido, l</w:t>
      </w:r>
      <w:r w:rsidR="001A4732" w:rsidRPr="00B4143C">
        <w:rPr>
          <w:rFonts w:asciiTheme="majorHAnsi" w:hAnsiTheme="majorHAnsi"/>
          <w:sz w:val="20"/>
          <w:szCs w:val="20"/>
          <w:lang w:val="es-ES"/>
        </w:rPr>
        <w:t xml:space="preserve">a CIDH toma nota de que ambas partes coinciden en que el proceso penal culminó con la prescripción legal del caso ocurrida en 2006. Sin embargo, difieren </w:t>
      </w:r>
      <w:r w:rsidR="00BC2BFE" w:rsidRPr="00B4143C">
        <w:rPr>
          <w:rFonts w:asciiTheme="majorHAnsi" w:hAnsiTheme="majorHAnsi"/>
          <w:sz w:val="20"/>
          <w:szCs w:val="20"/>
          <w:lang w:val="es-ES"/>
        </w:rPr>
        <w:t>sobre la razonabilidad del plazo en la presentación de la petición.</w:t>
      </w:r>
    </w:p>
    <w:p w14:paraId="75602537" w14:textId="4D6F857A" w:rsidR="00BC2BFE" w:rsidRPr="00B4143C" w:rsidRDefault="008B6D70" w:rsidP="00AB12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R</w:t>
      </w:r>
      <w:r w:rsidR="00054DA6" w:rsidRPr="00B4143C">
        <w:rPr>
          <w:rFonts w:asciiTheme="majorHAnsi" w:hAnsiTheme="majorHAnsi"/>
          <w:sz w:val="20"/>
          <w:szCs w:val="20"/>
          <w:lang w:val="es-ES"/>
        </w:rPr>
        <w:t xml:space="preserve">esulta preocupante para </w:t>
      </w:r>
      <w:r w:rsidR="00263C13" w:rsidRPr="00B4143C">
        <w:rPr>
          <w:rFonts w:asciiTheme="majorHAnsi" w:hAnsiTheme="majorHAnsi"/>
          <w:sz w:val="20"/>
          <w:szCs w:val="20"/>
          <w:lang w:val="es-ES"/>
        </w:rPr>
        <w:t>l</w:t>
      </w:r>
      <w:r w:rsidR="00196838" w:rsidRPr="00B4143C">
        <w:rPr>
          <w:rFonts w:asciiTheme="majorHAnsi" w:hAnsiTheme="majorHAnsi"/>
          <w:sz w:val="20"/>
          <w:szCs w:val="20"/>
          <w:lang w:val="es-ES"/>
        </w:rPr>
        <w:t xml:space="preserve">a Comisión </w:t>
      </w:r>
      <w:r w:rsidR="00263C13" w:rsidRPr="00B4143C">
        <w:rPr>
          <w:rFonts w:asciiTheme="majorHAnsi" w:hAnsiTheme="majorHAnsi"/>
          <w:sz w:val="20"/>
          <w:szCs w:val="20"/>
          <w:lang w:val="es-ES"/>
        </w:rPr>
        <w:t>la gravedad de</w:t>
      </w:r>
      <w:r w:rsidR="008751C4" w:rsidRPr="00B4143C">
        <w:rPr>
          <w:rFonts w:asciiTheme="majorHAnsi" w:hAnsiTheme="majorHAnsi"/>
          <w:sz w:val="20"/>
          <w:szCs w:val="20"/>
          <w:lang w:val="es-ES"/>
        </w:rPr>
        <w:t xml:space="preserve"> la situación dada a conocer por la parte peticionaria sobre </w:t>
      </w:r>
      <w:r w:rsidR="00A71936">
        <w:rPr>
          <w:rFonts w:asciiTheme="majorHAnsi" w:hAnsiTheme="majorHAnsi"/>
          <w:sz w:val="20"/>
          <w:szCs w:val="20"/>
          <w:lang w:val="es-ES"/>
        </w:rPr>
        <w:t>eventuales</w:t>
      </w:r>
      <w:r w:rsidR="00A71936" w:rsidRPr="00B4143C">
        <w:rPr>
          <w:rFonts w:asciiTheme="majorHAnsi" w:hAnsiTheme="majorHAnsi"/>
          <w:sz w:val="20"/>
          <w:szCs w:val="20"/>
          <w:lang w:val="es-ES"/>
        </w:rPr>
        <w:t xml:space="preserve"> </w:t>
      </w:r>
      <w:r w:rsidR="008751C4" w:rsidRPr="00B4143C">
        <w:rPr>
          <w:rFonts w:asciiTheme="majorHAnsi" w:hAnsiTheme="majorHAnsi"/>
          <w:sz w:val="20"/>
          <w:szCs w:val="20"/>
          <w:lang w:val="es-ES"/>
        </w:rPr>
        <w:t xml:space="preserve">hechos de acoso sexual contra </w:t>
      </w:r>
      <w:r w:rsidR="00887222" w:rsidRPr="00B4143C">
        <w:rPr>
          <w:rFonts w:asciiTheme="majorHAnsi" w:hAnsiTheme="majorHAnsi"/>
          <w:sz w:val="20"/>
          <w:szCs w:val="20"/>
          <w:lang w:val="es-ES"/>
        </w:rPr>
        <w:t xml:space="preserve">una presunta víctima en el marco del proceso penal y la investigación del caso. Si bien el Estado alega que </w:t>
      </w:r>
      <w:r w:rsidR="00C4251D">
        <w:rPr>
          <w:rFonts w:asciiTheme="majorHAnsi" w:hAnsiTheme="majorHAnsi"/>
          <w:sz w:val="20"/>
          <w:szCs w:val="20"/>
          <w:lang w:val="es-ES"/>
        </w:rPr>
        <w:t>esto</w:t>
      </w:r>
      <w:r w:rsidR="00887222" w:rsidRPr="00B4143C">
        <w:rPr>
          <w:rFonts w:asciiTheme="majorHAnsi" w:hAnsiTheme="majorHAnsi"/>
          <w:sz w:val="20"/>
          <w:szCs w:val="20"/>
          <w:lang w:val="es-ES"/>
        </w:rPr>
        <w:t xml:space="preserve"> no fue denunciado, la parte peticionaria asegura que, a raíz de que lo informaron a la</w:t>
      </w:r>
      <w:r w:rsidR="00E33FE5" w:rsidRPr="00B4143C">
        <w:rPr>
          <w:rFonts w:asciiTheme="majorHAnsi" w:hAnsiTheme="majorHAnsi"/>
          <w:sz w:val="20"/>
          <w:szCs w:val="20"/>
          <w:lang w:val="es-ES"/>
        </w:rPr>
        <w:t xml:space="preserve">s autoridades del proceso, los investigadores </w:t>
      </w:r>
      <w:r w:rsidR="00F0489E" w:rsidRPr="00B4143C">
        <w:rPr>
          <w:rFonts w:asciiTheme="majorHAnsi" w:hAnsiTheme="majorHAnsi"/>
          <w:sz w:val="20"/>
          <w:szCs w:val="20"/>
          <w:lang w:val="es-ES"/>
        </w:rPr>
        <w:t xml:space="preserve">del caso </w:t>
      </w:r>
      <w:r w:rsidR="00E33FE5" w:rsidRPr="00B4143C">
        <w:rPr>
          <w:rFonts w:asciiTheme="majorHAnsi" w:hAnsiTheme="majorHAnsi"/>
          <w:sz w:val="20"/>
          <w:szCs w:val="20"/>
          <w:lang w:val="es-ES"/>
        </w:rPr>
        <w:t xml:space="preserve">fueron </w:t>
      </w:r>
      <w:r w:rsidR="00F0489E" w:rsidRPr="00B4143C">
        <w:rPr>
          <w:rFonts w:asciiTheme="majorHAnsi" w:hAnsiTheme="majorHAnsi"/>
          <w:sz w:val="20"/>
          <w:szCs w:val="20"/>
          <w:lang w:val="es-ES"/>
        </w:rPr>
        <w:t>sustitui</w:t>
      </w:r>
      <w:r w:rsidR="00E33FE5" w:rsidRPr="00B4143C">
        <w:rPr>
          <w:rFonts w:asciiTheme="majorHAnsi" w:hAnsiTheme="majorHAnsi"/>
          <w:sz w:val="20"/>
          <w:szCs w:val="20"/>
          <w:lang w:val="es-ES"/>
        </w:rPr>
        <w:t xml:space="preserve">dos. </w:t>
      </w:r>
      <w:r w:rsidR="00E95DDB" w:rsidRPr="00B4143C">
        <w:rPr>
          <w:rFonts w:asciiTheme="majorHAnsi" w:hAnsiTheme="majorHAnsi"/>
          <w:sz w:val="20"/>
          <w:szCs w:val="20"/>
          <w:lang w:val="es-ES"/>
        </w:rPr>
        <w:t xml:space="preserve">El Estado no controvirtió este hecho, ni aportó información relevante sobre el cambio de los investigadores del caso. De corroborarse esta situación, </w:t>
      </w:r>
      <w:r w:rsidR="006C01D0" w:rsidRPr="00B4143C">
        <w:rPr>
          <w:rFonts w:asciiTheme="majorHAnsi" w:hAnsiTheme="majorHAnsi"/>
          <w:sz w:val="20"/>
          <w:szCs w:val="20"/>
          <w:lang w:val="es-ES"/>
        </w:rPr>
        <w:t xml:space="preserve">ello implicaría </w:t>
      </w:r>
      <w:r w:rsidR="00EC58E8" w:rsidRPr="00B4143C">
        <w:rPr>
          <w:rFonts w:asciiTheme="majorHAnsi" w:hAnsiTheme="majorHAnsi"/>
          <w:sz w:val="20"/>
          <w:szCs w:val="20"/>
          <w:lang w:val="es-ES"/>
        </w:rPr>
        <w:t>que el hecho sí fue reportado ante las autoridades, pero éstas no registraron la denuncia</w:t>
      </w:r>
      <w:r w:rsidR="00A047AF" w:rsidRPr="00B4143C">
        <w:rPr>
          <w:rFonts w:asciiTheme="majorHAnsi" w:hAnsiTheme="majorHAnsi"/>
          <w:sz w:val="20"/>
          <w:szCs w:val="20"/>
          <w:lang w:val="es-ES"/>
        </w:rPr>
        <w:t xml:space="preserve"> correspondiente</w:t>
      </w:r>
      <w:r w:rsidR="00EC58E8" w:rsidRPr="00B4143C">
        <w:rPr>
          <w:rFonts w:asciiTheme="majorHAnsi" w:hAnsiTheme="majorHAnsi"/>
          <w:sz w:val="20"/>
          <w:szCs w:val="20"/>
          <w:lang w:val="es-ES"/>
        </w:rPr>
        <w:t>.</w:t>
      </w:r>
    </w:p>
    <w:p w14:paraId="67557AFB" w14:textId="0AD523C9" w:rsidR="00552E4D" w:rsidRDefault="004F53C1" w:rsidP="00AB12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t>Lo anterior</w:t>
      </w:r>
      <w:r w:rsidR="00987D80" w:rsidRPr="00B4143C">
        <w:rPr>
          <w:rFonts w:asciiTheme="majorHAnsi" w:hAnsiTheme="majorHAnsi"/>
          <w:sz w:val="20"/>
          <w:szCs w:val="20"/>
          <w:lang w:val="es-ES"/>
        </w:rPr>
        <w:t>,</w:t>
      </w:r>
      <w:r w:rsidRPr="00B4143C">
        <w:rPr>
          <w:rFonts w:asciiTheme="majorHAnsi" w:hAnsiTheme="majorHAnsi"/>
          <w:sz w:val="20"/>
          <w:szCs w:val="20"/>
          <w:lang w:val="es-ES"/>
        </w:rPr>
        <w:t xml:space="preserve"> </w:t>
      </w:r>
      <w:r w:rsidR="00552E4D" w:rsidRPr="00B4143C">
        <w:rPr>
          <w:rFonts w:asciiTheme="majorHAnsi" w:hAnsiTheme="majorHAnsi"/>
          <w:sz w:val="20"/>
          <w:szCs w:val="20"/>
          <w:lang w:val="es-ES"/>
        </w:rPr>
        <w:t>aunado a</w:t>
      </w:r>
      <w:r w:rsidR="00987D80" w:rsidRPr="00B4143C">
        <w:rPr>
          <w:rFonts w:asciiTheme="majorHAnsi" w:hAnsiTheme="majorHAnsi"/>
          <w:sz w:val="20"/>
          <w:szCs w:val="20"/>
          <w:lang w:val="es-ES"/>
        </w:rPr>
        <w:t>l hecho de</w:t>
      </w:r>
      <w:r w:rsidR="00552E4D" w:rsidRPr="00B4143C">
        <w:rPr>
          <w:rFonts w:asciiTheme="majorHAnsi" w:hAnsiTheme="majorHAnsi"/>
          <w:sz w:val="20"/>
          <w:szCs w:val="20"/>
          <w:lang w:val="es-ES"/>
        </w:rPr>
        <w:t xml:space="preserve"> que las presuntas víctimas aducen no haber contado con asistencia jurídica en el proceso, </w:t>
      </w:r>
      <w:r w:rsidR="00C23085" w:rsidRPr="00B4143C">
        <w:rPr>
          <w:rFonts w:asciiTheme="majorHAnsi" w:hAnsiTheme="majorHAnsi"/>
          <w:sz w:val="20"/>
          <w:szCs w:val="20"/>
          <w:lang w:val="es-ES"/>
        </w:rPr>
        <w:t>constituye</w:t>
      </w:r>
      <w:r w:rsidRPr="00B4143C">
        <w:rPr>
          <w:rFonts w:asciiTheme="majorHAnsi" w:hAnsiTheme="majorHAnsi"/>
          <w:sz w:val="20"/>
          <w:szCs w:val="20"/>
          <w:lang w:val="es-ES"/>
        </w:rPr>
        <w:t xml:space="preserve">n elementos que permiten a la Comisión </w:t>
      </w:r>
      <w:r w:rsidR="00BD4B00" w:rsidRPr="00B4143C">
        <w:rPr>
          <w:rFonts w:asciiTheme="majorHAnsi" w:hAnsiTheme="majorHAnsi"/>
          <w:sz w:val="20"/>
          <w:szCs w:val="20"/>
          <w:lang w:val="es-ES"/>
        </w:rPr>
        <w:t xml:space="preserve">establecer que existieron </w:t>
      </w:r>
      <w:r w:rsidR="005267FF" w:rsidRPr="00B4143C">
        <w:rPr>
          <w:rFonts w:asciiTheme="majorHAnsi" w:hAnsiTheme="majorHAnsi"/>
          <w:sz w:val="20"/>
          <w:szCs w:val="20"/>
          <w:lang w:val="es-ES"/>
        </w:rPr>
        <w:t xml:space="preserve">obstáculos </w:t>
      </w:r>
      <w:r w:rsidR="001A62C8" w:rsidRPr="00B4143C">
        <w:rPr>
          <w:rFonts w:asciiTheme="majorHAnsi" w:hAnsiTheme="majorHAnsi"/>
          <w:sz w:val="20"/>
          <w:szCs w:val="20"/>
          <w:lang w:val="es-ES"/>
        </w:rPr>
        <w:t>que les impidieron acceder a la justicia, tanto a nivel interno como a nivel internacional</w:t>
      </w:r>
      <w:r w:rsidR="00E02907">
        <w:rPr>
          <w:rFonts w:asciiTheme="majorHAnsi" w:hAnsiTheme="majorHAnsi"/>
          <w:sz w:val="20"/>
          <w:szCs w:val="20"/>
          <w:lang w:val="es-ES"/>
        </w:rPr>
        <w:t xml:space="preserve"> </w:t>
      </w:r>
      <w:r w:rsidR="00521294">
        <w:rPr>
          <w:rFonts w:asciiTheme="majorHAnsi" w:hAnsiTheme="majorHAnsi"/>
          <w:sz w:val="20"/>
          <w:szCs w:val="20"/>
          <w:lang w:val="es-ES"/>
        </w:rPr>
        <w:t>con mayor prontitud</w:t>
      </w:r>
      <w:r w:rsidR="001A62C8" w:rsidRPr="00B4143C">
        <w:rPr>
          <w:rFonts w:asciiTheme="majorHAnsi" w:hAnsiTheme="majorHAnsi"/>
          <w:sz w:val="20"/>
          <w:szCs w:val="20"/>
          <w:lang w:val="es-ES"/>
        </w:rPr>
        <w:t>.</w:t>
      </w:r>
      <w:r w:rsidR="00521294">
        <w:rPr>
          <w:rFonts w:asciiTheme="majorHAnsi" w:hAnsiTheme="majorHAnsi"/>
          <w:sz w:val="20"/>
          <w:szCs w:val="20"/>
          <w:lang w:val="es-ES"/>
        </w:rPr>
        <w:t xml:space="preserve"> </w:t>
      </w:r>
      <w:r w:rsidR="00617DAA">
        <w:rPr>
          <w:rFonts w:asciiTheme="majorHAnsi" w:hAnsiTheme="majorHAnsi"/>
          <w:sz w:val="20"/>
          <w:szCs w:val="20"/>
          <w:lang w:val="es-ES"/>
        </w:rPr>
        <w:t>La Comisión tiene en cuenta además que</w:t>
      </w:r>
      <w:r w:rsidR="00B314EB">
        <w:rPr>
          <w:rFonts w:asciiTheme="majorHAnsi" w:hAnsiTheme="majorHAnsi"/>
          <w:sz w:val="20"/>
          <w:szCs w:val="20"/>
          <w:lang w:val="es-ES"/>
        </w:rPr>
        <w:t>,</w:t>
      </w:r>
      <w:r w:rsidR="00617DAA">
        <w:rPr>
          <w:rFonts w:asciiTheme="majorHAnsi" w:hAnsiTheme="majorHAnsi"/>
          <w:sz w:val="20"/>
          <w:szCs w:val="20"/>
          <w:lang w:val="es-ES"/>
        </w:rPr>
        <w:t xml:space="preserve"> en casos como el presente, existe un deber reforzado de investigar de manera diligente este tipo de violaciones</w:t>
      </w:r>
      <w:r w:rsidR="00750644">
        <w:rPr>
          <w:rFonts w:asciiTheme="majorHAnsi" w:hAnsiTheme="majorHAnsi"/>
          <w:sz w:val="20"/>
          <w:szCs w:val="20"/>
          <w:lang w:val="es-ES"/>
        </w:rPr>
        <w:t>.</w:t>
      </w:r>
      <w:r w:rsidR="00C23085" w:rsidRPr="00B4143C">
        <w:rPr>
          <w:rFonts w:asciiTheme="majorHAnsi" w:hAnsiTheme="majorHAnsi"/>
          <w:sz w:val="20"/>
          <w:szCs w:val="20"/>
          <w:lang w:val="es-ES"/>
        </w:rPr>
        <w:t xml:space="preserve"> Por lo tanto, resulta </w:t>
      </w:r>
      <w:r w:rsidR="00FE6D67" w:rsidRPr="00B4143C">
        <w:rPr>
          <w:rFonts w:asciiTheme="majorHAnsi" w:hAnsiTheme="majorHAnsi"/>
          <w:sz w:val="20"/>
          <w:szCs w:val="20"/>
          <w:lang w:val="es-ES"/>
        </w:rPr>
        <w:t>razonable aplicar</w:t>
      </w:r>
      <w:r w:rsidR="00C23085" w:rsidRPr="00B4143C">
        <w:rPr>
          <w:rFonts w:asciiTheme="majorHAnsi" w:hAnsiTheme="majorHAnsi"/>
          <w:sz w:val="20"/>
          <w:szCs w:val="20"/>
          <w:lang w:val="es-ES"/>
        </w:rPr>
        <w:t xml:space="preserve"> la excepción al agotamiento de recursos internos prevista en el artículo 46.2.b) de la Convención Americana.</w:t>
      </w:r>
    </w:p>
    <w:p w14:paraId="7C220352" w14:textId="19736206" w:rsidR="001920E3" w:rsidRDefault="00C23085" w:rsidP="00AB12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0055C">
        <w:rPr>
          <w:rFonts w:asciiTheme="majorHAnsi" w:hAnsiTheme="majorHAnsi"/>
          <w:sz w:val="20"/>
          <w:szCs w:val="20"/>
          <w:lang w:val="es-ES"/>
        </w:rPr>
        <w:lastRenderedPageBreak/>
        <w:t xml:space="preserve">En cuanto a la razonabilidad del plazo de presentación de la petición, la CIDH </w:t>
      </w:r>
      <w:r w:rsidR="00420846">
        <w:rPr>
          <w:rFonts w:asciiTheme="majorHAnsi" w:hAnsiTheme="majorHAnsi"/>
          <w:sz w:val="20"/>
          <w:szCs w:val="20"/>
          <w:lang w:val="es-ES"/>
        </w:rPr>
        <w:t xml:space="preserve">recuerda que </w:t>
      </w:r>
      <w:r w:rsidR="001920E3" w:rsidRPr="001920E3">
        <w:rPr>
          <w:rFonts w:asciiTheme="majorHAnsi" w:hAnsiTheme="majorHAnsi"/>
          <w:sz w:val="20"/>
          <w:szCs w:val="20"/>
          <w:lang w:val="es-ES"/>
        </w:rPr>
        <w:t xml:space="preserve">el artículo 32.2 del Reglamento de la CIDH dispone: que “[…] </w:t>
      </w:r>
      <w:r w:rsidR="001920E3" w:rsidRPr="001920E3">
        <w:rPr>
          <w:rFonts w:asciiTheme="majorHAnsi" w:hAnsiTheme="majorHAnsi"/>
          <w:i/>
          <w:iCs/>
          <w:sz w:val="20"/>
          <w:szCs w:val="20"/>
          <w:lang w:val="es-ES"/>
        </w:rPr>
        <w:t>la petición deberá presentarse dentro de un plazo razonable, a criterio de la Comisión. A tal efecto, la Comisión considerará la fecha en que haya ocurrido la presunta violación a los derechos y las circunstancias de cada caso</w:t>
      </w:r>
      <w:r w:rsidR="001920E3" w:rsidRPr="001920E3">
        <w:rPr>
          <w:rFonts w:asciiTheme="majorHAnsi" w:hAnsiTheme="majorHAnsi"/>
          <w:sz w:val="20"/>
          <w:szCs w:val="20"/>
          <w:lang w:val="es-ES"/>
        </w:rPr>
        <w:t>”. Respecto de este mismo tema precisamente, la Comisión ha recalcado que “</w:t>
      </w:r>
      <w:r w:rsidR="001920E3" w:rsidRPr="001920E3">
        <w:rPr>
          <w:rFonts w:asciiTheme="majorHAnsi" w:hAnsiTheme="majorHAnsi"/>
          <w:i/>
          <w:iCs/>
          <w:sz w:val="20"/>
          <w:szCs w:val="20"/>
          <w:lang w:val="es-ES"/>
        </w:rPr>
        <w:t>los principios sobre los que descansa el sistema interamericano de derechos humanos ciertamente incluyen el de certeza jurídica, que es la base de la regla de los seis meses y del plazo razonable cuando se aplican las excepciones al agotamiento de los recursos internos</w:t>
      </w:r>
      <w:r w:rsidR="001920E3" w:rsidRPr="001920E3">
        <w:rPr>
          <w:rFonts w:asciiTheme="majorHAnsi" w:hAnsiTheme="majorHAnsi"/>
          <w:sz w:val="20"/>
          <w:szCs w:val="20"/>
          <w:lang w:val="es-ES"/>
        </w:rPr>
        <w:t>”</w:t>
      </w:r>
      <w:r w:rsidR="001920E3" w:rsidRPr="001920E3">
        <w:rPr>
          <w:rFonts w:asciiTheme="majorHAnsi" w:hAnsiTheme="majorHAnsi"/>
          <w:sz w:val="20"/>
          <w:szCs w:val="20"/>
          <w:vertAlign w:val="superscript"/>
          <w:lang w:val="es-ES"/>
        </w:rPr>
        <w:footnoteReference w:id="7"/>
      </w:r>
      <w:r w:rsidR="001920E3" w:rsidRPr="001920E3">
        <w:rPr>
          <w:rFonts w:asciiTheme="majorHAnsi" w:hAnsiTheme="majorHAnsi"/>
          <w:sz w:val="20"/>
          <w:szCs w:val="20"/>
          <w:lang w:val="es-ES"/>
        </w:rPr>
        <w:t>.</w:t>
      </w:r>
    </w:p>
    <w:p w14:paraId="14E6BF6D" w14:textId="5FDB022D" w:rsidR="003049F8" w:rsidRDefault="001920E3" w:rsidP="00AB12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 xml:space="preserve">En este sentido, la Comisión </w:t>
      </w:r>
      <w:r w:rsidR="00B84C20">
        <w:rPr>
          <w:rFonts w:asciiTheme="majorHAnsi" w:hAnsiTheme="majorHAnsi"/>
          <w:sz w:val="20"/>
          <w:szCs w:val="20"/>
          <w:lang w:val="es-ES"/>
        </w:rPr>
        <w:t>observ</w:t>
      </w:r>
      <w:r w:rsidR="00C23085" w:rsidRPr="00D0055C">
        <w:rPr>
          <w:rFonts w:asciiTheme="majorHAnsi" w:hAnsiTheme="majorHAnsi"/>
          <w:sz w:val="20"/>
          <w:szCs w:val="20"/>
          <w:lang w:val="es-ES"/>
        </w:rPr>
        <w:t xml:space="preserve">a </w:t>
      </w:r>
      <w:r w:rsidR="004B5513" w:rsidRPr="00D0055C">
        <w:rPr>
          <w:rFonts w:asciiTheme="majorHAnsi" w:hAnsiTheme="majorHAnsi"/>
          <w:sz w:val="20"/>
          <w:szCs w:val="20"/>
          <w:lang w:val="es-ES"/>
        </w:rPr>
        <w:t xml:space="preserve">que </w:t>
      </w:r>
      <w:r w:rsidR="00F73720">
        <w:rPr>
          <w:rFonts w:asciiTheme="majorHAnsi" w:hAnsiTheme="majorHAnsi"/>
          <w:sz w:val="20"/>
          <w:szCs w:val="20"/>
          <w:lang w:val="es-ES"/>
        </w:rPr>
        <w:t>la parte peticionaria</w:t>
      </w:r>
      <w:r w:rsidR="00B771B1">
        <w:rPr>
          <w:rFonts w:asciiTheme="majorHAnsi" w:hAnsiTheme="majorHAnsi"/>
          <w:sz w:val="20"/>
          <w:szCs w:val="20"/>
          <w:lang w:val="es-ES"/>
        </w:rPr>
        <w:t xml:space="preserve"> justifica la presentación de la petición </w:t>
      </w:r>
      <w:r w:rsidR="00806A9A">
        <w:rPr>
          <w:rFonts w:asciiTheme="majorHAnsi" w:hAnsiTheme="majorHAnsi"/>
          <w:sz w:val="20"/>
          <w:szCs w:val="20"/>
          <w:lang w:val="es-ES"/>
        </w:rPr>
        <w:t xml:space="preserve">quince años después de la prescripción de la acción penal en tres obstáculos, a saber; </w:t>
      </w:r>
      <w:r w:rsidR="00806A9A">
        <w:rPr>
          <w:rFonts w:asciiTheme="majorHAnsi" w:hAnsiTheme="majorHAnsi"/>
          <w:sz w:val="20"/>
          <w:szCs w:val="20"/>
          <w:lang w:val="es-CO"/>
        </w:rPr>
        <w:t xml:space="preserve">(i) </w:t>
      </w:r>
      <w:r w:rsidR="003049F8" w:rsidRPr="003049F8">
        <w:rPr>
          <w:rFonts w:asciiTheme="majorHAnsi" w:hAnsiTheme="majorHAnsi"/>
          <w:sz w:val="20"/>
          <w:szCs w:val="20"/>
          <w:lang w:val="es-CO"/>
        </w:rPr>
        <w:t>la falta de recursos económicos</w:t>
      </w:r>
      <w:r w:rsidR="00806A9A">
        <w:rPr>
          <w:rFonts w:asciiTheme="majorHAnsi" w:hAnsiTheme="majorHAnsi"/>
          <w:sz w:val="20"/>
          <w:szCs w:val="20"/>
          <w:lang w:val="es-CO"/>
        </w:rPr>
        <w:t xml:space="preserve"> y</w:t>
      </w:r>
      <w:r w:rsidR="003049F8" w:rsidRPr="003049F8">
        <w:rPr>
          <w:rFonts w:asciiTheme="majorHAnsi" w:hAnsiTheme="majorHAnsi"/>
          <w:sz w:val="20"/>
          <w:szCs w:val="20"/>
          <w:lang w:val="es-CO"/>
        </w:rPr>
        <w:t xml:space="preserve"> de asesoramiento jurídico gratuito</w:t>
      </w:r>
      <w:r w:rsidR="00A3028C">
        <w:rPr>
          <w:rFonts w:asciiTheme="majorHAnsi" w:hAnsiTheme="majorHAnsi"/>
          <w:sz w:val="20"/>
          <w:szCs w:val="20"/>
          <w:lang w:val="es-CO"/>
        </w:rPr>
        <w:t xml:space="preserve"> durante ese lapso</w:t>
      </w:r>
      <w:r w:rsidR="003049F8" w:rsidRPr="003049F8">
        <w:rPr>
          <w:rFonts w:asciiTheme="majorHAnsi" w:hAnsiTheme="majorHAnsi"/>
          <w:sz w:val="20"/>
          <w:szCs w:val="20"/>
          <w:lang w:val="es-CO"/>
        </w:rPr>
        <w:t xml:space="preserve">; </w:t>
      </w:r>
      <w:r w:rsidR="00A3028C">
        <w:rPr>
          <w:rFonts w:asciiTheme="majorHAnsi" w:hAnsiTheme="majorHAnsi"/>
          <w:sz w:val="20"/>
          <w:szCs w:val="20"/>
          <w:lang w:val="es-CO"/>
        </w:rPr>
        <w:t xml:space="preserve">(ii) </w:t>
      </w:r>
      <w:r w:rsidR="003049F8" w:rsidRPr="003049F8">
        <w:rPr>
          <w:rFonts w:asciiTheme="majorHAnsi" w:hAnsiTheme="majorHAnsi"/>
          <w:sz w:val="20"/>
          <w:szCs w:val="20"/>
          <w:lang w:val="es-CO"/>
        </w:rPr>
        <w:t>el miedo provocado por el hecho denunciado</w:t>
      </w:r>
      <w:r w:rsidR="00A3028C">
        <w:rPr>
          <w:rFonts w:asciiTheme="majorHAnsi" w:hAnsiTheme="majorHAnsi"/>
          <w:sz w:val="20"/>
          <w:szCs w:val="20"/>
          <w:lang w:val="es-CO"/>
        </w:rPr>
        <w:t xml:space="preserve"> y posibles represalias</w:t>
      </w:r>
      <w:r w:rsidR="003049F8" w:rsidRPr="003049F8">
        <w:rPr>
          <w:rFonts w:asciiTheme="majorHAnsi" w:hAnsiTheme="majorHAnsi"/>
          <w:sz w:val="20"/>
          <w:szCs w:val="20"/>
          <w:lang w:val="es-CO"/>
        </w:rPr>
        <w:t xml:space="preserve">; </w:t>
      </w:r>
      <w:r w:rsidR="00A3028C">
        <w:rPr>
          <w:rFonts w:asciiTheme="majorHAnsi" w:hAnsiTheme="majorHAnsi"/>
          <w:sz w:val="20"/>
          <w:szCs w:val="20"/>
          <w:lang w:val="es-CO"/>
        </w:rPr>
        <w:t xml:space="preserve">y, (iii) </w:t>
      </w:r>
      <w:r w:rsidR="003049F8" w:rsidRPr="003049F8">
        <w:rPr>
          <w:rFonts w:asciiTheme="majorHAnsi" w:hAnsiTheme="majorHAnsi"/>
          <w:sz w:val="20"/>
          <w:szCs w:val="20"/>
          <w:lang w:val="es-CO"/>
        </w:rPr>
        <w:t xml:space="preserve">por </w:t>
      </w:r>
      <w:r w:rsidR="00D466E5">
        <w:rPr>
          <w:rFonts w:asciiTheme="majorHAnsi" w:hAnsiTheme="majorHAnsi"/>
          <w:sz w:val="20"/>
          <w:szCs w:val="20"/>
          <w:lang w:val="es-CO"/>
        </w:rPr>
        <w:t>hechos de acoso sexual e intimidación en el marco de la investigación por los funcionarios de la fiscalía</w:t>
      </w:r>
      <w:r w:rsidR="003B2C40">
        <w:rPr>
          <w:rFonts w:asciiTheme="majorHAnsi" w:hAnsiTheme="majorHAnsi"/>
          <w:sz w:val="20"/>
          <w:szCs w:val="20"/>
          <w:lang w:val="es-CO"/>
        </w:rPr>
        <w:t xml:space="preserve"> encargados del caso</w:t>
      </w:r>
      <w:r w:rsidR="003049F8" w:rsidRPr="003049F8">
        <w:rPr>
          <w:rFonts w:asciiTheme="majorHAnsi" w:hAnsiTheme="majorHAnsi"/>
          <w:sz w:val="20"/>
          <w:szCs w:val="20"/>
          <w:lang w:val="es-CO"/>
        </w:rPr>
        <w:t xml:space="preserve">. </w:t>
      </w:r>
      <w:r w:rsidR="003B2C40">
        <w:rPr>
          <w:rFonts w:asciiTheme="majorHAnsi" w:hAnsiTheme="majorHAnsi"/>
          <w:sz w:val="20"/>
          <w:szCs w:val="20"/>
          <w:lang w:val="es-CO"/>
        </w:rPr>
        <w:t>E</w:t>
      </w:r>
      <w:r w:rsidR="003049F8" w:rsidRPr="003049F8">
        <w:rPr>
          <w:rFonts w:asciiTheme="majorHAnsi" w:hAnsiTheme="majorHAnsi"/>
          <w:sz w:val="20"/>
          <w:szCs w:val="20"/>
          <w:lang w:val="es-CO"/>
        </w:rPr>
        <w:t xml:space="preserve">n este punto, la cuestión de admisibilidad </w:t>
      </w:r>
      <w:r w:rsidR="003B2C40">
        <w:rPr>
          <w:rFonts w:asciiTheme="majorHAnsi" w:hAnsiTheme="majorHAnsi"/>
          <w:sz w:val="20"/>
          <w:szCs w:val="20"/>
          <w:lang w:val="es-CO"/>
        </w:rPr>
        <w:t xml:space="preserve">relacionada con el plazo razonable </w:t>
      </w:r>
      <w:r w:rsidR="003049F8" w:rsidRPr="003049F8">
        <w:rPr>
          <w:rFonts w:asciiTheme="majorHAnsi" w:hAnsiTheme="majorHAnsi"/>
          <w:sz w:val="20"/>
          <w:szCs w:val="20"/>
          <w:lang w:val="es-CO"/>
        </w:rPr>
        <w:t xml:space="preserve">está íntimamente vinculada </w:t>
      </w:r>
      <w:r w:rsidR="001A7E33">
        <w:rPr>
          <w:rFonts w:asciiTheme="majorHAnsi" w:hAnsiTheme="majorHAnsi"/>
          <w:sz w:val="20"/>
          <w:szCs w:val="20"/>
          <w:lang w:val="es-CO"/>
        </w:rPr>
        <w:t>con los alegatos de fondo de las violaciones a la Convención Americana. Por consiguiente, no corresponde analizar los argumentos planteados por las partes en esta etapa. Por ello, la CIDH diferirá el análisis a la etapa de fondo y admitirá los artículos invocados por la parte peticionaria</w:t>
      </w:r>
      <w:r w:rsidR="00D94B3C">
        <w:rPr>
          <w:rFonts w:asciiTheme="majorHAnsi" w:hAnsiTheme="majorHAnsi"/>
          <w:sz w:val="20"/>
          <w:szCs w:val="20"/>
          <w:lang w:val="es-CO"/>
        </w:rPr>
        <w:t>.</w:t>
      </w:r>
    </w:p>
    <w:p w14:paraId="7090CC58" w14:textId="5330C4C5" w:rsidR="00C23085" w:rsidRPr="00047036" w:rsidRDefault="00955EB7" w:rsidP="00AB12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 xml:space="preserve">Desde el enfoque </w:t>
      </w:r>
      <w:r w:rsidRPr="00955EB7">
        <w:rPr>
          <w:rFonts w:asciiTheme="majorHAnsi" w:hAnsiTheme="majorHAnsi"/>
          <w:i/>
          <w:iCs/>
          <w:sz w:val="20"/>
          <w:szCs w:val="20"/>
          <w:lang w:val="es-ES"/>
        </w:rPr>
        <w:t>prima facie</w:t>
      </w:r>
      <w:r>
        <w:rPr>
          <w:rFonts w:asciiTheme="majorHAnsi" w:hAnsiTheme="majorHAnsi"/>
          <w:sz w:val="20"/>
          <w:szCs w:val="20"/>
          <w:lang w:val="es-ES"/>
        </w:rPr>
        <w:t xml:space="preserve"> propio del examen de admisibilidad</w:t>
      </w:r>
      <w:r w:rsidR="001A7E33">
        <w:rPr>
          <w:rFonts w:asciiTheme="majorHAnsi" w:hAnsiTheme="majorHAnsi"/>
          <w:sz w:val="20"/>
          <w:szCs w:val="20"/>
          <w:lang w:val="es-ES"/>
        </w:rPr>
        <w:t xml:space="preserve">, los </w:t>
      </w:r>
      <w:r w:rsidR="004B5513" w:rsidRPr="00D0055C">
        <w:rPr>
          <w:rFonts w:asciiTheme="majorHAnsi" w:hAnsiTheme="majorHAnsi"/>
          <w:sz w:val="20"/>
          <w:szCs w:val="20"/>
          <w:lang w:val="es-ES"/>
        </w:rPr>
        <w:t xml:space="preserve">obstáculos </w:t>
      </w:r>
      <w:r>
        <w:rPr>
          <w:rFonts w:asciiTheme="majorHAnsi" w:hAnsiTheme="majorHAnsi"/>
          <w:sz w:val="20"/>
          <w:szCs w:val="20"/>
          <w:lang w:val="es-ES"/>
        </w:rPr>
        <w:t xml:space="preserve">señalados por la parte peticionaria </w:t>
      </w:r>
      <w:r w:rsidR="007A32C1">
        <w:rPr>
          <w:rFonts w:asciiTheme="majorHAnsi" w:hAnsiTheme="majorHAnsi"/>
          <w:sz w:val="20"/>
          <w:szCs w:val="20"/>
          <w:lang w:val="es-ES"/>
        </w:rPr>
        <w:t>acredita</w:t>
      </w:r>
      <w:r w:rsidR="002B0298">
        <w:rPr>
          <w:rFonts w:asciiTheme="majorHAnsi" w:hAnsiTheme="majorHAnsi"/>
          <w:sz w:val="20"/>
          <w:szCs w:val="20"/>
          <w:lang w:val="es-ES"/>
        </w:rPr>
        <w:t>n</w:t>
      </w:r>
      <w:r w:rsidR="007A32C1">
        <w:rPr>
          <w:rFonts w:asciiTheme="majorHAnsi" w:hAnsiTheme="majorHAnsi"/>
          <w:sz w:val="20"/>
          <w:szCs w:val="20"/>
          <w:lang w:val="es-ES"/>
        </w:rPr>
        <w:t xml:space="preserve"> </w:t>
      </w:r>
      <w:r w:rsidR="004B5513" w:rsidRPr="00D0055C">
        <w:rPr>
          <w:rFonts w:asciiTheme="majorHAnsi" w:hAnsiTheme="majorHAnsi"/>
          <w:sz w:val="20"/>
          <w:szCs w:val="20"/>
          <w:lang w:val="es-ES"/>
        </w:rPr>
        <w:t xml:space="preserve">que </w:t>
      </w:r>
      <w:r w:rsidR="007A32C1">
        <w:rPr>
          <w:rFonts w:asciiTheme="majorHAnsi" w:hAnsiTheme="majorHAnsi"/>
          <w:sz w:val="20"/>
          <w:szCs w:val="20"/>
          <w:lang w:val="es-ES"/>
        </w:rPr>
        <w:t xml:space="preserve">existieron impedimentos concretos en </w:t>
      </w:r>
      <w:r w:rsidR="004B5513" w:rsidRPr="00D0055C">
        <w:rPr>
          <w:rFonts w:asciiTheme="majorHAnsi" w:hAnsiTheme="majorHAnsi"/>
          <w:sz w:val="20"/>
          <w:szCs w:val="20"/>
          <w:lang w:val="es-ES"/>
        </w:rPr>
        <w:t xml:space="preserve">el acceso de las presuntas víctimas </w:t>
      </w:r>
      <w:r w:rsidR="004016CD" w:rsidRPr="00D0055C">
        <w:rPr>
          <w:rFonts w:asciiTheme="majorHAnsi" w:hAnsiTheme="majorHAnsi"/>
          <w:sz w:val="20"/>
          <w:szCs w:val="20"/>
          <w:lang w:val="es-ES"/>
        </w:rPr>
        <w:t xml:space="preserve">para ser oídas en </w:t>
      </w:r>
      <w:r w:rsidR="004B5513" w:rsidRPr="00D0055C">
        <w:rPr>
          <w:rFonts w:asciiTheme="majorHAnsi" w:hAnsiTheme="majorHAnsi"/>
          <w:sz w:val="20"/>
          <w:szCs w:val="20"/>
          <w:lang w:val="es-ES"/>
        </w:rPr>
        <w:t xml:space="preserve">la </w:t>
      </w:r>
      <w:r w:rsidR="004016CD" w:rsidRPr="00D0055C">
        <w:rPr>
          <w:rFonts w:asciiTheme="majorHAnsi" w:hAnsiTheme="majorHAnsi"/>
          <w:sz w:val="20"/>
          <w:szCs w:val="20"/>
          <w:lang w:val="es-ES"/>
        </w:rPr>
        <w:t>jurisdicción interna</w:t>
      </w:r>
      <w:r w:rsidR="001E6BD9" w:rsidRPr="00D0055C">
        <w:rPr>
          <w:rFonts w:asciiTheme="majorHAnsi" w:hAnsiTheme="majorHAnsi"/>
          <w:sz w:val="20"/>
          <w:szCs w:val="20"/>
          <w:lang w:val="es-ES"/>
        </w:rPr>
        <w:t xml:space="preserve"> (en particular, por la falta de asistencia brindada por el Estado y la </w:t>
      </w:r>
      <w:r w:rsidR="00425FE8" w:rsidRPr="00D0055C">
        <w:rPr>
          <w:rFonts w:asciiTheme="majorHAnsi" w:hAnsiTheme="majorHAnsi"/>
          <w:sz w:val="20"/>
          <w:szCs w:val="20"/>
          <w:lang w:val="es-ES"/>
        </w:rPr>
        <w:t xml:space="preserve">alegada </w:t>
      </w:r>
      <w:r w:rsidR="001E6BD9" w:rsidRPr="00D0055C">
        <w:rPr>
          <w:rFonts w:asciiTheme="majorHAnsi" w:hAnsiTheme="majorHAnsi"/>
          <w:sz w:val="20"/>
          <w:szCs w:val="20"/>
          <w:lang w:val="es-ES"/>
        </w:rPr>
        <w:t>intimidación sufrida)</w:t>
      </w:r>
      <w:r w:rsidR="00FD601A" w:rsidRPr="00D0055C">
        <w:rPr>
          <w:rFonts w:asciiTheme="majorHAnsi" w:hAnsiTheme="majorHAnsi"/>
          <w:sz w:val="20"/>
          <w:szCs w:val="20"/>
          <w:lang w:val="es-ES"/>
        </w:rPr>
        <w:t>;</w:t>
      </w:r>
      <w:r w:rsidR="009B5AED" w:rsidRPr="00D0055C">
        <w:rPr>
          <w:rFonts w:asciiTheme="majorHAnsi" w:hAnsiTheme="majorHAnsi"/>
          <w:sz w:val="20"/>
          <w:szCs w:val="20"/>
          <w:lang w:val="es-ES"/>
        </w:rPr>
        <w:t xml:space="preserve"> </w:t>
      </w:r>
      <w:r w:rsidR="00D22508">
        <w:rPr>
          <w:rFonts w:asciiTheme="majorHAnsi" w:hAnsiTheme="majorHAnsi"/>
          <w:sz w:val="20"/>
          <w:szCs w:val="20"/>
          <w:lang w:val="es-ES"/>
        </w:rPr>
        <w:t xml:space="preserve">a su turno, </w:t>
      </w:r>
      <w:r w:rsidR="009B5AED" w:rsidRPr="00D0055C">
        <w:rPr>
          <w:rFonts w:asciiTheme="majorHAnsi" w:hAnsiTheme="majorHAnsi"/>
          <w:sz w:val="20"/>
          <w:szCs w:val="20"/>
          <w:lang w:val="es-ES"/>
        </w:rPr>
        <w:t xml:space="preserve">la gravedad de </w:t>
      </w:r>
      <w:r w:rsidR="00AC6A6F" w:rsidRPr="00D0055C">
        <w:rPr>
          <w:rFonts w:asciiTheme="majorHAnsi" w:hAnsiTheme="majorHAnsi"/>
          <w:sz w:val="20"/>
          <w:szCs w:val="20"/>
          <w:lang w:val="es-ES"/>
        </w:rPr>
        <w:t>las violaciones ocurridas a las presuntas víctimas</w:t>
      </w:r>
      <w:r w:rsidR="00FD601A" w:rsidRPr="00D0055C">
        <w:rPr>
          <w:rFonts w:asciiTheme="majorHAnsi" w:hAnsiTheme="majorHAnsi"/>
          <w:sz w:val="20"/>
          <w:szCs w:val="20"/>
          <w:lang w:val="es-ES"/>
        </w:rPr>
        <w:t>; y el hecho de</w:t>
      </w:r>
      <w:r w:rsidR="00AC6A6F" w:rsidRPr="00D0055C">
        <w:rPr>
          <w:rFonts w:asciiTheme="majorHAnsi" w:hAnsiTheme="majorHAnsi"/>
          <w:sz w:val="20"/>
          <w:szCs w:val="20"/>
          <w:lang w:val="es-ES"/>
        </w:rPr>
        <w:t xml:space="preserve"> que</w:t>
      </w:r>
      <w:r w:rsidR="00FD601A" w:rsidRPr="00D0055C">
        <w:rPr>
          <w:rFonts w:asciiTheme="majorHAnsi" w:hAnsiTheme="majorHAnsi"/>
          <w:sz w:val="20"/>
          <w:szCs w:val="20"/>
          <w:lang w:val="es-ES"/>
        </w:rPr>
        <w:t xml:space="preserve"> las consecuencias de la alegada falta de una investigación efectiva</w:t>
      </w:r>
      <w:r w:rsidR="00B615BB" w:rsidRPr="00D0055C">
        <w:rPr>
          <w:rFonts w:asciiTheme="majorHAnsi" w:hAnsiTheme="majorHAnsi"/>
          <w:sz w:val="20"/>
          <w:szCs w:val="20"/>
          <w:lang w:val="es-ES"/>
        </w:rPr>
        <w:t xml:space="preserve"> se mantendrían hasta el presente</w:t>
      </w:r>
      <w:r w:rsidR="00585FE5">
        <w:rPr>
          <w:rFonts w:asciiTheme="majorHAnsi" w:hAnsiTheme="majorHAnsi"/>
          <w:sz w:val="20"/>
          <w:szCs w:val="20"/>
          <w:lang w:val="es-ES"/>
        </w:rPr>
        <w:t>. Los anteriores</w:t>
      </w:r>
      <w:r w:rsidR="00FD601A" w:rsidRPr="00D0055C">
        <w:rPr>
          <w:rFonts w:asciiTheme="majorHAnsi" w:hAnsiTheme="majorHAnsi"/>
          <w:sz w:val="20"/>
          <w:szCs w:val="20"/>
          <w:lang w:val="es-ES"/>
        </w:rPr>
        <w:t xml:space="preserve"> </w:t>
      </w:r>
      <w:r w:rsidR="004016CD" w:rsidRPr="00D0055C">
        <w:rPr>
          <w:rFonts w:asciiTheme="majorHAnsi" w:hAnsiTheme="majorHAnsi"/>
          <w:sz w:val="20"/>
          <w:szCs w:val="20"/>
          <w:lang w:val="es-ES"/>
        </w:rPr>
        <w:t>son motivos suficientes que justifican el tiempo transcurrido en</w:t>
      </w:r>
      <w:r w:rsidR="00A4036F" w:rsidRPr="00D0055C">
        <w:rPr>
          <w:rFonts w:asciiTheme="majorHAnsi" w:hAnsiTheme="majorHAnsi"/>
          <w:sz w:val="20"/>
          <w:szCs w:val="20"/>
          <w:lang w:val="es-ES"/>
        </w:rPr>
        <w:t>tre la prescripción de la acción penal y la presentación de la petición</w:t>
      </w:r>
      <w:r w:rsidR="003B54DF" w:rsidRPr="00D0055C">
        <w:rPr>
          <w:rFonts w:asciiTheme="majorHAnsi" w:hAnsiTheme="majorHAnsi"/>
          <w:sz w:val="20"/>
          <w:szCs w:val="20"/>
          <w:lang w:val="es-ES"/>
        </w:rPr>
        <w:t>.</w:t>
      </w:r>
      <w:r w:rsidR="00966F8A" w:rsidRPr="00D0055C">
        <w:rPr>
          <w:rFonts w:asciiTheme="majorHAnsi" w:hAnsiTheme="majorHAnsi"/>
          <w:sz w:val="20"/>
          <w:szCs w:val="20"/>
          <w:lang w:val="es-ES"/>
        </w:rPr>
        <w:t xml:space="preserve"> En consecuencia, la Comisión concluye que la </w:t>
      </w:r>
      <w:r w:rsidR="00966F8A" w:rsidRPr="007311D7">
        <w:rPr>
          <w:rFonts w:asciiTheme="majorHAnsi" w:hAnsiTheme="majorHAnsi"/>
          <w:sz w:val="20"/>
          <w:szCs w:val="20"/>
          <w:lang w:val="es-ES"/>
        </w:rPr>
        <w:t xml:space="preserve">petición </w:t>
      </w:r>
      <w:r w:rsidR="00FB705D" w:rsidRPr="007311D7">
        <w:rPr>
          <w:rFonts w:asciiTheme="majorHAnsi" w:hAnsiTheme="majorHAnsi"/>
          <w:sz w:val="20"/>
          <w:szCs w:val="20"/>
          <w:lang w:val="es-ES"/>
        </w:rPr>
        <w:t xml:space="preserve">bajo estudio </w:t>
      </w:r>
      <w:r w:rsidR="00966F8A" w:rsidRPr="007311D7">
        <w:rPr>
          <w:rFonts w:asciiTheme="majorHAnsi" w:hAnsiTheme="majorHAnsi"/>
          <w:sz w:val="20"/>
          <w:szCs w:val="20"/>
          <w:lang w:val="es-ES"/>
        </w:rPr>
        <w:t>cumple con el requisito de haber sido presentad</w:t>
      </w:r>
      <w:r w:rsidR="00FB705D" w:rsidRPr="007311D7">
        <w:rPr>
          <w:rFonts w:asciiTheme="majorHAnsi" w:hAnsiTheme="majorHAnsi"/>
          <w:sz w:val="20"/>
          <w:szCs w:val="20"/>
          <w:lang w:val="es-ES"/>
        </w:rPr>
        <w:t>a</w:t>
      </w:r>
      <w:r w:rsidR="00966F8A" w:rsidRPr="007311D7">
        <w:rPr>
          <w:rFonts w:asciiTheme="majorHAnsi" w:hAnsiTheme="majorHAnsi"/>
          <w:sz w:val="20"/>
          <w:szCs w:val="20"/>
          <w:lang w:val="es-ES"/>
        </w:rPr>
        <w:t xml:space="preserve"> dentro</w:t>
      </w:r>
      <w:r w:rsidR="00966F8A" w:rsidRPr="00047036">
        <w:rPr>
          <w:rFonts w:asciiTheme="majorHAnsi" w:hAnsiTheme="majorHAnsi"/>
          <w:sz w:val="20"/>
          <w:szCs w:val="20"/>
          <w:lang w:val="es-ES"/>
        </w:rPr>
        <w:t xml:space="preserve"> de un plazo razonable en los términos del artículo 32.2 de su Reglamento.</w:t>
      </w:r>
    </w:p>
    <w:p w14:paraId="673598AF" w14:textId="77777777" w:rsidR="003239B8" w:rsidRPr="00B4143C" w:rsidRDefault="003239B8" w:rsidP="003239B8">
      <w:pPr>
        <w:pStyle w:val="ListParagraph"/>
        <w:spacing w:before="240" w:after="240"/>
        <w:jc w:val="both"/>
        <w:rPr>
          <w:rFonts w:asciiTheme="majorHAnsi" w:hAnsiTheme="majorHAnsi"/>
          <w:b/>
          <w:sz w:val="20"/>
          <w:szCs w:val="20"/>
          <w:lang w:val="es-ES"/>
        </w:rPr>
      </w:pPr>
      <w:r w:rsidRPr="00B4143C">
        <w:rPr>
          <w:rFonts w:asciiTheme="majorHAnsi" w:hAnsiTheme="majorHAnsi"/>
          <w:b/>
          <w:bCs/>
          <w:sz w:val="20"/>
          <w:szCs w:val="20"/>
          <w:lang w:val="es-ES"/>
        </w:rPr>
        <w:t>VII.</w:t>
      </w:r>
      <w:r w:rsidRPr="00B4143C">
        <w:rPr>
          <w:rFonts w:asciiTheme="majorHAnsi" w:hAnsiTheme="majorHAnsi"/>
          <w:b/>
          <w:bCs/>
          <w:sz w:val="20"/>
          <w:szCs w:val="20"/>
          <w:lang w:val="es-ES"/>
        </w:rPr>
        <w:tab/>
      </w:r>
      <w:r w:rsidR="004A6A54" w:rsidRPr="00B4143C">
        <w:rPr>
          <w:rFonts w:asciiTheme="majorHAnsi" w:hAnsiTheme="majorHAnsi"/>
          <w:b/>
          <w:bCs/>
          <w:sz w:val="20"/>
          <w:szCs w:val="20"/>
          <w:lang w:val="es-ES"/>
        </w:rPr>
        <w:t xml:space="preserve">ANÁLISIS DE </w:t>
      </w:r>
      <w:r w:rsidR="00C21FEF" w:rsidRPr="00B4143C">
        <w:rPr>
          <w:rFonts w:asciiTheme="majorHAnsi" w:hAnsiTheme="majorHAnsi"/>
          <w:b/>
          <w:bCs/>
          <w:sz w:val="20"/>
          <w:szCs w:val="20"/>
          <w:lang w:val="es-ES"/>
        </w:rPr>
        <w:t>CARACTERIZACIÓN DE LOS HECHOS ALEGADOS</w:t>
      </w:r>
    </w:p>
    <w:p w14:paraId="4E8FF98F" w14:textId="724911C0" w:rsidR="00B770CD" w:rsidRPr="00B4143C" w:rsidRDefault="008C5E2D" w:rsidP="00B770C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t xml:space="preserve">La Comisión observa que </w:t>
      </w:r>
      <w:r w:rsidR="000B2BD4">
        <w:rPr>
          <w:rFonts w:asciiTheme="majorHAnsi" w:hAnsiTheme="majorHAnsi"/>
          <w:sz w:val="20"/>
          <w:szCs w:val="20"/>
          <w:lang w:val="es-ES"/>
        </w:rPr>
        <w:t>esta</w:t>
      </w:r>
      <w:r w:rsidRPr="00B4143C">
        <w:rPr>
          <w:rFonts w:asciiTheme="majorHAnsi" w:hAnsiTheme="majorHAnsi"/>
          <w:sz w:val="20"/>
          <w:szCs w:val="20"/>
          <w:lang w:val="es-ES"/>
        </w:rPr>
        <w:t xml:space="preserve"> petición inclu</w:t>
      </w:r>
      <w:r w:rsidR="004B421C" w:rsidRPr="00B4143C">
        <w:rPr>
          <w:rFonts w:asciiTheme="majorHAnsi" w:hAnsiTheme="majorHAnsi"/>
          <w:sz w:val="20"/>
          <w:szCs w:val="20"/>
          <w:lang w:val="es-ES"/>
        </w:rPr>
        <w:t xml:space="preserve">ye alegaciones con respecto a </w:t>
      </w:r>
      <w:r w:rsidR="00722E53" w:rsidRPr="00B4143C">
        <w:rPr>
          <w:rFonts w:asciiTheme="majorHAnsi" w:hAnsiTheme="majorHAnsi"/>
          <w:sz w:val="20"/>
          <w:szCs w:val="20"/>
          <w:lang w:val="es-ES"/>
        </w:rPr>
        <w:t>la falta de debida diligencia en la conducción de la investigación y</w:t>
      </w:r>
      <w:r w:rsidR="00002417" w:rsidRPr="00B4143C">
        <w:rPr>
          <w:rFonts w:asciiTheme="majorHAnsi" w:hAnsiTheme="majorHAnsi"/>
          <w:sz w:val="20"/>
          <w:szCs w:val="20"/>
          <w:lang w:val="es-ES"/>
        </w:rPr>
        <w:t xml:space="preserve"> de los</w:t>
      </w:r>
      <w:r w:rsidR="00722E53" w:rsidRPr="00B4143C">
        <w:rPr>
          <w:rFonts w:asciiTheme="majorHAnsi" w:hAnsiTheme="majorHAnsi"/>
          <w:sz w:val="20"/>
          <w:szCs w:val="20"/>
          <w:lang w:val="es-ES"/>
        </w:rPr>
        <w:t xml:space="preserve"> juicios adelantados a raíz de la masacre de siete mujeres y la violación sexual de</w:t>
      </w:r>
      <w:r w:rsidR="008828C5" w:rsidRPr="00B4143C">
        <w:rPr>
          <w:rFonts w:asciiTheme="majorHAnsi" w:hAnsiTheme="majorHAnsi"/>
          <w:sz w:val="20"/>
          <w:szCs w:val="20"/>
          <w:lang w:val="es-ES"/>
        </w:rPr>
        <w:t xml:space="preserve"> tres</w:t>
      </w:r>
      <w:r w:rsidR="00722E53" w:rsidRPr="00B4143C">
        <w:rPr>
          <w:rFonts w:asciiTheme="majorHAnsi" w:hAnsiTheme="majorHAnsi"/>
          <w:sz w:val="20"/>
          <w:szCs w:val="20"/>
          <w:lang w:val="es-ES"/>
        </w:rPr>
        <w:t xml:space="preserve"> </w:t>
      </w:r>
      <w:r w:rsidR="00541006" w:rsidRPr="00B4143C">
        <w:rPr>
          <w:rFonts w:asciiTheme="majorHAnsi" w:hAnsiTheme="majorHAnsi"/>
          <w:sz w:val="20"/>
          <w:szCs w:val="20"/>
          <w:lang w:val="es-ES"/>
        </w:rPr>
        <w:t>ellas</w:t>
      </w:r>
      <w:r w:rsidR="00722E53" w:rsidRPr="00B4143C">
        <w:rPr>
          <w:rFonts w:asciiTheme="majorHAnsi" w:hAnsiTheme="majorHAnsi"/>
          <w:sz w:val="20"/>
          <w:szCs w:val="20"/>
          <w:lang w:val="es-ES"/>
        </w:rPr>
        <w:t>.</w:t>
      </w:r>
      <w:r w:rsidR="00EC37EF" w:rsidRPr="00B4143C">
        <w:rPr>
          <w:rFonts w:asciiTheme="majorHAnsi" w:hAnsiTheme="majorHAnsi"/>
          <w:sz w:val="20"/>
          <w:szCs w:val="20"/>
          <w:lang w:val="es-ES"/>
        </w:rPr>
        <w:t xml:space="preserve"> Costa Rica replica que la parte peticionaria pretende hacer uso de la CIDH como tribunal de alzada internacional para que convalide las hipótesis de investigación que considera correctas, y, por otro lado, </w:t>
      </w:r>
      <w:r w:rsidR="00991CFF" w:rsidRPr="00B4143C">
        <w:rPr>
          <w:rFonts w:asciiTheme="majorHAnsi" w:hAnsiTheme="majorHAnsi"/>
          <w:sz w:val="20"/>
          <w:szCs w:val="20"/>
          <w:lang w:val="es-ES"/>
        </w:rPr>
        <w:t xml:space="preserve">aduce que </w:t>
      </w:r>
      <w:r w:rsidR="00EC37EF" w:rsidRPr="00B4143C">
        <w:rPr>
          <w:rFonts w:asciiTheme="majorHAnsi" w:hAnsiTheme="majorHAnsi"/>
          <w:sz w:val="20"/>
          <w:szCs w:val="20"/>
          <w:lang w:val="es-ES"/>
        </w:rPr>
        <w:t>no plantea hechos que car</w:t>
      </w:r>
      <w:r w:rsidR="00D71F74" w:rsidRPr="00B4143C">
        <w:rPr>
          <w:rFonts w:asciiTheme="majorHAnsi" w:hAnsiTheme="majorHAnsi"/>
          <w:sz w:val="20"/>
          <w:szCs w:val="20"/>
          <w:lang w:val="es-ES"/>
        </w:rPr>
        <w:t>ac</w:t>
      </w:r>
      <w:r w:rsidR="00EC37EF" w:rsidRPr="00B4143C">
        <w:rPr>
          <w:rFonts w:asciiTheme="majorHAnsi" w:hAnsiTheme="majorHAnsi"/>
          <w:sz w:val="20"/>
          <w:szCs w:val="20"/>
          <w:lang w:val="es-ES"/>
        </w:rPr>
        <w:t>tericen una violación de derechos humanos, puesto que la investigación fue conducida con la debida diligencia.</w:t>
      </w:r>
    </w:p>
    <w:p w14:paraId="18F7E98C" w14:textId="21261454" w:rsidR="00B770CD" w:rsidRPr="00ED5941" w:rsidRDefault="00B770CD" w:rsidP="00B770C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sz w:val="20"/>
          <w:szCs w:val="20"/>
          <w:lang w:val="es-ES"/>
        </w:rPr>
        <w:t>La Comisión Interamericana reitera que</w:t>
      </w:r>
      <w:r w:rsidR="003201FE">
        <w:rPr>
          <w:sz w:val="20"/>
          <w:szCs w:val="20"/>
          <w:lang w:val="es-ES"/>
        </w:rPr>
        <w:t>,</w:t>
      </w:r>
      <w:r w:rsidRPr="00B4143C">
        <w:rPr>
          <w:sz w:val="20"/>
          <w:szCs w:val="20"/>
          <w:lang w:val="es-ES"/>
        </w:rPr>
        <w:t xml:space="preserve"> a efectos de la admisibilidad</w:t>
      </w:r>
      <w:r w:rsidR="003201FE">
        <w:rPr>
          <w:sz w:val="20"/>
          <w:szCs w:val="20"/>
          <w:lang w:val="es-ES"/>
        </w:rPr>
        <w:t>,</w:t>
      </w:r>
      <w:r w:rsidRPr="00B4143C">
        <w:rPr>
          <w:sz w:val="20"/>
          <w:szCs w:val="20"/>
          <w:lang w:val="es-ES"/>
        </w:rPr>
        <w:t xml:space="preserve"> debe decidir si los hechos alegados pueden caracterizar una violación de derechos, según lo estipulado en el artículo 47(b) de la Convención Americana; o si la petición es </w:t>
      </w:r>
      <w:r w:rsidR="00C40CB2">
        <w:rPr>
          <w:sz w:val="20"/>
          <w:szCs w:val="20"/>
          <w:lang w:val="es-ES"/>
        </w:rPr>
        <w:t>“</w:t>
      </w:r>
      <w:r w:rsidRPr="00B4143C">
        <w:rPr>
          <w:sz w:val="20"/>
          <w:szCs w:val="20"/>
          <w:lang w:val="es-ES"/>
        </w:rPr>
        <w:t>manifiestamente infundada</w:t>
      </w:r>
      <w:r w:rsidR="00C40CB2">
        <w:rPr>
          <w:sz w:val="20"/>
          <w:szCs w:val="20"/>
          <w:lang w:val="es-ES"/>
        </w:rPr>
        <w:t>”</w:t>
      </w:r>
      <w:r w:rsidRPr="00B4143C">
        <w:rPr>
          <w:sz w:val="20"/>
          <w:szCs w:val="20"/>
          <w:lang w:val="es-ES"/>
        </w:rPr>
        <w:t xml:space="preserve"> o </w:t>
      </w:r>
      <w:r w:rsidR="00C40CB2">
        <w:rPr>
          <w:sz w:val="20"/>
          <w:szCs w:val="20"/>
          <w:lang w:val="es-ES"/>
        </w:rPr>
        <w:t>“</w:t>
      </w:r>
      <w:r w:rsidRPr="00B4143C">
        <w:rPr>
          <w:sz w:val="20"/>
          <w:szCs w:val="20"/>
          <w:lang w:val="es-ES"/>
        </w:rPr>
        <w:t>es evidente su total improcedencia</w:t>
      </w:r>
      <w:r w:rsidR="00C40CB2">
        <w:rPr>
          <w:sz w:val="20"/>
          <w:szCs w:val="20"/>
          <w:lang w:val="es-ES"/>
        </w:rPr>
        <w:t>”</w:t>
      </w:r>
      <w:r w:rsidR="004E75FF">
        <w:rPr>
          <w:sz w:val="20"/>
          <w:szCs w:val="20"/>
          <w:lang w:val="es-ES"/>
        </w:rPr>
        <w:t>,</w:t>
      </w:r>
      <w:r w:rsidRPr="00B4143C">
        <w:rPr>
          <w:sz w:val="20"/>
          <w:szCs w:val="20"/>
          <w:lang w:val="es-ES"/>
        </w:rPr>
        <w:t xml:space="preserve"> conforme al inciso (c) de dicho artículo. El criterio de evaluación de tales requisitos difiere del que se utiliza para pronunciarse sobre el fondo de una petición. Asimismo, dentro del marco de su mandato</w:t>
      </w:r>
      <w:r w:rsidR="00514138">
        <w:rPr>
          <w:sz w:val="20"/>
          <w:szCs w:val="20"/>
          <w:lang w:val="es-ES"/>
        </w:rPr>
        <w:t>,</w:t>
      </w:r>
      <w:r w:rsidRPr="00B4143C">
        <w:rPr>
          <w:sz w:val="20"/>
          <w:szCs w:val="20"/>
          <w:lang w:val="es-ES"/>
        </w:rPr>
        <w:t xml:space="preserve"> la Comisión Interamericana es competente para declarar admisible una petición cuando se </w:t>
      </w:r>
      <w:r w:rsidR="00A15E7C">
        <w:rPr>
          <w:sz w:val="20"/>
          <w:szCs w:val="20"/>
          <w:lang w:val="es-ES"/>
        </w:rPr>
        <w:t>trata de</w:t>
      </w:r>
      <w:r w:rsidRPr="00B4143C">
        <w:rPr>
          <w:sz w:val="20"/>
          <w:szCs w:val="20"/>
          <w:lang w:val="es-ES"/>
        </w:rPr>
        <w:t xml:space="preserve"> procesos internos que podrían ser violatorios de derechos garantizados por la Convención Americana. Es decir que, de acuerdo con las normas convencionales citadas, en concordancia con el artículo </w:t>
      </w:r>
      <w:r w:rsidRPr="00F85A5A">
        <w:rPr>
          <w:sz w:val="20"/>
          <w:szCs w:val="20"/>
          <w:lang w:val="es-ES"/>
        </w:rPr>
        <w:t>34 de su Reglamento</w:t>
      </w:r>
      <w:r w:rsidRPr="00F85A5A">
        <w:rPr>
          <w:rStyle w:val="FootnoteReference"/>
          <w:sz w:val="20"/>
          <w:szCs w:val="20"/>
          <w:lang w:val="es-ES"/>
        </w:rPr>
        <w:footnoteReference w:id="8"/>
      </w:r>
      <w:r w:rsidRPr="00F85A5A">
        <w:rPr>
          <w:sz w:val="20"/>
          <w:szCs w:val="20"/>
          <w:lang w:val="es-ES"/>
        </w:rPr>
        <w:t>, el análisis de admisibilidad se centra en la verificación de tales requisitos, los cuales se refieren</w:t>
      </w:r>
      <w:r w:rsidRPr="00B4143C">
        <w:rPr>
          <w:sz w:val="20"/>
          <w:szCs w:val="20"/>
          <w:lang w:val="es-ES"/>
        </w:rPr>
        <w:t xml:space="preserve"> a elementos que, de ser ciertos, podrían constituir </w:t>
      </w:r>
      <w:r w:rsidRPr="00B4143C">
        <w:rPr>
          <w:i/>
          <w:iCs/>
          <w:sz w:val="20"/>
          <w:szCs w:val="20"/>
          <w:lang w:val="es-ES"/>
        </w:rPr>
        <w:t>prima facie</w:t>
      </w:r>
      <w:r w:rsidRPr="00B4143C">
        <w:rPr>
          <w:sz w:val="20"/>
          <w:szCs w:val="20"/>
          <w:lang w:val="es-ES"/>
        </w:rPr>
        <w:t xml:space="preserve"> violaciones a la Convención Americana.</w:t>
      </w:r>
    </w:p>
    <w:p w14:paraId="29D9A82F" w14:textId="31E1745A" w:rsidR="00261B4B" w:rsidRPr="00B4143C" w:rsidRDefault="00B04860" w:rsidP="00261B4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lastRenderedPageBreak/>
        <w:t>L</w:t>
      </w:r>
      <w:r w:rsidR="00261B4B" w:rsidRPr="00B4143C">
        <w:rPr>
          <w:rFonts w:asciiTheme="majorHAnsi" w:hAnsiTheme="majorHAnsi"/>
          <w:sz w:val="20"/>
          <w:szCs w:val="20"/>
          <w:lang w:val="es-ES"/>
        </w:rPr>
        <w:t xml:space="preserve">a Comisión recuerda que los Estados tienen la obligación de impulsar una investigación </w:t>
      </w:r>
      <w:r w:rsidR="00261B4B" w:rsidRPr="00B4143C">
        <w:rPr>
          <w:rFonts w:asciiTheme="majorHAnsi" w:hAnsiTheme="majorHAnsi"/>
          <w:i/>
          <w:iCs/>
          <w:sz w:val="20"/>
          <w:szCs w:val="20"/>
          <w:lang w:val="es-ES"/>
        </w:rPr>
        <w:t>ex officio</w:t>
      </w:r>
      <w:r w:rsidR="00261B4B" w:rsidRPr="00B4143C">
        <w:rPr>
          <w:rFonts w:asciiTheme="majorHAnsi" w:hAnsiTheme="majorHAnsi"/>
          <w:sz w:val="20"/>
          <w:szCs w:val="20"/>
          <w:lang w:val="es-ES"/>
        </w:rPr>
        <w:t xml:space="preserve"> en los casos de </w:t>
      </w:r>
      <w:r w:rsidR="00A80567" w:rsidRPr="00B4143C">
        <w:rPr>
          <w:rFonts w:asciiTheme="majorHAnsi" w:hAnsiTheme="majorHAnsi"/>
          <w:sz w:val="20"/>
          <w:szCs w:val="20"/>
          <w:lang w:val="es-ES"/>
        </w:rPr>
        <w:t>graves violaciones de derechos humanos</w:t>
      </w:r>
      <w:r w:rsidR="00261B4B" w:rsidRPr="00B4143C">
        <w:rPr>
          <w:rFonts w:asciiTheme="majorHAnsi" w:hAnsiTheme="majorHAnsi"/>
          <w:sz w:val="20"/>
          <w:szCs w:val="20"/>
          <w:lang w:val="es-ES"/>
        </w:rPr>
        <w:t>, como un deber jurídico propio, y no pueden reposar esta carga en la iniciativa de los familiares</w:t>
      </w:r>
      <w:r w:rsidR="00261B4B" w:rsidRPr="00B4143C">
        <w:rPr>
          <w:rStyle w:val="FootnoteReference"/>
          <w:rFonts w:asciiTheme="majorHAnsi" w:hAnsiTheme="majorHAnsi"/>
          <w:sz w:val="20"/>
          <w:szCs w:val="20"/>
          <w:lang w:val="es-ES"/>
        </w:rPr>
        <w:footnoteReference w:id="9"/>
      </w:r>
      <w:r w:rsidR="00261B4B" w:rsidRPr="00B4143C">
        <w:rPr>
          <w:rFonts w:asciiTheme="majorHAnsi" w:hAnsiTheme="majorHAnsi"/>
          <w:sz w:val="20"/>
          <w:szCs w:val="20"/>
          <w:lang w:val="es-ES"/>
        </w:rPr>
        <w:t>. Uno de los principios rectores del deber de debida diligencia consiste en dar seguimiento a las líneas lógicas de investigación en las indagaciones penales relativas a violaciones de derechos humanos</w:t>
      </w:r>
      <w:r w:rsidR="00261B4B" w:rsidRPr="00B4143C">
        <w:rPr>
          <w:rStyle w:val="FootnoteReference"/>
          <w:rFonts w:asciiTheme="majorHAnsi" w:hAnsiTheme="majorHAnsi"/>
          <w:sz w:val="20"/>
          <w:szCs w:val="20"/>
          <w:lang w:val="es-ES"/>
        </w:rPr>
        <w:footnoteReference w:id="10"/>
      </w:r>
      <w:r w:rsidR="00261B4B" w:rsidRPr="00B4143C">
        <w:rPr>
          <w:rFonts w:asciiTheme="majorHAnsi" w:hAnsiTheme="majorHAnsi"/>
          <w:sz w:val="20"/>
          <w:szCs w:val="20"/>
          <w:lang w:val="es-ES"/>
        </w:rPr>
        <w:t>.</w:t>
      </w:r>
    </w:p>
    <w:p w14:paraId="19DE918B" w14:textId="77777777" w:rsidR="004F246D" w:rsidRPr="00B4143C" w:rsidRDefault="00261B4B" w:rsidP="004F246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t>A ello se suma que, en casos de violencia contra la mujer, las obligaciones generales de los artículos 8.1 y 25 de la Convención Americana se ven reforzadas por las disposiciones de la Convención de Belém do Pará, cuyo artículo 7.b) impone el deber específico de utilizar la debida diligencia para prevenir, sancionar y erradicar la violencia contra la mujer</w:t>
      </w:r>
      <w:r w:rsidRPr="00B4143C">
        <w:rPr>
          <w:rStyle w:val="FootnoteReference"/>
          <w:rFonts w:asciiTheme="majorHAnsi" w:hAnsiTheme="majorHAnsi"/>
          <w:sz w:val="20"/>
          <w:szCs w:val="20"/>
          <w:lang w:val="es-ES"/>
        </w:rPr>
        <w:footnoteReference w:id="11"/>
      </w:r>
      <w:r w:rsidRPr="00B4143C">
        <w:rPr>
          <w:rFonts w:asciiTheme="majorHAnsi" w:hAnsiTheme="majorHAnsi"/>
          <w:sz w:val="20"/>
          <w:szCs w:val="20"/>
          <w:lang w:val="es-ES"/>
        </w:rPr>
        <w:t>. En efecto, el deber de investigar tiene alcances adicionales cuando se trata de una mujer que sufre una muerte violenta, maltrato o afectación a su libertad personal, pues se requiere que el Estado esclarezca si el acto fue perpetrado por razón del género</w:t>
      </w:r>
      <w:r w:rsidRPr="00B4143C">
        <w:rPr>
          <w:rStyle w:val="FootnoteReference"/>
          <w:rFonts w:asciiTheme="majorHAnsi" w:hAnsiTheme="majorHAnsi"/>
          <w:sz w:val="20"/>
          <w:szCs w:val="20"/>
          <w:lang w:val="es-ES"/>
        </w:rPr>
        <w:footnoteReference w:id="12"/>
      </w:r>
      <w:r w:rsidRPr="00B4143C">
        <w:rPr>
          <w:rFonts w:asciiTheme="majorHAnsi" w:hAnsiTheme="majorHAnsi"/>
          <w:sz w:val="20"/>
          <w:szCs w:val="20"/>
          <w:lang w:val="es-ES"/>
        </w:rPr>
        <w:t>.</w:t>
      </w:r>
    </w:p>
    <w:p w14:paraId="5EB7EEC9" w14:textId="6B26F3E8" w:rsidR="004F246D" w:rsidRPr="00B4143C" w:rsidRDefault="004F246D" w:rsidP="004F246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t xml:space="preserve">En ese sentido, la CIDH </w:t>
      </w:r>
      <w:r w:rsidR="000F5BDE" w:rsidRPr="00B4143C">
        <w:rPr>
          <w:rFonts w:asciiTheme="majorHAnsi" w:hAnsiTheme="majorHAnsi"/>
          <w:sz w:val="20"/>
          <w:szCs w:val="20"/>
          <w:lang w:val="es-ES"/>
        </w:rPr>
        <w:t>entiende</w:t>
      </w:r>
      <w:r w:rsidRPr="00B4143C">
        <w:rPr>
          <w:rFonts w:asciiTheme="majorHAnsi" w:hAnsiTheme="majorHAnsi"/>
          <w:sz w:val="20"/>
          <w:szCs w:val="20"/>
          <w:lang w:val="es-ES"/>
        </w:rPr>
        <w:t xml:space="preserve"> que la violencia sexual es una forma paradigmática de violencia contra la mujer</w:t>
      </w:r>
      <w:r w:rsidRPr="00B4143C">
        <w:rPr>
          <w:rStyle w:val="FootnoteReference"/>
          <w:rFonts w:asciiTheme="majorHAnsi" w:hAnsiTheme="majorHAnsi"/>
          <w:sz w:val="20"/>
          <w:szCs w:val="20"/>
          <w:lang w:val="es-ES"/>
        </w:rPr>
        <w:footnoteReference w:id="13"/>
      </w:r>
      <w:r w:rsidRPr="00B4143C">
        <w:rPr>
          <w:rFonts w:asciiTheme="majorHAnsi" w:hAnsiTheme="majorHAnsi"/>
          <w:sz w:val="20"/>
          <w:szCs w:val="20"/>
          <w:lang w:val="es-ES"/>
        </w:rPr>
        <w:t xml:space="preserve">. </w:t>
      </w:r>
      <w:r w:rsidR="00700237" w:rsidRPr="00B4143C">
        <w:rPr>
          <w:rFonts w:asciiTheme="majorHAnsi" w:hAnsiTheme="majorHAnsi"/>
          <w:sz w:val="20"/>
          <w:szCs w:val="20"/>
          <w:lang w:val="es-ES"/>
        </w:rPr>
        <w:t>E</w:t>
      </w:r>
      <w:r w:rsidRPr="00B4143C">
        <w:rPr>
          <w:rFonts w:asciiTheme="majorHAnsi" w:hAnsiTheme="majorHAnsi"/>
          <w:sz w:val="20"/>
          <w:szCs w:val="20"/>
          <w:lang w:val="es-ES"/>
        </w:rPr>
        <w:t>sto se debe a que la violencia sexual afecta de manera desproporcionada a las mujeres</w:t>
      </w:r>
      <w:r w:rsidRPr="00B4143C">
        <w:rPr>
          <w:rStyle w:val="FootnoteReference"/>
          <w:rFonts w:asciiTheme="majorHAnsi" w:hAnsiTheme="majorHAnsi"/>
          <w:sz w:val="20"/>
          <w:szCs w:val="20"/>
          <w:lang w:val="es-ES"/>
        </w:rPr>
        <w:footnoteReference w:id="14"/>
      </w:r>
      <w:r w:rsidRPr="00B4143C">
        <w:rPr>
          <w:rFonts w:asciiTheme="majorHAnsi" w:hAnsiTheme="majorHAnsi"/>
          <w:sz w:val="20"/>
          <w:szCs w:val="20"/>
          <w:lang w:val="es-ES"/>
        </w:rPr>
        <w:t xml:space="preserve"> y se ejerce con base en estereotipos de género, según los cuales, las mujeres son vistas como </w:t>
      </w:r>
      <w:r w:rsidR="001F647A">
        <w:rPr>
          <w:rFonts w:asciiTheme="majorHAnsi" w:hAnsiTheme="majorHAnsi"/>
          <w:sz w:val="20"/>
          <w:szCs w:val="20"/>
          <w:lang w:val="es-ES"/>
        </w:rPr>
        <w:t>“</w:t>
      </w:r>
      <w:r w:rsidRPr="00B4143C">
        <w:rPr>
          <w:rFonts w:asciiTheme="majorHAnsi" w:hAnsiTheme="majorHAnsi"/>
          <w:sz w:val="20"/>
          <w:szCs w:val="20"/>
          <w:lang w:val="es-ES"/>
        </w:rPr>
        <w:t>el sexo débil</w:t>
      </w:r>
      <w:r w:rsidR="001F647A">
        <w:rPr>
          <w:rFonts w:asciiTheme="majorHAnsi" w:hAnsiTheme="majorHAnsi"/>
          <w:sz w:val="20"/>
          <w:szCs w:val="20"/>
          <w:lang w:val="es-ES"/>
        </w:rPr>
        <w:t>”</w:t>
      </w:r>
      <w:r w:rsidRPr="00B4143C">
        <w:rPr>
          <w:rFonts w:asciiTheme="majorHAnsi" w:hAnsiTheme="majorHAnsi"/>
          <w:sz w:val="20"/>
          <w:szCs w:val="20"/>
          <w:lang w:val="es-ES"/>
        </w:rPr>
        <w:t xml:space="preserve"> o como un objeto sexual. Por ello, la violencia sexual se califica como violencia basada en género, pues se perpetúa con base en estereotipos dañinos como una “manifestación de las relaciones de poder históricamente desiguales entre mujeres y hombres”</w:t>
      </w:r>
      <w:r w:rsidRPr="00B4143C">
        <w:rPr>
          <w:rStyle w:val="FootnoteReference"/>
          <w:rFonts w:asciiTheme="majorHAnsi" w:hAnsiTheme="majorHAnsi"/>
          <w:sz w:val="20"/>
          <w:szCs w:val="20"/>
          <w:lang w:val="es-ES"/>
        </w:rPr>
        <w:footnoteReference w:id="15"/>
      </w:r>
      <w:r w:rsidR="00FB430F">
        <w:rPr>
          <w:rFonts w:asciiTheme="majorHAnsi" w:hAnsiTheme="majorHAnsi"/>
          <w:sz w:val="20"/>
          <w:szCs w:val="20"/>
          <w:lang w:val="es-ES"/>
        </w:rPr>
        <w:t>,</w:t>
      </w:r>
      <w:r w:rsidRPr="00B4143C">
        <w:rPr>
          <w:rFonts w:asciiTheme="majorHAnsi" w:hAnsiTheme="majorHAnsi"/>
          <w:sz w:val="20"/>
          <w:szCs w:val="20"/>
          <w:lang w:val="es-ES"/>
        </w:rPr>
        <w:t xml:space="preserve"> y constituye una forma de discriminación en contra de la mujer</w:t>
      </w:r>
      <w:r w:rsidRPr="00B4143C">
        <w:rPr>
          <w:rStyle w:val="FootnoteReference"/>
          <w:rFonts w:asciiTheme="majorHAnsi" w:hAnsiTheme="majorHAnsi"/>
          <w:sz w:val="20"/>
          <w:szCs w:val="20"/>
          <w:lang w:val="es-ES"/>
        </w:rPr>
        <w:footnoteReference w:id="16"/>
      </w:r>
      <w:r w:rsidRPr="00B4143C">
        <w:rPr>
          <w:rFonts w:asciiTheme="majorHAnsi" w:hAnsiTheme="majorHAnsi"/>
          <w:sz w:val="20"/>
          <w:szCs w:val="20"/>
          <w:lang w:val="es-ES"/>
        </w:rPr>
        <w:t>.</w:t>
      </w:r>
    </w:p>
    <w:p w14:paraId="48B57A15" w14:textId="1C4EEFC8" w:rsidR="005C226F" w:rsidRPr="00B4143C" w:rsidRDefault="00A42D4A" w:rsidP="005C226F">
      <w:pPr>
        <w:pStyle w:val="ListParagraph"/>
        <w:numPr>
          <w:ilvl w:val="0"/>
          <w:numId w:val="60"/>
        </w:numP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t>Adicionalmente, la Corte Interamericana de Derechos Humanos ha reconocido que la violación sexual puede constituir una forma de tortura</w:t>
      </w:r>
      <w:r w:rsidRPr="00B4143C">
        <w:rPr>
          <w:rStyle w:val="FootnoteReference"/>
          <w:rFonts w:asciiTheme="majorHAnsi" w:hAnsiTheme="majorHAnsi"/>
          <w:sz w:val="20"/>
          <w:szCs w:val="20"/>
          <w:lang w:val="es-ES"/>
        </w:rPr>
        <w:footnoteReference w:id="17"/>
      </w:r>
      <w:r w:rsidR="00134970" w:rsidRPr="00B4143C">
        <w:rPr>
          <w:rFonts w:asciiTheme="majorHAnsi" w:hAnsiTheme="majorHAnsi"/>
          <w:sz w:val="20"/>
          <w:szCs w:val="20"/>
          <w:lang w:val="es-ES"/>
        </w:rPr>
        <w:t xml:space="preserve">, </w:t>
      </w:r>
      <w:r w:rsidR="006B0683" w:rsidRPr="00B4143C">
        <w:rPr>
          <w:rFonts w:asciiTheme="majorHAnsi" w:hAnsiTheme="majorHAnsi"/>
          <w:sz w:val="20"/>
          <w:szCs w:val="20"/>
          <w:lang w:val="es-ES"/>
        </w:rPr>
        <w:t>que</w:t>
      </w:r>
      <w:r w:rsidR="00134970" w:rsidRPr="00B4143C">
        <w:rPr>
          <w:rFonts w:asciiTheme="majorHAnsi" w:hAnsiTheme="majorHAnsi"/>
          <w:sz w:val="20"/>
          <w:szCs w:val="20"/>
          <w:lang w:val="es-ES"/>
        </w:rPr>
        <w:t xml:space="preserve"> </w:t>
      </w:r>
      <w:r w:rsidR="005C226F" w:rsidRPr="00B4143C">
        <w:rPr>
          <w:rFonts w:asciiTheme="majorHAnsi" w:hAnsiTheme="majorHAnsi"/>
          <w:sz w:val="20"/>
          <w:szCs w:val="20"/>
          <w:lang w:val="es-ES"/>
        </w:rPr>
        <w:t>puede ser cometid</w:t>
      </w:r>
      <w:r w:rsidR="006B0683" w:rsidRPr="00B4143C">
        <w:rPr>
          <w:rFonts w:asciiTheme="majorHAnsi" w:hAnsiTheme="majorHAnsi"/>
          <w:sz w:val="20"/>
          <w:szCs w:val="20"/>
          <w:lang w:val="es-ES"/>
        </w:rPr>
        <w:t>a</w:t>
      </w:r>
      <w:r w:rsidR="005C226F" w:rsidRPr="00B4143C">
        <w:rPr>
          <w:rFonts w:asciiTheme="majorHAnsi" w:hAnsiTheme="majorHAnsi"/>
          <w:sz w:val="20"/>
          <w:szCs w:val="20"/>
          <w:lang w:val="es-ES"/>
        </w:rPr>
        <w:t xml:space="preserve"> por particulares</w:t>
      </w:r>
      <w:r w:rsidR="00FB430F">
        <w:rPr>
          <w:rFonts w:asciiTheme="majorHAnsi" w:hAnsiTheme="majorHAnsi"/>
          <w:sz w:val="20"/>
          <w:szCs w:val="20"/>
          <w:lang w:val="es-ES"/>
        </w:rPr>
        <w:t>;</w:t>
      </w:r>
      <w:r w:rsidR="005C226F" w:rsidRPr="00B4143C">
        <w:rPr>
          <w:rFonts w:asciiTheme="majorHAnsi" w:hAnsiTheme="majorHAnsi"/>
          <w:sz w:val="20"/>
          <w:szCs w:val="20"/>
          <w:lang w:val="es-ES"/>
        </w:rPr>
        <w:t xml:space="preserve"> </w:t>
      </w:r>
      <w:r w:rsidR="00C46ABA" w:rsidRPr="00B4143C">
        <w:rPr>
          <w:rFonts w:asciiTheme="majorHAnsi" w:hAnsiTheme="majorHAnsi"/>
          <w:sz w:val="20"/>
          <w:szCs w:val="20"/>
          <w:lang w:val="es-ES"/>
        </w:rPr>
        <w:t xml:space="preserve">lo que, a su vez, </w:t>
      </w:r>
      <w:r w:rsidR="005C226F" w:rsidRPr="00B4143C">
        <w:rPr>
          <w:rFonts w:asciiTheme="majorHAnsi" w:hAnsiTheme="majorHAnsi"/>
          <w:sz w:val="20"/>
          <w:szCs w:val="20"/>
          <w:lang w:val="es-ES"/>
        </w:rPr>
        <w:t>puede comprometer la responsabilidad internacional del Estado</w:t>
      </w:r>
      <w:r w:rsidR="005C226F" w:rsidRPr="00B4143C">
        <w:rPr>
          <w:rFonts w:asciiTheme="majorHAnsi" w:hAnsiTheme="majorHAnsi"/>
          <w:sz w:val="20"/>
          <w:szCs w:val="20"/>
          <w:vertAlign w:val="superscript"/>
          <w:lang w:val="es-ES"/>
        </w:rPr>
        <w:footnoteReference w:id="18"/>
      </w:r>
      <w:r w:rsidR="005C226F" w:rsidRPr="00B4143C">
        <w:rPr>
          <w:rFonts w:asciiTheme="majorHAnsi" w:hAnsiTheme="majorHAnsi"/>
          <w:sz w:val="20"/>
          <w:szCs w:val="20"/>
          <w:lang w:val="es-ES"/>
        </w:rPr>
        <w:t>. A</w:t>
      </w:r>
      <w:r w:rsidR="00C46ABA" w:rsidRPr="00B4143C">
        <w:rPr>
          <w:rFonts w:asciiTheme="majorHAnsi" w:hAnsiTheme="majorHAnsi"/>
          <w:sz w:val="20"/>
          <w:szCs w:val="20"/>
          <w:lang w:val="es-ES"/>
        </w:rPr>
        <w:t>demás</w:t>
      </w:r>
      <w:r w:rsidR="005C226F" w:rsidRPr="00B4143C">
        <w:rPr>
          <w:rFonts w:asciiTheme="majorHAnsi" w:hAnsiTheme="majorHAnsi"/>
          <w:sz w:val="20"/>
          <w:szCs w:val="20"/>
          <w:lang w:val="es-ES"/>
        </w:rPr>
        <w:t xml:space="preserve">, la prohibición absoluta de la tortura, prevista en el artículo 5.2 de la Convención Americana, pertenece hoy en día al dominio de </w:t>
      </w:r>
      <w:r w:rsidR="005C226F" w:rsidRPr="00B4143C">
        <w:rPr>
          <w:rFonts w:asciiTheme="majorHAnsi" w:hAnsiTheme="majorHAnsi"/>
          <w:i/>
          <w:iCs/>
          <w:sz w:val="20"/>
          <w:szCs w:val="20"/>
          <w:lang w:val="es-ES"/>
        </w:rPr>
        <w:t xml:space="preserve">jus cogens </w:t>
      </w:r>
      <w:r w:rsidR="005C226F" w:rsidRPr="00B4143C">
        <w:rPr>
          <w:rFonts w:asciiTheme="majorHAnsi" w:hAnsiTheme="majorHAnsi"/>
          <w:sz w:val="20"/>
          <w:szCs w:val="20"/>
          <w:lang w:val="es-ES"/>
        </w:rPr>
        <w:t>internacional</w:t>
      </w:r>
      <w:r w:rsidR="005C226F" w:rsidRPr="00B4143C">
        <w:rPr>
          <w:rFonts w:asciiTheme="majorHAnsi" w:hAnsiTheme="majorHAnsi"/>
          <w:sz w:val="20"/>
          <w:szCs w:val="20"/>
          <w:vertAlign w:val="superscript"/>
          <w:lang w:val="es-ES"/>
        </w:rPr>
        <w:footnoteReference w:id="19"/>
      </w:r>
      <w:r w:rsidR="005C226F" w:rsidRPr="00B4143C">
        <w:rPr>
          <w:rFonts w:asciiTheme="majorHAnsi" w:hAnsiTheme="majorHAnsi"/>
          <w:sz w:val="20"/>
          <w:szCs w:val="20"/>
          <w:lang w:val="es-ES"/>
        </w:rPr>
        <w:t>.</w:t>
      </w:r>
    </w:p>
    <w:p w14:paraId="4EB28DFA" w14:textId="5F872D8D" w:rsidR="00D0759C" w:rsidRPr="00B4143C" w:rsidRDefault="00D0759C"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t>Ahora bien, la CIDH toma nota de los alegatos planteados por el Estado respecto a que actuó con la debida diligencia en la conducción y seguimiento de las líneas de investigación, así como</w:t>
      </w:r>
      <w:r w:rsidR="00876B6D" w:rsidRPr="00B4143C">
        <w:rPr>
          <w:rFonts w:asciiTheme="majorHAnsi" w:hAnsiTheme="majorHAnsi"/>
          <w:sz w:val="20"/>
          <w:szCs w:val="20"/>
          <w:lang w:val="es-ES"/>
        </w:rPr>
        <w:t xml:space="preserve"> en</w:t>
      </w:r>
      <w:r w:rsidRPr="00B4143C">
        <w:rPr>
          <w:rFonts w:asciiTheme="majorHAnsi" w:hAnsiTheme="majorHAnsi"/>
          <w:sz w:val="20"/>
          <w:szCs w:val="20"/>
          <w:lang w:val="es-ES"/>
        </w:rPr>
        <w:t xml:space="preserve"> la realización del juicio. Sin embargo, la Comisión </w:t>
      </w:r>
      <w:r w:rsidR="00D75A04" w:rsidRPr="00B4143C">
        <w:rPr>
          <w:rFonts w:asciiTheme="majorHAnsi" w:hAnsiTheme="majorHAnsi"/>
          <w:sz w:val="20"/>
          <w:szCs w:val="20"/>
          <w:lang w:val="es-ES"/>
        </w:rPr>
        <w:t xml:space="preserve">advierte </w:t>
      </w:r>
      <w:r w:rsidRPr="00B4143C">
        <w:rPr>
          <w:rFonts w:asciiTheme="majorHAnsi" w:hAnsiTheme="majorHAnsi"/>
          <w:sz w:val="20"/>
          <w:szCs w:val="20"/>
          <w:lang w:val="es-ES"/>
        </w:rPr>
        <w:t xml:space="preserve">que </w:t>
      </w:r>
      <w:r w:rsidR="00793C0F" w:rsidRPr="00B4143C">
        <w:rPr>
          <w:rFonts w:asciiTheme="majorHAnsi" w:hAnsiTheme="majorHAnsi"/>
          <w:sz w:val="20"/>
          <w:szCs w:val="20"/>
          <w:lang w:val="es-ES"/>
        </w:rPr>
        <w:t xml:space="preserve">subsiste la controversia entre las partes sobre la aplicación de la debida diligencia reforzada en la exploración de las líneas de investigación, y </w:t>
      </w:r>
      <w:r w:rsidR="008F71CB" w:rsidRPr="00B4143C">
        <w:rPr>
          <w:rFonts w:asciiTheme="majorHAnsi" w:hAnsiTheme="majorHAnsi"/>
          <w:sz w:val="20"/>
          <w:szCs w:val="20"/>
          <w:lang w:val="es-ES"/>
        </w:rPr>
        <w:t xml:space="preserve">en la conducción del juicio </w:t>
      </w:r>
      <w:r w:rsidR="008F71CB" w:rsidRPr="00B4143C">
        <w:rPr>
          <w:rFonts w:asciiTheme="majorHAnsi" w:hAnsiTheme="majorHAnsi"/>
          <w:sz w:val="20"/>
          <w:szCs w:val="20"/>
          <w:lang w:val="es-ES"/>
        </w:rPr>
        <w:lastRenderedPageBreak/>
        <w:t xml:space="preserve">anulado </w:t>
      </w:r>
      <w:r w:rsidR="00473300" w:rsidRPr="00B4143C">
        <w:rPr>
          <w:rFonts w:asciiTheme="majorHAnsi" w:hAnsiTheme="majorHAnsi"/>
          <w:sz w:val="20"/>
          <w:szCs w:val="20"/>
          <w:lang w:val="es-ES"/>
        </w:rPr>
        <w:t xml:space="preserve">en el que, </w:t>
      </w:r>
      <w:r w:rsidR="008F71CB" w:rsidRPr="00B4143C">
        <w:rPr>
          <w:rFonts w:asciiTheme="majorHAnsi" w:hAnsiTheme="majorHAnsi"/>
          <w:sz w:val="20"/>
          <w:szCs w:val="20"/>
          <w:lang w:val="es-ES"/>
        </w:rPr>
        <w:t xml:space="preserve">según alega </w:t>
      </w:r>
      <w:r w:rsidR="00473300" w:rsidRPr="00B4143C">
        <w:rPr>
          <w:rFonts w:asciiTheme="majorHAnsi" w:hAnsiTheme="majorHAnsi"/>
          <w:sz w:val="20"/>
          <w:szCs w:val="20"/>
          <w:lang w:val="es-ES"/>
        </w:rPr>
        <w:t xml:space="preserve">la parte peticionaria, </w:t>
      </w:r>
      <w:r w:rsidR="008F71CB" w:rsidRPr="00B4143C">
        <w:rPr>
          <w:rFonts w:asciiTheme="majorHAnsi" w:hAnsiTheme="majorHAnsi"/>
          <w:sz w:val="20"/>
          <w:szCs w:val="20"/>
          <w:lang w:val="es-ES"/>
        </w:rPr>
        <w:t>agentes del Estado habrían cometido actos de tortura contra el procesado, lo cual no sólo excluiría la prueba obtenida bajo coacción, sino que constituiría una grave violación de derechos humanos cometida en el marco del proceso que</w:t>
      </w:r>
      <w:r w:rsidR="00064D08">
        <w:rPr>
          <w:rFonts w:asciiTheme="majorHAnsi" w:hAnsiTheme="majorHAnsi"/>
          <w:sz w:val="20"/>
          <w:szCs w:val="20"/>
          <w:lang w:val="es-ES"/>
        </w:rPr>
        <w:t>,</w:t>
      </w:r>
      <w:r w:rsidR="008F71CB" w:rsidRPr="00B4143C">
        <w:rPr>
          <w:rFonts w:asciiTheme="majorHAnsi" w:hAnsiTheme="majorHAnsi"/>
          <w:sz w:val="20"/>
          <w:szCs w:val="20"/>
          <w:lang w:val="es-ES"/>
        </w:rPr>
        <w:t xml:space="preserve"> sin duda</w:t>
      </w:r>
      <w:r w:rsidR="00064D08">
        <w:rPr>
          <w:rFonts w:asciiTheme="majorHAnsi" w:hAnsiTheme="majorHAnsi"/>
          <w:sz w:val="20"/>
          <w:szCs w:val="20"/>
          <w:lang w:val="es-ES"/>
        </w:rPr>
        <w:t>,</w:t>
      </w:r>
      <w:r w:rsidR="008F71CB" w:rsidRPr="00B4143C">
        <w:rPr>
          <w:rFonts w:asciiTheme="majorHAnsi" w:hAnsiTheme="majorHAnsi"/>
          <w:sz w:val="20"/>
          <w:szCs w:val="20"/>
          <w:lang w:val="es-ES"/>
        </w:rPr>
        <w:t xml:space="preserve"> habría tenido </w:t>
      </w:r>
      <w:r w:rsidR="00841AC2" w:rsidRPr="00B4143C">
        <w:rPr>
          <w:rFonts w:asciiTheme="majorHAnsi" w:hAnsiTheme="majorHAnsi"/>
          <w:sz w:val="20"/>
          <w:szCs w:val="20"/>
          <w:lang w:val="es-ES"/>
        </w:rPr>
        <w:t>el efecto de anular el juicio y retrasar el proceso y</w:t>
      </w:r>
      <w:r w:rsidR="00F262BE" w:rsidRPr="00B4143C">
        <w:rPr>
          <w:rFonts w:asciiTheme="majorHAnsi" w:hAnsiTheme="majorHAnsi"/>
          <w:sz w:val="20"/>
          <w:szCs w:val="20"/>
          <w:lang w:val="es-ES"/>
        </w:rPr>
        <w:t xml:space="preserve"> el acceso a</w:t>
      </w:r>
      <w:r w:rsidR="00841AC2" w:rsidRPr="00B4143C">
        <w:rPr>
          <w:rFonts w:asciiTheme="majorHAnsi" w:hAnsiTheme="majorHAnsi"/>
          <w:sz w:val="20"/>
          <w:szCs w:val="20"/>
          <w:lang w:val="es-ES"/>
        </w:rPr>
        <w:t xml:space="preserve"> la administración de justicia.</w:t>
      </w:r>
      <w:r w:rsidR="00F262BE" w:rsidRPr="00B4143C">
        <w:rPr>
          <w:rFonts w:asciiTheme="majorHAnsi" w:hAnsiTheme="majorHAnsi"/>
          <w:sz w:val="20"/>
          <w:szCs w:val="20"/>
          <w:lang w:val="es-ES"/>
        </w:rPr>
        <w:t xml:space="preserve"> Todo ello, y los demás alegatos de las partes con respecto a las líneas de investigación seguidas, requiere</w:t>
      </w:r>
      <w:r w:rsidR="004C7453">
        <w:rPr>
          <w:rFonts w:asciiTheme="majorHAnsi" w:hAnsiTheme="majorHAnsi"/>
          <w:sz w:val="20"/>
          <w:szCs w:val="20"/>
          <w:lang w:val="es-ES"/>
        </w:rPr>
        <w:t>n</w:t>
      </w:r>
      <w:r w:rsidR="00F262BE" w:rsidRPr="00B4143C">
        <w:rPr>
          <w:rFonts w:asciiTheme="majorHAnsi" w:hAnsiTheme="majorHAnsi"/>
          <w:sz w:val="20"/>
          <w:szCs w:val="20"/>
          <w:lang w:val="es-ES"/>
        </w:rPr>
        <w:t xml:space="preserve"> de un estudio </w:t>
      </w:r>
      <w:r w:rsidR="00C9142E">
        <w:rPr>
          <w:rFonts w:asciiTheme="majorHAnsi" w:hAnsiTheme="majorHAnsi"/>
          <w:sz w:val="20"/>
          <w:szCs w:val="20"/>
          <w:lang w:val="es-ES"/>
        </w:rPr>
        <w:t>más profundo</w:t>
      </w:r>
      <w:r w:rsidR="00F262D6" w:rsidRPr="00B4143C">
        <w:rPr>
          <w:rFonts w:asciiTheme="majorHAnsi" w:hAnsiTheme="majorHAnsi"/>
          <w:sz w:val="20"/>
          <w:szCs w:val="20"/>
          <w:lang w:val="es-ES"/>
        </w:rPr>
        <w:t xml:space="preserve"> en la etapa de fondo.</w:t>
      </w:r>
      <w:r w:rsidR="00833C89" w:rsidRPr="00B4143C">
        <w:rPr>
          <w:rFonts w:asciiTheme="majorHAnsi" w:hAnsiTheme="majorHAnsi"/>
          <w:sz w:val="20"/>
          <w:szCs w:val="20"/>
          <w:lang w:val="es-ES"/>
        </w:rPr>
        <w:t xml:space="preserve"> Por otro lado, la Comisión también toma en </w:t>
      </w:r>
      <w:r w:rsidR="008B4C28">
        <w:rPr>
          <w:rFonts w:asciiTheme="majorHAnsi" w:hAnsiTheme="majorHAnsi"/>
          <w:sz w:val="20"/>
          <w:szCs w:val="20"/>
          <w:lang w:val="es-ES"/>
        </w:rPr>
        <w:t xml:space="preserve">cuenta </w:t>
      </w:r>
      <w:r w:rsidR="003D35C1" w:rsidRPr="00B4143C">
        <w:rPr>
          <w:rFonts w:asciiTheme="majorHAnsi" w:hAnsiTheme="majorHAnsi"/>
          <w:sz w:val="20"/>
          <w:szCs w:val="20"/>
          <w:lang w:val="es-ES"/>
        </w:rPr>
        <w:t>que, de acuerdo con la información aportada por las partes, los actos de violencia sexual y femicidio perpetrados contra</w:t>
      </w:r>
      <w:r w:rsidR="003D30B7" w:rsidRPr="00B4143C">
        <w:rPr>
          <w:rFonts w:asciiTheme="majorHAnsi" w:hAnsiTheme="majorHAnsi"/>
          <w:sz w:val="20"/>
          <w:szCs w:val="20"/>
          <w:lang w:val="es-ES"/>
        </w:rPr>
        <w:t xml:space="preserve"> las presuntas víctimas habrían sido cometidos por terceros</w:t>
      </w:r>
      <w:r w:rsidR="00E75259" w:rsidRPr="00B4143C">
        <w:rPr>
          <w:rFonts w:asciiTheme="majorHAnsi" w:hAnsiTheme="majorHAnsi"/>
          <w:sz w:val="20"/>
          <w:szCs w:val="20"/>
          <w:lang w:val="es-ES"/>
        </w:rPr>
        <w:t>.</w:t>
      </w:r>
    </w:p>
    <w:p w14:paraId="1D12B2D2" w14:textId="6B98DE6D" w:rsidR="00D92E0C" w:rsidRPr="00B4143C" w:rsidRDefault="008C5E2D"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t>En aten</w:t>
      </w:r>
      <w:r w:rsidR="00C25ADB" w:rsidRPr="00B4143C">
        <w:rPr>
          <w:rFonts w:asciiTheme="majorHAnsi" w:hAnsiTheme="majorHAnsi"/>
          <w:sz w:val="20"/>
          <w:szCs w:val="20"/>
          <w:lang w:val="es-ES"/>
        </w:rPr>
        <w:t xml:space="preserve">ción a estas </w:t>
      </w:r>
      <w:r w:rsidR="00C25ADB" w:rsidRPr="008B4C28">
        <w:rPr>
          <w:rFonts w:asciiTheme="majorHAnsi" w:hAnsiTheme="majorHAnsi"/>
          <w:sz w:val="20"/>
          <w:szCs w:val="20"/>
          <w:lang w:val="es-ES"/>
        </w:rPr>
        <w:t>consideraciones</w:t>
      </w:r>
      <w:r w:rsidR="004C7453">
        <w:rPr>
          <w:rFonts w:asciiTheme="majorHAnsi" w:hAnsiTheme="majorHAnsi"/>
          <w:sz w:val="20"/>
          <w:szCs w:val="20"/>
          <w:lang w:val="es-ES"/>
        </w:rPr>
        <w:t>,</w:t>
      </w:r>
      <w:r w:rsidR="00C25ADB" w:rsidRPr="00B4143C">
        <w:rPr>
          <w:rFonts w:asciiTheme="majorHAnsi" w:hAnsiTheme="majorHAnsi"/>
          <w:sz w:val="20"/>
          <w:szCs w:val="20"/>
          <w:lang w:val="es-ES"/>
        </w:rPr>
        <w:t xml:space="preserve"> y </w:t>
      </w:r>
      <w:r w:rsidRPr="00B4143C">
        <w:rPr>
          <w:rFonts w:asciiTheme="majorHAnsi" w:hAnsiTheme="majorHAnsi"/>
          <w:sz w:val="20"/>
          <w:szCs w:val="20"/>
          <w:lang w:val="es-ES"/>
        </w:rPr>
        <w:t>tras examinar los elementos de hecho y de derecho expuestos por las partes</w:t>
      </w:r>
      <w:r w:rsidR="00F36C52">
        <w:rPr>
          <w:rFonts w:asciiTheme="majorHAnsi" w:hAnsiTheme="majorHAnsi"/>
          <w:sz w:val="20"/>
          <w:szCs w:val="20"/>
          <w:lang w:val="es-ES"/>
        </w:rPr>
        <w:t>,</w:t>
      </w:r>
      <w:r w:rsidRPr="00B4143C">
        <w:rPr>
          <w:rFonts w:asciiTheme="majorHAnsi" w:hAnsiTheme="majorHAnsi"/>
          <w:sz w:val="20"/>
          <w:szCs w:val="20"/>
          <w:lang w:val="es-ES"/>
        </w:rPr>
        <w:t xml:space="preserve"> la Comisión estima que las alegaciones de la parte peticionaria no resultan manifiestamente infundadas y requieren un estudio de fondo</w:t>
      </w:r>
      <w:r w:rsidR="000C6CFA">
        <w:rPr>
          <w:rFonts w:asciiTheme="majorHAnsi" w:hAnsiTheme="majorHAnsi"/>
          <w:sz w:val="20"/>
          <w:szCs w:val="20"/>
          <w:lang w:val="es-ES"/>
        </w:rPr>
        <w:t>. Ello</w:t>
      </w:r>
      <w:r w:rsidRPr="00B4143C">
        <w:rPr>
          <w:rFonts w:asciiTheme="majorHAnsi" w:hAnsiTheme="majorHAnsi"/>
          <w:sz w:val="20"/>
          <w:szCs w:val="20"/>
          <w:lang w:val="es-ES"/>
        </w:rPr>
        <w:t xml:space="preserve"> pues los hechos alegados, de corroborarse como ciertos</w:t>
      </w:r>
      <w:r w:rsidR="00394073" w:rsidRPr="00B4143C">
        <w:rPr>
          <w:rFonts w:asciiTheme="majorHAnsi" w:hAnsiTheme="majorHAnsi"/>
          <w:sz w:val="20"/>
          <w:szCs w:val="20"/>
          <w:lang w:val="es-ES"/>
        </w:rPr>
        <w:t>,</w:t>
      </w:r>
      <w:r w:rsidRPr="00B4143C">
        <w:rPr>
          <w:rFonts w:asciiTheme="majorHAnsi" w:hAnsiTheme="majorHAnsi"/>
          <w:sz w:val="20"/>
          <w:szCs w:val="20"/>
          <w:lang w:val="es-ES"/>
        </w:rPr>
        <w:t xml:space="preserve"> podrían caracteri</w:t>
      </w:r>
      <w:r w:rsidR="004B421C" w:rsidRPr="00B4143C">
        <w:rPr>
          <w:rFonts w:asciiTheme="majorHAnsi" w:hAnsiTheme="majorHAnsi"/>
          <w:sz w:val="20"/>
          <w:szCs w:val="20"/>
          <w:lang w:val="es-ES"/>
        </w:rPr>
        <w:t>zar violaciones a los artículos</w:t>
      </w:r>
      <w:r w:rsidR="00394073" w:rsidRPr="00B4143C">
        <w:rPr>
          <w:rFonts w:asciiTheme="majorHAnsi" w:hAnsiTheme="majorHAnsi"/>
          <w:sz w:val="20"/>
          <w:szCs w:val="20"/>
          <w:lang w:val="es-ES"/>
        </w:rPr>
        <w:t xml:space="preserve"> </w:t>
      </w:r>
      <w:r w:rsidR="001259E5" w:rsidRPr="00B4143C">
        <w:rPr>
          <w:rFonts w:asciiTheme="majorHAnsi" w:hAnsiTheme="majorHAnsi"/>
          <w:sz w:val="20"/>
          <w:szCs w:val="20"/>
          <w:lang w:val="es-ES"/>
        </w:rPr>
        <w:t>4 (vida), 5 (integridad personal), 8 (garantías judiciales), 19 (derechos del niño), 24 (igualdad ante la ley) y 25 (</w:t>
      </w:r>
      <w:r w:rsidR="007C4634" w:rsidRPr="00B4143C">
        <w:rPr>
          <w:rFonts w:asciiTheme="majorHAnsi" w:hAnsiTheme="majorHAnsi"/>
          <w:sz w:val="20"/>
          <w:szCs w:val="20"/>
          <w:lang w:val="es-ES"/>
        </w:rPr>
        <w:t>protección judicial) de la Convención Americana en relación con su artículo 1.1,</w:t>
      </w:r>
      <w:r w:rsidR="00394073" w:rsidRPr="00B4143C">
        <w:rPr>
          <w:rFonts w:asciiTheme="majorHAnsi" w:hAnsiTheme="majorHAnsi"/>
          <w:sz w:val="20"/>
          <w:szCs w:val="20"/>
          <w:lang w:val="es-ES"/>
        </w:rPr>
        <w:t xml:space="preserve"> en perjuicio de</w:t>
      </w:r>
      <w:r w:rsidR="00654B20">
        <w:rPr>
          <w:rFonts w:asciiTheme="majorHAnsi" w:hAnsiTheme="majorHAnsi"/>
          <w:bCs/>
          <w:sz w:val="20"/>
          <w:szCs w:val="20"/>
          <w:lang w:val="es-ES"/>
        </w:rPr>
        <w:t xml:space="preserve"> las presuntas víctimas </w:t>
      </w:r>
      <w:r w:rsidR="00C3603F">
        <w:rPr>
          <w:rFonts w:asciiTheme="majorHAnsi" w:hAnsiTheme="majorHAnsi"/>
          <w:bCs/>
          <w:sz w:val="20"/>
          <w:szCs w:val="20"/>
          <w:lang w:val="es-ES"/>
        </w:rPr>
        <w:t>arriba señaladas</w:t>
      </w:r>
      <w:r w:rsidR="007C4634" w:rsidRPr="00B4143C">
        <w:rPr>
          <w:rFonts w:asciiTheme="majorHAnsi" w:hAnsiTheme="majorHAnsi"/>
          <w:sz w:val="20"/>
          <w:szCs w:val="20"/>
          <w:lang w:val="es-ES"/>
        </w:rPr>
        <w:t xml:space="preserve"> y sus familiares, </w:t>
      </w:r>
      <w:r w:rsidR="00394073" w:rsidRPr="00B4143C">
        <w:rPr>
          <w:rFonts w:asciiTheme="majorHAnsi" w:hAnsiTheme="majorHAnsi"/>
          <w:sz w:val="20"/>
          <w:szCs w:val="20"/>
          <w:lang w:val="es-ES"/>
        </w:rPr>
        <w:t>en los términos del presente informe.</w:t>
      </w:r>
    </w:p>
    <w:p w14:paraId="091888D2" w14:textId="549578B1" w:rsidR="008C5E2D" w:rsidRPr="00B4143C" w:rsidRDefault="007C4634"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4143C">
        <w:rPr>
          <w:rFonts w:asciiTheme="majorHAnsi" w:hAnsiTheme="majorHAnsi"/>
          <w:sz w:val="20"/>
          <w:szCs w:val="20"/>
          <w:lang w:val="es-ES"/>
        </w:rPr>
        <w:t xml:space="preserve">Asimismo, </w:t>
      </w:r>
      <w:r w:rsidR="00BE4F0E" w:rsidRPr="00B4143C">
        <w:rPr>
          <w:rFonts w:asciiTheme="majorHAnsi" w:hAnsiTheme="majorHAnsi"/>
          <w:sz w:val="20"/>
          <w:szCs w:val="20"/>
          <w:lang w:val="es-ES"/>
        </w:rPr>
        <w:t xml:space="preserve">la Comisión admitirá también los artículos 1, 6 y 8 de la Convención Interamericana para Prevenir y Sancionar la Tortura, así como el artículo 7 de la Convención de Belém do Pará; para su análisis en la etapa de fondo a partir de la fecha en que dichos instrumentos entraron en vigor para Costa Rica; esto es, </w:t>
      </w:r>
      <w:r w:rsidR="00B076A6" w:rsidRPr="00B4143C">
        <w:rPr>
          <w:rFonts w:asciiTheme="majorHAnsi" w:hAnsiTheme="majorHAnsi"/>
          <w:sz w:val="20"/>
          <w:szCs w:val="20"/>
          <w:lang w:val="es-ES"/>
        </w:rPr>
        <w:t xml:space="preserve">el 8 de febrero del 2000 y el </w:t>
      </w:r>
      <w:r w:rsidR="001B5A97" w:rsidRPr="00B4143C">
        <w:rPr>
          <w:rFonts w:asciiTheme="majorHAnsi" w:hAnsiTheme="majorHAnsi"/>
          <w:sz w:val="20"/>
          <w:szCs w:val="20"/>
          <w:lang w:val="es-ES"/>
        </w:rPr>
        <w:t>12 de julio de 1995, respectivamente.</w:t>
      </w:r>
      <w:r w:rsidR="00482A2D" w:rsidRPr="00B4143C">
        <w:rPr>
          <w:rFonts w:asciiTheme="majorHAnsi" w:hAnsiTheme="majorHAnsi"/>
          <w:sz w:val="20"/>
          <w:szCs w:val="20"/>
          <w:lang w:val="es-ES"/>
        </w:rPr>
        <w:t xml:space="preserve"> A este respecto, la Comisión recuerda que</w:t>
      </w:r>
      <w:r w:rsidR="00CB1D6D" w:rsidRPr="00B4143C">
        <w:rPr>
          <w:rFonts w:asciiTheme="majorHAnsi" w:hAnsiTheme="majorHAnsi"/>
          <w:sz w:val="20"/>
          <w:szCs w:val="20"/>
          <w:lang w:val="es-ES"/>
        </w:rPr>
        <w:t xml:space="preserve"> tiene </w:t>
      </w:r>
      <w:r w:rsidR="00482A2D" w:rsidRPr="00B4143C">
        <w:rPr>
          <w:rFonts w:asciiTheme="majorHAnsi" w:hAnsiTheme="majorHAnsi"/>
          <w:sz w:val="20"/>
          <w:szCs w:val="20"/>
          <w:lang w:val="es-ES"/>
        </w:rPr>
        <w:t>competen</w:t>
      </w:r>
      <w:r w:rsidR="00CB1D6D" w:rsidRPr="00B4143C">
        <w:rPr>
          <w:rFonts w:asciiTheme="majorHAnsi" w:hAnsiTheme="majorHAnsi"/>
          <w:sz w:val="20"/>
          <w:szCs w:val="20"/>
          <w:lang w:val="es-ES"/>
        </w:rPr>
        <w:t>cia</w:t>
      </w:r>
      <w:r w:rsidR="00482A2D" w:rsidRPr="00B4143C">
        <w:rPr>
          <w:rFonts w:asciiTheme="majorHAnsi" w:hAnsiTheme="majorHAnsi"/>
          <w:sz w:val="20"/>
          <w:szCs w:val="20"/>
          <w:lang w:val="es-ES"/>
        </w:rPr>
        <w:t> </w:t>
      </w:r>
      <w:r w:rsidR="00482A2D" w:rsidRPr="00B4143C">
        <w:rPr>
          <w:rFonts w:asciiTheme="majorHAnsi" w:hAnsiTheme="majorHAnsi"/>
          <w:i/>
          <w:iCs/>
          <w:sz w:val="20"/>
          <w:szCs w:val="20"/>
          <w:lang w:val="es-ES"/>
        </w:rPr>
        <w:t>ratione temporis</w:t>
      </w:r>
      <w:r w:rsidR="00482A2D" w:rsidRPr="00B4143C">
        <w:rPr>
          <w:rFonts w:asciiTheme="majorHAnsi" w:hAnsiTheme="majorHAnsi"/>
          <w:sz w:val="20"/>
          <w:szCs w:val="20"/>
          <w:lang w:val="es-ES"/>
        </w:rPr>
        <w:t xml:space="preserve"> para conocer y decidir </w:t>
      </w:r>
      <w:r w:rsidR="004801A8" w:rsidRPr="00B4143C">
        <w:rPr>
          <w:rFonts w:asciiTheme="majorHAnsi" w:hAnsiTheme="majorHAnsi"/>
          <w:sz w:val="20"/>
          <w:szCs w:val="20"/>
          <w:lang w:val="es-ES"/>
        </w:rPr>
        <w:t xml:space="preserve">la posible violación </w:t>
      </w:r>
      <w:r w:rsidR="00CB1D6D" w:rsidRPr="00B4143C">
        <w:rPr>
          <w:rFonts w:asciiTheme="majorHAnsi" w:hAnsiTheme="majorHAnsi"/>
          <w:sz w:val="20"/>
          <w:szCs w:val="20"/>
          <w:lang w:val="es-ES"/>
        </w:rPr>
        <w:t>de</w:t>
      </w:r>
      <w:r w:rsidR="00482A2D" w:rsidRPr="00B4143C">
        <w:rPr>
          <w:rFonts w:asciiTheme="majorHAnsi" w:hAnsiTheme="majorHAnsi"/>
          <w:sz w:val="20"/>
          <w:szCs w:val="20"/>
          <w:lang w:val="es-ES"/>
        </w:rPr>
        <w:t xml:space="preserve"> dicho</w:t>
      </w:r>
      <w:r w:rsidR="00CB1D6D" w:rsidRPr="00B4143C">
        <w:rPr>
          <w:rFonts w:asciiTheme="majorHAnsi" w:hAnsiTheme="majorHAnsi"/>
          <w:sz w:val="20"/>
          <w:szCs w:val="20"/>
          <w:lang w:val="es-ES"/>
        </w:rPr>
        <w:t>s</w:t>
      </w:r>
      <w:r w:rsidR="00482A2D" w:rsidRPr="00B4143C">
        <w:rPr>
          <w:rFonts w:asciiTheme="majorHAnsi" w:hAnsiTheme="majorHAnsi"/>
          <w:sz w:val="20"/>
          <w:szCs w:val="20"/>
          <w:lang w:val="es-ES"/>
        </w:rPr>
        <w:t xml:space="preserve"> instrumento</w:t>
      </w:r>
      <w:r w:rsidR="00CB1D6D" w:rsidRPr="00B4143C">
        <w:rPr>
          <w:rFonts w:asciiTheme="majorHAnsi" w:hAnsiTheme="majorHAnsi"/>
          <w:sz w:val="20"/>
          <w:szCs w:val="20"/>
          <w:lang w:val="es-ES"/>
        </w:rPr>
        <w:t>s</w:t>
      </w:r>
      <w:r w:rsidR="00482A2D" w:rsidRPr="00B4143C">
        <w:rPr>
          <w:rFonts w:asciiTheme="majorHAnsi" w:hAnsiTheme="majorHAnsi"/>
          <w:sz w:val="20"/>
          <w:szCs w:val="20"/>
          <w:lang w:val="es-ES"/>
        </w:rPr>
        <w:t xml:space="preserve"> </w:t>
      </w:r>
      <w:r w:rsidR="004801A8" w:rsidRPr="00B4143C">
        <w:rPr>
          <w:rFonts w:asciiTheme="majorHAnsi" w:hAnsiTheme="majorHAnsi"/>
          <w:sz w:val="20"/>
          <w:szCs w:val="20"/>
          <w:lang w:val="es-ES"/>
        </w:rPr>
        <w:t xml:space="preserve">con </w:t>
      </w:r>
      <w:r w:rsidR="00482A2D" w:rsidRPr="00B4143C">
        <w:rPr>
          <w:rFonts w:asciiTheme="majorHAnsi" w:hAnsiTheme="majorHAnsi"/>
          <w:sz w:val="20"/>
          <w:szCs w:val="20"/>
          <w:lang w:val="es-ES"/>
        </w:rPr>
        <w:t xml:space="preserve">respecto </w:t>
      </w:r>
      <w:r w:rsidR="004801A8" w:rsidRPr="00B4143C">
        <w:rPr>
          <w:rFonts w:asciiTheme="majorHAnsi" w:hAnsiTheme="majorHAnsi"/>
          <w:sz w:val="20"/>
          <w:szCs w:val="20"/>
          <w:lang w:val="es-ES"/>
        </w:rPr>
        <w:t>a</w:t>
      </w:r>
      <w:r w:rsidR="00482A2D" w:rsidRPr="00B4143C">
        <w:rPr>
          <w:rFonts w:asciiTheme="majorHAnsi" w:hAnsiTheme="majorHAnsi"/>
          <w:sz w:val="20"/>
          <w:szCs w:val="20"/>
          <w:lang w:val="es-ES"/>
        </w:rPr>
        <w:t xml:space="preserve"> </w:t>
      </w:r>
      <w:r w:rsidR="004801A8" w:rsidRPr="00B4143C">
        <w:rPr>
          <w:rFonts w:asciiTheme="majorHAnsi" w:hAnsiTheme="majorHAnsi"/>
          <w:sz w:val="20"/>
          <w:szCs w:val="20"/>
          <w:lang w:val="es-ES"/>
        </w:rPr>
        <w:t xml:space="preserve">la conducción del proceso penal </w:t>
      </w:r>
      <w:r w:rsidR="00482A2D" w:rsidRPr="00B4143C">
        <w:rPr>
          <w:rFonts w:asciiTheme="majorHAnsi" w:hAnsiTheme="majorHAnsi"/>
          <w:sz w:val="20"/>
          <w:szCs w:val="20"/>
          <w:lang w:val="es-ES"/>
        </w:rPr>
        <w:t xml:space="preserve">después de </w:t>
      </w:r>
      <w:r w:rsidR="004801A8" w:rsidRPr="00B4143C">
        <w:rPr>
          <w:rFonts w:asciiTheme="majorHAnsi" w:hAnsiTheme="majorHAnsi"/>
          <w:sz w:val="20"/>
          <w:szCs w:val="20"/>
          <w:lang w:val="es-ES"/>
        </w:rPr>
        <w:t>su entrada en vigor para el Estado</w:t>
      </w:r>
      <w:r w:rsidR="00482A2D" w:rsidRPr="00B4143C">
        <w:rPr>
          <w:rFonts w:asciiTheme="majorHAnsi" w:hAnsiTheme="majorHAnsi"/>
          <w:sz w:val="20"/>
          <w:szCs w:val="20"/>
          <w:lang w:val="es-ES"/>
        </w:rPr>
        <w:t>.</w:t>
      </w:r>
    </w:p>
    <w:p w14:paraId="445BF42E" w14:textId="77777777" w:rsidR="003239B8" w:rsidRPr="00B4143C" w:rsidRDefault="003239B8" w:rsidP="003239B8">
      <w:pPr>
        <w:pStyle w:val="ListParagraph"/>
        <w:spacing w:before="240" w:after="240"/>
        <w:jc w:val="both"/>
        <w:rPr>
          <w:rFonts w:asciiTheme="majorHAnsi" w:hAnsiTheme="majorHAnsi"/>
          <w:b/>
          <w:bCs/>
          <w:sz w:val="20"/>
          <w:szCs w:val="20"/>
          <w:lang w:val="es-ES"/>
        </w:rPr>
      </w:pPr>
      <w:r w:rsidRPr="00B4143C">
        <w:rPr>
          <w:rFonts w:asciiTheme="majorHAnsi" w:hAnsiTheme="majorHAnsi"/>
          <w:b/>
          <w:bCs/>
          <w:sz w:val="20"/>
          <w:szCs w:val="20"/>
          <w:lang w:val="es-ES"/>
        </w:rPr>
        <w:t xml:space="preserve">VIII. </w:t>
      </w:r>
      <w:r w:rsidRPr="00B4143C">
        <w:rPr>
          <w:rFonts w:asciiTheme="majorHAnsi" w:hAnsiTheme="majorHAnsi"/>
          <w:b/>
          <w:bCs/>
          <w:sz w:val="20"/>
          <w:szCs w:val="20"/>
          <w:lang w:val="es-ES"/>
        </w:rPr>
        <w:tab/>
        <w:t>DECISIÓN</w:t>
      </w:r>
    </w:p>
    <w:p w14:paraId="16B36F97" w14:textId="557D07C4" w:rsidR="003239B8" w:rsidRPr="00B4143C"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4143C">
        <w:rPr>
          <w:rFonts w:asciiTheme="majorHAnsi" w:hAnsiTheme="majorHAnsi"/>
          <w:sz w:val="20"/>
          <w:szCs w:val="20"/>
          <w:lang w:val="es-ES"/>
        </w:rPr>
        <w:t>Declarar admisible la presente petición en relación con</w:t>
      </w:r>
      <w:r w:rsidR="001D7F96" w:rsidRPr="00B4143C">
        <w:rPr>
          <w:rFonts w:asciiTheme="majorHAnsi" w:hAnsiTheme="majorHAnsi"/>
          <w:sz w:val="20"/>
          <w:szCs w:val="20"/>
          <w:lang w:val="es-ES"/>
        </w:rPr>
        <w:t xml:space="preserve"> </w:t>
      </w:r>
      <w:r w:rsidR="00416940" w:rsidRPr="00B4143C">
        <w:rPr>
          <w:rFonts w:asciiTheme="majorHAnsi" w:hAnsiTheme="majorHAnsi"/>
          <w:sz w:val="20"/>
          <w:szCs w:val="20"/>
          <w:lang w:val="es-ES"/>
        </w:rPr>
        <w:t>los artículos 4, 5, 8,</w:t>
      </w:r>
      <w:r w:rsidR="00BF1DC6" w:rsidRPr="00B4143C">
        <w:rPr>
          <w:rFonts w:asciiTheme="majorHAnsi" w:hAnsiTheme="majorHAnsi"/>
          <w:sz w:val="20"/>
          <w:szCs w:val="20"/>
          <w:lang w:val="es-ES"/>
        </w:rPr>
        <w:t xml:space="preserve"> </w:t>
      </w:r>
      <w:r w:rsidR="00416940" w:rsidRPr="00B4143C">
        <w:rPr>
          <w:rFonts w:asciiTheme="majorHAnsi" w:hAnsiTheme="majorHAnsi"/>
          <w:sz w:val="20"/>
          <w:szCs w:val="20"/>
          <w:lang w:val="es-ES"/>
        </w:rPr>
        <w:t>19, 24 y 25 de la Convención Americana en conexión con su artículo 1.1</w:t>
      </w:r>
      <w:r w:rsidR="00A758AA" w:rsidRPr="00B4143C">
        <w:rPr>
          <w:rFonts w:asciiTheme="majorHAnsi" w:hAnsiTheme="majorHAnsi"/>
          <w:sz w:val="20"/>
          <w:szCs w:val="20"/>
          <w:lang w:val="es-ES"/>
        </w:rPr>
        <w:t>;</w:t>
      </w:r>
      <w:r w:rsidR="007B76D3" w:rsidRPr="00B4143C">
        <w:rPr>
          <w:rFonts w:asciiTheme="majorHAnsi" w:hAnsiTheme="majorHAnsi"/>
          <w:sz w:val="20"/>
          <w:szCs w:val="20"/>
          <w:lang w:val="es-ES"/>
        </w:rPr>
        <w:t xml:space="preserve"> </w:t>
      </w:r>
    </w:p>
    <w:p w14:paraId="7CCCB663" w14:textId="7F11868E" w:rsidR="000419AD" w:rsidRPr="00B4143C" w:rsidRDefault="000419AD" w:rsidP="00445325">
      <w:pPr>
        <w:pStyle w:val="ListParagraph"/>
        <w:numPr>
          <w:ilvl w:val="0"/>
          <w:numId w:val="55"/>
        </w:numPr>
        <w:jc w:val="both"/>
        <w:rPr>
          <w:rFonts w:asciiTheme="majorHAnsi" w:eastAsia="Arial Unicode MS" w:hAnsiTheme="majorHAnsi" w:cs="Times New Roman"/>
          <w:color w:val="auto"/>
          <w:sz w:val="20"/>
          <w:szCs w:val="20"/>
          <w:lang w:val="es-ES" w:eastAsia="en-US"/>
        </w:rPr>
      </w:pPr>
      <w:r w:rsidRPr="00B4143C">
        <w:rPr>
          <w:rFonts w:asciiTheme="majorHAnsi" w:eastAsia="Arial Unicode MS" w:hAnsiTheme="majorHAnsi" w:cs="Times New Roman"/>
          <w:color w:val="auto"/>
          <w:sz w:val="20"/>
          <w:szCs w:val="20"/>
          <w:lang w:val="es-ES" w:eastAsia="en-US"/>
        </w:rPr>
        <w:t xml:space="preserve">Declarar admisible la presente petición en relación con </w:t>
      </w:r>
      <w:r w:rsidR="00416940" w:rsidRPr="00B4143C">
        <w:rPr>
          <w:rFonts w:asciiTheme="majorHAnsi" w:eastAsia="Arial Unicode MS" w:hAnsiTheme="majorHAnsi" w:cs="Times New Roman"/>
          <w:color w:val="auto"/>
          <w:sz w:val="20"/>
          <w:szCs w:val="20"/>
          <w:lang w:val="es-ES" w:eastAsia="en-US"/>
        </w:rPr>
        <w:t xml:space="preserve">los artículos 1, 6 y 8 de la Convención Interamericana para Prevenir y Sancionar la Tortura, </w:t>
      </w:r>
      <w:r w:rsidR="00847869" w:rsidRPr="00B4143C">
        <w:rPr>
          <w:rFonts w:asciiTheme="majorHAnsi" w:eastAsia="Arial Unicode MS" w:hAnsiTheme="majorHAnsi" w:cs="Times New Roman"/>
          <w:color w:val="auto"/>
          <w:sz w:val="20"/>
          <w:szCs w:val="20"/>
          <w:lang w:val="es-ES" w:eastAsia="en-US"/>
        </w:rPr>
        <w:t>y con el artículo 7 de la Convención de Belém do Pará, en los términos del presente informe</w:t>
      </w:r>
      <w:r w:rsidR="00ED5941">
        <w:rPr>
          <w:rFonts w:asciiTheme="majorHAnsi" w:eastAsia="Arial Unicode MS" w:hAnsiTheme="majorHAnsi" w:cs="Times New Roman"/>
          <w:color w:val="auto"/>
          <w:sz w:val="20"/>
          <w:szCs w:val="20"/>
          <w:lang w:val="es-ES" w:eastAsia="en-US"/>
        </w:rPr>
        <w:t>, y;</w:t>
      </w:r>
    </w:p>
    <w:p w14:paraId="547DFF8E" w14:textId="77777777" w:rsidR="000419AD" w:rsidRPr="00B4143C" w:rsidRDefault="000419AD" w:rsidP="000419AD">
      <w:pPr>
        <w:pStyle w:val="ListParagraph"/>
        <w:rPr>
          <w:rFonts w:asciiTheme="majorHAnsi" w:eastAsia="Arial Unicode MS" w:hAnsiTheme="majorHAnsi" w:cs="Times New Roman"/>
          <w:color w:val="auto"/>
          <w:sz w:val="20"/>
          <w:szCs w:val="20"/>
          <w:lang w:val="es-ES" w:eastAsia="en-US"/>
        </w:rPr>
      </w:pPr>
    </w:p>
    <w:p w14:paraId="00C1D3B7" w14:textId="648780F1"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4143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65588E2" w14:textId="6345BE9D" w:rsidR="00ED5941" w:rsidRPr="00193437" w:rsidRDefault="00ED5941" w:rsidP="0019343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8 días del mes de mayo de 2024.  (Firmado): Carlos Bernal Pulido, Primer Vicepresidente; José Luis Caballero Ochoa, Segundo Vicepresidente; Edgar Stuardo Ralón Orellana y </w:t>
      </w:r>
      <w:r w:rsidR="00C83624">
        <w:rPr>
          <w:rStyle w:val="normaltextrun"/>
          <w:rFonts w:ascii="Cambria" w:hAnsi="Cambria" w:cs="Segoe UI"/>
          <w:sz w:val="20"/>
          <w:szCs w:val="20"/>
          <w:lang w:val="es-CL"/>
        </w:rPr>
        <w:t>Andrea Pochak</w:t>
      </w:r>
      <w:r>
        <w:rPr>
          <w:rStyle w:val="normaltextrun"/>
          <w:rFonts w:ascii="Cambria" w:hAnsi="Cambria" w:cs="Segoe UI"/>
          <w:sz w:val="20"/>
          <w:szCs w:val="20"/>
          <w:lang w:val="es-CL"/>
        </w:rPr>
        <w:t xml:space="preserve">, </w:t>
      </w:r>
      <w:r w:rsidR="0019343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3DA50370" w14:textId="77777777" w:rsidR="00ED5941" w:rsidRPr="00B4143C" w:rsidRDefault="00ED5941" w:rsidP="00ED59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ED5941" w:rsidRPr="00B414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3C79" w14:textId="77777777" w:rsidR="00224AF8" w:rsidRDefault="00224AF8">
      <w:r>
        <w:separator/>
      </w:r>
    </w:p>
  </w:endnote>
  <w:endnote w:type="continuationSeparator" w:id="0">
    <w:p w14:paraId="744E1686" w14:textId="77777777" w:rsidR="00224AF8" w:rsidRDefault="0022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ECB3" w14:textId="77777777" w:rsidR="00224AF8" w:rsidRPr="000F35ED" w:rsidRDefault="00224AF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7908B71" w14:textId="77777777" w:rsidR="00224AF8" w:rsidRPr="000F35ED" w:rsidRDefault="00224AF8" w:rsidP="000F35ED">
      <w:pPr>
        <w:rPr>
          <w:rFonts w:asciiTheme="majorHAnsi" w:hAnsiTheme="majorHAnsi"/>
          <w:sz w:val="16"/>
          <w:szCs w:val="16"/>
        </w:rPr>
      </w:pPr>
      <w:r w:rsidRPr="000F35ED">
        <w:rPr>
          <w:rFonts w:asciiTheme="majorHAnsi" w:hAnsiTheme="majorHAnsi"/>
          <w:sz w:val="16"/>
          <w:szCs w:val="16"/>
        </w:rPr>
        <w:separator/>
      </w:r>
    </w:p>
    <w:p w14:paraId="1F422D38" w14:textId="77777777" w:rsidR="00224AF8" w:rsidRPr="000F35ED" w:rsidRDefault="00224AF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D2311D1" w14:textId="77777777" w:rsidR="00224AF8" w:rsidRPr="000F35ED" w:rsidRDefault="00224AF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FB7B79D" w14:textId="6429079A" w:rsidR="00C0468C" w:rsidRPr="00F82FDF" w:rsidRDefault="00C0468C" w:rsidP="00F82FDF">
      <w:pPr>
        <w:pStyle w:val="FootnoteText"/>
        <w:ind w:firstLine="720"/>
        <w:jc w:val="both"/>
        <w:rPr>
          <w:rFonts w:asciiTheme="majorHAnsi" w:hAnsiTheme="majorHAnsi"/>
          <w:sz w:val="16"/>
          <w:szCs w:val="16"/>
          <w:lang w:val="es-CO"/>
        </w:rPr>
      </w:pPr>
      <w:r w:rsidRPr="00F82FDF">
        <w:rPr>
          <w:rStyle w:val="FootnoteReference"/>
          <w:rFonts w:asciiTheme="majorHAnsi" w:hAnsiTheme="majorHAnsi"/>
          <w:sz w:val="16"/>
          <w:szCs w:val="16"/>
        </w:rPr>
        <w:footnoteRef/>
      </w:r>
      <w:r w:rsidRPr="00F82FDF">
        <w:rPr>
          <w:rFonts w:asciiTheme="majorHAnsi" w:hAnsiTheme="majorHAnsi"/>
          <w:sz w:val="16"/>
          <w:szCs w:val="16"/>
          <w:lang w:val="es-CO"/>
        </w:rPr>
        <w:t xml:space="preserve"> </w:t>
      </w:r>
      <w:r w:rsidR="00A16262">
        <w:rPr>
          <w:rFonts w:asciiTheme="majorHAnsi" w:hAnsiTheme="majorHAnsi"/>
          <w:sz w:val="16"/>
          <w:szCs w:val="16"/>
          <w:lang w:val="es-CO"/>
        </w:rPr>
        <w:t>La parte peticionaria identificó a las siguientes personas como familiares de las presuntas víctimas directas de</w:t>
      </w:r>
      <w:r w:rsidR="00AE2561">
        <w:rPr>
          <w:rFonts w:asciiTheme="majorHAnsi" w:hAnsiTheme="majorHAnsi"/>
          <w:sz w:val="16"/>
          <w:szCs w:val="16"/>
          <w:lang w:val="es-CO"/>
        </w:rPr>
        <w:t xml:space="preserve"> la masacre: </w:t>
      </w:r>
      <w:r w:rsidR="00ED5941">
        <w:rPr>
          <w:rFonts w:asciiTheme="majorHAnsi" w:hAnsiTheme="majorHAnsi"/>
          <w:sz w:val="16"/>
          <w:szCs w:val="16"/>
          <w:lang w:val="es-CO"/>
        </w:rPr>
        <w:t xml:space="preserve">       </w:t>
      </w:r>
      <w:r w:rsidR="00AE2561">
        <w:rPr>
          <w:rFonts w:asciiTheme="majorHAnsi" w:hAnsiTheme="majorHAnsi"/>
          <w:sz w:val="16"/>
          <w:szCs w:val="16"/>
          <w:lang w:val="es-CO"/>
        </w:rPr>
        <w:t>M</w:t>
      </w:r>
      <w:r w:rsidR="00837B89">
        <w:rPr>
          <w:rFonts w:asciiTheme="majorHAnsi" w:hAnsiTheme="majorHAnsi"/>
          <w:sz w:val="16"/>
          <w:szCs w:val="16"/>
          <w:lang w:val="es-CO"/>
        </w:rPr>
        <w:t>.</w:t>
      </w:r>
      <w:r w:rsidR="00485145">
        <w:rPr>
          <w:rFonts w:asciiTheme="majorHAnsi" w:hAnsiTheme="majorHAnsi"/>
          <w:sz w:val="16"/>
          <w:szCs w:val="16"/>
          <w:lang w:val="es-CO"/>
        </w:rPr>
        <w:t xml:space="preserve"> </w:t>
      </w:r>
      <w:r w:rsidR="00AE2561">
        <w:rPr>
          <w:rFonts w:asciiTheme="majorHAnsi" w:hAnsiTheme="majorHAnsi"/>
          <w:sz w:val="16"/>
          <w:szCs w:val="16"/>
          <w:lang w:val="es-CO"/>
        </w:rPr>
        <w:t>Z</w:t>
      </w:r>
      <w:r w:rsidR="009E2A5F">
        <w:rPr>
          <w:rFonts w:asciiTheme="majorHAnsi" w:hAnsiTheme="majorHAnsi"/>
          <w:sz w:val="16"/>
          <w:szCs w:val="16"/>
          <w:lang w:val="es-CO"/>
        </w:rPr>
        <w:t xml:space="preserve">. </w:t>
      </w:r>
      <w:r w:rsidR="00AE2561">
        <w:rPr>
          <w:rFonts w:asciiTheme="majorHAnsi" w:hAnsiTheme="majorHAnsi"/>
          <w:sz w:val="16"/>
          <w:szCs w:val="16"/>
          <w:lang w:val="es-CO"/>
        </w:rPr>
        <w:t>M</w:t>
      </w:r>
      <w:r w:rsidR="009E2A5F">
        <w:rPr>
          <w:rFonts w:asciiTheme="majorHAnsi" w:hAnsiTheme="majorHAnsi"/>
          <w:sz w:val="16"/>
          <w:szCs w:val="16"/>
          <w:lang w:val="es-CO"/>
        </w:rPr>
        <w:t xml:space="preserve">. </w:t>
      </w:r>
      <w:r w:rsidR="00AE2561">
        <w:rPr>
          <w:rFonts w:asciiTheme="majorHAnsi" w:hAnsiTheme="majorHAnsi"/>
          <w:sz w:val="16"/>
          <w:szCs w:val="16"/>
          <w:lang w:val="es-CO"/>
        </w:rPr>
        <w:t>(hermana, madre y tía de las presuntas víctimas); M</w:t>
      </w:r>
      <w:r w:rsidR="009E2A5F">
        <w:rPr>
          <w:rFonts w:asciiTheme="majorHAnsi" w:hAnsiTheme="majorHAnsi"/>
          <w:sz w:val="16"/>
          <w:szCs w:val="16"/>
          <w:lang w:val="es-CO"/>
        </w:rPr>
        <w:t>.</w:t>
      </w:r>
      <w:r w:rsidR="00AE2561">
        <w:rPr>
          <w:rFonts w:asciiTheme="majorHAnsi" w:hAnsiTheme="majorHAnsi"/>
          <w:sz w:val="16"/>
          <w:szCs w:val="16"/>
          <w:lang w:val="es-CO"/>
        </w:rPr>
        <w:t xml:space="preserve"> E</w:t>
      </w:r>
      <w:r w:rsidR="009E2A5F">
        <w:rPr>
          <w:rFonts w:asciiTheme="majorHAnsi" w:hAnsiTheme="majorHAnsi"/>
          <w:sz w:val="16"/>
          <w:szCs w:val="16"/>
          <w:lang w:val="es-CO"/>
        </w:rPr>
        <w:t>.</w:t>
      </w:r>
      <w:r w:rsidR="00AE2561">
        <w:rPr>
          <w:rFonts w:asciiTheme="majorHAnsi" w:hAnsiTheme="majorHAnsi"/>
          <w:sz w:val="16"/>
          <w:szCs w:val="16"/>
          <w:lang w:val="es-CO"/>
        </w:rPr>
        <w:t xml:space="preserve"> S</w:t>
      </w:r>
      <w:r w:rsidR="009E2A5F">
        <w:rPr>
          <w:rFonts w:asciiTheme="majorHAnsi" w:hAnsiTheme="majorHAnsi"/>
          <w:sz w:val="16"/>
          <w:szCs w:val="16"/>
          <w:lang w:val="es-CO"/>
        </w:rPr>
        <w:t>.</w:t>
      </w:r>
      <w:r w:rsidR="00AE2561">
        <w:rPr>
          <w:rFonts w:asciiTheme="majorHAnsi" w:hAnsiTheme="majorHAnsi"/>
          <w:sz w:val="16"/>
          <w:szCs w:val="16"/>
          <w:lang w:val="es-CO"/>
        </w:rPr>
        <w:t xml:space="preserve"> Z</w:t>
      </w:r>
      <w:r w:rsidR="009E2A5F">
        <w:rPr>
          <w:rFonts w:asciiTheme="majorHAnsi" w:hAnsiTheme="majorHAnsi"/>
          <w:sz w:val="16"/>
          <w:szCs w:val="16"/>
          <w:lang w:val="es-CO"/>
        </w:rPr>
        <w:t>.</w:t>
      </w:r>
      <w:r w:rsidR="00AE2561">
        <w:rPr>
          <w:rFonts w:asciiTheme="majorHAnsi" w:hAnsiTheme="majorHAnsi"/>
          <w:sz w:val="16"/>
          <w:szCs w:val="16"/>
          <w:lang w:val="es-CO"/>
        </w:rPr>
        <w:t xml:space="preserve"> (</w:t>
      </w:r>
      <w:r w:rsidR="004E0740">
        <w:rPr>
          <w:rFonts w:asciiTheme="majorHAnsi" w:hAnsiTheme="majorHAnsi"/>
          <w:sz w:val="16"/>
          <w:szCs w:val="16"/>
          <w:lang w:val="es-CO"/>
        </w:rPr>
        <w:t>hija, hermana y prima de las presuntas víctimas); I</w:t>
      </w:r>
      <w:r w:rsidR="009E2A5F">
        <w:rPr>
          <w:rFonts w:asciiTheme="majorHAnsi" w:hAnsiTheme="majorHAnsi"/>
          <w:sz w:val="16"/>
          <w:szCs w:val="16"/>
          <w:lang w:val="es-CO"/>
        </w:rPr>
        <w:t>.</w:t>
      </w:r>
      <w:r w:rsidR="004E0740">
        <w:rPr>
          <w:rFonts w:asciiTheme="majorHAnsi" w:hAnsiTheme="majorHAnsi"/>
          <w:sz w:val="16"/>
          <w:szCs w:val="16"/>
          <w:lang w:val="es-CO"/>
        </w:rPr>
        <w:t xml:space="preserve"> </w:t>
      </w:r>
      <w:r w:rsidR="000C606E">
        <w:rPr>
          <w:rFonts w:asciiTheme="majorHAnsi" w:hAnsiTheme="majorHAnsi"/>
          <w:sz w:val="16"/>
          <w:szCs w:val="16"/>
          <w:lang w:val="es-CO"/>
        </w:rPr>
        <w:t>C</w:t>
      </w:r>
      <w:r w:rsidR="009E2A5F">
        <w:rPr>
          <w:rFonts w:asciiTheme="majorHAnsi" w:hAnsiTheme="majorHAnsi"/>
          <w:sz w:val="16"/>
          <w:szCs w:val="16"/>
          <w:lang w:val="es-CO"/>
        </w:rPr>
        <w:t>.</w:t>
      </w:r>
      <w:r w:rsidR="004E0740">
        <w:rPr>
          <w:rFonts w:asciiTheme="majorHAnsi" w:hAnsiTheme="majorHAnsi"/>
          <w:sz w:val="16"/>
          <w:szCs w:val="16"/>
          <w:lang w:val="es-CO"/>
        </w:rPr>
        <w:t xml:space="preserve"> S</w:t>
      </w:r>
      <w:r w:rsidR="009E2A5F">
        <w:rPr>
          <w:rFonts w:asciiTheme="majorHAnsi" w:hAnsiTheme="majorHAnsi"/>
          <w:sz w:val="16"/>
          <w:szCs w:val="16"/>
          <w:lang w:val="es-CO"/>
        </w:rPr>
        <w:t>.</w:t>
      </w:r>
      <w:r w:rsidR="004E0740">
        <w:rPr>
          <w:rFonts w:asciiTheme="majorHAnsi" w:hAnsiTheme="majorHAnsi"/>
          <w:sz w:val="16"/>
          <w:szCs w:val="16"/>
          <w:lang w:val="es-CO"/>
        </w:rPr>
        <w:t xml:space="preserve"> Z</w:t>
      </w:r>
      <w:r w:rsidR="009E2A5F">
        <w:rPr>
          <w:rFonts w:asciiTheme="majorHAnsi" w:hAnsiTheme="majorHAnsi"/>
          <w:sz w:val="16"/>
          <w:szCs w:val="16"/>
          <w:lang w:val="es-CO"/>
        </w:rPr>
        <w:t>.</w:t>
      </w:r>
      <w:r w:rsidR="004E0740">
        <w:rPr>
          <w:rFonts w:asciiTheme="majorHAnsi" w:hAnsiTheme="majorHAnsi"/>
          <w:sz w:val="16"/>
          <w:szCs w:val="16"/>
          <w:lang w:val="es-CO"/>
        </w:rPr>
        <w:t xml:space="preserve"> (hija, hermana y prima de las presuntas víctimas); L</w:t>
      </w:r>
      <w:r w:rsidR="009E2A5F">
        <w:rPr>
          <w:rFonts w:asciiTheme="majorHAnsi" w:hAnsiTheme="majorHAnsi"/>
          <w:sz w:val="16"/>
          <w:szCs w:val="16"/>
          <w:lang w:val="es-CO"/>
        </w:rPr>
        <w:t>.</w:t>
      </w:r>
      <w:r w:rsidR="004E0740">
        <w:rPr>
          <w:rFonts w:asciiTheme="majorHAnsi" w:hAnsiTheme="majorHAnsi"/>
          <w:sz w:val="16"/>
          <w:szCs w:val="16"/>
          <w:lang w:val="es-CO"/>
        </w:rPr>
        <w:t xml:space="preserve"> R</w:t>
      </w:r>
      <w:r w:rsidR="009E2A5F">
        <w:rPr>
          <w:rFonts w:asciiTheme="majorHAnsi" w:hAnsiTheme="majorHAnsi"/>
          <w:sz w:val="16"/>
          <w:szCs w:val="16"/>
          <w:lang w:val="es-CO"/>
        </w:rPr>
        <w:t>.</w:t>
      </w:r>
      <w:r w:rsidR="004E0740">
        <w:rPr>
          <w:rFonts w:asciiTheme="majorHAnsi" w:hAnsiTheme="majorHAnsi"/>
          <w:sz w:val="16"/>
          <w:szCs w:val="16"/>
          <w:lang w:val="es-CO"/>
        </w:rPr>
        <w:t xml:space="preserve"> </w:t>
      </w:r>
      <w:r w:rsidR="008B0D90">
        <w:rPr>
          <w:rFonts w:asciiTheme="majorHAnsi" w:hAnsiTheme="majorHAnsi"/>
          <w:sz w:val="16"/>
          <w:szCs w:val="16"/>
          <w:lang w:val="es-CO"/>
        </w:rPr>
        <w:t>S</w:t>
      </w:r>
      <w:r w:rsidR="009E2A5F">
        <w:rPr>
          <w:rFonts w:asciiTheme="majorHAnsi" w:hAnsiTheme="majorHAnsi"/>
          <w:sz w:val="16"/>
          <w:szCs w:val="16"/>
          <w:lang w:val="es-CO"/>
        </w:rPr>
        <w:t>.</w:t>
      </w:r>
      <w:r w:rsidR="008B0D90">
        <w:rPr>
          <w:rFonts w:asciiTheme="majorHAnsi" w:hAnsiTheme="majorHAnsi"/>
          <w:sz w:val="16"/>
          <w:szCs w:val="16"/>
          <w:lang w:val="es-CO"/>
        </w:rPr>
        <w:t xml:space="preserve"> Z</w:t>
      </w:r>
      <w:r w:rsidR="009E2A5F">
        <w:rPr>
          <w:rFonts w:asciiTheme="majorHAnsi" w:hAnsiTheme="majorHAnsi"/>
          <w:sz w:val="16"/>
          <w:szCs w:val="16"/>
          <w:lang w:val="es-CO"/>
        </w:rPr>
        <w:t>.</w:t>
      </w:r>
      <w:r w:rsidR="008B0D90">
        <w:rPr>
          <w:rFonts w:asciiTheme="majorHAnsi" w:hAnsiTheme="majorHAnsi"/>
          <w:sz w:val="16"/>
          <w:szCs w:val="16"/>
          <w:lang w:val="es-CO"/>
        </w:rPr>
        <w:t xml:space="preserve"> (sobrino, hermano y primo de las presuntas víctimas); </w:t>
      </w:r>
      <w:r w:rsidR="00971C9E">
        <w:rPr>
          <w:rFonts w:asciiTheme="majorHAnsi" w:hAnsiTheme="majorHAnsi"/>
          <w:sz w:val="16"/>
          <w:szCs w:val="16"/>
          <w:lang w:val="es-CO"/>
        </w:rPr>
        <w:t xml:space="preserve">y </w:t>
      </w:r>
      <w:r w:rsidR="005C11E9">
        <w:rPr>
          <w:rFonts w:asciiTheme="majorHAnsi" w:hAnsiTheme="majorHAnsi"/>
          <w:sz w:val="16"/>
          <w:szCs w:val="16"/>
          <w:lang w:val="es-CO"/>
        </w:rPr>
        <w:t>R</w:t>
      </w:r>
      <w:r w:rsidR="009E2A5F">
        <w:rPr>
          <w:rFonts w:asciiTheme="majorHAnsi" w:hAnsiTheme="majorHAnsi"/>
          <w:sz w:val="16"/>
          <w:szCs w:val="16"/>
          <w:lang w:val="es-CO"/>
        </w:rPr>
        <w:t>.</w:t>
      </w:r>
      <w:r w:rsidR="005C11E9">
        <w:rPr>
          <w:rFonts w:asciiTheme="majorHAnsi" w:hAnsiTheme="majorHAnsi"/>
          <w:sz w:val="16"/>
          <w:szCs w:val="16"/>
          <w:lang w:val="es-CO"/>
        </w:rPr>
        <w:t xml:space="preserve"> S</w:t>
      </w:r>
      <w:r w:rsidR="009E2A5F">
        <w:rPr>
          <w:rFonts w:asciiTheme="majorHAnsi" w:hAnsiTheme="majorHAnsi"/>
          <w:sz w:val="16"/>
          <w:szCs w:val="16"/>
          <w:lang w:val="es-CO"/>
        </w:rPr>
        <w:t>.</w:t>
      </w:r>
      <w:r w:rsidR="005C11E9">
        <w:rPr>
          <w:rFonts w:asciiTheme="majorHAnsi" w:hAnsiTheme="majorHAnsi"/>
          <w:sz w:val="16"/>
          <w:szCs w:val="16"/>
          <w:lang w:val="es-CO"/>
        </w:rPr>
        <w:t xml:space="preserve"> Z</w:t>
      </w:r>
      <w:r w:rsidR="009E2A5F">
        <w:rPr>
          <w:rFonts w:asciiTheme="majorHAnsi" w:hAnsiTheme="majorHAnsi"/>
          <w:sz w:val="16"/>
          <w:szCs w:val="16"/>
          <w:lang w:val="es-CO"/>
        </w:rPr>
        <w:t>.</w:t>
      </w:r>
      <w:r w:rsidR="005C11E9">
        <w:rPr>
          <w:rFonts w:asciiTheme="majorHAnsi" w:hAnsiTheme="majorHAnsi"/>
          <w:sz w:val="16"/>
          <w:szCs w:val="16"/>
          <w:lang w:val="es-CO"/>
        </w:rPr>
        <w:t xml:space="preserve"> M</w:t>
      </w:r>
      <w:r w:rsidR="009E2A5F">
        <w:rPr>
          <w:rFonts w:asciiTheme="majorHAnsi" w:hAnsiTheme="majorHAnsi"/>
          <w:sz w:val="16"/>
          <w:szCs w:val="16"/>
          <w:lang w:val="es-CO"/>
        </w:rPr>
        <w:t>.</w:t>
      </w:r>
      <w:r w:rsidR="005C11E9">
        <w:rPr>
          <w:rFonts w:asciiTheme="majorHAnsi" w:hAnsiTheme="majorHAnsi"/>
          <w:sz w:val="16"/>
          <w:szCs w:val="16"/>
          <w:lang w:val="es-CO"/>
        </w:rPr>
        <w:t xml:space="preserve"> (hermano, sobrino y primo de las presuntas víctimas).</w:t>
      </w:r>
    </w:p>
  </w:footnote>
  <w:footnote w:id="3">
    <w:p w14:paraId="713A90CE" w14:textId="77777777" w:rsidR="00DB6BA3" w:rsidRPr="008379B4" w:rsidRDefault="00DB6BA3" w:rsidP="00DB6BA3">
      <w:pPr>
        <w:pStyle w:val="FootnoteText"/>
        <w:ind w:firstLine="720"/>
        <w:jc w:val="both"/>
        <w:rPr>
          <w:rFonts w:ascii="Cambria" w:hAnsi="Cambria"/>
          <w:lang w:val="es-CO"/>
        </w:rPr>
      </w:pPr>
      <w:r w:rsidRPr="008379B4">
        <w:rPr>
          <w:rStyle w:val="FootnoteReference"/>
          <w:rFonts w:ascii="Cambria" w:hAnsi="Cambria"/>
          <w:sz w:val="16"/>
          <w:szCs w:val="16"/>
        </w:rPr>
        <w:footnoteRef/>
      </w:r>
      <w:r w:rsidRPr="008379B4">
        <w:rPr>
          <w:rFonts w:ascii="Cambria" w:hAnsi="Cambria"/>
          <w:sz w:val="16"/>
          <w:szCs w:val="16"/>
          <w:lang w:val="es-CO"/>
        </w:rPr>
        <w:t xml:space="preserve"> </w:t>
      </w:r>
      <w:r>
        <w:rPr>
          <w:rFonts w:ascii="Cambria" w:hAnsi="Cambria"/>
          <w:sz w:val="16"/>
          <w:szCs w:val="16"/>
          <w:lang w:val="es-CO"/>
        </w:rPr>
        <w:t>En adelante “la Convención Americana” o “la Convención”.</w:t>
      </w:r>
    </w:p>
  </w:footnote>
  <w:footnote w:id="4">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5">
    <w:p w14:paraId="4B542A82" w14:textId="7BEB1E6F" w:rsidR="00874715" w:rsidRPr="00874715" w:rsidRDefault="00874715" w:rsidP="00874715">
      <w:pPr>
        <w:pStyle w:val="FootnoteText"/>
        <w:ind w:firstLine="720"/>
        <w:jc w:val="both"/>
        <w:rPr>
          <w:rFonts w:asciiTheme="majorHAnsi" w:hAnsiTheme="majorHAnsi"/>
          <w:sz w:val="16"/>
          <w:szCs w:val="16"/>
          <w:lang w:val="es-CO"/>
        </w:rPr>
      </w:pPr>
      <w:r w:rsidRPr="00874715">
        <w:rPr>
          <w:rStyle w:val="FootnoteReference"/>
          <w:rFonts w:asciiTheme="majorHAnsi" w:hAnsiTheme="majorHAnsi"/>
          <w:sz w:val="16"/>
          <w:szCs w:val="16"/>
        </w:rPr>
        <w:footnoteRef/>
      </w:r>
      <w:r w:rsidRPr="00874715">
        <w:rPr>
          <w:rFonts w:asciiTheme="majorHAnsi" w:hAnsiTheme="majorHAnsi"/>
          <w:sz w:val="16"/>
          <w:szCs w:val="16"/>
          <w:lang w:val="es-CO"/>
        </w:rPr>
        <w:t xml:space="preserve"> En adelante “</w:t>
      </w:r>
      <w:r>
        <w:rPr>
          <w:rFonts w:asciiTheme="majorHAnsi" w:hAnsiTheme="majorHAnsi"/>
          <w:sz w:val="16"/>
          <w:szCs w:val="16"/>
          <w:lang w:val="es-CO"/>
        </w:rPr>
        <w:t xml:space="preserve">la </w:t>
      </w:r>
      <w:r w:rsidRPr="00874715">
        <w:rPr>
          <w:rFonts w:asciiTheme="majorHAnsi" w:hAnsiTheme="majorHAnsi"/>
          <w:sz w:val="16"/>
          <w:szCs w:val="16"/>
          <w:lang w:val="es-CO"/>
        </w:rPr>
        <w:t>Convención de Belém do P</w:t>
      </w:r>
      <w:r>
        <w:rPr>
          <w:rFonts w:asciiTheme="majorHAnsi" w:hAnsiTheme="majorHAnsi"/>
          <w:sz w:val="16"/>
          <w:szCs w:val="16"/>
          <w:lang w:val="es-CO"/>
        </w:rPr>
        <w:t>ará”.</w:t>
      </w:r>
    </w:p>
  </w:footnote>
  <w:footnote w:id="6">
    <w:p w14:paraId="3A7322F3" w14:textId="0F24E9C1" w:rsidR="00E2256A" w:rsidRPr="007D443D" w:rsidRDefault="00E2256A" w:rsidP="00E2256A">
      <w:pPr>
        <w:pStyle w:val="FootnoteText"/>
        <w:ind w:firstLine="720"/>
        <w:jc w:val="both"/>
        <w:rPr>
          <w:rFonts w:ascii="Cambria" w:hAnsi="Cambria"/>
          <w:lang w:val="es-CO"/>
        </w:rPr>
      </w:pPr>
      <w:r w:rsidRPr="007D443D">
        <w:rPr>
          <w:rStyle w:val="FootnoteReference"/>
          <w:rFonts w:ascii="Cambria" w:hAnsi="Cambria"/>
          <w:sz w:val="16"/>
          <w:szCs w:val="16"/>
        </w:rPr>
        <w:footnoteRef/>
      </w:r>
      <w:r w:rsidRPr="000101D3">
        <w:rPr>
          <w:rFonts w:ascii="Cambria" w:hAnsi="Cambria"/>
          <w:sz w:val="16"/>
          <w:szCs w:val="16"/>
          <w:lang w:val="es-CO"/>
        </w:rPr>
        <w:t xml:space="preserve"> </w:t>
      </w:r>
      <w:r w:rsidRPr="00AD0ABB">
        <w:rPr>
          <w:rFonts w:ascii="Cambria" w:hAnsi="Cambria"/>
          <w:sz w:val="16"/>
          <w:szCs w:val="16"/>
          <w:lang w:val="es-CO"/>
        </w:rPr>
        <w:t>CIDH, Informe No. 131/21</w:t>
      </w:r>
      <w:r w:rsidR="002356D7">
        <w:rPr>
          <w:rFonts w:ascii="Cambria" w:hAnsi="Cambria"/>
          <w:sz w:val="16"/>
          <w:szCs w:val="16"/>
          <w:lang w:val="es-CO"/>
        </w:rPr>
        <w:t>,</w:t>
      </w:r>
      <w:r w:rsidRPr="00AD0ABB">
        <w:rPr>
          <w:rFonts w:ascii="Cambria" w:hAnsi="Cambria"/>
          <w:sz w:val="16"/>
          <w:szCs w:val="16"/>
          <w:lang w:val="es-CO"/>
        </w:rPr>
        <w:t xml:space="preserve"> Petición 784-10</w:t>
      </w:r>
      <w:r w:rsidR="002356D7">
        <w:rPr>
          <w:rFonts w:ascii="Cambria" w:hAnsi="Cambria"/>
          <w:sz w:val="16"/>
          <w:szCs w:val="16"/>
          <w:lang w:val="es-CO"/>
        </w:rPr>
        <w:t>,</w:t>
      </w:r>
      <w:r w:rsidRPr="00AD0ABB">
        <w:rPr>
          <w:rFonts w:ascii="Cambria" w:hAnsi="Cambria"/>
          <w:sz w:val="16"/>
          <w:szCs w:val="16"/>
          <w:lang w:val="es-CO"/>
        </w:rPr>
        <w:t xml:space="preserve"> Admisibilidad</w:t>
      </w:r>
      <w:r w:rsidR="002356D7">
        <w:rPr>
          <w:rFonts w:ascii="Cambria" w:hAnsi="Cambria"/>
          <w:sz w:val="16"/>
          <w:szCs w:val="16"/>
          <w:lang w:val="es-CO"/>
        </w:rPr>
        <w:t>,</w:t>
      </w:r>
      <w:r w:rsidRPr="00AD0ABB">
        <w:rPr>
          <w:rFonts w:ascii="Cambria" w:hAnsi="Cambria"/>
          <w:sz w:val="16"/>
          <w:szCs w:val="16"/>
          <w:lang w:val="es-CO"/>
        </w:rPr>
        <w:t xml:space="preserve"> Wilson Mario Taborda Cardona y familia </w:t>
      </w:r>
      <w:r w:rsidR="002356D7">
        <w:rPr>
          <w:rFonts w:ascii="Cambria" w:hAnsi="Cambria"/>
          <w:sz w:val="16"/>
          <w:szCs w:val="16"/>
          <w:lang w:val="es-CO"/>
        </w:rPr>
        <w:t>(</w:t>
      </w:r>
      <w:r w:rsidRPr="009D1F86">
        <w:rPr>
          <w:rFonts w:ascii="Cambria" w:hAnsi="Cambria"/>
          <w:sz w:val="16"/>
          <w:szCs w:val="16"/>
          <w:lang w:val="es-CO"/>
        </w:rPr>
        <w:t>Colombia</w:t>
      </w:r>
      <w:r w:rsidR="002356D7">
        <w:rPr>
          <w:rFonts w:ascii="Cambria" w:hAnsi="Cambria"/>
          <w:sz w:val="16"/>
          <w:szCs w:val="16"/>
          <w:lang w:val="es-CO"/>
        </w:rPr>
        <w:t>),</w:t>
      </w:r>
      <w:r w:rsidRPr="009D1F86">
        <w:rPr>
          <w:rFonts w:ascii="Cambria" w:hAnsi="Cambria"/>
          <w:sz w:val="16"/>
          <w:szCs w:val="16"/>
          <w:lang w:val="es-CO"/>
        </w:rPr>
        <w:t xml:space="preserve"> 13 de mayo de 2021, párr. 12.</w:t>
      </w:r>
    </w:p>
  </w:footnote>
  <w:footnote w:id="7">
    <w:p w14:paraId="2563898D" w14:textId="77777777" w:rsidR="001920E3" w:rsidRPr="00A11B3B" w:rsidRDefault="001920E3" w:rsidP="001920E3">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CIDH, Informe Nº 100/06, Petición 943-04, Inadmisibilidad. Gaybor Tapia y Colón Eloy Muñoz, Ecuador, 21 de octubre de 2006, párr. 20.</w:t>
      </w:r>
    </w:p>
  </w:footnote>
  <w:footnote w:id="8">
    <w:p w14:paraId="79C74C24" w14:textId="77777777" w:rsidR="00B770CD" w:rsidRPr="00A11B3B" w:rsidRDefault="00B770CD" w:rsidP="00B770CD">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El artículo 34 del Reglamento de la CIDH dispone: La Comisión declarará inadmisible cualquier petición o caso cuando: a. no exponga hechos que caractericen una violación de los derechos a que se refiere el artículo 27 del presente Reglamento; b. sea manifiestamente infundada o improcedente, según resulte de la exposición del propio peticionario o del Estado; o c. la inadmisibilidad o improcedencia resulten de una información o prueba sobreviniente presentada a la Comisión.</w:t>
      </w:r>
    </w:p>
  </w:footnote>
  <w:footnote w:id="9">
    <w:p w14:paraId="05EABC1A" w14:textId="14E4296C" w:rsidR="00261B4B" w:rsidRPr="00DE24D3" w:rsidRDefault="00261B4B" w:rsidP="00261B4B">
      <w:pPr>
        <w:pStyle w:val="FootnoteText"/>
        <w:ind w:firstLine="720"/>
        <w:jc w:val="both"/>
        <w:rPr>
          <w:rFonts w:ascii="Cambria" w:hAnsi="Cambria"/>
          <w:lang w:val="es-CO"/>
        </w:rPr>
      </w:pPr>
      <w:r w:rsidRPr="00DE24D3">
        <w:rPr>
          <w:rStyle w:val="FootnoteReference"/>
          <w:rFonts w:ascii="Cambria" w:hAnsi="Cambria"/>
          <w:sz w:val="16"/>
          <w:szCs w:val="16"/>
        </w:rPr>
        <w:footnoteRef/>
      </w:r>
      <w:r w:rsidRPr="006170FF">
        <w:rPr>
          <w:rFonts w:ascii="Cambria" w:hAnsi="Cambria"/>
          <w:sz w:val="16"/>
          <w:szCs w:val="16"/>
          <w:lang w:val="es-CO"/>
        </w:rPr>
        <w:t xml:space="preserve"> Corte IDH</w:t>
      </w:r>
      <w:r w:rsidR="00575200">
        <w:rPr>
          <w:rFonts w:ascii="Cambria" w:hAnsi="Cambria"/>
          <w:sz w:val="16"/>
          <w:szCs w:val="16"/>
          <w:lang w:val="es-CO"/>
        </w:rPr>
        <w:t>,</w:t>
      </w:r>
      <w:r w:rsidRPr="006170FF">
        <w:rPr>
          <w:rFonts w:ascii="Cambria" w:hAnsi="Cambria"/>
          <w:sz w:val="16"/>
          <w:szCs w:val="16"/>
          <w:lang w:val="es-CO"/>
        </w:rPr>
        <w:t xml:space="preserve"> Caso Guachalá Chimbo y otros Vs. Ecuador</w:t>
      </w:r>
      <w:r w:rsidR="00575200">
        <w:rPr>
          <w:rFonts w:ascii="Cambria" w:hAnsi="Cambria"/>
          <w:sz w:val="16"/>
          <w:szCs w:val="16"/>
          <w:lang w:val="es-CO"/>
        </w:rPr>
        <w:t>,</w:t>
      </w:r>
      <w:r w:rsidRPr="006170FF">
        <w:rPr>
          <w:rFonts w:ascii="Cambria" w:hAnsi="Cambria"/>
          <w:sz w:val="16"/>
          <w:szCs w:val="16"/>
          <w:lang w:val="es-CO"/>
        </w:rPr>
        <w:t xml:space="preserve"> Fondo, Reparaciones y Costas</w:t>
      </w:r>
      <w:r w:rsidR="000367FD">
        <w:rPr>
          <w:rFonts w:ascii="Cambria" w:hAnsi="Cambria"/>
          <w:sz w:val="16"/>
          <w:szCs w:val="16"/>
          <w:lang w:val="es-CO"/>
        </w:rPr>
        <w:t>,</w:t>
      </w:r>
      <w:r w:rsidRPr="006170FF">
        <w:rPr>
          <w:rFonts w:ascii="Cambria" w:hAnsi="Cambria"/>
          <w:sz w:val="16"/>
          <w:szCs w:val="16"/>
          <w:lang w:val="es-CO"/>
        </w:rPr>
        <w:t xml:space="preserve"> </w:t>
      </w:r>
      <w:r w:rsidRPr="009D1F86">
        <w:rPr>
          <w:rFonts w:ascii="Cambria" w:hAnsi="Cambria"/>
          <w:sz w:val="16"/>
          <w:szCs w:val="16"/>
          <w:lang w:val="es-CO"/>
        </w:rPr>
        <w:t>Sentencia de</w:t>
      </w:r>
      <w:r w:rsidR="000367FD">
        <w:rPr>
          <w:rFonts w:ascii="Cambria" w:hAnsi="Cambria"/>
          <w:sz w:val="16"/>
          <w:szCs w:val="16"/>
          <w:lang w:val="es-CO"/>
        </w:rPr>
        <w:t>l</w:t>
      </w:r>
      <w:r w:rsidRPr="009D1F86">
        <w:rPr>
          <w:rFonts w:ascii="Cambria" w:hAnsi="Cambria"/>
          <w:sz w:val="16"/>
          <w:szCs w:val="16"/>
          <w:lang w:val="es-CO"/>
        </w:rPr>
        <w:t xml:space="preserve"> 26 de marzo de 2021</w:t>
      </w:r>
      <w:r w:rsidR="000367FD">
        <w:rPr>
          <w:rFonts w:ascii="Cambria" w:hAnsi="Cambria"/>
          <w:sz w:val="16"/>
          <w:szCs w:val="16"/>
          <w:lang w:val="es-CO"/>
        </w:rPr>
        <w:t>,</w:t>
      </w:r>
      <w:r w:rsidRPr="009D1F86">
        <w:rPr>
          <w:rFonts w:ascii="Cambria" w:hAnsi="Cambria"/>
          <w:sz w:val="16"/>
          <w:szCs w:val="16"/>
          <w:lang w:val="es-CO"/>
        </w:rPr>
        <w:t xml:space="preserve"> Serie C No. 423, párr. 200.</w:t>
      </w:r>
    </w:p>
  </w:footnote>
  <w:footnote w:id="10">
    <w:p w14:paraId="193EE9DE" w14:textId="19EB7E90" w:rsidR="00261B4B" w:rsidRPr="006029AE" w:rsidRDefault="00261B4B" w:rsidP="00261B4B">
      <w:pPr>
        <w:pStyle w:val="FootnoteText"/>
        <w:ind w:firstLine="720"/>
        <w:jc w:val="both"/>
        <w:rPr>
          <w:rFonts w:ascii="Cambria" w:hAnsi="Cambria"/>
          <w:lang w:val="es-CO"/>
        </w:rPr>
      </w:pPr>
      <w:r w:rsidRPr="006029AE">
        <w:rPr>
          <w:rStyle w:val="FootnoteReference"/>
          <w:rFonts w:ascii="Cambria" w:hAnsi="Cambria"/>
          <w:sz w:val="16"/>
          <w:szCs w:val="16"/>
        </w:rPr>
        <w:footnoteRef/>
      </w:r>
      <w:r w:rsidRPr="00232A9F">
        <w:rPr>
          <w:rFonts w:ascii="Cambria" w:hAnsi="Cambria"/>
          <w:sz w:val="16"/>
          <w:szCs w:val="16"/>
          <w:lang w:val="es-CO"/>
        </w:rPr>
        <w:t xml:space="preserve"> Corte IDH</w:t>
      </w:r>
      <w:r w:rsidR="000367FD">
        <w:rPr>
          <w:rFonts w:ascii="Cambria" w:hAnsi="Cambria"/>
          <w:sz w:val="16"/>
          <w:szCs w:val="16"/>
          <w:lang w:val="es-CO"/>
        </w:rPr>
        <w:t>,</w:t>
      </w:r>
      <w:r w:rsidRPr="00232A9F">
        <w:rPr>
          <w:rFonts w:ascii="Cambria" w:hAnsi="Cambria"/>
          <w:sz w:val="16"/>
          <w:szCs w:val="16"/>
          <w:lang w:val="es-CO"/>
        </w:rPr>
        <w:t xml:space="preserve"> Caso Vicky Hernández y otras Vs. Honduras</w:t>
      </w:r>
      <w:r w:rsidR="000367FD">
        <w:rPr>
          <w:rFonts w:ascii="Cambria" w:hAnsi="Cambria"/>
          <w:sz w:val="16"/>
          <w:szCs w:val="16"/>
          <w:lang w:val="es-CO"/>
        </w:rPr>
        <w:t>,</w:t>
      </w:r>
      <w:r w:rsidRPr="00232A9F">
        <w:rPr>
          <w:rFonts w:ascii="Cambria" w:hAnsi="Cambria"/>
          <w:sz w:val="16"/>
          <w:szCs w:val="16"/>
          <w:lang w:val="es-CO"/>
        </w:rPr>
        <w:t xml:space="preserve"> Fondo, Reparaciones y Costas</w:t>
      </w:r>
      <w:r w:rsidR="006C0B4F">
        <w:rPr>
          <w:rFonts w:ascii="Cambria" w:hAnsi="Cambria"/>
          <w:sz w:val="16"/>
          <w:szCs w:val="16"/>
          <w:lang w:val="es-CO"/>
        </w:rPr>
        <w:t>,</w:t>
      </w:r>
      <w:r w:rsidRPr="00232A9F">
        <w:rPr>
          <w:rFonts w:ascii="Cambria" w:hAnsi="Cambria"/>
          <w:sz w:val="16"/>
          <w:szCs w:val="16"/>
          <w:lang w:val="es-CO"/>
        </w:rPr>
        <w:t xml:space="preserve"> </w:t>
      </w:r>
      <w:r w:rsidRPr="009D1F86">
        <w:rPr>
          <w:rFonts w:ascii="Cambria" w:hAnsi="Cambria"/>
          <w:sz w:val="16"/>
          <w:szCs w:val="16"/>
          <w:lang w:val="es-CO"/>
        </w:rPr>
        <w:t>Sentencia de</w:t>
      </w:r>
      <w:r w:rsidR="006C0B4F">
        <w:rPr>
          <w:rFonts w:ascii="Cambria" w:hAnsi="Cambria"/>
          <w:sz w:val="16"/>
          <w:szCs w:val="16"/>
          <w:lang w:val="es-CO"/>
        </w:rPr>
        <w:t>l</w:t>
      </w:r>
      <w:r w:rsidRPr="009D1F86">
        <w:rPr>
          <w:rFonts w:ascii="Cambria" w:hAnsi="Cambria"/>
          <w:sz w:val="16"/>
          <w:szCs w:val="16"/>
          <w:lang w:val="es-CO"/>
        </w:rPr>
        <w:t xml:space="preserve"> 26 de marzo de 2021. Serie C No. 42, párr. 106.</w:t>
      </w:r>
    </w:p>
  </w:footnote>
  <w:footnote w:id="11">
    <w:p w14:paraId="1D9EBAE0" w14:textId="043CFD7D" w:rsidR="00261B4B" w:rsidRPr="00626104" w:rsidRDefault="00261B4B" w:rsidP="008B4C28">
      <w:pPr>
        <w:pStyle w:val="FootnoteText"/>
        <w:ind w:firstLine="720"/>
        <w:jc w:val="both"/>
        <w:rPr>
          <w:rFonts w:ascii="Cambria" w:hAnsi="Cambria"/>
          <w:lang w:val="es-CO"/>
        </w:rPr>
      </w:pPr>
      <w:r w:rsidRPr="00626104">
        <w:rPr>
          <w:rStyle w:val="FootnoteReference"/>
          <w:rFonts w:ascii="Cambria" w:hAnsi="Cambria"/>
          <w:sz w:val="16"/>
          <w:szCs w:val="16"/>
        </w:rPr>
        <w:footnoteRef/>
      </w:r>
      <w:r w:rsidRPr="00B00CEF">
        <w:rPr>
          <w:rFonts w:ascii="Cambria" w:hAnsi="Cambria"/>
          <w:sz w:val="16"/>
          <w:szCs w:val="16"/>
          <w:lang w:val="es-CO"/>
        </w:rPr>
        <w:t xml:space="preserve"> Corte IDH</w:t>
      </w:r>
      <w:r w:rsidR="000367FD">
        <w:rPr>
          <w:rFonts w:ascii="Cambria" w:hAnsi="Cambria"/>
          <w:sz w:val="16"/>
          <w:szCs w:val="16"/>
          <w:lang w:val="es-CO"/>
        </w:rPr>
        <w:t>,</w:t>
      </w:r>
      <w:r w:rsidRPr="00B00CEF">
        <w:rPr>
          <w:rFonts w:ascii="Cambria" w:hAnsi="Cambria"/>
          <w:sz w:val="16"/>
          <w:szCs w:val="16"/>
          <w:lang w:val="es-CO"/>
        </w:rPr>
        <w:t xml:space="preserve"> Caso Velásquez Paiz y otros Vs. Guatemala</w:t>
      </w:r>
      <w:r w:rsidR="000367FD">
        <w:rPr>
          <w:rFonts w:ascii="Cambria" w:hAnsi="Cambria"/>
          <w:sz w:val="16"/>
          <w:szCs w:val="16"/>
          <w:lang w:val="es-CO"/>
        </w:rPr>
        <w:t>,</w:t>
      </w:r>
      <w:r w:rsidRPr="00B00CEF">
        <w:rPr>
          <w:rFonts w:ascii="Cambria" w:hAnsi="Cambria"/>
          <w:sz w:val="16"/>
          <w:szCs w:val="16"/>
          <w:lang w:val="es-CO"/>
        </w:rPr>
        <w:t xml:space="preserve"> Excepciones Preliminares, Fondo, Reparaciones y Costas</w:t>
      </w:r>
      <w:r w:rsidR="006C0B4F">
        <w:rPr>
          <w:rFonts w:ascii="Cambria" w:hAnsi="Cambria"/>
          <w:sz w:val="16"/>
          <w:szCs w:val="16"/>
          <w:lang w:val="es-CO"/>
        </w:rPr>
        <w:t>,</w:t>
      </w:r>
      <w:r w:rsidRPr="00B00CEF">
        <w:rPr>
          <w:rFonts w:ascii="Cambria" w:hAnsi="Cambria"/>
          <w:sz w:val="16"/>
          <w:szCs w:val="16"/>
          <w:lang w:val="es-CO"/>
        </w:rPr>
        <w:t xml:space="preserve"> </w:t>
      </w:r>
      <w:r w:rsidRPr="009D1F86">
        <w:rPr>
          <w:rFonts w:ascii="Cambria" w:hAnsi="Cambria"/>
          <w:sz w:val="16"/>
          <w:szCs w:val="16"/>
          <w:lang w:val="es-CO"/>
        </w:rPr>
        <w:t>Sentencia de</w:t>
      </w:r>
      <w:r w:rsidR="006C0B4F">
        <w:rPr>
          <w:rFonts w:ascii="Cambria" w:hAnsi="Cambria"/>
          <w:sz w:val="16"/>
          <w:szCs w:val="16"/>
          <w:lang w:val="es-CO"/>
        </w:rPr>
        <w:t>l</w:t>
      </w:r>
      <w:r w:rsidRPr="009D1F86">
        <w:rPr>
          <w:rFonts w:ascii="Cambria" w:hAnsi="Cambria"/>
          <w:sz w:val="16"/>
          <w:szCs w:val="16"/>
          <w:lang w:val="es-CO"/>
        </w:rPr>
        <w:t xml:space="preserve"> 19 de noviembre de 2015</w:t>
      </w:r>
      <w:r w:rsidR="006C0B4F">
        <w:rPr>
          <w:rFonts w:ascii="Cambria" w:hAnsi="Cambria"/>
          <w:sz w:val="16"/>
          <w:szCs w:val="16"/>
          <w:lang w:val="es-CO"/>
        </w:rPr>
        <w:t>,</w:t>
      </w:r>
      <w:r w:rsidRPr="009D1F86">
        <w:rPr>
          <w:rFonts w:ascii="Cambria" w:hAnsi="Cambria"/>
          <w:sz w:val="16"/>
          <w:szCs w:val="16"/>
          <w:lang w:val="es-CO"/>
        </w:rPr>
        <w:t xml:space="preserve"> Serie C No. 307, párr. 145.</w:t>
      </w:r>
    </w:p>
  </w:footnote>
  <w:footnote w:id="12">
    <w:p w14:paraId="6D73D2F4" w14:textId="08846AB3" w:rsidR="00261B4B" w:rsidRPr="00675EC3" w:rsidRDefault="00261B4B" w:rsidP="00261B4B">
      <w:pPr>
        <w:pStyle w:val="FootnoteText"/>
        <w:ind w:firstLine="720"/>
        <w:jc w:val="both"/>
        <w:rPr>
          <w:rFonts w:ascii="Cambria" w:hAnsi="Cambria"/>
          <w:lang w:val="es-CO"/>
        </w:rPr>
      </w:pPr>
      <w:r w:rsidRPr="00675EC3">
        <w:rPr>
          <w:rStyle w:val="FootnoteReference"/>
          <w:rFonts w:ascii="Cambria" w:hAnsi="Cambria"/>
          <w:sz w:val="16"/>
          <w:szCs w:val="16"/>
        </w:rPr>
        <w:footnoteRef/>
      </w:r>
      <w:r w:rsidRPr="009D1F86">
        <w:rPr>
          <w:rFonts w:ascii="Cambria" w:hAnsi="Cambria"/>
          <w:sz w:val="16"/>
          <w:szCs w:val="16"/>
          <w:lang w:val="es-CO"/>
        </w:rPr>
        <w:t xml:space="preserve"> </w:t>
      </w:r>
      <w:r w:rsidRPr="00B00CEF">
        <w:rPr>
          <w:rFonts w:ascii="Cambria" w:hAnsi="Cambria"/>
          <w:sz w:val="16"/>
          <w:szCs w:val="16"/>
          <w:lang w:val="es-CO"/>
        </w:rPr>
        <w:t>Corte IDH</w:t>
      </w:r>
      <w:r w:rsidR="000367FD">
        <w:rPr>
          <w:rFonts w:ascii="Cambria" w:hAnsi="Cambria"/>
          <w:sz w:val="16"/>
          <w:szCs w:val="16"/>
          <w:lang w:val="es-CO"/>
        </w:rPr>
        <w:t>,</w:t>
      </w:r>
      <w:r w:rsidRPr="00B00CEF">
        <w:rPr>
          <w:rFonts w:ascii="Cambria" w:hAnsi="Cambria"/>
          <w:sz w:val="16"/>
          <w:szCs w:val="16"/>
          <w:lang w:val="es-CO"/>
        </w:rPr>
        <w:t xml:space="preserve"> Caso Velásquez Paiz y otros Vs. Guatemala</w:t>
      </w:r>
      <w:r w:rsidR="000367FD">
        <w:rPr>
          <w:rFonts w:ascii="Cambria" w:hAnsi="Cambria"/>
          <w:sz w:val="16"/>
          <w:szCs w:val="16"/>
          <w:lang w:val="es-CO"/>
        </w:rPr>
        <w:t>,</w:t>
      </w:r>
      <w:r w:rsidRPr="00B00CEF">
        <w:rPr>
          <w:rFonts w:ascii="Cambria" w:hAnsi="Cambria"/>
          <w:sz w:val="16"/>
          <w:szCs w:val="16"/>
          <w:lang w:val="es-CO"/>
        </w:rPr>
        <w:t xml:space="preserve"> Excepciones Preliminares, Fondo, Reparaciones y Costas</w:t>
      </w:r>
      <w:r w:rsidR="006C0B4F">
        <w:rPr>
          <w:rFonts w:ascii="Cambria" w:hAnsi="Cambria"/>
          <w:sz w:val="16"/>
          <w:szCs w:val="16"/>
          <w:lang w:val="es-CO"/>
        </w:rPr>
        <w:t>,</w:t>
      </w:r>
      <w:r w:rsidRPr="00B00CEF">
        <w:rPr>
          <w:rFonts w:ascii="Cambria" w:hAnsi="Cambria"/>
          <w:sz w:val="16"/>
          <w:szCs w:val="16"/>
          <w:lang w:val="es-CO"/>
        </w:rPr>
        <w:t xml:space="preserve"> </w:t>
      </w:r>
      <w:r w:rsidRPr="009D1F86">
        <w:rPr>
          <w:rFonts w:ascii="Cambria" w:hAnsi="Cambria"/>
          <w:sz w:val="16"/>
          <w:szCs w:val="16"/>
          <w:lang w:val="es-CO"/>
        </w:rPr>
        <w:t>Sentencia de</w:t>
      </w:r>
      <w:r w:rsidR="00E9267B">
        <w:rPr>
          <w:rFonts w:ascii="Cambria" w:hAnsi="Cambria"/>
          <w:sz w:val="16"/>
          <w:szCs w:val="16"/>
          <w:lang w:val="es-CO"/>
        </w:rPr>
        <w:t>l</w:t>
      </w:r>
      <w:r w:rsidRPr="009D1F86">
        <w:rPr>
          <w:rFonts w:ascii="Cambria" w:hAnsi="Cambria"/>
          <w:sz w:val="16"/>
          <w:szCs w:val="16"/>
          <w:lang w:val="es-CO"/>
        </w:rPr>
        <w:t xml:space="preserve"> 19 de noviembre de 2015</w:t>
      </w:r>
      <w:r w:rsidR="006C0B4F">
        <w:rPr>
          <w:rFonts w:ascii="Cambria" w:hAnsi="Cambria"/>
          <w:sz w:val="16"/>
          <w:szCs w:val="16"/>
          <w:lang w:val="es-CO"/>
        </w:rPr>
        <w:t>,</w:t>
      </w:r>
      <w:r w:rsidRPr="009D1F86">
        <w:rPr>
          <w:rFonts w:ascii="Cambria" w:hAnsi="Cambria"/>
          <w:sz w:val="16"/>
          <w:szCs w:val="16"/>
          <w:lang w:val="es-CO"/>
        </w:rPr>
        <w:t xml:space="preserve"> Serie C No. 307, párr. 146.</w:t>
      </w:r>
    </w:p>
  </w:footnote>
  <w:footnote w:id="13">
    <w:p w14:paraId="515084D0" w14:textId="4CDDFB4D" w:rsidR="004F246D" w:rsidRPr="00A42D4A" w:rsidRDefault="004F246D" w:rsidP="00A42D4A">
      <w:pPr>
        <w:pStyle w:val="FootnoteText"/>
        <w:ind w:firstLine="720"/>
        <w:jc w:val="both"/>
        <w:rPr>
          <w:rFonts w:asciiTheme="majorHAnsi" w:hAnsiTheme="majorHAnsi"/>
          <w:sz w:val="16"/>
          <w:szCs w:val="16"/>
          <w:lang w:val="es-CO"/>
        </w:rPr>
      </w:pPr>
      <w:r w:rsidRPr="00A42D4A">
        <w:rPr>
          <w:rStyle w:val="FootnoteReference"/>
          <w:rFonts w:asciiTheme="majorHAnsi" w:hAnsiTheme="majorHAnsi"/>
          <w:sz w:val="16"/>
          <w:szCs w:val="16"/>
        </w:rPr>
        <w:footnoteRef/>
      </w:r>
      <w:r w:rsidRPr="004F246D">
        <w:rPr>
          <w:lang w:val="es-CO"/>
        </w:rPr>
        <w:t xml:space="preserve"> </w:t>
      </w:r>
      <w:r w:rsidR="00A42D4A">
        <w:rPr>
          <w:rFonts w:asciiTheme="majorHAnsi" w:hAnsiTheme="majorHAnsi"/>
          <w:sz w:val="16"/>
          <w:szCs w:val="16"/>
          <w:lang w:val="es-CO"/>
        </w:rPr>
        <w:t>Corte I</w:t>
      </w:r>
      <w:r w:rsidRPr="00A42D4A">
        <w:rPr>
          <w:rFonts w:asciiTheme="majorHAnsi" w:hAnsiTheme="majorHAnsi"/>
          <w:sz w:val="16"/>
          <w:szCs w:val="16"/>
          <w:lang w:val="es-CO"/>
        </w:rPr>
        <w:t>DH</w:t>
      </w:r>
      <w:r w:rsidR="000367FD">
        <w:rPr>
          <w:rFonts w:asciiTheme="majorHAnsi" w:hAnsiTheme="majorHAnsi"/>
          <w:sz w:val="16"/>
          <w:szCs w:val="16"/>
          <w:lang w:val="es-CO"/>
        </w:rPr>
        <w:t>,</w:t>
      </w:r>
      <w:r w:rsidRPr="00A42D4A">
        <w:rPr>
          <w:rFonts w:asciiTheme="majorHAnsi" w:hAnsiTheme="majorHAnsi"/>
          <w:sz w:val="16"/>
          <w:szCs w:val="16"/>
          <w:lang w:val="es-CO"/>
        </w:rPr>
        <w:t xml:space="preserve"> Caso Mujeres Víctimas de Tortura Sexual en Atenco Vs. México</w:t>
      </w:r>
      <w:r w:rsidR="00E9267B">
        <w:rPr>
          <w:rFonts w:asciiTheme="majorHAnsi" w:hAnsiTheme="majorHAnsi"/>
          <w:sz w:val="16"/>
          <w:szCs w:val="16"/>
          <w:lang w:val="es-CO"/>
        </w:rPr>
        <w:t>,</w:t>
      </w:r>
      <w:r w:rsidRPr="00A42D4A">
        <w:rPr>
          <w:rFonts w:asciiTheme="majorHAnsi" w:hAnsiTheme="majorHAnsi"/>
          <w:sz w:val="16"/>
          <w:szCs w:val="16"/>
          <w:lang w:val="es-CO"/>
        </w:rPr>
        <w:t xml:space="preserve"> Excepción Preliminar, Fondo, Reparaciones y Costas</w:t>
      </w:r>
      <w:r w:rsidR="00E9267B">
        <w:rPr>
          <w:rFonts w:asciiTheme="majorHAnsi" w:hAnsiTheme="majorHAnsi"/>
          <w:sz w:val="16"/>
          <w:szCs w:val="16"/>
          <w:lang w:val="es-CO"/>
        </w:rPr>
        <w:t>,</w:t>
      </w:r>
      <w:r w:rsidRPr="00A42D4A">
        <w:rPr>
          <w:rFonts w:asciiTheme="majorHAnsi" w:hAnsiTheme="majorHAnsi"/>
          <w:sz w:val="16"/>
          <w:szCs w:val="16"/>
          <w:lang w:val="es-CO"/>
        </w:rPr>
        <w:t xml:space="preserve"> Sentencia de</w:t>
      </w:r>
      <w:r w:rsidR="00E9267B">
        <w:rPr>
          <w:rFonts w:asciiTheme="majorHAnsi" w:hAnsiTheme="majorHAnsi"/>
          <w:sz w:val="16"/>
          <w:szCs w:val="16"/>
          <w:lang w:val="es-CO"/>
        </w:rPr>
        <w:t>l</w:t>
      </w:r>
      <w:r w:rsidRPr="00A42D4A">
        <w:rPr>
          <w:rFonts w:asciiTheme="majorHAnsi" w:hAnsiTheme="majorHAnsi"/>
          <w:sz w:val="16"/>
          <w:szCs w:val="16"/>
          <w:lang w:val="es-CO"/>
        </w:rPr>
        <w:t xml:space="preserve"> 28 de noviembre de 2018</w:t>
      </w:r>
      <w:r w:rsidR="00E9267B">
        <w:rPr>
          <w:rFonts w:asciiTheme="majorHAnsi" w:hAnsiTheme="majorHAnsi"/>
          <w:sz w:val="16"/>
          <w:szCs w:val="16"/>
          <w:lang w:val="es-CO"/>
        </w:rPr>
        <w:t>,</w:t>
      </w:r>
      <w:r w:rsidRPr="00A42D4A">
        <w:rPr>
          <w:rFonts w:asciiTheme="majorHAnsi" w:hAnsiTheme="majorHAnsi"/>
          <w:sz w:val="16"/>
          <w:szCs w:val="16"/>
          <w:lang w:val="es-CO"/>
        </w:rPr>
        <w:t xml:space="preserve"> Serie C No. 371; Caso López Soto y otros Vs. Venezuela</w:t>
      </w:r>
      <w:r w:rsidR="00E9267B">
        <w:rPr>
          <w:rFonts w:asciiTheme="majorHAnsi" w:hAnsiTheme="majorHAnsi"/>
          <w:sz w:val="16"/>
          <w:szCs w:val="16"/>
          <w:lang w:val="es-CO"/>
        </w:rPr>
        <w:t>,</w:t>
      </w:r>
      <w:r w:rsidRPr="00A42D4A">
        <w:rPr>
          <w:rFonts w:asciiTheme="majorHAnsi" w:hAnsiTheme="majorHAnsi"/>
          <w:sz w:val="16"/>
          <w:szCs w:val="16"/>
          <w:lang w:val="es-CO"/>
        </w:rPr>
        <w:t xml:space="preserve"> Fondo, Reparaciones y Costas</w:t>
      </w:r>
      <w:r w:rsidR="00E9267B">
        <w:rPr>
          <w:rFonts w:asciiTheme="majorHAnsi" w:hAnsiTheme="majorHAnsi"/>
          <w:sz w:val="16"/>
          <w:szCs w:val="16"/>
          <w:lang w:val="es-CO"/>
        </w:rPr>
        <w:t>,</w:t>
      </w:r>
      <w:r w:rsidRPr="00A42D4A">
        <w:rPr>
          <w:rFonts w:asciiTheme="majorHAnsi" w:hAnsiTheme="majorHAnsi"/>
          <w:sz w:val="16"/>
          <w:szCs w:val="16"/>
          <w:lang w:val="es-CO"/>
        </w:rPr>
        <w:t xml:space="preserve"> Sentencia de</w:t>
      </w:r>
      <w:r w:rsidR="00746C2D">
        <w:rPr>
          <w:rFonts w:asciiTheme="majorHAnsi" w:hAnsiTheme="majorHAnsi"/>
          <w:sz w:val="16"/>
          <w:szCs w:val="16"/>
          <w:lang w:val="es-CO"/>
        </w:rPr>
        <w:t>l</w:t>
      </w:r>
      <w:r w:rsidRPr="00A42D4A">
        <w:rPr>
          <w:rFonts w:asciiTheme="majorHAnsi" w:hAnsiTheme="majorHAnsi"/>
          <w:sz w:val="16"/>
          <w:szCs w:val="16"/>
          <w:lang w:val="es-CO"/>
        </w:rPr>
        <w:t xml:space="preserve"> 26 de septiembre de 2018</w:t>
      </w:r>
      <w:r w:rsidR="00746C2D">
        <w:rPr>
          <w:rFonts w:asciiTheme="majorHAnsi" w:hAnsiTheme="majorHAnsi"/>
          <w:sz w:val="16"/>
          <w:szCs w:val="16"/>
          <w:lang w:val="es-CO"/>
        </w:rPr>
        <w:t>,</w:t>
      </w:r>
      <w:r w:rsidRPr="00A42D4A">
        <w:rPr>
          <w:rFonts w:asciiTheme="majorHAnsi" w:hAnsiTheme="majorHAnsi"/>
          <w:sz w:val="16"/>
          <w:szCs w:val="16"/>
          <w:lang w:val="es-CO"/>
        </w:rPr>
        <w:t xml:space="preserve"> Serie C No. 362, párr. 187; y Caso Fernández Ortega y otros Vs. México</w:t>
      </w:r>
      <w:r w:rsidR="00746C2D">
        <w:rPr>
          <w:rFonts w:asciiTheme="majorHAnsi" w:hAnsiTheme="majorHAnsi"/>
          <w:sz w:val="16"/>
          <w:szCs w:val="16"/>
          <w:lang w:val="es-CO"/>
        </w:rPr>
        <w:t>,</w:t>
      </w:r>
      <w:r w:rsidRPr="00A42D4A">
        <w:rPr>
          <w:rFonts w:asciiTheme="majorHAnsi" w:hAnsiTheme="majorHAnsi"/>
          <w:sz w:val="16"/>
          <w:szCs w:val="16"/>
          <w:lang w:val="es-CO"/>
        </w:rPr>
        <w:t xml:space="preserve"> Excepción Preliminar, Fondo, Reparaciones y Costas</w:t>
      </w:r>
      <w:r w:rsidR="00746C2D">
        <w:rPr>
          <w:rFonts w:asciiTheme="majorHAnsi" w:hAnsiTheme="majorHAnsi"/>
          <w:sz w:val="16"/>
          <w:szCs w:val="16"/>
          <w:lang w:val="es-CO"/>
        </w:rPr>
        <w:t>,</w:t>
      </w:r>
      <w:r w:rsidRPr="00A42D4A">
        <w:rPr>
          <w:rFonts w:asciiTheme="majorHAnsi" w:hAnsiTheme="majorHAnsi"/>
          <w:sz w:val="16"/>
          <w:szCs w:val="16"/>
          <w:lang w:val="es-CO"/>
        </w:rPr>
        <w:t xml:space="preserve"> Sentencia de</w:t>
      </w:r>
      <w:r w:rsidR="00746C2D">
        <w:rPr>
          <w:rFonts w:asciiTheme="majorHAnsi" w:hAnsiTheme="majorHAnsi"/>
          <w:sz w:val="16"/>
          <w:szCs w:val="16"/>
          <w:lang w:val="es-CO"/>
        </w:rPr>
        <w:t>l</w:t>
      </w:r>
      <w:r w:rsidRPr="00A42D4A">
        <w:rPr>
          <w:rFonts w:asciiTheme="majorHAnsi" w:hAnsiTheme="majorHAnsi"/>
          <w:sz w:val="16"/>
          <w:szCs w:val="16"/>
          <w:lang w:val="es-CO"/>
        </w:rPr>
        <w:t xml:space="preserve"> 30 de agosto de 2010</w:t>
      </w:r>
      <w:r w:rsidR="00746C2D">
        <w:rPr>
          <w:rFonts w:asciiTheme="majorHAnsi" w:hAnsiTheme="majorHAnsi"/>
          <w:sz w:val="16"/>
          <w:szCs w:val="16"/>
          <w:lang w:val="es-CO"/>
        </w:rPr>
        <w:t>,</w:t>
      </w:r>
      <w:r w:rsidRPr="00A42D4A">
        <w:rPr>
          <w:rFonts w:asciiTheme="majorHAnsi" w:hAnsiTheme="majorHAnsi"/>
          <w:sz w:val="16"/>
          <w:szCs w:val="16"/>
          <w:lang w:val="es-CO"/>
        </w:rPr>
        <w:t xml:space="preserve"> Serie C No. 215, párr. 119.</w:t>
      </w:r>
    </w:p>
  </w:footnote>
  <w:footnote w:id="14">
    <w:p w14:paraId="1903F9B4" w14:textId="297D893F" w:rsidR="004F246D" w:rsidRPr="00A42D4A" w:rsidRDefault="004F246D" w:rsidP="00A42D4A">
      <w:pPr>
        <w:pStyle w:val="FootnoteText"/>
        <w:ind w:firstLine="720"/>
        <w:jc w:val="both"/>
        <w:rPr>
          <w:rFonts w:asciiTheme="majorHAnsi" w:hAnsiTheme="majorHAnsi"/>
          <w:sz w:val="16"/>
          <w:szCs w:val="16"/>
          <w:lang w:val="es-CO"/>
        </w:rPr>
      </w:pPr>
      <w:r w:rsidRPr="00A42D4A">
        <w:rPr>
          <w:rStyle w:val="FootnoteReference"/>
          <w:rFonts w:asciiTheme="majorHAnsi" w:hAnsiTheme="majorHAnsi"/>
          <w:sz w:val="16"/>
          <w:szCs w:val="16"/>
        </w:rPr>
        <w:footnoteRef/>
      </w:r>
      <w:r w:rsidRPr="00A42D4A">
        <w:rPr>
          <w:rFonts w:asciiTheme="majorHAnsi" w:hAnsiTheme="majorHAnsi"/>
          <w:sz w:val="16"/>
          <w:szCs w:val="16"/>
          <w:lang w:val="es-CO"/>
        </w:rPr>
        <w:t xml:space="preserve"> CIDH</w:t>
      </w:r>
      <w:r w:rsidR="00377A31">
        <w:rPr>
          <w:rFonts w:asciiTheme="majorHAnsi" w:hAnsiTheme="majorHAnsi"/>
          <w:sz w:val="16"/>
          <w:szCs w:val="16"/>
          <w:lang w:val="es-CO"/>
        </w:rPr>
        <w:t>,</w:t>
      </w:r>
      <w:r w:rsidRPr="00A42D4A">
        <w:rPr>
          <w:rFonts w:asciiTheme="majorHAnsi" w:hAnsiTheme="majorHAnsi"/>
          <w:sz w:val="16"/>
          <w:szCs w:val="16"/>
          <w:lang w:val="es-CO"/>
        </w:rPr>
        <w:t xml:space="preserve"> Acceso a la justicia para mujeres víctimas de violencia sexual: la educación y la salud, 28 de diciembre de 2011, párr. 2; Organización Mundial de la Salud (en adelante “OMS”), de parte del Grupo de Trabajo Inter-Agencias de Naciones Unidas sobre Violencia contra las Mujeres. Estimaciones mundiales, regionales y nacionales de la prevalencia de la violencia de pareja contra la mujer y estimaciones mundiales y regionales de la prevalencia de la violencia sexual fuera de la pareja, 2021.</w:t>
      </w:r>
    </w:p>
  </w:footnote>
  <w:footnote w:id="15">
    <w:p w14:paraId="488F3593" w14:textId="6EB6D63F" w:rsidR="004F246D" w:rsidRPr="00A42D4A" w:rsidRDefault="004F246D" w:rsidP="00A42D4A">
      <w:pPr>
        <w:pStyle w:val="FootnoteText"/>
        <w:ind w:firstLine="720"/>
        <w:jc w:val="both"/>
        <w:rPr>
          <w:rFonts w:asciiTheme="majorHAnsi" w:hAnsiTheme="majorHAnsi"/>
          <w:sz w:val="16"/>
          <w:szCs w:val="16"/>
          <w:lang w:val="es-CO"/>
        </w:rPr>
      </w:pPr>
      <w:r w:rsidRPr="00A42D4A">
        <w:rPr>
          <w:rStyle w:val="FootnoteReference"/>
          <w:rFonts w:asciiTheme="majorHAnsi" w:hAnsiTheme="majorHAnsi"/>
          <w:sz w:val="16"/>
          <w:szCs w:val="16"/>
        </w:rPr>
        <w:footnoteRef/>
      </w:r>
      <w:r w:rsidRPr="00A42D4A">
        <w:rPr>
          <w:rFonts w:asciiTheme="majorHAnsi" w:hAnsiTheme="majorHAnsi"/>
          <w:sz w:val="16"/>
          <w:szCs w:val="16"/>
          <w:lang w:val="es-CO"/>
        </w:rPr>
        <w:t xml:space="preserve"> Corte IDH</w:t>
      </w:r>
      <w:r w:rsidR="00377A31">
        <w:rPr>
          <w:rFonts w:asciiTheme="majorHAnsi" w:hAnsiTheme="majorHAnsi"/>
          <w:sz w:val="16"/>
          <w:szCs w:val="16"/>
          <w:lang w:val="es-CO"/>
        </w:rPr>
        <w:t>,</w:t>
      </w:r>
      <w:r w:rsidRPr="00A42D4A">
        <w:rPr>
          <w:rFonts w:asciiTheme="majorHAnsi" w:hAnsiTheme="majorHAnsi"/>
          <w:sz w:val="16"/>
          <w:szCs w:val="16"/>
          <w:lang w:val="es-CO"/>
        </w:rPr>
        <w:t xml:space="preserve"> Caso Vicky Hernández y otras Vs. Honduras</w:t>
      </w:r>
      <w:r w:rsidR="00240039">
        <w:rPr>
          <w:rFonts w:asciiTheme="majorHAnsi" w:hAnsiTheme="majorHAnsi"/>
          <w:sz w:val="16"/>
          <w:szCs w:val="16"/>
          <w:lang w:val="es-CO"/>
        </w:rPr>
        <w:t>,</w:t>
      </w:r>
      <w:r w:rsidRPr="00A42D4A">
        <w:rPr>
          <w:rFonts w:asciiTheme="majorHAnsi" w:hAnsiTheme="majorHAnsi"/>
          <w:sz w:val="16"/>
          <w:szCs w:val="16"/>
          <w:lang w:val="es-CO"/>
        </w:rPr>
        <w:t xml:space="preserve"> Fondo, Reparaciones y Costas</w:t>
      </w:r>
      <w:r w:rsidR="00240039">
        <w:rPr>
          <w:rFonts w:asciiTheme="majorHAnsi" w:hAnsiTheme="majorHAnsi"/>
          <w:sz w:val="16"/>
          <w:szCs w:val="16"/>
          <w:lang w:val="es-CO"/>
        </w:rPr>
        <w:t>,</w:t>
      </w:r>
      <w:r w:rsidRPr="00A42D4A">
        <w:rPr>
          <w:rFonts w:asciiTheme="majorHAnsi" w:hAnsiTheme="majorHAnsi"/>
          <w:sz w:val="16"/>
          <w:szCs w:val="16"/>
          <w:lang w:val="es-CO"/>
        </w:rPr>
        <w:t xml:space="preserve"> Sentencia de</w:t>
      </w:r>
      <w:r w:rsidR="00240039">
        <w:rPr>
          <w:rFonts w:asciiTheme="majorHAnsi" w:hAnsiTheme="majorHAnsi"/>
          <w:sz w:val="16"/>
          <w:szCs w:val="16"/>
          <w:lang w:val="es-CO"/>
        </w:rPr>
        <w:t>l</w:t>
      </w:r>
      <w:r w:rsidRPr="00A42D4A">
        <w:rPr>
          <w:rFonts w:asciiTheme="majorHAnsi" w:hAnsiTheme="majorHAnsi"/>
          <w:sz w:val="16"/>
          <w:szCs w:val="16"/>
          <w:lang w:val="es-CO"/>
        </w:rPr>
        <w:t xml:space="preserve"> 26 de marzo de 2021</w:t>
      </w:r>
      <w:r w:rsidR="00240039">
        <w:rPr>
          <w:rFonts w:asciiTheme="majorHAnsi" w:hAnsiTheme="majorHAnsi"/>
          <w:sz w:val="16"/>
          <w:szCs w:val="16"/>
          <w:lang w:val="es-CO"/>
        </w:rPr>
        <w:t>,</w:t>
      </w:r>
      <w:r w:rsidRPr="00A42D4A">
        <w:rPr>
          <w:rFonts w:asciiTheme="majorHAnsi" w:hAnsiTheme="majorHAnsi"/>
          <w:sz w:val="16"/>
          <w:szCs w:val="16"/>
          <w:lang w:val="es-CO"/>
        </w:rPr>
        <w:t xml:space="preserve"> Serie C No. 422, párr. 128; y Caso González y otras (“Campo Algodonero”) Vs. México</w:t>
      </w:r>
      <w:r w:rsidR="00240039">
        <w:rPr>
          <w:rFonts w:asciiTheme="majorHAnsi" w:hAnsiTheme="majorHAnsi"/>
          <w:sz w:val="16"/>
          <w:szCs w:val="16"/>
          <w:lang w:val="es-CO"/>
        </w:rPr>
        <w:t>,</w:t>
      </w:r>
      <w:r w:rsidRPr="00A42D4A">
        <w:rPr>
          <w:rFonts w:asciiTheme="majorHAnsi" w:hAnsiTheme="majorHAnsi"/>
          <w:sz w:val="16"/>
          <w:szCs w:val="16"/>
          <w:lang w:val="es-CO"/>
        </w:rPr>
        <w:t xml:space="preserve"> Excepción Preliminar, Fondo, Reparaciones y Costas</w:t>
      </w:r>
      <w:r w:rsidR="00377A31">
        <w:rPr>
          <w:rFonts w:asciiTheme="majorHAnsi" w:hAnsiTheme="majorHAnsi"/>
          <w:sz w:val="16"/>
          <w:szCs w:val="16"/>
          <w:lang w:val="es-CO"/>
        </w:rPr>
        <w:t>,</w:t>
      </w:r>
      <w:r w:rsidRPr="00A42D4A">
        <w:rPr>
          <w:rFonts w:asciiTheme="majorHAnsi" w:hAnsiTheme="majorHAnsi"/>
          <w:sz w:val="16"/>
          <w:szCs w:val="16"/>
          <w:lang w:val="es-CO"/>
        </w:rPr>
        <w:t xml:space="preserve"> Sentencia de</w:t>
      </w:r>
      <w:r w:rsidR="00DC7F8C">
        <w:rPr>
          <w:rFonts w:asciiTheme="majorHAnsi" w:hAnsiTheme="majorHAnsi"/>
          <w:sz w:val="16"/>
          <w:szCs w:val="16"/>
          <w:lang w:val="es-CO"/>
        </w:rPr>
        <w:t>l</w:t>
      </w:r>
      <w:r w:rsidRPr="00A42D4A">
        <w:rPr>
          <w:rFonts w:asciiTheme="majorHAnsi" w:hAnsiTheme="majorHAnsi"/>
          <w:sz w:val="16"/>
          <w:szCs w:val="16"/>
          <w:lang w:val="es-CO"/>
        </w:rPr>
        <w:t xml:space="preserve"> 16 de noviembre de 2009</w:t>
      </w:r>
      <w:r w:rsidR="00DC7F8C">
        <w:rPr>
          <w:rFonts w:asciiTheme="majorHAnsi" w:hAnsiTheme="majorHAnsi"/>
          <w:sz w:val="16"/>
          <w:szCs w:val="16"/>
          <w:lang w:val="es-CO"/>
        </w:rPr>
        <w:t>,</w:t>
      </w:r>
      <w:r w:rsidRPr="00A42D4A">
        <w:rPr>
          <w:rFonts w:asciiTheme="majorHAnsi" w:hAnsiTheme="majorHAnsi"/>
          <w:sz w:val="16"/>
          <w:szCs w:val="16"/>
          <w:lang w:val="es-CO"/>
        </w:rPr>
        <w:t xml:space="preserve"> Serie C No. 205, párr. 397</w:t>
      </w:r>
      <w:r w:rsidR="00DC7F8C">
        <w:rPr>
          <w:rFonts w:asciiTheme="majorHAnsi" w:hAnsiTheme="majorHAnsi"/>
          <w:sz w:val="16"/>
          <w:szCs w:val="16"/>
          <w:lang w:val="es-CO"/>
        </w:rPr>
        <w:t>.</w:t>
      </w:r>
    </w:p>
  </w:footnote>
  <w:footnote w:id="16">
    <w:p w14:paraId="3907114F" w14:textId="2A27B9AC" w:rsidR="004F246D" w:rsidRPr="00A42D4A" w:rsidRDefault="004F246D" w:rsidP="00A42D4A">
      <w:pPr>
        <w:pStyle w:val="FootnoteText"/>
        <w:ind w:firstLine="720"/>
        <w:jc w:val="both"/>
        <w:rPr>
          <w:rFonts w:asciiTheme="majorHAnsi" w:hAnsiTheme="majorHAnsi"/>
          <w:sz w:val="16"/>
          <w:szCs w:val="16"/>
          <w:lang w:val="es-CO"/>
        </w:rPr>
      </w:pPr>
      <w:r w:rsidRPr="00A42D4A">
        <w:rPr>
          <w:rStyle w:val="FootnoteReference"/>
          <w:rFonts w:asciiTheme="majorHAnsi" w:hAnsiTheme="majorHAnsi"/>
          <w:sz w:val="16"/>
          <w:szCs w:val="16"/>
        </w:rPr>
        <w:footnoteRef/>
      </w:r>
      <w:r w:rsidRPr="00A42D4A">
        <w:rPr>
          <w:rFonts w:asciiTheme="majorHAnsi" w:hAnsiTheme="majorHAnsi"/>
          <w:sz w:val="16"/>
          <w:szCs w:val="16"/>
          <w:lang w:val="es-CO"/>
        </w:rPr>
        <w:t xml:space="preserve"> Corte IDH</w:t>
      </w:r>
      <w:r w:rsidR="00377A31">
        <w:rPr>
          <w:rFonts w:asciiTheme="majorHAnsi" w:hAnsiTheme="majorHAnsi"/>
          <w:sz w:val="16"/>
          <w:szCs w:val="16"/>
          <w:lang w:val="es-CO"/>
        </w:rPr>
        <w:t>,</w:t>
      </w:r>
      <w:r w:rsidRPr="00A42D4A">
        <w:rPr>
          <w:rFonts w:asciiTheme="majorHAnsi" w:hAnsiTheme="majorHAnsi"/>
          <w:sz w:val="16"/>
          <w:szCs w:val="16"/>
          <w:lang w:val="es-CO"/>
        </w:rPr>
        <w:t xml:space="preserve"> Caso Guzmán Albarracín y otras Vs. Ecuador</w:t>
      </w:r>
      <w:r w:rsidR="004559AE">
        <w:rPr>
          <w:rFonts w:asciiTheme="majorHAnsi" w:hAnsiTheme="majorHAnsi"/>
          <w:sz w:val="16"/>
          <w:szCs w:val="16"/>
          <w:lang w:val="es-CO"/>
        </w:rPr>
        <w:t>,</w:t>
      </w:r>
      <w:r w:rsidRPr="00A42D4A">
        <w:rPr>
          <w:rFonts w:asciiTheme="majorHAnsi" w:hAnsiTheme="majorHAnsi"/>
          <w:sz w:val="16"/>
          <w:szCs w:val="16"/>
          <w:lang w:val="es-CO"/>
        </w:rPr>
        <w:t xml:space="preserve"> Fondo, Reparaciones y Costas</w:t>
      </w:r>
      <w:r w:rsidR="004559AE">
        <w:rPr>
          <w:rFonts w:asciiTheme="majorHAnsi" w:hAnsiTheme="majorHAnsi"/>
          <w:sz w:val="16"/>
          <w:szCs w:val="16"/>
          <w:lang w:val="es-CO"/>
        </w:rPr>
        <w:t>,</w:t>
      </w:r>
      <w:r w:rsidRPr="00A42D4A">
        <w:rPr>
          <w:rFonts w:asciiTheme="majorHAnsi" w:hAnsiTheme="majorHAnsi"/>
          <w:sz w:val="16"/>
          <w:szCs w:val="16"/>
          <w:lang w:val="es-CO"/>
        </w:rPr>
        <w:t xml:space="preserve"> Sentencia de</w:t>
      </w:r>
      <w:r w:rsidR="004559AE">
        <w:rPr>
          <w:rFonts w:asciiTheme="majorHAnsi" w:hAnsiTheme="majorHAnsi"/>
          <w:sz w:val="16"/>
          <w:szCs w:val="16"/>
          <w:lang w:val="es-CO"/>
        </w:rPr>
        <w:t>l</w:t>
      </w:r>
      <w:r w:rsidRPr="00A42D4A">
        <w:rPr>
          <w:rFonts w:asciiTheme="majorHAnsi" w:hAnsiTheme="majorHAnsi"/>
          <w:sz w:val="16"/>
          <w:szCs w:val="16"/>
          <w:lang w:val="es-CO"/>
        </w:rPr>
        <w:t xml:space="preserve"> 24 de junio de 2020</w:t>
      </w:r>
      <w:r w:rsidR="004559AE">
        <w:rPr>
          <w:rFonts w:asciiTheme="majorHAnsi" w:hAnsiTheme="majorHAnsi"/>
          <w:sz w:val="16"/>
          <w:szCs w:val="16"/>
          <w:lang w:val="es-CO"/>
        </w:rPr>
        <w:t>,</w:t>
      </w:r>
      <w:r w:rsidRPr="00A42D4A">
        <w:rPr>
          <w:rFonts w:asciiTheme="majorHAnsi" w:hAnsiTheme="majorHAnsi"/>
          <w:sz w:val="16"/>
          <w:szCs w:val="16"/>
          <w:lang w:val="es-CO"/>
        </w:rPr>
        <w:t xml:space="preserve"> Serie C No. 405, párr. 113; Caso López Soto y otros Vs. Venezuela</w:t>
      </w:r>
      <w:r w:rsidR="00377A31">
        <w:rPr>
          <w:rFonts w:asciiTheme="majorHAnsi" w:hAnsiTheme="majorHAnsi"/>
          <w:sz w:val="16"/>
          <w:szCs w:val="16"/>
          <w:lang w:val="es-CO"/>
        </w:rPr>
        <w:t>,</w:t>
      </w:r>
      <w:r w:rsidRPr="00A42D4A">
        <w:rPr>
          <w:rFonts w:asciiTheme="majorHAnsi" w:hAnsiTheme="majorHAnsi"/>
          <w:sz w:val="16"/>
          <w:szCs w:val="16"/>
          <w:lang w:val="es-CO"/>
        </w:rPr>
        <w:t xml:space="preserve"> Fondo, Reparaciones y Costas</w:t>
      </w:r>
      <w:r w:rsidR="008E55E0">
        <w:rPr>
          <w:rFonts w:asciiTheme="majorHAnsi" w:hAnsiTheme="majorHAnsi"/>
          <w:sz w:val="16"/>
          <w:szCs w:val="16"/>
          <w:lang w:val="es-CO"/>
        </w:rPr>
        <w:t>,</w:t>
      </w:r>
      <w:r w:rsidRPr="00A42D4A">
        <w:rPr>
          <w:rFonts w:asciiTheme="majorHAnsi" w:hAnsiTheme="majorHAnsi"/>
          <w:sz w:val="16"/>
          <w:szCs w:val="16"/>
          <w:lang w:val="es-CO"/>
        </w:rPr>
        <w:t xml:space="preserve"> Sentencia de</w:t>
      </w:r>
      <w:r w:rsidR="008E55E0">
        <w:rPr>
          <w:rFonts w:asciiTheme="majorHAnsi" w:hAnsiTheme="majorHAnsi"/>
          <w:sz w:val="16"/>
          <w:szCs w:val="16"/>
          <w:lang w:val="es-CO"/>
        </w:rPr>
        <w:t>l</w:t>
      </w:r>
      <w:r w:rsidRPr="00A42D4A">
        <w:rPr>
          <w:rFonts w:asciiTheme="majorHAnsi" w:hAnsiTheme="majorHAnsi"/>
          <w:sz w:val="16"/>
          <w:szCs w:val="16"/>
          <w:lang w:val="es-CO"/>
        </w:rPr>
        <w:t xml:space="preserve"> 26 de septiembre de 2018</w:t>
      </w:r>
      <w:r w:rsidR="008E55E0">
        <w:rPr>
          <w:rFonts w:asciiTheme="majorHAnsi" w:hAnsiTheme="majorHAnsi"/>
          <w:sz w:val="16"/>
          <w:szCs w:val="16"/>
          <w:lang w:val="es-CO"/>
        </w:rPr>
        <w:t>,</w:t>
      </w:r>
      <w:r w:rsidRPr="00A42D4A">
        <w:rPr>
          <w:rFonts w:asciiTheme="majorHAnsi" w:hAnsiTheme="majorHAnsi"/>
          <w:sz w:val="16"/>
          <w:szCs w:val="16"/>
          <w:lang w:val="es-CO"/>
        </w:rPr>
        <w:t xml:space="preserve"> Serie C No. 362, párr. 124; y Caso Véliz Franco y otros Vs. Guatemala</w:t>
      </w:r>
      <w:r w:rsidR="00377A31">
        <w:rPr>
          <w:rFonts w:asciiTheme="majorHAnsi" w:hAnsiTheme="majorHAnsi"/>
          <w:sz w:val="16"/>
          <w:szCs w:val="16"/>
          <w:lang w:val="es-CO"/>
        </w:rPr>
        <w:t>,</w:t>
      </w:r>
      <w:r w:rsidRPr="00A42D4A">
        <w:rPr>
          <w:rFonts w:asciiTheme="majorHAnsi" w:hAnsiTheme="majorHAnsi"/>
          <w:sz w:val="16"/>
          <w:szCs w:val="16"/>
          <w:lang w:val="es-CO"/>
        </w:rPr>
        <w:t xml:space="preserve"> Excepciones Preliminares, Fondo, Reparaciones y Costas</w:t>
      </w:r>
      <w:r w:rsidR="008E55E0">
        <w:rPr>
          <w:rFonts w:asciiTheme="majorHAnsi" w:hAnsiTheme="majorHAnsi"/>
          <w:sz w:val="16"/>
          <w:szCs w:val="16"/>
          <w:lang w:val="es-CO"/>
        </w:rPr>
        <w:t>,</w:t>
      </w:r>
      <w:r w:rsidRPr="00A42D4A">
        <w:rPr>
          <w:rFonts w:asciiTheme="majorHAnsi" w:hAnsiTheme="majorHAnsi"/>
          <w:sz w:val="16"/>
          <w:szCs w:val="16"/>
          <w:lang w:val="es-CO"/>
        </w:rPr>
        <w:t xml:space="preserve"> Sentencia de</w:t>
      </w:r>
      <w:r w:rsidR="008E55E0">
        <w:rPr>
          <w:rFonts w:asciiTheme="majorHAnsi" w:hAnsiTheme="majorHAnsi"/>
          <w:sz w:val="16"/>
          <w:szCs w:val="16"/>
          <w:lang w:val="es-CO"/>
        </w:rPr>
        <w:t>l</w:t>
      </w:r>
      <w:r w:rsidRPr="00A42D4A">
        <w:rPr>
          <w:rFonts w:asciiTheme="majorHAnsi" w:hAnsiTheme="majorHAnsi"/>
          <w:sz w:val="16"/>
          <w:szCs w:val="16"/>
          <w:lang w:val="es-CO"/>
        </w:rPr>
        <w:t xml:space="preserve"> 19 de mayo de 2014</w:t>
      </w:r>
      <w:r w:rsidR="008E55E0">
        <w:rPr>
          <w:rFonts w:asciiTheme="majorHAnsi" w:hAnsiTheme="majorHAnsi"/>
          <w:sz w:val="16"/>
          <w:szCs w:val="16"/>
          <w:lang w:val="es-CO"/>
        </w:rPr>
        <w:t>,</w:t>
      </w:r>
      <w:r w:rsidRPr="00A42D4A">
        <w:rPr>
          <w:rFonts w:asciiTheme="majorHAnsi" w:hAnsiTheme="majorHAnsi"/>
          <w:sz w:val="16"/>
          <w:szCs w:val="16"/>
          <w:lang w:val="es-CO"/>
        </w:rPr>
        <w:t xml:space="preserve"> Serie C No. 277, párr. 207.</w:t>
      </w:r>
    </w:p>
  </w:footnote>
  <w:footnote w:id="17">
    <w:p w14:paraId="5D0E9043" w14:textId="10B7C7D5" w:rsidR="00A42D4A" w:rsidRPr="00BF7BE4" w:rsidRDefault="00A42D4A" w:rsidP="007C4634">
      <w:pPr>
        <w:pStyle w:val="FootnoteText"/>
        <w:ind w:firstLine="720"/>
        <w:jc w:val="both"/>
        <w:rPr>
          <w:lang w:val="es-CO"/>
        </w:rPr>
      </w:pPr>
      <w:r w:rsidRPr="00A42D4A">
        <w:rPr>
          <w:rStyle w:val="FootnoteReference"/>
          <w:rFonts w:asciiTheme="majorHAnsi" w:hAnsiTheme="majorHAnsi"/>
          <w:sz w:val="16"/>
          <w:szCs w:val="16"/>
        </w:rPr>
        <w:footnoteRef/>
      </w:r>
      <w:r w:rsidRPr="00A42D4A">
        <w:rPr>
          <w:rFonts w:asciiTheme="majorHAnsi" w:hAnsiTheme="majorHAnsi"/>
          <w:sz w:val="16"/>
          <w:szCs w:val="16"/>
          <w:lang w:val="es-CO"/>
        </w:rPr>
        <w:t xml:space="preserve"> Corte IDH</w:t>
      </w:r>
      <w:r w:rsidR="00377A31">
        <w:rPr>
          <w:rFonts w:asciiTheme="majorHAnsi" w:hAnsiTheme="majorHAnsi"/>
          <w:sz w:val="16"/>
          <w:szCs w:val="16"/>
          <w:lang w:val="es-CO"/>
        </w:rPr>
        <w:t>,</w:t>
      </w:r>
      <w:r w:rsidRPr="00A42D4A">
        <w:rPr>
          <w:rFonts w:asciiTheme="majorHAnsi" w:hAnsiTheme="majorHAnsi"/>
          <w:sz w:val="16"/>
          <w:szCs w:val="16"/>
          <w:lang w:val="es-CO"/>
        </w:rPr>
        <w:t xml:space="preserve"> Caso Mujeres Víctimas de Tortura Sexual en Atenco Vs. México</w:t>
      </w:r>
      <w:r w:rsidR="004559AE">
        <w:rPr>
          <w:rFonts w:asciiTheme="majorHAnsi" w:hAnsiTheme="majorHAnsi"/>
          <w:sz w:val="16"/>
          <w:szCs w:val="16"/>
          <w:lang w:val="es-CO"/>
        </w:rPr>
        <w:t>,</w:t>
      </w:r>
      <w:r w:rsidRPr="00A42D4A">
        <w:rPr>
          <w:rFonts w:asciiTheme="majorHAnsi" w:hAnsiTheme="majorHAnsi"/>
          <w:sz w:val="16"/>
          <w:szCs w:val="16"/>
          <w:lang w:val="es-CO"/>
        </w:rPr>
        <w:t xml:space="preserve"> Excepción Preliminar, Fondo, Reparaciones y Costas</w:t>
      </w:r>
      <w:r w:rsidR="004559AE">
        <w:rPr>
          <w:rFonts w:asciiTheme="majorHAnsi" w:hAnsiTheme="majorHAnsi"/>
          <w:sz w:val="16"/>
          <w:szCs w:val="16"/>
          <w:lang w:val="es-CO"/>
        </w:rPr>
        <w:t>,</w:t>
      </w:r>
      <w:r w:rsidRPr="00A42D4A">
        <w:rPr>
          <w:rFonts w:asciiTheme="majorHAnsi" w:hAnsiTheme="majorHAnsi"/>
          <w:sz w:val="16"/>
          <w:szCs w:val="16"/>
          <w:lang w:val="es-CO"/>
        </w:rPr>
        <w:t xml:space="preserve"> Sentencia de</w:t>
      </w:r>
      <w:r w:rsidR="004559AE">
        <w:rPr>
          <w:rFonts w:asciiTheme="majorHAnsi" w:hAnsiTheme="majorHAnsi"/>
          <w:sz w:val="16"/>
          <w:szCs w:val="16"/>
          <w:lang w:val="es-CO"/>
        </w:rPr>
        <w:t>l</w:t>
      </w:r>
      <w:r w:rsidRPr="00A42D4A">
        <w:rPr>
          <w:rFonts w:asciiTheme="majorHAnsi" w:hAnsiTheme="majorHAnsi"/>
          <w:sz w:val="16"/>
          <w:szCs w:val="16"/>
          <w:lang w:val="es-CO"/>
        </w:rPr>
        <w:t xml:space="preserve"> 28 de noviembre de 2018</w:t>
      </w:r>
      <w:r w:rsidR="004559AE">
        <w:rPr>
          <w:rFonts w:asciiTheme="majorHAnsi" w:hAnsiTheme="majorHAnsi"/>
          <w:sz w:val="16"/>
          <w:szCs w:val="16"/>
          <w:lang w:val="es-CO"/>
        </w:rPr>
        <w:t>,</w:t>
      </w:r>
      <w:r w:rsidRPr="00134970">
        <w:rPr>
          <w:rFonts w:asciiTheme="majorHAnsi" w:hAnsiTheme="majorHAnsi"/>
          <w:sz w:val="16"/>
          <w:szCs w:val="16"/>
          <w:lang w:val="es-CO"/>
        </w:rPr>
        <w:t xml:space="preserve"> Serie C No. 371, párr. 193.</w:t>
      </w:r>
    </w:p>
  </w:footnote>
  <w:footnote w:id="18">
    <w:p w14:paraId="65E18B13" w14:textId="6F102371" w:rsidR="005C226F" w:rsidRPr="007C4634" w:rsidRDefault="005C226F" w:rsidP="007C4634">
      <w:pPr>
        <w:pStyle w:val="FootnoteText"/>
        <w:ind w:firstLine="720"/>
        <w:jc w:val="both"/>
        <w:rPr>
          <w:rFonts w:asciiTheme="majorHAnsi" w:hAnsiTheme="majorHAnsi"/>
          <w:sz w:val="16"/>
          <w:szCs w:val="16"/>
          <w:lang w:val="es-CO"/>
        </w:rPr>
      </w:pPr>
      <w:r w:rsidRPr="007C4634">
        <w:rPr>
          <w:rStyle w:val="FootnoteReference"/>
          <w:rFonts w:asciiTheme="majorHAnsi" w:hAnsiTheme="majorHAnsi"/>
          <w:sz w:val="16"/>
          <w:szCs w:val="16"/>
        </w:rPr>
        <w:footnoteRef/>
      </w:r>
      <w:r w:rsidRPr="007C4634">
        <w:rPr>
          <w:rFonts w:asciiTheme="majorHAnsi" w:hAnsiTheme="majorHAnsi"/>
          <w:sz w:val="16"/>
          <w:szCs w:val="16"/>
          <w:lang w:val="es-CO"/>
        </w:rPr>
        <w:t xml:space="preserve"> Corte IDH</w:t>
      </w:r>
      <w:r w:rsidR="00377A31">
        <w:rPr>
          <w:rFonts w:asciiTheme="majorHAnsi" w:hAnsiTheme="majorHAnsi"/>
          <w:sz w:val="16"/>
          <w:szCs w:val="16"/>
          <w:lang w:val="es-CO"/>
        </w:rPr>
        <w:t>,</w:t>
      </w:r>
      <w:r w:rsidRPr="007C4634">
        <w:rPr>
          <w:rFonts w:asciiTheme="majorHAnsi" w:hAnsiTheme="majorHAnsi"/>
          <w:sz w:val="16"/>
          <w:szCs w:val="16"/>
          <w:lang w:val="es-CO"/>
        </w:rPr>
        <w:t xml:space="preserve"> Caso López Soto y otros Vs. Venezuela</w:t>
      </w:r>
      <w:r w:rsidR="009A3197">
        <w:rPr>
          <w:rFonts w:asciiTheme="majorHAnsi" w:hAnsiTheme="majorHAnsi"/>
          <w:sz w:val="16"/>
          <w:szCs w:val="16"/>
          <w:lang w:val="es-CO"/>
        </w:rPr>
        <w:t>,</w:t>
      </w:r>
      <w:r w:rsidRPr="007C4634">
        <w:rPr>
          <w:rFonts w:asciiTheme="majorHAnsi" w:hAnsiTheme="majorHAnsi"/>
          <w:sz w:val="16"/>
          <w:szCs w:val="16"/>
          <w:lang w:val="es-CO"/>
        </w:rPr>
        <w:t xml:space="preserve"> Fondo, Reparaciones y Costas</w:t>
      </w:r>
      <w:r w:rsidR="009A3197">
        <w:rPr>
          <w:rFonts w:asciiTheme="majorHAnsi" w:hAnsiTheme="majorHAnsi"/>
          <w:sz w:val="16"/>
          <w:szCs w:val="16"/>
          <w:lang w:val="es-CO"/>
        </w:rPr>
        <w:t>,</w:t>
      </w:r>
      <w:r w:rsidRPr="007C4634">
        <w:rPr>
          <w:rFonts w:asciiTheme="majorHAnsi" w:hAnsiTheme="majorHAnsi"/>
          <w:sz w:val="16"/>
          <w:szCs w:val="16"/>
          <w:lang w:val="es-CO"/>
        </w:rPr>
        <w:t xml:space="preserve"> Sentencia de</w:t>
      </w:r>
      <w:r w:rsidR="009A3197">
        <w:rPr>
          <w:rFonts w:asciiTheme="majorHAnsi" w:hAnsiTheme="majorHAnsi"/>
          <w:sz w:val="16"/>
          <w:szCs w:val="16"/>
          <w:lang w:val="es-CO"/>
        </w:rPr>
        <w:t>l</w:t>
      </w:r>
      <w:r w:rsidRPr="007C4634">
        <w:rPr>
          <w:rFonts w:asciiTheme="majorHAnsi" w:hAnsiTheme="majorHAnsi"/>
          <w:sz w:val="16"/>
          <w:szCs w:val="16"/>
          <w:lang w:val="es-CO"/>
        </w:rPr>
        <w:t xml:space="preserve"> 26 de septiembre de 2018</w:t>
      </w:r>
      <w:r w:rsidR="009A3197">
        <w:rPr>
          <w:rFonts w:asciiTheme="majorHAnsi" w:hAnsiTheme="majorHAnsi"/>
          <w:sz w:val="16"/>
          <w:szCs w:val="16"/>
          <w:lang w:val="es-CO"/>
        </w:rPr>
        <w:t>,</w:t>
      </w:r>
      <w:r w:rsidRPr="007C4634">
        <w:rPr>
          <w:rFonts w:asciiTheme="majorHAnsi" w:hAnsiTheme="majorHAnsi"/>
          <w:sz w:val="16"/>
          <w:szCs w:val="16"/>
          <w:lang w:val="es-CO"/>
        </w:rPr>
        <w:t xml:space="preserve"> Serie C No. 362, párr. 192.</w:t>
      </w:r>
    </w:p>
  </w:footnote>
  <w:footnote w:id="19">
    <w:p w14:paraId="18A1564F" w14:textId="0241B0CC" w:rsidR="005C226F" w:rsidRPr="007D34BA" w:rsidRDefault="005C226F" w:rsidP="007C4634">
      <w:pPr>
        <w:pStyle w:val="FootnoteText"/>
        <w:ind w:firstLine="720"/>
        <w:jc w:val="both"/>
        <w:rPr>
          <w:lang w:val="es-CO"/>
        </w:rPr>
      </w:pPr>
      <w:r w:rsidRPr="007C4634">
        <w:rPr>
          <w:rStyle w:val="FootnoteReference"/>
          <w:rFonts w:asciiTheme="majorHAnsi" w:hAnsiTheme="majorHAnsi"/>
          <w:sz w:val="16"/>
          <w:szCs w:val="16"/>
        </w:rPr>
        <w:footnoteRef/>
      </w:r>
      <w:r w:rsidRPr="007C4634">
        <w:rPr>
          <w:rFonts w:asciiTheme="majorHAnsi" w:hAnsiTheme="majorHAnsi"/>
          <w:sz w:val="16"/>
          <w:szCs w:val="16"/>
          <w:lang w:val="es-CO"/>
        </w:rPr>
        <w:t xml:space="preserve"> Corte IDH</w:t>
      </w:r>
      <w:r w:rsidR="00377A31">
        <w:rPr>
          <w:rFonts w:asciiTheme="majorHAnsi" w:hAnsiTheme="majorHAnsi"/>
          <w:sz w:val="16"/>
          <w:szCs w:val="16"/>
          <w:lang w:val="es-CO"/>
        </w:rPr>
        <w:t>,</w:t>
      </w:r>
      <w:r w:rsidRPr="007C4634">
        <w:rPr>
          <w:rFonts w:asciiTheme="majorHAnsi" w:hAnsiTheme="majorHAnsi"/>
          <w:sz w:val="16"/>
          <w:szCs w:val="16"/>
          <w:lang w:val="es-CO"/>
        </w:rPr>
        <w:t xml:space="preserve"> Caso Integrantes y Militantes de la Unión Patriótica Vs. Colombia</w:t>
      </w:r>
      <w:r w:rsidR="00377A31">
        <w:rPr>
          <w:rFonts w:asciiTheme="majorHAnsi" w:hAnsiTheme="majorHAnsi"/>
          <w:sz w:val="16"/>
          <w:szCs w:val="16"/>
          <w:lang w:val="es-CO"/>
        </w:rPr>
        <w:t>,</w:t>
      </w:r>
      <w:r w:rsidRPr="007C4634">
        <w:rPr>
          <w:rFonts w:asciiTheme="majorHAnsi" w:hAnsiTheme="majorHAnsi"/>
          <w:sz w:val="16"/>
          <w:szCs w:val="16"/>
          <w:lang w:val="es-CO"/>
        </w:rPr>
        <w:t xml:space="preserve"> Excepciones Preliminares, Fondo, Reparaciones y Costas</w:t>
      </w:r>
      <w:r w:rsidR="00377A31">
        <w:rPr>
          <w:rFonts w:asciiTheme="majorHAnsi" w:hAnsiTheme="majorHAnsi"/>
          <w:sz w:val="16"/>
          <w:szCs w:val="16"/>
          <w:lang w:val="es-CO"/>
        </w:rPr>
        <w:t>,</w:t>
      </w:r>
      <w:r w:rsidRPr="007C4634">
        <w:rPr>
          <w:rFonts w:asciiTheme="majorHAnsi" w:hAnsiTheme="majorHAnsi"/>
          <w:sz w:val="16"/>
          <w:szCs w:val="16"/>
          <w:lang w:val="es-CO"/>
        </w:rPr>
        <w:t xml:space="preserve"> Sentencia de</w:t>
      </w:r>
      <w:r w:rsidR="00377A31">
        <w:rPr>
          <w:rFonts w:asciiTheme="majorHAnsi" w:hAnsiTheme="majorHAnsi"/>
          <w:sz w:val="16"/>
          <w:szCs w:val="16"/>
          <w:lang w:val="es-CO"/>
        </w:rPr>
        <w:t>l</w:t>
      </w:r>
      <w:r w:rsidRPr="007C4634">
        <w:rPr>
          <w:rFonts w:asciiTheme="majorHAnsi" w:hAnsiTheme="majorHAnsi"/>
          <w:sz w:val="16"/>
          <w:szCs w:val="16"/>
          <w:lang w:val="es-CO"/>
        </w:rPr>
        <w:t xml:space="preserve"> 27 de julio de 2022</w:t>
      </w:r>
      <w:r w:rsidR="00377A31">
        <w:rPr>
          <w:rFonts w:asciiTheme="majorHAnsi" w:hAnsiTheme="majorHAnsi"/>
          <w:sz w:val="16"/>
          <w:szCs w:val="16"/>
          <w:lang w:val="es-CO"/>
        </w:rPr>
        <w:t>,</w:t>
      </w:r>
      <w:r w:rsidRPr="007C4634">
        <w:rPr>
          <w:rFonts w:asciiTheme="majorHAnsi" w:hAnsiTheme="majorHAnsi"/>
          <w:sz w:val="16"/>
          <w:szCs w:val="16"/>
          <w:lang w:val="es-CO"/>
        </w:rPr>
        <w:t xml:space="preserve"> Serie C No. 455, párr. 371; </w:t>
      </w:r>
      <w:r w:rsidR="009A3197">
        <w:rPr>
          <w:rFonts w:asciiTheme="majorHAnsi" w:hAnsiTheme="majorHAnsi"/>
          <w:sz w:val="16"/>
          <w:szCs w:val="16"/>
          <w:lang w:val="es-CO"/>
        </w:rPr>
        <w:t xml:space="preserve">y </w:t>
      </w:r>
      <w:r w:rsidRPr="007C4634">
        <w:rPr>
          <w:rFonts w:asciiTheme="majorHAnsi" w:hAnsiTheme="majorHAnsi"/>
          <w:sz w:val="16"/>
          <w:szCs w:val="16"/>
          <w:lang w:val="es-CO"/>
        </w:rPr>
        <w:t>Caso Maritza Urrutia Vs. Guatemala</w:t>
      </w:r>
      <w:r w:rsidR="009A3197">
        <w:rPr>
          <w:rFonts w:asciiTheme="majorHAnsi" w:hAnsiTheme="majorHAnsi"/>
          <w:sz w:val="16"/>
          <w:szCs w:val="16"/>
          <w:lang w:val="es-CO"/>
        </w:rPr>
        <w:t>,</w:t>
      </w:r>
      <w:r w:rsidRPr="007C4634">
        <w:rPr>
          <w:rFonts w:asciiTheme="majorHAnsi" w:hAnsiTheme="majorHAnsi"/>
          <w:sz w:val="16"/>
          <w:szCs w:val="16"/>
          <w:lang w:val="es-CO"/>
        </w:rPr>
        <w:t xml:space="preserve"> Fondo, Reparaciones y Costas</w:t>
      </w:r>
      <w:r w:rsidR="009A3197">
        <w:rPr>
          <w:rFonts w:asciiTheme="majorHAnsi" w:hAnsiTheme="majorHAnsi"/>
          <w:sz w:val="16"/>
          <w:szCs w:val="16"/>
          <w:lang w:val="es-CO"/>
        </w:rPr>
        <w:t>,</w:t>
      </w:r>
      <w:r w:rsidRPr="007C4634">
        <w:rPr>
          <w:rFonts w:asciiTheme="majorHAnsi" w:hAnsiTheme="majorHAnsi"/>
          <w:sz w:val="16"/>
          <w:szCs w:val="16"/>
          <w:lang w:val="es-CO"/>
        </w:rPr>
        <w:t xml:space="preserve"> Sentencia de</w:t>
      </w:r>
      <w:r w:rsidR="009A3197">
        <w:rPr>
          <w:rFonts w:asciiTheme="majorHAnsi" w:hAnsiTheme="majorHAnsi"/>
          <w:sz w:val="16"/>
          <w:szCs w:val="16"/>
          <w:lang w:val="es-CO"/>
        </w:rPr>
        <w:t>l</w:t>
      </w:r>
      <w:r w:rsidRPr="007C4634">
        <w:rPr>
          <w:rFonts w:asciiTheme="majorHAnsi" w:hAnsiTheme="majorHAnsi"/>
          <w:sz w:val="16"/>
          <w:szCs w:val="16"/>
          <w:lang w:val="es-CO"/>
        </w:rPr>
        <w:t xml:space="preserve"> 27 de noviembre de 2003</w:t>
      </w:r>
      <w:r w:rsidR="009A3197">
        <w:rPr>
          <w:rFonts w:asciiTheme="majorHAnsi" w:hAnsiTheme="majorHAnsi"/>
          <w:sz w:val="16"/>
          <w:szCs w:val="16"/>
          <w:lang w:val="es-CO"/>
        </w:rPr>
        <w:t>,</w:t>
      </w:r>
      <w:r w:rsidRPr="007C4634">
        <w:rPr>
          <w:rFonts w:asciiTheme="majorHAnsi" w:hAnsiTheme="majorHAnsi"/>
          <w:sz w:val="16"/>
          <w:szCs w:val="16"/>
          <w:lang w:val="es-CO"/>
        </w:rPr>
        <w:t xml:space="preserve"> Serie C No. 103, párr. 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F3754" w:rsidP="00A50FCF">
    <w:pPr>
      <w:pStyle w:val="Header"/>
      <w:tabs>
        <w:tab w:val="clear" w:pos="4320"/>
        <w:tab w:val="clear" w:pos="8640"/>
      </w:tabs>
      <w:jc w:val="center"/>
      <w:rPr>
        <w:sz w:val="22"/>
        <w:szCs w:val="22"/>
      </w:rPr>
    </w:pPr>
    <w:r>
      <w:rPr>
        <w:noProof/>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0682154E"/>
    <w:lvl w:ilvl="0" w:tplc="C8143DCE">
      <w:start w:val="1"/>
      <w:numFmt w:val="decimal"/>
      <w:pStyle w:val="parrafos"/>
      <w:lvlText w:val="%1."/>
      <w:lvlJc w:val="left"/>
      <w:pPr>
        <w:ind w:left="450" w:hanging="360"/>
      </w:pPr>
      <w:rPr>
        <w:rFonts w:ascii="Cambria" w:hAnsi="Cambria" w:hint="default"/>
        <w:b w:val="0"/>
        <w:sz w:val="20"/>
        <w:szCs w:val="20"/>
        <w:lang w:val="es-E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6"/>
  </w:num>
  <w:num w:numId="4" w16cid:durableId="2018339747">
    <w:abstractNumId w:val="22"/>
  </w:num>
  <w:num w:numId="5" w16cid:durableId="368341374">
    <w:abstractNumId w:val="50"/>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21"/>
  </w:num>
  <w:num w:numId="52" w16cid:durableId="955454438">
    <w:abstractNumId w:val="43"/>
  </w:num>
  <w:num w:numId="53" w16cid:durableId="586957926">
    <w:abstractNumId w:val="53"/>
  </w:num>
  <w:num w:numId="54" w16cid:durableId="1498381482">
    <w:abstractNumId w:val="47"/>
  </w:num>
  <w:num w:numId="55" w16cid:durableId="1930308158">
    <w:abstractNumId w:val="45"/>
  </w:num>
  <w:num w:numId="56" w16cid:durableId="71783945">
    <w:abstractNumId w:val="28"/>
  </w:num>
  <w:num w:numId="57" w16cid:durableId="327246300">
    <w:abstractNumId w:val="26"/>
  </w:num>
  <w:num w:numId="58" w16cid:durableId="823088829">
    <w:abstractNumId w:val="38"/>
  </w:num>
  <w:num w:numId="59" w16cid:durableId="178545844">
    <w:abstractNumId w:val="5"/>
  </w:num>
  <w:num w:numId="60" w16cid:durableId="166218650">
    <w:abstractNumId w:val="15"/>
  </w:num>
  <w:num w:numId="61" w16cid:durableId="2067682195">
    <w:abstractNumId w:val="2"/>
  </w:num>
  <w:num w:numId="62" w16cid:durableId="462499593">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417"/>
    <w:rsid w:val="00002AF5"/>
    <w:rsid w:val="000032F2"/>
    <w:rsid w:val="00004C6D"/>
    <w:rsid w:val="00004EC5"/>
    <w:rsid w:val="00006E1F"/>
    <w:rsid w:val="000070D7"/>
    <w:rsid w:val="00010FA7"/>
    <w:rsid w:val="0001788C"/>
    <w:rsid w:val="0002018D"/>
    <w:rsid w:val="00023CED"/>
    <w:rsid w:val="00026EA2"/>
    <w:rsid w:val="000337EF"/>
    <w:rsid w:val="00035713"/>
    <w:rsid w:val="000367FD"/>
    <w:rsid w:val="00040C3A"/>
    <w:rsid w:val="000419AD"/>
    <w:rsid w:val="000433C9"/>
    <w:rsid w:val="000442AD"/>
    <w:rsid w:val="00047036"/>
    <w:rsid w:val="00054D83"/>
    <w:rsid w:val="00054DA6"/>
    <w:rsid w:val="00055E45"/>
    <w:rsid w:val="00056DEC"/>
    <w:rsid w:val="00063E18"/>
    <w:rsid w:val="00064D08"/>
    <w:rsid w:val="00065D82"/>
    <w:rsid w:val="000674FD"/>
    <w:rsid w:val="00071174"/>
    <w:rsid w:val="000716C5"/>
    <w:rsid w:val="00075E23"/>
    <w:rsid w:val="0008507B"/>
    <w:rsid w:val="00090B38"/>
    <w:rsid w:val="000927D7"/>
    <w:rsid w:val="0009344A"/>
    <w:rsid w:val="000952E8"/>
    <w:rsid w:val="0009799A"/>
    <w:rsid w:val="000A392E"/>
    <w:rsid w:val="000A4592"/>
    <w:rsid w:val="000A4C25"/>
    <w:rsid w:val="000A575F"/>
    <w:rsid w:val="000A6DE6"/>
    <w:rsid w:val="000B2BD4"/>
    <w:rsid w:val="000C48B7"/>
    <w:rsid w:val="000C49C3"/>
    <w:rsid w:val="000C606E"/>
    <w:rsid w:val="000C6CFA"/>
    <w:rsid w:val="000D05CB"/>
    <w:rsid w:val="000D10DB"/>
    <w:rsid w:val="000D4FE1"/>
    <w:rsid w:val="000E4461"/>
    <w:rsid w:val="000E5EB5"/>
    <w:rsid w:val="000F35ED"/>
    <w:rsid w:val="000F5BDE"/>
    <w:rsid w:val="000F6C14"/>
    <w:rsid w:val="001004FE"/>
    <w:rsid w:val="00107131"/>
    <w:rsid w:val="0010736F"/>
    <w:rsid w:val="00113F73"/>
    <w:rsid w:val="00120A9B"/>
    <w:rsid w:val="00121CC2"/>
    <w:rsid w:val="001259E5"/>
    <w:rsid w:val="00131425"/>
    <w:rsid w:val="00132833"/>
    <w:rsid w:val="00132A06"/>
    <w:rsid w:val="00133EE5"/>
    <w:rsid w:val="00134622"/>
    <w:rsid w:val="00134970"/>
    <w:rsid w:val="00140F5C"/>
    <w:rsid w:val="00141DAB"/>
    <w:rsid w:val="00142BE5"/>
    <w:rsid w:val="001470BA"/>
    <w:rsid w:val="0014779F"/>
    <w:rsid w:val="001526AE"/>
    <w:rsid w:val="00164C00"/>
    <w:rsid w:val="00167A34"/>
    <w:rsid w:val="00173717"/>
    <w:rsid w:val="00180BED"/>
    <w:rsid w:val="00183688"/>
    <w:rsid w:val="001920E3"/>
    <w:rsid w:val="001931DB"/>
    <w:rsid w:val="00193437"/>
    <w:rsid w:val="00195384"/>
    <w:rsid w:val="00195B6E"/>
    <w:rsid w:val="00195E4A"/>
    <w:rsid w:val="00196838"/>
    <w:rsid w:val="001A423C"/>
    <w:rsid w:val="001A4732"/>
    <w:rsid w:val="001A520D"/>
    <w:rsid w:val="001A62C8"/>
    <w:rsid w:val="001A76A5"/>
    <w:rsid w:val="001A7870"/>
    <w:rsid w:val="001A7E33"/>
    <w:rsid w:val="001B3A00"/>
    <w:rsid w:val="001B478B"/>
    <w:rsid w:val="001B5A97"/>
    <w:rsid w:val="001B7E00"/>
    <w:rsid w:val="001C0717"/>
    <w:rsid w:val="001C1B41"/>
    <w:rsid w:val="001D65EF"/>
    <w:rsid w:val="001D7F96"/>
    <w:rsid w:val="001E32B9"/>
    <w:rsid w:val="001E49E7"/>
    <w:rsid w:val="001E6BD9"/>
    <w:rsid w:val="001F647A"/>
    <w:rsid w:val="001F7201"/>
    <w:rsid w:val="00215F34"/>
    <w:rsid w:val="00223A29"/>
    <w:rsid w:val="00224AF8"/>
    <w:rsid w:val="002250A3"/>
    <w:rsid w:val="002348E5"/>
    <w:rsid w:val="00235217"/>
    <w:rsid w:val="002356D7"/>
    <w:rsid w:val="002365FE"/>
    <w:rsid w:val="00240039"/>
    <w:rsid w:val="00243A96"/>
    <w:rsid w:val="00246D1F"/>
    <w:rsid w:val="00247403"/>
    <w:rsid w:val="00247542"/>
    <w:rsid w:val="0025027C"/>
    <w:rsid w:val="00261B4B"/>
    <w:rsid w:val="00263A51"/>
    <w:rsid w:val="00263C13"/>
    <w:rsid w:val="00266B61"/>
    <w:rsid w:val="0026712A"/>
    <w:rsid w:val="002704DB"/>
    <w:rsid w:val="0027502D"/>
    <w:rsid w:val="002760A8"/>
    <w:rsid w:val="00281272"/>
    <w:rsid w:val="002853D7"/>
    <w:rsid w:val="0029586C"/>
    <w:rsid w:val="002A06EC"/>
    <w:rsid w:val="002A0AAE"/>
    <w:rsid w:val="002A1828"/>
    <w:rsid w:val="002A4432"/>
    <w:rsid w:val="002A5820"/>
    <w:rsid w:val="002B0298"/>
    <w:rsid w:val="002B5215"/>
    <w:rsid w:val="002D2B26"/>
    <w:rsid w:val="002D56CA"/>
    <w:rsid w:val="002D7EA2"/>
    <w:rsid w:val="002E187C"/>
    <w:rsid w:val="002E6B2C"/>
    <w:rsid w:val="002F0E04"/>
    <w:rsid w:val="002F77D2"/>
    <w:rsid w:val="0030093E"/>
    <w:rsid w:val="00300D2D"/>
    <w:rsid w:val="00302733"/>
    <w:rsid w:val="003030A1"/>
    <w:rsid w:val="003049F8"/>
    <w:rsid w:val="00305835"/>
    <w:rsid w:val="00306F33"/>
    <w:rsid w:val="00314078"/>
    <w:rsid w:val="0031535D"/>
    <w:rsid w:val="003201FE"/>
    <w:rsid w:val="003239B8"/>
    <w:rsid w:val="0033169F"/>
    <w:rsid w:val="00344977"/>
    <w:rsid w:val="00346C95"/>
    <w:rsid w:val="00347264"/>
    <w:rsid w:val="0035005F"/>
    <w:rsid w:val="0035058A"/>
    <w:rsid w:val="00354C14"/>
    <w:rsid w:val="00356185"/>
    <w:rsid w:val="00360380"/>
    <w:rsid w:val="00360A38"/>
    <w:rsid w:val="00361E12"/>
    <w:rsid w:val="0037519E"/>
    <w:rsid w:val="00377A31"/>
    <w:rsid w:val="00386CF0"/>
    <w:rsid w:val="003906C8"/>
    <w:rsid w:val="00394073"/>
    <w:rsid w:val="00395141"/>
    <w:rsid w:val="003A7494"/>
    <w:rsid w:val="003B10FF"/>
    <w:rsid w:val="003B2C40"/>
    <w:rsid w:val="003B45AD"/>
    <w:rsid w:val="003B54DF"/>
    <w:rsid w:val="003B70FB"/>
    <w:rsid w:val="003C096F"/>
    <w:rsid w:val="003C3C16"/>
    <w:rsid w:val="003C3FAF"/>
    <w:rsid w:val="003C60B4"/>
    <w:rsid w:val="003C676B"/>
    <w:rsid w:val="003D07D4"/>
    <w:rsid w:val="003D30B7"/>
    <w:rsid w:val="003D35C1"/>
    <w:rsid w:val="003D38C1"/>
    <w:rsid w:val="003D3BC2"/>
    <w:rsid w:val="003E0BE8"/>
    <w:rsid w:val="003E3DEE"/>
    <w:rsid w:val="003E6CA1"/>
    <w:rsid w:val="003F289A"/>
    <w:rsid w:val="003F5154"/>
    <w:rsid w:val="003F5790"/>
    <w:rsid w:val="004016CD"/>
    <w:rsid w:val="004023D5"/>
    <w:rsid w:val="00405F9C"/>
    <w:rsid w:val="004065A8"/>
    <w:rsid w:val="004165C2"/>
    <w:rsid w:val="00416940"/>
    <w:rsid w:val="00420846"/>
    <w:rsid w:val="004241A0"/>
    <w:rsid w:val="00425FE8"/>
    <w:rsid w:val="004306E6"/>
    <w:rsid w:val="00441ECB"/>
    <w:rsid w:val="004431F5"/>
    <w:rsid w:val="00444269"/>
    <w:rsid w:val="00444A17"/>
    <w:rsid w:val="00445193"/>
    <w:rsid w:val="00445325"/>
    <w:rsid w:val="004559AE"/>
    <w:rsid w:val="004615CA"/>
    <w:rsid w:val="00462C1B"/>
    <w:rsid w:val="00467B7E"/>
    <w:rsid w:val="004721A2"/>
    <w:rsid w:val="00473300"/>
    <w:rsid w:val="00473BB4"/>
    <w:rsid w:val="0047741A"/>
    <w:rsid w:val="00477592"/>
    <w:rsid w:val="004801A8"/>
    <w:rsid w:val="00481558"/>
    <w:rsid w:val="00482A2D"/>
    <w:rsid w:val="00485145"/>
    <w:rsid w:val="00486F1C"/>
    <w:rsid w:val="004910D5"/>
    <w:rsid w:val="00491A85"/>
    <w:rsid w:val="00491CB4"/>
    <w:rsid w:val="00492BC5"/>
    <w:rsid w:val="00493BA9"/>
    <w:rsid w:val="0049419D"/>
    <w:rsid w:val="0049483E"/>
    <w:rsid w:val="00495616"/>
    <w:rsid w:val="004A057B"/>
    <w:rsid w:val="004A6A54"/>
    <w:rsid w:val="004B421C"/>
    <w:rsid w:val="004B5513"/>
    <w:rsid w:val="004B6880"/>
    <w:rsid w:val="004B705B"/>
    <w:rsid w:val="004C20D2"/>
    <w:rsid w:val="004C2312"/>
    <w:rsid w:val="004C3BAA"/>
    <w:rsid w:val="004C4B62"/>
    <w:rsid w:val="004C54C9"/>
    <w:rsid w:val="004C7453"/>
    <w:rsid w:val="004D0EA7"/>
    <w:rsid w:val="004D1BF5"/>
    <w:rsid w:val="004D3721"/>
    <w:rsid w:val="004D4ABA"/>
    <w:rsid w:val="004D6025"/>
    <w:rsid w:val="004E0740"/>
    <w:rsid w:val="004E1DEF"/>
    <w:rsid w:val="004E2649"/>
    <w:rsid w:val="004E75FF"/>
    <w:rsid w:val="004F246D"/>
    <w:rsid w:val="004F267F"/>
    <w:rsid w:val="004F3754"/>
    <w:rsid w:val="004F53C1"/>
    <w:rsid w:val="004F626F"/>
    <w:rsid w:val="00501399"/>
    <w:rsid w:val="005047ED"/>
    <w:rsid w:val="0050633D"/>
    <w:rsid w:val="00507BC4"/>
    <w:rsid w:val="00512004"/>
    <w:rsid w:val="005128E4"/>
    <w:rsid w:val="005133DB"/>
    <w:rsid w:val="00513832"/>
    <w:rsid w:val="00514138"/>
    <w:rsid w:val="00514504"/>
    <w:rsid w:val="00521294"/>
    <w:rsid w:val="00521E1F"/>
    <w:rsid w:val="00525560"/>
    <w:rsid w:val="005267FF"/>
    <w:rsid w:val="00531A87"/>
    <w:rsid w:val="0053596D"/>
    <w:rsid w:val="00541006"/>
    <w:rsid w:val="00543539"/>
    <w:rsid w:val="00544C49"/>
    <w:rsid w:val="00545E2F"/>
    <w:rsid w:val="00547008"/>
    <w:rsid w:val="00547797"/>
    <w:rsid w:val="005516A1"/>
    <w:rsid w:val="00552E4D"/>
    <w:rsid w:val="00553BB2"/>
    <w:rsid w:val="005559EF"/>
    <w:rsid w:val="00563557"/>
    <w:rsid w:val="00563C91"/>
    <w:rsid w:val="005658FF"/>
    <w:rsid w:val="005669E1"/>
    <w:rsid w:val="0057402A"/>
    <w:rsid w:val="00575200"/>
    <w:rsid w:val="005757B2"/>
    <w:rsid w:val="005771D0"/>
    <w:rsid w:val="00585FE5"/>
    <w:rsid w:val="0059191A"/>
    <w:rsid w:val="005921FF"/>
    <w:rsid w:val="005A1F80"/>
    <w:rsid w:val="005A24ED"/>
    <w:rsid w:val="005A2CA0"/>
    <w:rsid w:val="005A43B2"/>
    <w:rsid w:val="005A656C"/>
    <w:rsid w:val="005A6D0E"/>
    <w:rsid w:val="005B2C85"/>
    <w:rsid w:val="005B52B0"/>
    <w:rsid w:val="005B6806"/>
    <w:rsid w:val="005C00B9"/>
    <w:rsid w:val="005C11E9"/>
    <w:rsid w:val="005C226F"/>
    <w:rsid w:val="005C4225"/>
    <w:rsid w:val="005C6635"/>
    <w:rsid w:val="005D0853"/>
    <w:rsid w:val="005D787C"/>
    <w:rsid w:val="005E4698"/>
    <w:rsid w:val="005F0DAD"/>
    <w:rsid w:val="005F0F33"/>
    <w:rsid w:val="00600DEB"/>
    <w:rsid w:val="00613BD9"/>
    <w:rsid w:val="0061401F"/>
    <w:rsid w:val="00617DAA"/>
    <w:rsid w:val="00620200"/>
    <w:rsid w:val="00623CE9"/>
    <w:rsid w:val="00627C9F"/>
    <w:rsid w:val="006311E9"/>
    <w:rsid w:val="006313C1"/>
    <w:rsid w:val="00632354"/>
    <w:rsid w:val="00635421"/>
    <w:rsid w:val="00642810"/>
    <w:rsid w:val="006435E6"/>
    <w:rsid w:val="00644AB0"/>
    <w:rsid w:val="00652333"/>
    <w:rsid w:val="006526C7"/>
    <w:rsid w:val="00654B20"/>
    <w:rsid w:val="00663BBF"/>
    <w:rsid w:val="00675601"/>
    <w:rsid w:val="00677AEF"/>
    <w:rsid w:val="0068009E"/>
    <w:rsid w:val="00685487"/>
    <w:rsid w:val="00685879"/>
    <w:rsid w:val="00690D4F"/>
    <w:rsid w:val="00692219"/>
    <w:rsid w:val="006A0412"/>
    <w:rsid w:val="006A17D2"/>
    <w:rsid w:val="006A35AE"/>
    <w:rsid w:val="006A73E6"/>
    <w:rsid w:val="006B0683"/>
    <w:rsid w:val="006B2D5C"/>
    <w:rsid w:val="006B5697"/>
    <w:rsid w:val="006C01D0"/>
    <w:rsid w:val="006C052C"/>
    <w:rsid w:val="006C0B4F"/>
    <w:rsid w:val="006C0ECF"/>
    <w:rsid w:val="006C4EB1"/>
    <w:rsid w:val="006C5773"/>
    <w:rsid w:val="006C6712"/>
    <w:rsid w:val="006D0BCB"/>
    <w:rsid w:val="006D357F"/>
    <w:rsid w:val="006E0166"/>
    <w:rsid w:val="006E2B66"/>
    <w:rsid w:val="006E2FFB"/>
    <w:rsid w:val="006E33FF"/>
    <w:rsid w:val="006E7B34"/>
    <w:rsid w:val="006F106D"/>
    <w:rsid w:val="006F13C0"/>
    <w:rsid w:val="006F1B62"/>
    <w:rsid w:val="00700237"/>
    <w:rsid w:val="0070526B"/>
    <w:rsid w:val="0070697F"/>
    <w:rsid w:val="00707530"/>
    <w:rsid w:val="007103C4"/>
    <w:rsid w:val="0072199C"/>
    <w:rsid w:val="00722C9F"/>
    <w:rsid w:val="00722E53"/>
    <w:rsid w:val="00723712"/>
    <w:rsid w:val="007253B8"/>
    <w:rsid w:val="007255AE"/>
    <w:rsid w:val="007311D7"/>
    <w:rsid w:val="00732E5A"/>
    <w:rsid w:val="0073741F"/>
    <w:rsid w:val="00746C2D"/>
    <w:rsid w:val="00750644"/>
    <w:rsid w:val="00752687"/>
    <w:rsid w:val="00763773"/>
    <w:rsid w:val="00766147"/>
    <w:rsid w:val="007661D6"/>
    <w:rsid w:val="0076643F"/>
    <w:rsid w:val="007723CD"/>
    <w:rsid w:val="00777F63"/>
    <w:rsid w:val="00783B7D"/>
    <w:rsid w:val="00785D85"/>
    <w:rsid w:val="007929B3"/>
    <w:rsid w:val="00793C0F"/>
    <w:rsid w:val="0079673E"/>
    <w:rsid w:val="007A32C1"/>
    <w:rsid w:val="007A5817"/>
    <w:rsid w:val="007A58E9"/>
    <w:rsid w:val="007A5DFA"/>
    <w:rsid w:val="007A7B11"/>
    <w:rsid w:val="007B05C4"/>
    <w:rsid w:val="007B60E9"/>
    <w:rsid w:val="007B6CC3"/>
    <w:rsid w:val="007B76D3"/>
    <w:rsid w:val="007C3334"/>
    <w:rsid w:val="007C4634"/>
    <w:rsid w:val="007D2B98"/>
    <w:rsid w:val="007D3AEC"/>
    <w:rsid w:val="007D6C3F"/>
    <w:rsid w:val="007E1FFD"/>
    <w:rsid w:val="007E21BC"/>
    <w:rsid w:val="007E7C82"/>
    <w:rsid w:val="007F2AA1"/>
    <w:rsid w:val="007F588D"/>
    <w:rsid w:val="00803F1C"/>
    <w:rsid w:val="0080600E"/>
    <w:rsid w:val="00806A9A"/>
    <w:rsid w:val="00806AA1"/>
    <w:rsid w:val="008121FB"/>
    <w:rsid w:val="008128ED"/>
    <w:rsid w:val="00814688"/>
    <w:rsid w:val="00817612"/>
    <w:rsid w:val="00823965"/>
    <w:rsid w:val="008338A4"/>
    <w:rsid w:val="008338E6"/>
    <w:rsid w:val="00833C89"/>
    <w:rsid w:val="00834D49"/>
    <w:rsid w:val="00837B89"/>
    <w:rsid w:val="00837C45"/>
    <w:rsid w:val="00841AC2"/>
    <w:rsid w:val="00844730"/>
    <w:rsid w:val="008457C2"/>
    <w:rsid w:val="00847869"/>
    <w:rsid w:val="0085421B"/>
    <w:rsid w:val="008552C1"/>
    <w:rsid w:val="00857A82"/>
    <w:rsid w:val="00860220"/>
    <w:rsid w:val="008618A1"/>
    <w:rsid w:val="00862200"/>
    <w:rsid w:val="00864E21"/>
    <w:rsid w:val="00866250"/>
    <w:rsid w:val="00872DA3"/>
    <w:rsid w:val="00873836"/>
    <w:rsid w:val="00874715"/>
    <w:rsid w:val="008751C4"/>
    <w:rsid w:val="00876B6D"/>
    <w:rsid w:val="008828C5"/>
    <w:rsid w:val="00882FD2"/>
    <w:rsid w:val="008846E2"/>
    <w:rsid w:val="00885737"/>
    <w:rsid w:val="00887222"/>
    <w:rsid w:val="00890650"/>
    <w:rsid w:val="00891B07"/>
    <w:rsid w:val="008944DC"/>
    <w:rsid w:val="00897489"/>
    <w:rsid w:val="00897E12"/>
    <w:rsid w:val="008A2751"/>
    <w:rsid w:val="008A7E0F"/>
    <w:rsid w:val="008B0D90"/>
    <w:rsid w:val="008B12F5"/>
    <w:rsid w:val="008B42A7"/>
    <w:rsid w:val="008B4C28"/>
    <w:rsid w:val="008B6D70"/>
    <w:rsid w:val="008C24EC"/>
    <w:rsid w:val="008C3903"/>
    <w:rsid w:val="008C5E2D"/>
    <w:rsid w:val="008C7C1E"/>
    <w:rsid w:val="008D768D"/>
    <w:rsid w:val="008E3759"/>
    <w:rsid w:val="008E3BFE"/>
    <w:rsid w:val="008E55E0"/>
    <w:rsid w:val="008E692D"/>
    <w:rsid w:val="008F1912"/>
    <w:rsid w:val="008F33AB"/>
    <w:rsid w:val="008F4940"/>
    <w:rsid w:val="008F6291"/>
    <w:rsid w:val="008F71CB"/>
    <w:rsid w:val="0090270B"/>
    <w:rsid w:val="009041DC"/>
    <w:rsid w:val="00904B72"/>
    <w:rsid w:val="00917B5A"/>
    <w:rsid w:val="00920A58"/>
    <w:rsid w:val="00920A8C"/>
    <w:rsid w:val="00924CF8"/>
    <w:rsid w:val="00925F4C"/>
    <w:rsid w:val="00934A2C"/>
    <w:rsid w:val="00955EB7"/>
    <w:rsid w:val="0096549B"/>
    <w:rsid w:val="00966F8A"/>
    <w:rsid w:val="0096706E"/>
    <w:rsid w:val="0097000B"/>
    <w:rsid w:val="00970228"/>
    <w:rsid w:val="00971C9E"/>
    <w:rsid w:val="00971E51"/>
    <w:rsid w:val="009742BA"/>
    <w:rsid w:val="00974491"/>
    <w:rsid w:val="00975C4E"/>
    <w:rsid w:val="00981FBA"/>
    <w:rsid w:val="00987D80"/>
    <w:rsid w:val="00991CFF"/>
    <w:rsid w:val="00993B22"/>
    <w:rsid w:val="00994934"/>
    <w:rsid w:val="00997BC5"/>
    <w:rsid w:val="009A3197"/>
    <w:rsid w:val="009A4ECD"/>
    <w:rsid w:val="009A4F41"/>
    <w:rsid w:val="009A56CE"/>
    <w:rsid w:val="009B35FB"/>
    <w:rsid w:val="009B381B"/>
    <w:rsid w:val="009B5AED"/>
    <w:rsid w:val="009D1753"/>
    <w:rsid w:val="009D7611"/>
    <w:rsid w:val="009E0B61"/>
    <w:rsid w:val="009E265C"/>
    <w:rsid w:val="009E2A5F"/>
    <w:rsid w:val="009E507B"/>
    <w:rsid w:val="009E53DE"/>
    <w:rsid w:val="009E6FE1"/>
    <w:rsid w:val="00A047AF"/>
    <w:rsid w:val="00A11212"/>
    <w:rsid w:val="00A11E44"/>
    <w:rsid w:val="00A15562"/>
    <w:rsid w:val="00A15E7C"/>
    <w:rsid w:val="00A16262"/>
    <w:rsid w:val="00A22E09"/>
    <w:rsid w:val="00A30100"/>
    <w:rsid w:val="00A3028C"/>
    <w:rsid w:val="00A328B3"/>
    <w:rsid w:val="00A35CD4"/>
    <w:rsid w:val="00A4036F"/>
    <w:rsid w:val="00A42D4A"/>
    <w:rsid w:val="00A50FCF"/>
    <w:rsid w:val="00A528D1"/>
    <w:rsid w:val="00A542BB"/>
    <w:rsid w:val="00A5622E"/>
    <w:rsid w:val="00A610CD"/>
    <w:rsid w:val="00A71936"/>
    <w:rsid w:val="00A71C5B"/>
    <w:rsid w:val="00A7450A"/>
    <w:rsid w:val="00A758AA"/>
    <w:rsid w:val="00A77804"/>
    <w:rsid w:val="00A80567"/>
    <w:rsid w:val="00A82C19"/>
    <w:rsid w:val="00A83051"/>
    <w:rsid w:val="00A87680"/>
    <w:rsid w:val="00A90ECD"/>
    <w:rsid w:val="00A94AEA"/>
    <w:rsid w:val="00A9679B"/>
    <w:rsid w:val="00A972E0"/>
    <w:rsid w:val="00AA09A2"/>
    <w:rsid w:val="00AA3299"/>
    <w:rsid w:val="00AA441F"/>
    <w:rsid w:val="00AA7996"/>
    <w:rsid w:val="00AC19CB"/>
    <w:rsid w:val="00AC5C22"/>
    <w:rsid w:val="00AC6A6F"/>
    <w:rsid w:val="00AC76AC"/>
    <w:rsid w:val="00AD2C80"/>
    <w:rsid w:val="00AE226D"/>
    <w:rsid w:val="00AE2561"/>
    <w:rsid w:val="00AE5488"/>
    <w:rsid w:val="00AE6F91"/>
    <w:rsid w:val="00AF11A5"/>
    <w:rsid w:val="00AF5571"/>
    <w:rsid w:val="00B04818"/>
    <w:rsid w:val="00B04860"/>
    <w:rsid w:val="00B06471"/>
    <w:rsid w:val="00B07341"/>
    <w:rsid w:val="00B076A6"/>
    <w:rsid w:val="00B1477E"/>
    <w:rsid w:val="00B2639B"/>
    <w:rsid w:val="00B26D2A"/>
    <w:rsid w:val="00B30539"/>
    <w:rsid w:val="00B314DB"/>
    <w:rsid w:val="00B314EB"/>
    <w:rsid w:val="00B34377"/>
    <w:rsid w:val="00B35D27"/>
    <w:rsid w:val="00B361F2"/>
    <w:rsid w:val="00B3718B"/>
    <w:rsid w:val="00B3745F"/>
    <w:rsid w:val="00B4143C"/>
    <w:rsid w:val="00B4632A"/>
    <w:rsid w:val="00B530F1"/>
    <w:rsid w:val="00B574A9"/>
    <w:rsid w:val="00B57C95"/>
    <w:rsid w:val="00B615BB"/>
    <w:rsid w:val="00B61D56"/>
    <w:rsid w:val="00B74A3F"/>
    <w:rsid w:val="00B770CD"/>
    <w:rsid w:val="00B771B1"/>
    <w:rsid w:val="00B84C20"/>
    <w:rsid w:val="00B93D7F"/>
    <w:rsid w:val="00B9755C"/>
    <w:rsid w:val="00BA276C"/>
    <w:rsid w:val="00BB019D"/>
    <w:rsid w:val="00BB306F"/>
    <w:rsid w:val="00BB3493"/>
    <w:rsid w:val="00BB54A6"/>
    <w:rsid w:val="00BC2BFE"/>
    <w:rsid w:val="00BD0FF5"/>
    <w:rsid w:val="00BD47A9"/>
    <w:rsid w:val="00BD4B00"/>
    <w:rsid w:val="00BD4B89"/>
    <w:rsid w:val="00BD5922"/>
    <w:rsid w:val="00BE15CE"/>
    <w:rsid w:val="00BE2E8E"/>
    <w:rsid w:val="00BE4F0E"/>
    <w:rsid w:val="00BE567E"/>
    <w:rsid w:val="00BE5990"/>
    <w:rsid w:val="00BF02CB"/>
    <w:rsid w:val="00BF1DC6"/>
    <w:rsid w:val="00BF3CCE"/>
    <w:rsid w:val="00BF6FD8"/>
    <w:rsid w:val="00BF7595"/>
    <w:rsid w:val="00C0140C"/>
    <w:rsid w:val="00C03680"/>
    <w:rsid w:val="00C045F2"/>
    <w:rsid w:val="00C0468C"/>
    <w:rsid w:val="00C054DF"/>
    <w:rsid w:val="00C07578"/>
    <w:rsid w:val="00C11D5D"/>
    <w:rsid w:val="00C214B5"/>
    <w:rsid w:val="00C21762"/>
    <w:rsid w:val="00C21FEF"/>
    <w:rsid w:val="00C23085"/>
    <w:rsid w:val="00C23BA4"/>
    <w:rsid w:val="00C24543"/>
    <w:rsid w:val="00C256A2"/>
    <w:rsid w:val="00C25ADB"/>
    <w:rsid w:val="00C3603F"/>
    <w:rsid w:val="00C40CB2"/>
    <w:rsid w:val="00C42413"/>
    <w:rsid w:val="00C4251D"/>
    <w:rsid w:val="00C44542"/>
    <w:rsid w:val="00C46ABA"/>
    <w:rsid w:val="00C51515"/>
    <w:rsid w:val="00C52750"/>
    <w:rsid w:val="00C5660B"/>
    <w:rsid w:val="00C66B72"/>
    <w:rsid w:val="00C762F1"/>
    <w:rsid w:val="00C805C6"/>
    <w:rsid w:val="00C83624"/>
    <w:rsid w:val="00C85A36"/>
    <w:rsid w:val="00C87AC4"/>
    <w:rsid w:val="00C9142E"/>
    <w:rsid w:val="00C9567A"/>
    <w:rsid w:val="00CA68A6"/>
    <w:rsid w:val="00CA6942"/>
    <w:rsid w:val="00CA7D92"/>
    <w:rsid w:val="00CB1D6D"/>
    <w:rsid w:val="00CB212D"/>
    <w:rsid w:val="00CB2660"/>
    <w:rsid w:val="00CB2BF4"/>
    <w:rsid w:val="00CC460D"/>
    <w:rsid w:val="00CC5E90"/>
    <w:rsid w:val="00CD046C"/>
    <w:rsid w:val="00CD5768"/>
    <w:rsid w:val="00CD5B20"/>
    <w:rsid w:val="00CD701A"/>
    <w:rsid w:val="00CE076C"/>
    <w:rsid w:val="00CE3588"/>
    <w:rsid w:val="00CE5199"/>
    <w:rsid w:val="00CE66D5"/>
    <w:rsid w:val="00CF4F18"/>
    <w:rsid w:val="00CF637A"/>
    <w:rsid w:val="00D0055C"/>
    <w:rsid w:val="00D059DE"/>
    <w:rsid w:val="00D05ABD"/>
    <w:rsid w:val="00D0759C"/>
    <w:rsid w:val="00D12279"/>
    <w:rsid w:val="00D13FCE"/>
    <w:rsid w:val="00D14191"/>
    <w:rsid w:val="00D175F3"/>
    <w:rsid w:val="00D22508"/>
    <w:rsid w:val="00D306D1"/>
    <w:rsid w:val="00D306FA"/>
    <w:rsid w:val="00D30800"/>
    <w:rsid w:val="00D34786"/>
    <w:rsid w:val="00D37BFC"/>
    <w:rsid w:val="00D41D88"/>
    <w:rsid w:val="00D459A8"/>
    <w:rsid w:val="00D466E5"/>
    <w:rsid w:val="00D47A8E"/>
    <w:rsid w:val="00D52D14"/>
    <w:rsid w:val="00D55656"/>
    <w:rsid w:val="00D56276"/>
    <w:rsid w:val="00D66624"/>
    <w:rsid w:val="00D712D3"/>
    <w:rsid w:val="00D71422"/>
    <w:rsid w:val="00D71F74"/>
    <w:rsid w:val="00D72DC6"/>
    <w:rsid w:val="00D7558D"/>
    <w:rsid w:val="00D75A04"/>
    <w:rsid w:val="00D81D92"/>
    <w:rsid w:val="00D82D24"/>
    <w:rsid w:val="00D876F9"/>
    <w:rsid w:val="00D92E0C"/>
    <w:rsid w:val="00D94B3C"/>
    <w:rsid w:val="00DA3399"/>
    <w:rsid w:val="00DA7B5F"/>
    <w:rsid w:val="00DB1B58"/>
    <w:rsid w:val="00DB2C56"/>
    <w:rsid w:val="00DB382E"/>
    <w:rsid w:val="00DB3C0C"/>
    <w:rsid w:val="00DB4376"/>
    <w:rsid w:val="00DB4937"/>
    <w:rsid w:val="00DB4F24"/>
    <w:rsid w:val="00DB6BA3"/>
    <w:rsid w:val="00DC11E7"/>
    <w:rsid w:val="00DC24E3"/>
    <w:rsid w:val="00DC3FEC"/>
    <w:rsid w:val="00DC58D9"/>
    <w:rsid w:val="00DC7023"/>
    <w:rsid w:val="00DC769A"/>
    <w:rsid w:val="00DC776D"/>
    <w:rsid w:val="00DC7F8C"/>
    <w:rsid w:val="00DD3D86"/>
    <w:rsid w:val="00DD4AD2"/>
    <w:rsid w:val="00DD6B51"/>
    <w:rsid w:val="00DE2862"/>
    <w:rsid w:val="00DE480D"/>
    <w:rsid w:val="00DF1EC4"/>
    <w:rsid w:val="00DF3C75"/>
    <w:rsid w:val="00DF7E46"/>
    <w:rsid w:val="00E015C2"/>
    <w:rsid w:val="00E02907"/>
    <w:rsid w:val="00E0340B"/>
    <w:rsid w:val="00E0381D"/>
    <w:rsid w:val="00E04A90"/>
    <w:rsid w:val="00E0551F"/>
    <w:rsid w:val="00E219C7"/>
    <w:rsid w:val="00E2256A"/>
    <w:rsid w:val="00E24FD3"/>
    <w:rsid w:val="00E33FE5"/>
    <w:rsid w:val="00E4118C"/>
    <w:rsid w:val="00E43157"/>
    <w:rsid w:val="00E44C71"/>
    <w:rsid w:val="00E461CE"/>
    <w:rsid w:val="00E504E2"/>
    <w:rsid w:val="00E56A76"/>
    <w:rsid w:val="00E56CC4"/>
    <w:rsid w:val="00E573E4"/>
    <w:rsid w:val="00E64C3D"/>
    <w:rsid w:val="00E656B8"/>
    <w:rsid w:val="00E720CA"/>
    <w:rsid w:val="00E74F33"/>
    <w:rsid w:val="00E75259"/>
    <w:rsid w:val="00E82BC8"/>
    <w:rsid w:val="00E84EB5"/>
    <w:rsid w:val="00E85662"/>
    <w:rsid w:val="00E8789F"/>
    <w:rsid w:val="00E91740"/>
    <w:rsid w:val="00E9267B"/>
    <w:rsid w:val="00E95DDB"/>
    <w:rsid w:val="00E96580"/>
    <w:rsid w:val="00E97B71"/>
    <w:rsid w:val="00EA3D34"/>
    <w:rsid w:val="00EB333A"/>
    <w:rsid w:val="00EB454D"/>
    <w:rsid w:val="00EB7EA6"/>
    <w:rsid w:val="00EC37EF"/>
    <w:rsid w:val="00EC387D"/>
    <w:rsid w:val="00EC58E8"/>
    <w:rsid w:val="00ED2DD7"/>
    <w:rsid w:val="00ED549D"/>
    <w:rsid w:val="00ED5941"/>
    <w:rsid w:val="00ED5E10"/>
    <w:rsid w:val="00ED76BE"/>
    <w:rsid w:val="00EE00E9"/>
    <w:rsid w:val="00EF1AAA"/>
    <w:rsid w:val="00EF4CAA"/>
    <w:rsid w:val="00EF619B"/>
    <w:rsid w:val="00F00B55"/>
    <w:rsid w:val="00F02AD1"/>
    <w:rsid w:val="00F0489E"/>
    <w:rsid w:val="00F06ED7"/>
    <w:rsid w:val="00F253CC"/>
    <w:rsid w:val="00F262BE"/>
    <w:rsid w:val="00F262D6"/>
    <w:rsid w:val="00F328AC"/>
    <w:rsid w:val="00F332CE"/>
    <w:rsid w:val="00F36C52"/>
    <w:rsid w:val="00F37106"/>
    <w:rsid w:val="00F404B1"/>
    <w:rsid w:val="00F444C5"/>
    <w:rsid w:val="00F44E25"/>
    <w:rsid w:val="00F519CF"/>
    <w:rsid w:val="00F56A93"/>
    <w:rsid w:val="00F56BA5"/>
    <w:rsid w:val="00F56ECB"/>
    <w:rsid w:val="00F60E22"/>
    <w:rsid w:val="00F6519E"/>
    <w:rsid w:val="00F65732"/>
    <w:rsid w:val="00F670DE"/>
    <w:rsid w:val="00F73720"/>
    <w:rsid w:val="00F81395"/>
    <w:rsid w:val="00F81BB8"/>
    <w:rsid w:val="00F82FDF"/>
    <w:rsid w:val="00F85A5A"/>
    <w:rsid w:val="00F867FF"/>
    <w:rsid w:val="00F90C64"/>
    <w:rsid w:val="00F917D1"/>
    <w:rsid w:val="00F91E88"/>
    <w:rsid w:val="00F9653B"/>
    <w:rsid w:val="00F968BF"/>
    <w:rsid w:val="00FA3D85"/>
    <w:rsid w:val="00FB2EB3"/>
    <w:rsid w:val="00FB430F"/>
    <w:rsid w:val="00FB62CF"/>
    <w:rsid w:val="00FB705D"/>
    <w:rsid w:val="00FD2095"/>
    <w:rsid w:val="00FD3C3B"/>
    <w:rsid w:val="00FD601A"/>
    <w:rsid w:val="00FE0049"/>
    <w:rsid w:val="00FE057E"/>
    <w:rsid w:val="00FE07DD"/>
    <w:rsid w:val="00FE0D9C"/>
    <w:rsid w:val="00FE6B45"/>
    <w:rsid w:val="00FE6D6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DB6BA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E2256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4F246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qFormat/>
    <w:rsid w:val="004F246D"/>
    <w:pPr>
      <w:numPr>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styleId="CommentReference">
    <w:name w:val="annotation reference"/>
    <w:basedOn w:val="DefaultParagraphFont"/>
    <w:uiPriority w:val="99"/>
    <w:semiHidden/>
    <w:unhideWhenUsed/>
    <w:rsid w:val="00A82C19"/>
    <w:rPr>
      <w:sz w:val="16"/>
      <w:szCs w:val="16"/>
    </w:rPr>
  </w:style>
  <w:style w:type="paragraph" w:styleId="CommentText">
    <w:name w:val="annotation text"/>
    <w:basedOn w:val="Normal"/>
    <w:link w:val="CommentTextChar"/>
    <w:uiPriority w:val="99"/>
    <w:semiHidden/>
    <w:unhideWhenUsed/>
    <w:rsid w:val="00A82C19"/>
    <w:rPr>
      <w:sz w:val="20"/>
      <w:szCs w:val="20"/>
    </w:rPr>
  </w:style>
  <w:style w:type="character" w:customStyle="1" w:styleId="CommentTextChar">
    <w:name w:val="Comment Text Char"/>
    <w:basedOn w:val="DefaultParagraphFont"/>
    <w:link w:val="CommentText"/>
    <w:uiPriority w:val="99"/>
    <w:semiHidden/>
    <w:rsid w:val="00A82C19"/>
    <w:rPr>
      <w:lang w:val="en-US" w:eastAsia="en-US"/>
    </w:rPr>
  </w:style>
  <w:style w:type="paragraph" w:styleId="CommentSubject">
    <w:name w:val="annotation subject"/>
    <w:basedOn w:val="CommentText"/>
    <w:next w:val="CommentText"/>
    <w:link w:val="CommentSubjectChar"/>
    <w:uiPriority w:val="99"/>
    <w:semiHidden/>
    <w:unhideWhenUsed/>
    <w:rsid w:val="00A82C19"/>
    <w:rPr>
      <w:b/>
      <w:bCs/>
    </w:rPr>
  </w:style>
  <w:style w:type="character" w:customStyle="1" w:styleId="CommentSubjectChar">
    <w:name w:val="Comment Subject Char"/>
    <w:basedOn w:val="CommentTextChar"/>
    <w:link w:val="CommentSubject"/>
    <w:uiPriority w:val="99"/>
    <w:semiHidden/>
    <w:rsid w:val="00A82C19"/>
    <w:rPr>
      <w:b/>
      <w:bCs/>
      <w:lang w:val="en-US" w:eastAsia="en-US"/>
    </w:rPr>
  </w:style>
  <w:style w:type="paragraph" w:styleId="Revision">
    <w:name w:val="Revision"/>
    <w:hidden/>
    <w:uiPriority w:val="99"/>
    <w:semiHidden/>
    <w:rsid w:val="00EC387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ED59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D5941"/>
  </w:style>
  <w:style w:type="character" w:customStyle="1" w:styleId="eop">
    <w:name w:val="eop"/>
    <w:basedOn w:val="DefaultParagraphFont"/>
    <w:rsid w:val="00ED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872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6996"/>
    <w:rsid w:val="0016755C"/>
    <w:rsid w:val="00200821"/>
    <w:rsid w:val="0025245B"/>
    <w:rsid w:val="002A3923"/>
    <w:rsid w:val="00394049"/>
    <w:rsid w:val="003B0C71"/>
    <w:rsid w:val="004B5BBB"/>
    <w:rsid w:val="004F2DF8"/>
    <w:rsid w:val="00517E2A"/>
    <w:rsid w:val="006D3128"/>
    <w:rsid w:val="006F24A1"/>
    <w:rsid w:val="007914FF"/>
    <w:rsid w:val="00875B8A"/>
    <w:rsid w:val="008953BC"/>
    <w:rsid w:val="00944013"/>
    <w:rsid w:val="009A261B"/>
    <w:rsid w:val="00A94AEA"/>
    <w:rsid w:val="00AA2E17"/>
    <w:rsid w:val="00AC15A4"/>
    <w:rsid w:val="00B0336C"/>
    <w:rsid w:val="00B754DD"/>
    <w:rsid w:val="00C60155"/>
    <w:rsid w:val="00D241E9"/>
    <w:rsid w:val="00D7750D"/>
    <w:rsid w:val="00DD6B51"/>
    <w:rsid w:val="00EF4CAA"/>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3815</Words>
  <Characters>21750</Characters>
  <Application>Microsoft Office Word</Application>
  <DocSecurity>0</DocSecurity>
  <Lines>181</Lines>
  <Paragraphs>51</Paragraphs>
  <ScaleCrop>false</ScaleCrop>
  <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2024-07-15T13:21:00Z</dcterms:created>
  <dcterms:modified xsi:type="dcterms:W3CDTF">2024-07-15T13:21:00Z</dcterms:modified>
</cp:coreProperties>
</file>