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0"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25656E3E">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10440F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58244"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1"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D1CDEC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05CDD">
                              <w:rPr>
                                <w:rFonts w:asciiTheme="majorHAnsi" w:hAnsiTheme="majorHAnsi" w:cs="Arial"/>
                                <w:b/>
                                <w:bCs/>
                                <w:color w:val="0D0D0D" w:themeColor="text1" w:themeTint="F2"/>
                                <w:sz w:val="36"/>
                                <w:szCs w:val="22"/>
                                <w:lang w:val="es-ES_tradnl"/>
                              </w:rPr>
                              <w:t>23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64059A">
                              <w:rPr>
                                <w:rFonts w:asciiTheme="majorHAnsi" w:hAnsiTheme="majorHAnsi" w:cs="Arial"/>
                                <w:b/>
                                <w:bCs/>
                                <w:color w:val="0D0D0D" w:themeColor="text1" w:themeTint="F2"/>
                                <w:sz w:val="36"/>
                                <w:szCs w:val="22"/>
                                <w:lang w:val="es-ES_tradnl"/>
                              </w:rPr>
                              <w:t>4</w:t>
                            </w:r>
                          </w:p>
                          <w:p w14:paraId="09C54AB3" w14:textId="40E9DB0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E7866">
                              <w:rPr>
                                <w:rFonts w:asciiTheme="majorHAnsi" w:hAnsiTheme="majorHAnsi" w:cs="Arial"/>
                                <w:b/>
                                <w:color w:val="0D0D0D" w:themeColor="text1" w:themeTint="F2"/>
                                <w:sz w:val="36"/>
                                <w:szCs w:val="22"/>
                                <w:lang w:val="es-ES_tradnl"/>
                              </w:rPr>
                              <w:t>1176</w:t>
                            </w:r>
                            <w:r w:rsidR="00246D1F" w:rsidRPr="004E2649">
                              <w:rPr>
                                <w:rFonts w:asciiTheme="majorHAnsi" w:hAnsiTheme="majorHAnsi" w:cs="Arial"/>
                                <w:b/>
                                <w:color w:val="0D0D0D" w:themeColor="text1" w:themeTint="F2"/>
                                <w:sz w:val="36"/>
                                <w:szCs w:val="22"/>
                                <w:lang w:val="es-ES_tradnl"/>
                              </w:rPr>
                              <w:t>-</w:t>
                            </w:r>
                            <w:r w:rsidR="001A6A9B">
                              <w:rPr>
                                <w:rFonts w:asciiTheme="majorHAnsi" w:hAnsiTheme="majorHAnsi" w:cs="Arial"/>
                                <w:b/>
                                <w:color w:val="0D0D0D" w:themeColor="text1" w:themeTint="F2"/>
                                <w:sz w:val="36"/>
                                <w:szCs w:val="22"/>
                                <w:lang w:val="es-ES_tradnl"/>
                              </w:rPr>
                              <w:t>0</w:t>
                            </w:r>
                            <w:r w:rsidR="004F148A">
                              <w:rPr>
                                <w:rFonts w:asciiTheme="majorHAnsi" w:hAnsiTheme="majorHAnsi" w:cs="Arial"/>
                                <w:b/>
                                <w:color w:val="0D0D0D" w:themeColor="text1" w:themeTint="F2"/>
                                <w:sz w:val="36"/>
                                <w:szCs w:val="22"/>
                                <w:lang w:val="es-ES_tradnl"/>
                              </w:rPr>
                              <w:t>7</w:t>
                            </w:r>
                            <w:r w:rsidR="00246D1F" w:rsidRPr="004E2649">
                              <w:rPr>
                                <w:rFonts w:asciiTheme="majorHAnsi" w:hAnsiTheme="majorHAnsi" w:cs="Arial"/>
                                <w:b/>
                                <w:color w:val="0D0D0D" w:themeColor="text1" w:themeTint="F2"/>
                                <w:sz w:val="36"/>
                                <w:szCs w:val="22"/>
                                <w:lang w:val="es-ES_tradnl"/>
                              </w:rPr>
                              <w:t xml:space="preserve"> </w:t>
                            </w:r>
                          </w:p>
                          <w:p w14:paraId="70CF6833" w14:textId="1BDD8D8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16A8D28E" w:rsidR="005B52B0" w:rsidRPr="0010736F" w:rsidRDefault="0064059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GABRIEL PASCUAL DEL ROSARIO Y OTROS</w:t>
                            </w:r>
                          </w:p>
                          <w:bookmarkEnd w:id="0"/>
                          <w:p w14:paraId="575DFD52" w14:textId="63BBC458" w:rsidR="005B52B0" w:rsidRPr="00AE5488" w:rsidRDefault="00EA4698" w:rsidP="007A5817">
                            <w:pPr>
                              <w:rPr>
                                <w:color w:val="0D0D0D" w:themeColor="text1" w:themeTint="F2"/>
                                <w:lang w:val="es-ES_tradnl"/>
                              </w:rPr>
                            </w:pPr>
                            <w:r>
                              <w:rPr>
                                <w:rFonts w:asciiTheme="majorHAnsi" w:hAnsiTheme="majorHAnsi" w:cs="Arial"/>
                                <w:color w:val="0D0D0D" w:themeColor="text1" w:themeTint="F2"/>
                                <w:szCs w:val="22"/>
                                <w:lang w:val="es-ES_tradnl"/>
                              </w:rPr>
                              <w:t>PANAMÁ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4D1CDEC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05CDD">
                        <w:rPr>
                          <w:rFonts w:asciiTheme="majorHAnsi" w:hAnsiTheme="majorHAnsi" w:cs="Arial"/>
                          <w:b/>
                          <w:bCs/>
                          <w:color w:val="0D0D0D" w:themeColor="text1" w:themeTint="F2"/>
                          <w:sz w:val="36"/>
                          <w:szCs w:val="22"/>
                          <w:lang w:val="es-ES_tradnl"/>
                        </w:rPr>
                        <w:t>23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64059A">
                        <w:rPr>
                          <w:rFonts w:asciiTheme="majorHAnsi" w:hAnsiTheme="majorHAnsi" w:cs="Arial"/>
                          <w:b/>
                          <w:bCs/>
                          <w:color w:val="0D0D0D" w:themeColor="text1" w:themeTint="F2"/>
                          <w:sz w:val="36"/>
                          <w:szCs w:val="22"/>
                          <w:lang w:val="es-ES_tradnl"/>
                        </w:rPr>
                        <w:t>4</w:t>
                      </w:r>
                    </w:p>
                    <w:p w14:paraId="09C54AB3" w14:textId="40E9DB0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E7866">
                        <w:rPr>
                          <w:rFonts w:asciiTheme="majorHAnsi" w:hAnsiTheme="majorHAnsi" w:cs="Arial"/>
                          <w:b/>
                          <w:color w:val="0D0D0D" w:themeColor="text1" w:themeTint="F2"/>
                          <w:sz w:val="36"/>
                          <w:szCs w:val="22"/>
                          <w:lang w:val="es-ES_tradnl"/>
                        </w:rPr>
                        <w:t>1176</w:t>
                      </w:r>
                      <w:r w:rsidR="00246D1F" w:rsidRPr="004E2649">
                        <w:rPr>
                          <w:rFonts w:asciiTheme="majorHAnsi" w:hAnsiTheme="majorHAnsi" w:cs="Arial"/>
                          <w:b/>
                          <w:color w:val="0D0D0D" w:themeColor="text1" w:themeTint="F2"/>
                          <w:sz w:val="36"/>
                          <w:szCs w:val="22"/>
                          <w:lang w:val="es-ES_tradnl"/>
                        </w:rPr>
                        <w:t>-</w:t>
                      </w:r>
                      <w:r w:rsidR="001A6A9B">
                        <w:rPr>
                          <w:rFonts w:asciiTheme="majorHAnsi" w:hAnsiTheme="majorHAnsi" w:cs="Arial"/>
                          <w:b/>
                          <w:color w:val="0D0D0D" w:themeColor="text1" w:themeTint="F2"/>
                          <w:sz w:val="36"/>
                          <w:szCs w:val="22"/>
                          <w:lang w:val="es-ES_tradnl"/>
                        </w:rPr>
                        <w:t>0</w:t>
                      </w:r>
                      <w:r w:rsidR="004F148A">
                        <w:rPr>
                          <w:rFonts w:asciiTheme="majorHAnsi" w:hAnsiTheme="majorHAnsi" w:cs="Arial"/>
                          <w:b/>
                          <w:color w:val="0D0D0D" w:themeColor="text1" w:themeTint="F2"/>
                          <w:sz w:val="36"/>
                          <w:szCs w:val="22"/>
                          <w:lang w:val="es-ES_tradnl"/>
                        </w:rPr>
                        <w:t>7</w:t>
                      </w:r>
                      <w:r w:rsidR="00246D1F" w:rsidRPr="004E2649">
                        <w:rPr>
                          <w:rFonts w:asciiTheme="majorHAnsi" w:hAnsiTheme="majorHAnsi" w:cs="Arial"/>
                          <w:b/>
                          <w:color w:val="0D0D0D" w:themeColor="text1" w:themeTint="F2"/>
                          <w:sz w:val="36"/>
                          <w:szCs w:val="22"/>
                          <w:lang w:val="es-ES_tradnl"/>
                        </w:rPr>
                        <w:t xml:space="preserve"> </w:t>
                      </w:r>
                    </w:p>
                    <w:p w14:paraId="70CF6833" w14:textId="1BDD8D8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16A8D28E" w:rsidR="005B52B0" w:rsidRPr="0010736F" w:rsidRDefault="0064059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GABRIEL PASCUAL DEL ROSARIO Y OTROS</w:t>
                      </w:r>
                    </w:p>
                    <w:bookmarkEnd w:id="1"/>
                    <w:p w14:paraId="575DFD52" w14:textId="63BBC458" w:rsidR="005B52B0" w:rsidRPr="00AE5488" w:rsidRDefault="00EA4698" w:rsidP="007A5817">
                      <w:pPr>
                        <w:rPr>
                          <w:color w:val="0D0D0D" w:themeColor="text1" w:themeTint="F2"/>
                          <w:lang w:val="es-ES_tradnl"/>
                        </w:rPr>
                      </w:pPr>
                      <w:r>
                        <w:rPr>
                          <w:rFonts w:asciiTheme="majorHAnsi" w:hAnsiTheme="majorHAnsi" w:cs="Arial"/>
                          <w:color w:val="0D0D0D" w:themeColor="text1" w:themeTint="F2"/>
                          <w:szCs w:val="22"/>
                          <w:lang w:val="es-ES_tradnl"/>
                        </w:rPr>
                        <w:t>PANAMÁ</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58243"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0EEE3CA" w:rsidR="00627C9F" w:rsidRPr="0085238B" w:rsidRDefault="00834D49" w:rsidP="007A5817">
                            <w:pPr>
                              <w:spacing w:line="276" w:lineRule="auto"/>
                              <w:jc w:val="right"/>
                              <w:rPr>
                                <w:rFonts w:asciiTheme="minorHAnsi" w:hAnsiTheme="minorHAnsi"/>
                                <w:color w:val="FFFFFF" w:themeColor="background1"/>
                                <w:sz w:val="22"/>
                                <w:lang w:val="es-ES"/>
                              </w:rPr>
                            </w:pPr>
                            <w:r w:rsidRPr="0085238B">
                              <w:rPr>
                                <w:rFonts w:asciiTheme="minorHAnsi" w:hAnsiTheme="minorHAnsi"/>
                                <w:color w:val="FFFFFF" w:themeColor="background1"/>
                                <w:sz w:val="22"/>
                                <w:lang w:val="es-ES"/>
                              </w:rPr>
                              <w:t>OEA/Ser.L/V/II</w:t>
                            </w:r>
                          </w:p>
                          <w:p w14:paraId="6A41611B" w14:textId="68012287" w:rsidR="00627C9F" w:rsidRPr="0085238B" w:rsidRDefault="00627C9F" w:rsidP="007A5817">
                            <w:pPr>
                              <w:spacing w:line="276" w:lineRule="auto"/>
                              <w:jc w:val="right"/>
                              <w:rPr>
                                <w:rFonts w:asciiTheme="minorHAnsi" w:hAnsiTheme="minorHAnsi"/>
                                <w:color w:val="FFFFFF" w:themeColor="background1"/>
                                <w:sz w:val="22"/>
                                <w:lang w:val="es-ES"/>
                              </w:rPr>
                            </w:pPr>
                            <w:r w:rsidRPr="0085238B">
                              <w:rPr>
                                <w:rFonts w:asciiTheme="minorHAnsi" w:hAnsiTheme="minorHAnsi"/>
                                <w:color w:val="FFFFFF" w:themeColor="background1"/>
                                <w:sz w:val="22"/>
                                <w:lang w:val="es-ES"/>
                              </w:rPr>
                              <w:t xml:space="preserve">Doc. </w:t>
                            </w:r>
                            <w:r w:rsidR="00505CDD" w:rsidRPr="0085238B">
                              <w:rPr>
                                <w:rFonts w:asciiTheme="minorHAnsi" w:hAnsiTheme="minorHAnsi"/>
                                <w:color w:val="FFFFFF" w:themeColor="background1"/>
                                <w:sz w:val="22"/>
                                <w:lang w:val="es-ES"/>
                              </w:rPr>
                              <w:t>25</w:t>
                            </w:r>
                          </w:p>
                          <w:p w14:paraId="69373ED2" w14:textId="7A986BA1" w:rsidR="00627C9F" w:rsidRPr="00C25ADB" w:rsidRDefault="00505CD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30 abril</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64059A">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30EEE3CA" w:rsidR="00627C9F" w:rsidRPr="0085238B" w:rsidRDefault="00834D49" w:rsidP="007A5817">
                      <w:pPr>
                        <w:spacing w:line="276" w:lineRule="auto"/>
                        <w:jc w:val="right"/>
                        <w:rPr>
                          <w:rFonts w:asciiTheme="minorHAnsi" w:hAnsiTheme="minorHAnsi"/>
                          <w:color w:val="FFFFFF" w:themeColor="background1"/>
                          <w:sz w:val="22"/>
                          <w:lang w:val="es-ES"/>
                        </w:rPr>
                      </w:pPr>
                      <w:r w:rsidRPr="0085238B">
                        <w:rPr>
                          <w:rFonts w:asciiTheme="minorHAnsi" w:hAnsiTheme="minorHAnsi"/>
                          <w:color w:val="FFFFFF" w:themeColor="background1"/>
                          <w:sz w:val="22"/>
                          <w:lang w:val="es-ES"/>
                        </w:rPr>
                        <w:t>OEA/Ser.L/V/II</w:t>
                      </w:r>
                    </w:p>
                    <w:p w14:paraId="6A41611B" w14:textId="68012287" w:rsidR="00627C9F" w:rsidRPr="0085238B" w:rsidRDefault="00627C9F" w:rsidP="007A5817">
                      <w:pPr>
                        <w:spacing w:line="276" w:lineRule="auto"/>
                        <w:jc w:val="right"/>
                        <w:rPr>
                          <w:rFonts w:asciiTheme="minorHAnsi" w:hAnsiTheme="minorHAnsi"/>
                          <w:color w:val="FFFFFF" w:themeColor="background1"/>
                          <w:sz w:val="22"/>
                          <w:lang w:val="es-ES"/>
                        </w:rPr>
                      </w:pPr>
                      <w:r w:rsidRPr="0085238B">
                        <w:rPr>
                          <w:rFonts w:asciiTheme="minorHAnsi" w:hAnsiTheme="minorHAnsi"/>
                          <w:color w:val="FFFFFF" w:themeColor="background1"/>
                          <w:sz w:val="22"/>
                          <w:lang w:val="es-ES"/>
                        </w:rPr>
                        <w:t xml:space="preserve">Doc. </w:t>
                      </w:r>
                      <w:r w:rsidR="00505CDD" w:rsidRPr="0085238B">
                        <w:rPr>
                          <w:rFonts w:asciiTheme="minorHAnsi" w:hAnsiTheme="minorHAnsi"/>
                          <w:color w:val="FFFFFF" w:themeColor="background1"/>
                          <w:sz w:val="22"/>
                          <w:lang w:val="es-ES"/>
                        </w:rPr>
                        <w:t>25</w:t>
                      </w:r>
                    </w:p>
                    <w:p w14:paraId="69373ED2" w14:textId="7A986BA1" w:rsidR="00627C9F" w:rsidRPr="00C25ADB" w:rsidRDefault="00505CD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30 abril</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64059A">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3B5F501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B7B2A">
                              <w:rPr>
                                <w:rFonts w:asciiTheme="majorHAnsi" w:hAnsiTheme="majorHAnsi"/>
                                <w:color w:val="0D0D0D" w:themeColor="text1" w:themeTint="F2"/>
                                <w:sz w:val="18"/>
                                <w:szCs w:val="22"/>
                                <w:lang w:val="es-ES"/>
                              </w:rPr>
                              <w:t>30</w:t>
                            </w:r>
                            <w:r w:rsidRPr="00890650">
                              <w:rPr>
                                <w:rFonts w:asciiTheme="majorHAnsi" w:hAnsiTheme="majorHAnsi"/>
                                <w:color w:val="0D0D0D" w:themeColor="text1" w:themeTint="F2"/>
                                <w:sz w:val="18"/>
                                <w:szCs w:val="22"/>
                                <w:lang w:val="es-ES"/>
                              </w:rPr>
                              <w:t xml:space="preserve"> de </w:t>
                            </w:r>
                            <w:r w:rsidR="007B7B2A">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4059A">
                              <w:rPr>
                                <w:rFonts w:asciiTheme="majorHAnsi" w:hAnsiTheme="majorHAnsi"/>
                                <w:color w:val="0D0D0D" w:themeColor="text1" w:themeTint="F2"/>
                                <w:sz w:val="18"/>
                                <w:szCs w:val="22"/>
                                <w:lang w:val="es-ES"/>
                              </w:rPr>
                              <w:t>4</w:t>
                            </w:r>
                            <w:r w:rsidR="007B7B2A">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3B5F501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B7B2A">
                        <w:rPr>
                          <w:rFonts w:asciiTheme="majorHAnsi" w:hAnsiTheme="majorHAnsi"/>
                          <w:color w:val="0D0D0D" w:themeColor="text1" w:themeTint="F2"/>
                          <w:sz w:val="18"/>
                          <w:szCs w:val="22"/>
                          <w:lang w:val="es-ES"/>
                        </w:rPr>
                        <w:t>30</w:t>
                      </w:r>
                      <w:r w:rsidRPr="00890650">
                        <w:rPr>
                          <w:rFonts w:asciiTheme="majorHAnsi" w:hAnsiTheme="majorHAnsi"/>
                          <w:color w:val="0D0D0D" w:themeColor="text1" w:themeTint="F2"/>
                          <w:sz w:val="18"/>
                          <w:szCs w:val="22"/>
                          <w:lang w:val="es-ES"/>
                        </w:rPr>
                        <w:t xml:space="preserve"> de </w:t>
                      </w:r>
                      <w:r w:rsidR="007B7B2A">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4059A">
                        <w:rPr>
                          <w:rFonts w:asciiTheme="majorHAnsi" w:hAnsiTheme="majorHAnsi"/>
                          <w:color w:val="0D0D0D" w:themeColor="text1" w:themeTint="F2"/>
                          <w:sz w:val="18"/>
                          <w:szCs w:val="22"/>
                          <w:lang w:val="es-ES"/>
                        </w:rPr>
                        <w:t>4</w:t>
                      </w:r>
                      <w:r w:rsidR="007B7B2A">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58245" behindDoc="0" locked="0" layoutInCell="1" allowOverlap="1" wp14:anchorId="14798ABC" wp14:editId="6379A8C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B7DF01" w14:textId="77777777" w:rsidR="00505CDD"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B7B2A" w:rsidRPr="007B7B2A">
                              <w:rPr>
                                <w:rFonts w:asciiTheme="majorHAnsi" w:hAnsiTheme="majorHAnsi"/>
                                <w:color w:val="595959" w:themeColor="text1" w:themeTint="A6"/>
                                <w:sz w:val="18"/>
                                <w:szCs w:val="18"/>
                                <w:lang w:val="pt-BR"/>
                              </w:rPr>
                              <w:t>23</w:t>
                            </w:r>
                            <w:r w:rsidR="007B05C4" w:rsidRPr="007B7B2A">
                              <w:rPr>
                                <w:rFonts w:asciiTheme="majorHAnsi" w:hAnsiTheme="majorHAnsi"/>
                                <w:color w:val="595959" w:themeColor="text1" w:themeTint="A6"/>
                                <w:sz w:val="18"/>
                                <w:szCs w:val="18"/>
                                <w:lang w:val="pt-BR"/>
                              </w:rPr>
                              <w:t>/</w:t>
                            </w:r>
                            <w:r w:rsidR="007B7B2A" w:rsidRPr="007B7B2A">
                              <w:rPr>
                                <w:rFonts w:asciiTheme="majorHAnsi" w:hAnsiTheme="majorHAnsi"/>
                                <w:color w:val="595959" w:themeColor="text1" w:themeTint="A6"/>
                                <w:sz w:val="18"/>
                                <w:szCs w:val="18"/>
                                <w:lang w:val="pt-BR"/>
                              </w:rPr>
                              <w:t>24</w:t>
                            </w:r>
                            <w:r w:rsidRPr="007B7B2A">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575E0D">
                              <w:rPr>
                                <w:rFonts w:asciiTheme="majorHAnsi" w:hAnsiTheme="majorHAnsi"/>
                                <w:color w:val="595959" w:themeColor="text1" w:themeTint="A6"/>
                                <w:sz w:val="18"/>
                                <w:szCs w:val="18"/>
                                <w:lang w:val="es-ES"/>
                              </w:rPr>
                              <w:t>1176</w:t>
                            </w:r>
                            <w:r w:rsidR="000433C9">
                              <w:rPr>
                                <w:rFonts w:asciiTheme="majorHAnsi" w:hAnsiTheme="majorHAnsi"/>
                                <w:color w:val="595959" w:themeColor="text1" w:themeTint="A6"/>
                                <w:sz w:val="18"/>
                                <w:szCs w:val="18"/>
                                <w:lang w:val="es-ES"/>
                              </w:rPr>
                              <w:t>-</w:t>
                            </w:r>
                            <w:r w:rsidR="00401D83">
                              <w:rPr>
                                <w:rFonts w:asciiTheme="majorHAnsi" w:hAnsiTheme="majorHAnsi"/>
                                <w:color w:val="595959" w:themeColor="text1" w:themeTint="A6"/>
                                <w:sz w:val="18"/>
                                <w:szCs w:val="18"/>
                                <w:lang w:val="es-ES"/>
                              </w:rPr>
                              <w:t>0</w:t>
                            </w:r>
                            <w:r w:rsidR="00575E0D">
                              <w:rPr>
                                <w:rFonts w:asciiTheme="majorHAnsi" w:hAnsiTheme="majorHAnsi"/>
                                <w:color w:val="595959" w:themeColor="text1" w:themeTint="A6"/>
                                <w:sz w:val="18"/>
                                <w:szCs w:val="18"/>
                                <w:lang w:val="es-ES"/>
                              </w:rPr>
                              <w:t>7</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0D1B22CF" w14:textId="679BF2A0" w:rsidR="00113F73" w:rsidRPr="007B05C4" w:rsidRDefault="0064059A"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Gabriel Pascual del Rosario y otros</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Panamá</w:t>
                            </w:r>
                            <w:r w:rsidR="00113F73" w:rsidRPr="00890650">
                              <w:rPr>
                                <w:rFonts w:asciiTheme="majorHAnsi" w:hAnsiTheme="majorHAnsi"/>
                                <w:color w:val="595959" w:themeColor="text1" w:themeTint="A6"/>
                                <w:sz w:val="18"/>
                                <w:szCs w:val="18"/>
                                <w:lang w:val="es-ES_tradnl"/>
                              </w:rPr>
                              <w:t xml:space="preserve">. </w:t>
                            </w:r>
                            <w:r w:rsidR="00505CDD">
                              <w:rPr>
                                <w:rFonts w:asciiTheme="majorHAnsi" w:hAnsiTheme="majorHAnsi"/>
                                <w:color w:val="595959" w:themeColor="text1" w:themeTint="A6"/>
                                <w:sz w:val="18"/>
                                <w:szCs w:val="18"/>
                                <w:lang w:val="es-ES"/>
                              </w:rPr>
                              <w:t>30 de abril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64B7DF01" w14:textId="77777777" w:rsidR="00505CDD"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B7B2A" w:rsidRPr="007B7B2A">
                        <w:rPr>
                          <w:rFonts w:asciiTheme="majorHAnsi" w:hAnsiTheme="majorHAnsi"/>
                          <w:color w:val="595959" w:themeColor="text1" w:themeTint="A6"/>
                          <w:sz w:val="18"/>
                          <w:szCs w:val="18"/>
                          <w:lang w:val="pt-BR"/>
                        </w:rPr>
                        <w:t>23</w:t>
                      </w:r>
                      <w:r w:rsidR="007B05C4" w:rsidRPr="007B7B2A">
                        <w:rPr>
                          <w:rFonts w:asciiTheme="majorHAnsi" w:hAnsiTheme="majorHAnsi"/>
                          <w:color w:val="595959" w:themeColor="text1" w:themeTint="A6"/>
                          <w:sz w:val="18"/>
                          <w:szCs w:val="18"/>
                          <w:lang w:val="pt-BR"/>
                        </w:rPr>
                        <w:t>/</w:t>
                      </w:r>
                      <w:r w:rsidR="007B7B2A" w:rsidRPr="007B7B2A">
                        <w:rPr>
                          <w:rFonts w:asciiTheme="majorHAnsi" w:hAnsiTheme="majorHAnsi"/>
                          <w:color w:val="595959" w:themeColor="text1" w:themeTint="A6"/>
                          <w:sz w:val="18"/>
                          <w:szCs w:val="18"/>
                          <w:lang w:val="pt-BR"/>
                        </w:rPr>
                        <w:t>24</w:t>
                      </w:r>
                      <w:r w:rsidRPr="007B7B2A">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575E0D">
                        <w:rPr>
                          <w:rFonts w:asciiTheme="majorHAnsi" w:hAnsiTheme="majorHAnsi"/>
                          <w:color w:val="595959" w:themeColor="text1" w:themeTint="A6"/>
                          <w:sz w:val="18"/>
                          <w:szCs w:val="18"/>
                          <w:lang w:val="es-ES"/>
                        </w:rPr>
                        <w:t>1176</w:t>
                      </w:r>
                      <w:r w:rsidR="000433C9">
                        <w:rPr>
                          <w:rFonts w:asciiTheme="majorHAnsi" w:hAnsiTheme="majorHAnsi"/>
                          <w:color w:val="595959" w:themeColor="text1" w:themeTint="A6"/>
                          <w:sz w:val="18"/>
                          <w:szCs w:val="18"/>
                          <w:lang w:val="es-ES"/>
                        </w:rPr>
                        <w:t>-</w:t>
                      </w:r>
                      <w:r w:rsidR="00401D83">
                        <w:rPr>
                          <w:rFonts w:asciiTheme="majorHAnsi" w:hAnsiTheme="majorHAnsi"/>
                          <w:color w:val="595959" w:themeColor="text1" w:themeTint="A6"/>
                          <w:sz w:val="18"/>
                          <w:szCs w:val="18"/>
                          <w:lang w:val="es-ES"/>
                        </w:rPr>
                        <w:t>0</w:t>
                      </w:r>
                      <w:r w:rsidR="00575E0D">
                        <w:rPr>
                          <w:rFonts w:asciiTheme="majorHAnsi" w:hAnsiTheme="majorHAnsi"/>
                          <w:color w:val="595959" w:themeColor="text1" w:themeTint="A6"/>
                          <w:sz w:val="18"/>
                          <w:szCs w:val="18"/>
                          <w:lang w:val="es-ES"/>
                        </w:rPr>
                        <w:t>7</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0D1B22CF" w14:textId="679BF2A0" w:rsidR="00113F73" w:rsidRPr="007B05C4" w:rsidRDefault="0064059A"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Gabriel Pascual del Rosario y otros</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Panamá</w:t>
                      </w:r>
                      <w:r w:rsidR="00113F73" w:rsidRPr="00890650">
                        <w:rPr>
                          <w:rFonts w:asciiTheme="majorHAnsi" w:hAnsiTheme="majorHAnsi"/>
                          <w:color w:val="595959" w:themeColor="text1" w:themeTint="A6"/>
                          <w:sz w:val="18"/>
                          <w:szCs w:val="18"/>
                          <w:lang w:val="es-ES_tradnl"/>
                        </w:rPr>
                        <w:t xml:space="preserve">. </w:t>
                      </w:r>
                      <w:r w:rsidR="00505CDD">
                        <w:rPr>
                          <w:rFonts w:asciiTheme="majorHAnsi" w:hAnsiTheme="majorHAnsi"/>
                          <w:color w:val="595959" w:themeColor="text1" w:themeTint="A6"/>
                          <w:sz w:val="18"/>
                          <w:szCs w:val="18"/>
                          <w:lang w:val="es-ES"/>
                        </w:rPr>
                        <w:t>30 de abril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58246"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25F21070" w:rsidR="00D72DC6" w:rsidRPr="00D72DC6" w:rsidRDefault="007B7B2A" w:rsidP="00F02AD1">
                            <w:pPr>
                              <w:rPr>
                                <w:color w:val="FFFFFF" w:themeColor="background1"/>
                                <w14:textFill>
                                  <w14:noFill/>
                                </w14:textFill>
                              </w:rPr>
                            </w:pPr>
                            <w:r>
                              <w:rPr>
                                <w:noProof/>
                                <w:color w:val="FFFFFF" w:themeColor="background1"/>
                              </w:rPr>
                              <w:drawing>
                                <wp:inline distT="0" distB="0" distL="0" distR="0" wp14:anchorId="526D6FAE" wp14:editId="4B623BA1">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25F21070" w:rsidR="00D72DC6" w:rsidRPr="00D72DC6" w:rsidRDefault="007B7B2A" w:rsidP="00F02AD1">
                      <w:pPr>
                        <w:rPr>
                          <w:color w:val="FFFFFF" w:themeColor="background1"/>
                          <w14:textFill>
                            <w14:noFill/>
                          </w14:textFill>
                        </w:rPr>
                      </w:pPr>
                      <w:r>
                        <w:rPr>
                          <w:noProof/>
                          <w:color w:val="FFFFFF" w:themeColor="background1"/>
                        </w:rPr>
                        <w:drawing>
                          <wp:inline distT="0" distB="0" distL="0" distR="0" wp14:anchorId="526D6FAE" wp14:editId="4B623BA1">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58247"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B14C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6D7009">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70129A68" w:rsidR="003239B8" w:rsidRPr="00EA4698" w:rsidRDefault="00EA4698" w:rsidP="006D7009">
            <w:pPr>
              <w:jc w:val="both"/>
              <w:rPr>
                <w:rFonts w:ascii="Cambria" w:hAnsi="Cambria"/>
                <w:bCs/>
                <w:sz w:val="20"/>
                <w:szCs w:val="20"/>
                <w:lang w:val="es-US"/>
              </w:rPr>
            </w:pPr>
            <w:r w:rsidRPr="00EA4698">
              <w:rPr>
                <w:rFonts w:ascii="Cambria" w:hAnsi="Cambria"/>
                <w:bCs/>
                <w:sz w:val="20"/>
                <w:szCs w:val="20"/>
                <w:lang w:val="es-US"/>
              </w:rPr>
              <w:t>Gabriel P</w:t>
            </w:r>
            <w:r w:rsidR="004600BB">
              <w:rPr>
                <w:rFonts w:ascii="Cambria" w:hAnsi="Cambria"/>
                <w:bCs/>
                <w:sz w:val="20"/>
                <w:szCs w:val="20"/>
                <w:lang w:val="es-US"/>
              </w:rPr>
              <w:t>a</w:t>
            </w:r>
            <w:r w:rsidRPr="00EA4698">
              <w:rPr>
                <w:rFonts w:ascii="Cambria" w:hAnsi="Cambria"/>
                <w:bCs/>
                <w:sz w:val="20"/>
                <w:szCs w:val="20"/>
                <w:lang w:val="es-US"/>
              </w:rPr>
              <w:t>scual</w:t>
            </w:r>
            <w:r w:rsidR="0011320B">
              <w:rPr>
                <w:rFonts w:ascii="Cambria" w:hAnsi="Cambria"/>
                <w:bCs/>
                <w:sz w:val="20"/>
                <w:szCs w:val="20"/>
                <w:lang w:val="es-US"/>
              </w:rPr>
              <w:t xml:space="preserve"> y M</w:t>
            </w:r>
            <w:r w:rsidR="00D35F3A">
              <w:rPr>
                <w:rFonts w:ascii="Cambria" w:hAnsi="Cambria"/>
                <w:bCs/>
                <w:sz w:val="20"/>
                <w:szCs w:val="20"/>
                <w:lang w:val="es-US"/>
              </w:rPr>
              <w:t>D</w:t>
            </w:r>
            <w:r w:rsidR="00C8257D">
              <w:rPr>
                <w:rFonts w:ascii="Cambria" w:hAnsi="Cambria"/>
                <w:bCs/>
                <w:sz w:val="20"/>
                <w:szCs w:val="20"/>
                <w:lang w:val="es-US"/>
              </w:rPr>
              <w:t>Z</w:t>
            </w:r>
            <w:r w:rsidRPr="00EA4698">
              <w:rPr>
                <w:rFonts w:ascii="Cambria" w:hAnsi="Cambria"/>
                <w:bCs/>
                <w:sz w:val="20"/>
                <w:szCs w:val="20"/>
                <w:lang w:val="es-US"/>
              </w:rPr>
              <w:t xml:space="preserve"> </w:t>
            </w:r>
            <w:r w:rsidR="00C8257D">
              <w:rPr>
                <w:rFonts w:ascii="Cambria" w:hAnsi="Cambria"/>
                <w:bCs/>
                <w:sz w:val="20"/>
                <w:szCs w:val="20"/>
                <w:lang w:val="es-US"/>
              </w:rPr>
              <w:t>(solicita reserva de identidad)</w:t>
            </w:r>
          </w:p>
        </w:tc>
      </w:tr>
      <w:tr w:rsidR="003239B8" w:rsidRPr="00DB14C0"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B905D8" w:rsidP="006D7009">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3480E200" w:rsidR="003239B8" w:rsidRPr="00916C1D" w:rsidRDefault="00D35FCF" w:rsidP="00684BFC">
            <w:pPr>
              <w:rPr>
                <w:lang w:val="es-US"/>
              </w:rPr>
            </w:pPr>
            <w:r>
              <w:rPr>
                <w:rFonts w:ascii="Cambria" w:hAnsi="Cambria"/>
                <w:bCs/>
                <w:sz w:val="20"/>
                <w:szCs w:val="20"/>
                <w:lang w:val="es-US"/>
              </w:rPr>
              <w:t>Gabriel Pascual Del Rosario</w:t>
            </w:r>
            <w:r w:rsidR="00EA4698">
              <w:rPr>
                <w:rFonts w:ascii="Cambria" w:hAnsi="Cambria"/>
                <w:bCs/>
                <w:sz w:val="20"/>
                <w:szCs w:val="20"/>
                <w:lang w:val="es-US"/>
              </w:rPr>
              <w:t xml:space="preserve"> y otro</w:t>
            </w:r>
            <w:r w:rsidR="00D71318">
              <w:rPr>
                <w:rFonts w:ascii="Cambria" w:hAnsi="Cambria"/>
                <w:bCs/>
                <w:sz w:val="20"/>
                <w:szCs w:val="20"/>
                <w:lang w:val="es-US"/>
              </w:rPr>
              <w:t>s</w:t>
            </w:r>
            <w:r w:rsidR="003457D5">
              <w:rPr>
                <w:rFonts w:ascii="Cambria" w:hAnsi="Cambria"/>
                <w:bCs/>
                <w:sz w:val="20"/>
                <w:szCs w:val="20"/>
                <w:lang w:val="es-US"/>
              </w:rPr>
              <w:t xml:space="preserve"> (ver anexo)</w:t>
            </w:r>
            <w:r w:rsidR="00324F9B" w:rsidRPr="00C05D37">
              <w:rPr>
                <w:rStyle w:val="FootnoteReference"/>
                <w:rFonts w:asciiTheme="majorHAnsi" w:hAnsiTheme="majorHAnsi"/>
                <w:sz w:val="20"/>
                <w:szCs w:val="20"/>
                <w:lang w:val="es-US"/>
              </w:rPr>
              <w:footnoteReference w:id="2"/>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6D7009">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0AEC3418" w:rsidR="003239B8" w:rsidRPr="000D05CB" w:rsidRDefault="00EA4698" w:rsidP="006D7009">
            <w:pPr>
              <w:jc w:val="both"/>
              <w:rPr>
                <w:rFonts w:ascii="Cambria" w:hAnsi="Cambria"/>
                <w:bCs/>
                <w:sz w:val="20"/>
                <w:szCs w:val="20"/>
              </w:rPr>
            </w:pPr>
            <w:r>
              <w:rPr>
                <w:rFonts w:ascii="Cambria" w:hAnsi="Cambria"/>
                <w:bCs/>
                <w:sz w:val="20"/>
                <w:szCs w:val="20"/>
              </w:rPr>
              <w:t>Panamá</w:t>
            </w:r>
          </w:p>
        </w:tc>
      </w:tr>
      <w:tr w:rsidR="00223A29" w:rsidRPr="00DB14C0"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78FEE321" w:rsidR="00223A29" w:rsidRPr="00406D7B" w:rsidRDefault="00C05D37" w:rsidP="006D7009">
            <w:pPr>
              <w:jc w:val="both"/>
              <w:rPr>
                <w:rFonts w:ascii="Cambria" w:hAnsi="Cambria"/>
                <w:bCs/>
                <w:sz w:val="20"/>
                <w:szCs w:val="20"/>
                <w:lang w:val="es-US"/>
              </w:rPr>
            </w:pPr>
            <w:r>
              <w:rPr>
                <w:rFonts w:ascii="Cambria" w:hAnsi="Cambria"/>
                <w:bCs/>
                <w:sz w:val="20"/>
                <w:szCs w:val="20"/>
                <w:lang w:val="es-ES"/>
              </w:rPr>
              <w:t xml:space="preserve">Artículos 4 (vida), 8 (garantías judiciales) y 25 (protección judicial) </w:t>
            </w:r>
            <w:r w:rsidR="00406D7B">
              <w:rPr>
                <w:rFonts w:ascii="Cambria" w:hAnsi="Cambria"/>
                <w:bCs/>
                <w:sz w:val="20"/>
                <w:szCs w:val="20"/>
                <w:lang w:val="es-ES"/>
              </w:rPr>
              <w:t>de la Convención Americana sobre Derechos Humanos</w:t>
            </w:r>
            <w:r w:rsidR="00916C1D">
              <w:rPr>
                <w:rStyle w:val="FootnoteReference"/>
                <w:rFonts w:ascii="Cambria" w:hAnsi="Cambria"/>
                <w:bCs/>
                <w:sz w:val="20"/>
                <w:szCs w:val="20"/>
                <w:lang w:val="es-ES"/>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052ACDE4" w:rsidR="004C2312" w:rsidRPr="003239B8" w:rsidRDefault="00EA4698" w:rsidP="006D7009">
            <w:pPr>
              <w:jc w:val="both"/>
              <w:rPr>
                <w:rFonts w:ascii="Cambria" w:hAnsi="Cambria"/>
                <w:bCs/>
                <w:sz w:val="20"/>
                <w:szCs w:val="20"/>
                <w:lang w:val="es-ES"/>
              </w:rPr>
            </w:pPr>
            <w:r>
              <w:rPr>
                <w:rFonts w:ascii="Cambria" w:hAnsi="Cambria"/>
                <w:bCs/>
                <w:sz w:val="20"/>
                <w:szCs w:val="20"/>
                <w:lang w:val="es-ES"/>
              </w:rPr>
              <w:t>11 de septiembre de 2007</w:t>
            </w:r>
          </w:p>
        </w:tc>
      </w:tr>
      <w:tr w:rsidR="00131425" w:rsidRPr="00DB14C0"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7EB0B061" w:rsidR="00131425" w:rsidRPr="003239B8" w:rsidRDefault="00EA4698" w:rsidP="006D7009">
            <w:pPr>
              <w:jc w:val="both"/>
              <w:rPr>
                <w:rFonts w:ascii="Cambria" w:hAnsi="Cambria"/>
                <w:bCs/>
                <w:sz w:val="20"/>
                <w:szCs w:val="20"/>
                <w:lang w:val="es-ES"/>
              </w:rPr>
            </w:pPr>
            <w:r>
              <w:rPr>
                <w:rFonts w:ascii="Cambria" w:hAnsi="Cambria"/>
                <w:bCs/>
                <w:sz w:val="20"/>
                <w:szCs w:val="20"/>
                <w:lang w:val="es-ES"/>
              </w:rPr>
              <w:t>15 de abril de 2010, 7 de diciembre de 2016</w:t>
            </w:r>
            <w:r w:rsidR="00301EF6">
              <w:rPr>
                <w:rFonts w:ascii="Cambria" w:hAnsi="Cambria"/>
                <w:bCs/>
                <w:sz w:val="20"/>
                <w:szCs w:val="20"/>
                <w:lang w:val="es-ES"/>
              </w:rPr>
              <w:t>,</w:t>
            </w:r>
            <w:r>
              <w:rPr>
                <w:rFonts w:ascii="Cambria" w:hAnsi="Cambria"/>
                <w:bCs/>
                <w:sz w:val="20"/>
                <w:szCs w:val="20"/>
                <w:lang w:val="es-ES"/>
              </w:rPr>
              <w:t xml:space="preserve"> 9 de diciembre de 2016</w:t>
            </w:r>
            <w:r w:rsidR="00301EF6">
              <w:rPr>
                <w:rFonts w:ascii="Cambria" w:hAnsi="Cambria"/>
                <w:bCs/>
                <w:sz w:val="20"/>
                <w:szCs w:val="20"/>
                <w:lang w:val="es-ES"/>
              </w:rPr>
              <w:t>, 12 de agosto de 2020 y 27 de junio de 2022</w:t>
            </w:r>
          </w:p>
        </w:tc>
      </w:tr>
      <w:tr w:rsidR="004C2312" w:rsidRPr="00560A39"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718E24FD" w:rsidR="004C2312" w:rsidRPr="003239B8" w:rsidRDefault="00301EF6" w:rsidP="006D7009">
            <w:pPr>
              <w:jc w:val="both"/>
              <w:rPr>
                <w:rFonts w:ascii="Cambria" w:hAnsi="Cambria"/>
                <w:bCs/>
                <w:sz w:val="20"/>
                <w:szCs w:val="20"/>
                <w:lang w:val="es-ES"/>
              </w:rPr>
            </w:pPr>
            <w:r>
              <w:rPr>
                <w:rFonts w:ascii="Cambria" w:hAnsi="Cambria"/>
                <w:bCs/>
                <w:sz w:val="20"/>
                <w:szCs w:val="20"/>
                <w:lang w:val="es-ES"/>
              </w:rPr>
              <w:t>27 de junio de 2022</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6B35204A" w:rsidR="004C2312" w:rsidRPr="003239B8" w:rsidRDefault="00301EF6" w:rsidP="006D7009">
            <w:pPr>
              <w:jc w:val="both"/>
              <w:rPr>
                <w:rFonts w:ascii="Cambria" w:hAnsi="Cambria"/>
                <w:bCs/>
                <w:sz w:val="20"/>
                <w:szCs w:val="20"/>
                <w:lang w:val="es-ES"/>
              </w:rPr>
            </w:pPr>
            <w:r>
              <w:rPr>
                <w:rFonts w:ascii="Cambria" w:hAnsi="Cambria"/>
                <w:bCs/>
                <w:sz w:val="20"/>
                <w:szCs w:val="20"/>
                <w:lang w:val="es-ES"/>
              </w:rPr>
              <w:t>18 de octubre de 2022</w:t>
            </w:r>
          </w:p>
        </w:tc>
      </w:tr>
      <w:tr w:rsidR="00EA4698" w:rsidRPr="00DB14C0" w14:paraId="1CED26A6" w14:textId="77777777" w:rsidTr="004A6A54">
        <w:tc>
          <w:tcPr>
            <w:tcW w:w="3600" w:type="dxa"/>
            <w:tcBorders>
              <w:top w:val="single" w:sz="6" w:space="0" w:color="auto"/>
              <w:bottom w:val="single" w:sz="6" w:space="0" w:color="auto"/>
            </w:tcBorders>
            <w:shd w:val="clear" w:color="auto" w:fill="386294"/>
            <w:vAlign w:val="center"/>
          </w:tcPr>
          <w:p w14:paraId="1E8DE0C5" w14:textId="3DB28B3D" w:rsidR="00EA4698" w:rsidRDefault="00301EF6"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 la parte peticionaria</w:t>
            </w:r>
          </w:p>
        </w:tc>
        <w:tc>
          <w:tcPr>
            <w:tcW w:w="5760" w:type="dxa"/>
            <w:vAlign w:val="center"/>
          </w:tcPr>
          <w:p w14:paraId="43F4AF12" w14:textId="210F94DD" w:rsidR="00EA4698" w:rsidRPr="003239B8" w:rsidRDefault="00301EF6" w:rsidP="006D7009">
            <w:pPr>
              <w:jc w:val="both"/>
              <w:rPr>
                <w:rFonts w:ascii="Cambria" w:hAnsi="Cambria"/>
                <w:bCs/>
                <w:sz w:val="20"/>
                <w:szCs w:val="20"/>
                <w:lang w:val="es-ES"/>
              </w:rPr>
            </w:pPr>
            <w:r>
              <w:rPr>
                <w:rFonts w:ascii="Cambria" w:hAnsi="Cambria"/>
                <w:bCs/>
                <w:sz w:val="20"/>
                <w:szCs w:val="20"/>
                <w:lang w:val="es-ES"/>
              </w:rPr>
              <w:t>8 de noviembre de 2022</w:t>
            </w:r>
            <w:r w:rsidR="009624F0">
              <w:rPr>
                <w:rFonts w:ascii="Cambria" w:hAnsi="Cambria"/>
                <w:bCs/>
                <w:sz w:val="20"/>
                <w:szCs w:val="20"/>
                <w:lang w:val="es-ES"/>
              </w:rPr>
              <w:t>, 26 de septiembre de 2023 y 5 de diciembre de 2023</w:t>
            </w:r>
          </w:p>
        </w:tc>
      </w:tr>
      <w:tr w:rsidR="00301EF6" w:rsidRPr="00EA4698" w14:paraId="7AA5440E" w14:textId="77777777" w:rsidTr="004A6A54">
        <w:tc>
          <w:tcPr>
            <w:tcW w:w="3600" w:type="dxa"/>
            <w:tcBorders>
              <w:top w:val="single" w:sz="6" w:space="0" w:color="auto"/>
              <w:bottom w:val="single" w:sz="6" w:space="0" w:color="auto"/>
            </w:tcBorders>
            <w:shd w:val="clear" w:color="auto" w:fill="386294"/>
            <w:vAlign w:val="center"/>
          </w:tcPr>
          <w:p w14:paraId="4EA147AC" w14:textId="26A4656B" w:rsidR="00301EF6" w:rsidRDefault="00301EF6" w:rsidP="00301EF6">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Advertencia de archivo</w:t>
            </w:r>
          </w:p>
        </w:tc>
        <w:tc>
          <w:tcPr>
            <w:tcW w:w="5760" w:type="dxa"/>
            <w:vAlign w:val="center"/>
          </w:tcPr>
          <w:p w14:paraId="1C476974" w14:textId="49A0BACC" w:rsidR="00301EF6" w:rsidRPr="003239B8" w:rsidRDefault="00301EF6" w:rsidP="00301EF6">
            <w:pPr>
              <w:jc w:val="both"/>
              <w:rPr>
                <w:rFonts w:ascii="Cambria" w:hAnsi="Cambria"/>
                <w:bCs/>
                <w:sz w:val="20"/>
                <w:szCs w:val="20"/>
                <w:lang w:val="es-ES"/>
              </w:rPr>
            </w:pPr>
            <w:r>
              <w:rPr>
                <w:rFonts w:ascii="Cambria" w:hAnsi="Cambria"/>
                <w:bCs/>
                <w:sz w:val="20"/>
                <w:szCs w:val="20"/>
                <w:lang w:val="es-ES"/>
              </w:rPr>
              <w:t>11 de agosto de 2020</w:t>
            </w:r>
          </w:p>
        </w:tc>
      </w:tr>
      <w:tr w:rsidR="00301EF6" w:rsidRPr="00EA4698" w14:paraId="52435A72" w14:textId="77777777" w:rsidTr="004A6A54">
        <w:tc>
          <w:tcPr>
            <w:tcW w:w="3600" w:type="dxa"/>
            <w:tcBorders>
              <w:top w:val="single" w:sz="6" w:space="0" w:color="auto"/>
              <w:bottom w:val="single" w:sz="6" w:space="0" w:color="auto"/>
            </w:tcBorders>
            <w:shd w:val="clear" w:color="auto" w:fill="386294"/>
            <w:vAlign w:val="center"/>
          </w:tcPr>
          <w:p w14:paraId="3E7C0FA2" w14:textId="5915CD24" w:rsidR="00301EF6" w:rsidRDefault="00301EF6" w:rsidP="00301EF6">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Respuesta a advertencia de archiv</w:t>
            </w:r>
            <w:r w:rsidR="009624F0">
              <w:rPr>
                <w:rFonts w:ascii="Cambria" w:hAnsi="Cambria"/>
                <w:b/>
                <w:color w:val="FFFFFF" w:themeColor="background1"/>
                <w:sz w:val="20"/>
                <w:szCs w:val="20"/>
                <w:lang w:val="es-ES"/>
              </w:rPr>
              <w:t>o</w:t>
            </w:r>
          </w:p>
        </w:tc>
        <w:tc>
          <w:tcPr>
            <w:tcW w:w="5760" w:type="dxa"/>
            <w:vAlign w:val="center"/>
          </w:tcPr>
          <w:p w14:paraId="38709650" w14:textId="2965F013" w:rsidR="00301EF6" w:rsidRDefault="00301EF6" w:rsidP="00301EF6">
            <w:pPr>
              <w:jc w:val="both"/>
              <w:rPr>
                <w:rFonts w:ascii="Cambria" w:hAnsi="Cambria"/>
                <w:bCs/>
                <w:sz w:val="20"/>
                <w:szCs w:val="20"/>
                <w:lang w:val="es-ES"/>
              </w:rPr>
            </w:pPr>
            <w:r>
              <w:rPr>
                <w:rFonts w:ascii="Cambria" w:hAnsi="Cambria"/>
                <w:bCs/>
                <w:sz w:val="20"/>
                <w:szCs w:val="20"/>
                <w:lang w:val="es-ES"/>
              </w:rPr>
              <w:t>12 de agosto de 2020</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C8257D">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6D7009">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473D63A6" w:rsidR="003239B8" w:rsidRPr="00B3745F" w:rsidRDefault="004A12C7" w:rsidP="006D7009">
            <w:pPr>
              <w:rPr>
                <w:rFonts w:ascii="Cambria" w:hAnsi="Cambria"/>
                <w:bCs/>
                <w:sz w:val="20"/>
                <w:szCs w:val="20"/>
              </w:rPr>
            </w:pPr>
            <w:r>
              <w:rPr>
                <w:rFonts w:ascii="Cambria" w:hAnsi="Cambria"/>
                <w:bCs/>
                <w:sz w:val="20"/>
                <w:szCs w:val="20"/>
                <w:lang w:val="es-ES"/>
              </w:rPr>
              <w:t>Sí</w:t>
            </w:r>
          </w:p>
        </w:tc>
      </w:tr>
      <w:tr w:rsidR="003239B8" w:rsidRPr="00540F17" w14:paraId="4B8802DA" w14:textId="77777777" w:rsidTr="00C8257D">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6D7009">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5804B26A" w:rsidR="003239B8" w:rsidRPr="00B3745F" w:rsidRDefault="004A12C7" w:rsidP="006D7009">
            <w:pPr>
              <w:rPr>
                <w:rFonts w:ascii="Cambria" w:hAnsi="Cambria"/>
                <w:bCs/>
                <w:sz w:val="20"/>
                <w:szCs w:val="20"/>
              </w:rPr>
            </w:pPr>
            <w:r>
              <w:rPr>
                <w:rFonts w:ascii="Cambria" w:hAnsi="Cambria"/>
                <w:bCs/>
                <w:sz w:val="20"/>
                <w:szCs w:val="20"/>
                <w:lang w:val="es-ES"/>
              </w:rPr>
              <w:t>Sí</w:t>
            </w:r>
          </w:p>
        </w:tc>
      </w:tr>
      <w:tr w:rsidR="003239B8" w:rsidRPr="00540F17" w14:paraId="4362FDF3" w14:textId="77777777" w:rsidTr="00C8257D">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6D7009">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5851DFD4" w:rsidR="003239B8" w:rsidRPr="00B3745F" w:rsidRDefault="004A12C7" w:rsidP="006D7009">
            <w:pPr>
              <w:rPr>
                <w:rFonts w:ascii="Cambria" w:hAnsi="Cambria"/>
                <w:bCs/>
                <w:sz w:val="20"/>
                <w:szCs w:val="20"/>
              </w:rPr>
            </w:pPr>
            <w:r>
              <w:rPr>
                <w:rFonts w:ascii="Cambria" w:hAnsi="Cambria"/>
                <w:bCs/>
                <w:sz w:val="20"/>
                <w:szCs w:val="20"/>
                <w:lang w:val="es-ES"/>
              </w:rPr>
              <w:t>Sí</w:t>
            </w:r>
          </w:p>
        </w:tc>
      </w:tr>
      <w:tr w:rsidR="003239B8" w:rsidRPr="00DB14C0" w14:paraId="30ABEC3E" w14:textId="77777777" w:rsidTr="00C8257D">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6D7009">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7A32CE06" w:rsidR="003239B8" w:rsidRPr="00B3745F" w:rsidRDefault="004A12C7" w:rsidP="006D7009">
            <w:pPr>
              <w:jc w:val="both"/>
              <w:rPr>
                <w:rFonts w:ascii="Cambria" w:hAnsi="Cambria"/>
                <w:bCs/>
                <w:sz w:val="20"/>
                <w:szCs w:val="20"/>
                <w:lang w:val="es-ES"/>
              </w:rPr>
            </w:pPr>
            <w:r>
              <w:rPr>
                <w:rFonts w:ascii="Cambria" w:hAnsi="Cambria"/>
                <w:bCs/>
                <w:sz w:val="20"/>
                <w:szCs w:val="20"/>
                <w:lang w:val="es-ES"/>
              </w:rPr>
              <w:t xml:space="preserve">Sí, Convención Americana (depósito del instrumento de ratificación realizado el </w:t>
            </w:r>
            <w:r w:rsidR="00EA4698">
              <w:rPr>
                <w:rFonts w:ascii="Cambria" w:hAnsi="Cambria"/>
                <w:bCs/>
                <w:sz w:val="20"/>
                <w:szCs w:val="20"/>
                <w:lang w:val="es-ES"/>
              </w:rPr>
              <w:t>22</w:t>
            </w:r>
            <w:r>
              <w:rPr>
                <w:rFonts w:ascii="Cambria" w:hAnsi="Cambria"/>
                <w:bCs/>
                <w:sz w:val="20"/>
                <w:szCs w:val="20"/>
                <w:lang w:val="es-ES"/>
              </w:rPr>
              <w:t xml:space="preserve"> de ju</w:t>
            </w:r>
            <w:r w:rsidR="00EA4698">
              <w:rPr>
                <w:rFonts w:ascii="Cambria" w:hAnsi="Cambria"/>
                <w:bCs/>
                <w:sz w:val="20"/>
                <w:szCs w:val="20"/>
                <w:lang w:val="es-ES"/>
              </w:rPr>
              <w:t>n</w:t>
            </w:r>
            <w:r>
              <w:rPr>
                <w:rFonts w:ascii="Cambria" w:hAnsi="Cambria"/>
                <w:bCs/>
                <w:sz w:val="20"/>
                <w:szCs w:val="20"/>
                <w:lang w:val="es-ES"/>
              </w:rPr>
              <w:t>io de 197</w:t>
            </w:r>
            <w:r w:rsidR="00EA4698">
              <w:rPr>
                <w:rFonts w:ascii="Cambria" w:hAnsi="Cambria"/>
                <w:bCs/>
                <w:sz w:val="20"/>
                <w:szCs w:val="20"/>
                <w:lang w:val="es-ES"/>
              </w:rPr>
              <w:t>8</w:t>
            </w:r>
            <w:r>
              <w:rPr>
                <w:rFonts w:ascii="Cambria" w:hAnsi="Cambria"/>
                <w:bCs/>
                <w:sz w:val="20"/>
                <w:szCs w:val="20"/>
                <w:lang w:val="es-ES"/>
              </w:rPr>
              <w:t>)</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99377A"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6D7009">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0E835AE6" w:rsidR="00EE00E9" w:rsidRPr="00DC24E3" w:rsidRDefault="00C05D37" w:rsidP="006D7009">
            <w:pPr>
              <w:jc w:val="both"/>
              <w:rPr>
                <w:rFonts w:ascii="Cambria" w:hAnsi="Cambria"/>
                <w:bCs/>
                <w:sz w:val="20"/>
                <w:szCs w:val="20"/>
                <w:lang w:val="es-ES"/>
              </w:rPr>
            </w:pPr>
            <w:r>
              <w:rPr>
                <w:rFonts w:ascii="Cambria" w:hAnsi="Cambria"/>
                <w:bCs/>
                <w:sz w:val="20"/>
                <w:szCs w:val="20"/>
                <w:lang w:val="es-ES"/>
              </w:rPr>
              <w:t>No</w:t>
            </w:r>
          </w:p>
        </w:tc>
      </w:tr>
      <w:tr w:rsidR="003239B8" w:rsidRPr="00DB14C0"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6D7009">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1BE9C4AD" w:rsidR="003239B8" w:rsidRPr="00FD23B0" w:rsidRDefault="00C05D37" w:rsidP="006D7009">
            <w:pPr>
              <w:jc w:val="both"/>
              <w:rPr>
                <w:rFonts w:ascii="Cambria" w:hAnsi="Cambria"/>
                <w:bCs/>
                <w:sz w:val="20"/>
                <w:szCs w:val="20"/>
                <w:lang w:val="es-US"/>
              </w:rPr>
            </w:pPr>
            <w:r w:rsidRPr="00FD23B0">
              <w:rPr>
                <w:rFonts w:ascii="Cambria" w:hAnsi="Cambria"/>
                <w:bCs/>
                <w:sz w:val="20"/>
                <w:szCs w:val="20"/>
                <w:lang w:val="es-US"/>
              </w:rPr>
              <w:t xml:space="preserve">Artículos </w:t>
            </w:r>
            <w:r w:rsidR="0029339B" w:rsidRPr="00FD23B0">
              <w:rPr>
                <w:rFonts w:ascii="Cambria" w:hAnsi="Cambria"/>
                <w:bCs/>
                <w:sz w:val="20"/>
                <w:szCs w:val="20"/>
                <w:lang w:val="es-US"/>
              </w:rPr>
              <w:t>5 (integridad personal)</w:t>
            </w:r>
            <w:r w:rsidRPr="00FD23B0">
              <w:rPr>
                <w:rFonts w:ascii="Cambria" w:hAnsi="Cambria"/>
                <w:bCs/>
                <w:sz w:val="20"/>
                <w:szCs w:val="20"/>
                <w:lang w:val="es-US"/>
              </w:rPr>
              <w:t xml:space="preserve"> 8 (garantías judiciales)</w:t>
            </w:r>
            <w:r w:rsidR="00FD23B0">
              <w:rPr>
                <w:rFonts w:ascii="Cambria" w:hAnsi="Cambria"/>
                <w:bCs/>
                <w:sz w:val="20"/>
                <w:szCs w:val="20"/>
                <w:lang w:val="es-US"/>
              </w:rPr>
              <w:t>, 13 (libertad de expresión), 15 (derecho de reunión)</w:t>
            </w:r>
            <w:r w:rsidR="00590532">
              <w:rPr>
                <w:rFonts w:ascii="Cambria" w:hAnsi="Cambria"/>
                <w:bCs/>
                <w:sz w:val="20"/>
                <w:szCs w:val="20"/>
                <w:lang w:val="es-US"/>
              </w:rPr>
              <w:t xml:space="preserve"> </w:t>
            </w:r>
            <w:r w:rsidR="001E6B32" w:rsidRPr="00FD23B0">
              <w:rPr>
                <w:rFonts w:ascii="Cambria" w:hAnsi="Cambria"/>
                <w:bCs/>
                <w:sz w:val="20"/>
                <w:szCs w:val="20"/>
                <w:lang w:val="es-US"/>
              </w:rPr>
              <w:t>y</w:t>
            </w:r>
            <w:r w:rsidRPr="00FD23B0">
              <w:rPr>
                <w:rFonts w:ascii="Cambria" w:hAnsi="Cambria"/>
                <w:bCs/>
                <w:sz w:val="20"/>
                <w:szCs w:val="20"/>
                <w:lang w:val="es-US"/>
              </w:rPr>
              <w:t xml:space="preserve"> 25 (protección judicial) </w:t>
            </w:r>
            <w:r w:rsidR="004D48E5" w:rsidRPr="00FD23B0">
              <w:rPr>
                <w:rFonts w:ascii="Cambria" w:hAnsi="Cambria"/>
                <w:bCs/>
                <w:sz w:val="20"/>
                <w:szCs w:val="20"/>
                <w:lang w:val="es-US"/>
              </w:rPr>
              <w:t>de la Convención Americana</w:t>
            </w:r>
          </w:p>
        </w:tc>
      </w:tr>
      <w:tr w:rsidR="003239B8" w:rsidRPr="00DB14C0"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6D7009">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6F72408B" w:rsidR="003239B8" w:rsidRPr="00DC24E3" w:rsidRDefault="00C05D37" w:rsidP="006D7009">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DB14C0"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6D7009">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4A2A4569" w14:textId="4007FC12" w:rsidR="003239B8" w:rsidRPr="00C05D37" w:rsidRDefault="00C05D37" w:rsidP="006D7009">
            <w:pPr>
              <w:rPr>
                <w:rFonts w:ascii="Cambria" w:hAnsi="Cambria"/>
                <w:bCs/>
                <w:sz w:val="20"/>
                <w:szCs w:val="20"/>
                <w:lang w:val="es-US"/>
              </w:rPr>
            </w:pPr>
            <w:r w:rsidRPr="00C05D37">
              <w:rPr>
                <w:rFonts w:ascii="Cambria" w:hAnsi="Cambria"/>
                <w:bCs/>
                <w:sz w:val="20"/>
                <w:szCs w:val="20"/>
                <w:lang w:val="es-US"/>
              </w:rPr>
              <w:t>Sí, en los términos d</w:t>
            </w:r>
            <w:r>
              <w:rPr>
                <w:rFonts w:ascii="Cambria" w:hAnsi="Cambria"/>
                <w:bCs/>
                <w:sz w:val="20"/>
                <w:szCs w:val="20"/>
                <w:lang w:val="es-US"/>
              </w:rPr>
              <w:t>e la sección VI</w:t>
            </w:r>
          </w:p>
        </w:tc>
      </w:tr>
    </w:tbl>
    <w:p w14:paraId="0027FD10" w14:textId="77777777" w:rsidR="008805C2" w:rsidRDefault="008805C2" w:rsidP="003239B8">
      <w:pPr>
        <w:spacing w:before="240" w:after="240"/>
        <w:ind w:firstLine="720"/>
        <w:jc w:val="both"/>
        <w:rPr>
          <w:rFonts w:asciiTheme="majorHAnsi" w:hAnsiTheme="majorHAnsi"/>
          <w:b/>
          <w:sz w:val="20"/>
          <w:szCs w:val="20"/>
          <w:lang w:val="es-UY"/>
        </w:rPr>
      </w:pPr>
    </w:p>
    <w:p w14:paraId="165E9837" w14:textId="77777777" w:rsidR="008805C2" w:rsidRDefault="008805C2" w:rsidP="003239B8">
      <w:pPr>
        <w:spacing w:before="240" w:after="240"/>
        <w:ind w:firstLine="720"/>
        <w:jc w:val="both"/>
        <w:rPr>
          <w:rFonts w:asciiTheme="majorHAnsi" w:hAnsiTheme="majorHAnsi"/>
          <w:b/>
          <w:sz w:val="20"/>
          <w:szCs w:val="20"/>
          <w:lang w:val="es-UY"/>
        </w:rPr>
      </w:pPr>
    </w:p>
    <w:p w14:paraId="5AA95678" w14:textId="77777777" w:rsidR="008805C2" w:rsidRDefault="008805C2" w:rsidP="003239B8">
      <w:pPr>
        <w:spacing w:before="240" w:after="240"/>
        <w:ind w:firstLine="720"/>
        <w:jc w:val="both"/>
        <w:rPr>
          <w:rFonts w:asciiTheme="majorHAnsi" w:hAnsiTheme="majorHAnsi"/>
          <w:b/>
          <w:sz w:val="20"/>
          <w:szCs w:val="20"/>
          <w:lang w:val="es-UY"/>
        </w:rPr>
      </w:pPr>
    </w:p>
    <w:p w14:paraId="18E6423B" w14:textId="46022099" w:rsidR="003239B8" w:rsidRPr="00325643" w:rsidRDefault="00223A29" w:rsidP="003239B8">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4D48E5" w:rsidRPr="00325643">
        <w:rPr>
          <w:rFonts w:asciiTheme="majorHAnsi" w:hAnsiTheme="majorHAnsi"/>
          <w:b/>
          <w:sz w:val="20"/>
          <w:szCs w:val="20"/>
          <w:lang w:val="es-ES_tradnl"/>
        </w:rPr>
        <w:t>POSICIÓN DE LAS PARTES</w:t>
      </w:r>
      <w:r w:rsidR="003239B8" w:rsidRPr="00325643">
        <w:rPr>
          <w:rFonts w:asciiTheme="majorHAnsi" w:hAnsiTheme="majorHAnsi"/>
          <w:b/>
          <w:sz w:val="20"/>
          <w:szCs w:val="20"/>
          <w:lang w:val="es-ES_tradnl"/>
        </w:rPr>
        <w:t xml:space="preserve"> </w:t>
      </w:r>
    </w:p>
    <w:p w14:paraId="5A31FA4C" w14:textId="621208AB" w:rsidR="00324F9B" w:rsidRPr="00325643" w:rsidRDefault="00324F9B" w:rsidP="003239B8">
      <w:pPr>
        <w:spacing w:before="240" w:after="240"/>
        <w:ind w:firstLine="720"/>
        <w:jc w:val="both"/>
        <w:rPr>
          <w:rFonts w:asciiTheme="majorHAnsi" w:hAnsiTheme="majorHAnsi"/>
          <w:bCs/>
          <w:i/>
          <w:iCs/>
          <w:sz w:val="20"/>
          <w:szCs w:val="20"/>
          <w:lang w:val="es-ES_tradnl"/>
        </w:rPr>
      </w:pPr>
      <w:r w:rsidRPr="00325643">
        <w:rPr>
          <w:rFonts w:asciiTheme="majorHAnsi" w:hAnsiTheme="majorHAnsi"/>
          <w:bCs/>
          <w:i/>
          <w:iCs/>
          <w:sz w:val="20"/>
          <w:szCs w:val="20"/>
          <w:lang w:val="es-ES_tradnl"/>
        </w:rPr>
        <w:t>Alegatos de la parte peticionaria</w:t>
      </w:r>
    </w:p>
    <w:p w14:paraId="1935EF0A" w14:textId="7AFA6FB1" w:rsidR="0064059A" w:rsidRPr="00325643" w:rsidRDefault="009E0E41" w:rsidP="0064059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25643">
        <w:rPr>
          <w:rFonts w:ascii="Cambria" w:hAnsi="Cambria"/>
          <w:sz w:val="20"/>
          <w:szCs w:val="20"/>
          <w:lang w:val="es-ES_tradnl"/>
        </w:rPr>
        <w:t xml:space="preserve">La parte peticionaria </w:t>
      </w:r>
      <w:r w:rsidR="006A254E" w:rsidRPr="00325643">
        <w:rPr>
          <w:rFonts w:ascii="Cambria" w:hAnsi="Cambria"/>
          <w:sz w:val="20"/>
          <w:szCs w:val="20"/>
          <w:lang w:val="es-ES_tradnl"/>
        </w:rPr>
        <w:t xml:space="preserve">denuncia </w:t>
      </w:r>
      <w:r w:rsidRPr="00325643">
        <w:rPr>
          <w:rFonts w:ascii="Cambria" w:hAnsi="Cambria"/>
          <w:sz w:val="20"/>
          <w:szCs w:val="20"/>
          <w:lang w:val="es-ES_tradnl"/>
        </w:rPr>
        <w:t xml:space="preserve">que </w:t>
      </w:r>
      <w:r w:rsidR="0064059A" w:rsidRPr="00325643">
        <w:rPr>
          <w:rFonts w:ascii="Cambria" w:hAnsi="Cambria"/>
          <w:sz w:val="20"/>
          <w:szCs w:val="20"/>
          <w:lang w:val="es-ES_tradnl"/>
        </w:rPr>
        <w:t xml:space="preserve">integrantes del Servicio de Protección Institucional </w:t>
      </w:r>
      <w:r w:rsidR="008805C2" w:rsidRPr="00325643">
        <w:rPr>
          <w:rFonts w:ascii="Cambria" w:hAnsi="Cambria"/>
          <w:sz w:val="20"/>
          <w:szCs w:val="20"/>
          <w:lang w:val="es-ES_tradnl"/>
        </w:rPr>
        <w:t xml:space="preserve">(SPI) </w:t>
      </w:r>
      <w:r w:rsidR="0064059A" w:rsidRPr="00325643">
        <w:rPr>
          <w:rFonts w:ascii="Cambria" w:hAnsi="Cambria"/>
          <w:sz w:val="20"/>
          <w:szCs w:val="20"/>
          <w:lang w:val="es-ES_tradnl"/>
        </w:rPr>
        <w:t>agredieron a las presuntas víctimas, mientras realizaban una manifestación pacífica en los predios de la Presidencia de la República</w:t>
      </w:r>
      <w:r w:rsidR="00FD23B0" w:rsidRPr="00325643">
        <w:rPr>
          <w:rFonts w:ascii="Cambria" w:hAnsi="Cambria"/>
          <w:sz w:val="20"/>
          <w:szCs w:val="20"/>
          <w:lang w:val="es-ES_tradnl"/>
        </w:rPr>
        <w:t xml:space="preserve"> al haber sufrido una intoxicación por una negligencia de la Caja de Seguro Social</w:t>
      </w:r>
      <w:r w:rsidR="0064059A" w:rsidRPr="00325643">
        <w:rPr>
          <w:rFonts w:ascii="Cambria" w:hAnsi="Cambria"/>
          <w:sz w:val="20"/>
          <w:szCs w:val="20"/>
          <w:lang w:val="es-ES_tradnl"/>
        </w:rPr>
        <w:t>.</w:t>
      </w:r>
    </w:p>
    <w:p w14:paraId="3B407B10" w14:textId="55AA1C8E" w:rsidR="00C20078" w:rsidRPr="00325643" w:rsidRDefault="009624F0" w:rsidP="00C200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25643">
        <w:rPr>
          <w:rFonts w:ascii="Cambria" w:hAnsi="Cambria"/>
          <w:sz w:val="20"/>
          <w:szCs w:val="20"/>
          <w:lang w:val="es-ES_tradnl"/>
        </w:rPr>
        <w:t xml:space="preserve">A modo de contexto, explica que </w:t>
      </w:r>
      <w:r w:rsidR="00E7716E" w:rsidRPr="00325643">
        <w:rPr>
          <w:rFonts w:ascii="Cambria" w:hAnsi="Cambria"/>
          <w:sz w:val="20"/>
          <w:szCs w:val="20"/>
          <w:lang w:val="es-ES_tradnl"/>
        </w:rPr>
        <w:t xml:space="preserve">entre el 2004 y el 2006 la Caja de Seguro Social distribuyó </w:t>
      </w:r>
      <w:r w:rsidRPr="00325643">
        <w:rPr>
          <w:rFonts w:ascii="Cambria" w:hAnsi="Cambria"/>
          <w:sz w:val="20"/>
          <w:szCs w:val="20"/>
          <w:lang w:val="es-ES_tradnl"/>
        </w:rPr>
        <w:t xml:space="preserve">miles de envases y recetas </w:t>
      </w:r>
      <w:r w:rsidR="007C3FC4" w:rsidRPr="00325643">
        <w:rPr>
          <w:rFonts w:ascii="Cambria" w:hAnsi="Cambria"/>
          <w:sz w:val="20"/>
          <w:szCs w:val="20"/>
          <w:lang w:val="es-ES_tradnl"/>
        </w:rPr>
        <w:t>en todo el país</w:t>
      </w:r>
      <w:r w:rsidRPr="00325643">
        <w:rPr>
          <w:rFonts w:ascii="Cambria" w:hAnsi="Cambria"/>
          <w:sz w:val="20"/>
          <w:szCs w:val="20"/>
          <w:lang w:val="es-ES_tradnl"/>
        </w:rPr>
        <w:t>, los cuales c</w:t>
      </w:r>
      <w:r w:rsidR="001951AE" w:rsidRPr="00325643">
        <w:rPr>
          <w:rFonts w:ascii="Cambria" w:hAnsi="Cambria"/>
          <w:sz w:val="20"/>
          <w:szCs w:val="20"/>
          <w:lang w:val="es-ES_tradnl"/>
        </w:rPr>
        <w:t>ontenían una sustancia tóxica conocida como dietilenglicol</w:t>
      </w:r>
      <w:r w:rsidR="002D37D9" w:rsidRPr="00325643">
        <w:rPr>
          <w:rFonts w:ascii="Cambria" w:hAnsi="Cambria"/>
          <w:sz w:val="20"/>
          <w:szCs w:val="20"/>
          <w:lang w:val="es-ES_tradnl"/>
        </w:rPr>
        <w:t>.</w:t>
      </w:r>
      <w:r w:rsidR="006A254E" w:rsidRPr="00325643">
        <w:rPr>
          <w:rFonts w:ascii="Cambria" w:hAnsi="Cambria"/>
          <w:sz w:val="20"/>
          <w:szCs w:val="20"/>
          <w:lang w:val="es-ES_tradnl"/>
        </w:rPr>
        <w:t xml:space="preserve"> </w:t>
      </w:r>
      <w:r w:rsidR="002D37D9" w:rsidRPr="00325643">
        <w:rPr>
          <w:rFonts w:ascii="Cambria" w:hAnsi="Cambria"/>
          <w:sz w:val="20"/>
          <w:szCs w:val="20"/>
          <w:lang w:val="es-ES_tradnl"/>
        </w:rPr>
        <w:t>P</w:t>
      </w:r>
      <w:r w:rsidR="001951AE" w:rsidRPr="00325643">
        <w:rPr>
          <w:rFonts w:ascii="Cambria" w:hAnsi="Cambria"/>
          <w:sz w:val="20"/>
          <w:szCs w:val="20"/>
          <w:lang w:val="es-ES_tradnl"/>
        </w:rPr>
        <w:t>roducto de esta negligencia</w:t>
      </w:r>
      <w:r w:rsidR="002D37D9" w:rsidRPr="00325643">
        <w:rPr>
          <w:rFonts w:ascii="Cambria" w:hAnsi="Cambria"/>
          <w:sz w:val="20"/>
          <w:szCs w:val="20"/>
          <w:lang w:val="es-ES_tradnl"/>
        </w:rPr>
        <w:t xml:space="preserve"> habrían fallecido</w:t>
      </w:r>
      <w:r w:rsidR="001951AE" w:rsidRPr="00325643">
        <w:rPr>
          <w:rFonts w:ascii="Cambria" w:hAnsi="Cambria"/>
          <w:sz w:val="20"/>
          <w:szCs w:val="20"/>
          <w:lang w:val="es-ES_tradnl"/>
        </w:rPr>
        <w:t xml:space="preserve"> 12,600 personas</w:t>
      </w:r>
      <w:r w:rsidR="002D37D9" w:rsidRPr="00325643">
        <w:rPr>
          <w:rFonts w:ascii="Cambria" w:hAnsi="Cambria"/>
          <w:sz w:val="20"/>
          <w:szCs w:val="20"/>
          <w:lang w:val="es-ES_tradnl"/>
        </w:rPr>
        <w:t>,</w:t>
      </w:r>
      <w:r w:rsidR="001951AE" w:rsidRPr="00325643">
        <w:rPr>
          <w:rFonts w:ascii="Cambria" w:hAnsi="Cambria"/>
          <w:sz w:val="20"/>
          <w:szCs w:val="20"/>
          <w:lang w:val="es-ES_tradnl"/>
        </w:rPr>
        <w:t xml:space="preserve"> y sobrevivieron cerca de 3</w:t>
      </w:r>
      <w:r w:rsidR="002D37D9" w:rsidRPr="00325643">
        <w:rPr>
          <w:rFonts w:ascii="Cambria" w:hAnsi="Cambria"/>
          <w:sz w:val="20"/>
          <w:szCs w:val="20"/>
          <w:lang w:val="es-ES_tradnl"/>
        </w:rPr>
        <w:t>,</w:t>
      </w:r>
      <w:r w:rsidR="001951AE" w:rsidRPr="00325643">
        <w:rPr>
          <w:rFonts w:ascii="Cambria" w:hAnsi="Cambria"/>
          <w:sz w:val="20"/>
          <w:szCs w:val="20"/>
          <w:lang w:val="es-ES_tradnl"/>
        </w:rPr>
        <w:t xml:space="preserve">000. Afirma </w:t>
      </w:r>
      <w:r w:rsidR="00BF705E" w:rsidRPr="00325643">
        <w:rPr>
          <w:rFonts w:ascii="Cambria" w:hAnsi="Cambria"/>
          <w:sz w:val="20"/>
          <w:szCs w:val="20"/>
          <w:lang w:val="es-ES_tradnl"/>
        </w:rPr>
        <w:t>que</w:t>
      </w:r>
      <w:r w:rsidR="001951AE" w:rsidRPr="00325643">
        <w:rPr>
          <w:rFonts w:ascii="Cambria" w:hAnsi="Cambria"/>
          <w:sz w:val="20"/>
          <w:szCs w:val="20"/>
          <w:lang w:val="es-ES_tradnl"/>
        </w:rPr>
        <w:t xml:space="preserve"> </w:t>
      </w:r>
      <w:r w:rsidR="007C4618" w:rsidRPr="00325643">
        <w:rPr>
          <w:rFonts w:ascii="Cambria" w:hAnsi="Cambria"/>
          <w:sz w:val="20"/>
          <w:szCs w:val="20"/>
          <w:lang w:val="es-ES_tradnl"/>
        </w:rPr>
        <w:t>a pesar de que</w:t>
      </w:r>
      <w:r w:rsidR="00BF705E" w:rsidRPr="00325643">
        <w:rPr>
          <w:rFonts w:ascii="Cambria" w:hAnsi="Cambria"/>
          <w:sz w:val="20"/>
          <w:szCs w:val="20"/>
          <w:lang w:val="es-ES_tradnl"/>
        </w:rPr>
        <w:t xml:space="preserve"> desde 2006 resultaba evidente el incremento de muertes por dicha sustancia, las autoridades pretendieron ocultar lo que estaba pasando</w:t>
      </w:r>
      <w:r w:rsidR="00932DC4" w:rsidRPr="00325643">
        <w:rPr>
          <w:rFonts w:ascii="Cambria" w:hAnsi="Cambria"/>
          <w:sz w:val="20"/>
          <w:szCs w:val="20"/>
          <w:lang w:val="es-ES_tradnl"/>
        </w:rPr>
        <w:t>, hasta que</w:t>
      </w:r>
      <w:r w:rsidR="0068228E" w:rsidRPr="00325643">
        <w:rPr>
          <w:rFonts w:ascii="Cambria" w:hAnsi="Cambria"/>
          <w:sz w:val="20"/>
          <w:szCs w:val="20"/>
          <w:lang w:val="es-ES_tradnl"/>
        </w:rPr>
        <w:t xml:space="preserve"> los medios de comunicación “Mi Diario” y “La Prensa” informaron sobre la muerte de varias personas por insuficiencia renal y trastorno neurológico.</w:t>
      </w:r>
    </w:p>
    <w:p w14:paraId="110971AC" w14:textId="718B6DAB" w:rsidR="00C20078" w:rsidRPr="00325643" w:rsidRDefault="00932DC4" w:rsidP="4F6A8D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4F6A8DC8">
        <w:rPr>
          <w:rFonts w:ascii="Cambria" w:hAnsi="Cambria"/>
          <w:sz w:val="20"/>
          <w:szCs w:val="20"/>
          <w:lang w:val="es-ES"/>
        </w:rPr>
        <w:t>Destaca que, a</w:t>
      </w:r>
      <w:r w:rsidR="006D2957" w:rsidRPr="4F6A8DC8">
        <w:rPr>
          <w:rFonts w:ascii="Cambria" w:hAnsi="Cambria"/>
          <w:sz w:val="20"/>
          <w:szCs w:val="20"/>
          <w:lang w:val="es-ES"/>
        </w:rPr>
        <w:t xml:space="preserve"> partir de los reclamos realizados por las personas </w:t>
      </w:r>
      <w:r w:rsidR="00BF6B1D" w:rsidRPr="4F6A8DC8">
        <w:rPr>
          <w:rFonts w:ascii="Cambria" w:hAnsi="Cambria"/>
          <w:sz w:val="20"/>
          <w:szCs w:val="20"/>
          <w:lang w:val="es-ES"/>
        </w:rPr>
        <w:t>perjudicadas,</w:t>
      </w:r>
      <w:r w:rsidR="00C20078" w:rsidRPr="4F6A8DC8">
        <w:rPr>
          <w:rFonts w:ascii="Cambria" w:hAnsi="Cambria"/>
          <w:sz w:val="20"/>
          <w:szCs w:val="20"/>
          <w:lang w:val="es-ES"/>
        </w:rPr>
        <w:t xml:space="preserve"> el 16 de marzo de 2007 el Gobierno Nacional otorgó apoyo económico, por razones humanitarias a los sobrevivientes de las víctimas y a los pacientes afectados de síndrome de insuficiencia renal aguda, en consideración a que la situación descrita había generado una crisis socioeconómica en el núcleo familiar de muchos panameños. Tras ello, el 25 de junio de 2007</w:t>
      </w:r>
      <w:r w:rsidR="00FD23B0" w:rsidRPr="4F6A8DC8">
        <w:rPr>
          <w:rFonts w:ascii="Cambria" w:hAnsi="Cambria"/>
          <w:sz w:val="20"/>
          <w:szCs w:val="20"/>
          <w:lang w:val="es-ES"/>
        </w:rPr>
        <w:t xml:space="preserve"> también</w:t>
      </w:r>
      <w:r w:rsidR="00C20078" w:rsidRPr="4F6A8DC8">
        <w:rPr>
          <w:rFonts w:ascii="Cambria" w:hAnsi="Cambria"/>
          <w:sz w:val="20"/>
          <w:szCs w:val="20"/>
          <w:lang w:val="es-ES"/>
        </w:rPr>
        <w:t xml:space="preserve"> estableció el procedimiento para el reconocimiento de un apoyo económico por parte del Órgano Ejecutivo a los afectados por el síndrome de insuficiencia renal aguda producto del consumo de medicamentos elaborados en el Laboratorio de Medicamentos de la Caja de Seguro Social contaminados con dietilenglicol. Afirma que este procedimiento consideró como afectados únicamente a aquellas personas cuyos casos sean reconocidos por la Comisión Técnica Interinstitucional del Ministerio de Salud y la Caja de Seguro Social en conjunto con las Subcomisiones Clínic</w:t>
      </w:r>
      <w:r w:rsidR="00B82E6D" w:rsidRPr="4F6A8DC8">
        <w:rPr>
          <w:rFonts w:ascii="Cambria" w:hAnsi="Cambria"/>
          <w:sz w:val="20"/>
          <w:szCs w:val="20"/>
          <w:lang w:val="es-ES"/>
        </w:rPr>
        <w:t xml:space="preserve">as </w:t>
      </w:r>
      <w:r w:rsidR="00C20078" w:rsidRPr="4F6A8DC8">
        <w:rPr>
          <w:rFonts w:ascii="Cambria" w:hAnsi="Cambria"/>
          <w:sz w:val="20"/>
          <w:szCs w:val="20"/>
          <w:lang w:val="es-ES"/>
        </w:rPr>
        <w:t>Patológicas establecidas para el proceso de identificación de personas presumiblemente afectadas por e</w:t>
      </w:r>
      <w:r w:rsidR="00B82E6D" w:rsidRPr="4F6A8DC8">
        <w:rPr>
          <w:rFonts w:ascii="Cambria" w:hAnsi="Cambria"/>
          <w:sz w:val="20"/>
          <w:szCs w:val="20"/>
          <w:lang w:val="es-ES"/>
        </w:rPr>
        <w:t>l s</w:t>
      </w:r>
      <w:r w:rsidR="00C20078" w:rsidRPr="4F6A8DC8">
        <w:rPr>
          <w:rFonts w:ascii="Cambria" w:hAnsi="Cambria"/>
          <w:sz w:val="20"/>
          <w:szCs w:val="20"/>
          <w:lang w:val="es-ES"/>
        </w:rPr>
        <w:t xml:space="preserve">índrome. </w:t>
      </w:r>
    </w:p>
    <w:p w14:paraId="325A9BF1" w14:textId="4C7D8142" w:rsidR="00C20078" w:rsidRPr="00325643" w:rsidRDefault="00C20078" w:rsidP="00932D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25643">
        <w:rPr>
          <w:rFonts w:ascii="Cambria" w:hAnsi="Cambria"/>
          <w:sz w:val="20"/>
          <w:szCs w:val="20"/>
          <w:lang w:val="es-ES_tradnl"/>
        </w:rPr>
        <w:t xml:space="preserve">No obstante, indica que las presuntas víctimas se encontraron descontentas por las diferencias de criterio entre la Comisión Técnica Interinstitucional del Ministerio de Salud, la Caja de Seguro Social y las Subcomisiones Clínicas Patológicas, por lo que 19 de julio de 2007 realizaron una manifestación en los predios de la Presidencia de la República para entregar un pliego de </w:t>
      </w:r>
      <w:r w:rsidR="00F66F74" w:rsidRPr="00325643">
        <w:rPr>
          <w:rFonts w:ascii="Cambria" w:hAnsi="Cambria"/>
          <w:sz w:val="20"/>
          <w:szCs w:val="20"/>
          <w:lang w:val="es-ES_tradnl"/>
        </w:rPr>
        <w:t>peticiones</w:t>
      </w:r>
      <w:r w:rsidRPr="00325643">
        <w:rPr>
          <w:rFonts w:ascii="Cambria" w:hAnsi="Cambria"/>
          <w:sz w:val="20"/>
          <w:szCs w:val="20"/>
          <w:lang w:val="es-ES_tradnl"/>
        </w:rPr>
        <w:t xml:space="preserve">. </w:t>
      </w:r>
      <w:r w:rsidR="00F66F74" w:rsidRPr="00325643">
        <w:rPr>
          <w:rFonts w:ascii="Cambria" w:hAnsi="Cambria"/>
          <w:sz w:val="20"/>
          <w:szCs w:val="20"/>
          <w:lang w:val="es-ES_tradnl"/>
        </w:rPr>
        <w:t>Allí</w:t>
      </w:r>
      <w:r w:rsidRPr="00325643">
        <w:rPr>
          <w:rFonts w:ascii="Cambria" w:hAnsi="Cambria"/>
          <w:sz w:val="20"/>
          <w:szCs w:val="20"/>
          <w:lang w:val="es-ES_tradnl"/>
        </w:rPr>
        <w:t xml:space="preserve">, tras esperar más de tres horas, las presuntas víctimas intentaron marchar adentro </w:t>
      </w:r>
      <w:r w:rsidR="00ED20D3" w:rsidRPr="00325643">
        <w:rPr>
          <w:rFonts w:ascii="Cambria" w:hAnsi="Cambria"/>
          <w:sz w:val="20"/>
          <w:szCs w:val="20"/>
          <w:lang w:val="es-ES_tradnl"/>
        </w:rPr>
        <w:t>de la propia</w:t>
      </w:r>
      <w:r w:rsidRPr="00325643">
        <w:rPr>
          <w:rFonts w:ascii="Cambria" w:hAnsi="Cambria"/>
          <w:sz w:val="20"/>
          <w:szCs w:val="20"/>
          <w:lang w:val="es-ES_tradnl"/>
        </w:rPr>
        <w:t xml:space="preserve"> Presidencia de la República, por lo que los integrantes del </w:t>
      </w:r>
      <w:r w:rsidR="000353D3" w:rsidRPr="00325643">
        <w:rPr>
          <w:rFonts w:ascii="Cambria" w:hAnsi="Cambria"/>
          <w:sz w:val="20"/>
          <w:szCs w:val="20"/>
          <w:lang w:val="es-ES_tradnl"/>
        </w:rPr>
        <w:t>SPI</w:t>
      </w:r>
      <w:r w:rsidRPr="00325643">
        <w:rPr>
          <w:rFonts w:ascii="Cambria" w:hAnsi="Cambria"/>
          <w:sz w:val="20"/>
          <w:szCs w:val="20"/>
          <w:lang w:val="es-ES_tradnl"/>
        </w:rPr>
        <w:t xml:space="preserve"> impidieron su ingreso</w:t>
      </w:r>
      <w:r w:rsidR="00932DC4" w:rsidRPr="00325643">
        <w:rPr>
          <w:rFonts w:ascii="Cambria" w:hAnsi="Cambria"/>
          <w:sz w:val="20"/>
          <w:szCs w:val="20"/>
          <w:lang w:val="es-ES_tradnl"/>
        </w:rPr>
        <w:t xml:space="preserve"> mediante el uso de la fuerza</w:t>
      </w:r>
      <w:r w:rsidR="00BF6B1D" w:rsidRPr="00325643">
        <w:rPr>
          <w:rFonts w:ascii="Cambria" w:hAnsi="Cambria"/>
          <w:sz w:val="20"/>
          <w:szCs w:val="20"/>
          <w:lang w:val="es-ES_tradnl"/>
        </w:rPr>
        <w:t>, provocándoles lesiones</w:t>
      </w:r>
      <w:r w:rsidR="00C51618" w:rsidRPr="00325643">
        <w:rPr>
          <w:rFonts w:ascii="Cambria" w:hAnsi="Cambria"/>
          <w:sz w:val="20"/>
          <w:szCs w:val="20"/>
          <w:lang w:val="es-ES_tradnl"/>
        </w:rPr>
        <w:t xml:space="preserve"> </w:t>
      </w:r>
      <w:r w:rsidR="00DD2F35" w:rsidRPr="00325643">
        <w:rPr>
          <w:rFonts w:ascii="Cambria" w:hAnsi="Cambria"/>
          <w:sz w:val="20"/>
          <w:szCs w:val="20"/>
          <w:lang w:val="es-ES_tradnl"/>
        </w:rPr>
        <w:t xml:space="preserve">incluso </w:t>
      </w:r>
      <w:r w:rsidR="00C51618" w:rsidRPr="00325643">
        <w:rPr>
          <w:rFonts w:ascii="Cambria" w:hAnsi="Cambria"/>
          <w:sz w:val="20"/>
          <w:szCs w:val="20"/>
          <w:lang w:val="es-ES_tradnl"/>
        </w:rPr>
        <w:t xml:space="preserve">a personas que se </w:t>
      </w:r>
      <w:r w:rsidR="000353D3" w:rsidRPr="00325643">
        <w:rPr>
          <w:rFonts w:ascii="Cambria" w:hAnsi="Cambria"/>
          <w:sz w:val="20"/>
          <w:szCs w:val="20"/>
          <w:lang w:val="es-ES_tradnl"/>
        </w:rPr>
        <w:t>encontrarían</w:t>
      </w:r>
      <w:r w:rsidR="00C51618" w:rsidRPr="00325643">
        <w:rPr>
          <w:rFonts w:ascii="Cambria" w:hAnsi="Cambria"/>
          <w:sz w:val="20"/>
          <w:szCs w:val="20"/>
          <w:lang w:val="es-ES_tradnl"/>
        </w:rPr>
        <w:t xml:space="preserve"> enferma</w:t>
      </w:r>
      <w:r w:rsidR="00FD23B0" w:rsidRPr="00325643">
        <w:rPr>
          <w:rFonts w:ascii="Cambria" w:hAnsi="Cambria"/>
          <w:sz w:val="20"/>
          <w:szCs w:val="20"/>
          <w:lang w:val="es-ES_tradnl"/>
        </w:rPr>
        <w:t>s</w:t>
      </w:r>
      <w:r w:rsidR="00C51618" w:rsidRPr="00325643">
        <w:rPr>
          <w:rFonts w:ascii="Cambria" w:hAnsi="Cambria"/>
          <w:sz w:val="20"/>
          <w:szCs w:val="20"/>
          <w:lang w:val="es-ES_tradnl"/>
        </w:rPr>
        <w:t>.</w:t>
      </w:r>
      <w:r w:rsidR="00FD23B0" w:rsidRPr="00325643">
        <w:rPr>
          <w:rFonts w:ascii="Cambria" w:hAnsi="Cambria"/>
          <w:sz w:val="20"/>
          <w:szCs w:val="20"/>
          <w:lang w:val="es-ES_tradnl"/>
        </w:rPr>
        <w:t xml:space="preserve"> Destaca</w:t>
      </w:r>
      <w:r w:rsidR="00DD2F35" w:rsidRPr="00325643">
        <w:rPr>
          <w:rFonts w:ascii="Cambria" w:hAnsi="Cambria"/>
          <w:sz w:val="20"/>
          <w:szCs w:val="20"/>
          <w:lang w:val="es-ES_tradnl"/>
        </w:rPr>
        <w:t>n los peticionarios</w:t>
      </w:r>
      <w:r w:rsidR="00FD23B0" w:rsidRPr="00325643">
        <w:rPr>
          <w:rFonts w:ascii="Cambria" w:hAnsi="Cambria"/>
          <w:sz w:val="20"/>
          <w:szCs w:val="20"/>
          <w:lang w:val="es-ES_tradnl"/>
        </w:rPr>
        <w:t xml:space="preserve"> que en algunos casos los golpes que recibieron provocaron que algunas de las presuntas víctimas tuvieran que </w:t>
      </w:r>
      <w:r w:rsidR="00A65A26" w:rsidRPr="00325643">
        <w:rPr>
          <w:rFonts w:ascii="Cambria" w:hAnsi="Cambria"/>
          <w:sz w:val="20"/>
          <w:szCs w:val="20"/>
          <w:lang w:val="es-ES_tradnl"/>
        </w:rPr>
        <w:t>recibir atención médica</w:t>
      </w:r>
      <w:r w:rsidR="00FD23B0" w:rsidRPr="00325643">
        <w:rPr>
          <w:rFonts w:ascii="Cambria" w:hAnsi="Cambria"/>
          <w:sz w:val="20"/>
          <w:szCs w:val="20"/>
          <w:lang w:val="es-ES_tradnl"/>
        </w:rPr>
        <w:t xml:space="preserve">. </w:t>
      </w:r>
    </w:p>
    <w:p w14:paraId="591D38D4" w14:textId="1DBFB3C0" w:rsidR="00C20078" w:rsidRPr="00325643" w:rsidRDefault="00A65A26" w:rsidP="00A14ED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25643">
        <w:rPr>
          <w:rFonts w:ascii="Cambria" w:hAnsi="Cambria"/>
          <w:sz w:val="20"/>
          <w:szCs w:val="20"/>
          <w:lang w:val="es-ES_tradnl"/>
        </w:rPr>
        <w:t>E</w:t>
      </w:r>
      <w:r w:rsidR="00FD23B0" w:rsidRPr="00325643">
        <w:rPr>
          <w:rFonts w:ascii="Cambria" w:hAnsi="Cambria"/>
          <w:sz w:val="20"/>
          <w:szCs w:val="20"/>
          <w:lang w:val="es-ES_tradnl"/>
        </w:rPr>
        <w:t>n razón a</w:t>
      </w:r>
      <w:r w:rsidR="00C20078" w:rsidRPr="00325643">
        <w:rPr>
          <w:rFonts w:ascii="Cambria" w:hAnsi="Cambria"/>
          <w:sz w:val="20"/>
          <w:szCs w:val="20"/>
          <w:lang w:val="es-ES_tradnl"/>
        </w:rPr>
        <w:t xml:space="preserve"> estos últimos hechos</w:t>
      </w:r>
      <w:r w:rsidR="00FD23B0" w:rsidRPr="00325643">
        <w:rPr>
          <w:rFonts w:ascii="Cambria" w:hAnsi="Cambria"/>
          <w:sz w:val="20"/>
          <w:szCs w:val="20"/>
          <w:lang w:val="es-ES_tradnl"/>
        </w:rPr>
        <w:t xml:space="preserve">, el Ministerio Público </w:t>
      </w:r>
      <w:r w:rsidR="00C20078" w:rsidRPr="00325643">
        <w:rPr>
          <w:rFonts w:ascii="Cambria" w:hAnsi="Cambria"/>
          <w:sz w:val="20"/>
          <w:szCs w:val="20"/>
          <w:lang w:val="es-ES_tradnl"/>
        </w:rPr>
        <w:t>inició una investigación</w:t>
      </w:r>
      <w:r w:rsidR="00BF6B1D" w:rsidRPr="00325643">
        <w:rPr>
          <w:rFonts w:ascii="Cambria" w:hAnsi="Cambria"/>
          <w:sz w:val="20"/>
          <w:szCs w:val="20"/>
          <w:lang w:val="es-ES_tradnl"/>
        </w:rPr>
        <w:t xml:space="preserve"> contra cuatro integrantes del Servicio de Protección Institucional</w:t>
      </w:r>
      <w:r w:rsidR="00C20078" w:rsidRPr="00325643">
        <w:rPr>
          <w:rFonts w:ascii="Cambria" w:hAnsi="Cambria"/>
          <w:sz w:val="20"/>
          <w:szCs w:val="20"/>
          <w:lang w:val="es-ES_tradnl"/>
        </w:rPr>
        <w:t xml:space="preserve"> por </w:t>
      </w:r>
      <w:r w:rsidR="00BF6B1D" w:rsidRPr="00325643">
        <w:rPr>
          <w:rFonts w:ascii="Cambria" w:hAnsi="Cambria"/>
          <w:sz w:val="20"/>
          <w:szCs w:val="20"/>
          <w:lang w:val="es-ES_tradnl"/>
        </w:rPr>
        <w:t>los</w:t>
      </w:r>
      <w:r w:rsidR="00C20078" w:rsidRPr="00325643">
        <w:rPr>
          <w:rFonts w:ascii="Cambria" w:hAnsi="Cambria"/>
          <w:sz w:val="20"/>
          <w:szCs w:val="20"/>
          <w:lang w:val="es-ES_tradnl"/>
        </w:rPr>
        <w:t xml:space="preserve"> delito</w:t>
      </w:r>
      <w:r w:rsidR="00BF6B1D" w:rsidRPr="00325643">
        <w:rPr>
          <w:rFonts w:ascii="Cambria" w:hAnsi="Cambria"/>
          <w:sz w:val="20"/>
          <w:szCs w:val="20"/>
          <w:lang w:val="es-ES_tradnl"/>
        </w:rPr>
        <w:t>s</w:t>
      </w:r>
      <w:r w:rsidR="00C20078" w:rsidRPr="00325643">
        <w:rPr>
          <w:rFonts w:ascii="Cambria" w:hAnsi="Cambria"/>
          <w:sz w:val="20"/>
          <w:szCs w:val="20"/>
          <w:lang w:val="es-ES_tradnl"/>
        </w:rPr>
        <w:t xml:space="preserve"> de abuso de autoridad</w:t>
      </w:r>
      <w:r w:rsidR="00BF6B1D" w:rsidRPr="00325643">
        <w:rPr>
          <w:rFonts w:ascii="Cambria" w:hAnsi="Cambria"/>
          <w:sz w:val="20"/>
          <w:szCs w:val="20"/>
          <w:lang w:val="es-ES_tradnl"/>
        </w:rPr>
        <w:t>, infracción de los deberes de los servidores públicos y contra la libertad personal</w:t>
      </w:r>
      <w:r w:rsidR="00C20078" w:rsidRPr="00325643">
        <w:rPr>
          <w:rFonts w:ascii="Cambria" w:hAnsi="Cambria"/>
          <w:sz w:val="20"/>
          <w:szCs w:val="20"/>
          <w:lang w:val="es-ES_tradnl"/>
        </w:rPr>
        <w:t xml:space="preserve">. No obstante, el 24 de febrero de 2012 el Juzgado Octavo de Circuito Judicial de lo Penal, tras la resolución de distintos incidentes, emitió sentencia absolutoria en favor de todos los imputados. </w:t>
      </w:r>
      <w:r w:rsidR="00DC37F9" w:rsidRPr="00325643">
        <w:rPr>
          <w:rFonts w:ascii="Cambria" w:hAnsi="Cambria"/>
          <w:sz w:val="20"/>
          <w:szCs w:val="20"/>
          <w:lang w:val="es-ES_tradnl"/>
        </w:rPr>
        <w:t>La parte peticionaria s</w:t>
      </w:r>
      <w:r w:rsidR="00C20078" w:rsidRPr="00325643">
        <w:rPr>
          <w:rFonts w:ascii="Cambria" w:hAnsi="Cambria"/>
          <w:sz w:val="20"/>
          <w:szCs w:val="20"/>
          <w:lang w:val="es-ES_tradnl"/>
        </w:rPr>
        <w:t xml:space="preserve">eñala que la Fiscalía Decimoquinta del Primer Circuito Judicial de Panamá apeló esta decisión, pero el 28 de junio de 2013 el Segundo Tribunal Superior de Justicia del Primer Distrito Judicial de Panamá confirmó la sentencia absolutoria de primera instancia. Afirma que esta </w:t>
      </w:r>
      <w:r w:rsidR="00BF6B1D" w:rsidRPr="00325643">
        <w:rPr>
          <w:rFonts w:ascii="Cambria" w:hAnsi="Cambria"/>
          <w:sz w:val="20"/>
          <w:szCs w:val="20"/>
          <w:lang w:val="es-ES_tradnl"/>
        </w:rPr>
        <w:t xml:space="preserve">última </w:t>
      </w:r>
      <w:r w:rsidR="00C20078" w:rsidRPr="00325643">
        <w:rPr>
          <w:rFonts w:ascii="Cambria" w:hAnsi="Cambria"/>
          <w:sz w:val="20"/>
          <w:szCs w:val="20"/>
          <w:lang w:val="es-ES_tradnl"/>
        </w:rPr>
        <w:t xml:space="preserve">decisión se notificó el 19 de agosto de 2013. </w:t>
      </w:r>
      <w:r w:rsidR="002A49FC" w:rsidRPr="00325643">
        <w:rPr>
          <w:rFonts w:ascii="Cambria" w:hAnsi="Cambria"/>
          <w:sz w:val="20"/>
          <w:szCs w:val="20"/>
          <w:lang w:val="es-ES_tradnl"/>
        </w:rPr>
        <w:t>Estos son</w:t>
      </w:r>
      <w:r w:rsidR="00BF6B1D" w:rsidRPr="00325643">
        <w:rPr>
          <w:rFonts w:ascii="Cambria" w:hAnsi="Cambria"/>
          <w:sz w:val="20"/>
          <w:szCs w:val="20"/>
          <w:lang w:val="es-ES_tradnl"/>
        </w:rPr>
        <w:t xml:space="preserve"> algunos de los principales fundamentos de </w:t>
      </w:r>
      <w:r w:rsidR="00A14EDF" w:rsidRPr="00325643">
        <w:rPr>
          <w:rFonts w:ascii="Cambria" w:hAnsi="Cambria"/>
          <w:sz w:val="20"/>
          <w:szCs w:val="20"/>
          <w:lang w:val="es-ES_tradnl"/>
        </w:rPr>
        <w:t>esta última</w:t>
      </w:r>
      <w:r w:rsidR="00BF6B1D" w:rsidRPr="00325643">
        <w:rPr>
          <w:rFonts w:ascii="Cambria" w:hAnsi="Cambria"/>
          <w:sz w:val="20"/>
          <w:szCs w:val="20"/>
          <w:lang w:val="es-ES_tradnl"/>
        </w:rPr>
        <w:t xml:space="preserve"> decisión</w:t>
      </w:r>
      <w:r w:rsidR="00660EA3" w:rsidRPr="00325643">
        <w:rPr>
          <w:rFonts w:ascii="Cambria" w:hAnsi="Cambria"/>
          <w:sz w:val="20"/>
          <w:szCs w:val="20"/>
          <w:lang w:val="es-ES_tradnl"/>
        </w:rPr>
        <w:t xml:space="preserve"> para confirmas la absolución de los cuatro procesados</w:t>
      </w:r>
      <w:r w:rsidR="00BF6B1D" w:rsidRPr="00325643">
        <w:rPr>
          <w:rFonts w:ascii="Cambria" w:hAnsi="Cambria"/>
          <w:sz w:val="20"/>
          <w:szCs w:val="20"/>
          <w:lang w:val="es-ES_tradnl"/>
        </w:rPr>
        <w:t>:</w:t>
      </w:r>
    </w:p>
    <w:p w14:paraId="61E63994" w14:textId="4B74D12F" w:rsidR="005F63D5" w:rsidRPr="00325643" w:rsidRDefault="005F63D5" w:rsidP="4F6A8D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lang w:val="es-ES"/>
        </w:rPr>
      </w:pPr>
      <w:r w:rsidRPr="4F6A8DC8">
        <w:rPr>
          <w:rFonts w:ascii="Cambria" w:hAnsi="Cambria"/>
          <w:sz w:val="18"/>
          <w:szCs w:val="18"/>
          <w:lang w:val="es-ES"/>
        </w:rPr>
        <w:t>[…] en cuanto a la responsabilidad del señor procesado […], el mismo en declaración de descargo expres</w:t>
      </w:r>
      <w:r w:rsidR="00660EA3" w:rsidRPr="4F6A8DC8">
        <w:rPr>
          <w:rFonts w:ascii="Cambria" w:hAnsi="Cambria"/>
          <w:sz w:val="18"/>
          <w:szCs w:val="18"/>
          <w:lang w:val="es-ES"/>
        </w:rPr>
        <w:t>ó</w:t>
      </w:r>
      <w:r w:rsidRPr="4F6A8DC8">
        <w:rPr>
          <w:rFonts w:ascii="Cambria" w:hAnsi="Cambria"/>
          <w:sz w:val="18"/>
          <w:szCs w:val="18"/>
          <w:lang w:val="es-ES"/>
        </w:rPr>
        <w:t>,</w:t>
      </w:r>
      <w:r w:rsidR="00660EA3" w:rsidRPr="4F6A8DC8">
        <w:rPr>
          <w:rFonts w:ascii="Cambria" w:hAnsi="Cambria"/>
          <w:sz w:val="18"/>
          <w:szCs w:val="18"/>
          <w:lang w:val="es-ES"/>
        </w:rPr>
        <w:t xml:space="preserve"> [que]</w:t>
      </w:r>
      <w:r w:rsidRPr="4F6A8DC8">
        <w:rPr>
          <w:rFonts w:ascii="Cambria" w:hAnsi="Cambria"/>
          <w:sz w:val="18"/>
          <w:szCs w:val="18"/>
          <w:lang w:val="es-ES"/>
        </w:rPr>
        <w:t xml:space="preserve"> su actuación estaba basada en el artículo 2142 del Código Judicial, el cual hace referencia a la flagrancia y el grado de agresividad mantenida por el señor Gabriel Pascual, y </w:t>
      </w:r>
      <w:r w:rsidR="00660EA3" w:rsidRPr="4F6A8DC8">
        <w:rPr>
          <w:rFonts w:ascii="Cambria" w:hAnsi="Cambria"/>
          <w:sz w:val="18"/>
          <w:szCs w:val="18"/>
          <w:lang w:val="es-ES"/>
        </w:rPr>
        <w:t xml:space="preserve">que </w:t>
      </w:r>
      <w:r w:rsidRPr="4F6A8DC8">
        <w:rPr>
          <w:rFonts w:ascii="Cambria" w:hAnsi="Cambria"/>
          <w:sz w:val="18"/>
          <w:szCs w:val="18"/>
          <w:lang w:val="es-ES"/>
        </w:rPr>
        <w:t xml:space="preserve">la patada lanzada hacia el denunciante, nunca lo alcanzó y, fue realizada con el propósito de distraer al señor PASCUAL, para aprehenderlo y recuperar la vara policial, el mismo </w:t>
      </w:r>
      <w:r w:rsidR="00660EA3" w:rsidRPr="4F6A8DC8">
        <w:rPr>
          <w:rFonts w:ascii="Cambria" w:hAnsi="Cambria"/>
          <w:sz w:val="18"/>
          <w:szCs w:val="18"/>
          <w:lang w:val="es-ES"/>
        </w:rPr>
        <w:t xml:space="preserve">[con el cual] </w:t>
      </w:r>
      <w:r w:rsidRPr="4F6A8DC8">
        <w:rPr>
          <w:rFonts w:ascii="Cambria" w:hAnsi="Cambria"/>
          <w:sz w:val="18"/>
          <w:szCs w:val="18"/>
          <w:lang w:val="es-ES"/>
        </w:rPr>
        <w:t xml:space="preserve">había agredido con esta a otras unidades […]. La Inspección Ocular </w:t>
      </w:r>
      <w:r w:rsidR="00660EA3" w:rsidRPr="4F6A8DC8">
        <w:rPr>
          <w:rFonts w:ascii="Cambria" w:hAnsi="Cambria"/>
          <w:sz w:val="18"/>
          <w:szCs w:val="18"/>
          <w:lang w:val="es-ES"/>
        </w:rPr>
        <w:t>a</w:t>
      </w:r>
      <w:r w:rsidRPr="4F6A8DC8">
        <w:rPr>
          <w:rFonts w:ascii="Cambria" w:hAnsi="Cambria"/>
          <w:sz w:val="18"/>
          <w:szCs w:val="18"/>
          <w:lang w:val="es-ES"/>
        </w:rPr>
        <w:t xml:space="preserve">l video suministrado por corporación Medcom, confirma la versión ofrecida por el señor procesado […]. El Examen Médico Legal, practicado al señor Olmedo Pascual, por el Dr. Gabriel Barrios Sing Vang, del Instituto de Medicina legal, le asigna incapacidad de seis (6) días a partir del Incidente y las lesiones no pusieron en peligro su vida.  De lo anterior puede establecerse la </w:t>
      </w:r>
      <w:r w:rsidRPr="4F6A8DC8">
        <w:rPr>
          <w:rFonts w:ascii="Cambria" w:hAnsi="Cambria"/>
          <w:sz w:val="18"/>
          <w:szCs w:val="18"/>
          <w:lang w:val="es-ES"/>
        </w:rPr>
        <w:lastRenderedPageBreak/>
        <w:t>conducta del señor procesado […], es adecuada las normas de procedimiento establecidas en el Decreto Ley No. 2 de 8 de julio de 1999.</w:t>
      </w:r>
    </w:p>
    <w:p w14:paraId="2ACAC467" w14:textId="5DFB7D3D" w:rsidR="000127C7" w:rsidRPr="00325643" w:rsidRDefault="00761B67" w:rsidP="4F6A8D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lang w:val="es-ES"/>
        </w:rPr>
      </w:pPr>
      <w:r w:rsidRPr="4F6A8DC8">
        <w:rPr>
          <w:rFonts w:ascii="Cambria" w:hAnsi="Cambria"/>
          <w:sz w:val="18"/>
          <w:szCs w:val="18"/>
          <w:lang w:val="es-ES"/>
        </w:rPr>
        <w:t xml:space="preserve">[…] en cuanto a la responsabilidad penal del señor procesado […], el cual fue señalado por la señora BETRIZ VILLAR CAMARENA, como la persona, quien la golpeó con una vara policial en su estómago, debemos establecer: </w:t>
      </w:r>
      <w:r w:rsidR="000127C7" w:rsidRPr="4F6A8DC8">
        <w:rPr>
          <w:rFonts w:ascii="Cambria" w:hAnsi="Cambria"/>
          <w:sz w:val="18"/>
          <w:szCs w:val="18"/>
          <w:lang w:val="es-ES"/>
        </w:rPr>
        <w:t>La afectada, señor Beatriz Villar, en declaración jurada, manifiesta “</w:t>
      </w:r>
      <w:r w:rsidR="000127C7" w:rsidRPr="4F6A8DC8">
        <w:rPr>
          <w:rFonts w:ascii="Cambria" w:hAnsi="Cambria"/>
          <w:i/>
          <w:iCs/>
          <w:sz w:val="18"/>
          <w:szCs w:val="18"/>
          <w:lang w:val="es-ES"/>
        </w:rPr>
        <w:t>el señor PASCUAL no había acabado de decir que se habían acabado los 30 minutos cuando fuimos estrellados contra los policiales, con tal mala suerte que la teniente me metió la vara policial en el estómago y yo perdí el conocimiento</w:t>
      </w:r>
      <w:r w:rsidR="00660EA3" w:rsidRPr="4F6A8DC8">
        <w:rPr>
          <w:rFonts w:ascii="Cambria" w:hAnsi="Cambria"/>
          <w:sz w:val="18"/>
          <w:szCs w:val="18"/>
          <w:lang w:val="es-ES"/>
        </w:rPr>
        <w:t>”</w:t>
      </w:r>
      <w:r w:rsidR="000127C7" w:rsidRPr="4F6A8DC8">
        <w:rPr>
          <w:rFonts w:ascii="Cambria" w:hAnsi="Cambria"/>
          <w:sz w:val="18"/>
          <w:szCs w:val="18"/>
          <w:lang w:val="es-ES"/>
        </w:rPr>
        <w:t>. En esta primera narración de los sucesos acaecidos el día 19 de julio de 2007, la señora Villar, manifiesta, quien le causó las lesiones fue una teniente. Luego en la diligencia de Inspección ocular al video, contentivo de la vistas (sic) filmadas por la Corporación MEDCON, se rectifica manifestando</w:t>
      </w:r>
      <w:r w:rsidR="00660EA3" w:rsidRPr="4F6A8DC8">
        <w:rPr>
          <w:rFonts w:ascii="Cambria" w:hAnsi="Cambria"/>
          <w:sz w:val="18"/>
          <w:szCs w:val="18"/>
          <w:lang w:val="es-ES"/>
        </w:rPr>
        <w:t xml:space="preserve"> [que]</w:t>
      </w:r>
      <w:r w:rsidR="000127C7" w:rsidRPr="4F6A8DC8">
        <w:rPr>
          <w:rFonts w:ascii="Cambria" w:hAnsi="Cambria"/>
          <w:sz w:val="18"/>
          <w:szCs w:val="18"/>
          <w:lang w:val="es-ES"/>
        </w:rPr>
        <w:t xml:space="preserve"> no fue la teniente […] no obstante, declara fue el agente de al lado. En Inspección Ocular al video suministrado por Corporación Medcom, apreciamos como una persona de cabello lacio negro y blusa amarilla (señora Beatriz Villar), procede a desvanecerse, siendo auxiliada por particulares y miembros del Servicio de protección Institucional. En virtud de lo anterior, podemos establecer</w:t>
      </w:r>
      <w:r w:rsidR="00660EA3" w:rsidRPr="4F6A8DC8">
        <w:rPr>
          <w:rFonts w:ascii="Cambria" w:hAnsi="Cambria"/>
          <w:sz w:val="18"/>
          <w:szCs w:val="18"/>
          <w:lang w:val="es-ES"/>
        </w:rPr>
        <w:t xml:space="preserve"> [que]</w:t>
      </w:r>
      <w:r w:rsidR="000127C7" w:rsidRPr="4F6A8DC8">
        <w:rPr>
          <w:rFonts w:ascii="Cambria" w:hAnsi="Cambria"/>
          <w:sz w:val="18"/>
          <w:szCs w:val="18"/>
          <w:lang w:val="es-ES"/>
        </w:rPr>
        <w:t>, no constan elementos acreditando la responsabilidad penal del señor procesados Omar Abdiel Berrío, con el hecho investigado, el mismo utilizó de manera correcta los niveles de fuerza establecidos en el Decreto Ley No. 2 de 8 de julio de 1999.</w:t>
      </w:r>
    </w:p>
    <w:p w14:paraId="5697A4FC" w14:textId="77A7F6DE" w:rsidR="000127C7" w:rsidRPr="00325643" w:rsidRDefault="000127C7" w:rsidP="4F6A8D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lang w:val="es-ES"/>
        </w:rPr>
      </w:pPr>
      <w:r w:rsidRPr="4F6A8DC8">
        <w:rPr>
          <w:rFonts w:ascii="Cambria" w:hAnsi="Cambria"/>
          <w:sz w:val="18"/>
          <w:szCs w:val="18"/>
          <w:lang w:val="es-ES"/>
        </w:rPr>
        <w:t>[…] En cuanto a la responsabilidad penal de los señores […], debemos establecer: […] Si bien los señores procesados estaban encargados de supervisar la manifestación el día de los hechos, el tipo penal imputado, requiere de previsión, intensión, voluntad y desarrollo de los actos idóneos abusando de su cargo para cometer en perjuicio de alguna persona, cualquier hecho atribuido no clasificado especialmente en la Ley.</w:t>
      </w:r>
      <w:r w:rsidR="0002733A" w:rsidRPr="4F6A8DC8">
        <w:rPr>
          <w:rFonts w:ascii="Cambria" w:hAnsi="Cambria"/>
          <w:sz w:val="18"/>
          <w:szCs w:val="18"/>
          <w:lang w:val="es-ES"/>
        </w:rPr>
        <w:t xml:space="preserve"> Lo anterior significa, no está acreditado en el proceso, la voluntad de producir un resultado dañoso, a los pacientes afectos por el Dietilenglicol, máxime cuando, las Diligencias de Inspección Ocular, establece los manifestantes estaban de un perímetro prohibido, esto es a 147.35 metros de distancia de la Presidencia de la República y, de acuerdo a nota emitidad (sic) por la Secretaria General de la Alcaldía de Panamá, los Familiares de Pacientes por el Derecho a la Salud y la Vida, no notificaron de una manifestación para el día 19 de julio de 2007, en los predios de la Presidencia de la República. Además se suscitarse hechos violentos los cuales requerían, la intervención de las unidades del Servicio de Protección Institucional, a fin de evitar que una muchedumbre enardeciada (sic) ingresaran al Palacio presidencial.</w:t>
      </w:r>
    </w:p>
    <w:p w14:paraId="546A6FC6" w14:textId="13964082" w:rsidR="0002733A" w:rsidRPr="00325643" w:rsidRDefault="0002733A" w:rsidP="4F6A8D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lang w:val="es-ES"/>
        </w:rPr>
      </w:pPr>
      <w:r w:rsidRPr="4F6A8DC8">
        <w:rPr>
          <w:rFonts w:ascii="Cambria" w:hAnsi="Cambria"/>
          <w:sz w:val="18"/>
          <w:szCs w:val="18"/>
          <w:lang w:val="es-ES"/>
        </w:rPr>
        <w:t xml:space="preserve">[…] En cuanto a la responsabilidad penal del señor procesado […], debemos establecer: El cargo atribuido al señor procesado […], consiste en haber rociado gas irritante en el rostro del manifestante, señor Ramsés García momentos en que éste ya había sido esposado y neutralizado por otros agentes del orden público. Precisamente, el día de los hechos, el señor Ramses García, es aprehendido por miembros del Servicio de protección institucional, luego de arrebatarle una vara de reglamento a una unidad del Servicio de Protección Institucional de acuerdo a Diligencia de Inspección ocular del video aportado por la empresa MEDCOM, el mismo estaba resistiendo al arresto, empuja a un subcomisionado, por lo cual el señor procesado […], le aplica un rociador en el rostro a objeto de evitar la resistencia al arresto del señor Ramsés García. Lo anterior cumple con los requisitos establecidos en el Decreto Ley No. 2 de 8 de julio de 1999, el cual limita el uso de la fuerza a los miembros del Servicio de Protección Institucional, por cuanto, hizo uso de fuerza no letal apropiada, para no ocasionar una lesión permanente en la persona del señor Ramses García. </w:t>
      </w:r>
    </w:p>
    <w:p w14:paraId="14153379" w14:textId="2A06C593" w:rsidR="00761B67" w:rsidRPr="00325643" w:rsidRDefault="0002733A" w:rsidP="00DE747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lang w:val="es-ES_tradnl"/>
        </w:rPr>
      </w:pPr>
      <w:r w:rsidRPr="00325643">
        <w:rPr>
          <w:rFonts w:ascii="Cambria" w:hAnsi="Cambria"/>
          <w:sz w:val="18"/>
          <w:szCs w:val="18"/>
          <w:lang w:val="es-ES_tradnl"/>
        </w:rPr>
        <w:t xml:space="preserve">Tenemos entonces, no consta el elemento dolo en el actuar de los señores procesados […] por cuando, los elementos probatorios aportado al proceso como son los testimonios, videos, Inspección Ocular, dejan serias dudas sobre la responsabilidad penal de los mismo. </w:t>
      </w:r>
    </w:p>
    <w:p w14:paraId="757570CC" w14:textId="7BB7ACB3" w:rsidR="00932DC4" w:rsidRPr="00325643" w:rsidRDefault="005A3532" w:rsidP="4F6A8D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iCs/>
          <w:sz w:val="20"/>
          <w:szCs w:val="20"/>
          <w:lang w:val="es-ES"/>
        </w:rPr>
      </w:pPr>
      <w:r w:rsidRPr="4F6A8DC8">
        <w:rPr>
          <w:rFonts w:ascii="Cambria" w:hAnsi="Cambria"/>
          <w:sz w:val="20"/>
          <w:szCs w:val="20"/>
          <w:lang w:val="es-ES"/>
        </w:rPr>
        <w:t xml:space="preserve">Con base en estas consideraciones de hecho, la parte peticionaria denuncia </w:t>
      </w:r>
      <w:r w:rsidR="00A14EDF" w:rsidRPr="4F6A8DC8">
        <w:rPr>
          <w:rFonts w:ascii="Cambria" w:hAnsi="Cambria"/>
          <w:sz w:val="20"/>
          <w:szCs w:val="20"/>
          <w:lang w:val="es-ES"/>
        </w:rPr>
        <w:t xml:space="preserve">que a la fecha la golpiza sufrida por las presuntas víctimas se mantiene impune, pues los órganos de justicia absolvieron a los responsables.  </w:t>
      </w:r>
    </w:p>
    <w:p w14:paraId="12C0CEBB" w14:textId="2E108C15" w:rsidR="007D522D" w:rsidRPr="00325643" w:rsidRDefault="007D522D" w:rsidP="00932DC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ES_tradnl"/>
        </w:rPr>
      </w:pPr>
      <w:r w:rsidRPr="00325643">
        <w:rPr>
          <w:rFonts w:ascii="Cambria" w:hAnsi="Cambria"/>
          <w:i/>
          <w:iCs/>
          <w:sz w:val="20"/>
          <w:szCs w:val="20"/>
          <w:lang w:val="es-ES_tradnl"/>
        </w:rPr>
        <w:t>Alegatos del Estado</w:t>
      </w:r>
      <w:r w:rsidR="008D40A6" w:rsidRPr="00325643">
        <w:rPr>
          <w:rFonts w:ascii="Cambria" w:hAnsi="Cambria"/>
          <w:i/>
          <w:iCs/>
          <w:sz w:val="20"/>
          <w:szCs w:val="20"/>
          <w:lang w:val="es-ES_tradnl"/>
        </w:rPr>
        <w:t xml:space="preserve"> panameño</w:t>
      </w:r>
    </w:p>
    <w:p w14:paraId="22BE39C5" w14:textId="51B01D53" w:rsidR="003614DB" w:rsidRPr="00325643" w:rsidRDefault="00C20078" w:rsidP="4F6A8D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4F6A8DC8">
        <w:rPr>
          <w:rFonts w:ascii="Cambria" w:hAnsi="Cambria"/>
          <w:sz w:val="20"/>
          <w:szCs w:val="20"/>
          <w:lang w:val="es-ES"/>
        </w:rPr>
        <w:t>Por su parte, e</w:t>
      </w:r>
      <w:r w:rsidR="004D4911" w:rsidRPr="4F6A8DC8">
        <w:rPr>
          <w:rFonts w:ascii="Cambria" w:hAnsi="Cambria"/>
          <w:sz w:val="20"/>
          <w:szCs w:val="20"/>
          <w:lang w:val="es-ES"/>
        </w:rPr>
        <w:t xml:space="preserve">l Estado solicita </w:t>
      </w:r>
      <w:r w:rsidR="00AE1777" w:rsidRPr="4F6A8DC8">
        <w:rPr>
          <w:rFonts w:ascii="Cambria" w:hAnsi="Cambria"/>
          <w:sz w:val="20"/>
          <w:szCs w:val="20"/>
          <w:lang w:val="es-ES"/>
        </w:rPr>
        <w:t xml:space="preserve">a la CIDH </w:t>
      </w:r>
      <w:r w:rsidR="004D4911" w:rsidRPr="4F6A8DC8">
        <w:rPr>
          <w:rFonts w:ascii="Cambria" w:hAnsi="Cambria"/>
          <w:sz w:val="20"/>
          <w:szCs w:val="20"/>
          <w:lang w:val="es-ES"/>
        </w:rPr>
        <w:t>que declare inadmisible el presente asunt</w:t>
      </w:r>
      <w:r w:rsidR="00495B3D" w:rsidRPr="4F6A8DC8">
        <w:rPr>
          <w:rFonts w:ascii="Cambria" w:hAnsi="Cambria"/>
          <w:sz w:val="20"/>
          <w:szCs w:val="20"/>
          <w:lang w:val="es-ES"/>
        </w:rPr>
        <w:t>o, toda vez que</w:t>
      </w:r>
      <w:r w:rsidR="00AE1777" w:rsidRPr="4F6A8DC8">
        <w:rPr>
          <w:rFonts w:ascii="Cambria" w:hAnsi="Cambria"/>
          <w:sz w:val="20"/>
          <w:szCs w:val="20"/>
          <w:lang w:val="es-ES"/>
        </w:rPr>
        <w:t>, a su juicio,</w:t>
      </w:r>
      <w:r w:rsidR="00495B3D" w:rsidRPr="4F6A8DC8">
        <w:rPr>
          <w:rFonts w:ascii="Cambria" w:hAnsi="Cambria"/>
          <w:sz w:val="20"/>
          <w:szCs w:val="20"/>
          <w:lang w:val="es-ES"/>
        </w:rPr>
        <w:t xml:space="preserve"> las presuntas víctimas no agotaron adecuadamente los recursos de la jurisdicción doméstica</w:t>
      </w:r>
      <w:r w:rsidR="004D4911" w:rsidRPr="4F6A8DC8">
        <w:rPr>
          <w:rFonts w:ascii="Cambria" w:hAnsi="Cambria"/>
          <w:sz w:val="20"/>
          <w:szCs w:val="20"/>
          <w:lang w:val="es-ES"/>
        </w:rPr>
        <w:t xml:space="preserve">. Al respecto, </w:t>
      </w:r>
      <w:r w:rsidR="00AE1777" w:rsidRPr="4F6A8DC8">
        <w:rPr>
          <w:rFonts w:ascii="Cambria" w:hAnsi="Cambria"/>
          <w:sz w:val="20"/>
          <w:szCs w:val="20"/>
          <w:lang w:val="es-ES"/>
        </w:rPr>
        <w:t>aduce</w:t>
      </w:r>
      <w:r w:rsidR="004D4911" w:rsidRPr="4F6A8DC8">
        <w:rPr>
          <w:rFonts w:ascii="Cambria" w:hAnsi="Cambria"/>
          <w:sz w:val="20"/>
          <w:szCs w:val="20"/>
          <w:lang w:val="es-ES"/>
        </w:rPr>
        <w:t xml:space="preserve"> que la parte peticionaria no había agotado los recursos internos al momento de presentar </w:t>
      </w:r>
      <w:r w:rsidR="004D4911" w:rsidRPr="4F6A8DC8">
        <w:rPr>
          <w:rFonts w:ascii="Cambria" w:hAnsi="Cambria"/>
          <w:sz w:val="20"/>
          <w:szCs w:val="20"/>
          <w:lang w:val="es-ES"/>
        </w:rPr>
        <w:lastRenderedPageBreak/>
        <w:t>su petición, toda vez que el proceso penal</w:t>
      </w:r>
      <w:r w:rsidR="006A254E" w:rsidRPr="4F6A8DC8">
        <w:rPr>
          <w:rFonts w:ascii="Cambria" w:hAnsi="Cambria"/>
          <w:sz w:val="20"/>
          <w:szCs w:val="20"/>
          <w:lang w:val="es-ES"/>
        </w:rPr>
        <w:t xml:space="preserve"> por los sucesos ocurridos el 19 de julio de 2007</w:t>
      </w:r>
      <w:r w:rsidR="004D4911" w:rsidRPr="4F6A8DC8">
        <w:rPr>
          <w:rFonts w:ascii="Cambria" w:hAnsi="Cambria"/>
          <w:sz w:val="20"/>
          <w:szCs w:val="20"/>
          <w:lang w:val="es-ES"/>
        </w:rPr>
        <w:t xml:space="preserve"> transcurrió con posterioridad al inicio del presente trámite. Sin perjuicio de ello, indica que durante el desarrollo del proceso penal las presuntas víctimas no interpusieron oportunamente ningún recurso, como </w:t>
      </w:r>
      <w:r w:rsidR="00495B3D" w:rsidRPr="4F6A8DC8">
        <w:rPr>
          <w:rFonts w:ascii="Cambria" w:hAnsi="Cambria"/>
          <w:sz w:val="20"/>
          <w:szCs w:val="20"/>
          <w:lang w:val="es-ES"/>
        </w:rPr>
        <w:t>por ejemplo el de casación, ni alguna otra acción a fin de cuestionar las determinaciones</w:t>
      </w:r>
      <w:r w:rsidR="00235CA1" w:rsidRPr="4F6A8DC8">
        <w:rPr>
          <w:rFonts w:ascii="Cambria" w:hAnsi="Cambria"/>
          <w:sz w:val="20"/>
          <w:szCs w:val="20"/>
          <w:lang w:val="es-ES"/>
        </w:rPr>
        <w:t xml:space="preserve"> judiciales</w:t>
      </w:r>
      <w:r w:rsidR="00495B3D" w:rsidRPr="4F6A8DC8">
        <w:rPr>
          <w:rFonts w:ascii="Cambria" w:hAnsi="Cambria"/>
          <w:sz w:val="20"/>
          <w:szCs w:val="20"/>
          <w:lang w:val="es-ES"/>
        </w:rPr>
        <w:t xml:space="preserve"> adoptad</w:t>
      </w:r>
      <w:r w:rsidR="00235CA1" w:rsidRPr="4F6A8DC8">
        <w:rPr>
          <w:rFonts w:ascii="Cambria" w:hAnsi="Cambria"/>
          <w:sz w:val="20"/>
          <w:szCs w:val="20"/>
          <w:lang w:val="es-ES"/>
        </w:rPr>
        <w:t>a</w:t>
      </w:r>
      <w:r w:rsidR="00495B3D" w:rsidRPr="4F6A8DC8">
        <w:rPr>
          <w:rFonts w:ascii="Cambria" w:hAnsi="Cambria"/>
          <w:sz w:val="20"/>
          <w:szCs w:val="20"/>
          <w:lang w:val="es-ES"/>
        </w:rPr>
        <w:t xml:space="preserve">s por los órganos </w:t>
      </w:r>
      <w:r w:rsidR="00235CA1" w:rsidRPr="4F6A8DC8">
        <w:rPr>
          <w:rFonts w:ascii="Cambria" w:hAnsi="Cambria"/>
          <w:sz w:val="20"/>
          <w:szCs w:val="20"/>
          <w:lang w:val="es-ES"/>
        </w:rPr>
        <w:t>del sistema de justicia</w:t>
      </w:r>
      <w:r w:rsidR="00495B3D" w:rsidRPr="4F6A8DC8">
        <w:rPr>
          <w:rFonts w:ascii="Cambria" w:hAnsi="Cambria"/>
          <w:sz w:val="20"/>
          <w:szCs w:val="20"/>
          <w:lang w:val="es-ES"/>
        </w:rPr>
        <w:t xml:space="preserve">. Por ello, solicita a la CIDH que declare la inadmisibilidad de esta petición por no cumplir con el requisito previsto en el artículo 46.1.a) de la Convención. </w:t>
      </w:r>
    </w:p>
    <w:p w14:paraId="106D2125" w14:textId="24EFD633" w:rsidR="00495B3D" w:rsidRPr="00325643" w:rsidRDefault="00495B3D" w:rsidP="4F6A8D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4F6A8DC8">
        <w:rPr>
          <w:rFonts w:ascii="Cambria" w:hAnsi="Cambria"/>
          <w:sz w:val="20"/>
          <w:szCs w:val="20"/>
          <w:lang w:val="es-ES"/>
        </w:rPr>
        <w:t xml:space="preserve">Sin perjuicio de ello, en caso </w:t>
      </w:r>
      <w:r w:rsidR="00873E12" w:rsidRPr="4F6A8DC8">
        <w:rPr>
          <w:rFonts w:ascii="Cambria" w:hAnsi="Cambria"/>
          <w:sz w:val="20"/>
          <w:szCs w:val="20"/>
          <w:lang w:val="es-ES"/>
        </w:rPr>
        <w:t xml:space="preserve">de que </w:t>
      </w:r>
      <w:r w:rsidR="009E6943" w:rsidRPr="4F6A8DC8">
        <w:rPr>
          <w:rFonts w:ascii="Cambria" w:hAnsi="Cambria"/>
          <w:sz w:val="20"/>
          <w:szCs w:val="20"/>
          <w:lang w:val="es-ES"/>
        </w:rPr>
        <w:t>l</w:t>
      </w:r>
      <w:r w:rsidRPr="4F6A8DC8">
        <w:rPr>
          <w:rFonts w:ascii="Cambria" w:hAnsi="Cambria"/>
          <w:sz w:val="20"/>
          <w:szCs w:val="20"/>
          <w:lang w:val="es-ES"/>
        </w:rPr>
        <w:t xml:space="preserve">a Comisión considerase adecuadamente agotados los recursos internos, alega que la parte peticionaria presentó su petición de manera extemporánea. Indica que la última decisión judicial </w:t>
      </w:r>
      <w:r w:rsidR="006A254E" w:rsidRPr="4F6A8DC8">
        <w:rPr>
          <w:rFonts w:ascii="Cambria" w:hAnsi="Cambria"/>
          <w:sz w:val="20"/>
          <w:szCs w:val="20"/>
          <w:lang w:val="es-ES"/>
        </w:rPr>
        <w:t xml:space="preserve">del proceso por los incidentes ocurridos las instalaciones de la Presidencia de la República </w:t>
      </w:r>
      <w:r w:rsidRPr="4F6A8DC8">
        <w:rPr>
          <w:rFonts w:ascii="Cambria" w:hAnsi="Cambria"/>
          <w:sz w:val="20"/>
          <w:szCs w:val="20"/>
          <w:lang w:val="es-ES"/>
        </w:rPr>
        <w:t>se notificó el 19 de agosto de 2013</w:t>
      </w:r>
      <w:r w:rsidR="009E6943" w:rsidRPr="4F6A8DC8">
        <w:rPr>
          <w:rFonts w:ascii="Cambria" w:hAnsi="Cambria"/>
          <w:sz w:val="20"/>
          <w:szCs w:val="20"/>
          <w:lang w:val="es-ES"/>
        </w:rPr>
        <w:t>,</w:t>
      </w:r>
      <w:r w:rsidRPr="4F6A8DC8">
        <w:rPr>
          <w:rFonts w:ascii="Cambria" w:hAnsi="Cambria"/>
          <w:sz w:val="20"/>
          <w:szCs w:val="20"/>
          <w:lang w:val="es-ES"/>
        </w:rPr>
        <w:t xml:space="preserve"> y a pesar de ello, la parte peticionaria recién informó esta situación el 1 de diciembre de 2016, transcurriendo tres años sin que se presente ningún tipo de documentación al respecto. A juicio del Estado, esto resulta especialmente grave, dado que el 6 de agosto de 2012 la CIDH solicitó a la parte peticionaria que brinde información sobre el agotamiento de los recursos internos y que confirme si subsistían los motivos que propiciaron la petición, concediendo el plazo de un mes para la presentación de la información, con la advertencia de desactivar el expediente de no recibirse esta documentación. En consecuencia, el Estado solicita que, en aplicación del artículo 46.1.b) de la Convención, la CIDH declare inadmisible el presente asunto por su falta de actividad procesal tras la emisión de la sentencia que agotó la jurisdicción interna y la solicitud de información que recibió la parte peticionaria. </w:t>
      </w:r>
    </w:p>
    <w:p w14:paraId="1E74DD4D" w14:textId="5C81E524" w:rsidR="003614DB" w:rsidRPr="00325643" w:rsidRDefault="003614DB" w:rsidP="00932D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25643">
        <w:rPr>
          <w:rFonts w:ascii="Cambria" w:hAnsi="Cambria"/>
          <w:sz w:val="20"/>
          <w:szCs w:val="20"/>
          <w:lang w:val="es-ES_tradnl"/>
        </w:rPr>
        <w:t xml:space="preserve">Finalmente, </w:t>
      </w:r>
      <w:r w:rsidR="008D139E" w:rsidRPr="00325643">
        <w:rPr>
          <w:rFonts w:ascii="Cambria" w:hAnsi="Cambria"/>
          <w:sz w:val="20"/>
          <w:szCs w:val="20"/>
          <w:lang w:val="es-ES_tradnl"/>
        </w:rPr>
        <w:t>Panamá</w:t>
      </w:r>
      <w:r w:rsidR="00495B3D" w:rsidRPr="00325643">
        <w:rPr>
          <w:rFonts w:ascii="Cambria" w:hAnsi="Cambria"/>
          <w:sz w:val="20"/>
          <w:szCs w:val="20"/>
          <w:lang w:val="es-ES_tradnl"/>
        </w:rPr>
        <w:t xml:space="preserve"> arguye que los hechos denunciados no caracterizan violaciones de derechos humanos que le sean atribuibles. </w:t>
      </w:r>
      <w:r w:rsidR="00C20078" w:rsidRPr="00325643">
        <w:rPr>
          <w:rFonts w:ascii="Cambria" w:hAnsi="Cambria"/>
          <w:sz w:val="20"/>
          <w:szCs w:val="20"/>
          <w:lang w:val="es-ES_tradnl"/>
        </w:rPr>
        <w:t>R</w:t>
      </w:r>
      <w:r w:rsidR="00495B3D" w:rsidRPr="00325643">
        <w:rPr>
          <w:rFonts w:ascii="Cambria" w:hAnsi="Cambria"/>
          <w:sz w:val="20"/>
          <w:szCs w:val="20"/>
          <w:lang w:val="es-ES_tradnl"/>
        </w:rPr>
        <w:t xml:space="preserve">efiere que el accionar de los integrantes del </w:t>
      </w:r>
      <w:r w:rsidR="00B51118" w:rsidRPr="00325643">
        <w:rPr>
          <w:rFonts w:ascii="Cambria" w:hAnsi="Cambria"/>
          <w:sz w:val="20"/>
          <w:szCs w:val="20"/>
          <w:lang w:val="es-ES_tradnl"/>
        </w:rPr>
        <w:t>SPI</w:t>
      </w:r>
      <w:r w:rsidR="00495B3D" w:rsidRPr="00325643">
        <w:rPr>
          <w:rFonts w:ascii="Cambria" w:hAnsi="Cambria"/>
          <w:sz w:val="20"/>
          <w:szCs w:val="20"/>
          <w:lang w:val="es-ES_tradnl"/>
        </w:rPr>
        <w:t xml:space="preserve"> se realizó con apeg</w:t>
      </w:r>
      <w:r w:rsidR="0061793A" w:rsidRPr="00325643">
        <w:rPr>
          <w:rFonts w:ascii="Cambria" w:hAnsi="Cambria"/>
          <w:sz w:val="20"/>
          <w:szCs w:val="20"/>
          <w:lang w:val="es-ES_tradnl"/>
        </w:rPr>
        <w:t>o</w:t>
      </w:r>
      <w:r w:rsidR="00495B3D" w:rsidRPr="00325643">
        <w:rPr>
          <w:rFonts w:ascii="Cambria" w:hAnsi="Cambria"/>
          <w:sz w:val="20"/>
          <w:szCs w:val="20"/>
          <w:lang w:val="es-ES_tradnl"/>
        </w:rPr>
        <w:t xml:space="preserve"> </w:t>
      </w:r>
      <w:r w:rsidR="0061793A" w:rsidRPr="00325643">
        <w:rPr>
          <w:rFonts w:ascii="Cambria" w:hAnsi="Cambria"/>
          <w:sz w:val="20"/>
          <w:szCs w:val="20"/>
          <w:lang w:val="es-ES_tradnl"/>
        </w:rPr>
        <w:t>a la ley</w:t>
      </w:r>
      <w:r w:rsidR="00495B3D" w:rsidRPr="00325643">
        <w:rPr>
          <w:rFonts w:ascii="Cambria" w:hAnsi="Cambria"/>
          <w:sz w:val="20"/>
          <w:szCs w:val="20"/>
          <w:lang w:val="es-ES_tradnl"/>
        </w:rPr>
        <w:t xml:space="preserve"> y de manera proporcional</w:t>
      </w:r>
      <w:r w:rsidR="00AC67EB" w:rsidRPr="00325643">
        <w:rPr>
          <w:rFonts w:ascii="Cambria" w:hAnsi="Cambria"/>
          <w:sz w:val="20"/>
          <w:szCs w:val="20"/>
          <w:lang w:val="es-ES_tradnl"/>
        </w:rPr>
        <w:t xml:space="preserve"> al</w:t>
      </w:r>
      <w:r w:rsidR="00495B3D" w:rsidRPr="00325643">
        <w:rPr>
          <w:rFonts w:ascii="Cambria" w:hAnsi="Cambria"/>
          <w:sz w:val="20"/>
          <w:szCs w:val="20"/>
          <w:lang w:val="es-ES_tradnl"/>
        </w:rPr>
        <w:t xml:space="preserve"> accionar de los manifestantes</w:t>
      </w:r>
      <w:r w:rsidR="00AC67EB" w:rsidRPr="00325643">
        <w:rPr>
          <w:rFonts w:ascii="Cambria" w:hAnsi="Cambria"/>
          <w:sz w:val="20"/>
          <w:szCs w:val="20"/>
          <w:lang w:val="es-ES_tradnl"/>
        </w:rPr>
        <w:t>, y</w:t>
      </w:r>
      <w:r w:rsidR="00C51618" w:rsidRPr="00325643">
        <w:rPr>
          <w:rFonts w:ascii="Cambria" w:hAnsi="Cambria"/>
          <w:sz w:val="20"/>
          <w:szCs w:val="20"/>
          <w:lang w:val="es-ES_tradnl"/>
        </w:rPr>
        <w:t xml:space="preserve"> tuvo como objetivo garantizar la propia seguridad de los manifestantes más vulnerables y preservar el orden en las instalaciones de la Presidencia de la República. Además,</w:t>
      </w:r>
      <w:r w:rsidR="00932DC4" w:rsidRPr="00325643">
        <w:rPr>
          <w:rFonts w:ascii="Cambria" w:hAnsi="Cambria"/>
          <w:sz w:val="20"/>
          <w:szCs w:val="20"/>
          <w:lang w:val="es-ES_tradnl"/>
        </w:rPr>
        <w:t xml:space="preserve"> solo recurrieron a la fuerza cuando se encontraba realmente amenazado el orden público</w:t>
      </w:r>
      <w:r w:rsidR="0061793A" w:rsidRPr="00325643">
        <w:rPr>
          <w:rFonts w:ascii="Cambria" w:hAnsi="Cambria"/>
          <w:sz w:val="20"/>
          <w:szCs w:val="20"/>
          <w:lang w:val="es-ES_tradnl"/>
        </w:rPr>
        <w:t>;</w:t>
      </w:r>
      <w:r w:rsidR="00932DC4" w:rsidRPr="00325643">
        <w:rPr>
          <w:rFonts w:ascii="Cambria" w:hAnsi="Cambria"/>
          <w:sz w:val="20"/>
          <w:szCs w:val="20"/>
          <w:lang w:val="es-ES_tradnl"/>
        </w:rPr>
        <w:t xml:space="preserve"> y que tal intervención apenas duró diez minutos y guardó proporción con la amenaza que se trataba de controlar, dado que solo se </w:t>
      </w:r>
      <w:r w:rsidR="0061793A" w:rsidRPr="00325643">
        <w:rPr>
          <w:rFonts w:ascii="Cambria" w:hAnsi="Cambria"/>
          <w:sz w:val="20"/>
          <w:szCs w:val="20"/>
          <w:lang w:val="es-ES_tradnl"/>
        </w:rPr>
        <w:t>utilizó</w:t>
      </w:r>
      <w:r w:rsidR="00932DC4" w:rsidRPr="00325643">
        <w:rPr>
          <w:rFonts w:ascii="Cambria" w:hAnsi="Cambria"/>
          <w:sz w:val="20"/>
          <w:szCs w:val="20"/>
          <w:lang w:val="es-ES_tradnl"/>
        </w:rPr>
        <w:t xml:space="preserve"> rociador urticante y el tolete reglamentario.</w:t>
      </w:r>
      <w:r w:rsidR="00495B3D" w:rsidRPr="00325643">
        <w:rPr>
          <w:rFonts w:ascii="Cambria" w:hAnsi="Cambria"/>
          <w:sz w:val="20"/>
          <w:szCs w:val="20"/>
          <w:lang w:val="es-ES_tradnl"/>
        </w:rPr>
        <w:t xml:space="preserve"> Por tales razones, solicita a la Comisión que declare inadmisible el presente asunto y disponga su archivo definitivo. </w:t>
      </w:r>
    </w:p>
    <w:p w14:paraId="5B9E173C" w14:textId="310E93B1" w:rsidR="00932DC4" w:rsidRPr="00325643" w:rsidRDefault="003239B8" w:rsidP="00B35BFC">
      <w:pPr>
        <w:spacing w:before="240" w:after="240"/>
        <w:ind w:firstLine="720"/>
        <w:jc w:val="both"/>
        <w:rPr>
          <w:rFonts w:asciiTheme="majorHAnsi" w:hAnsiTheme="majorHAnsi"/>
          <w:sz w:val="20"/>
          <w:szCs w:val="20"/>
          <w:lang w:val="es-ES_tradnl"/>
        </w:rPr>
      </w:pPr>
      <w:r w:rsidRPr="00325643">
        <w:rPr>
          <w:rFonts w:asciiTheme="majorHAnsi" w:eastAsia="Cambria" w:hAnsiTheme="majorHAnsi" w:cs="Cambria"/>
          <w:b/>
          <w:bCs/>
          <w:color w:val="000000"/>
          <w:sz w:val="20"/>
          <w:szCs w:val="20"/>
          <w:u w:color="000000"/>
          <w:lang w:val="es-ES_tradnl" w:eastAsia="es-ES"/>
        </w:rPr>
        <w:t>VI.</w:t>
      </w:r>
      <w:r w:rsidRPr="00325643">
        <w:rPr>
          <w:rFonts w:asciiTheme="majorHAnsi" w:eastAsia="Cambria" w:hAnsiTheme="majorHAnsi" w:cs="Cambria"/>
          <w:b/>
          <w:bCs/>
          <w:color w:val="000000"/>
          <w:sz w:val="20"/>
          <w:szCs w:val="20"/>
          <w:u w:color="000000"/>
          <w:lang w:val="es-ES_tradnl" w:eastAsia="es-ES"/>
        </w:rPr>
        <w:tab/>
      </w:r>
      <w:r w:rsidR="004A6A54" w:rsidRPr="00325643">
        <w:rPr>
          <w:rFonts w:asciiTheme="majorHAnsi" w:hAnsiTheme="majorHAnsi"/>
          <w:b/>
          <w:bCs/>
          <w:sz w:val="20"/>
          <w:szCs w:val="20"/>
          <w:lang w:val="es-ES_tradnl"/>
        </w:rPr>
        <w:t xml:space="preserve">ANÁLISIS DE </w:t>
      </w:r>
      <w:r w:rsidR="00C21FEF" w:rsidRPr="00325643">
        <w:rPr>
          <w:rFonts w:asciiTheme="majorHAnsi" w:hAnsiTheme="majorHAnsi"/>
          <w:b/>
          <w:sz w:val="20"/>
          <w:szCs w:val="20"/>
          <w:lang w:val="es-ES_tradnl"/>
        </w:rPr>
        <w:t>AGOTAMIENTO DE LOS RECURSOS INTERNOS Y PLAZO DE PRESENTACIÓN</w:t>
      </w:r>
      <w:r w:rsidR="00C21FEF" w:rsidRPr="00325643">
        <w:rPr>
          <w:rFonts w:asciiTheme="majorHAnsi" w:eastAsia="Cambria" w:hAnsiTheme="majorHAnsi" w:cs="Cambria"/>
          <w:b/>
          <w:bCs/>
          <w:color w:val="000000"/>
          <w:sz w:val="20"/>
          <w:szCs w:val="20"/>
          <w:u w:color="000000"/>
          <w:lang w:val="es-ES_tradnl" w:eastAsia="es-ES"/>
        </w:rPr>
        <w:t xml:space="preserve"> </w:t>
      </w:r>
      <w:r w:rsidR="00932DC4" w:rsidRPr="00325643">
        <w:rPr>
          <w:rFonts w:asciiTheme="majorHAnsi" w:hAnsiTheme="majorHAnsi"/>
          <w:sz w:val="20"/>
          <w:szCs w:val="20"/>
          <w:highlight w:val="yellow"/>
          <w:lang w:val="es-ES_tradnl"/>
        </w:rPr>
        <w:t xml:space="preserve"> </w:t>
      </w:r>
    </w:p>
    <w:p w14:paraId="550E0BAB" w14:textId="77777777" w:rsidR="00B35BFC" w:rsidRPr="00325643" w:rsidRDefault="00B35BFC" w:rsidP="4F6A8D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4F6A8DC8">
        <w:rPr>
          <w:rFonts w:ascii="Cambria" w:hAnsi="Cambria"/>
          <w:sz w:val="20"/>
          <w:szCs w:val="20"/>
          <w:lang w:val="es-ES"/>
        </w:rPr>
        <w:t>Respecto al cuestionamiento del Estado sobre el hecho de que el agotamiento de la jurisdicción doméstica se produjo con posterioridad a la presentación de la petición, la CIDH reitera su posición constante según la cual el análisis sobre los requisitos previstos en los artículos 46 y 47 de la Convención debe hacerse a la luz de la situación vigente al momento en que se pronuncia sobre la admisibilidad o inadmisibilidad del reclamo. Es muy frecuente que, durante la tramitación, haya cambios en el estado de agotamiento de los recursos internos. No obstante, el sistema de peticiones y casos asegura que tanto el Estado como el peticionario tengan la plena oportunidad para presentar información y alegatos al respecto</w:t>
      </w:r>
      <w:r w:rsidRPr="4F6A8DC8">
        <w:rPr>
          <w:rStyle w:val="FootnoteReference"/>
          <w:rFonts w:ascii="Cambria" w:hAnsi="Cambria"/>
          <w:sz w:val="20"/>
          <w:szCs w:val="20"/>
          <w:lang w:val="es-ES"/>
        </w:rPr>
        <w:footnoteReference w:id="5"/>
      </w:r>
      <w:r w:rsidRPr="4F6A8DC8">
        <w:rPr>
          <w:rFonts w:ascii="Cambria" w:hAnsi="Cambria"/>
          <w:sz w:val="20"/>
          <w:szCs w:val="20"/>
          <w:lang w:val="es-ES"/>
        </w:rPr>
        <w:t>.</w:t>
      </w:r>
    </w:p>
    <w:p w14:paraId="04AF95EB" w14:textId="2193C161" w:rsidR="008C5E2D" w:rsidRPr="00325643" w:rsidRDefault="00B35BFC" w:rsidP="00B35BF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25643">
        <w:rPr>
          <w:rFonts w:ascii="Cambria" w:hAnsi="Cambria"/>
          <w:sz w:val="20"/>
          <w:szCs w:val="20"/>
          <w:lang w:val="es-ES_tradnl"/>
        </w:rPr>
        <w:t>E</w:t>
      </w:r>
      <w:r w:rsidR="006D6827" w:rsidRPr="00325643">
        <w:rPr>
          <w:rFonts w:ascii="Cambria" w:hAnsi="Cambria"/>
          <w:sz w:val="20"/>
          <w:szCs w:val="20"/>
          <w:lang w:val="es-ES_tradnl"/>
        </w:rPr>
        <w:t>n el presente asunto, la parte peticionaria</w:t>
      </w:r>
      <w:r w:rsidRPr="00325643">
        <w:rPr>
          <w:rFonts w:ascii="Cambria" w:hAnsi="Cambria"/>
          <w:sz w:val="20"/>
          <w:szCs w:val="20"/>
          <w:lang w:val="es-ES_tradnl"/>
        </w:rPr>
        <w:t xml:space="preserve"> </w:t>
      </w:r>
      <w:r w:rsidR="00B36E24" w:rsidRPr="00325643">
        <w:rPr>
          <w:rFonts w:ascii="Cambria" w:hAnsi="Cambria"/>
          <w:sz w:val="20"/>
          <w:szCs w:val="20"/>
          <w:lang w:val="es-ES_tradnl"/>
        </w:rPr>
        <w:t>indica</w:t>
      </w:r>
      <w:r w:rsidRPr="00325643">
        <w:rPr>
          <w:rFonts w:ascii="Cambria" w:hAnsi="Cambria"/>
          <w:sz w:val="20"/>
          <w:szCs w:val="20"/>
          <w:lang w:val="es-ES_tradnl"/>
        </w:rPr>
        <w:t xml:space="preserve"> expresamente que el objeto de este reclamo no trata sobre la intoxicación sufridas por las presuntas víctimas debido al consumo del dietilenglicol, sino que tiene como propósito cuestionar la falta de sanción a los responsables de las agresiones físicas que sufrieron tales personas al tratar de presentar un pliego de peticiones al entonces presidente. </w:t>
      </w:r>
      <w:r w:rsidR="006D6827" w:rsidRPr="00325643">
        <w:rPr>
          <w:rFonts w:ascii="Cambria" w:hAnsi="Cambria"/>
          <w:sz w:val="20"/>
          <w:szCs w:val="20"/>
          <w:lang w:val="es-ES_tradnl"/>
        </w:rPr>
        <w:t xml:space="preserve">Debido a ello, la CIDH enfocará el análisis del agotamiento de los recursos internos sobre tal aspecto. </w:t>
      </w:r>
    </w:p>
    <w:p w14:paraId="06FCAE38" w14:textId="77777777" w:rsidR="00B35BFC" w:rsidRPr="00325643" w:rsidRDefault="00625A03" w:rsidP="00B35BF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5643">
        <w:rPr>
          <w:rFonts w:ascii="Cambria" w:hAnsi="Cambria"/>
          <w:sz w:val="20"/>
          <w:szCs w:val="20"/>
          <w:lang w:val="es-ES_tradnl"/>
        </w:rPr>
        <w:t>Con base en esta precisión, la Comisión recuerda que una vez que el Estado toma conocimiento de hechos que pueden involucrar violaciones a la vida o integridad, corresponde a las autoridades conducir de manera oficiosa las investigaciones, al tratarse de delitos de acción pública</w:t>
      </w:r>
      <w:r w:rsidRPr="00325643">
        <w:rPr>
          <w:rStyle w:val="FootnoteReference"/>
          <w:rFonts w:ascii="Cambria" w:hAnsi="Cambria"/>
          <w:sz w:val="20"/>
          <w:szCs w:val="20"/>
          <w:lang w:val="es-ES_tradnl"/>
        </w:rPr>
        <w:footnoteReference w:id="6"/>
      </w:r>
      <w:r w:rsidRPr="00325643">
        <w:rPr>
          <w:rFonts w:ascii="Cambria" w:hAnsi="Cambria"/>
          <w:sz w:val="20"/>
          <w:szCs w:val="20"/>
          <w:lang w:val="es-ES_tradnl"/>
        </w:rPr>
        <w:t xml:space="preserve">. </w:t>
      </w:r>
      <w:r w:rsidR="00B35BFC" w:rsidRPr="00325643">
        <w:rPr>
          <w:rFonts w:asciiTheme="majorHAnsi" w:eastAsia="Times New Roman" w:hAnsiTheme="majorHAnsi"/>
          <w:sz w:val="20"/>
          <w:szCs w:val="20"/>
          <w:lang w:val="es-ES_tradnl" w:eastAsia="es-CO"/>
        </w:rPr>
        <w:t xml:space="preserve">A juicio de la Comisión </w:t>
      </w:r>
      <w:r w:rsidR="00B35BFC" w:rsidRPr="00325643">
        <w:rPr>
          <w:rFonts w:asciiTheme="majorHAnsi" w:hAnsiTheme="majorHAnsi"/>
          <w:sz w:val="20"/>
          <w:szCs w:val="20"/>
          <w:lang w:val="es-ES_tradnl"/>
        </w:rPr>
        <w:t xml:space="preserve">esta carga debe ser asumida por el Estado como un deber jurídico propio, y no como una gestión de intereses de particulares o que dependa de la aportación de pruebas por parte de estos. Pretender que la familia de la presunta víctima asuma esas responsabilidades, no solo sería incongruente con la jurisprudencia del sistema, </w:t>
      </w:r>
      <w:r w:rsidR="00B35BFC" w:rsidRPr="00325643">
        <w:rPr>
          <w:rFonts w:asciiTheme="majorHAnsi" w:hAnsiTheme="majorHAnsi"/>
          <w:sz w:val="20"/>
          <w:szCs w:val="20"/>
          <w:lang w:val="es-ES_tradnl"/>
        </w:rPr>
        <w:lastRenderedPageBreak/>
        <w:t>sino que impondría también una carga desigual a quienes, en general, carecen de los medios y de la idoneidad para descargar esas responsabilidades</w:t>
      </w:r>
      <w:r w:rsidR="00B35BFC" w:rsidRPr="00325643">
        <w:rPr>
          <w:rStyle w:val="FootnoteReference"/>
          <w:rFonts w:asciiTheme="majorHAnsi" w:hAnsiTheme="majorHAnsi"/>
          <w:sz w:val="20"/>
          <w:szCs w:val="20"/>
          <w:lang w:val="es-ES_tradnl"/>
        </w:rPr>
        <w:footnoteReference w:id="7"/>
      </w:r>
      <w:r w:rsidR="00B35BFC" w:rsidRPr="00325643">
        <w:rPr>
          <w:rFonts w:asciiTheme="majorHAnsi" w:hAnsiTheme="majorHAnsi"/>
          <w:sz w:val="20"/>
          <w:szCs w:val="20"/>
          <w:lang w:val="es-ES_tradnl"/>
        </w:rPr>
        <w:t xml:space="preserve">. </w:t>
      </w:r>
    </w:p>
    <w:p w14:paraId="5C65A2DF" w14:textId="57B7354F" w:rsidR="00FD23B0" w:rsidRPr="00325643" w:rsidRDefault="008972F7" w:rsidP="4F6A8D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4F6A8DC8">
        <w:rPr>
          <w:rFonts w:ascii="Cambria" w:hAnsi="Cambria"/>
          <w:sz w:val="20"/>
          <w:szCs w:val="20"/>
          <w:lang w:val="es-ES"/>
        </w:rPr>
        <w:t>L</w:t>
      </w:r>
      <w:r w:rsidR="00F86419" w:rsidRPr="4F6A8DC8">
        <w:rPr>
          <w:rFonts w:ascii="Cambria" w:hAnsi="Cambria"/>
          <w:sz w:val="20"/>
          <w:szCs w:val="20"/>
          <w:lang w:val="es-ES"/>
        </w:rPr>
        <w:t xml:space="preserve">a parte peticionaria considera que agotó la jurisdicción interna con la decisión del Segundo Tribunal Superior de Justicia del Primer Distrito Judicial de Panamá del 28 de junio de 2013 que confirmó la absolución de los procesos por los hechos denunciados en esta petición. </w:t>
      </w:r>
      <w:r w:rsidR="00FD23B0" w:rsidRPr="4F6A8DC8">
        <w:rPr>
          <w:rFonts w:asciiTheme="majorHAnsi" w:hAnsiTheme="majorHAnsi"/>
          <w:sz w:val="20"/>
          <w:szCs w:val="20"/>
          <w:bdr w:val="none" w:sz="0" w:space="0" w:color="auto" w:frame="1"/>
          <w:lang w:val="es-ES"/>
        </w:rPr>
        <w:t>Panamá plantea que la</w:t>
      </w:r>
      <w:r w:rsidR="001B56F2" w:rsidRPr="4F6A8DC8">
        <w:rPr>
          <w:rFonts w:asciiTheme="majorHAnsi" w:hAnsiTheme="majorHAnsi"/>
          <w:sz w:val="20"/>
          <w:szCs w:val="20"/>
          <w:bdr w:val="none" w:sz="0" w:space="0" w:color="auto" w:frame="1"/>
          <w:lang w:val="es-ES"/>
        </w:rPr>
        <w:t xml:space="preserve">s presuntas víctimas </w:t>
      </w:r>
      <w:r w:rsidR="00934220" w:rsidRPr="4F6A8DC8">
        <w:rPr>
          <w:rFonts w:ascii="Cambria" w:hAnsi="Cambria"/>
          <w:sz w:val="20"/>
          <w:szCs w:val="20"/>
          <w:lang w:val="es-ES"/>
        </w:rPr>
        <w:t xml:space="preserve">no interpusieron oportunamente ningún recurso, como por ejemplo el de casación, ni alguna otra acción a fin de cuestionar las determinaciones judiciales adoptadas por </w:t>
      </w:r>
      <w:r w:rsidR="0017260D" w:rsidRPr="4F6A8DC8">
        <w:rPr>
          <w:rFonts w:ascii="Cambria" w:hAnsi="Cambria"/>
          <w:sz w:val="20"/>
          <w:szCs w:val="20"/>
          <w:lang w:val="es-ES"/>
        </w:rPr>
        <w:t xml:space="preserve">el </w:t>
      </w:r>
      <w:r w:rsidR="00934220" w:rsidRPr="4F6A8DC8">
        <w:rPr>
          <w:rFonts w:ascii="Cambria" w:hAnsi="Cambria"/>
          <w:sz w:val="20"/>
          <w:szCs w:val="20"/>
          <w:lang w:val="es-ES"/>
        </w:rPr>
        <w:t>sistema de justicia</w:t>
      </w:r>
      <w:r w:rsidR="00934220" w:rsidRPr="4F6A8DC8">
        <w:rPr>
          <w:rFonts w:asciiTheme="majorHAnsi" w:hAnsiTheme="majorHAnsi"/>
          <w:sz w:val="20"/>
          <w:szCs w:val="20"/>
          <w:lang w:val="es-ES"/>
        </w:rPr>
        <w:t xml:space="preserve">. </w:t>
      </w:r>
      <w:r w:rsidR="00FD23B0" w:rsidRPr="4F6A8DC8">
        <w:rPr>
          <w:rFonts w:asciiTheme="majorHAnsi" w:hAnsiTheme="majorHAnsi"/>
          <w:sz w:val="20"/>
          <w:szCs w:val="20"/>
          <w:bdr w:val="none" w:sz="0" w:space="0" w:color="auto" w:frame="1"/>
          <w:lang w:val="es-ES"/>
        </w:rPr>
        <w:t xml:space="preserve">Al respecto, la </w:t>
      </w:r>
      <w:r w:rsidR="0017260D" w:rsidRPr="4F6A8DC8">
        <w:rPr>
          <w:rFonts w:asciiTheme="majorHAnsi" w:hAnsiTheme="majorHAnsi"/>
          <w:sz w:val="20"/>
          <w:szCs w:val="20"/>
          <w:bdr w:val="none" w:sz="0" w:space="0" w:color="auto" w:frame="1"/>
          <w:lang w:val="es-ES"/>
        </w:rPr>
        <w:t>CIDH</w:t>
      </w:r>
      <w:r w:rsidR="00FD23B0" w:rsidRPr="4F6A8DC8">
        <w:rPr>
          <w:rFonts w:asciiTheme="majorHAnsi" w:hAnsiTheme="majorHAnsi"/>
          <w:sz w:val="20"/>
          <w:szCs w:val="20"/>
          <w:bdr w:val="none" w:sz="0" w:space="0" w:color="auto" w:frame="1"/>
          <w:lang w:val="es-ES"/>
        </w:rPr>
        <w:t xml:space="preserve"> recuerda </w:t>
      </w:r>
      <w:r w:rsidR="00FD23B0" w:rsidRPr="4F6A8DC8">
        <w:rPr>
          <w:rFonts w:asciiTheme="majorHAnsi" w:hAnsiTheme="majorHAnsi"/>
          <w:sz w:val="20"/>
          <w:szCs w:val="20"/>
          <w:lang w:val="es-ES"/>
        </w:rPr>
        <w:t>que</w:t>
      </w:r>
      <w:r w:rsidR="00DD0DF8" w:rsidRPr="4F6A8DC8">
        <w:rPr>
          <w:rFonts w:asciiTheme="majorHAnsi" w:hAnsiTheme="majorHAnsi"/>
          <w:sz w:val="20"/>
          <w:szCs w:val="20"/>
          <w:lang w:val="es-ES"/>
        </w:rPr>
        <w:t xml:space="preserve"> cuando</w:t>
      </w:r>
      <w:r w:rsidR="00FD23B0" w:rsidRPr="4F6A8DC8">
        <w:rPr>
          <w:rFonts w:asciiTheme="majorHAnsi" w:hAnsiTheme="majorHAnsi"/>
          <w:sz w:val="20"/>
          <w:szCs w:val="20"/>
          <w:lang w:val="es-ES"/>
        </w:rPr>
        <w:t xml:space="preserve"> un Estado alega la falta de agotamiento de los recursos internos no </w:t>
      </w:r>
      <w:r w:rsidR="00DD0DF8" w:rsidRPr="4F6A8DC8">
        <w:rPr>
          <w:rFonts w:asciiTheme="majorHAnsi" w:hAnsiTheme="majorHAnsi"/>
          <w:sz w:val="20"/>
          <w:szCs w:val="20"/>
          <w:lang w:val="es-ES"/>
        </w:rPr>
        <w:t>solo</w:t>
      </w:r>
      <w:r w:rsidR="00FD23B0" w:rsidRPr="4F6A8DC8">
        <w:rPr>
          <w:rFonts w:asciiTheme="majorHAnsi" w:hAnsiTheme="majorHAnsi"/>
          <w:sz w:val="20"/>
          <w:szCs w:val="20"/>
          <w:lang w:val="es-ES"/>
        </w:rPr>
        <w:t xml:space="preserve"> tiene la carga de identificar cuáles serían los recursos no agotados, sino que además debe demostrar que estos resultan adecuados para subsanar la violación alegada, vale decir, que la función de esos recursos dentro del sistema del derecho interno es idónea para proteger la situación jurídica infringida</w:t>
      </w:r>
      <w:r w:rsidR="00FD23B0" w:rsidRPr="4F6A8DC8">
        <w:rPr>
          <w:rStyle w:val="FootnoteReference"/>
          <w:rFonts w:asciiTheme="majorHAnsi" w:hAnsiTheme="majorHAnsi"/>
          <w:sz w:val="20"/>
          <w:szCs w:val="20"/>
          <w:lang w:val="es-ES"/>
        </w:rPr>
        <w:footnoteReference w:id="8"/>
      </w:r>
      <w:r w:rsidR="00FD23B0" w:rsidRPr="4F6A8DC8">
        <w:rPr>
          <w:rFonts w:asciiTheme="majorHAnsi" w:hAnsiTheme="majorHAnsi"/>
          <w:sz w:val="20"/>
          <w:szCs w:val="20"/>
          <w:lang w:val="es-ES"/>
        </w:rPr>
        <w:t xml:space="preserve">. </w:t>
      </w:r>
      <w:r w:rsidR="006D28FE" w:rsidRPr="4F6A8DC8">
        <w:rPr>
          <w:rFonts w:asciiTheme="majorHAnsi" w:hAnsiTheme="majorHAnsi"/>
          <w:sz w:val="20"/>
          <w:szCs w:val="20"/>
          <w:lang w:val="es-ES"/>
        </w:rPr>
        <w:t>Ya que</w:t>
      </w:r>
      <w:r w:rsidR="00FD23B0" w:rsidRPr="4F6A8DC8">
        <w:rPr>
          <w:rFonts w:asciiTheme="majorHAnsi" w:hAnsiTheme="majorHAnsi"/>
          <w:sz w:val="20"/>
          <w:szCs w:val="20"/>
          <w:lang w:val="es-ES"/>
        </w:rPr>
        <w:t xml:space="preserve"> como norma general, los únicos recursos que deben agotarse son aquellos cuyas funciones, dentro del sistema jurídico, son adecuados y efectivos para brindar protección tendiente a remediar una infracción de determinado derecho legal</w:t>
      </w:r>
      <w:r w:rsidR="00FD23B0" w:rsidRPr="4F6A8DC8">
        <w:rPr>
          <w:rStyle w:val="FootnoteReference"/>
          <w:rFonts w:asciiTheme="majorHAnsi" w:hAnsiTheme="majorHAnsi"/>
          <w:sz w:val="20"/>
          <w:szCs w:val="20"/>
          <w:lang w:val="es-ES"/>
        </w:rPr>
        <w:footnoteReference w:id="9"/>
      </w:r>
      <w:r w:rsidR="00FD23B0" w:rsidRPr="4F6A8DC8">
        <w:rPr>
          <w:rFonts w:asciiTheme="majorHAnsi" w:hAnsiTheme="majorHAnsi"/>
          <w:sz w:val="20"/>
          <w:szCs w:val="20"/>
          <w:lang w:val="es-ES"/>
        </w:rPr>
        <w:t>.</w:t>
      </w:r>
      <w:r w:rsidR="0009783C" w:rsidRPr="4F6A8DC8">
        <w:rPr>
          <w:rFonts w:asciiTheme="majorHAnsi" w:hAnsiTheme="majorHAnsi"/>
          <w:sz w:val="20"/>
          <w:szCs w:val="20"/>
          <w:lang w:val="es-ES"/>
        </w:rPr>
        <w:t xml:space="preserve"> </w:t>
      </w:r>
    </w:p>
    <w:p w14:paraId="2355E542" w14:textId="17F32FD0" w:rsidR="00727FDB" w:rsidRPr="00325643" w:rsidRDefault="00FD23B0" w:rsidP="00727FD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5643">
        <w:rPr>
          <w:rFonts w:asciiTheme="majorHAnsi" w:hAnsiTheme="majorHAnsi"/>
          <w:sz w:val="20"/>
          <w:szCs w:val="20"/>
          <w:lang w:val="es-ES_tradnl"/>
        </w:rPr>
        <w:t>En el presente caso, el Estado no ha proporcionado tal información, por lo cual la Comisión no tiene elementos para determinar si las vías mencionadas realmente resulta</w:t>
      </w:r>
      <w:r w:rsidR="00934220" w:rsidRPr="00325643">
        <w:rPr>
          <w:rFonts w:asciiTheme="majorHAnsi" w:hAnsiTheme="majorHAnsi"/>
          <w:sz w:val="20"/>
          <w:szCs w:val="20"/>
          <w:lang w:val="es-ES_tradnl"/>
        </w:rPr>
        <w:t>ban</w:t>
      </w:r>
      <w:r w:rsidRPr="00325643">
        <w:rPr>
          <w:rFonts w:asciiTheme="majorHAnsi" w:hAnsiTheme="majorHAnsi"/>
          <w:sz w:val="20"/>
          <w:szCs w:val="20"/>
          <w:lang w:val="es-ES_tradnl"/>
        </w:rPr>
        <w:t xml:space="preserve"> adecuadas</w:t>
      </w:r>
      <w:r w:rsidR="00727FDB" w:rsidRPr="00325643">
        <w:rPr>
          <w:rFonts w:asciiTheme="majorHAnsi" w:hAnsiTheme="majorHAnsi"/>
          <w:sz w:val="20"/>
          <w:szCs w:val="20"/>
          <w:lang w:val="es-ES_tradnl"/>
        </w:rPr>
        <w:t xml:space="preserve"> y</w:t>
      </w:r>
      <w:r w:rsidRPr="00325643">
        <w:rPr>
          <w:rFonts w:asciiTheme="majorHAnsi" w:hAnsiTheme="majorHAnsi"/>
          <w:sz w:val="20"/>
          <w:szCs w:val="20"/>
          <w:lang w:val="es-ES_tradnl"/>
        </w:rPr>
        <w:t xml:space="preserve"> efectivas</w:t>
      </w:r>
      <w:r w:rsidR="00727FDB" w:rsidRPr="00325643">
        <w:rPr>
          <w:rFonts w:asciiTheme="majorHAnsi" w:hAnsiTheme="majorHAnsi"/>
          <w:sz w:val="20"/>
          <w:szCs w:val="20"/>
          <w:lang w:val="es-ES_tradnl"/>
        </w:rPr>
        <w:t>.</w:t>
      </w:r>
      <w:r w:rsidRPr="00325643">
        <w:rPr>
          <w:rFonts w:asciiTheme="majorHAnsi" w:hAnsiTheme="majorHAnsi"/>
          <w:sz w:val="20"/>
          <w:szCs w:val="20"/>
          <w:lang w:val="es-ES_tradnl"/>
        </w:rPr>
        <w:t xml:space="preserve"> </w:t>
      </w:r>
      <w:r w:rsidR="00727FDB" w:rsidRPr="00325643">
        <w:rPr>
          <w:rFonts w:asciiTheme="majorHAnsi" w:hAnsiTheme="majorHAnsi"/>
          <w:sz w:val="20"/>
          <w:szCs w:val="20"/>
          <w:lang w:val="es-ES_tradnl"/>
        </w:rPr>
        <w:t>Por otro lado, el recurso de casación es un recurso extraordinario, cuyo agotamiento en un caso como el presente no resulta indispensable para que se cumpla con el requisito del agotamiento de los recursos internos.</w:t>
      </w:r>
      <w:r w:rsidR="0015440A" w:rsidRPr="00325643">
        <w:rPr>
          <w:rFonts w:asciiTheme="majorHAnsi" w:hAnsiTheme="majorHAnsi"/>
          <w:sz w:val="20"/>
          <w:szCs w:val="20"/>
          <w:lang w:val="es-ES_tradnl"/>
        </w:rPr>
        <w:t xml:space="preserve"> Verificándose con el agotamiento de la segunda instancia penal, los peticionarios agotaron los recursos ordinarios.</w:t>
      </w:r>
    </w:p>
    <w:p w14:paraId="4FC7F3AE" w14:textId="0880F5AE" w:rsidR="006D6827" w:rsidRPr="00325643" w:rsidRDefault="00FD23B0" w:rsidP="4F6A8D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4F6A8DC8">
        <w:rPr>
          <w:rFonts w:asciiTheme="majorHAnsi" w:hAnsiTheme="majorHAnsi"/>
          <w:sz w:val="20"/>
          <w:szCs w:val="20"/>
          <w:lang w:val="es-ES"/>
        </w:rPr>
        <w:t xml:space="preserve">En consecuencia, la Comisión considera que el presente asunto cumple con el requisito previsto en el artículo 46.1.a) de la Convención. Asimismo, </w:t>
      </w:r>
      <w:r w:rsidR="006D6827" w:rsidRPr="4F6A8DC8">
        <w:rPr>
          <w:rFonts w:asciiTheme="majorHAnsi" w:hAnsiTheme="majorHAnsi"/>
          <w:sz w:val="20"/>
          <w:szCs w:val="20"/>
          <w:lang w:val="es-ES"/>
        </w:rPr>
        <w:t xml:space="preserve">en vista de que la Comisión recibió la presente petición el </w:t>
      </w:r>
      <w:r w:rsidR="006D6827" w:rsidRPr="4F6A8DC8">
        <w:rPr>
          <w:rFonts w:ascii="Cambria" w:hAnsi="Cambria"/>
          <w:sz w:val="20"/>
          <w:szCs w:val="20"/>
          <w:lang w:val="es-ES"/>
        </w:rPr>
        <w:t>11 de septiembre de 2007</w:t>
      </w:r>
      <w:r w:rsidR="006D6827" w:rsidRPr="4F6A8DC8">
        <w:rPr>
          <w:rFonts w:asciiTheme="majorHAnsi" w:hAnsiTheme="majorHAnsi"/>
          <w:sz w:val="20"/>
          <w:szCs w:val="20"/>
          <w:lang w:val="es-ES"/>
        </w:rPr>
        <w:t xml:space="preserve">, y que la decisión que agotó la jurisdicción interna se emitió mientras el presente asunto estaba bajo estudio de admisibilidad, </w:t>
      </w:r>
      <w:r w:rsidR="00FD3ED2" w:rsidRPr="4F6A8DC8">
        <w:rPr>
          <w:rFonts w:asciiTheme="majorHAnsi" w:hAnsiTheme="majorHAnsi"/>
          <w:sz w:val="20"/>
          <w:szCs w:val="20"/>
          <w:lang w:val="es-ES"/>
        </w:rPr>
        <w:t>esta</w:t>
      </w:r>
      <w:r w:rsidR="006D6827" w:rsidRPr="4F6A8DC8">
        <w:rPr>
          <w:rFonts w:asciiTheme="majorHAnsi" w:hAnsiTheme="majorHAnsi"/>
          <w:sz w:val="20"/>
          <w:szCs w:val="20"/>
          <w:lang w:val="es-ES"/>
        </w:rPr>
        <w:t xml:space="preserve"> cumple con el artículo 46.1.b) de la Convención.</w:t>
      </w:r>
    </w:p>
    <w:p w14:paraId="4FFBE378" w14:textId="64322DE9" w:rsidR="003239B8" w:rsidRPr="00325643" w:rsidRDefault="003239B8" w:rsidP="003239B8">
      <w:pPr>
        <w:pStyle w:val="ListParagraph"/>
        <w:spacing w:before="240" w:after="240"/>
        <w:jc w:val="both"/>
        <w:rPr>
          <w:rFonts w:asciiTheme="majorHAnsi" w:hAnsiTheme="majorHAnsi"/>
          <w:b/>
          <w:sz w:val="20"/>
          <w:szCs w:val="20"/>
          <w:lang w:val="es-ES_tradnl"/>
        </w:rPr>
      </w:pPr>
      <w:r w:rsidRPr="00325643">
        <w:rPr>
          <w:rFonts w:asciiTheme="majorHAnsi" w:hAnsiTheme="majorHAnsi"/>
          <w:b/>
          <w:bCs/>
          <w:sz w:val="20"/>
          <w:szCs w:val="20"/>
          <w:lang w:val="es-ES_tradnl"/>
        </w:rPr>
        <w:t>VII.</w:t>
      </w:r>
      <w:r w:rsidRPr="00325643">
        <w:rPr>
          <w:rFonts w:asciiTheme="majorHAnsi" w:hAnsiTheme="majorHAnsi"/>
          <w:b/>
          <w:bCs/>
          <w:sz w:val="20"/>
          <w:szCs w:val="20"/>
          <w:lang w:val="es-ES_tradnl"/>
        </w:rPr>
        <w:tab/>
      </w:r>
      <w:r w:rsidR="004A6A54" w:rsidRPr="00325643">
        <w:rPr>
          <w:rFonts w:asciiTheme="majorHAnsi" w:hAnsiTheme="majorHAnsi"/>
          <w:b/>
          <w:bCs/>
          <w:sz w:val="20"/>
          <w:szCs w:val="20"/>
          <w:lang w:val="es-ES_tradnl"/>
        </w:rPr>
        <w:t xml:space="preserve">ANÁLISIS DE </w:t>
      </w:r>
      <w:r w:rsidR="00C21FEF" w:rsidRPr="00325643">
        <w:rPr>
          <w:rFonts w:asciiTheme="majorHAnsi" w:hAnsiTheme="majorHAnsi"/>
          <w:b/>
          <w:bCs/>
          <w:sz w:val="20"/>
          <w:szCs w:val="20"/>
          <w:lang w:val="es-ES_tradnl"/>
        </w:rPr>
        <w:t>CARACTERIZACIÓN DE LOS HECHOS ALEGADOS</w:t>
      </w:r>
    </w:p>
    <w:p w14:paraId="63FC837E" w14:textId="77777777" w:rsidR="003D029D" w:rsidRPr="00325643" w:rsidRDefault="003D029D" w:rsidP="003D02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5643">
        <w:rPr>
          <w:rFonts w:asciiTheme="majorHAnsi" w:hAnsiTheme="majorHAnsi"/>
          <w:sz w:val="20"/>
          <w:szCs w:val="20"/>
          <w:lang w:val="es-ES_tradnl"/>
        </w:rPr>
        <w:t xml:space="preserve">La </w:t>
      </w:r>
      <w:bookmarkStart w:id="2" w:name="_Hlk126872133"/>
      <w:r w:rsidRPr="00325643">
        <w:rPr>
          <w:rFonts w:asciiTheme="majorHAnsi" w:hAnsiTheme="majorHAnsi"/>
          <w:sz w:val="20"/>
          <w:szCs w:val="20"/>
          <w:lang w:val="es-ES_tradnl"/>
        </w:rPr>
        <w:t xml:space="preserve">CIDH recuerda que, en la presente etapa procesal, debe realizar una evaluación </w:t>
      </w:r>
      <w:r w:rsidRPr="00325643">
        <w:rPr>
          <w:rFonts w:asciiTheme="majorHAnsi" w:hAnsiTheme="majorHAnsi"/>
          <w:i/>
          <w:iCs/>
          <w:sz w:val="20"/>
          <w:szCs w:val="20"/>
          <w:lang w:val="es-ES_tradnl"/>
        </w:rPr>
        <w:t>prima facie</w:t>
      </w:r>
      <w:r w:rsidRPr="00325643">
        <w:rPr>
          <w:rFonts w:asciiTheme="majorHAnsi" w:hAnsiTheme="majorHAnsi"/>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w:t>
      </w:r>
      <w:r w:rsidRPr="00325643">
        <w:rPr>
          <w:rFonts w:asciiTheme="majorHAnsi" w:hAnsiTheme="majorHAnsi"/>
          <w:i/>
          <w:iCs/>
          <w:sz w:val="20"/>
          <w:szCs w:val="20"/>
          <w:lang w:val="es-ES_tradnl"/>
        </w:rPr>
        <w:t>manifiestamente infundada</w:t>
      </w:r>
      <w:r w:rsidRPr="00325643">
        <w:rPr>
          <w:rFonts w:asciiTheme="majorHAnsi" w:hAnsiTheme="majorHAnsi"/>
          <w:sz w:val="20"/>
          <w:szCs w:val="20"/>
          <w:lang w:val="es-ES_tradnl"/>
        </w:rPr>
        <w:t>" o es "</w:t>
      </w:r>
      <w:r w:rsidRPr="00325643">
        <w:rPr>
          <w:rFonts w:asciiTheme="majorHAnsi" w:hAnsiTheme="majorHAnsi"/>
          <w:i/>
          <w:iCs/>
          <w:sz w:val="20"/>
          <w:szCs w:val="20"/>
          <w:lang w:val="es-ES_tradnl"/>
        </w:rPr>
        <w:t>evidente su total improcedencia</w:t>
      </w:r>
      <w:r w:rsidRPr="00325643">
        <w:rPr>
          <w:rFonts w:asciiTheme="majorHAnsi" w:hAnsiTheme="majorHAnsi"/>
          <w:sz w:val="20"/>
          <w:szCs w:val="20"/>
          <w:lang w:val="es-ES_tradnl"/>
        </w:rPr>
        <w:t>", conforme al 47.c) de la Convención Americana.</w:t>
      </w:r>
      <w:bookmarkEnd w:id="2"/>
    </w:p>
    <w:p w14:paraId="2246D4EA" w14:textId="469A2ACA" w:rsidR="0029339B" w:rsidRPr="00325643" w:rsidRDefault="003D029D" w:rsidP="004D2B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5643">
        <w:rPr>
          <w:rFonts w:asciiTheme="majorHAnsi" w:hAnsiTheme="majorHAnsi"/>
          <w:sz w:val="20"/>
          <w:szCs w:val="20"/>
          <w:lang w:val="es-ES_tradnl"/>
        </w:rPr>
        <w:t xml:space="preserve">En atención a estas consideraciones y tras examinar los elementos de hecho y de derecho expuestos por las partes, la Comisión estima que las alegaciones de la parte peticionaria, </w:t>
      </w:r>
      <w:r w:rsidR="004D2BF4" w:rsidRPr="00325643">
        <w:rPr>
          <w:rFonts w:asciiTheme="majorHAnsi" w:hAnsiTheme="majorHAnsi"/>
          <w:sz w:val="20"/>
          <w:szCs w:val="20"/>
          <w:lang w:val="es-ES_tradnl"/>
        </w:rPr>
        <w:t xml:space="preserve">referidas a una supuesta desproporción en el uso de la fuerza contra las presuntas víctimas mientras protestaban pacíficamente y la alegada impunidad en la que se encontrarían tales actos debido a una incorrecta decisión absolutoria, </w:t>
      </w:r>
      <w:r w:rsidRPr="00325643">
        <w:rPr>
          <w:rFonts w:asciiTheme="majorHAnsi" w:hAnsiTheme="majorHAnsi"/>
          <w:sz w:val="20"/>
          <w:szCs w:val="20"/>
          <w:lang w:val="es-ES_tradnl"/>
        </w:rPr>
        <w:t>no resultan manifiestamente infundadas y requieren un estudio de fondo pues los hechos alegados, de corroborarse como ciertos podrían caracterizar violaciones a los artículos</w:t>
      </w:r>
      <w:r w:rsidRPr="00325643">
        <w:rPr>
          <w:rFonts w:asciiTheme="majorHAnsi" w:hAnsiTheme="majorHAnsi"/>
          <w:bCs/>
          <w:sz w:val="20"/>
          <w:szCs w:val="20"/>
          <w:lang w:val="es-ES_tradnl"/>
        </w:rPr>
        <w:t xml:space="preserve"> </w:t>
      </w:r>
      <w:r w:rsidR="00E81BB2" w:rsidRPr="00325643">
        <w:rPr>
          <w:rFonts w:ascii="Cambria" w:hAnsi="Cambria"/>
          <w:bCs/>
          <w:sz w:val="20"/>
          <w:szCs w:val="20"/>
          <w:lang w:val="es-ES_tradnl"/>
        </w:rPr>
        <w:t>5 (derecho a la integridad personal) 8 (garantías judiciales), 13 (libertad de expresión), 15 (derecho de reunión)</w:t>
      </w:r>
      <w:r w:rsidR="00E82FF2" w:rsidRPr="00325643">
        <w:rPr>
          <w:rFonts w:ascii="Cambria" w:hAnsi="Cambria"/>
          <w:bCs/>
          <w:sz w:val="20"/>
          <w:szCs w:val="20"/>
          <w:lang w:val="es-ES_tradnl"/>
        </w:rPr>
        <w:t xml:space="preserve"> </w:t>
      </w:r>
      <w:r w:rsidR="00E81BB2" w:rsidRPr="00325643">
        <w:rPr>
          <w:rFonts w:ascii="Cambria" w:hAnsi="Cambria"/>
          <w:bCs/>
          <w:sz w:val="20"/>
          <w:szCs w:val="20"/>
          <w:lang w:val="es-ES_tradnl"/>
        </w:rPr>
        <w:t>y 25 (protección judicial)</w:t>
      </w:r>
      <w:r w:rsidRPr="00325643">
        <w:rPr>
          <w:rFonts w:ascii="Cambria" w:hAnsi="Cambria"/>
          <w:bCs/>
          <w:sz w:val="20"/>
          <w:szCs w:val="20"/>
          <w:lang w:val="es-ES_tradnl"/>
        </w:rPr>
        <w:t>, en relación con su artículo 1.1, en perjuicio de las presuntas víctimas</w:t>
      </w:r>
      <w:r w:rsidR="00590532" w:rsidRPr="00325643">
        <w:rPr>
          <w:rFonts w:ascii="Cambria" w:hAnsi="Cambria"/>
          <w:bCs/>
          <w:sz w:val="20"/>
          <w:szCs w:val="20"/>
          <w:lang w:val="es-ES_tradnl"/>
        </w:rPr>
        <w:t xml:space="preserve"> identificadas en el presente informe</w:t>
      </w:r>
      <w:r w:rsidRPr="00325643">
        <w:rPr>
          <w:rFonts w:ascii="Cambria" w:hAnsi="Cambria"/>
          <w:bCs/>
          <w:sz w:val="20"/>
          <w:szCs w:val="20"/>
          <w:lang w:val="es-ES_tradnl"/>
        </w:rPr>
        <w:t xml:space="preserve">. </w:t>
      </w:r>
    </w:p>
    <w:p w14:paraId="371F1940" w14:textId="50C60C9B" w:rsidR="00E81BB2" w:rsidRPr="00325643" w:rsidRDefault="00E81BB2" w:rsidP="00E81B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25643">
        <w:rPr>
          <w:rFonts w:ascii="Cambria" w:hAnsi="Cambria"/>
          <w:sz w:val="20"/>
          <w:szCs w:val="20"/>
          <w:lang w:val="es-ES_tradnl"/>
        </w:rPr>
        <w:lastRenderedPageBreak/>
        <w:t xml:space="preserve">Finalmente, respecto al artículo </w:t>
      </w:r>
      <w:r w:rsidRPr="00325643">
        <w:rPr>
          <w:rFonts w:ascii="Cambria" w:hAnsi="Cambria"/>
          <w:bCs/>
          <w:sz w:val="20"/>
          <w:szCs w:val="20"/>
          <w:lang w:val="es-ES_tradnl"/>
        </w:rPr>
        <w:t xml:space="preserve">4 </w:t>
      </w:r>
      <w:r w:rsidRPr="00325643">
        <w:rPr>
          <w:rFonts w:ascii="Cambria" w:hAnsi="Cambria"/>
          <w:sz w:val="20"/>
          <w:szCs w:val="20"/>
          <w:lang w:val="es-ES_tradnl"/>
        </w:rPr>
        <w:t xml:space="preserve">de la Convención Americana, la Comisión considera que la parte peticionaria no aporta argumentos o información que permitan, </w:t>
      </w:r>
      <w:r w:rsidRPr="00325643">
        <w:rPr>
          <w:rFonts w:ascii="Cambria" w:hAnsi="Cambria"/>
          <w:i/>
          <w:iCs/>
          <w:sz w:val="20"/>
          <w:szCs w:val="20"/>
          <w:lang w:val="es-ES_tradnl"/>
        </w:rPr>
        <w:t>prima facie</w:t>
      </w:r>
      <w:r w:rsidRPr="00325643">
        <w:rPr>
          <w:rFonts w:ascii="Cambria" w:hAnsi="Cambria"/>
          <w:sz w:val="20"/>
          <w:szCs w:val="20"/>
          <w:lang w:val="es-ES_tradnl"/>
        </w:rPr>
        <w:t>, identificar su posible vulneración</w:t>
      </w:r>
      <w:r w:rsidR="002C380C">
        <w:rPr>
          <w:rFonts w:ascii="Cambria" w:hAnsi="Cambria"/>
          <w:sz w:val="20"/>
          <w:szCs w:val="20"/>
          <w:lang w:val="es-ES_tradnl"/>
        </w:rPr>
        <w:t>.</w:t>
      </w:r>
    </w:p>
    <w:p w14:paraId="29BB41F5" w14:textId="77777777" w:rsidR="003239B8" w:rsidRPr="00325643" w:rsidRDefault="003239B8" w:rsidP="003239B8">
      <w:pPr>
        <w:pStyle w:val="ListParagraph"/>
        <w:spacing w:before="240" w:after="240"/>
        <w:jc w:val="both"/>
        <w:rPr>
          <w:rFonts w:asciiTheme="majorHAnsi" w:hAnsiTheme="majorHAnsi"/>
          <w:b/>
          <w:bCs/>
          <w:sz w:val="20"/>
          <w:szCs w:val="20"/>
          <w:lang w:val="es-ES_tradnl"/>
        </w:rPr>
      </w:pPr>
      <w:r w:rsidRPr="00325643">
        <w:rPr>
          <w:rFonts w:asciiTheme="majorHAnsi" w:hAnsiTheme="majorHAnsi"/>
          <w:b/>
          <w:bCs/>
          <w:sz w:val="20"/>
          <w:szCs w:val="20"/>
          <w:lang w:val="es-ES_tradnl"/>
        </w:rPr>
        <w:t xml:space="preserve">VIII. </w:t>
      </w:r>
      <w:r w:rsidRPr="00325643">
        <w:rPr>
          <w:rFonts w:asciiTheme="majorHAnsi" w:hAnsiTheme="majorHAnsi"/>
          <w:b/>
          <w:bCs/>
          <w:sz w:val="20"/>
          <w:szCs w:val="20"/>
          <w:lang w:val="es-ES_tradnl"/>
        </w:rPr>
        <w:tab/>
        <w:t>DECISIÓN</w:t>
      </w:r>
    </w:p>
    <w:p w14:paraId="41AA5BF6" w14:textId="12BA6502" w:rsidR="000419AD" w:rsidRPr="00325643"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25643">
        <w:rPr>
          <w:rFonts w:asciiTheme="majorHAnsi" w:hAnsiTheme="majorHAnsi"/>
          <w:sz w:val="20"/>
          <w:szCs w:val="20"/>
          <w:lang w:val="es-ES_tradnl"/>
        </w:rPr>
        <w:t xml:space="preserve">Declarar admisible la presente petición en relación con </w:t>
      </w:r>
      <w:r w:rsidR="0029339B" w:rsidRPr="00325643">
        <w:rPr>
          <w:rFonts w:asciiTheme="majorHAnsi" w:hAnsiTheme="majorHAnsi"/>
          <w:sz w:val="20"/>
          <w:szCs w:val="20"/>
          <w:lang w:val="es-ES_tradnl"/>
        </w:rPr>
        <w:t>los artículos 5</w:t>
      </w:r>
      <w:r w:rsidR="004D2BF4" w:rsidRPr="00325643">
        <w:rPr>
          <w:rFonts w:asciiTheme="majorHAnsi" w:hAnsiTheme="majorHAnsi"/>
          <w:sz w:val="20"/>
          <w:szCs w:val="20"/>
          <w:lang w:val="es-ES_tradnl"/>
        </w:rPr>
        <w:t>,</w:t>
      </w:r>
      <w:r w:rsidR="0029339B" w:rsidRPr="00325643">
        <w:rPr>
          <w:rFonts w:asciiTheme="majorHAnsi" w:hAnsiTheme="majorHAnsi"/>
          <w:sz w:val="20"/>
          <w:szCs w:val="20"/>
          <w:lang w:val="es-ES_tradnl"/>
        </w:rPr>
        <w:t xml:space="preserve"> 8,</w:t>
      </w:r>
      <w:r w:rsidR="004D2BF4" w:rsidRPr="00325643">
        <w:rPr>
          <w:rFonts w:asciiTheme="majorHAnsi" w:hAnsiTheme="majorHAnsi"/>
          <w:sz w:val="20"/>
          <w:szCs w:val="20"/>
          <w:lang w:val="es-ES_tradnl"/>
        </w:rPr>
        <w:t xml:space="preserve"> 13, 15</w:t>
      </w:r>
      <w:r w:rsidR="00590532" w:rsidRPr="00325643">
        <w:rPr>
          <w:rFonts w:asciiTheme="majorHAnsi" w:hAnsiTheme="majorHAnsi"/>
          <w:sz w:val="20"/>
          <w:szCs w:val="20"/>
          <w:lang w:val="es-ES_tradnl"/>
        </w:rPr>
        <w:t xml:space="preserve"> </w:t>
      </w:r>
      <w:r w:rsidR="004D2BF4" w:rsidRPr="00325643">
        <w:rPr>
          <w:rFonts w:asciiTheme="majorHAnsi" w:hAnsiTheme="majorHAnsi"/>
          <w:sz w:val="20"/>
          <w:szCs w:val="20"/>
          <w:lang w:val="es-ES_tradnl"/>
        </w:rPr>
        <w:t>y</w:t>
      </w:r>
      <w:r w:rsidR="0029339B" w:rsidRPr="00325643">
        <w:rPr>
          <w:rFonts w:asciiTheme="majorHAnsi" w:hAnsiTheme="majorHAnsi"/>
          <w:sz w:val="20"/>
          <w:szCs w:val="20"/>
          <w:lang w:val="es-ES_tradnl"/>
        </w:rPr>
        <w:t xml:space="preserve"> 25 de la Convención Americana</w:t>
      </w:r>
      <w:r w:rsidR="00A758AA" w:rsidRPr="00325643">
        <w:rPr>
          <w:rFonts w:asciiTheme="majorHAnsi" w:hAnsiTheme="majorHAnsi"/>
          <w:sz w:val="20"/>
          <w:szCs w:val="20"/>
          <w:lang w:val="es-ES_tradnl"/>
        </w:rPr>
        <w:t>;</w:t>
      </w:r>
      <w:r w:rsidR="007B76D3" w:rsidRPr="00325643">
        <w:rPr>
          <w:rFonts w:asciiTheme="majorHAnsi" w:hAnsiTheme="majorHAnsi"/>
          <w:sz w:val="20"/>
          <w:szCs w:val="20"/>
          <w:lang w:val="es-ES_tradnl"/>
        </w:rPr>
        <w:t xml:space="preserve"> y</w:t>
      </w:r>
    </w:p>
    <w:p w14:paraId="12A7002C" w14:textId="77777777"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5643">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095F2616" w14:textId="31397BDA" w:rsidR="00243D43" w:rsidRPr="00DB14C0" w:rsidRDefault="004B4C9F" w:rsidP="00DB14C0">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996FA2">
        <w:rPr>
          <w:rStyle w:val="normaltextrun"/>
          <w:rFonts w:ascii="Cambria" w:hAnsi="Cambria" w:cs="Segoe UI"/>
          <w:sz w:val="20"/>
          <w:szCs w:val="20"/>
          <w:lang w:val="es-CL"/>
        </w:rPr>
        <w:t>30</w:t>
      </w:r>
      <w:r>
        <w:rPr>
          <w:rStyle w:val="normaltextrun"/>
          <w:rFonts w:ascii="Cambria" w:hAnsi="Cambria" w:cs="Segoe UI"/>
          <w:sz w:val="20"/>
          <w:szCs w:val="20"/>
          <w:lang w:val="es-CL"/>
        </w:rPr>
        <w:t xml:space="preserve"> días del mes de </w:t>
      </w:r>
      <w:r w:rsidR="002C380C">
        <w:rPr>
          <w:rStyle w:val="normaltextrun"/>
          <w:rFonts w:ascii="Cambria" w:hAnsi="Cambria" w:cs="Segoe UI"/>
          <w:sz w:val="20"/>
          <w:szCs w:val="20"/>
          <w:lang w:val="es-CL"/>
        </w:rPr>
        <w:t>abril</w:t>
      </w:r>
      <w:r>
        <w:rPr>
          <w:rStyle w:val="normaltextrun"/>
          <w:rFonts w:ascii="Cambria" w:hAnsi="Cambria" w:cs="Segoe UI"/>
          <w:sz w:val="20"/>
          <w:szCs w:val="20"/>
          <w:lang w:val="es-CL"/>
        </w:rPr>
        <w:t xml:space="preserv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Carlos Bernal Pulido, Primer Vicepresidente; Arif Bulkan y Gloria Monique de Mees, </w:t>
      </w:r>
      <w:r w:rsidR="00DB14C0">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772E9E1D" w14:textId="77777777" w:rsidR="004B4C9F" w:rsidRPr="00DB14C0" w:rsidRDefault="004B4C9F" w:rsidP="00243D4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p>
    <w:p w14:paraId="09F4B595" w14:textId="77777777" w:rsidR="00DB14C0" w:rsidRDefault="00DB14C0" w:rsidP="00243D43">
      <w:pPr>
        <w:tabs>
          <w:tab w:val="center" w:pos="5400"/>
        </w:tabs>
        <w:suppressAutoHyphens/>
        <w:spacing w:line="276" w:lineRule="auto"/>
        <w:jc w:val="center"/>
        <w:rPr>
          <w:rFonts w:asciiTheme="majorHAnsi" w:hAnsiTheme="majorHAnsi"/>
          <w:b/>
          <w:bCs/>
          <w:sz w:val="20"/>
          <w:szCs w:val="20"/>
          <w:lang w:val="es-AR"/>
        </w:rPr>
      </w:pPr>
    </w:p>
    <w:p w14:paraId="32A191D7" w14:textId="77777777" w:rsidR="00DB14C0" w:rsidRDefault="00DB14C0" w:rsidP="00243D43">
      <w:pPr>
        <w:tabs>
          <w:tab w:val="center" w:pos="5400"/>
        </w:tabs>
        <w:suppressAutoHyphens/>
        <w:spacing w:line="276" w:lineRule="auto"/>
        <w:jc w:val="center"/>
        <w:rPr>
          <w:rFonts w:asciiTheme="majorHAnsi" w:hAnsiTheme="majorHAnsi"/>
          <w:b/>
          <w:bCs/>
          <w:sz w:val="20"/>
          <w:szCs w:val="20"/>
          <w:lang w:val="es-AR"/>
        </w:rPr>
      </w:pPr>
    </w:p>
    <w:p w14:paraId="60DBF428" w14:textId="77777777" w:rsidR="00DB14C0" w:rsidRDefault="00DB14C0" w:rsidP="00243D43">
      <w:pPr>
        <w:tabs>
          <w:tab w:val="center" w:pos="5400"/>
        </w:tabs>
        <w:suppressAutoHyphens/>
        <w:spacing w:line="276" w:lineRule="auto"/>
        <w:jc w:val="center"/>
        <w:rPr>
          <w:rFonts w:asciiTheme="majorHAnsi" w:hAnsiTheme="majorHAnsi"/>
          <w:b/>
          <w:bCs/>
          <w:sz w:val="20"/>
          <w:szCs w:val="20"/>
          <w:lang w:val="es-AR"/>
        </w:rPr>
      </w:pPr>
    </w:p>
    <w:p w14:paraId="3B247FCD" w14:textId="77777777" w:rsidR="00DB14C0" w:rsidRDefault="00DB14C0" w:rsidP="00243D43">
      <w:pPr>
        <w:tabs>
          <w:tab w:val="center" w:pos="5400"/>
        </w:tabs>
        <w:suppressAutoHyphens/>
        <w:spacing w:line="276" w:lineRule="auto"/>
        <w:jc w:val="center"/>
        <w:rPr>
          <w:rFonts w:asciiTheme="majorHAnsi" w:hAnsiTheme="majorHAnsi"/>
          <w:b/>
          <w:bCs/>
          <w:sz w:val="20"/>
          <w:szCs w:val="20"/>
          <w:lang w:val="es-AR"/>
        </w:rPr>
      </w:pPr>
    </w:p>
    <w:p w14:paraId="14768A90" w14:textId="77777777" w:rsidR="00DB14C0" w:rsidRDefault="00DB14C0" w:rsidP="00243D43">
      <w:pPr>
        <w:tabs>
          <w:tab w:val="center" w:pos="5400"/>
        </w:tabs>
        <w:suppressAutoHyphens/>
        <w:spacing w:line="276" w:lineRule="auto"/>
        <w:jc w:val="center"/>
        <w:rPr>
          <w:rFonts w:asciiTheme="majorHAnsi" w:hAnsiTheme="majorHAnsi"/>
          <w:b/>
          <w:bCs/>
          <w:sz w:val="20"/>
          <w:szCs w:val="20"/>
          <w:lang w:val="es-AR"/>
        </w:rPr>
      </w:pPr>
    </w:p>
    <w:p w14:paraId="1C16E547" w14:textId="77777777" w:rsidR="00DB14C0" w:rsidRDefault="00DB14C0" w:rsidP="00243D43">
      <w:pPr>
        <w:tabs>
          <w:tab w:val="center" w:pos="5400"/>
        </w:tabs>
        <w:suppressAutoHyphens/>
        <w:spacing w:line="276" w:lineRule="auto"/>
        <w:jc w:val="center"/>
        <w:rPr>
          <w:rFonts w:asciiTheme="majorHAnsi" w:hAnsiTheme="majorHAnsi"/>
          <w:b/>
          <w:bCs/>
          <w:sz w:val="20"/>
          <w:szCs w:val="20"/>
          <w:lang w:val="es-AR"/>
        </w:rPr>
      </w:pPr>
    </w:p>
    <w:p w14:paraId="3DB100C2" w14:textId="77777777" w:rsidR="00DB14C0" w:rsidRDefault="00DB14C0" w:rsidP="00243D43">
      <w:pPr>
        <w:tabs>
          <w:tab w:val="center" w:pos="5400"/>
        </w:tabs>
        <w:suppressAutoHyphens/>
        <w:spacing w:line="276" w:lineRule="auto"/>
        <w:jc w:val="center"/>
        <w:rPr>
          <w:rFonts w:asciiTheme="majorHAnsi" w:hAnsiTheme="majorHAnsi"/>
          <w:b/>
          <w:bCs/>
          <w:sz w:val="20"/>
          <w:szCs w:val="20"/>
          <w:lang w:val="es-AR"/>
        </w:rPr>
      </w:pPr>
    </w:p>
    <w:p w14:paraId="501B082C" w14:textId="77777777" w:rsidR="00DB14C0" w:rsidRDefault="00DB14C0" w:rsidP="00243D43">
      <w:pPr>
        <w:tabs>
          <w:tab w:val="center" w:pos="5400"/>
        </w:tabs>
        <w:suppressAutoHyphens/>
        <w:spacing w:line="276" w:lineRule="auto"/>
        <w:jc w:val="center"/>
        <w:rPr>
          <w:rFonts w:asciiTheme="majorHAnsi" w:hAnsiTheme="majorHAnsi"/>
          <w:b/>
          <w:bCs/>
          <w:sz w:val="20"/>
          <w:szCs w:val="20"/>
          <w:lang w:val="es-AR"/>
        </w:rPr>
      </w:pPr>
    </w:p>
    <w:p w14:paraId="2973BF2D" w14:textId="77777777" w:rsidR="00DB14C0" w:rsidRDefault="00DB14C0" w:rsidP="00243D43">
      <w:pPr>
        <w:tabs>
          <w:tab w:val="center" w:pos="5400"/>
        </w:tabs>
        <w:suppressAutoHyphens/>
        <w:spacing w:line="276" w:lineRule="auto"/>
        <w:jc w:val="center"/>
        <w:rPr>
          <w:rFonts w:asciiTheme="majorHAnsi" w:hAnsiTheme="majorHAnsi"/>
          <w:b/>
          <w:bCs/>
          <w:sz w:val="20"/>
          <w:szCs w:val="20"/>
          <w:lang w:val="es-AR"/>
        </w:rPr>
      </w:pPr>
    </w:p>
    <w:p w14:paraId="569E4089" w14:textId="77777777" w:rsidR="00DB14C0" w:rsidRDefault="00DB14C0" w:rsidP="00243D43">
      <w:pPr>
        <w:tabs>
          <w:tab w:val="center" w:pos="5400"/>
        </w:tabs>
        <w:suppressAutoHyphens/>
        <w:spacing w:line="276" w:lineRule="auto"/>
        <w:jc w:val="center"/>
        <w:rPr>
          <w:rFonts w:asciiTheme="majorHAnsi" w:hAnsiTheme="majorHAnsi"/>
          <w:b/>
          <w:bCs/>
          <w:sz w:val="20"/>
          <w:szCs w:val="20"/>
          <w:lang w:val="es-AR"/>
        </w:rPr>
      </w:pPr>
    </w:p>
    <w:p w14:paraId="05582AC0" w14:textId="77777777" w:rsidR="00DB14C0" w:rsidRDefault="00DB14C0" w:rsidP="00243D43">
      <w:pPr>
        <w:tabs>
          <w:tab w:val="center" w:pos="5400"/>
        </w:tabs>
        <w:suppressAutoHyphens/>
        <w:spacing w:line="276" w:lineRule="auto"/>
        <w:jc w:val="center"/>
        <w:rPr>
          <w:rFonts w:asciiTheme="majorHAnsi" w:hAnsiTheme="majorHAnsi"/>
          <w:b/>
          <w:bCs/>
          <w:sz w:val="20"/>
          <w:szCs w:val="20"/>
          <w:lang w:val="es-AR"/>
        </w:rPr>
      </w:pPr>
    </w:p>
    <w:p w14:paraId="3DF8ED08" w14:textId="77777777" w:rsidR="00DB14C0" w:rsidRDefault="00DB14C0" w:rsidP="00243D43">
      <w:pPr>
        <w:tabs>
          <w:tab w:val="center" w:pos="5400"/>
        </w:tabs>
        <w:suppressAutoHyphens/>
        <w:spacing w:line="276" w:lineRule="auto"/>
        <w:jc w:val="center"/>
        <w:rPr>
          <w:rFonts w:asciiTheme="majorHAnsi" w:hAnsiTheme="majorHAnsi"/>
          <w:b/>
          <w:bCs/>
          <w:sz w:val="20"/>
          <w:szCs w:val="20"/>
          <w:lang w:val="es-AR"/>
        </w:rPr>
      </w:pPr>
    </w:p>
    <w:p w14:paraId="457A18F3" w14:textId="77777777" w:rsidR="00DB14C0" w:rsidRDefault="00DB14C0" w:rsidP="00243D43">
      <w:pPr>
        <w:tabs>
          <w:tab w:val="center" w:pos="5400"/>
        </w:tabs>
        <w:suppressAutoHyphens/>
        <w:spacing w:line="276" w:lineRule="auto"/>
        <w:jc w:val="center"/>
        <w:rPr>
          <w:rFonts w:asciiTheme="majorHAnsi" w:hAnsiTheme="majorHAnsi"/>
          <w:b/>
          <w:bCs/>
          <w:sz w:val="20"/>
          <w:szCs w:val="20"/>
          <w:lang w:val="es-AR"/>
        </w:rPr>
      </w:pPr>
    </w:p>
    <w:p w14:paraId="64A6BC70" w14:textId="77777777" w:rsidR="00DB14C0" w:rsidRDefault="00DB14C0" w:rsidP="00243D43">
      <w:pPr>
        <w:tabs>
          <w:tab w:val="center" w:pos="5400"/>
        </w:tabs>
        <w:suppressAutoHyphens/>
        <w:spacing w:line="276" w:lineRule="auto"/>
        <w:jc w:val="center"/>
        <w:rPr>
          <w:rFonts w:asciiTheme="majorHAnsi" w:hAnsiTheme="majorHAnsi"/>
          <w:b/>
          <w:bCs/>
          <w:sz w:val="20"/>
          <w:szCs w:val="20"/>
          <w:lang w:val="es-AR"/>
        </w:rPr>
      </w:pPr>
    </w:p>
    <w:p w14:paraId="43B9C842" w14:textId="77777777" w:rsidR="00DB14C0" w:rsidRDefault="00DB14C0" w:rsidP="00243D43">
      <w:pPr>
        <w:tabs>
          <w:tab w:val="center" w:pos="5400"/>
        </w:tabs>
        <w:suppressAutoHyphens/>
        <w:spacing w:line="276" w:lineRule="auto"/>
        <w:jc w:val="center"/>
        <w:rPr>
          <w:rFonts w:asciiTheme="majorHAnsi" w:hAnsiTheme="majorHAnsi"/>
          <w:b/>
          <w:bCs/>
          <w:sz w:val="20"/>
          <w:szCs w:val="20"/>
          <w:lang w:val="es-AR"/>
        </w:rPr>
      </w:pPr>
    </w:p>
    <w:p w14:paraId="6286B7A0" w14:textId="77777777" w:rsidR="00DB14C0" w:rsidRDefault="00DB14C0" w:rsidP="00243D43">
      <w:pPr>
        <w:tabs>
          <w:tab w:val="center" w:pos="5400"/>
        </w:tabs>
        <w:suppressAutoHyphens/>
        <w:spacing w:line="276" w:lineRule="auto"/>
        <w:jc w:val="center"/>
        <w:rPr>
          <w:rFonts w:asciiTheme="majorHAnsi" w:hAnsiTheme="majorHAnsi"/>
          <w:b/>
          <w:bCs/>
          <w:sz w:val="20"/>
          <w:szCs w:val="20"/>
          <w:lang w:val="es-AR"/>
        </w:rPr>
      </w:pPr>
    </w:p>
    <w:p w14:paraId="4E17AE1A" w14:textId="77777777" w:rsidR="00DB14C0" w:rsidRDefault="00DB14C0" w:rsidP="00243D43">
      <w:pPr>
        <w:tabs>
          <w:tab w:val="center" w:pos="5400"/>
        </w:tabs>
        <w:suppressAutoHyphens/>
        <w:spacing w:line="276" w:lineRule="auto"/>
        <w:jc w:val="center"/>
        <w:rPr>
          <w:rFonts w:asciiTheme="majorHAnsi" w:hAnsiTheme="majorHAnsi"/>
          <w:b/>
          <w:bCs/>
          <w:sz w:val="20"/>
          <w:szCs w:val="20"/>
          <w:lang w:val="es-AR"/>
        </w:rPr>
      </w:pPr>
    </w:p>
    <w:p w14:paraId="0AFC3E8A" w14:textId="77777777" w:rsidR="00DB14C0" w:rsidRDefault="00DB14C0" w:rsidP="00243D43">
      <w:pPr>
        <w:tabs>
          <w:tab w:val="center" w:pos="5400"/>
        </w:tabs>
        <w:suppressAutoHyphens/>
        <w:spacing w:line="276" w:lineRule="auto"/>
        <w:jc w:val="center"/>
        <w:rPr>
          <w:rFonts w:asciiTheme="majorHAnsi" w:hAnsiTheme="majorHAnsi"/>
          <w:b/>
          <w:bCs/>
          <w:sz w:val="20"/>
          <w:szCs w:val="20"/>
          <w:lang w:val="es-AR"/>
        </w:rPr>
      </w:pPr>
    </w:p>
    <w:p w14:paraId="07351512" w14:textId="77777777" w:rsidR="00DB14C0" w:rsidRDefault="00DB14C0" w:rsidP="00243D43">
      <w:pPr>
        <w:tabs>
          <w:tab w:val="center" w:pos="5400"/>
        </w:tabs>
        <w:suppressAutoHyphens/>
        <w:spacing w:line="276" w:lineRule="auto"/>
        <w:jc w:val="center"/>
        <w:rPr>
          <w:rFonts w:asciiTheme="majorHAnsi" w:hAnsiTheme="majorHAnsi"/>
          <w:b/>
          <w:bCs/>
          <w:sz w:val="20"/>
          <w:szCs w:val="20"/>
          <w:lang w:val="es-AR"/>
        </w:rPr>
      </w:pPr>
    </w:p>
    <w:p w14:paraId="3D9EAEA0" w14:textId="77777777" w:rsidR="00DB14C0" w:rsidRDefault="00DB14C0" w:rsidP="00243D43">
      <w:pPr>
        <w:tabs>
          <w:tab w:val="center" w:pos="5400"/>
        </w:tabs>
        <w:suppressAutoHyphens/>
        <w:spacing w:line="276" w:lineRule="auto"/>
        <w:jc w:val="center"/>
        <w:rPr>
          <w:rFonts w:asciiTheme="majorHAnsi" w:hAnsiTheme="majorHAnsi"/>
          <w:b/>
          <w:bCs/>
          <w:sz w:val="20"/>
          <w:szCs w:val="20"/>
          <w:lang w:val="es-AR"/>
        </w:rPr>
      </w:pPr>
    </w:p>
    <w:p w14:paraId="478CAA70" w14:textId="77777777" w:rsidR="00DB14C0" w:rsidRDefault="00DB14C0" w:rsidP="00243D43">
      <w:pPr>
        <w:tabs>
          <w:tab w:val="center" w:pos="5400"/>
        </w:tabs>
        <w:suppressAutoHyphens/>
        <w:spacing w:line="276" w:lineRule="auto"/>
        <w:jc w:val="center"/>
        <w:rPr>
          <w:rFonts w:asciiTheme="majorHAnsi" w:hAnsiTheme="majorHAnsi"/>
          <w:b/>
          <w:bCs/>
          <w:sz w:val="20"/>
          <w:szCs w:val="20"/>
          <w:lang w:val="es-AR"/>
        </w:rPr>
      </w:pPr>
    </w:p>
    <w:p w14:paraId="39AA8C48" w14:textId="77777777" w:rsidR="00DB14C0" w:rsidRDefault="00DB14C0" w:rsidP="00243D43">
      <w:pPr>
        <w:tabs>
          <w:tab w:val="center" w:pos="5400"/>
        </w:tabs>
        <w:suppressAutoHyphens/>
        <w:spacing w:line="276" w:lineRule="auto"/>
        <w:jc w:val="center"/>
        <w:rPr>
          <w:rFonts w:asciiTheme="majorHAnsi" w:hAnsiTheme="majorHAnsi"/>
          <w:b/>
          <w:bCs/>
          <w:sz w:val="20"/>
          <w:szCs w:val="20"/>
          <w:lang w:val="es-AR"/>
        </w:rPr>
      </w:pPr>
    </w:p>
    <w:p w14:paraId="19562A47" w14:textId="77777777" w:rsidR="00DB14C0" w:rsidRDefault="00DB14C0" w:rsidP="00243D43">
      <w:pPr>
        <w:tabs>
          <w:tab w:val="center" w:pos="5400"/>
        </w:tabs>
        <w:suppressAutoHyphens/>
        <w:spacing w:line="276" w:lineRule="auto"/>
        <w:jc w:val="center"/>
        <w:rPr>
          <w:rFonts w:asciiTheme="majorHAnsi" w:hAnsiTheme="majorHAnsi"/>
          <w:b/>
          <w:bCs/>
          <w:sz w:val="20"/>
          <w:szCs w:val="20"/>
          <w:lang w:val="es-AR"/>
        </w:rPr>
      </w:pPr>
    </w:p>
    <w:p w14:paraId="41E27534" w14:textId="77777777" w:rsidR="00DB14C0" w:rsidRDefault="00DB14C0" w:rsidP="00243D43">
      <w:pPr>
        <w:tabs>
          <w:tab w:val="center" w:pos="5400"/>
        </w:tabs>
        <w:suppressAutoHyphens/>
        <w:spacing w:line="276" w:lineRule="auto"/>
        <w:jc w:val="center"/>
        <w:rPr>
          <w:rFonts w:asciiTheme="majorHAnsi" w:hAnsiTheme="majorHAnsi"/>
          <w:b/>
          <w:bCs/>
          <w:sz w:val="20"/>
          <w:szCs w:val="20"/>
          <w:lang w:val="es-AR"/>
        </w:rPr>
      </w:pPr>
    </w:p>
    <w:p w14:paraId="3799CF55" w14:textId="77777777" w:rsidR="00DB14C0" w:rsidRDefault="00DB14C0" w:rsidP="00243D43">
      <w:pPr>
        <w:tabs>
          <w:tab w:val="center" w:pos="5400"/>
        </w:tabs>
        <w:suppressAutoHyphens/>
        <w:spacing w:line="276" w:lineRule="auto"/>
        <w:jc w:val="center"/>
        <w:rPr>
          <w:rFonts w:asciiTheme="majorHAnsi" w:hAnsiTheme="majorHAnsi"/>
          <w:b/>
          <w:bCs/>
          <w:sz w:val="20"/>
          <w:szCs w:val="20"/>
          <w:lang w:val="es-AR"/>
        </w:rPr>
      </w:pPr>
    </w:p>
    <w:p w14:paraId="63DBC5B5" w14:textId="77777777" w:rsidR="00DB14C0" w:rsidRDefault="00DB14C0" w:rsidP="00243D43">
      <w:pPr>
        <w:tabs>
          <w:tab w:val="center" w:pos="5400"/>
        </w:tabs>
        <w:suppressAutoHyphens/>
        <w:spacing w:line="276" w:lineRule="auto"/>
        <w:jc w:val="center"/>
        <w:rPr>
          <w:rFonts w:asciiTheme="majorHAnsi" w:hAnsiTheme="majorHAnsi"/>
          <w:b/>
          <w:bCs/>
          <w:sz w:val="20"/>
          <w:szCs w:val="20"/>
          <w:lang w:val="es-AR"/>
        </w:rPr>
      </w:pPr>
    </w:p>
    <w:p w14:paraId="0CF39FFF" w14:textId="77777777" w:rsidR="00DB14C0" w:rsidRDefault="00DB14C0" w:rsidP="00243D43">
      <w:pPr>
        <w:tabs>
          <w:tab w:val="center" w:pos="5400"/>
        </w:tabs>
        <w:suppressAutoHyphens/>
        <w:spacing w:line="276" w:lineRule="auto"/>
        <w:jc w:val="center"/>
        <w:rPr>
          <w:rFonts w:asciiTheme="majorHAnsi" w:hAnsiTheme="majorHAnsi"/>
          <w:b/>
          <w:bCs/>
          <w:sz w:val="20"/>
          <w:szCs w:val="20"/>
          <w:lang w:val="es-AR"/>
        </w:rPr>
      </w:pPr>
    </w:p>
    <w:p w14:paraId="31EBE63F" w14:textId="77777777" w:rsidR="00DB14C0" w:rsidRDefault="00DB14C0" w:rsidP="00243D43">
      <w:pPr>
        <w:tabs>
          <w:tab w:val="center" w:pos="5400"/>
        </w:tabs>
        <w:suppressAutoHyphens/>
        <w:spacing w:line="276" w:lineRule="auto"/>
        <w:jc w:val="center"/>
        <w:rPr>
          <w:rFonts w:asciiTheme="majorHAnsi" w:hAnsiTheme="majorHAnsi"/>
          <w:b/>
          <w:bCs/>
          <w:sz w:val="20"/>
          <w:szCs w:val="20"/>
          <w:lang w:val="es-AR"/>
        </w:rPr>
      </w:pPr>
    </w:p>
    <w:p w14:paraId="35D02E6B" w14:textId="77777777" w:rsidR="00DB14C0" w:rsidRDefault="00DB14C0" w:rsidP="00243D43">
      <w:pPr>
        <w:tabs>
          <w:tab w:val="center" w:pos="5400"/>
        </w:tabs>
        <w:suppressAutoHyphens/>
        <w:spacing w:line="276" w:lineRule="auto"/>
        <w:jc w:val="center"/>
        <w:rPr>
          <w:rFonts w:asciiTheme="majorHAnsi" w:hAnsiTheme="majorHAnsi"/>
          <w:b/>
          <w:bCs/>
          <w:sz w:val="20"/>
          <w:szCs w:val="20"/>
          <w:lang w:val="es-AR"/>
        </w:rPr>
      </w:pPr>
    </w:p>
    <w:p w14:paraId="7E803F1E" w14:textId="77777777" w:rsidR="00DB14C0" w:rsidRDefault="00DB14C0" w:rsidP="00243D43">
      <w:pPr>
        <w:tabs>
          <w:tab w:val="center" w:pos="5400"/>
        </w:tabs>
        <w:suppressAutoHyphens/>
        <w:spacing w:line="276" w:lineRule="auto"/>
        <w:jc w:val="center"/>
        <w:rPr>
          <w:rFonts w:asciiTheme="majorHAnsi" w:hAnsiTheme="majorHAnsi"/>
          <w:b/>
          <w:bCs/>
          <w:sz w:val="20"/>
          <w:szCs w:val="20"/>
          <w:lang w:val="es-AR"/>
        </w:rPr>
      </w:pPr>
    </w:p>
    <w:p w14:paraId="0D3ABD05" w14:textId="77777777" w:rsidR="00DB14C0" w:rsidRDefault="00DB14C0" w:rsidP="00243D43">
      <w:pPr>
        <w:tabs>
          <w:tab w:val="center" w:pos="5400"/>
        </w:tabs>
        <w:suppressAutoHyphens/>
        <w:spacing w:line="276" w:lineRule="auto"/>
        <w:jc w:val="center"/>
        <w:rPr>
          <w:rFonts w:asciiTheme="majorHAnsi" w:hAnsiTheme="majorHAnsi"/>
          <w:b/>
          <w:bCs/>
          <w:sz w:val="20"/>
          <w:szCs w:val="20"/>
          <w:lang w:val="es-AR"/>
        </w:rPr>
      </w:pPr>
    </w:p>
    <w:p w14:paraId="3412BFA2" w14:textId="77777777" w:rsidR="00DB14C0" w:rsidRDefault="00DB14C0" w:rsidP="00243D43">
      <w:pPr>
        <w:tabs>
          <w:tab w:val="center" w:pos="5400"/>
        </w:tabs>
        <w:suppressAutoHyphens/>
        <w:spacing w:line="276" w:lineRule="auto"/>
        <w:jc w:val="center"/>
        <w:rPr>
          <w:rFonts w:asciiTheme="majorHAnsi" w:hAnsiTheme="majorHAnsi"/>
          <w:b/>
          <w:bCs/>
          <w:sz w:val="20"/>
          <w:szCs w:val="20"/>
          <w:lang w:val="es-AR"/>
        </w:rPr>
      </w:pPr>
    </w:p>
    <w:p w14:paraId="2642C68E" w14:textId="21722C1B" w:rsidR="008D768D" w:rsidRPr="00DB14C0" w:rsidRDefault="003457D5" w:rsidP="00243D43">
      <w:pPr>
        <w:tabs>
          <w:tab w:val="center" w:pos="5400"/>
        </w:tabs>
        <w:suppressAutoHyphens/>
        <w:spacing w:line="276" w:lineRule="auto"/>
        <w:jc w:val="center"/>
        <w:rPr>
          <w:rFonts w:asciiTheme="majorHAnsi" w:hAnsiTheme="majorHAnsi"/>
          <w:sz w:val="20"/>
          <w:szCs w:val="20"/>
          <w:lang w:val="es-AR"/>
        </w:rPr>
      </w:pPr>
      <w:r w:rsidRPr="00DB14C0">
        <w:rPr>
          <w:rFonts w:asciiTheme="majorHAnsi" w:hAnsiTheme="majorHAnsi"/>
          <w:b/>
          <w:bCs/>
          <w:sz w:val="20"/>
          <w:szCs w:val="20"/>
          <w:lang w:val="es-AR"/>
        </w:rPr>
        <w:lastRenderedPageBreak/>
        <w:t>Anexo</w:t>
      </w:r>
    </w:p>
    <w:p w14:paraId="79C01DA5" w14:textId="77777777" w:rsidR="00243D43" w:rsidRPr="00DB14C0" w:rsidRDefault="00243D43" w:rsidP="00243D43">
      <w:pPr>
        <w:tabs>
          <w:tab w:val="center" w:pos="5400"/>
        </w:tabs>
        <w:suppressAutoHyphens/>
        <w:spacing w:line="276" w:lineRule="auto"/>
        <w:jc w:val="center"/>
        <w:rPr>
          <w:rFonts w:asciiTheme="majorHAnsi" w:hAnsiTheme="majorHAnsi"/>
          <w:sz w:val="20"/>
          <w:szCs w:val="20"/>
          <w:lang w:val="es-AR"/>
        </w:rPr>
      </w:pPr>
    </w:p>
    <w:p w14:paraId="13C80829" w14:textId="77777777" w:rsidR="003457D5" w:rsidRPr="003457D5" w:rsidRDefault="003457D5" w:rsidP="003457D5">
      <w:pPr>
        <w:pStyle w:val="FootnoteText"/>
        <w:ind w:firstLine="720"/>
        <w:jc w:val="both"/>
        <w:rPr>
          <w:rFonts w:asciiTheme="majorHAnsi" w:hAnsiTheme="majorHAnsi"/>
          <w:lang w:val="es-US"/>
        </w:rPr>
      </w:pPr>
      <w:r w:rsidRPr="003457D5">
        <w:rPr>
          <w:rFonts w:asciiTheme="majorHAnsi" w:hAnsiTheme="majorHAnsi"/>
          <w:lang w:val="es-US"/>
        </w:rPr>
        <w:t xml:space="preserve">(1) Gabriel Pascual, </w:t>
      </w:r>
    </w:p>
    <w:p w14:paraId="6BB1C5E8" w14:textId="77777777" w:rsidR="003457D5" w:rsidRPr="003457D5" w:rsidRDefault="003457D5" w:rsidP="003457D5">
      <w:pPr>
        <w:pStyle w:val="FootnoteText"/>
        <w:ind w:firstLine="720"/>
        <w:jc w:val="both"/>
        <w:rPr>
          <w:rFonts w:asciiTheme="majorHAnsi" w:hAnsiTheme="majorHAnsi"/>
          <w:lang w:val="es-US"/>
        </w:rPr>
      </w:pPr>
      <w:r w:rsidRPr="003457D5">
        <w:rPr>
          <w:rFonts w:asciiTheme="majorHAnsi" w:hAnsiTheme="majorHAnsi"/>
          <w:lang w:val="es-US"/>
        </w:rPr>
        <w:t xml:space="preserve">(2) Beatriz Villar, </w:t>
      </w:r>
    </w:p>
    <w:p w14:paraId="5583023F" w14:textId="77777777" w:rsidR="003457D5" w:rsidRPr="003457D5" w:rsidRDefault="003457D5" w:rsidP="003457D5">
      <w:pPr>
        <w:pStyle w:val="FootnoteText"/>
        <w:ind w:firstLine="720"/>
        <w:jc w:val="both"/>
        <w:rPr>
          <w:rFonts w:asciiTheme="majorHAnsi" w:hAnsiTheme="majorHAnsi"/>
          <w:lang w:val="es-US"/>
        </w:rPr>
      </w:pPr>
      <w:r w:rsidRPr="003457D5">
        <w:rPr>
          <w:rFonts w:asciiTheme="majorHAnsi" w:hAnsiTheme="majorHAnsi"/>
          <w:lang w:val="es-US"/>
        </w:rPr>
        <w:t xml:space="preserve">(3) Ariel Poveda, </w:t>
      </w:r>
    </w:p>
    <w:p w14:paraId="1FBE9544" w14:textId="77777777" w:rsidR="003457D5" w:rsidRPr="00DB14C0" w:rsidRDefault="003457D5" w:rsidP="003457D5">
      <w:pPr>
        <w:pStyle w:val="FootnoteText"/>
        <w:ind w:firstLine="720"/>
        <w:jc w:val="both"/>
        <w:rPr>
          <w:rFonts w:asciiTheme="majorHAnsi" w:hAnsiTheme="majorHAnsi"/>
          <w:lang w:val="es-AR"/>
        </w:rPr>
      </w:pPr>
      <w:r w:rsidRPr="00DB14C0">
        <w:rPr>
          <w:rFonts w:asciiTheme="majorHAnsi" w:hAnsiTheme="majorHAnsi"/>
          <w:lang w:val="es-AR"/>
        </w:rPr>
        <w:t xml:space="preserve">(4) Vicenta Alvarado, </w:t>
      </w:r>
    </w:p>
    <w:p w14:paraId="24A6DE76" w14:textId="77777777" w:rsidR="003457D5" w:rsidRPr="00DB14C0" w:rsidRDefault="003457D5" w:rsidP="003457D5">
      <w:pPr>
        <w:pStyle w:val="FootnoteText"/>
        <w:ind w:firstLine="720"/>
        <w:jc w:val="both"/>
        <w:rPr>
          <w:rFonts w:asciiTheme="majorHAnsi" w:hAnsiTheme="majorHAnsi"/>
          <w:lang w:val="es-AR"/>
        </w:rPr>
      </w:pPr>
      <w:r w:rsidRPr="00DB14C0">
        <w:rPr>
          <w:rFonts w:asciiTheme="majorHAnsi" w:hAnsiTheme="majorHAnsi"/>
          <w:lang w:val="es-AR"/>
        </w:rPr>
        <w:t xml:space="preserve">(5) Daniel José Sarmiento, </w:t>
      </w:r>
    </w:p>
    <w:p w14:paraId="15ECC35D" w14:textId="77777777" w:rsidR="003457D5" w:rsidRPr="003457D5" w:rsidRDefault="003457D5" w:rsidP="003457D5">
      <w:pPr>
        <w:pStyle w:val="FootnoteText"/>
        <w:ind w:firstLine="720"/>
        <w:jc w:val="both"/>
        <w:rPr>
          <w:rFonts w:asciiTheme="majorHAnsi" w:hAnsiTheme="majorHAnsi"/>
          <w:lang w:val="es-US"/>
        </w:rPr>
      </w:pPr>
      <w:r w:rsidRPr="003457D5">
        <w:rPr>
          <w:rFonts w:asciiTheme="majorHAnsi" w:hAnsiTheme="majorHAnsi"/>
          <w:lang w:val="es-US"/>
        </w:rPr>
        <w:t xml:space="preserve">(6) Esther Atencio, </w:t>
      </w:r>
    </w:p>
    <w:p w14:paraId="68EBE156" w14:textId="77777777" w:rsidR="003457D5" w:rsidRPr="003457D5" w:rsidRDefault="003457D5" w:rsidP="003457D5">
      <w:pPr>
        <w:pStyle w:val="FootnoteText"/>
        <w:ind w:firstLine="720"/>
        <w:jc w:val="both"/>
        <w:rPr>
          <w:rFonts w:asciiTheme="majorHAnsi" w:hAnsiTheme="majorHAnsi"/>
          <w:lang w:val="es-US"/>
        </w:rPr>
      </w:pPr>
      <w:r w:rsidRPr="003457D5">
        <w:rPr>
          <w:rFonts w:asciiTheme="majorHAnsi" w:hAnsiTheme="majorHAnsi"/>
          <w:lang w:val="es-US"/>
        </w:rPr>
        <w:t xml:space="preserve">(7) Anabel Herrera, </w:t>
      </w:r>
    </w:p>
    <w:p w14:paraId="2D6EAAC8" w14:textId="77777777" w:rsidR="003457D5" w:rsidRPr="003457D5" w:rsidRDefault="003457D5" w:rsidP="003457D5">
      <w:pPr>
        <w:pStyle w:val="FootnoteText"/>
        <w:ind w:firstLine="720"/>
        <w:jc w:val="both"/>
        <w:rPr>
          <w:rFonts w:asciiTheme="majorHAnsi" w:hAnsiTheme="majorHAnsi"/>
          <w:lang w:val="es-US"/>
        </w:rPr>
      </w:pPr>
      <w:r w:rsidRPr="003457D5">
        <w:rPr>
          <w:rFonts w:asciiTheme="majorHAnsi" w:hAnsiTheme="majorHAnsi"/>
          <w:lang w:val="es-US"/>
        </w:rPr>
        <w:t xml:space="preserve">(8) Adolfo Nieto, </w:t>
      </w:r>
    </w:p>
    <w:p w14:paraId="0828F5DE" w14:textId="77777777" w:rsidR="003457D5" w:rsidRPr="003457D5" w:rsidRDefault="003457D5" w:rsidP="003457D5">
      <w:pPr>
        <w:pStyle w:val="FootnoteText"/>
        <w:ind w:firstLine="720"/>
        <w:jc w:val="both"/>
        <w:rPr>
          <w:rFonts w:asciiTheme="majorHAnsi" w:hAnsiTheme="majorHAnsi"/>
          <w:lang w:val="es-US"/>
        </w:rPr>
      </w:pPr>
      <w:r w:rsidRPr="003457D5">
        <w:rPr>
          <w:rFonts w:asciiTheme="majorHAnsi" w:hAnsiTheme="majorHAnsi"/>
          <w:lang w:val="es-US"/>
        </w:rPr>
        <w:t xml:space="preserve">(9) Viodelda Amaya, </w:t>
      </w:r>
    </w:p>
    <w:p w14:paraId="3D70145E" w14:textId="77777777" w:rsidR="003457D5" w:rsidRPr="003457D5" w:rsidRDefault="003457D5" w:rsidP="003457D5">
      <w:pPr>
        <w:pStyle w:val="FootnoteText"/>
        <w:ind w:firstLine="720"/>
        <w:jc w:val="both"/>
        <w:rPr>
          <w:rFonts w:asciiTheme="majorHAnsi" w:hAnsiTheme="majorHAnsi"/>
          <w:lang w:val="es-US"/>
        </w:rPr>
      </w:pPr>
      <w:r w:rsidRPr="003457D5">
        <w:rPr>
          <w:rFonts w:asciiTheme="majorHAnsi" w:hAnsiTheme="majorHAnsi"/>
          <w:lang w:val="es-US"/>
        </w:rPr>
        <w:t xml:space="preserve">(10) Felicito Navarro, </w:t>
      </w:r>
    </w:p>
    <w:p w14:paraId="598A15FB" w14:textId="77777777" w:rsidR="003457D5" w:rsidRPr="003457D5" w:rsidRDefault="003457D5" w:rsidP="003457D5">
      <w:pPr>
        <w:pStyle w:val="FootnoteText"/>
        <w:ind w:firstLine="720"/>
        <w:jc w:val="both"/>
        <w:rPr>
          <w:rFonts w:asciiTheme="majorHAnsi" w:hAnsiTheme="majorHAnsi"/>
          <w:lang w:val="es-US"/>
        </w:rPr>
      </w:pPr>
      <w:r w:rsidRPr="003457D5">
        <w:rPr>
          <w:rFonts w:asciiTheme="majorHAnsi" w:hAnsiTheme="majorHAnsi"/>
          <w:lang w:val="es-US"/>
        </w:rPr>
        <w:t xml:space="preserve">(11) Briceyda Moreno, </w:t>
      </w:r>
    </w:p>
    <w:p w14:paraId="648DE920" w14:textId="77777777" w:rsidR="003457D5" w:rsidRPr="003457D5" w:rsidRDefault="003457D5" w:rsidP="003457D5">
      <w:pPr>
        <w:pStyle w:val="FootnoteText"/>
        <w:ind w:firstLine="720"/>
        <w:jc w:val="both"/>
        <w:rPr>
          <w:rFonts w:asciiTheme="majorHAnsi" w:hAnsiTheme="majorHAnsi"/>
          <w:lang w:val="es-US"/>
        </w:rPr>
      </w:pPr>
      <w:r w:rsidRPr="003457D5">
        <w:rPr>
          <w:rFonts w:asciiTheme="majorHAnsi" w:hAnsiTheme="majorHAnsi"/>
          <w:lang w:val="es-US"/>
        </w:rPr>
        <w:t xml:space="preserve">(12) María Elena Pascual, </w:t>
      </w:r>
    </w:p>
    <w:p w14:paraId="20C6AE43" w14:textId="77777777" w:rsidR="003457D5" w:rsidRPr="003457D5" w:rsidRDefault="003457D5" w:rsidP="003457D5">
      <w:pPr>
        <w:pStyle w:val="FootnoteText"/>
        <w:ind w:firstLine="720"/>
        <w:jc w:val="both"/>
        <w:rPr>
          <w:rFonts w:asciiTheme="majorHAnsi" w:hAnsiTheme="majorHAnsi"/>
          <w:lang w:val="es-US"/>
        </w:rPr>
      </w:pPr>
      <w:r w:rsidRPr="003457D5">
        <w:rPr>
          <w:rFonts w:asciiTheme="majorHAnsi" w:hAnsiTheme="majorHAnsi"/>
          <w:lang w:val="es-US"/>
        </w:rPr>
        <w:t xml:space="preserve">(13) Rafael Tejada, </w:t>
      </w:r>
    </w:p>
    <w:p w14:paraId="13E231B2" w14:textId="77777777" w:rsidR="003457D5" w:rsidRPr="003457D5" w:rsidRDefault="003457D5" w:rsidP="003457D5">
      <w:pPr>
        <w:pStyle w:val="FootnoteText"/>
        <w:ind w:firstLine="720"/>
        <w:jc w:val="both"/>
        <w:rPr>
          <w:rFonts w:asciiTheme="majorHAnsi" w:hAnsiTheme="majorHAnsi"/>
          <w:lang w:val="es-US"/>
        </w:rPr>
      </w:pPr>
      <w:r w:rsidRPr="003457D5">
        <w:rPr>
          <w:rFonts w:asciiTheme="majorHAnsi" w:hAnsiTheme="majorHAnsi"/>
          <w:lang w:val="es-US"/>
        </w:rPr>
        <w:t xml:space="preserve">(14) Omayra Tristán, </w:t>
      </w:r>
    </w:p>
    <w:p w14:paraId="7E8D2B66" w14:textId="77777777" w:rsidR="003457D5" w:rsidRPr="004B4C9F" w:rsidRDefault="003457D5" w:rsidP="003457D5">
      <w:pPr>
        <w:pStyle w:val="FootnoteText"/>
        <w:ind w:firstLine="720"/>
        <w:jc w:val="both"/>
        <w:rPr>
          <w:rFonts w:asciiTheme="majorHAnsi" w:hAnsiTheme="majorHAnsi"/>
          <w:lang w:val="pt-BR"/>
        </w:rPr>
      </w:pPr>
      <w:r w:rsidRPr="004B4C9F">
        <w:rPr>
          <w:rFonts w:asciiTheme="majorHAnsi" w:hAnsiTheme="majorHAnsi"/>
          <w:lang w:val="pt-BR"/>
        </w:rPr>
        <w:t xml:space="preserve">(15) Doris Gutiérrez, </w:t>
      </w:r>
    </w:p>
    <w:p w14:paraId="4F9E36C2" w14:textId="77777777" w:rsidR="003457D5" w:rsidRPr="004B4C9F" w:rsidRDefault="003457D5" w:rsidP="003457D5">
      <w:pPr>
        <w:pStyle w:val="FootnoteText"/>
        <w:ind w:firstLine="720"/>
        <w:jc w:val="both"/>
        <w:rPr>
          <w:rFonts w:asciiTheme="majorHAnsi" w:hAnsiTheme="majorHAnsi"/>
          <w:lang w:val="pt-BR"/>
        </w:rPr>
      </w:pPr>
      <w:r w:rsidRPr="004B4C9F">
        <w:rPr>
          <w:rFonts w:asciiTheme="majorHAnsi" w:hAnsiTheme="majorHAnsi"/>
          <w:lang w:val="pt-BR"/>
        </w:rPr>
        <w:t xml:space="preserve">(16) Ezequiel Gómez, </w:t>
      </w:r>
    </w:p>
    <w:p w14:paraId="4DEDB189" w14:textId="77777777" w:rsidR="003457D5" w:rsidRPr="004B4C9F" w:rsidRDefault="003457D5" w:rsidP="003457D5">
      <w:pPr>
        <w:pStyle w:val="FootnoteText"/>
        <w:ind w:firstLine="720"/>
        <w:jc w:val="both"/>
        <w:rPr>
          <w:rFonts w:asciiTheme="majorHAnsi" w:hAnsiTheme="majorHAnsi"/>
          <w:lang w:val="pt-BR"/>
        </w:rPr>
      </w:pPr>
      <w:r w:rsidRPr="004B4C9F">
        <w:rPr>
          <w:rFonts w:asciiTheme="majorHAnsi" w:hAnsiTheme="majorHAnsi"/>
          <w:lang w:val="pt-BR"/>
        </w:rPr>
        <w:t xml:space="preserve">(17) Agilio Diaz, </w:t>
      </w:r>
    </w:p>
    <w:p w14:paraId="2716AFE7" w14:textId="77777777" w:rsidR="003457D5" w:rsidRPr="004B4C9F" w:rsidRDefault="003457D5" w:rsidP="003457D5">
      <w:pPr>
        <w:pStyle w:val="FootnoteText"/>
        <w:ind w:firstLine="720"/>
        <w:jc w:val="both"/>
        <w:rPr>
          <w:rFonts w:asciiTheme="majorHAnsi" w:hAnsiTheme="majorHAnsi"/>
          <w:lang w:val="pt-BR"/>
        </w:rPr>
      </w:pPr>
      <w:r w:rsidRPr="004B4C9F">
        <w:rPr>
          <w:rFonts w:asciiTheme="majorHAnsi" w:hAnsiTheme="majorHAnsi"/>
          <w:lang w:val="pt-BR"/>
        </w:rPr>
        <w:t xml:space="preserve">(18) Elizabeth Matias, </w:t>
      </w:r>
    </w:p>
    <w:p w14:paraId="0645BAF9" w14:textId="77777777" w:rsidR="003457D5" w:rsidRPr="004B4C9F" w:rsidRDefault="003457D5" w:rsidP="003457D5">
      <w:pPr>
        <w:pStyle w:val="FootnoteText"/>
        <w:ind w:firstLine="720"/>
        <w:jc w:val="both"/>
        <w:rPr>
          <w:rFonts w:asciiTheme="majorHAnsi" w:hAnsiTheme="majorHAnsi"/>
          <w:lang w:val="pt-BR"/>
        </w:rPr>
      </w:pPr>
      <w:r w:rsidRPr="004B4C9F">
        <w:rPr>
          <w:rFonts w:asciiTheme="majorHAnsi" w:hAnsiTheme="majorHAnsi"/>
          <w:lang w:val="pt-BR"/>
        </w:rPr>
        <w:t xml:space="preserve">(19) Auda Garcés, </w:t>
      </w:r>
    </w:p>
    <w:p w14:paraId="177F90BF" w14:textId="77777777" w:rsidR="003457D5" w:rsidRPr="004B4C9F" w:rsidRDefault="003457D5" w:rsidP="003457D5">
      <w:pPr>
        <w:pStyle w:val="FootnoteText"/>
        <w:ind w:firstLine="720"/>
        <w:jc w:val="both"/>
        <w:rPr>
          <w:rFonts w:asciiTheme="majorHAnsi" w:hAnsiTheme="majorHAnsi"/>
          <w:lang w:val="pt-BR"/>
        </w:rPr>
      </w:pPr>
      <w:r w:rsidRPr="004B4C9F">
        <w:rPr>
          <w:rFonts w:asciiTheme="majorHAnsi" w:hAnsiTheme="majorHAnsi"/>
          <w:lang w:val="pt-BR"/>
        </w:rPr>
        <w:t xml:space="preserve">(20) Vitorina Camarena, </w:t>
      </w:r>
    </w:p>
    <w:p w14:paraId="2E334EAC" w14:textId="77777777" w:rsidR="003457D5" w:rsidRPr="003457D5" w:rsidRDefault="003457D5" w:rsidP="003457D5">
      <w:pPr>
        <w:pStyle w:val="FootnoteText"/>
        <w:ind w:firstLine="720"/>
        <w:jc w:val="both"/>
        <w:rPr>
          <w:rFonts w:asciiTheme="majorHAnsi" w:hAnsiTheme="majorHAnsi"/>
          <w:lang w:val="es-US"/>
        </w:rPr>
      </w:pPr>
      <w:r w:rsidRPr="003457D5">
        <w:rPr>
          <w:rFonts w:asciiTheme="majorHAnsi" w:hAnsiTheme="majorHAnsi"/>
          <w:lang w:val="es-US"/>
        </w:rPr>
        <w:t xml:space="preserve">(21) Marita de González, </w:t>
      </w:r>
    </w:p>
    <w:p w14:paraId="08DA2CB4" w14:textId="77777777" w:rsidR="003457D5" w:rsidRPr="003457D5" w:rsidRDefault="003457D5" w:rsidP="003457D5">
      <w:pPr>
        <w:pStyle w:val="FootnoteText"/>
        <w:ind w:firstLine="720"/>
        <w:jc w:val="both"/>
        <w:rPr>
          <w:rFonts w:asciiTheme="majorHAnsi" w:hAnsiTheme="majorHAnsi"/>
          <w:lang w:val="es-US"/>
        </w:rPr>
      </w:pPr>
      <w:r w:rsidRPr="003457D5">
        <w:rPr>
          <w:rFonts w:asciiTheme="majorHAnsi" w:hAnsiTheme="majorHAnsi"/>
          <w:lang w:val="es-US"/>
        </w:rPr>
        <w:t xml:space="preserve">(22) Rosa González, </w:t>
      </w:r>
    </w:p>
    <w:p w14:paraId="376C385D" w14:textId="66B98F4B" w:rsidR="003457D5" w:rsidRPr="003457D5" w:rsidRDefault="003457D5" w:rsidP="003457D5">
      <w:pPr>
        <w:pStyle w:val="FootnoteText"/>
        <w:ind w:firstLine="720"/>
        <w:jc w:val="both"/>
        <w:rPr>
          <w:rFonts w:asciiTheme="majorHAnsi" w:hAnsiTheme="majorHAnsi"/>
          <w:lang w:val="es-US"/>
        </w:rPr>
      </w:pPr>
      <w:r w:rsidRPr="003457D5">
        <w:rPr>
          <w:rFonts w:asciiTheme="majorHAnsi" w:hAnsiTheme="majorHAnsi"/>
          <w:lang w:val="es-US"/>
        </w:rPr>
        <w:t xml:space="preserve">(23) Ramses García Rodríguez; </w:t>
      </w:r>
    </w:p>
    <w:p w14:paraId="1E43C17E" w14:textId="77777777" w:rsidR="003457D5" w:rsidRPr="003457D5" w:rsidRDefault="003457D5" w:rsidP="003457D5">
      <w:pPr>
        <w:pStyle w:val="FootnoteText"/>
        <w:ind w:firstLine="720"/>
        <w:jc w:val="both"/>
        <w:rPr>
          <w:rFonts w:asciiTheme="majorHAnsi" w:hAnsiTheme="majorHAnsi"/>
          <w:lang w:val="es-US"/>
        </w:rPr>
      </w:pPr>
      <w:r w:rsidRPr="003457D5">
        <w:rPr>
          <w:rFonts w:asciiTheme="majorHAnsi" w:hAnsiTheme="majorHAnsi"/>
          <w:lang w:val="es-US"/>
        </w:rPr>
        <w:t xml:space="preserve">(24) Iris Rodríguez; y </w:t>
      </w:r>
    </w:p>
    <w:p w14:paraId="43D28266" w14:textId="4DBB1C91" w:rsidR="003457D5" w:rsidRPr="003457D5" w:rsidRDefault="003457D5" w:rsidP="003457D5">
      <w:pPr>
        <w:pStyle w:val="FootnoteText"/>
        <w:ind w:firstLine="720"/>
        <w:jc w:val="both"/>
        <w:rPr>
          <w:rFonts w:asciiTheme="majorHAnsi" w:hAnsiTheme="majorHAnsi"/>
          <w:lang w:val="es-US"/>
        </w:rPr>
      </w:pPr>
      <w:r w:rsidRPr="003457D5">
        <w:rPr>
          <w:rFonts w:asciiTheme="majorHAnsi" w:hAnsiTheme="majorHAnsi"/>
          <w:lang w:val="es-US"/>
        </w:rPr>
        <w:t>(25) Zoraida Williams.</w:t>
      </w:r>
    </w:p>
    <w:p w14:paraId="74C1A48C" w14:textId="77777777" w:rsidR="003457D5" w:rsidRPr="003457D5" w:rsidRDefault="003457D5" w:rsidP="001D65EF">
      <w:pPr>
        <w:tabs>
          <w:tab w:val="center" w:pos="5400"/>
        </w:tabs>
        <w:suppressAutoHyphens/>
        <w:spacing w:line="276" w:lineRule="auto"/>
        <w:rPr>
          <w:rFonts w:asciiTheme="majorHAnsi" w:hAnsiTheme="majorHAnsi"/>
          <w:sz w:val="20"/>
          <w:szCs w:val="20"/>
          <w:lang w:val="es-US"/>
        </w:rPr>
      </w:pPr>
    </w:p>
    <w:p w14:paraId="6AC80CA6" w14:textId="77777777" w:rsidR="00722C9F" w:rsidRPr="00325643" w:rsidRDefault="00722C9F" w:rsidP="00974491">
      <w:pPr>
        <w:rPr>
          <w:rFonts w:ascii="Cambria" w:hAnsi="Cambria" w:cs="Calibri"/>
          <w:sz w:val="20"/>
          <w:szCs w:val="20"/>
          <w:lang w:val="es-ES_tradnl"/>
        </w:rPr>
      </w:pPr>
    </w:p>
    <w:sectPr w:rsidR="00722C9F" w:rsidRPr="0032564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65B1C" w14:textId="77777777" w:rsidR="00023106" w:rsidRDefault="00023106">
      <w:r>
        <w:separator/>
      </w:r>
    </w:p>
  </w:endnote>
  <w:endnote w:type="continuationSeparator" w:id="0">
    <w:p w14:paraId="62759235" w14:textId="77777777" w:rsidR="00023106" w:rsidRDefault="00023106">
      <w:r>
        <w:continuationSeparator/>
      </w:r>
    </w:p>
  </w:endnote>
  <w:endnote w:type="continuationNotice" w:id="1">
    <w:p w14:paraId="14DEDD18" w14:textId="77777777" w:rsidR="00023106" w:rsidRDefault="00023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759FB" w14:textId="77777777" w:rsidR="00023106" w:rsidRPr="000F35ED" w:rsidRDefault="0002310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3C2B903" w14:textId="77777777" w:rsidR="00023106" w:rsidRPr="000F35ED" w:rsidRDefault="00023106" w:rsidP="000F35ED">
      <w:pPr>
        <w:rPr>
          <w:rFonts w:asciiTheme="majorHAnsi" w:hAnsiTheme="majorHAnsi"/>
          <w:sz w:val="16"/>
          <w:szCs w:val="16"/>
        </w:rPr>
      </w:pPr>
      <w:r w:rsidRPr="000F35ED">
        <w:rPr>
          <w:rFonts w:asciiTheme="majorHAnsi" w:hAnsiTheme="majorHAnsi"/>
          <w:sz w:val="16"/>
          <w:szCs w:val="16"/>
        </w:rPr>
        <w:separator/>
      </w:r>
    </w:p>
    <w:p w14:paraId="60405FD6" w14:textId="77777777" w:rsidR="00023106" w:rsidRPr="000F35ED" w:rsidRDefault="0002310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FD3127E" w14:textId="77777777" w:rsidR="00023106" w:rsidRPr="000F35ED" w:rsidRDefault="0002310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B92CE17" w14:textId="6DBCC1A6" w:rsidR="00324F9B" w:rsidRPr="00324F9B" w:rsidRDefault="00324F9B" w:rsidP="009624F0">
      <w:pPr>
        <w:pStyle w:val="FootnoteText"/>
        <w:ind w:firstLine="720"/>
        <w:jc w:val="both"/>
        <w:rPr>
          <w:rFonts w:asciiTheme="majorHAnsi" w:hAnsiTheme="majorHAnsi"/>
          <w:sz w:val="16"/>
          <w:szCs w:val="16"/>
          <w:lang w:val="es-US"/>
        </w:rPr>
      </w:pPr>
      <w:r w:rsidRPr="00324F9B">
        <w:rPr>
          <w:rStyle w:val="FootnoteReference"/>
          <w:rFonts w:asciiTheme="majorHAnsi" w:hAnsiTheme="majorHAnsi"/>
          <w:sz w:val="16"/>
          <w:szCs w:val="16"/>
        </w:rPr>
        <w:footnoteRef/>
      </w:r>
      <w:r w:rsidRPr="00324F9B">
        <w:rPr>
          <w:rFonts w:asciiTheme="majorHAnsi" w:hAnsiTheme="majorHAnsi"/>
          <w:sz w:val="16"/>
          <w:szCs w:val="16"/>
          <w:lang w:val="es-US"/>
        </w:rPr>
        <w:t xml:space="preserve"> La petición identifica a</w:t>
      </w:r>
      <w:r w:rsidR="007C1722">
        <w:rPr>
          <w:rFonts w:asciiTheme="majorHAnsi" w:hAnsiTheme="majorHAnsi"/>
          <w:sz w:val="16"/>
          <w:szCs w:val="16"/>
          <w:lang w:val="es-US"/>
        </w:rPr>
        <w:t>:</w:t>
      </w:r>
      <w:r w:rsidRPr="00324F9B">
        <w:rPr>
          <w:rFonts w:asciiTheme="majorHAnsi" w:hAnsiTheme="majorHAnsi"/>
          <w:sz w:val="16"/>
          <w:szCs w:val="16"/>
          <w:lang w:val="es-US"/>
        </w:rPr>
        <w:t xml:space="preserve"> </w:t>
      </w:r>
      <w:r w:rsidR="0032375F">
        <w:rPr>
          <w:rFonts w:asciiTheme="majorHAnsi" w:hAnsiTheme="majorHAnsi"/>
          <w:sz w:val="16"/>
          <w:szCs w:val="16"/>
          <w:lang w:val="es-US"/>
        </w:rPr>
        <w:t xml:space="preserve">(1) </w:t>
      </w:r>
      <w:r w:rsidRPr="00324F9B">
        <w:rPr>
          <w:rFonts w:asciiTheme="majorHAnsi" w:hAnsiTheme="majorHAnsi"/>
          <w:sz w:val="16"/>
          <w:szCs w:val="16"/>
          <w:lang w:val="es-US"/>
        </w:rPr>
        <w:t xml:space="preserve">Gabriel Pascual, </w:t>
      </w:r>
      <w:r w:rsidR="0032375F">
        <w:rPr>
          <w:rFonts w:asciiTheme="majorHAnsi" w:hAnsiTheme="majorHAnsi"/>
          <w:sz w:val="16"/>
          <w:szCs w:val="16"/>
          <w:lang w:val="es-US"/>
        </w:rPr>
        <w:t xml:space="preserve">(2) </w:t>
      </w:r>
      <w:r w:rsidR="009624F0">
        <w:rPr>
          <w:rFonts w:asciiTheme="majorHAnsi" w:hAnsiTheme="majorHAnsi"/>
          <w:sz w:val="16"/>
          <w:szCs w:val="16"/>
          <w:lang w:val="es-US"/>
        </w:rPr>
        <w:t xml:space="preserve">Beatriz Villar, </w:t>
      </w:r>
      <w:r w:rsidR="0032375F">
        <w:rPr>
          <w:rFonts w:asciiTheme="majorHAnsi" w:hAnsiTheme="majorHAnsi"/>
          <w:sz w:val="16"/>
          <w:szCs w:val="16"/>
          <w:lang w:val="es-US"/>
        </w:rPr>
        <w:t xml:space="preserve">(3) </w:t>
      </w:r>
      <w:r w:rsidR="009624F0">
        <w:rPr>
          <w:rFonts w:asciiTheme="majorHAnsi" w:hAnsiTheme="majorHAnsi"/>
          <w:sz w:val="16"/>
          <w:szCs w:val="16"/>
          <w:lang w:val="es-US"/>
        </w:rPr>
        <w:t xml:space="preserve">Ariel Poveda, </w:t>
      </w:r>
      <w:r w:rsidR="0032375F">
        <w:rPr>
          <w:rFonts w:asciiTheme="majorHAnsi" w:hAnsiTheme="majorHAnsi"/>
          <w:sz w:val="16"/>
          <w:szCs w:val="16"/>
          <w:lang w:val="es-US"/>
        </w:rPr>
        <w:t xml:space="preserve">(4) </w:t>
      </w:r>
      <w:r w:rsidR="009624F0">
        <w:rPr>
          <w:rFonts w:asciiTheme="majorHAnsi" w:hAnsiTheme="majorHAnsi"/>
          <w:sz w:val="16"/>
          <w:szCs w:val="16"/>
          <w:lang w:val="es-US"/>
        </w:rPr>
        <w:t xml:space="preserve">Vicenta Alvarado, </w:t>
      </w:r>
      <w:r w:rsidR="0032375F">
        <w:rPr>
          <w:rFonts w:asciiTheme="majorHAnsi" w:hAnsiTheme="majorHAnsi"/>
          <w:sz w:val="16"/>
          <w:szCs w:val="16"/>
          <w:lang w:val="es-US"/>
        </w:rPr>
        <w:t xml:space="preserve">(5) </w:t>
      </w:r>
      <w:r w:rsidR="009624F0">
        <w:rPr>
          <w:rFonts w:asciiTheme="majorHAnsi" w:hAnsiTheme="majorHAnsi"/>
          <w:sz w:val="16"/>
          <w:szCs w:val="16"/>
          <w:lang w:val="es-US"/>
        </w:rPr>
        <w:t>Daniel José Sarmiento,</w:t>
      </w:r>
      <w:r w:rsidRPr="00324F9B">
        <w:rPr>
          <w:rFonts w:asciiTheme="majorHAnsi" w:hAnsiTheme="majorHAnsi"/>
          <w:sz w:val="16"/>
          <w:szCs w:val="16"/>
          <w:lang w:val="es-US"/>
        </w:rPr>
        <w:t xml:space="preserve"> </w:t>
      </w:r>
      <w:r w:rsidR="0032375F">
        <w:rPr>
          <w:rFonts w:asciiTheme="majorHAnsi" w:hAnsiTheme="majorHAnsi"/>
          <w:sz w:val="16"/>
          <w:szCs w:val="16"/>
          <w:lang w:val="es-US"/>
        </w:rPr>
        <w:t xml:space="preserve">(6) </w:t>
      </w:r>
      <w:r w:rsidRPr="00324F9B">
        <w:rPr>
          <w:rFonts w:asciiTheme="majorHAnsi" w:hAnsiTheme="majorHAnsi"/>
          <w:sz w:val="16"/>
          <w:szCs w:val="16"/>
          <w:lang w:val="es-US"/>
        </w:rPr>
        <w:t>Esther Atencio</w:t>
      </w:r>
      <w:r w:rsidR="009624F0">
        <w:rPr>
          <w:rFonts w:asciiTheme="majorHAnsi" w:hAnsiTheme="majorHAnsi"/>
          <w:sz w:val="16"/>
          <w:szCs w:val="16"/>
          <w:lang w:val="es-US"/>
        </w:rPr>
        <w:t xml:space="preserve">, </w:t>
      </w:r>
      <w:r w:rsidR="0032375F">
        <w:rPr>
          <w:rFonts w:asciiTheme="majorHAnsi" w:hAnsiTheme="majorHAnsi"/>
          <w:sz w:val="16"/>
          <w:szCs w:val="16"/>
          <w:lang w:val="es-US"/>
        </w:rPr>
        <w:t xml:space="preserve">(7) </w:t>
      </w:r>
      <w:r w:rsidR="009624F0">
        <w:rPr>
          <w:rFonts w:asciiTheme="majorHAnsi" w:hAnsiTheme="majorHAnsi"/>
          <w:sz w:val="16"/>
          <w:szCs w:val="16"/>
          <w:lang w:val="es-US"/>
        </w:rPr>
        <w:t xml:space="preserve">Anabel Herrera, </w:t>
      </w:r>
      <w:r w:rsidR="0032375F">
        <w:rPr>
          <w:rFonts w:asciiTheme="majorHAnsi" w:hAnsiTheme="majorHAnsi"/>
          <w:sz w:val="16"/>
          <w:szCs w:val="16"/>
          <w:lang w:val="es-US"/>
        </w:rPr>
        <w:t xml:space="preserve">(8) </w:t>
      </w:r>
      <w:r w:rsidR="009624F0">
        <w:rPr>
          <w:rFonts w:asciiTheme="majorHAnsi" w:hAnsiTheme="majorHAnsi"/>
          <w:sz w:val="16"/>
          <w:szCs w:val="16"/>
          <w:lang w:val="es-US"/>
        </w:rPr>
        <w:t xml:space="preserve">Adolfo Nieto, </w:t>
      </w:r>
      <w:r w:rsidR="0032375F">
        <w:rPr>
          <w:rFonts w:asciiTheme="majorHAnsi" w:hAnsiTheme="majorHAnsi"/>
          <w:sz w:val="16"/>
          <w:szCs w:val="16"/>
          <w:lang w:val="es-US"/>
        </w:rPr>
        <w:t xml:space="preserve">(9) </w:t>
      </w:r>
      <w:r w:rsidR="009624F0">
        <w:rPr>
          <w:rFonts w:asciiTheme="majorHAnsi" w:hAnsiTheme="majorHAnsi"/>
          <w:sz w:val="16"/>
          <w:szCs w:val="16"/>
          <w:lang w:val="es-US"/>
        </w:rPr>
        <w:t>Vio</w:t>
      </w:r>
      <w:r w:rsidR="00530F4A">
        <w:rPr>
          <w:rFonts w:asciiTheme="majorHAnsi" w:hAnsiTheme="majorHAnsi"/>
          <w:sz w:val="16"/>
          <w:szCs w:val="16"/>
          <w:lang w:val="es-US"/>
        </w:rPr>
        <w:t>d</w:t>
      </w:r>
      <w:r w:rsidR="009624F0">
        <w:rPr>
          <w:rFonts w:asciiTheme="majorHAnsi" w:hAnsiTheme="majorHAnsi"/>
          <w:sz w:val="16"/>
          <w:szCs w:val="16"/>
          <w:lang w:val="es-US"/>
        </w:rPr>
        <w:t xml:space="preserve">elda Amaya, </w:t>
      </w:r>
      <w:r w:rsidR="0032375F">
        <w:rPr>
          <w:rFonts w:asciiTheme="majorHAnsi" w:hAnsiTheme="majorHAnsi"/>
          <w:sz w:val="16"/>
          <w:szCs w:val="16"/>
          <w:lang w:val="es-US"/>
        </w:rPr>
        <w:t xml:space="preserve">(10) </w:t>
      </w:r>
      <w:r w:rsidR="009624F0">
        <w:rPr>
          <w:rFonts w:asciiTheme="majorHAnsi" w:hAnsiTheme="majorHAnsi"/>
          <w:sz w:val="16"/>
          <w:szCs w:val="16"/>
          <w:lang w:val="es-US"/>
        </w:rPr>
        <w:t xml:space="preserve">Felicito Navarro, </w:t>
      </w:r>
      <w:r w:rsidR="0032375F">
        <w:rPr>
          <w:rFonts w:asciiTheme="majorHAnsi" w:hAnsiTheme="majorHAnsi"/>
          <w:sz w:val="16"/>
          <w:szCs w:val="16"/>
          <w:lang w:val="es-US"/>
        </w:rPr>
        <w:t xml:space="preserve">(11) </w:t>
      </w:r>
      <w:r w:rsidR="009624F0">
        <w:rPr>
          <w:rFonts w:asciiTheme="majorHAnsi" w:hAnsiTheme="majorHAnsi"/>
          <w:sz w:val="16"/>
          <w:szCs w:val="16"/>
          <w:lang w:val="es-US"/>
        </w:rPr>
        <w:t xml:space="preserve">Briceyda Moreno, </w:t>
      </w:r>
      <w:r w:rsidR="0032375F">
        <w:rPr>
          <w:rFonts w:asciiTheme="majorHAnsi" w:hAnsiTheme="majorHAnsi"/>
          <w:sz w:val="16"/>
          <w:szCs w:val="16"/>
          <w:lang w:val="es-US"/>
        </w:rPr>
        <w:t xml:space="preserve">(12) </w:t>
      </w:r>
      <w:r w:rsidR="009624F0">
        <w:rPr>
          <w:rFonts w:asciiTheme="majorHAnsi" w:hAnsiTheme="majorHAnsi"/>
          <w:sz w:val="16"/>
          <w:szCs w:val="16"/>
          <w:lang w:val="es-US"/>
        </w:rPr>
        <w:t xml:space="preserve">María Elena Pascual, </w:t>
      </w:r>
      <w:r w:rsidR="0032375F">
        <w:rPr>
          <w:rFonts w:asciiTheme="majorHAnsi" w:hAnsiTheme="majorHAnsi"/>
          <w:sz w:val="16"/>
          <w:szCs w:val="16"/>
          <w:lang w:val="es-US"/>
        </w:rPr>
        <w:t xml:space="preserve">(13) </w:t>
      </w:r>
      <w:r w:rsidR="009624F0">
        <w:rPr>
          <w:rFonts w:asciiTheme="majorHAnsi" w:hAnsiTheme="majorHAnsi"/>
          <w:sz w:val="16"/>
          <w:szCs w:val="16"/>
          <w:lang w:val="es-US"/>
        </w:rPr>
        <w:t xml:space="preserve">Rafael Tejada, </w:t>
      </w:r>
      <w:r w:rsidR="0032375F">
        <w:rPr>
          <w:rFonts w:asciiTheme="majorHAnsi" w:hAnsiTheme="majorHAnsi"/>
          <w:sz w:val="16"/>
          <w:szCs w:val="16"/>
          <w:lang w:val="es-US"/>
        </w:rPr>
        <w:t xml:space="preserve">(14) </w:t>
      </w:r>
      <w:r w:rsidR="009624F0">
        <w:rPr>
          <w:rFonts w:asciiTheme="majorHAnsi" w:hAnsiTheme="majorHAnsi"/>
          <w:sz w:val="16"/>
          <w:szCs w:val="16"/>
          <w:lang w:val="es-US"/>
        </w:rPr>
        <w:t xml:space="preserve">Omayra Tristán, </w:t>
      </w:r>
      <w:r w:rsidR="0032375F">
        <w:rPr>
          <w:rFonts w:asciiTheme="majorHAnsi" w:hAnsiTheme="majorHAnsi"/>
          <w:sz w:val="16"/>
          <w:szCs w:val="16"/>
          <w:lang w:val="es-US"/>
        </w:rPr>
        <w:t>(</w:t>
      </w:r>
      <w:r w:rsidR="003A04B8">
        <w:rPr>
          <w:rFonts w:asciiTheme="majorHAnsi" w:hAnsiTheme="majorHAnsi"/>
          <w:sz w:val="16"/>
          <w:szCs w:val="16"/>
          <w:lang w:val="es-US"/>
        </w:rPr>
        <w:t xml:space="preserve">15) </w:t>
      </w:r>
      <w:r w:rsidR="009624F0">
        <w:rPr>
          <w:rFonts w:asciiTheme="majorHAnsi" w:hAnsiTheme="majorHAnsi"/>
          <w:sz w:val="16"/>
          <w:szCs w:val="16"/>
          <w:lang w:val="es-US"/>
        </w:rPr>
        <w:t xml:space="preserve">Doris Gutiérrez, </w:t>
      </w:r>
      <w:r w:rsidR="003A04B8">
        <w:rPr>
          <w:rFonts w:asciiTheme="majorHAnsi" w:hAnsiTheme="majorHAnsi"/>
          <w:sz w:val="16"/>
          <w:szCs w:val="16"/>
          <w:lang w:val="es-US"/>
        </w:rPr>
        <w:t xml:space="preserve">(16) </w:t>
      </w:r>
      <w:r w:rsidR="009624F0">
        <w:rPr>
          <w:rFonts w:asciiTheme="majorHAnsi" w:hAnsiTheme="majorHAnsi"/>
          <w:sz w:val="16"/>
          <w:szCs w:val="16"/>
          <w:lang w:val="es-US"/>
        </w:rPr>
        <w:t xml:space="preserve">Ezequiel Gómez, </w:t>
      </w:r>
      <w:r w:rsidR="003A04B8">
        <w:rPr>
          <w:rFonts w:asciiTheme="majorHAnsi" w:hAnsiTheme="majorHAnsi"/>
          <w:sz w:val="16"/>
          <w:szCs w:val="16"/>
          <w:lang w:val="es-US"/>
        </w:rPr>
        <w:t xml:space="preserve">(17) </w:t>
      </w:r>
      <w:r w:rsidR="009624F0">
        <w:rPr>
          <w:rFonts w:asciiTheme="majorHAnsi" w:hAnsiTheme="majorHAnsi"/>
          <w:sz w:val="16"/>
          <w:szCs w:val="16"/>
          <w:lang w:val="es-US"/>
        </w:rPr>
        <w:t xml:space="preserve">Agilio Diaz, </w:t>
      </w:r>
      <w:r w:rsidR="003A04B8">
        <w:rPr>
          <w:rFonts w:asciiTheme="majorHAnsi" w:hAnsiTheme="majorHAnsi"/>
          <w:sz w:val="16"/>
          <w:szCs w:val="16"/>
          <w:lang w:val="es-US"/>
        </w:rPr>
        <w:t xml:space="preserve">(18) </w:t>
      </w:r>
      <w:r w:rsidR="009624F0">
        <w:rPr>
          <w:rFonts w:asciiTheme="majorHAnsi" w:hAnsiTheme="majorHAnsi"/>
          <w:sz w:val="16"/>
          <w:szCs w:val="16"/>
          <w:lang w:val="es-US"/>
        </w:rPr>
        <w:t xml:space="preserve">Elizabeth Matias, </w:t>
      </w:r>
      <w:r w:rsidR="003A04B8">
        <w:rPr>
          <w:rFonts w:asciiTheme="majorHAnsi" w:hAnsiTheme="majorHAnsi"/>
          <w:sz w:val="16"/>
          <w:szCs w:val="16"/>
          <w:lang w:val="es-US"/>
        </w:rPr>
        <w:t xml:space="preserve">(19) </w:t>
      </w:r>
      <w:r w:rsidR="009624F0">
        <w:rPr>
          <w:rFonts w:asciiTheme="majorHAnsi" w:hAnsiTheme="majorHAnsi"/>
          <w:sz w:val="16"/>
          <w:szCs w:val="16"/>
          <w:lang w:val="es-US"/>
        </w:rPr>
        <w:t xml:space="preserve">Auda Garcés, </w:t>
      </w:r>
      <w:r w:rsidR="003A04B8">
        <w:rPr>
          <w:rFonts w:asciiTheme="majorHAnsi" w:hAnsiTheme="majorHAnsi"/>
          <w:sz w:val="16"/>
          <w:szCs w:val="16"/>
          <w:lang w:val="es-US"/>
        </w:rPr>
        <w:t xml:space="preserve">(20) </w:t>
      </w:r>
      <w:r w:rsidR="009624F0">
        <w:rPr>
          <w:rFonts w:asciiTheme="majorHAnsi" w:hAnsiTheme="majorHAnsi"/>
          <w:sz w:val="16"/>
          <w:szCs w:val="16"/>
          <w:lang w:val="es-US"/>
        </w:rPr>
        <w:t xml:space="preserve">Vitorina Camarena, </w:t>
      </w:r>
      <w:r w:rsidR="00B97C99">
        <w:rPr>
          <w:rFonts w:asciiTheme="majorHAnsi" w:hAnsiTheme="majorHAnsi"/>
          <w:sz w:val="16"/>
          <w:szCs w:val="16"/>
          <w:lang w:val="es-US"/>
        </w:rPr>
        <w:t xml:space="preserve">(21) </w:t>
      </w:r>
      <w:r w:rsidR="009624F0">
        <w:rPr>
          <w:rFonts w:asciiTheme="majorHAnsi" w:hAnsiTheme="majorHAnsi"/>
          <w:sz w:val="16"/>
          <w:szCs w:val="16"/>
          <w:lang w:val="es-US"/>
        </w:rPr>
        <w:t>Marita de González</w:t>
      </w:r>
      <w:r w:rsidR="00B97C99">
        <w:rPr>
          <w:rFonts w:asciiTheme="majorHAnsi" w:hAnsiTheme="majorHAnsi"/>
          <w:sz w:val="16"/>
          <w:szCs w:val="16"/>
          <w:lang w:val="es-US"/>
        </w:rPr>
        <w:t>,</w:t>
      </w:r>
      <w:r w:rsidR="009624F0">
        <w:rPr>
          <w:rFonts w:asciiTheme="majorHAnsi" w:hAnsiTheme="majorHAnsi"/>
          <w:sz w:val="16"/>
          <w:szCs w:val="16"/>
          <w:lang w:val="es-US"/>
        </w:rPr>
        <w:t xml:space="preserve"> </w:t>
      </w:r>
      <w:r w:rsidR="00B97C99">
        <w:rPr>
          <w:rFonts w:asciiTheme="majorHAnsi" w:hAnsiTheme="majorHAnsi"/>
          <w:sz w:val="16"/>
          <w:szCs w:val="16"/>
          <w:lang w:val="es-US"/>
        </w:rPr>
        <w:t xml:space="preserve">(22) </w:t>
      </w:r>
      <w:r w:rsidR="009624F0">
        <w:rPr>
          <w:rFonts w:asciiTheme="majorHAnsi" w:hAnsiTheme="majorHAnsi"/>
          <w:sz w:val="16"/>
          <w:szCs w:val="16"/>
          <w:lang w:val="es-US"/>
        </w:rPr>
        <w:t>Rosa González</w:t>
      </w:r>
      <w:r w:rsidR="00B97C99">
        <w:rPr>
          <w:rFonts w:asciiTheme="majorHAnsi" w:hAnsiTheme="majorHAnsi"/>
          <w:sz w:val="16"/>
          <w:szCs w:val="16"/>
          <w:lang w:val="es-US"/>
        </w:rPr>
        <w:t xml:space="preserve">, (23) Ramases García Rodríguez; </w:t>
      </w:r>
      <w:r w:rsidR="007C1722">
        <w:rPr>
          <w:rFonts w:asciiTheme="majorHAnsi" w:hAnsiTheme="majorHAnsi"/>
          <w:sz w:val="16"/>
          <w:szCs w:val="16"/>
          <w:lang w:val="es-US"/>
        </w:rPr>
        <w:t xml:space="preserve">(24) </w:t>
      </w:r>
      <w:r w:rsidR="007C1722" w:rsidRPr="00324F9B">
        <w:rPr>
          <w:rFonts w:asciiTheme="majorHAnsi" w:hAnsiTheme="majorHAnsi"/>
          <w:sz w:val="16"/>
          <w:szCs w:val="16"/>
          <w:lang w:val="es-US"/>
        </w:rPr>
        <w:t>Iris Rodríguez</w:t>
      </w:r>
      <w:r w:rsidR="007C1722">
        <w:rPr>
          <w:rFonts w:asciiTheme="majorHAnsi" w:hAnsiTheme="majorHAnsi"/>
          <w:sz w:val="16"/>
          <w:szCs w:val="16"/>
          <w:lang w:val="es-US"/>
        </w:rPr>
        <w:t xml:space="preserve">; </w:t>
      </w:r>
      <w:r w:rsidR="00C637C4">
        <w:rPr>
          <w:rFonts w:asciiTheme="majorHAnsi" w:hAnsiTheme="majorHAnsi"/>
          <w:sz w:val="16"/>
          <w:szCs w:val="16"/>
          <w:lang w:val="es-US"/>
        </w:rPr>
        <w:t xml:space="preserve">y </w:t>
      </w:r>
      <w:r w:rsidR="007C1722">
        <w:rPr>
          <w:rFonts w:asciiTheme="majorHAnsi" w:hAnsiTheme="majorHAnsi"/>
          <w:sz w:val="16"/>
          <w:szCs w:val="16"/>
          <w:lang w:val="es-US"/>
        </w:rPr>
        <w:t>(25) Zoraida Williams</w:t>
      </w:r>
      <w:r w:rsidR="00C637C4">
        <w:rPr>
          <w:rFonts w:asciiTheme="majorHAnsi" w:hAnsiTheme="majorHAnsi"/>
          <w:sz w:val="16"/>
          <w:szCs w:val="16"/>
          <w:lang w:val="es-US"/>
        </w:rPr>
        <w:t>.</w:t>
      </w:r>
    </w:p>
  </w:footnote>
  <w:footnote w:id="3">
    <w:p w14:paraId="39449C52" w14:textId="0A98B7DE" w:rsidR="00916C1D" w:rsidRPr="00916C1D" w:rsidRDefault="00916C1D" w:rsidP="004D48E5">
      <w:pPr>
        <w:pStyle w:val="FootnoteText"/>
        <w:ind w:firstLine="720"/>
        <w:jc w:val="both"/>
        <w:rPr>
          <w:lang w:val="es-US"/>
        </w:rPr>
      </w:pPr>
      <w:r w:rsidRPr="00916C1D">
        <w:rPr>
          <w:rStyle w:val="FootnoteReference"/>
          <w:rFonts w:asciiTheme="majorHAnsi" w:hAnsiTheme="majorHAnsi"/>
          <w:sz w:val="16"/>
          <w:szCs w:val="16"/>
        </w:rPr>
        <w:footnoteRef/>
      </w:r>
      <w:r w:rsidRPr="00916C1D">
        <w:rPr>
          <w:rFonts w:asciiTheme="majorHAnsi" w:hAnsiTheme="majorHAnsi"/>
          <w:sz w:val="16"/>
          <w:szCs w:val="16"/>
          <w:lang w:val="es-US"/>
        </w:rPr>
        <w:t xml:space="preserve"> En adelante, “la Convención Americana” o “la Convención”</w:t>
      </w:r>
    </w:p>
  </w:footnote>
  <w:footnote w:id="4">
    <w:p w14:paraId="79F07139" w14:textId="77777777" w:rsidR="008E3BFE" w:rsidRPr="00537490" w:rsidRDefault="008E3BFE" w:rsidP="004D48E5">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6C642D17" w14:textId="77777777" w:rsidR="00B35BFC" w:rsidRPr="00C70A03" w:rsidRDefault="00B35BFC" w:rsidP="00B35BFC">
      <w:pPr>
        <w:pStyle w:val="FootnoteText"/>
        <w:ind w:firstLine="720"/>
        <w:rPr>
          <w:color w:val="auto"/>
          <w:lang w:val="es-US"/>
        </w:rPr>
      </w:pPr>
      <w:r w:rsidRPr="00C70A03">
        <w:rPr>
          <w:rStyle w:val="FootnoteReference"/>
          <w:rFonts w:asciiTheme="majorHAnsi" w:hAnsiTheme="majorHAnsi"/>
          <w:color w:val="auto"/>
          <w:sz w:val="16"/>
          <w:szCs w:val="16"/>
        </w:rPr>
        <w:footnoteRef/>
      </w:r>
      <w:r w:rsidRPr="00C70A03">
        <w:rPr>
          <w:rFonts w:asciiTheme="majorHAnsi" w:hAnsiTheme="majorHAnsi"/>
          <w:color w:val="auto"/>
          <w:sz w:val="16"/>
          <w:szCs w:val="16"/>
          <w:lang w:val="es-US"/>
        </w:rPr>
        <w:t xml:space="preserve"> CIDH, Informe No. 35/16, Petición 4480-02. Admisibilidad. Carlos Manuel Veraza Ustusuástegui. México. 29 de julio de 2016, párr. 33.</w:t>
      </w:r>
    </w:p>
  </w:footnote>
  <w:footnote w:id="6">
    <w:p w14:paraId="051DF91B" w14:textId="72D04FBC" w:rsidR="00625A03" w:rsidRPr="0029339B" w:rsidRDefault="00625A03" w:rsidP="004D48E5">
      <w:pPr>
        <w:pStyle w:val="FootnoteText"/>
        <w:ind w:firstLine="720"/>
        <w:jc w:val="both"/>
        <w:rPr>
          <w:rFonts w:asciiTheme="majorHAnsi" w:hAnsiTheme="majorHAnsi"/>
          <w:sz w:val="16"/>
          <w:szCs w:val="16"/>
          <w:lang w:val="es-PE"/>
        </w:rPr>
      </w:pPr>
      <w:r w:rsidRPr="0029339B">
        <w:rPr>
          <w:rStyle w:val="FootnoteReference"/>
          <w:rFonts w:asciiTheme="majorHAnsi" w:hAnsiTheme="majorHAnsi"/>
          <w:sz w:val="16"/>
          <w:szCs w:val="16"/>
          <w:lang w:val="es-PE"/>
        </w:rPr>
        <w:footnoteRef/>
      </w:r>
      <w:r w:rsidRPr="0029339B">
        <w:rPr>
          <w:rFonts w:asciiTheme="majorHAnsi" w:hAnsiTheme="majorHAnsi"/>
          <w:sz w:val="16"/>
          <w:szCs w:val="16"/>
          <w:lang w:val="es-PE"/>
        </w:rPr>
        <w:t xml:space="preserve"> CIDH, Informe 93/22, </w:t>
      </w:r>
      <w:r w:rsidR="0029339B" w:rsidRPr="0029339B">
        <w:rPr>
          <w:rFonts w:asciiTheme="majorHAnsi" w:hAnsiTheme="majorHAnsi"/>
          <w:sz w:val="16"/>
          <w:szCs w:val="16"/>
          <w:lang w:val="es-PE"/>
        </w:rPr>
        <w:t xml:space="preserve">Petición 1316-12, </w:t>
      </w:r>
      <w:r w:rsidR="0085233C" w:rsidRPr="0029339B">
        <w:rPr>
          <w:rFonts w:asciiTheme="majorHAnsi" w:hAnsiTheme="majorHAnsi"/>
          <w:sz w:val="16"/>
          <w:szCs w:val="16"/>
          <w:lang w:val="es-PE"/>
        </w:rPr>
        <w:t>Admisibilidad</w:t>
      </w:r>
      <w:r w:rsidR="0029339B">
        <w:rPr>
          <w:rFonts w:asciiTheme="majorHAnsi" w:hAnsiTheme="majorHAnsi"/>
          <w:sz w:val="16"/>
          <w:szCs w:val="16"/>
          <w:lang w:val="es-PE"/>
        </w:rPr>
        <w:t xml:space="preserve">. Yolanda Guerrero Caballero y otros. México. 6 de abril de 2022, párr. 26. </w:t>
      </w:r>
    </w:p>
  </w:footnote>
  <w:footnote w:id="7">
    <w:p w14:paraId="6E791EB1" w14:textId="77777777" w:rsidR="00B35BFC" w:rsidRPr="00F7304D" w:rsidRDefault="00B35BFC" w:rsidP="00B35BFC">
      <w:pPr>
        <w:pStyle w:val="FootnoteText"/>
        <w:ind w:firstLine="720"/>
        <w:jc w:val="both"/>
        <w:rPr>
          <w:rFonts w:asciiTheme="majorHAnsi" w:hAnsiTheme="majorHAnsi"/>
          <w:sz w:val="16"/>
          <w:szCs w:val="16"/>
          <w:lang w:val="es-419"/>
        </w:rPr>
      </w:pPr>
      <w:r w:rsidRPr="00F7304D">
        <w:rPr>
          <w:rStyle w:val="FootnoteReference"/>
          <w:rFonts w:asciiTheme="majorHAnsi" w:hAnsiTheme="majorHAnsi"/>
          <w:sz w:val="16"/>
          <w:szCs w:val="16"/>
        </w:rPr>
        <w:footnoteRef/>
      </w:r>
      <w:r w:rsidRPr="00F7304D">
        <w:rPr>
          <w:rFonts w:asciiTheme="majorHAnsi" w:hAnsiTheme="majorHAnsi"/>
          <w:sz w:val="16"/>
          <w:szCs w:val="16"/>
          <w:lang w:val="es-VE"/>
        </w:rPr>
        <w:t xml:space="preserve"> CIDH, Informe No. 87/08, Petición 55-05. Admisibilidad. Jeremy Smith. Jamaica. 30 de octubre de 2008, párr. 36. </w:t>
      </w:r>
    </w:p>
  </w:footnote>
  <w:footnote w:id="8">
    <w:p w14:paraId="4E09C561" w14:textId="77777777" w:rsidR="00FD23B0" w:rsidRPr="0033143B" w:rsidRDefault="00FD23B0" w:rsidP="00FD23B0">
      <w:pPr>
        <w:pStyle w:val="FootnoteText"/>
        <w:ind w:firstLine="720"/>
        <w:jc w:val="both"/>
        <w:rPr>
          <w:rFonts w:asciiTheme="majorHAnsi" w:hAnsiTheme="majorHAnsi"/>
          <w:color w:val="auto"/>
          <w:sz w:val="16"/>
          <w:szCs w:val="16"/>
          <w:lang w:val="es-ES"/>
        </w:rPr>
      </w:pPr>
      <w:r w:rsidRPr="0033143B">
        <w:rPr>
          <w:rStyle w:val="FootnoteReference"/>
          <w:rFonts w:asciiTheme="majorHAnsi" w:hAnsiTheme="majorHAnsi"/>
          <w:color w:val="auto"/>
          <w:sz w:val="16"/>
          <w:szCs w:val="16"/>
        </w:rPr>
        <w:footnoteRef/>
      </w:r>
      <w:r w:rsidRPr="0033143B">
        <w:rPr>
          <w:rFonts w:asciiTheme="majorHAnsi" w:hAnsiTheme="majorHAnsi"/>
          <w:color w:val="auto"/>
          <w:sz w:val="16"/>
          <w:szCs w:val="16"/>
          <w:lang w:val="es-US"/>
        </w:rPr>
        <w:t xml:space="preserve"> </w:t>
      </w:r>
      <w:r w:rsidRPr="0033143B">
        <w:rPr>
          <w:rFonts w:asciiTheme="majorHAnsi" w:hAnsiTheme="majorHAnsi"/>
          <w:color w:val="auto"/>
          <w:sz w:val="16"/>
          <w:szCs w:val="16"/>
          <w:lang w:val="es-CO"/>
        </w:rPr>
        <w:t>CIDH, Informe No. 26/16, Petición 932-03 (Admisibilidad), Rómulo Jonás Ponce Santamaría, Perú, 15 de abril de 2016, párr. 25 y CIDH, Informe No. 83/17, Petición 151-08. (Admisibilidad), José Francisco Cid. Argentina. 7 de julio de 2017, párr. 17.</w:t>
      </w:r>
    </w:p>
  </w:footnote>
  <w:footnote w:id="9">
    <w:p w14:paraId="67E6071B" w14:textId="77777777" w:rsidR="00FD23B0" w:rsidRPr="00132A53" w:rsidRDefault="00FD23B0" w:rsidP="00FD23B0">
      <w:pPr>
        <w:pStyle w:val="FootnoteText"/>
        <w:ind w:firstLine="720"/>
        <w:rPr>
          <w:lang w:val="es-ES"/>
        </w:rPr>
      </w:pPr>
      <w:r w:rsidRPr="0033143B">
        <w:rPr>
          <w:rStyle w:val="FootnoteReference"/>
          <w:rFonts w:asciiTheme="majorHAnsi" w:hAnsiTheme="majorHAnsi"/>
          <w:sz w:val="16"/>
          <w:szCs w:val="16"/>
        </w:rPr>
        <w:footnoteRef/>
      </w:r>
      <w:r w:rsidRPr="0033143B">
        <w:rPr>
          <w:rFonts w:asciiTheme="majorHAnsi" w:hAnsiTheme="majorHAnsi"/>
          <w:sz w:val="16"/>
          <w:szCs w:val="16"/>
          <w:lang w:val="es-ES"/>
        </w:rPr>
        <w:t xml:space="preserve"> CIDH, Informe No. 161/17, Petición 29-07. Admisibilidad. </w:t>
      </w:r>
      <w:r w:rsidRPr="00DB14C0">
        <w:rPr>
          <w:rFonts w:asciiTheme="majorHAnsi" w:hAnsiTheme="majorHAnsi"/>
          <w:sz w:val="16"/>
          <w:szCs w:val="16"/>
          <w:lang w:val="es-AR"/>
        </w:rPr>
        <w:t xml:space="preserve">Andy Williams Garcés Suárez y familia. </w:t>
      </w:r>
      <w:r w:rsidRPr="0033143B">
        <w:rPr>
          <w:rFonts w:asciiTheme="majorHAnsi" w:hAnsiTheme="majorHAnsi"/>
          <w:sz w:val="16"/>
          <w:szCs w:val="16"/>
          <w:lang w:val="es-ES"/>
        </w:rPr>
        <w:t>Perú. 30 de noviembre de 2017, párr.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6D700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B905D8"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8378057E"/>
    <w:lvl w:ilvl="0" w:tplc="1988C542">
      <w:start w:val="1"/>
      <w:numFmt w:val="decimal"/>
      <w:lvlText w:val="%1."/>
      <w:lvlJc w:val="left"/>
      <w:pPr>
        <w:tabs>
          <w:tab w:val="num" w:pos="720"/>
        </w:tabs>
        <w:ind w:left="0" w:firstLine="720"/>
      </w:pPr>
      <w:rPr>
        <w:rFonts w:hint="default"/>
        <w:b w:val="0"/>
        <w:bCs/>
        <w:i w:val="0"/>
        <w:iCs w:val="0"/>
        <w:color w:val="auto"/>
        <w:sz w:val="20"/>
        <w:szCs w:val="20"/>
        <w:lang w:val="es-UY"/>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78442290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872813378">
    <w:abstractNumId w:val="5"/>
  </w:num>
  <w:num w:numId="3" w16cid:durableId="401412268">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28860888">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813330237">
    <w:abstractNumId w:val="7"/>
  </w:num>
  <w:num w:numId="6" w16cid:durableId="893662297">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532187907">
    <w:abstractNumId w:val="60"/>
  </w:num>
  <w:num w:numId="8" w16cid:durableId="1933658824">
    <w:abstractNumId w:val="23"/>
  </w:num>
  <w:num w:numId="9" w16cid:durableId="102309653">
    <w:abstractNumId w:val="51"/>
  </w:num>
  <w:num w:numId="10" w16cid:durableId="359858344">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19616561">
    <w:abstractNumId w:val="29"/>
  </w:num>
  <w:num w:numId="12" w16cid:durableId="1031029938">
    <w:abstractNumId w:val="58"/>
  </w:num>
  <w:num w:numId="13" w16cid:durableId="669716046">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714454448">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385763071">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2123501088">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381981762">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565453193">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8702692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374312286">
    <w:abstractNumId w:val="8"/>
  </w:num>
  <w:num w:numId="21" w16cid:durableId="1760907783">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965501360">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526360857">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76811692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101949704">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62936320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80383921">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941448981">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2064979425">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38668464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851480280">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950167288">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4915212">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470943003">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356929234">
    <w:abstractNumId w:val="19"/>
  </w:num>
  <w:num w:numId="36" w16cid:durableId="1435130447">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67103170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531383334">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22283443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356151706">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1230333">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382481005">
    <w:abstractNumId w:val="41"/>
  </w:num>
  <w:num w:numId="43" w16cid:durableId="101634653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2142921111">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28653544">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247614077">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720088346">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941451639">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90381648">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295574869">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59560326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767651536">
    <w:abstractNumId w:val="45"/>
  </w:num>
  <w:num w:numId="53" w16cid:durableId="993338501">
    <w:abstractNumId w:val="0"/>
  </w:num>
  <w:num w:numId="54" w16cid:durableId="783113306">
    <w:abstractNumId w:val="40"/>
  </w:num>
  <w:num w:numId="55" w16cid:durableId="1627199839">
    <w:abstractNumId w:val="41"/>
  </w:num>
  <w:num w:numId="56" w16cid:durableId="906108081">
    <w:abstractNumId w:val="47"/>
  </w:num>
  <w:num w:numId="57" w16cid:durableId="1662195483">
    <w:abstractNumId w:val="1"/>
  </w:num>
  <w:num w:numId="58" w16cid:durableId="1422067352">
    <w:abstractNumId w:val="2"/>
  </w:num>
  <w:num w:numId="59" w16cid:durableId="728697696">
    <w:abstractNumId w:val="9"/>
  </w:num>
  <w:num w:numId="60" w16cid:durableId="532697137">
    <w:abstractNumId w:val="10"/>
  </w:num>
  <w:num w:numId="61" w16cid:durableId="1882203984">
    <w:abstractNumId w:val="11"/>
  </w:num>
  <w:num w:numId="62" w16cid:durableId="1351371818">
    <w:abstractNumId w:val="12"/>
  </w:num>
  <w:num w:numId="63" w16cid:durableId="1675113195">
    <w:abstractNumId w:val="13"/>
  </w:num>
  <w:num w:numId="64" w16cid:durableId="1955670201">
    <w:abstractNumId w:val="15"/>
  </w:num>
  <w:num w:numId="65" w16cid:durableId="574364452">
    <w:abstractNumId w:val="16"/>
  </w:num>
  <w:num w:numId="66" w16cid:durableId="223028224">
    <w:abstractNumId w:val="17"/>
  </w:num>
  <w:num w:numId="67" w16cid:durableId="839083034">
    <w:abstractNumId w:val="18"/>
  </w:num>
  <w:num w:numId="68" w16cid:durableId="1048453737">
    <w:abstractNumId w:val="20"/>
  </w:num>
  <w:num w:numId="69" w16cid:durableId="1026640194">
    <w:abstractNumId w:val="21"/>
  </w:num>
  <w:num w:numId="70" w16cid:durableId="1329288156">
    <w:abstractNumId w:val="24"/>
  </w:num>
  <w:num w:numId="71" w16cid:durableId="1809085151">
    <w:abstractNumId w:val="25"/>
  </w:num>
  <w:num w:numId="72" w16cid:durableId="1080827732">
    <w:abstractNumId w:val="26"/>
  </w:num>
  <w:num w:numId="73" w16cid:durableId="2036301683">
    <w:abstractNumId w:val="28"/>
  </w:num>
  <w:num w:numId="74" w16cid:durableId="126708259">
    <w:abstractNumId w:val="30"/>
  </w:num>
  <w:num w:numId="75" w16cid:durableId="2058167483">
    <w:abstractNumId w:val="32"/>
  </w:num>
  <w:num w:numId="76" w16cid:durableId="2058311766">
    <w:abstractNumId w:val="33"/>
  </w:num>
  <w:num w:numId="77" w16cid:durableId="410128829">
    <w:abstractNumId w:val="34"/>
  </w:num>
  <w:num w:numId="78" w16cid:durableId="1761218776">
    <w:abstractNumId w:val="35"/>
  </w:num>
  <w:num w:numId="79" w16cid:durableId="1781222947">
    <w:abstractNumId w:val="36"/>
  </w:num>
  <w:num w:numId="80" w16cid:durableId="1311638866">
    <w:abstractNumId w:val="37"/>
  </w:num>
  <w:num w:numId="81" w16cid:durableId="1285455016">
    <w:abstractNumId w:val="38"/>
  </w:num>
  <w:num w:numId="82" w16cid:durableId="1160926393">
    <w:abstractNumId w:val="42"/>
  </w:num>
  <w:num w:numId="83" w16cid:durableId="1364018377">
    <w:abstractNumId w:val="43"/>
  </w:num>
  <w:num w:numId="84" w16cid:durableId="80612354">
    <w:abstractNumId w:val="49"/>
  </w:num>
  <w:num w:numId="85" w16cid:durableId="1691254366">
    <w:abstractNumId w:val="52"/>
  </w:num>
  <w:num w:numId="86" w16cid:durableId="580339032">
    <w:abstractNumId w:val="55"/>
  </w:num>
  <w:num w:numId="87" w16cid:durableId="379717792">
    <w:abstractNumId w:val="57"/>
  </w:num>
  <w:num w:numId="88" w16cid:durableId="1044066421">
    <w:abstractNumId w:val="59"/>
  </w:num>
  <w:num w:numId="89" w16cid:durableId="2091930067">
    <w:abstractNumId w:val="61"/>
  </w:num>
  <w:num w:numId="90" w16cid:durableId="532546517">
    <w:abstractNumId w:val="62"/>
  </w:num>
  <w:num w:numId="91" w16cid:durableId="414666162">
    <w:abstractNumId w:val="63"/>
  </w:num>
  <w:num w:numId="92" w16cid:durableId="1269311212">
    <w:abstractNumId w:val="64"/>
  </w:num>
  <w:num w:numId="93" w16cid:durableId="1631939513">
    <w:abstractNumId w:val="66"/>
  </w:num>
  <w:num w:numId="94" w16cid:durableId="1834564849">
    <w:abstractNumId w:val="22"/>
  </w:num>
  <w:num w:numId="95" w16cid:durableId="205724164">
    <w:abstractNumId w:val="44"/>
  </w:num>
  <w:num w:numId="96" w16cid:durableId="949429864">
    <w:abstractNumId w:val="56"/>
  </w:num>
  <w:num w:numId="97" w16cid:durableId="288970792">
    <w:abstractNumId w:val="53"/>
  </w:num>
  <w:num w:numId="98" w16cid:durableId="952714129">
    <w:abstractNumId w:val="48"/>
  </w:num>
  <w:num w:numId="99" w16cid:durableId="1523976620">
    <w:abstractNumId w:val="39"/>
  </w:num>
  <w:num w:numId="100" w16cid:durableId="156654599">
    <w:abstractNumId w:val="3"/>
  </w:num>
  <w:num w:numId="101" w16cid:durableId="1936327866">
    <w:abstractNumId w:val="27"/>
  </w:num>
  <w:num w:numId="102" w16cid:durableId="1754089481">
    <w:abstractNumId w:val="50"/>
  </w:num>
  <w:num w:numId="103" w16cid:durableId="219633537">
    <w:abstractNumId w:val="6"/>
  </w:num>
  <w:num w:numId="104" w16cid:durableId="195585926">
    <w:abstractNumId w:val="65"/>
  </w:num>
  <w:num w:numId="105" w16cid:durableId="525605381">
    <w:abstractNumId w:val="54"/>
  </w:num>
  <w:num w:numId="106" w16cid:durableId="202910152">
    <w:abstractNumId w:val="4"/>
  </w:num>
  <w:num w:numId="107" w16cid:durableId="1026829289">
    <w:abstractNumId w:val="31"/>
  </w:num>
  <w:num w:numId="108" w16cid:durableId="681589062">
    <w:abstractNumId w:val="14"/>
  </w:num>
  <w:num w:numId="109" w16cid:durableId="54683942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27C7"/>
    <w:rsid w:val="0001788C"/>
    <w:rsid w:val="00023106"/>
    <w:rsid w:val="0002733A"/>
    <w:rsid w:val="000337EF"/>
    <w:rsid w:val="000353D3"/>
    <w:rsid w:val="00036130"/>
    <w:rsid w:val="00040C3A"/>
    <w:rsid w:val="000419AD"/>
    <w:rsid w:val="00042C75"/>
    <w:rsid w:val="000433C9"/>
    <w:rsid w:val="00063636"/>
    <w:rsid w:val="00066ADF"/>
    <w:rsid w:val="000716C5"/>
    <w:rsid w:val="00075E23"/>
    <w:rsid w:val="000834F8"/>
    <w:rsid w:val="0008483B"/>
    <w:rsid w:val="0009344A"/>
    <w:rsid w:val="0009783C"/>
    <w:rsid w:val="000A392E"/>
    <w:rsid w:val="000A575F"/>
    <w:rsid w:val="000D05CB"/>
    <w:rsid w:val="000D10DB"/>
    <w:rsid w:val="000E5EB5"/>
    <w:rsid w:val="000F35ED"/>
    <w:rsid w:val="00107131"/>
    <w:rsid w:val="0010736F"/>
    <w:rsid w:val="00110716"/>
    <w:rsid w:val="0011320B"/>
    <w:rsid w:val="00113F73"/>
    <w:rsid w:val="00121CC2"/>
    <w:rsid w:val="00131425"/>
    <w:rsid w:val="00133EE5"/>
    <w:rsid w:val="00142123"/>
    <w:rsid w:val="0015440A"/>
    <w:rsid w:val="00167A34"/>
    <w:rsid w:val="0017260D"/>
    <w:rsid w:val="001951AE"/>
    <w:rsid w:val="001A6A9B"/>
    <w:rsid w:val="001A7870"/>
    <w:rsid w:val="001B3A00"/>
    <w:rsid w:val="001B56F2"/>
    <w:rsid w:val="001C1B41"/>
    <w:rsid w:val="001D65EF"/>
    <w:rsid w:val="001E49E7"/>
    <w:rsid w:val="001E6B32"/>
    <w:rsid w:val="001F0C23"/>
    <w:rsid w:val="001F7201"/>
    <w:rsid w:val="00223A29"/>
    <w:rsid w:val="002250A3"/>
    <w:rsid w:val="00235217"/>
    <w:rsid w:val="00235CA1"/>
    <w:rsid w:val="00243D43"/>
    <w:rsid w:val="00246D1F"/>
    <w:rsid w:val="00247403"/>
    <w:rsid w:val="00247542"/>
    <w:rsid w:val="00266B61"/>
    <w:rsid w:val="0026712A"/>
    <w:rsid w:val="002704DB"/>
    <w:rsid w:val="00272B8C"/>
    <w:rsid w:val="0029339B"/>
    <w:rsid w:val="002A0AAE"/>
    <w:rsid w:val="002A49FC"/>
    <w:rsid w:val="002A5820"/>
    <w:rsid w:val="002B4477"/>
    <w:rsid w:val="002B7EA3"/>
    <w:rsid w:val="002C13B5"/>
    <w:rsid w:val="002C380C"/>
    <w:rsid w:val="002D2B26"/>
    <w:rsid w:val="002D37D9"/>
    <w:rsid w:val="002D7EA2"/>
    <w:rsid w:val="002E187C"/>
    <w:rsid w:val="00301EF6"/>
    <w:rsid w:val="00302733"/>
    <w:rsid w:val="00314078"/>
    <w:rsid w:val="0031535D"/>
    <w:rsid w:val="0032375F"/>
    <w:rsid w:val="003239B8"/>
    <w:rsid w:val="00324F9B"/>
    <w:rsid w:val="00325643"/>
    <w:rsid w:val="0033169F"/>
    <w:rsid w:val="00344977"/>
    <w:rsid w:val="003457D5"/>
    <w:rsid w:val="00346C95"/>
    <w:rsid w:val="00356185"/>
    <w:rsid w:val="00360380"/>
    <w:rsid w:val="003614DB"/>
    <w:rsid w:val="0037519E"/>
    <w:rsid w:val="00386CF0"/>
    <w:rsid w:val="00394049"/>
    <w:rsid w:val="003A04B8"/>
    <w:rsid w:val="003B61E8"/>
    <w:rsid w:val="003B70FB"/>
    <w:rsid w:val="003C2524"/>
    <w:rsid w:val="003C676B"/>
    <w:rsid w:val="003D029D"/>
    <w:rsid w:val="003D3BC2"/>
    <w:rsid w:val="003E5CDC"/>
    <w:rsid w:val="003E6CA1"/>
    <w:rsid w:val="003F5E6A"/>
    <w:rsid w:val="00401D83"/>
    <w:rsid w:val="00405F9C"/>
    <w:rsid w:val="004065A8"/>
    <w:rsid w:val="00406D7B"/>
    <w:rsid w:val="004165C2"/>
    <w:rsid w:val="00426CD9"/>
    <w:rsid w:val="00434766"/>
    <w:rsid w:val="00441ECB"/>
    <w:rsid w:val="00445193"/>
    <w:rsid w:val="00445C2D"/>
    <w:rsid w:val="00453D87"/>
    <w:rsid w:val="004543A4"/>
    <w:rsid w:val="004600BB"/>
    <w:rsid w:val="00462C1B"/>
    <w:rsid w:val="00467B7E"/>
    <w:rsid w:val="00473BB4"/>
    <w:rsid w:val="00477592"/>
    <w:rsid w:val="00486F1C"/>
    <w:rsid w:val="0049419D"/>
    <w:rsid w:val="00495B3D"/>
    <w:rsid w:val="004A12C7"/>
    <w:rsid w:val="004A47CF"/>
    <w:rsid w:val="004A6A54"/>
    <w:rsid w:val="004B4C9F"/>
    <w:rsid w:val="004C20D2"/>
    <w:rsid w:val="004C2312"/>
    <w:rsid w:val="004C4B62"/>
    <w:rsid w:val="004C54C9"/>
    <w:rsid w:val="004D2BF4"/>
    <w:rsid w:val="004D48E5"/>
    <w:rsid w:val="004D4911"/>
    <w:rsid w:val="004D4ABA"/>
    <w:rsid w:val="004D6025"/>
    <w:rsid w:val="004E2649"/>
    <w:rsid w:val="004F148A"/>
    <w:rsid w:val="004F626F"/>
    <w:rsid w:val="00501399"/>
    <w:rsid w:val="00505CDD"/>
    <w:rsid w:val="0050633D"/>
    <w:rsid w:val="00507BC4"/>
    <w:rsid w:val="005128E4"/>
    <w:rsid w:val="005133DB"/>
    <w:rsid w:val="00514504"/>
    <w:rsid w:val="005228FF"/>
    <w:rsid w:val="00525330"/>
    <w:rsid w:val="00525560"/>
    <w:rsid w:val="00530F4A"/>
    <w:rsid w:val="00544C49"/>
    <w:rsid w:val="005516A1"/>
    <w:rsid w:val="005559EF"/>
    <w:rsid w:val="00560A39"/>
    <w:rsid w:val="00563557"/>
    <w:rsid w:val="00571715"/>
    <w:rsid w:val="0057402A"/>
    <w:rsid w:val="00575E0D"/>
    <w:rsid w:val="005771D0"/>
    <w:rsid w:val="00590532"/>
    <w:rsid w:val="0059191A"/>
    <w:rsid w:val="005921FF"/>
    <w:rsid w:val="005A1DD8"/>
    <w:rsid w:val="005A24ED"/>
    <w:rsid w:val="005A3532"/>
    <w:rsid w:val="005A6D0E"/>
    <w:rsid w:val="005B440C"/>
    <w:rsid w:val="005B52B0"/>
    <w:rsid w:val="005B6806"/>
    <w:rsid w:val="005C4225"/>
    <w:rsid w:val="005D38F9"/>
    <w:rsid w:val="005F0DAD"/>
    <w:rsid w:val="005F0F33"/>
    <w:rsid w:val="005F63D5"/>
    <w:rsid w:val="00600DEB"/>
    <w:rsid w:val="0061793A"/>
    <w:rsid w:val="00625A03"/>
    <w:rsid w:val="00627C9F"/>
    <w:rsid w:val="006311E9"/>
    <w:rsid w:val="00632354"/>
    <w:rsid w:val="00635421"/>
    <w:rsid w:val="0064059A"/>
    <w:rsid w:val="00642810"/>
    <w:rsid w:val="00652333"/>
    <w:rsid w:val="00660EA3"/>
    <w:rsid w:val="0068009E"/>
    <w:rsid w:val="0068228E"/>
    <w:rsid w:val="00684BFC"/>
    <w:rsid w:val="00692219"/>
    <w:rsid w:val="00692885"/>
    <w:rsid w:val="006A17D2"/>
    <w:rsid w:val="006A254E"/>
    <w:rsid w:val="006A73E6"/>
    <w:rsid w:val="006B2D5C"/>
    <w:rsid w:val="006C4EB1"/>
    <w:rsid w:val="006D0F37"/>
    <w:rsid w:val="006D28FE"/>
    <w:rsid w:val="006D2957"/>
    <w:rsid w:val="006D6827"/>
    <w:rsid w:val="006D7009"/>
    <w:rsid w:val="006E0166"/>
    <w:rsid w:val="006E2FFB"/>
    <w:rsid w:val="006E7B34"/>
    <w:rsid w:val="0070670B"/>
    <w:rsid w:val="0070697F"/>
    <w:rsid w:val="0072199C"/>
    <w:rsid w:val="00722C9F"/>
    <w:rsid w:val="007253B8"/>
    <w:rsid w:val="00727FDB"/>
    <w:rsid w:val="0073741F"/>
    <w:rsid w:val="00761B67"/>
    <w:rsid w:val="0076643F"/>
    <w:rsid w:val="00777F63"/>
    <w:rsid w:val="00786351"/>
    <w:rsid w:val="007A20DA"/>
    <w:rsid w:val="007A5817"/>
    <w:rsid w:val="007B05C4"/>
    <w:rsid w:val="007B60E9"/>
    <w:rsid w:val="007B6CC3"/>
    <w:rsid w:val="007B76D3"/>
    <w:rsid w:val="007B7B2A"/>
    <w:rsid w:val="007C1722"/>
    <w:rsid w:val="007C3334"/>
    <w:rsid w:val="007C3FC4"/>
    <w:rsid w:val="007C4618"/>
    <w:rsid w:val="007C7562"/>
    <w:rsid w:val="007D243B"/>
    <w:rsid w:val="007D2B98"/>
    <w:rsid w:val="007D522D"/>
    <w:rsid w:val="007E21BC"/>
    <w:rsid w:val="007E7C82"/>
    <w:rsid w:val="007F2697"/>
    <w:rsid w:val="007F2AA1"/>
    <w:rsid w:val="007F588D"/>
    <w:rsid w:val="00803F1C"/>
    <w:rsid w:val="0080600E"/>
    <w:rsid w:val="00814688"/>
    <w:rsid w:val="00817612"/>
    <w:rsid w:val="00831646"/>
    <w:rsid w:val="008338A4"/>
    <w:rsid w:val="00834D49"/>
    <w:rsid w:val="00837C45"/>
    <w:rsid w:val="00840541"/>
    <w:rsid w:val="00844730"/>
    <w:rsid w:val="008457C2"/>
    <w:rsid w:val="0085233C"/>
    <w:rsid w:val="0085238B"/>
    <w:rsid w:val="00857A82"/>
    <w:rsid w:val="00873836"/>
    <w:rsid w:val="00873E12"/>
    <w:rsid w:val="008805C2"/>
    <w:rsid w:val="00884A44"/>
    <w:rsid w:val="00885737"/>
    <w:rsid w:val="0089010D"/>
    <w:rsid w:val="00890650"/>
    <w:rsid w:val="00892805"/>
    <w:rsid w:val="008972F7"/>
    <w:rsid w:val="00897E12"/>
    <w:rsid w:val="008A6C31"/>
    <w:rsid w:val="008A7E0F"/>
    <w:rsid w:val="008B12F5"/>
    <w:rsid w:val="008C5E2D"/>
    <w:rsid w:val="008C6F85"/>
    <w:rsid w:val="008D139E"/>
    <w:rsid w:val="008D40A6"/>
    <w:rsid w:val="008D768D"/>
    <w:rsid w:val="008E3759"/>
    <w:rsid w:val="008E3BFE"/>
    <w:rsid w:val="008F1912"/>
    <w:rsid w:val="009015DB"/>
    <w:rsid w:val="0090270B"/>
    <w:rsid w:val="009041DC"/>
    <w:rsid w:val="00916C1D"/>
    <w:rsid w:val="00917B5A"/>
    <w:rsid w:val="00920A58"/>
    <w:rsid w:val="00920A8C"/>
    <w:rsid w:val="00922EC2"/>
    <w:rsid w:val="00932DC4"/>
    <w:rsid w:val="00934220"/>
    <w:rsid w:val="00934A2C"/>
    <w:rsid w:val="009624F0"/>
    <w:rsid w:val="0096706E"/>
    <w:rsid w:val="00974491"/>
    <w:rsid w:val="00975C4E"/>
    <w:rsid w:val="00981FBA"/>
    <w:rsid w:val="0099377A"/>
    <w:rsid w:val="00996FA2"/>
    <w:rsid w:val="00997BC5"/>
    <w:rsid w:val="009A4F41"/>
    <w:rsid w:val="009B232B"/>
    <w:rsid w:val="009B381B"/>
    <w:rsid w:val="009D142F"/>
    <w:rsid w:val="009D1753"/>
    <w:rsid w:val="009D7611"/>
    <w:rsid w:val="009E0B61"/>
    <w:rsid w:val="009E0E41"/>
    <w:rsid w:val="009E53DE"/>
    <w:rsid w:val="009E6943"/>
    <w:rsid w:val="009E7D2A"/>
    <w:rsid w:val="009F152F"/>
    <w:rsid w:val="00A06689"/>
    <w:rsid w:val="00A11212"/>
    <w:rsid w:val="00A11E44"/>
    <w:rsid w:val="00A14EDF"/>
    <w:rsid w:val="00A207CA"/>
    <w:rsid w:val="00A30100"/>
    <w:rsid w:val="00A328B3"/>
    <w:rsid w:val="00A50FCF"/>
    <w:rsid w:val="00A528D1"/>
    <w:rsid w:val="00A60607"/>
    <w:rsid w:val="00A610CD"/>
    <w:rsid w:val="00A65A26"/>
    <w:rsid w:val="00A758AA"/>
    <w:rsid w:val="00A90E90"/>
    <w:rsid w:val="00AA047B"/>
    <w:rsid w:val="00AA09A2"/>
    <w:rsid w:val="00AA4A32"/>
    <w:rsid w:val="00AA7996"/>
    <w:rsid w:val="00AC19CB"/>
    <w:rsid w:val="00AC67EB"/>
    <w:rsid w:val="00AE1777"/>
    <w:rsid w:val="00AE5488"/>
    <w:rsid w:val="00AE6F91"/>
    <w:rsid w:val="00AF5571"/>
    <w:rsid w:val="00B07341"/>
    <w:rsid w:val="00B17BFE"/>
    <w:rsid w:val="00B30539"/>
    <w:rsid w:val="00B314DB"/>
    <w:rsid w:val="00B35BFC"/>
    <w:rsid w:val="00B361F2"/>
    <w:rsid w:val="00B36E24"/>
    <w:rsid w:val="00B3718B"/>
    <w:rsid w:val="00B3745F"/>
    <w:rsid w:val="00B44E30"/>
    <w:rsid w:val="00B4632A"/>
    <w:rsid w:val="00B51118"/>
    <w:rsid w:val="00B530F1"/>
    <w:rsid w:val="00B82E09"/>
    <w:rsid w:val="00B82E6D"/>
    <w:rsid w:val="00B905D8"/>
    <w:rsid w:val="00B97C99"/>
    <w:rsid w:val="00BA1F87"/>
    <w:rsid w:val="00BA276C"/>
    <w:rsid w:val="00BB306F"/>
    <w:rsid w:val="00BD4B89"/>
    <w:rsid w:val="00BD5922"/>
    <w:rsid w:val="00BE7866"/>
    <w:rsid w:val="00BF02CB"/>
    <w:rsid w:val="00BF6B1D"/>
    <w:rsid w:val="00BF6FD8"/>
    <w:rsid w:val="00BF705E"/>
    <w:rsid w:val="00C03680"/>
    <w:rsid w:val="00C054DF"/>
    <w:rsid w:val="00C05D37"/>
    <w:rsid w:val="00C20078"/>
    <w:rsid w:val="00C21762"/>
    <w:rsid w:val="00C21FEF"/>
    <w:rsid w:val="00C23BA4"/>
    <w:rsid w:val="00C24543"/>
    <w:rsid w:val="00C256A2"/>
    <w:rsid w:val="00C25ADB"/>
    <w:rsid w:val="00C51515"/>
    <w:rsid w:val="00C51618"/>
    <w:rsid w:val="00C5660B"/>
    <w:rsid w:val="00C637C4"/>
    <w:rsid w:val="00C66B72"/>
    <w:rsid w:val="00C8257D"/>
    <w:rsid w:val="00C852B1"/>
    <w:rsid w:val="00C87AC4"/>
    <w:rsid w:val="00C9567A"/>
    <w:rsid w:val="00CB212D"/>
    <w:rsid w:val="00CB2660"/>
    <w:rsid w:val="00CC5E90"/>
    <w:rsid w:val="00CD046C"/>
    <w:rsid w:val="00CD0E1A"/>
    <w:rsid w:val="00CE076C"/>
    <w:rsid w:val="00CE5199"/>
    <w:rsid w:val="00CE66D5"/>
    <w:rsid w:val="00CF637A"/>
    <w:rsid w:val="00D059DE"/>
    <w:rsid w:val="00D05ABD"/>
    <w:rsid w:val="00D13FCE"/>
    <w:rsid w:val="00D306D1"/>
    <w:rsid w:val="00D30800"/>
    <w:rsid w:val="00D34786"/>
    <w:rsid w:val="00D35F3A"/>
    <w:rsid w:val="00D35FCF"/>
    <w:rsid w:val="00D37BFC"/>
    <w:rsid w:val="00D47A8E"/>
    <w:rsid w:val="00D52D14"/>
    <w:rsid w:val="00D6283D"/>
    <w:rsid w:val="00D641D3"/>
    <w:rsid w:val="00D712D3"/>
    <w:rsid w:val="00D71318"/>
    <w:rsid w:val="00D71422"/>
    <w:rsid w:val="00D72DC6"/>
    <w:rsid w:val="00D7558D"/>
    <w:rsid w:val="00D81D92"/>
    <w:rsid w:val="00D876F9"/>
    <w:rsid w:val="00DA7B5F"/>
    <w:rsid w:val="00DB14C0"/>
    <w:rsid w:val="00DC11E7"/>
    <w:rsid w:val="00DC24E3"/>
    <w:rsid w:val="00DC37F9"/>
    <w:rsid w:val="00DC7023"/>
    <w:rsid w:val="00DC769A"/>
    <w:rsid w:val="00DD0DF8"/>
    <w:rsid w:val="00DD2F35"/>
    <w:rsid w:val="00DD3D86"/>
    <w:rsid w:val="00DD4AD2"/>
    <w:rsid w:val="00DE7475"/>
    <w:rsid w:val="00DF1EC4"/>
    <w:rsid w:val="00E0340B"/>
    <w:rsid w:val="00E04A90"/>
    <w:rsid w:val="00E0551F"/>
    <w:rsid w:val="00E219C7"/>
    <w:rsid w:val="00E4118C"/>
    <w:rsid w:val="00E43157"/>
    <w:rsid w:val="00E461CE"/>
    <w:rsid w:val="00E573E4"/>
    <w:rsid w:val="00E64C3D"/>
    <w:rsid w:val="00E720CA"/>
    <w:rsid w:val="00E7716E"/>
    <w:rsid w:val="00E81BB2"/>
    <w:rsid w:val="00E82FF2"/>
    <w:rsid w:val="00E84EB5"/>
    <w:rsid w:val="00E85662"/>
    <w:rsid w:val="00E8789F"/>
    <w:rsid w:val="00E97B71"/>
    <w:rsid w:val="00EA3D34"/>
    <w:rsid w:val="00EA4698"/>
    <w:rsid w:val="00EB454D"/>
    <w:rsid w:val="00ED20D3"/>
    <w:rsid w:val="00ED549D"/>
    <w:rsid w:val="00ED76BE"/>
    <w:rsid w:val="00EE00E9"/>
    <w:rsid w:val="00EF1AAA"/>
    <w:rsid w:val="00EF3167"/>
    <w:rsid w:val="00EF619B"/>
    <w:rsid w:val="00F00B55"/>
    <w:rsid w:val="00F02AD1"/>
    <w:rsid w:val="00F253CC"/>
    <w:rsid w:val="00F37106"/>
    <w:rsid w:val="00F43603"/>
    <w:rsid w:val="00F44E25"/>
    <w:rsid w:val="00F50814"/>
    <w:rsid w:val="00F519CF"/>
    <w:rsid w:val="00F56BA5"/>
    <w:rsid w:val="00F60E22"/>
    <w:rsid w:val="00F66F74"/>
    <w:rsid w:val="00F73602"/>
    <w:rsid w:val="00F81395"/>
    <w:rsid w:val="00F81BB8"/>
    <w:rsid w:val="00F86419"/>
    <w:rsid w:val="00F90C64"/>
    <w:rsid w:val="00F917D1"/>
    <w:rsid w:val="00F9653B"/>
    <w:rsid w:val="00FA3512"/>
    <w:rsid w:val="00FB62CF"/>
    <w:rsid w:val="00FD23B0"/>
    <w:rsid w:val="00FD3C3B"/>
    <w:rsid w:val="00FD3ED2"/>
    <w:rsid w:val="00FE07DD"/>
    <w:rsid w:val="00FE089C"/>
    <w:rsid w:val="00FE6B45"/>
    <w:rsid w:val="00FF55F3"/>
    <w:rsid w:val="00FF5851"/>
    <w:rsid w:val="00FF7566"/>
    <w:rsid w:val="00FF7B79"/>
    <w:rsid w:val="4F6A8DC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19"/>
    <w:pPr>
      <w:numPr>
        <w:numId w:val="95"/>
      </w:numPr>
    </w:pPr>
  </w:style>
  <w:style w:type="numbering" w:customStyle="1" w:styleId="Estiloimportado3">
    <w:name w:val="Estilo importado 3"/>
  </w:style>
  <w:style w:type="numbering" w:customStyle="1" w:styleId="List31">
    <w:name w:val="List 31"/>
    <w:basedOn w:val="Estiloimportado27"/>
    <w:pPr>
      <w:numPr>
        <w:numId w:val="94"/>
      </w:numPr>
    </w:pPr>
  </w:style>
  <w:style w:type="numbering" w:customStyle="1" w:styleId="Estiloimportado4">
    <w:name w:val="Estilo importado 4"/>
  </w:style>
  <w:style w:type="numbering" w:customStyle="1" w:styleId="List41">
    <w:name w:val="List 41"/>
    <w:basedOn w:val="Estiloimportado37"/>
    <w:pPr>
      <w:numPr>
        <w:numId w:val="5"/>
      </w:numPr>
    </w:pPr>
  </w:style>
  <w:style w:type="numbering" w:customStyle="1" w:styleId="Estiloimportado5">
    <w:name w:val="Estilo importado 5"/>
  </w:style>
  <w:style w:type="numbering" w:customStyle="1" w:styleId="List51">
    <w:name w:val="List 51"/>
    <w:basedOn w:val="Estiloimportado4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0">
    <w:name w:val="List 210"/>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0"/>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0"/>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0">
    <w:name w:val="List 510"/>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089C"/>
    <w:rPr>
      <w:sz w:val="16"/>
      <w:szCs w:val="16"/>
    </w:rPr>
  </w:style>
  <w:style w:type="paragraph" w:styleId="CommentText">
    <w:name w:val="annotation text"/>
    <w:basedOn w:val="Normal"/>
    <w:link w:val="CommentTextChar"/>
    <w:uiPriority w:val="99"/>
    <w:semiHidden/>
    <w:unhideWhenUsed/>
    <w:rsid w:val="00FE089C"/>
    <w:rPr>
      <w:sz w:val="20"/>
      <w:szCs w:val="20"/>
    </w:rPr>
  </w:style>
  <w:style w:type="character" w:customStyle="1" w:styleId="CommentTextChar">
    <w:name w:val="Comment Text Char"/>
    <w:basedOn w:val="DefaultParagraphFont"/>
    <w:link w:val="CommentText"/>
    <w:uiPriority w:val="99"/>
    <w:semiHidden/>
    <w:rsid w:val="00FE089C"/>
    <w:rPr>
      <w:lang w:val="en-US" w:eastAsia="en-US"/>
    </w:rPr>
  </w:style>
  <w:style w:type="paragraph" w:styleId="CommentSubject">
    <w:name w:val="annotation subject"/>
    <w:basedOn w:val="CommentText"/>
    <w:next w:val="CommentText"/>
    <w:link w:val="CommentSubjectChar"/>
    <w:uiPriority w:val="99"/>
    <w:semiHidden/>
    <w:unhideWhenUsed/>
    <w:rsid w:val="00FE089C"/>
    <w:rPr>
      <w:b/>
      <w:bCs/>
    </w:rPr>
  </w:style>
  <w:style w:type="character" w:customStyle="1" w:styleId="CommentSubjectChar">
    <w:name w:val="Comment Subject Char"/>
    <w:basedOn w:val="CommentTextChar"/>
    <w:link w:val="CommentSubject"/>
    <w:uiPriority w:val="99"/>
    <w:semiHidden/>
    <w:rsid w:val="00FE089C"/>
    <w:rPr>
      <w:b/>
      <w:bCs/>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B35BF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Char2">
    <w:name w:val="Char2"/>
    <w:basedOn w:val="Normal"/>
    <w:rsid w:val="00B35BF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FD23B0"/>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4B4C9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4B4C9F"/>
  </w:style>
  <w:style w:type="character" w:customStyle="1" w:styleId="eop">
    <w:name w:val="eop"/>
    <w:basedOn w:val="DefaultParagraphFont"/>
    <w:rsid w:val="004B4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42907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142E"/>
    <w:rsid w:val="000204AE"/>
    <w:rsid w:val="00166B3E"/>
    <w:rsid w:val="00200821"/>
    <w:rsid w:val="0025245B"/>
    <w:rsid w:val="002A3923"/>
    <w:rsid w:val="002C13B5"/>
    <w:rsid w:val="00325893"/>
    <w:rsid w:val="00394049"/>
    <w:rsid w:val="003C412A"/>
    <w:rsid w:val="004B5BBB"/>
    <w:rsid w:val="004F2DF8"/>
    <w:rsid w:val="005136AE"/>
    <w:rsid w:val="00584EC2"/>
    <w:rsid w:val="0067486E"/>
    <w:rsid w:val="006F24A1"/>
    <w:rsid w:val="007C6401"/>
    <w:rsid w:val="008047E2"/>
    <w:rsid w:val="00886A41"/>
    <w:rsid w:val="00892805"/>
    <w:rsid w:val="009A261B"/>
    <w:rsid w:val="009E257B"/>
    <w:rsid w:val="009F22C6"/>
    <w:rsid w:val="00AA2E17"/>
    <w:rsid w:val="00AC15A4"/>
    <w:rsid w:val="00B0336C"/>
    <w:rsid w:val="00B6586D"/>
    <w:rsid w:val="00BF6601"/>
    <w:rsid w:val="00D241E9"/>
    <w:rsid w:val="00D641D3"/>
    <w:rsid w:val="00D7750D"/>
    <w:rsid w:val="00D80801"/>
    <w:rsid w:val="00E40BA5"/>
    <w:rsid w:val="00F00D2F"/>
    <w:rsid w:val="00F128DF"/>
    <w:rsid w:val="00FA09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3217</Words>
  <Characters>18339</Characters>
  <Application>Microsoft Office Word</Application>
  <DocSecurity>0</DocSecurity>
  <Lines>152</Lines>
  <Paragraphs>43</Paragraphs>
  <ScaleCrop>false</ScaleCrop>
  <Company/>
  <LinksUpToDate>false</LinksUpToDate>
  <CharactersWithSpaces>21513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2024-07-15T13:22:00Z</dcterms:created>
  <dcterms:modified xsi:type="dcterms:W3CDTF">2024-07-15T13:22:00Z</dcterms:modified>
</cp:coreProperties>
</file>