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EDD6" w14:textId="77777777" w:rsidR="006E2163" w:rsidRDefault="006E2163" w:rsidP="006E2163">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4B77ADDC" wp14:editId="4955AD88">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6EF27B9" wp14:editId="4FD3E4EF">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F028110" wp14:editId="6E1E0D4A">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4FFCA" w14:textId="77777777" w:rsidR="006E2163" w:rsidRPr="00411A74" w:rsidRDefault="006E2163" w:rsidP="006E2163">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495A215" w14:textId="77777777" w:rsidR="006E2163" w:rsidRDefault="006E2163" w:rsidP="006E2163">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66D16776" w14:textId="77777777" w:rsidR="00E93BD0" w:rsidRPr="001F2762" w:rsidRDefault="00E93BD0" w:rsidP="00E93BD0">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7"/>
        <w:gridCol w:w="2386"/>
        <w:gridCol w:w="2658"/>
      </w:tblGrid>
      <w:tr w:rsidR="005173CF" w:rsidRPr="001F2762" w14:paraId="01A2F61A" w14:textId="77777777" w:rsidTr="007C457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1F2762" w:rsidRDefault="00AC6F31" w:rsidP="00AC6F31">
            <w:pPr>
              <w:pStyle w:val="ListParagraph"/>
              <w:rPr>
                <w:rFonts w:ascii="Calibri Light" w:hAnsi="Calibri Light"/>
                <w:lang w:val="es-PE"/>
              </w:rPr>
            </w:pPr>
          </w:p>
          <w:p w14:paraId="160CE2AC" w14:textId="77777777" w:rsidR="00212F62" w:rsidRPr="001F2762" w:rsidRDefault="007A6C56" w:rsidP="00AC6F31">
            <w:pPr>
              <w:pStyle w:val="ListParagraph"/>
              <w:numPr>
                <w:ilvl w:val="0"/>
                <w:numId w:val="2"/>
              </w:numPr>
              <w:jc w:val="center"/>
              <w:rPr>
                <w:rFonts w:ascii="Calibri Light" w:hAnsi="Calibri Light"/>
                <w:lang w:val="es-PE"/>
              </w:rPr>
            </w:pPr>
            <w:r w:rsidRPr="001F2762">
              <w:rPr>
                <w:rFonts w:ascii="Calibri Light" w:hAnsi="Calibri Light"/>
                <w:lang w:val="es-PE"/>
              </w:rPr>
              <w:t>Datos generales</w:t>
            </w:r>
          </w:p>
          <w:p w14:paraId="6C5B323B" w14:textId="6BA3A748" w:rsidR="00AC6F31" w:rsidRPr="001F2762" w:rsidRDefault="00AC6F31" w:rsidP="00AC6F31">
            <w:pPr>
              <w:pStyle w:val="ListParagraph"/>
              <w:rPr>
                <w:rFonts w:ascii="Calibri Light" w:hAnsi="Calibri Light"/>
                <w:lang w:val="es-PE"/>
              </w:rPr>
            </w:pPr>
          </w:p>
        </w:tc>
      </w:tr>
      <w:tr w:rsidR="004533E5" w:rsidRPr="001F2762" w14:paraId="275AD1EA" w14:textId="77777777" w:rsidTr="007C457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7" w:type="dxa"/>
          </w:tcPr>
          <w:p w14:paraId="63C7EFE0" w14:textId="77777777" w:rsidR="005173CF" w:rsidRPr="001F2762" w:rsidRDefault="007A6C56" w:rsidP="00A65231">
            <w:pPr>
              <w:pStyle w:val="ListParagraph"/>
              <w:numPr>
                <w:ilvl w:val="0"/>
                <w:numId w:val="3"/>
              </w:numPr>
              <w:rPr>
                <w:rFonts w:ascii="Calibri Light" w:hAnsi="Calibri Light"/>
                <w:lang w:val="es-PE"/>
              </w:rPr>
            </w:pPr>
            <w:r w:rsidRPr="001F2762">
              <w:rPr>
                <w:rFonts w:ascii="Calibri Light" w:hAnsi="Calibri Light"/>
                <w:lang w:val="es-PE"/>
              </w:rPr>
              <w:t>Nombre del caso</w:t>
            </w:r>
          </w:p>
        </w:tc>
        <w:tc>
          <w:tcPr>
            <w:tcW w:w="5044" w:type="dxa"/>
            <w:gridSpan w:val="2"/>
          </w:tcPr>
          <w:p w14:paraId="084A5991" w14:textId="72ACEAA4" w:rsidR="005173CF" w:rsidRPr="001F2762" w:rsidRDefault="00290BCB"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Linda Lo</w:t>
            </w:r>
            <w:r w:rsidR="003F161D" w:rsidRPr="001F2762">
              <w:rPr>
                <w:rFonts w:ascii="Calibri Light" w:hAnsi="Calibri Light"/>
                <w:lang w:val="es-PE"/>
              </w:rPr>
              <w:t xml:space="preserve">aiza López Soto y familiares, </w:t>
            </w:r>
            <w:r w:rsidRPr="001F2762">
              <w:rPr>
                <w:rFonts w:ascii="Calibri Light" w:hAnsi="Calibri Light"/>
                <w:lang w:val="es-PE"/>
              </w:rPr>
              <w:t>Venezuela</w:t>
            </w:r>
          </w:p>
        </w:tc>
      </w:tr>
      <w:tr w:rsidR="00F464EC" w:rsidRPr="001F2762" w14:paraId="59A6A8A1" w14:textId="77777777" w:rsidTr="007C457D">
        <w:trPr>
          <w:trHeight w:val="263"/>
        </w:trPr>
        <w:tc>
          <w:tcPr>
            <w:cnfStyle w:val="001000000000" w:firstRow="0" w:lastRow="0" w:firstColumn="1" w:lastColumn="0" w:oddVBand="0" w:evenVBand="0" w:oddHBand="0" w:evenHBand="0" w:firstRowFirstColumn="0" w:firstRowLastColumn="0" w:lastRowFirstColumn="0" w:lastRowLastColumn="0"/>
            <w:tcW w:w="3677" w:type="dxa"/>
          </w:tcPr>
          <w:p w14:paraId="7FA9FC90" w14:textId="75678C4B" w:rsidR="00F464EC" w:rsidRPr="001F2762" w:rsidRDefault="003F161D" w:rsidP="00A65231">
            <w:pPr>
              <w:pStyle w:val="ListParagraph"/>
              <w:numPr>
                <w:ilvl w:val="0"/>
                <w:numId w:val="3"/>
              </w:numPr>
              <w:rPr>
                <w:rFonts w:ascii="Calibri Light" w:hAnsi="Calibri Light"/>
                <w:lang w:val="es-PE"/>
              </w:rPr>
            </w:pPr>
            <w:r w:rsidRPr="001F2762">
              <w:rPr>
                <w:rFonts w:ascii="Calibri Light" w:hAnsi="Calibri Light"/>
                <w:lang w:val="es-PE"/>
              </w:rPr>
              <w:t>Parte peticionaria</w:t>
            </w:r>
          </w:p>
        </w:tc>
        <w:tc>
          <w:tcPr>
            <w:tcW w:w="5044" w:type="dxa"/>
            <w:gridSpan w:val="2"/>
          </w:tcPr>
          <w:p w14:paraId="374B2A68" w14:textId="6FB67C06" w:rsidR="00561038" w:rsidRPr="001F2762" w:rsidRDefault="00561038"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Linda Loaiza López</w:t>
            </w:r>
            <w:r w:rsidR="004761AC" w:rsidRPr="001F2762">
              <w:rPr>
                <w:rFonts w:ascii="Calibri Light" w:hAnsi="Calibri Light"/>
                <w:lang w:val="es-PE"/>
              </w:rPr>
              <w:t xml:space="preserve"> </w:t>
            </w:r>
            <w:r w:rsidR="009A3D36" w:rsidRPr="001F2762">
              <w:rPr>
                <w:rFonts w:ascii="Calibri Light" w:hAnsi="Calibri Light"/>
                <w:lang w:val="es-PE"/>
              </w:rPr>
              <w:t>Soto</w:t>
            </w:r>
            <w:r w:rsidR="003F161D" w:rsidRPr="001F2762">
              <w:rPr>
                <w:rFonts w:ascii="Calibri Light" w:hAnsi="Calibri Light"/>
                <w:lang w:val="es-PE"/>
              </w:rPr>
              <w:t xml:space="preserve">, </w:t>
            </w:r>
            <w:r w:rsidR="004761AC" w:rsidRPr="001F2762">
              <w:rPr>
                <w:rFonts w:ascii="Calibri Light" w:hAnsi="Calibri Light"/>
                <w:lang w:val="es-PE"/>
              </w:rPr>
              <w:t>Juan Bernardo Delgado</w:t>
            </w:r>
          </w:p>
        </w:tc>
      </w:tr>
      <w:tr w:rsidR="005173CF" w:rsidRPr="001F2762" w14:paraId="3A483B4F" w14:textId="77777777" w:rsidTr="007C457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7" w:type="dxa"/>
          </w:tcPr>
          <w:p w14:paraId="6233C75C" w14:textId="44543DAD" w:rsidR="005173CF" w:rsidRPr="001F2762" w:rsidRDefault="007A6C56" w:rsidP="00A65231">
            <w:pPr>
              <w:pStyle w:val="ListParagraph"/>
              <w:numPr>
                <w:ilvl w:val="0"/>
                <w:numId w:val="3"/>
              </w:numPr>
              <w:rPr>
                <w:rFonts w:ascii="Calibri Light" w:hAnsi="Calibri Light"/>
                <w:lang w:val="es-PE"/>
              </w:rPr>
            </w:pPr>
            <w:r w:rsidRPr="001F2762">
              <w:rPr>
                <w:rFonts w:ascii="Calibri Light" w:hAnsi="Calibri Light"/>
                <w:lang w:val="es-PE"/>
              </w:rPr>
              <w:t xml:space="preserve">Número de Informe </w:t>
            </w:r>
          </w:p>
        </w:tc>
        <w:tc>
          <w:tcPr>
            <w:tcW w:w="5044" w:type="dxa"/>
            <w:gridSpan w:val="2"/>
          </w:tcPr>
          <w:p w14:paraId="77740DF4" w14:textId="2002217D" w:rsidR="005173CF" w:rsidRPr="001F2762" w:rsidRDefault="00EB153A"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hyperlink r:id="rId12" w:history="1">
              <w:r w:rsidR="00290BCB" w:rsidRPr="001F2762">
                <w:rPr>
                  <w:rStyle w:val="Hyperlink"/>
                  <w:rFonts w:ascii="Calibri Light" w:hAnsi="Calibri Light"/>
                  <w:lang w:val="es-PE"/>
                </w:rPr>
                <w:t>Informe No. 33/16</w:t>
              </w:r>
            </w:hyperlink>
          </w:p>
        </w:tc>
      </w:tr>
      <w:tr w:rsidR="004533E5" w:rsidRPr="001F2762" w14:paraId="5EC10F5F" w14:textId="77777777" w:rsidTr="007C457D">
        <w:trPr>
          <w:trHeight w:val="212"/>
        </w:trPr>
        <w:tc>
          <w:tcPr>
            <w:cnfStyle w:val="001000000000" w:firstRow="0" w:lastRow="0" w:firstColumn="1" w:lastColumn="0" w:oddVBand="0" w:evenVBand="0" w:oddHBand="0" w:evenHBand="0" w:firstRowFirstColumn="0" w:firstRowLastColumn="0" w:lastRowFirstColumn="0" w:lastRowLastColumn="0"/>
            <w:tcW w:w="3677" w:type="dxa"/>
          </w:tcPr>
          <w:p w14:paraId="00180E4F" w14:textId="77777777" w:rsidR="005173CF" w:rsidRPr="001F2762" w:rsidRDefault="00954E20" w:rsidP="00954E20">
            <w:pPr>
              <w:pStyle w:val="ListParagraph"/>
              <w:numPr>
                <w:ilvl w:val="0"/>
                <w:numId w:val="3"/>
              </w:numPr>
              <w:rPr>
                <w:rFonts w:ascii="Calibri Light" w:hAnsi="Calibri Light"/>
                <w:lang w:val="es-PE"/>
              </w:rPr>
            </w:pPr>
            <w:r w:rsidRPr="001F2762">
              <w:rPr>
                <w:rFonts w:ascii="Calibri Light" w:hAnsi="Calibri Light"/>
                <w:lang w:val="es-PE"/>
              </w:rPr>
              <w:t xml:space="preserve">Tipo de informe </w:t>
            </w:r>
          </w:p>
        </w:tc>
        <w:tc>
          <w:tcPr>
            <w:tcW w:w="5044" w:type="dxa"/>
            <w:gridSpan w:val="2"/>
          </w:tcPr>
          <w:p w14:paraId="35E9A08D" w14:textId="41333421" w:rsidR="005173CF" w:rsidRPr="001F2762" w:rsidRDefault="00954E20" w:rsidP="00290BCB">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Informe de Fondo</w:t>
            </w:r>
            <w:r w:rsidR="00AF29E1" w:rsidRPr="001F2762">
              <w:rPr>
                <w:rFonts w:ascii="Calibri Light" w:hAnsi="Calibri Light"/>
                <w:lang w:val="es-PE"/>
              </w:rPr>
              <w:t xml:space="preserve"> (Caso en la Corte IDH)</w:t>
            </w:r>
          </w:p>
        </w:tc>
      </w:tr>
      <w:tr w:rsidR="005173CF" w:rsidRPr="001F2762" w14:paraId="7ED5AB61" w14:textId="77777777" w:rsidTr="003F161D">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677" w:type="dxa"/>
          </w:tcPr>
          <w:p w14:paraId="2F77A84C" w14:textId="77777777" w:rsidR="005173CF" w:rsidRPr="001F2762" w:rsidRDefault="00954E20" w:rsidP="00A65231">
            <w:pPr>
              <w:pStyle w:val="ListParagraph"/>
              <w:numPr>
                <w:ilvl w:val="0"/>
                <w:numId w:val="3"/>
              </w:numPr>
              <w:rPr>
                <w:rFonts w:ascii="Calibri Light" w:hAnsi="Calibri Light"/>
                <w:lang w:val="es-PE"/>
              </w:rPr>
            </w:pPr>
            <w:r w:rsidRPr="001F2762">
              <w:rPr>
                <w:rFonts w:ascii="Calibri Light" w:hAnsi="Calibri Light"/>
                <w:lang w:val="es-PE"/>
              </w:rPr>
              <w:t>Fecha</w:t>
            </w:r>
            <w:r w:rsidR="007A6C56" w:rsidRPr="001F2762">
              <w:rPr>
                <w:rFonts w:ascii="Calibri Light" w:hAnsi="Calibri Light"/>
                <w:lang w:val="es-PE"/>
              </w:rPr>
              <w:t xml:space="preserve"> </w:t>
            </w:r>
          </w:p>
        </w:tc>
        <w:tc>
          <w:tcPr>
            <w:tcW w:w="5044" w:type="dxa"/>
            <w:gridSpan w:val="2"/>
          </w:tcPr>
          <w:p w14:paraId="1C803DF5" w14:textId="58B00787" w:rsidR="005173CF" w:rsidRPr="001F2762" w:rsidRDefault="00290BCB"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29 de julio de 2016</w:t>
            </w:r>
            <w:r w:rsidR="00954E20" w:rsidRPr="001F2762">
              <w:rPr>
                <w:rFonts w:ascii="Calibri Light" w:hAnsi="Calibri Light"/>
                <w:lang w:val="es-PE"/>
              </w:rPr>
              <w:t xml:space="preserve"> </w:t>
            </w:r>
          </w:p>
        </w:tc>
      </w:tr>
      <w:tr w:rsidR="004533E5" w:rsidRPr="001F2762" w14:paraId="1A0D058F" w14:textId="77777777" w:rsidTr="003F161D">
        <w:trPr>
          <w:trHeight w:val="388"/>
        </w:trPr>
        <w:tc>
          <w:tcPr>
            <w:cnfStyle w:val="001000000000" w:firstRow="0" w:lastRow="0" w:firstColumn="1" w:lastColumn="0" w:oddVBand="0" w:evenVBand="0" w:oddHBand="0" w:evenHBand="0" w:firstRowFirstColumn="0" w:firstRowLastColumn="0" w:lastRowFirstColumn="0" w:lastRowLastColumn="0"/>
            <w:tcW w:w="3677" w:type="dxa"/>
          </w:tcPr>
          <w:p w14:paraId="661C9E19" w14:textId="1119002C" w:rsidR="005173CF" w:rsidRPr="001F2762" w:rsidRDefault="00BB61C6" w:rsidP="00A65231">
            <w:pPr>
              <w:pStyle w:val="ListParagraph"/>
              <w:numPr>
                <w:ilvl w:val="0"/>
                <w:numId w:val="3"/>
              </w:numPr>
              <w:rPr>
                <w:rFonts w:ascii="Calibri Light" w:hAnsi="Calibri Light"/>
                <w:lang w:val="es-PE"/>
              </w:rPr>
            </w:pPr>
            <w:r w:rsidRPr="001F2762">
              <w:rPr>
                <w:rFonts w:ascii="Calibri Light" w:hAnsi="Calibri Light"/>
                <w:lang w:val="es-PE"/>
              </w:rPr>
              <w:t>Decisiones de la CIDH</w:t>
            </w:r>
            <w:r w:rsidR="007A6C56" w:rsidRPr="001F2762">
              <w:rPr>
                <w:rFonts w:ascii="Calibri Light" w:hAnsi="Calibri Light"/>
                <w:lang w:val="es-PE"/>
              </w:rPr>
              <w:t xml:space="preserve"> </w:t>
            </w:r>
            <w:r w:rsidR="00DD3C7C" w:rsidRPr="001F2762">
              <w:rPr>
                <w:rFonts w:ascii="Calibri Light" w:hAnsi="Calibri Light"/>
                <w:lang w:val="es-PE"/>
              </w:rPr>
              <w:t xml:space="preserve">y/o la Corte IDH, </w:t>
            </w:r>
            <w:r w:rsidR="007A6C56" w:rsidRPr="001F2762">
              <w:rPr>
                <w:rFonts w:ascii="Calibri Light" w:hAnsi="Calibri Light"/>
                <w:lang w:val="es-PE"/>
              </w:rPr>
              <w:t>relacionadas</w:t>
            </w:r>
          </w:p>
        </w:tc>
        <w:tc>
          <w:tcPr>
            <w:tcW w:w="5044" w:type="dxa"/>
            <w:gridSpan w:val="2"/>
          </w:tcPr>
          <w:p w14:paraId="15A49580" w14:textId="77777777" w:rsidR="00AC6F31" w:rsidRPr="001F2762" w:rsidRDefault="00721CC8" w:rsidP="004137D3">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Informe No. 154/10</w:t>
            </w:r>
            <w:r w:rsidR="004137D3" w:rsidRPr="001F2762">
              <w:rPr>
                <w:rFonts w:ascii="Calibri Light" w:hAnsi="Calibri Light"/>
                <w:lang w:val="es-PE"/>
              </w:rPr>
              <w:t xml:space="preserve"> (</w:t>
            </w:r>
            <w:hyperlink r:id="rId13" w:history="1">
              <w:r w:rsidR="004137D3" w:rsidRPr="001F2762">
                <w:rPr>
                  <w:rStyle w:val="Hyperlink"/>
                  <w:rFonts w:ascii="Calibri Light" w:hAnsi="Calibri Light"/>
                  <w:lang w:val="es-PE"/>
                </w:rPr>
                <w:t>Admisibilidad</w:t>
              </w:r>
            </w:hyperlink>
            <w:r w:rsidR="004137D3" w:rsidRPr="001F2762">
              <w:rPr>
                <w:rFonts w:ascii="Calibri Light" w:hAnsi="Calibri Light"/>
                <w:lang w:val="es-PE"/>
              </w:rPr>
              <w:t>)</w:t>
            </w:r>
          </w:p>
          <w:p w14:paraId="72EA1AA4" w14:textId="353E69CA" w:rsidR="00AF29E1" w:rsidRPr="001F2762" w:rsidRDefault="00AF29E1" w:rsidP="004137D3">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Caso López Soto y otros vs. Venezuela (</w:t>
            </w:r>
            <w:hyperlink r:id="rId14" w:history="1">
              <w:r w:rsidRPr="001F2762">
                <w:rPr>
                  <w:rStyle w:val="Hyperlink"/>
                  <w:rFonts w:ascii="Calibri Light" w:hAnsi="Calibri Light"/>
                  <w:lang w:val="es-PE"/>
                </w:rPr>
                <w:t>Sentencia de 26 de septiembre de 2018</w:t>
              </w:r>
            </w:hyperlink>
            <w:r w:rsidRPr="001F2762">
              <w:rPr>
                <w:rFonts w:ascii="Calibri Light" w:hAnsi="Calibri Light"/>
                <w:lang w:val="es-PE"/>
              </w:rPr>
              <w:t>)</w:t>
            </w:r>
          </w:p>
        </w:tc>
      </w:tr>
      <w:tr w:rsidR="00B36035" w:rsidRPr="001F2762" w14:paraId="570485B4" w14:textId="77777777" w:rsidTr="00AF29E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677" w:type="dxa"/>
            <w:vMerge w:val="restart"/>
          </w:tcPr>
          <w:p w14:paraId="5ECD9D0B" w14:textId="77777777" w:rsidR="00B36035" w:rsidRPr="001F2762" w:rsidRDefault="00B36035" w:rsidP="005F6BAD">
            <w:pPr>
              <w:pStyle w:val="ListParagraph"/>
              <w:ind w:left="360"/>
              <w:rPr>
                <w:rFonts w:ascii="Calibri Light" w:hAnsi="Calibri Light"/>
                <w:lang w:val="es-PE"/>
              </w:rPr>
            </w:pPr>
          </w:p>
          <w:p w14:paraId="110EA83C" w14:textId="77777777" w:rsidR="00B36035" w:rsidRPr="001F2762" w:rsidRDefault="00B36035" w:rsidP="005F6BAD">
            <w:pPr>
              <w:pStyle w:val="ListParagraph"/>
              <w:ind w:left="360"/>
              <w:rPr>
                <w:rFonts w:ascii="Calibri Light" w:hAnsi="Calibri Light"/>
                <w:lang w:val="es-PE"/>
              </w:rPr>
            </w:pPr>
          </w:p>
          <w:p w14:paraId="7A58B539" w14:textId="77777777" w:rsidR="00B36035" w:rsidRPr="001F2762" w:rsidRDefault="00B36035" w:rsidP="005F6BAD">
            <w:pPr>
              <w:pStyle w:val="ListParagraph"/>
              <w:ind w:left="360"/>
              <w:rPr>
                <w:rFonts w:ascii="Calibri Light" w:hAnsi="Calibri Light"/>
                <w:lang w:val="es-PE"/>
              </w:rPr>
            </w:pPr>
          </w:p>
          <w:p w14:paraId="382D4B16" w14:textId="77777777" w:rsidR="00B36035" w:rsidRPr="001F2762" w:rsidRDefault="00B36035" w:rsidP="005F6BAD">
            <w:pPr>
              <w:pStyle w:val="ListParagraph"/>
              <w:ind w:left="360"/>
              <w:rPr>
                <w:rFonts w:ascii="Calibri Light" w:hAnsi="Calibri Light"/>
                <w:lang w:val="es-PE"/>
              </w:rPr>
            </w:pPr>
          </w:p>
          <w:p w14:paraId="3379BF2C" w14:textId="77777777" w:rsidR="00B36035" w:rsidRPr="001F2762" w:rsidRDefault="00B36035" w:rsidP="005F6BAD">
            <w:pPr>
              <w:pStyle w:val="ListParagraph"/>
              <w:ind w:left="360"/>
              <w:rPr>
                <w:rFonts w:ascii="Calibri Light" w:hAnsi="Calibri Light"/>
                <w:lang w:val="es-PE"/>
              </w:rPr>
            </w:pPr>
          </w:p>
          <w:p w14:paraId="2461CBE8" w14:textId="32CAA975" w:rsidR="00B36035" w:rsidRPr="001F2762" w:rsidRDefault="00B36035" w:rsidP="00C9309C">
            <w:pPr>
              <w:pStyle w:val="ListParagraph"/>
              <w:ind w:left="360"/>
              <w:rPr>
                <w:rFonts w:ascii="Calibri Light" w:hAnsi="Calibri Light"/>
                <w:lang w:val="es-PE"/>
              </w:rPr>
            </w:pPr>
            <w:r w:rsidRPr="001F2762">
              <w:rPr>
                <w:rFonts w:ascii="Calibri Light" w:hAnsi="Calibri Light"/>
                <w:lang w:val="es-PE"/>
              </w:rPr>
              <w:t xml:space="preserve"> </w:t>
            </w:r>
          </w:p>
          <w:p w14:paraId="56D85554" w14:textId="77777777" w:rsidR="00B36035" w:rsidRPr="001F2762" w:rsidRDefault="00B36035" w:rsidP="005F6BAD">
            <w:pPr>
              <w:pStyle w:val="ListParagraph"/>
              <w:ind w:left="360"/>
              <w:rPr>
                <w:rFonts w:ascii="Calibri Light" w:hAnsi="Calibri Light"/>
                <w:lang w:val="es-PE"/>
              </w:rPr>
            </w:pPr>
          </w:p>
          <w:p w14:paraId="3CA65CBD" w14:textId="77777777" w:rsidR="00B36035" w:rsidRPr="001F2762" w:rsidRDefault="00B36035" w:rsidP="005F6BAD">
            <w:pPr>
              <w:pStyle w:val="ListParagraph"/>
              <w:ind w:left="360"/>
              <w:rPr>
                <w:rFonts w:ascii="Calibri Light" w:hAnsi="Calibri Light"/>
                <w:lang w:val="es-PE"/>
              </w:rPr>
            </w:pPr>
          </w:p>
          <w:p w14:paraId="3FCF8D6E" w14:textId="568477D0" w:rsidR="00B36035" w:rsidRPr="001F2762" w:rsidRDefault="00B36035" w:rsidP="00A65231">
            <w:pPr>
              <w:pStyle w:val="ListParagraph"/>
              <w:numPr>
                <w:ilvl w:val="0"/>
                <w:numId w:val="3"/>
              </w:numPr>
              <w:rPr>
                <w:rFonts w:ascii="Calibri Light" w:hAnsi="Calibri Light"/>
                <w:lang w:val="es-PE"/>
              </w:rPr>
            </w:pPr>
            <w:r w:rsidRPr="001F2762">
              <w:rPr>
                <w:rFonts w:ascii="Calibri Light" w:hAnsi="Calibri Light"/>
                <w:lang w:val="es-PE"/>
              </w:rPr>
              <w:t>Artículos analizados</w:t>
            </w:r>
          </w:p>
        </w:tc>
        <w:tc>
          <w:tcPr>
            <w:tcW w:w="5044" w:type="dxa"/>
            <w:gridSpan w:val="2"/>
          </w:tcPr>
          <w:p w14:paraId="18718B95" w14:textId="27DE96AF" w:rsidR="00B36035" w:rsidRPr="001F2762" w:rsidRDefault="00B36035"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Convención</w:t>
            </w:r>
            <w:r w:rsidR="003F161D" w:rsidRPr="001F2762">
              <w:rPr>
                <w:rFonts w:ascii="Calibri Light" w:hAnsi="Calibri Light"/>
                <w:lang w:val="es-PE"/>
              </w:rPr>
              <w:t xml:space="preserve"> Americana sobre </w:t>
            </w:r>
            <w:r w:rsidRPr="001F2762">
              <w:rPr>
                <w:rFonts w:ascii="Calibri Light" w:hAnsi="Calibri Light"/>
                <w:lang w:val="es-PE"/>
              </w:rPr>
              <w:t>Derechos Humanos</w:t>
            </w:r>
          </w:p>
        </w:tc>
      </w:tr>
      <w:tr w:rsidR="00B36035" w:rsidRPr="001F2762" w14:paraId="6A535D53" w14:textId="6F37377B" w:rsidTr="007C457D">
        <w:trPr>
          <w:trHeight w:val="177"/>
        </w:trPr>
        <w:tc>
          <w:tcPr>
            <w:cnfStyle w:val="001000000000" w:firstRow="0" w:lastRow="0" w:firstColumn="1" w:lastColumn="0" w:oddVBand="0" w:evenVBand="0" w:oddHBand="0" w:evenHBand="0" w:firstRowFirstColumn="0" w:firstRowLastColumn="0" w:lastRowFirstColumn="0" w:lastRowLastColumn="0"/>
            <w:tcW w:w="3677" w:type="dxa"/>
            <w:vMerge/>
          </w:tcPr>
          <w:p w14:paraId="39E324B5"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5A041981" w14:textId="66643746" w:rsidR="00B36035" w:rsidRPr="001F2762" w:rsidRDefault="004137D3"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declarados violados</w:t>
            </w:r>
          </w:p>
        </w:tc>
        <w:tc>
          <w:tcPr>
            <w:tcW w:w="2658" w:type="dxa"/>
          </w:tcPr>
          <w:p w14:paraId="34586E28" w14:textId="2DA96DEB" w:rsidR="00B36035" w:rsidRPr="001F2762" w:rsidRDefault="004137D3" w:rsidP="00B7620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no declarados violados</w:t>
            </w:r>
          </w:p>
        </w:tc>
      </w:tr>
      <w:tr w:rsidR="00C9309C" w:rsidRPr="001F2762" w14:paraId="66C676A0" w14:textId="6D7E057D" w:rsidTr="003F16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677" w:type="dxa"/>
            <w:vMerge/>
          </w:tcPr>
          <w:p w14:paraId="7728C728"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5506CB4D" w14:textId="6086EE0A" w:rsidR="00B36035" w:rsidRPr="00203815" w:rsidRDefault="00B36035" w:rsidP="003F161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203815">
              <w:rPr>
                <w:rFonts w:ascii="Calibri Light" w:hAnsi="Calibri Light"/>
                <w:lang w:val="en-US"/>
              </w:rPr>
              <w:t xml:space="preserve">Art. </w:t>
            </w:r>
            <w:r w:rsidR="00AF29E1" w:rsidRPr="00203815">
              <w:rPr>
                <w:rFonts w:ascii="Calibri Light" w:hAnsi="Calibri Light"/>
                <w:lang w:val="en-US"/>
              </w:rPr>
              <w:t xml:space="preserve">1, art. </w:t>
            </w:r>
            <w:r w:rsidRPr="00203815">
              <w:rPr>
                <w:rFonts w:ascii="Calibri Light" w:hAnsi="Calibri Light"/>
                <w:lang w:val="en-US"/>
              </w:rPr>
              <w:t>5</w:t>
            </w:r>
            <w:r w:rsidR="00C9309C" w:rsidRPr="00203815">
              <w:rPr>
                <w:rFonts w:ascii="Calibri Light" w:hAnsi="Calibri Light"/>
                <w:lang w:val="en-US"/>
              </w:rPr>
              <w:t>, a</w:t>
            </w:r>
            <w:r w:rsidRPr="00203815">
              <w:rPr>
                <w:rFonts w:ascii="Calibri Light" w:hAnsi="Calibri Light"/>
                <w:lang w:val="en-US"/>
              </w:rPr>
              <w:t>rt. 7</w:t>
            </w:r>
            <w:r w:rsidR="00C9309C" w:rsidRPr="00203815">
              <w:rPr>
                <w:rFonts w:ascii="Calibri Light" w:hAnsi="Calibri Light"/>
                <w:lang w:val="en-US"/>
              </w:rPr>
              <w:t>, a</w:t>
            </w:r>
            <w:r w:rsidRPr="00203815">
              <w:rPr>
                <w:rFonts w:ascii="Calibri Light" w:hAnsi="Calibri Light"/>
                <w:lang w:val="en-US"/>
              </w:rPr>
              <w:t>rt. 8</w:t>
            </w:r>
            <w:r w:rsidR="00C9309C" w:rsidRPr="00203815">
              <w:rPr>
                <w:rFonts w:ascii="Calibri Light" w:hAnsi="Calibri Light"/>
                <w:lang w:val="en-US"/>
              </w:rPr>
              <w:t>, a</w:t>
            </w:r>
            <w:r w:rsidRPr="00203815">
              <w:rPr>
                <w:rFonts w:ascii="Calibri Light" w:hAnsi="Calibri Light"/>
                <w:lang w:val="en-US"/>
              </w:rPr>
              <w:t>rt. 1</w:t>
            </w:r>
            <w:r w:rsidR="00C9309C" w:rsidRPr="00203815">
              <w:rPr>
                <w:rFonts w:ascii="Calibri Light" w:hAnsi="Calibri Light"/>
                <w:lang w:val="en-US"/>
              </w:rPr>
              <w:t>1, a</w:t>
            </w:r>
            <w:r w:rsidRPr="00203815">
              <w:rPr>
                <w:rFonts w:ascii="Calibri Light" w:hAnsi="Calibri Light"/>
                <w:lang w:val="en-US"/>
              </w:rPr>
              <w:t>rt. 24</w:t>
            </w:r>
            <w:r w:rsidR="00C9309C" w:rsidRPr="00203815">
              <w:rPr>
                <w:rFonts w:ascii="Calibri Light" w:hAnsi="Calibri Light"/>
                <w:lang w:val="en-US"/>
              </w:rPr>
              <w:t>, a</w:t>
            </w:r>
            <w:r w:rsidRPr="00203815">
              <w:rPr>
                <w:rFonts w:ascii="Calibri Light" w:hAnsi="Calibri Light"/>
                <w:lang w:val="en-US"/>
              </w:rPr>
              <w:t>rt. 25</w:t>
            </w:r>
          </w:p>
        </w:tc>
        <w:tc>
          <w:tcPr>
            <w:tcW w:w="2658" w:type="dxa"/>
            <w:vAlign w:val="center"/>
          </w:tcPr>
          <w:p w14:paraId="16A5796F" w14:textId="310943C7" w:rsidR="00B36035" w:rsidRPr="001F2762" w:rsidRDefault="003F161D" w:rsidP="003F161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w:t>
            </w:r>
          </w:p>
        </w:tc>
      </w:tr>
      <w:tr w:rsidR="00B36035" w:rsidRPr="001F2762" w14:paraId="6B1D5476" w14:textId="77777777" w:rsidTr="007C457D">
        <w:trPr>
          <w:trHeight w:val="557"/>
        </w:trPr>
        <w:tc>
          <w:tcPr>
            <w:cnfStyle w:val="001000000000" w:firstRow="0" w:lastRow="0" w:firstColumn="1" w:lastColumn="0" w:oddVBand="0" w:evenVBand="0" w:oddHBand="0" w:evenHBand="0" w:firstRowFirstColumn="0" w:firstRowLastColumn="0" w:lastRowFirstColumn="0" w:lastRowLastColumn="0"/>
            <w:tcW w:w="3677" w:type="dxa"/>
            <w:vMerge/>
          </w:tcPr>
          <w:p w14:paraId="289118BC" w14:textId="417C5556" w:rsidR="00B36035" w:rsidRPr="001F2762" w:rsidRDefault="00B36035" w:rsidP="00A65231">
            <w:pPr>
              <w:pStyle w:val="ListParagraph"/>
              <w:numPr>
                <w:ilvl w:val="0"/>
                <w:numId w:val="3"/>
              </w:numPr>
              <w:rPr>
                <w:rFonts w:ascii="Calibri Light" w:hAnsi="Calibri Light"/>
                <w:lang w:val="es-PE"/>
              </w:rPr>
            </w:pPr>
          </w:p>
        </w:tc>
        <w:tc>
          <w:tcPr>
            <w:tcW w:w="5044" w:type="dxa"/>
            <w:gridSpan w:val="2"/>
          </w:tcPr>
          <w:p w14:paraId="616E9A2B" w14:textId="0C6FD3C0" w:rsidR="00B36035" w:rsidRPr="001F2762" w:rsidRDefault="00B36035"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Convención Interamericana para Prevenir, Sancionar y Erradicar la Violencia contra la Mujer</w:t>
            </w:r>
          </w:p>
        </w:tc>
      </w:tr>
      <w:tr w:rsidR="00B36035" w:rsidRPr="001F2762" w14:paraId="26DCD327" w14:textId="23A8CE99" w:rsidTr="007C457D">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3677" w:type="dxa"/>
            <w:vMerge/>
          </w:tcPr>
          <w:p w14:paraId="4CB04F59"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22E0D875" w14:textId="46D43B5C" w:rsidR="00B36035" w:rsidRPr="001F2762" w:rsidRDefault="004137D3"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declarados violados</w:t>
            </w:r>
          </w:p>
        </w:tc>
        <w:tc>
          <w:tcPr>
            <w:tcW w:w="2658" w:type="dxa"/>
          </w:tcPr>
          <w:p w14:paraId="1E0A8AFE" w14:textId="3A525890" w:rsidR="00B36035" w:rsidRPr="001F2762" w:rsidRDefault="004137D3"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no </w:t>
            </w:r>
            <w:r w:rsidRPr="001F2762">
              <w:rPr>
                <w:rFonts w:ascii="Calibri Light" w:hAnsi="Calibri Light"/>
                <w:lang w:val="es-PE"/>
              </w:rPr>
              <w:t>declarados</w:t>
            </w:r>
            <w:r w:rsidR="00B36035" w:rsidRPr="001F2762">
              <w:rPr>
                <w:rFonts w:ascii="Calibri Light" w:hAnsi="Calibri Light"/>
                <w:lang w:val="es-PE"/>
              </w:rPr>
              <w:t xml:space="preserve"> violados</w:t>
            </w:r>
          </w:p>
        </w:tc>
      </w:tr>
      <w:tr w:rsidR="00B36035" w:rsidRPr="001F2762" w14:paraId="3333A1A9" w14:textId="77777777" w:rsidTr="00AF29E1">
        <w:trPr>
          <w:trHeight w:val="95"/>
        </w:trPr>
        <w:tc>
          <w:tcPr>
            <w:cnfStyle w:val="001000000000" w:firstRow="0" w:lastRow="0" w:firstColumn="1" w:lastColumn="0" w:oddVBand="0" w:evenVBand="0" w:oddHBand="0" w:evenHBand="0" w:firstRowFirstColumn="0" w:firstRowLastColumn="0" w:lastRowFirstColumn="0" w:lastRowLastColumn="0"/>
            <w:tcW w:w="3677" w:type="dxa"/>
            <w:vMerge/>
          </w:tcPr>
          <w:p w14:paraId="1B4D9FBE"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0BF5F6D8" w14:textId="4C04B1D6" w:rsidR="00B36035" w:rsidRPr="001F2762" w:rsidRDefault="00B36035"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Art. 7</w:t>
            </w:r>
          </w:p>
        </w:tc>
        <w:tc>
          <w:tcPr>
            <w:tcW w:w="2658" w:type="dxa"/>
          </w:tcPr>
          <w:p w14:paraId="760B867F" w14:textId="731F8880" w:rsidR="00B36035" w:rsidRPr="001F2762" w:rsidRDefault="003F161D" w:rsidP="003F161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w:t>
            </w:r>
          </w:p>
        </w:tc>
      </w:tr>
      <w:tr w:rsidR="00B36035" w:rsidRPr="001F2762" w14:paraId="0988F525" w14:textId="51EEB701" w:rsidTr="007C457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677" w:type="dxa"/>
            <w:vMerge/>
          </w:tcPr>
          <w:p w14:paraId="2F3CFBD7" w14:textId="77777777" w:rsidR="00B36035" w:rsidRPr="001F2762" w:rsidRDefault="00B36035" w:rsidP="00A65231">
            <w:pPr>
              <w:pStyle w:val="ListParagraph"/>
              <w:numPr>
                <w:ilvl w:val="0"/>
                <w:numId w:val="3"/>
              </w:numPr>
              <w:rPr>
                <w:rFonts w:ascii="Calibri Light" w:hAnsi="Calibri Light"/>
                <w:lang w:val="es-PE"/>
              </w:rPr>
            </w:pPr>
          </w:p>
        </w:tc>
        <w:tc>
          <w:tcPr>
            <w:tcW w:w="5044" w:type="dxa"/>
            <w:gridSpan w:val="2"/>
          </w:tcPr>
          <w:p w14:paraId="4DEF81CC" w14:textId="177D80F7" w:rsidR="00B36035" w:rsidRPr="001F2762" w:rsidRDefault="00B36035"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Convención Interamericana para Prevenir y Sancionar la Tortura</w:t>
            </w:r>
          </w:p>
        </w:tc>
      </w:tr>
      <w:tr w:rsidR="00B36035" w:rsidRPr="001F2762" w14:paraId="2BA59F0A" w14:textId="77777777" w:rsidTr="007C457D">
        <w:trPr>
          <w:trHeight w:val="360"/>
        </w:trPr>
        <w:tc>
          <w:tcPr>
            <w:cnfStyle w:val="001000000000" w:firstRow="0" w:lastRow="0" w:firstColumn="1" w:lastColumn="0" w:oddVBand="0" w:evenVBand="0" w:oddHBand="0" w:evenHBand="0" w:firstRowFirstColumn="0" w:firstRowLastColumn="0" w:lastRowFirstColumn="0" w:lastRowLastColumn="0"/>
            <w:tcW w:w="3677" w:type="dxa"/>
            <w:vMerge/>
          </w:tcPr>
          <w:p w14:paraId="3D6574A1"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78381795" w14:textId="041C5F1D" w:rsidR="00B36035" w:rsidRPr="001F2762" w:rsidRDefault="004137D3"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declarados violados</w:t>
            </w:r>
          </w:p>
        </w:tc>
        <w:tc>
          <w:tcPr>
            <w:tcW w:w="2658" w:type="dxa"/>
          </w:tcPr>
          <w:p w14:paraId="1AEDB0D5" w14:textId="4F7983FF" w:rsidR="00B36035" w:rsidRPr="001F2762" w:rsidRDefault="004137D3" w:rsidP="004133FB">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no declarados violados</w:t>
            </w:r>
          </w:p>
        </w:tc>
      </w:tr>
      <w:tr w:rsidR="00B36035" w:rsidRPr="001F2762" w14:paraId="304DA689" w14:textId="77777777" w:rsidTr="003F161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77" w:type="dxa"/>
            <w:vMerge/>
          </w:tcPr>
          <w:p w14:paraId="4F37487C"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16E4A44D" w14:textId="50D73384" w:rsidR="00B36035" w:rsidRPr="001F2762" w:rsidRDefault="00B36035"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Art. 1</w:t>
            </w:r>
            <w:r w:rsidR="00C9309C" w:rsidRPr="001F2762">
              <w:rPr>
                <w:rFonts w:ascii="Calibri Light" w:hAnsi="Calibri Light"/>
                <w:lang w:val="es-PE"/>
              </w:rPr>
              <w:t>, a</w:t>
            </w:r>
            <w:r w:rsidRPr="001F2762">
              <w:rPr>
                <w:rFonts w:ascii="Calibri Light" w:hAnsi="Calibri Light"/>
                <w:lang w:val="es-PE"/>
              </w:rPr>
              <w:t>rt. 6</w:t>
            </w:r>
            <w:r w:rsidR="00C9309C" w:rsidRPr="001F2762">
              <w:rPr>
                <w:rFonts w:ascii="Calibri Light" w:hAnsi="Calibri Light"/>
                <w:lang w:val="es-PE"/>
              </w:rPr>
              <w:t>, a</w:t>
            </w:r>
            <w:r w:rsidRPr="001F2762">
              <w:rPr>
                <w:rFonts w:ascii="Calibri Light" w:hAnsi="Calibri Light"/>
                <w:lang w:val="es-PE"/>
              </w:rPr>
              <w:t>rt. 8</w:t>
            </w:r>
          </w:p>
        </w:tc>
        <w:tc>
          <w:tcPr>
            <w:tcW w:w="2658" w:type="dxa"/>
          </w:tcPr>
          <w:p w14:paraId="5C7FDCFC" w14:textId="6085A12C" w:rsidR="00B36035" w:rsidRPr="001F2762" w:rsidRDefault="003F161D" w:rsidP="003F161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w:t>
            </w:r>
          </w:p>
        </w:tc>
      </w:tr>
      <w:tr w:rsidR="00B36035" w:rsidRPr="001F2762" w14:paraId="4469A2DE" w14:textId="77777777" w:rsidTr="007C457D">
        <w:trPr>
          <w:trHeight w:val="520"/>
        </w:trPr>
        <w:tc>
          <w:tcPr>
            <w:cnfStyle w:val="001000000000" w:firstRow="0" w:lastRow="0" w:firstColumn="1" w:lastColumn="0" w:oddVBand="0" w:evenVBand="0" w:oddHBand="0" w:evenHBand="0" w:firstRowFirstColumn="0" w:firstRowLastColumn="0" w:lastRowFirstColumn="0" w:lastRowLastColumn="0"/>
            <w:tcW w:w="3677" w:type="dxa"/>
            <w:vMerge/>
          </w:tcPr>
          <w:p w14:paraId="16EE2B2F" w14:textId="77777777" w:rsidR="00B36035" w:rsidRPr="001F2762" w:rsidRDefault="00B36035" w:rsidP="00A65231">
            <w:pPr>
              <w:pStyle w:val="ListParagraph"/>
              <w:numPr>
                <w:ilvl w:val="0"/>
                <w:numId w:val="3"/>
              </w:numPr>
              <w:rPr>
                <w:rFonts w:ascii="Calibri Light" w:hAnsi="Calibri Light"/>
                <w:lang w:val="es-PE"/>
              </w:rPr>
            </w:pPr>
          </w:p>
        </w:tc>
        <w:tc>
          <w:tcPr>
            <w:tcW w:w="5044" w:type="dxa"/>
            <w:gridSpan w:val="2"/>
          </w:tcPr>
          <w:p w14:paraId="4C5A6F38" w14:textId="03C9AAC7" w:rsidR="00B36035" w:rsidRPr="001F2762" w:rsidRDefault="00B36035"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 xml:space="preserve">Declaración </w:t>
            </w:r>
            <w:r w:rsidR="004137D3" w:rsidRPr="001F2762">
              <w:rPr>
                <w:rFonts w:ascii="Calibri Light" w:hAnsi="Calibri Light"/>
                <w:lang w:val="es-PE"/>
              </w:rPr>
              <w:t>Americana</w:t>
            </w:r>
            <w:r w:rsidRPr="001F2762">
              <w:rPr>
                <w:rFonts w:ascii="Calibri Light" w:hAnsi="Calibri Light"/>
                <w:lang w:val="es-PE"/>
              </w:rPr>
              <w:t xml:space="preserve"> de los Derechos y Deberes del Hombre</w:t>
            </w:r>
          </w:p>
        </w:tc>
      </w:tr>
      <w:tr w:rsidR="00B36035" w:rsidRPr="001F2762" w14:paraId="68605304" w14:textId="77777777" w:rsidTr="007C457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7" w:type="dxa"/>
            <w:vMerge/>
          </w:tcPr>
          <w:p w14:paraId="26E99346"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69C3A0D2" w14:textId="6AA93F4D" w:rsidR="00B36035" w:rsidRPr="001F2762" w:rsidRDefault="004137D3"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declarados violados</w:t>
            </w:r>
          </w:p>
        </w:tc>
        <w:tc>
          <w:tcPr>
            <w:tcW w:w="2658" w:type="dxa"/>
          </w:tcPr>
          <w:p w14:paraId="10FD8191" w14:textId="46A099E8" w:rsidR="00B36035" w:rsidRPr="001F2762" w:rsidRDefault="004137D3" w:rsidP="00B7620C">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1F2762">
              <w:rPr>
                <w:rFonts w:ascii="Calibri Light" w:hAnsi="Calibri Light"/>
                <w:lang w:val="es-PE"/>
              </w:rPr>
              <w:t>Artículos</w:t>
            </w:r>
            <w:r w:rsidR="00B36035" w:rsidRPr="001F2762">
              <w:rPr>
                <w:rFonts w:ascii="Calibri Light" w:hAnsi="Calibri Light"/>
                <w:lang w:val="es-PE"/>
              </w:rPr>
              <w:t xml:space="preserve"> analizados no </w:t>
            </w:r>
            <w:r w:rsidRPr="001F2762">
              <w:rPr>
                <w:rFonts w:ascii="Calibri Light" w:hAnsi="Calibri Light"/>
                <w:lang w:val="es-PE"/>
              </w:rPr>
              <w:t>declarados</w:t>
            </w:r>
            <w:r w:rsidR="00B36035" w:rsidRPr="001F2762">
              <w:rPr>
                <w:rFonts w:ascii="Calibri Light" w:hAnsi="Calibri Light"/>
                <w:lang w:val="es-PE"/>
              </w:rPr>
              <w:t xml:space="preserve"> violados</w:t>
            </w:r>
          </w:p>
        </w:tc>
      </w:tr>
      <w:tr w:rsidR="00B36035" w:rsidRPr="001F2762" w14:paraId="63556C39" w14:textId="77777777" w:rsidTr="007C457D">
        <w:trPr>
          <w:trHeight w:val="67"/>
        </w:trPr>
        <w:tc>
          <w:tcPr>
            <w:cnfStyle w:val="001000000000" w:firstRow="0" w:lastRow="0" w:firstColumn="1" w:lastColumn="0" w:oddVBand="0" w:evenVBand="0" w:oddHBand="0" w:evenHBand="0" w:firstRowFirstColumn="0" w:firstRowLastColumn="0" w:lastRowFirstColumn="0" w:lastRowLastColumn="0"/>
            <w:tcW w:w="3677" w:type="dxa"/>
            <w:vMerge/>
          </w:tcPr>
          <w:p w14:paraId="304D0818" w14:textId="77777777" w:rsidR="00B36035" w:rsidRPr="001F2762" w:rsidRDefault="00B36035" w:rsidP="00A65231">
            <w:pPr>
              <w:pStyle w:val="ListParagraph"/>
              <w:numPr>
                <w:ilvl w:val="0"/>
                <w:numId w:val="3"/>
              </w:numPr>
              <w:rPr>
                <w:rFonts w:ascii="Calibri Light" w:hAnsi="Calibri Light"/>
                <w:lang w:val="es-PE"/>
              </w:rPr>
            </w:pPr>
          </w:p>
        </w:tc>
        <w:tc>
          <w:tcPr>
            <w:tcW w:w="2386" w:type="dxa"/>
          </w:tcPr>
          <w:p w14:paraId="163C4F8C" w14:textId="10267487" w:rsidR="00B36035" w:rsidRPr="001F2762" w:rsidRDefault="00B36035"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Art. XVIII</w:t>
            </w:r>
          </w:p>
        </w:tc>
        <w:tc>
          <w:tcPr>
            <w:tcW w:w="2658" w:type="dxa"/>
          </w:tcPr>
          <w:p w14:paraId="22C464A2" w14:textId="664BE97C" w:rsidR="00B36035" w:rsidRPr="001F2762" w:rsidRDefault="003F161D" w:rsidP="003F161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1F2762">
              <w:rPr>
                <w:rFonts w:ascii="Calibri Light" w:hAnsi="Calibri Light"/>
                <w:lang w:val="es-PE"/>
              </w:rPr>
              <w:t>-</w:t>
            </w:r>
          </w:p>
        </w:tc>
      </w:tr>
      <w:tr w:rsidR="005173CF" w:rsidRPr="001F2762" w14:paraId="54B7813B" w14:textId="77777777" w:rsidTr="007C457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2C88C96A" w:rsidR="00AC6F31" w:rsidRPr="001F2762" w:rsidRDefault="00AC6F31" w:rsidP="00AC6F31">
            <w:pPr>
              <w:pStyle w:val="ListParagraph"/>
              <w:rPr>
                <w:rFonts w:ascii="Calibri Light" w:hAnsi="Calibri Light"/>
                <w:lang w:val="es-PE"/>
              </w:rPr>
            </w:pPr>
          </w:p>
          <w:p w14:paraId="1ECE5967" w14:textId="77777777" w:rsidR="005173CF" w:rsidRPr="001F2762" w:rsidRDefault="007A6C56" w:rsidP="0029671B">
            <w:pPr>
              <w:pStyle w:val="ListParagraph"/>
              <w:numPr>
                <w:ilvl w:val="0"/>
                <w:numId w:val="2"/>
              </w:numPr>
              <w:jc w:val="center"/>
              <w:rPr>
                <w:rFonts w:ascii="Calibri Light" w:hAnsi="Calibri Light"/>
                <w:lang w:val="es-PE"/>
              </w:rPr>
            </w:pPr>
            <w:r w:rsidRPr="001F2762">
              <w:rPr>
                <w:rFonts w:ascii="Calibri Light" w:hAnsi="Calibri Light"/>
                <w:lang w:val="es-PE"/>
              </w:rPr>
              <w:t>Sumilla</w:t>
            </w:r>
          </w:p>
          <w:p w14:paraId="009AFBB8" w14:textId="77777777" w:rsidR="00AC6F31" w:rsidRPr="001F2762" w:rsidRDefault="00AC6F31" w:rsidP="00AC6F31">
            <w:pPr>
              <w:pStyle w:val="ListParagraph"/>
              <w:rPr>
                <w:rFonts w:ascii="Calibri Light" w:hAnsi="Calibri Light"/>
                <w:lang w:val="es-PE"/>
              </w:rPr>
            </w:pPr>
          </w:p>
        </w:tc>
      </w:tr>
      <w:tr w:rsidR="007A6C56" w:rsidRPr="001F2762" w14:paraId="6B670455" w14:textId="77777777" w:rsidTr="007C457D">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Pr="001F2762" w:rsidRDefault="00AC6F31" w:rsidP="00931244">
            <w:pPr>
              <w:jc w:val="both"/>
              <w:rPr>
                <w:rFonts w:ascii="Calibri Light" w:hAnsi="Calibri Light"/>
                <w:b w:val="0"/>
                <w:lang w:val="es-PE"/>
              </w:rPr>
            </w:pPr>
          </w:p>
          <w:p w14:paraId="3A951167" w14:textId="549797C8" w:rsidR="007A6C56" w:rsidRPr="001F2762" w:rsidRDefault="0002460A" w:rsidP="00931244">
            <w:pPr>
              <w:jc w:val="both"/>
              <w:rPr>
                <w:rFonts w:ascii="Calibri Light" w:hAnsi="Calibri Light"/>
                <w:b w:val="0"/>
                <w:lang w:val="es-PE"/>
              </w:rPr>
            </w:pPr>
            <w:r w:rsidRPr="001F2762">
              <w:rPr>
                <w:rFonts w:ascii="Calibri Light" w:hAnsi="Calibri Light"/>
                <w:b w:val="0"/>
                <w:lang w:val="es-PE"/>
              </w:rPr>
              <w:t xml:space="preserve">El caso trata sobre el </w:t>
            </w:r>
            <w:r w:rsidR="00A604ED" w:rsidRPr="001F2762">
              <w:rPr>
                <w:rFonts w:ascii="Calibri Light" w:hAnsi="Calibri Light"/>
                <w:b w:val="0"/>
                <w:lang w:val="es-PE"/>
              </w:rPr>
              <w:t>secuestro</w:t>
            </w:r>
            <w:r w:rsidRPr="001F2762">
              <w:rPr>
                <w:rFonts w:ascii="Calibri Light" w:hAnsi="Calibri Light"/>
                <w:b w:val="0"/>
                <w:lang w:val="es-PE"/>
              </w:rPr>
              <w:t xml:space="preserve"> de Linda Loaiza López</w:t>
            </w:r>
            <w:r w:rsidR="007C2274" w:rsidRPr="001F2762">
              <w:rPr>
                <w:rFonts w:ascii="Calibri Light" w:hAnsi="Calibri Light"/>
                <w:b w:val="0"/>
                <w:lang w:val="es-PE"/>
              </w:rPr>
              <w:t xml:space="preserve"> </w:t>
            </w:r>
            <w:r w:rsidR="00381587" w:rsidRPr="001F2762">
              <w:rPr>
                <w:rFonts w:ascii="Calibri Light" w:hAnsi="Calibri Light"/>
                <w:b w:val="0"/>
                <w:lang w:val="es-PE"/>
              </w:rPr>
              <w:t>a manos de</w:t>
            </w:r>
            <w:r w:rsidR="007C2274" w:rsidRPr="001F2762">
              <w:rPr>
                <w:rFonts w:ascii="Calibri Light" w:hAnsi="Calibri Light"/>
                <w:b w:val="0"/>
                <w:lang w:val="es-PE"/>
              </w:rPr>
              <w:t xml:space="preserve"> un particular</w:t>
            </w:r>
            <w:r w:rsidR="00A604ED" w:rsidRPr="001F2762">
              <w:rPr>
                <w:rFonts w:ascii="Calibri Light" w:hAnsi="Calibri Light"/>
                <w:b w:val="0"/>
                <w:lang w:val="es-PE"/>
              </w:rPr>
              <w:t>,</w:t>
            </w:r>
            <w:r w:rsidRPr="001F2762">
              <w:rPr>
                <w:rFonts w:ascii="Calibri Light" w:hAnsi="Calibri Light"/>
                <w:b w:val="0"/>
                <w:lang w:val="es-PE"/>
              </w:rPr>
              <w:t xml:space="preserve"> y </w:t>
            </w:r>
            <w:r w:rsidR="007C2274" w:rsidRPr="001F2762">
              <w:rPr>
                <w:rFonts w:ascii="Calibri Light" w:hAnsi="Calibri Light"/>
                <w:b w:val="0"/>
                <w:lang w:val="es-PE"/>
              </w:rPr>
              <w:t xml:space="preserve">sobre </w:t>
            </w:r>
            <w:r w:rsidR="00A604ED" w:rsidRPr="001F2762">
              <w:rPr>
                <w:rFonts w:ascii="Calibri Light" w:hAnsi="Calibri Light"/>
                <w:b w:val="0"/>
                <w:lang w:val="es-PE"/>
              </w:rPr>
              <w:t>las falencias e irregularidades masivas en la investigación y el proceso judicial que siguieron</w:t>
            </w:r>
            <w:r w:rsidR="00381587" w:rsidRPr="001F2762">
              <w:rPr>
                <w:rFonts w:ascii="Calibri Light" w:hAnsi="Calibri Light"/>
                <w:b w:val="0"/>
                <w:lang w:val="es-PE"/>
              </w:rPr>
              <w:t xml:space="preserve"> por estos hechos</w:t>
            </w:r>
            <w:r w:rsidR="00A604ED" w:rsidRPr="001F2762">
              <w:rPr>
                <w:rFonts w:ascii="Calibri Light" w:hAnsi="Calibri Light"/>
                <w:b w:val="0"/>
                <w:lang w:val="es-PE"/>
              </w:rPr>
              <w:t xml:space="preserve">. Durante su privación de libertad, la </w:t>
            </w:r>
            <w:r w:rsidR="004137D3" w:rsidRPr="001F2762">
              <w:rPr>
                <w:rFonts w:ascii="Calibri Light" w:hAnsi="Calibri Light"/>
                <w:b w:val="0"/>
                <w:lang w:val="es-PE"/>
              </w:rPr>
              <w:t>señora</w:t>
            </w:r>
            <w:r w:rsidR="00A604ED" w:rsidRPr="001F2762">
              <w:rPr>
                <w:rFonts w:ascii="Calibri Light" w:hAnsi="Calibri Light"/>
                <w:b w:val="0"/>
                <w:lang w:val="es-PE"/>
              </w:rPr>
              <w:t xml:space="preserve"> López </w:t>
            </w:r>
            <w:r w:rsidR="0056056D" w:rsidRPr="001F2762">
              <w:rPr>
                <w:rFonts w:ascii="Calibri Light" w:hAnsi="Calibri Light"/>
                <w:b w:val="0"/>
                <w:lang w:val="es-PE"/>
              </w:rPr>
              <w:t>fue sometida</w:t>
            </w:r>
            <w:r w:rsidR="00965C31" w:rsidRPr="001F2762">
              <w:rPr>
                <w:rFonts w:ascii="Calibri Light" w:hAnsi="Calibri Light"/>
                <w:b w:val="0"/>
                <w:lang w:val="es-PE"/>
              </w:rPr>
              <w:t xml:space="preserve"> a abusos sexuales y diversas formas de violencia física y psicológica</w:t>
            </w:r>
            <w:r w:rsidR="00A604ED" w:rsidRPr="001F2762">
              <w:rPr>
                <w:rFonts w:ascii="Calibri Light" w:hAnsi="Calibri Light"/>
                <w:b w:val="0"/>
                <w:lang w:val="es-PE"/>
              </w:rPr>
              <w:t xml:space="preserve">. Adicionalmente, se precisan las faltas </w:t>
            </w:r>
            <w:r w:rsidR="001F29E8" w:rsidRPr="001F2762">
              <w:rPr>
                <w:rFonts w:ascii="Calibri Light" w:hAnsi="Calibri Light"/>
                <w:b w:val="0"/>
                <w:lang w:val="es-PE"/>
              </w:rPr>
              <w:t>existentes</w:t>
            </w:r>
            <w:r w:rsidR="00A604ED" w:rsidRPr="001F2762">
              <w:rPr>
                <w:rFonts w:ascii="Calibri Light" w:hAnsi="Calibri Light"/>
                <w:b w:val="0"/>
                <w:lang w:val="es-PE"/>
              </w:rPr>
              <w:t xml:space="preserve"> en el sistema judicial venezolano</w:t>
            </w:r>
            <w:r w:rsidR="00965C31" w:rsidRPr="001F2762">
              <w:rPr>
                <w:rFonts w:ascii="Calibri Light" w:hAnsi="Calibri Light"/>
                <w:b w:val="0"/>
                <w:lang w:val="es-PE"/>
              </w:rPr>
              <w:t xml:space="preserve"> y la impunidad resultante.</w:t>
            </w:r>
          </w:p>
          <w:p w14:paraId="1EE5A7E7" w14:textId="69048BF9" w:rsidR="00AC6F31" w:rsidRPr="001F2762" w:rsidRDefault="00AC6F31" w:rsidP="00931244">
            <w:pPr>
              <w:jc w:val="both"/>
              <w:rPr>
                <w:rFonts w:ascii="Calibri Light" w:hAnsi="Calibri Light"/>
                <w:b w:val="0"/>
                <w:lang w:val="es-PE"/>
              </w:rPr>
            </w:pPr>
          </w:p>
        </w:tc>
      </w:tr>
      <w:tr w:rsidR="007A6C56" w:rsidRPr="001F2762" w14:paraId="238A2196" w14:textId="77777777" w:rsidTr="007C457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Pr="001F2762" w:rsidRDefault="00AC6F31" w:rsidP="00AC6F31">
            <w:pPr>
              <w:pStyle w:val="ListParagraph"/>
              <w:rPr>
                <w:rFonts w:ascii="Calibri Light" w:hAnsi="Calibri Light"/>
                <w:lang w:val="es-PE"/>
              </w:rPr>
            </w:pPr>
          </w:p>
          <w:p w14:paraId="6E7AC4B8" w14:textId="77777777" w:rsidR="007A6C56" w:rsidRPr="001F2762" w:rsidRDefault="007A6C56" w:rsidP="0029671B">
            <w:pPr>
              <w:pStyle w:val="ListParagraph"/>
              <w:numPr>
                <w:ilvl w:val="0"/>
                <w:numId w:val="2"/>
              </w:numPr>
              <w:jc w:val="center"/>
              <w:rPr>
                <w:rFonts w:ascii="Calibri Light" w:hAnsi="Calibri Light"/>
                <w:lang w:val="es-PE"/>
              </w:rPr>
            </w:pPr>
            <w:r w:rsidRPr="001F2762">
              <w:rPr>
                <w:rFonts w:ascii="Calibri Light" w:hAnsi="Calibri Light"/>
                <w:lang w:val="es-PE"/>
              </w:rPr>
              <w:t>Palabras clave</w:t>
            </w:r>
          </w:p>
          <w:p w14:paraId="6A1E32A7" w14:textId="77777777" w:rsidR="00AC6F31" w:rsidRPr="001F2762" w:rsidRDefault="00AC6F31" w:rsidP="00AC6F31">
            <w:pPr>
              <w:pStyle w:val="ListParagraph"/>
              <w:rPr>
                <w:rFonts w:ascii="Calibri Light" w:hAnsi="Calibri Light"/>
                <w:lang w:val="es-PE"/>
              </w:rPr>
            </w:pPr>
          </w:p>
        </w:tc>
      </w:tr>
      <w:tr w:rsidR="007A6C56" w:rsidRPr="001F2762" w14:paraId="34AE2D45" w14:textId="77777777" w:rsidTr="007C457D">
        <w:trPr>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611A1841" w14:textId="77777777" w:rsidR="00AC6F31" w:rsidRPr="001F2762" w:rsidRDefault="00AC6F31" w:rsidP="005D4FDF">
            <w:pPr>
              <w:jc w:val="both"/>
              <w:rPr>
                <w:rFonts w:ascii="Calibri Light" w:hAnsi="Calibri Light"/>
                <w:b w:val="0"/>
                <w:lang w:val="es-PE"/>
              </w:rPr>
            </w:pPr>
          </w:p>
          <w:p w14:paraId="66034305" w14:textId="57D040AD" w:rsidR="000B68F1" w:rsidRPr="001F2762" w:rsidRDefault="001F2762" w:rsidP="00C9309C">
            <w:pPr>
              <w:jc w:val="both"/>
              <w:rPr>
                <w:rFonts w:ascii="Calibri Light" w:hAnsi="Calibri Light" w:cs="Calibri Light"/>
                <w:b w:val="0"/>
                <w:u w:val="single"/>
                <w:lang w:val="es-PE"/>
              </w:rPr>
            </w:pPr>
            <w:r>
              <w:rPr>
                <w:rFonts w:ascii="Calibri Light" w:hAnsi="Calibri Light" w:cs="Calibri Light"/>
                <w:b w:val="0"/>
                <w:lang w:val="es-PE"/>
              </w:rPr>
              <w:t>Belé</w:t>
            </w:r>
            <w:r w:rsidR="000B68F1" w:rsidRPr="001F2762">
              <w:rPr>
                <w:rFonts w:ascii="Calibri Light" w:hAnsi="Calibri Light" w:cs="Calibri Light"/>
                <w:b w:val="0"/>
                <w:lang w:val="es-PE"/>
              </w:rPr>
              <w:t>m do Pará</w:t>
            </w:r>
            <w:r w:rsidR="00C9309C" w:rsidRPr="001F2762">
              <w:rPr>
                <w:rFonts w:ascii="Calibri Light" w:hAnsi="Calibri Light" w:cs="Calibri Light"/>
                <w:b w:val="0"/>
                <w:lang w:val="es-PE"/>
              </w:rPr>
              <w:t>, DADDH</w:t>
            </w:r>
            <w:r w:rsidR="000B68F1" w:rsidRPr="001F2762">
              <w:rPr>
                <w:rFonts w:ascii="Calibri Light" w:hAnsi="Calibri Light" w:cs="Calibri Light"/>
                <w:b w:val="0"/>
                <w:lang w:val="es-PE"/>
              </w:rPr>
              <w:t xml:space="preserve">, CIPST, </w:t>
            </w:r>
            <w:r w:rsidR="00C9309C" w:rsidRPr="001F2762">
              <w:rPr>
                <w:rFonts w:ascii="Calibri Light" w:hAnsi="Calibri Light" w:cs="Calibri Light"/>
                <w:b w:val="0"/>
                <w:lang w:val="es-PE"/>
              </w:rPr>
              <w:t xml:space="preserve">Integridad personal, </w:t>
            </w:r>
            <w:r w:rsidR="000B68F1" w:rsidRPr="001F2762">
              <w:rPr>
                <w:rFonts w:ascii="Calibri Light" w:hAnsi="Calibri Light" w:cs="Calibri Light"/>
                <w:b w:val="0"/>
                <w:lang w:val="es-PE"/>
              </w:rPr>
              <w:t>Mujer</w:t>
            </w:r>
            <w:r w:rsidR="00C9309C" w:rsidRPr="001F2762">
              <w:rPr>
                <w:rFonts w:ascii="Calibri Light" w:hAnsi="Calibri Light" w:cs="Calibri Light"/>
                <w:b w:val="0"/>
                <w:lang w:val="es-PE"/>
              </w:rPr>
              <w:t>, Protección judicial y garantías judiciales</w:t>
            </w:r>
            <w:r w:rsidR="000B68F1" w:rsidRPr="001F2762">
              <w:rPr>
                <w:rFonts w:ascii="Calibri Light" w:hAnsi="Calibri Light" w:cs="Calibri Light"/>
                <w:b w:val="0"/>
                <w:lang w:val="es-PE"/>
              </w:rPr>
              <w:t xml:space="preserve">, Torturas tratos crueles inhumanos o degradantes, Violencia sexual </w:t>
            </w:r>
          </w:p>
          <w:p w14:paraId="05374712" w14:textId="38607452" w:rsidR="00AC6F31" w:rsidRPr="001F2762" w:rsidRDefault="00AC6F31" w:rsidP="005D4FDF">
            <w:pPr>
              <w:jc w:val="both"/>
              <w:rPr>
                <w:rFonts w:ascii="Calibri Light" w:hAnsi="Calibri Light"/>
                <w:b w:val="0"/>
                <w:lang w:val="es-PE"/>
              </w:rPr>
            </w:pPr>
          </w:p>
        </w:tc>
      </w:tr>
      <w:tr w:rsidR="005173CF" w:rsidRPr="001F2762" w14:paraId="69044E7B" w14:textId="77777777" w:rsidTr="007C457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1F2762" w:rsidRDefault="00AC6F31" w:rsidP="00AC6F31">
            <w:pPr>
              <w:pStyle w:val="ListParagraph"/>
              <w:rPr>
                <w:rFonts w:ascii="Calibri Light" w:hAnsi="Calibri Light"/>
                <w:lang w:val="es-PE"/>
              </w:rPr>
            </w:pPr>
          </w:p>
          <w:p w14:paraId="177FF988" w14:textId="77777777" w:rsidR="005173CF" w:rsidRPr="001F2762" w:rsidRDefault="007A6C56" w:rsidP="0029671B">
            <w:pPr>
              <w:pStyle w:val="ListParagraph"/>
              <w:numPr>
                <w:ilvl w:val="0"/>
                <w:numId w:val="2"/>
              </w:numPr>
              <w:jc w:val="center"/>
              <w:rPr>
                <w:rFonts w:ascii="Calibri Light" w:hAnsi="Calibri Light"/>
                <w:lang w:val="es-PE"/>
              </w:rPr>
            </w:pPr>
            <w:r w:rsidRPr="001F2762">
              <w:rPr>
                <w:rFonts w:ascii="Calibri Light" w:hAnsi="Calibri Light"/>
                <w:lang w:val="es-PE"/>
              </w:rPr>
              <w:t>Hechos</w:t>
            </w:r>
          </w:p>
          <w:p w14:paraId="190B7E98" w14:textId="77777777" w:rsidR="00AC6F31" w:rsidRPr="001F2762" w:rsidRDefault="00AC6F31" w:rsidP="00AC6F31">
            <w:pPr>
              <w:pStyle w:val="ListParagraph"/>
              <w:rPr>
                <w:rFonts w:ascii="Calibri Light" w:hAnsi="Calibri Light"/>
                <w:lang w:val="es-PE"/>
              </w:rPr>
            </w:pPr>
          </w:p>
        </w:tc>
      </w:tr>
      <w:tr w:rsidR="005173CF" w:rsidRPr="001F2762" w14:paraId="6F58DE83" w14:textId="77777777" w:rsidTr="007C457D">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384A5272" w:rsidR="00AC6F31" w:rsidRPr="001F2762" w:rsidRDefault="00AC6F31" w:rsidP="008036E7">
            <w:pPr>
              <w:jc w:val="both"/>
              <w:rPr>
                <w:rFonts w:ascii="Calibri Light" w:hAnsi="Calibri Light"/>
                <w:b w:val="0"/>
                <w:lang w:val="es-PE"/>
              </w:rPr>
            </w:pPr>
          </w:p>
          <w:p w14:paraId="2E7114C9" w14:textId="4C08144D" w:rsidR="001F2762" w:rsidRPr="001F2762" w:rsidRDefault="001F2762" w:rsidP="00132C32">
            <w:pPr>
              <w:jc w:val="both"/>
              <w:rPr>
                <w:rFonts w:ascii="Calibri Light" w:hAnsi="Calibri Light"/>
                <w:b w:val="0"/>
                <w:lang w:val="es-PE"/>
              </w:rPr>
            </w:pPr>
            <w:r w:rsidRPr="001F2762">
              <w:rPr>
                <w:rFonts w:ascii="Calibri Light" w:hAnsi="Calibri Light"/>
                <w:b w:val="0"/>
                <w:lang w:val="es-PE"/>
              </w:rPr>
              <w:t>Linda Loaiza López Soto fue secuestrada por Luis Carrera Almoina el 27 de marzo de 2001</w:t>
            </w:r>
            <w:r>
              <w:rPr>
                <w:rFonts w:ascii="Calibri Light" w:hAnsi="Calibri Light"/>
                <w:b w:val="0"/>
                <w:lang w:val="es-PE"/>
              </w:rPr>
              <w:t xml:space="preserve"> y </w:t>
            </w:r>
            <w:r w:rsidRPr="001F2762">
              <w:rPr>
                <w:rFonts w:ascii="Calibri Light" w:hAnsi="Calibri Light"/>
                <w:b w:val="0"/>
                <w:lang w:val="es-PE"/>
              </w:rPr>
              <w:t xml:space="preserve">permaneció privada de su libertad durante casi cuatro meses. Durante ese lapso de tiempo, el señor Carrera la violó en repetidas ocasiones, golpeó, maltrató físicamente y torturó. La desaparición de la señora López fue denunciada más de una vez por su hermana a la Policía. Sin embargo, la denuncia solo fue recibida más de dos meses después de la desaparición y ninguna acción fue tomada por la Policía hasta el rescate de la víctima el 19 de julio de 2001. La señora López fue encontrada con múltiples lesiones corporales graves y un grave trauma psicológico. </w:t>
            </w:r>
          </w:p>
          <w:p w14:paraId="65372321" w14:textId="77777777" w:rsidR="001F2762" w:rsidRPr="001F2762" w:rsidRDefault="001F2762" w:rsidP="008036E7">
            <w:pPr>
              <w:jc w:val="both"/>
              <w:rPr>
                <w:rFonts w:ascii="Calibri Light" w:hAnsi="Calibri Light"/>
                <w:b w:val="0"/>
                <w:lang w:val="es-PE"/>
              </w:rPr>
            </w:pPr>
          </w:p>
          <w:p w14:paraId="597A6202" w14:textId="687614DF" w:rsidR="005173CF" w:rsidRPr="001F2762" w:rsidRDefault="003D1776" w:rsidP="008036E7">
            <w:pPr>
              <w:jc w:val="both"/>
              <w:rPr>
                <w:rFonts w:ascii="Calibri Light" w:hAnsi="Calibri Light"/>
                <w:b w:val="0"/>
                <w:lang w:val="es-PE"/>
              </w:rPr>
            </w:pPr>
            <w:r w:rsidRPr="001F2762">
              <w:rPr>
                <w:rFonts w:ascii="Calibri Light" w:hAnsi="Calibri Light"/>
                <w:b w:val="0"/>
                <w:lang w:val="es-PE"/>
              </w:rPr>
              <w:t>E</w:t>
            </w:r>
            <w:r w:rsidR="00873F36" w:rsidRPr="001F2762">
              <w:rPr>
                <w:rFonts w:ascii="Calibri Light" w:hAnsi="Calibri Light"/>
                <w:b w:val="0"/>
                <w:lang w:val="es-PE"/>
              </w:rPr>
              <w:t>se</w:t>
            </w:r>
            <w:r w:rsidRPr="001F2762">
              <w:rPr>
                <w:rFonts w:ascii="Calibri Light" w:hAnsi="Calibri Light"/>
                <w:b w:val="0"/>
                <w:lang w:val="es-PE"/>
              </w:rPr>
              <w:t xml:space="preserve"> mismo día, una investigación fue abierta. </w:t>
            </w:r>
            <w:r w:rsidR="00873F36" w:rsidRPr="001F2762">
              <w:rPr>
                <w:rFonts w:ascii="Calibri Light" w:hAnsi="Calibri Light"/>
                <w:b w:val="0"/>
                <w:lang w:val="es-PE"/>
              </w:rPr>
              <w:t>No obstante,</w:t>
            </w:r>
            <w:r w:rsidRPr="001F2762">
              <w:rPr>
                <w:rFonts w:ascii="Calibri Light" w:hAnsi="Calibri Light"/>
                <w:b w:val="0"/>
                <w:lang w:val="es-PE"/>
              </w:rPr>
              <w:t xml:space="preserve"> </w:t>
            </w:r>
            <w:r w:rsidR="00AF29E1" w:rsidRPr="001F2762">
              <w:rPr>
                <w:rFonts w:ascii="Calibri Light" w:hAnsi="Calibri Light"/>
                <w:b w:val="0"/>
                <w:lang w:val="es-PE"/>
              </w:rPr>
              <w:t xml:space="preserve">se reportaron </w:t>
            </w:r>
            <w:r w:rsidR="00873F36" w:rsidRPr="001F2762">
              <w:rPr>
                <w:rFonts w:ascii="Calibri Light" w:hAnsi="Calibri Light"/>
                <w:b w:val="0"/>
                <w:lang w:val="es-PE"/>
              </w:rPr>
              <w:t xml:space="preserve">numerosas </w:t>
            </w:r>
            <w:r w:rsidRPr="001F2762">
              <w:rPr>
                <w:rFonts w:ascii="Calibri Light" w:hAnsi="Calibri Light"/>
                <w:b w:val="0"/>
                <w:lang w:val="es-PE"/>
              </w:rPr>
              <w:t xml:space="preserve">faltas </w:t>
            </w:r>
            <w:r w:rsidR="00873F36" w:rsidRPr="001F2762">
              <w:rPr>
                <w:rFonts w:ascii="Calibri Light" w:hAnsi="Calibri Light"/>
                <w:b w:val="0"/>
                <w:lang w:val="es-PE"/>
              </w:rPr>
              <w:t>de</w:t>
            </w:r>
            <w:r w:rsidRPr="001F2762">
              <w:rPr>
                <w:rFonts w:ascii="Calibri Light" w:hAnsi="Calibri Light"/>
                <w:b w:val="0"/>
                <w:lang w:val="es-PE"/>
              </w:rPr>
              <w:t xml:space="preserve"> diligencia durante el proceso de investigación y recopilación de pruebas. Por ejemplo, no se hizo ningú</w:t>
            </w:r>
            <w:r w:rsidR="00FE15AE" w:rsidRPr="001F2762">
              <w:rPr>
                <w:rFonts w:ascii="Calibri Light" w:hAnsi="Calibri Light"/>
                <w:b w:val="0"/>
                <w:lang w:val="es-PE"/>
              </w:rPr>
              <w:t xml:space="preserve">n examen </w:t>
            </w:r>
            <w:r w:rsidRPr="001F2762">
              <w:rPr>
                <w:rFonts w:ascii="Calibri Light" w:hAnsi="Calibri Light"/>
                <w:b w:val="0"/>
                <w:lang w:val="es-PE"/>
              </w:rPr>
              <w:t xml:space="preserve">de huellas en el </w:t>
            </w:r>
            <w:r w:rsidR="00FE15AE" w:rsidRPr="001F2762">
              <w:rPr>
                <w:rFonts w:ascii="Calibri Light" w:hAnsi="Calibri Light"/>
                <w:b w:val="0"/>
                <w:lang w:val="es-PE"/>
              </w:rPr>
              <w:t>departamento</w:t>
            </w:r>
            <w:r w:rsidRPr="001F2762">
              <w:rPr>
                <w:rFonts w:ascii="Calibri Light" w:hAnsi="Calibri Light"/>
                <w:b w:val="0"/>
                <w:lang w:val="es-PE"/>
              </w:rPr>
              <w:t xml:space="preserve"> en el cual fue encontrada la </w:t>
            </w:r>
            <w:r w:rsidR="00FE15AE" w:rsidRPr="001F2762">
              <w:rPr>
                <w:rFonts w:ascii="Calibri Light" w:hAnsi="Calibri Light"/>
                <w:b w:val="0"/>
                <w:lang w:val="es-PE"/>
              </w:rPr>
              <w:t>víctima</w:t>
            </w:r>
            <w:r w:rsidR="00AF29E1" w:rsidRPr="001F2762">
              <w:rPr>
                <w:rFonts w:ascii="Calibri Light" w:hAnsi="Calibri Light"/>
                <w:b w:val="0"/>
                <w:lang w:val="es-PE"/>
              </w:rPr>
              <w:t>;</w:t>
            </w:r>
            <w:r w:rsidRPr="001F2762">
              <w:rPr>
                <w:rFonts w:ascii="Calibri Light" w:hAnsi="Calibri Light"/>
                <w:b w:val="0"/>
                <w:lang w:val="es-PE"/>
              </w:rPr>
              <w:t xml:space="preserve"> no se </w:t>
            </w:r>
            <w:r w:rsidR="00873F36" w:rsidRPr="001F2762">
              <w:rPr>
                <w:rFonts w:ascii="Calibri Light" w:hAnsi="Calibri Light"/>
                <w:b w:val="0"/>
                <w:lang w:val="es-PE"/>
              </w:rPr>
              <w:t>realizó</w:t>
            </w:r>
            <w:r w:rsidRPr="001F2762">
              <w:rPr>
                <w:rFonts w:ascii="Calibri Light" w:hAnsi="Calibri Light"/>
                <w:b w:val="0"/>
                <w:lang w:val="es-PE"/>
              </w:rPr>
              <w:t xml:space="preserve"> </w:t>
            </w:r>
            <w:r w:rsidR="00FE15AE" w:rsidRPr="001F2762">
              <w:rPr>
                <w:rFonts w:ascii="Calibri Light" w:hAnsi="Calibri Light"/>
                <w:b w:val="0"/>
                <w:lang w:val="es-PE"/>
              </w:rPr>
              <w:t>ningún</w:t>
            </w:r>
            <w:r w:rsidRPr="001F2762">
              <w:rPr>
                <w:rFonts w:ascii="Calibri Light" w:hAnsi="Calibri Light"/>
                <w:b w:val="0"/>
                <w:lang w:val="es-PE"/>
              </w:rPr>
              <w:t xml:space="preserve"> ex</w:t>
            </w:r>
            <w:r w:rsidR="0095307D" w:rsidRPr="001F2762">
              <w:rPr>
                <w:rFonts w:ascii="Calibri Light" w:hAnsi="Calibri Light"/>
                <w:b w:val="0"/>
                <w:lang w:val="es-PE"/>
              </w:rPr>
              <w:t>amen de ADN</w:t>
            </w:r>
            <w:r w:rsidR="006701C2" w:rsidRPr="001F2762">
              <w:rPr>
                <w:rFonts w:ascii="Calibri Light" w:hAnsi="Calibri Light"/>
                <w:b w:val="0"/>
                <w:lang w:val="es-PE"/>
              </w:rPr>
              <w:t xml:space="preserve"> para comparar la sangre y otros fluidos encontrados con el ADN del señor </w:t>
            </w:r>
            <w:r w:rsidR="00AF29E1" w:rsidRPr="001F2762">
              <w:rPr>
                <w:rFonts w:ascii="Calibri Light" w:hAnsi="Calibri Light"/>
                <w:b w:val="0"/>
                <w:lang w:val="es-PE"/>
              </w:rPr>
              <w:t>Carrera;</w:t>
            </w:r>
            <w:r w:rsidR="0095307D" w:rsidRPr="001F2762">
              <w:rPr>
                <w:rFonts w:ascii="Calibri Light" w:hAnsi="Calibri Light"/>
                <w:b w:val="0"/>
                <w:lang w:val="es-PE"/>
              </w:rPr>
              <w:t xml:space="preserve"> algunos</w:t>
            </w:r>
            <w:r w:rsidRPr="001F2762">
              <w:rPr>
                <w:rFonts w:ascii="Calibri Light" w:hAnsi="Calibri Light"/>
                <w:b w:val="0"/>
                <w:lang w:val="es-PE"/>
              </w:rPr>
              <w:t xml:space="preserve"> objetos de la escena</w:t>
            </w:r>
            <w:r w:rsidR="006F7790" w:rsidRPr="001F2762">
              <w:rPr>
                <w:rFonts w:ascii="Calibri Light" w:hAnsi="Calibri Light"/>
                <w:b w:val="0"/>
                <w:lang w:val="es-PE"/>
              </w:rPr>
              <w:t>, como un colchón y balas de proyectil</w:t>
            </w:r>
            <w:r w:rsidR="00A3216E" w:rsidRPr="001F2762">
              <w:rPr>
                <w:rFonts w:ascii="Calibri Light" w:hAnsi="Calibri Light"/>
                <w:b w:val="0"/>
                <w:lang w:val="es-PE"/>
              </w:rPr>
              <w:t>,</w:t>
            </w:r>
            <w:r w:rsidRPr="001F2762">
              <w:rPr>
                <w:rFonts w:ascii="Calibri Light" w:hAnsi="Calibri Light"/>
                <w:b w:val="0"/>
                <w:lang w:val="es-PE"/>
              </w:rPr>
              <w:t xml:space="preserve"> no fueron </w:t>
            </w:r>
            <w:r w:rsidR="00AF29E1" w:rsidRPr="001F2762">
              <w:rPr>
                <w:rFonts w:ascii="Calibri Light" w:hAnsi="Calibri Light"/>
                <w:b w:val="0"/>
                <w:lang w:val="es-PE"/>
              </w:rPr>
              <w:t>re</w:t>
            </w:r>
            <w:r w:rsidRPr="001F2762">
              <w:rPr>
                <w:rFonts w:ascii="Calibri Light" w:hAnsi="Calibri Light"/>
                <w:b w:val="0"/>
                <w:lang w:val="es-PE"/>
              </w:rPr>
              <w:t>colectados</w:t>
            </w:r>
            <w:r w:rsidR="00AF29E1" w:rsidRPr="001F2762">
              <w:rPr>
                <w:rFonts w:ascii="Calibri Light" w:hAnsi="Calibri Light"/>
                <w:b w:val="0"/>
                <w:lang w:val="es-PE"/>
              </w:rPr>
              <w:t>;</w:t>
            </w:r>
            <w:r w:rsidR="0095307D" w:rsidRPr="001F2762">
              <w:rPr>
                <w:rFonts w:ascii="Calibri Light" w:hAnsi="Calibri Light"/>
                <w:b w:val="0"/>
                <w:lang w:val="es-PE"/>
              </w:rPr>
              <w:t xml:space="preserve"> y por último</w:t>
            </w:r>
            <w:r w:rsidR="00AF29E1" w:rsidRPr="001F2762">
              <w:rPr>
                <w:rFonts w:ascii="Calibri Light" w:hAnsi="Calibri Light"/>
                <w:b w:val="0"/>
                <w:lang w:val="es-PE"/>
              </w:rPr>
              <w:t>,</w:t>
            </w:r>
            <w:r w:rsidR="0095307D" w:rsidRPr="001F2762">
              <w:rPr>
                <w:rFonts w:ascii="Calibri Light" w:hAnsi="Calibri Light"/>
                <w:b w:val="0"/>
                <w:lang w:val="es-PE"/>
              </w:rPr>
              <w:t xml:space="preserve"> la escen</w:t>
            </w:r>
            <w:r w:rsidR="008A52E4" w:rsidRPr="001F2762">
              <w:rPr>
                <w:rFonts w:ascii="Calibri Light" w:hAnsi="Calibri Light"/>
                <w:b w:val="0"/>
                <w:lang w:val="es-PE"/>
              </w:rPr>
              <w:t xml:space="preserve">a no </w:t>
            </w:r>
            <w:r w:rsidR="00CC2D55" w:rsidRPr="001F2762">
              <w:rPr>
                <w:rFonts w:ascii="Calibri Light" w:hAnsi="Calibri Light"/>
                <w:b w:val="0"/>
                <w:lang w:val="es-PE"/>
              </w:rPr>
              <w:t>permaneció cerrada</w:t>
            </w:r>
            <w:r w:rsidR="00AF29E1" w:rsidRPr="001F2762">
              <w:rPr>
                <w:rFonts w:ascii="Calibri Light" w:hAnsi="Calibri Light"/>
                <w:b w:val="0"/>
                <w:lang w:val="es-PE"/>
              </w:rPr>
              <w:t>,</w:t>
            </w:r>
            <w:r w:rsidR="00CC2D55" w:rsidRPr="001F2762">
              <w:rPr>
                <w:rFonts w:ascii="Calibri Light" w:hAnsi="Calibri Light"/>
                <w:b w:val="0"/>
                <w:lang w:val="es-PE"/>
              </w:rPr>
              <w:t xml:space="preserve"> </w:t>
            </w:r>
            <w:r w:rsidR="008A52E4" w:rsidRPr="001F2762">
              <w:rPr>
                <w:rFonts w:ascii="Calibri Light" w:hAnsi="Calibri Light"/>
                <w:b w:val="0"/>
                <w:lang w:val="es-PE"/>
              </w:rPr>
              <w:t>lo cual provocó</w:t>
            </w:r>
            <w:r w:rsidR="0095307D" w:rsidRPr="001F2762">
              <w:rPr>
                <w:rFonts w:ascii="Calibri Light" w:hAnsi="Calibri Light"/>
                <w:b w:val="0"/>
                <w:lang w:val="es-PE"/>
              </w:rPr>
              <w:t xml:space="preserve"> su alteración. </w:t>
            </w:r>
            <w:r w:rsidR="00CC31A4" w:rsidRPr="001F2762">
              <w:rPr>
                <w:rFonts w:ascii="Calibri Light" w:hAnsi="Calibri Light"/>
                <w:b w:val="0"/>
                <w:lang w:val="es-PE"/>
              </w:rPr>
              <w:t>Además</w:t>
            </w:r>
            <w:r w:rsidR="00873F36" w:rsidRPr="001F2762">
              <w:rPr>
                <w:rFonts w:ascii="Calibri Light" w:hAnsi="Calibri Light"/>
                <w:b w:val="0"/>
                <w:lang w:val="es-PE"/>
              </w:rPr>
              <w:t>,</w:t>
            </w:r>
            <w:r w:rsidRPr="001F2762">
              <w:rPr>
                <w:rFonts w:ascii="Calibri Light" w:hAnsi="Calibri Light"/>
                <w:b w:val="0"/>
                <w:lang w:val="es-PE"/>
              </w:rPr>
              <w:t xml:space="preserve"> </w:t>
            </w:r>
            <w:r w:rsidR="00303617" w:rsidRPr="001F2762">
              <w:rPr>
                <w:rFonts w:ascii="Calibri Light" w:hAnsi="Calibri Light"/>
                <w:b w:val="0"/>
                <w:lang w:val="es-PE"/>
              </w:rPr>
              <w:t xml:space="preserve">la </w:t>
            </w:r>
            <w:r w:rsidR="00CC31A4" w:rsidRPr="001F2762">
              <w:rPr>
                <w:rFonts w:ascii="Calibri Light" w:hAnsi="Calibri Light"/>
                <w:b w:val="0"/>
                <w:lang w:val="es-PE"/>
              </w:rPr>
              <w:t>señora L</w:t>
            </w:r>
            <w:r w:rsidR="004E2765" w:rsidRPr="001F2762">
              <w:rPr>
                <w:rFonts w:ascii="Calibri Light" w:hAnsi="Calibri Light"/>
                <w:b w:val="0"/>
                <w:lang w:val="es-PE"/>
              </w:rPr>
              <w:t>ópez</w:t>
            </w:r>
            <w:r w:rsidR="00CC31A4" w:rsidRPr="001F2762">
              <w:rPr>
                <w:rFonts w:ascii="Calibri Light" w:hAnsi="Calibri Light"/>
                <w:b w:val="0"/>
                <w:lang w:val="es-PE"/>
              </w:rPr>
              <w:t xml:space="preserve"> denunció que </w:t>
            </w:r>
            <w:r w:rsidRPr="001F2762">
              <w:rPr>
                <w:rFonts w:ascii="Calibri Light" w:hAnsi="Calibri Light"/>
                <w:b w:val="0"/>
                <w:lang w:val="es-PE"/>
              </w:rPr>
              <w:t>la fis</w:t>
            </w:r>
            <w:r w:rsidR="00751287" w:rsidRPr="001F2762">
              <w:rPr>
                <w:rFonts w:ascii="Calibri Light" w:hAnsi="Calibri Light"/>
                <w:b w:val="0"/>
                <w:lang w:val="es-PE"/>
              </w:rPr>
              <w:t xml:space="preserve">cal responsable del caso </w:t>
            </w:r>
            <w:r w:rsidR="00CC31A4" w:rsidRPr="001F2762">
              <w:rPr>
                <w:rFonts w:ascii="Calibri Light" w:hAnsi="Calibri Light"/>
                <w:b w:val="0"/>
                <w:lang w:val="es-PE"/>
              </w:rPr>
              <w:t>la habría obligado a</w:t>
            </w:r>
            <w:r w:rsidRPr="001F2762">
              <w:rPr>
                <w:rFonts w:ascii="Calibri Light" w:hAnsi="Calibri Light"/>
                <w:b w:val="0"/>
                <w:lang w:val="es-PE"/>
              </w:rPr>
              <w:t xml:space="preserve"> firmar </w:t>
            </w:r>
            <w:r w:rsidR="00CC31A4" w:rsidRPr="001F2762">
              <w:rPr>
                <w:rFonts w:ascii="Calibri Light" w:hAnsi="Calibri Light"/>
                <w:b w:val="0"/>
                <w:lang w:val="es-PE"/>
              </w:rPr>
              <w:t>un acto de declaración</w:t>
            </w:r>
            <w:r w:rsidRPr="001F2762">
              <w:rPr>
                <w:rFonts w:ascii="Calibri Light" w:hAnsi="Calibri Light"/>
                <w:b w:val="0"/>
                <w:lang w:val="es-PE"/>
              </w:rPr>
              <w:t xml:space="preserve"> bajo </w:t>
            </w:r>
            <w:r w:rsidR="00FE15AE" w:rsidRPr="001F2762">
              <w:rPr>
                <w:rFonts w:ascii="Calibri Light" w:hAnsi="Calibri Light"/>
                <w:b w:val="0"/>
                <w:lang w:val="es-PE"/>
              </w:rPr>
              <w:t>amenaza</w:t>
            </w:r>
            <w:r w:rsidR="00751287" w:rsidRPr="001F2762">
              <w:rPr>
                <w:rFonts w:ascii="Calibri Light" w:hAnsi="Calibri Light"/>
                <w:b w:val="0"/>
                <w:lang w:val="es-PE"/>
              </w:rPr>
              <w:t>,</w:t>
            </w:r>
            <w:r w:rsidRPr="001F2762">
              <w:rPr>
                <w:rFonts w:ascii="Calibri Light" w:hAnsi="Calibri Light"/>
                <w:b w:val="0"/>
                <w:lang w:val="es-PE"/>
              </w:rPr>
              <w:t xml:space="preserve"> cuando </w:t>
            </w:r>
            <w:r w:rsidR="00FE15AE" w:rsidRPr="001F2762">
              <w:rPr>
                <w:rFonts w:ascii="Calibri Light" w:hAnsi="Calibri Light"/>
                <w:b w:val="0"/>
                <w:lang w:val="es-PE"/>
              </w:rPr>
              <w:t>todavía</w:t>
            </w:r>
            <w:r w:rsidR="004A4CEC" w:rsidRPr="001F2762">
              <w:rPr>
                <w:rFonts w:ascii="Calibri Light" w:hAnsi="Calibri Light"/>
                <w:b w:val="0"/>
                <w:lang w:val="es-PE"/>
              </w:rPr>
              <w:t xml:space="preserve"> se encontraba en tratamiento en </w:t>
            </w:r>
            <w:r w:rsidR="00FE15AE" w:rsidRPr="001F2762">
              <w:rPr>
                <w:rFonts w:ascii="Calibri Light" w:hAnsi="Calibri Light"/>
                <w:b w:val="0"/>
                <w:lang w:val="es-PE"/>
              </w:rPr>
              <w:t>el</w:t>
            </w:r>
            <w:r w:rsidR="004A4CEC" w:rsidRPr="001F2762">
              <w:rPr>
                <w:rFonts w:ascii="Calibri Light" w:hAnsi="Calibri Light"/>
                <w:b w:val="0"/>
                <w:lang w:val="es-PE"/>
              </w:rPr>
              <w:t xml:space="preserve"> hospital</w:t>
            </w:r>
            <w:r w:rsidR="0095307D" w:rsidRPr="001F2762">
              <w:rPr>
                <w:rFonts w:ascii="Calibri Light" w:hAnsi="Calibri Light"/>
                <w:b w:val="0"/>
                <w:lang w:val="es-PE"/>
              </w:rPr>
              <w:t>.</w:t>
            </w:r>
            <w:r w:rsidR="003E574B" w:rsidRPr="001F2762">
              <w:rPr>
                <w:rFonts w:ascii="Calibri Light" w:hAnsi="Calibri Light"/>
                <w:b w:val="0"/>
                <w:lang w:val="es-PE"/>
              </w:rPr>
              <w:t xml:space="preserve"> La </w:t>
            </w:r>
            <w:r w:rsidR="00FE15AE" w:rsidRPr="001F2762">
              <w:rPr>
                <w:rFonts w:ascii="Calibri Light" w:hAnsi="Calibri Light"/>
                <w:b w:val="0"/>
                <w:lang w:val="es-PE"/>
              </w:rPr>
              <w:t>fiscal</w:t>
            </w:r>
            <w:r w:rsidR="003E574B" w:rsidRPr="001F2762">
              <w:rPr>
                <w:rFonts w:ascii="Calibri Light" w:hAnsi="Calibri Light"/>
                <w:b w:val="0"/>
                <w:lang w:val="es-PE"/>
              </w:rPr>
              <w:t xml:space="preserve"> fue denunciada por estos actos, pero </w:t>
            </w:r>
            <w:r w:rsidR="00FE15AE" w:rsidRPr="001F2762">
              <w:rPr>
                <w:rFonts w:ascii="Calibri Light" w:hAnsi="Calibri Light"/>
                <w:b w:val="0"/>
                <w:lang w:val="es-PE"/>
              </w:rPr>
              <w:t>ninguna</w:t>
            </w:r>
            <w:r w:rsidR="003E574B" w:rsidRPr="001F2762">
              <w:rPr>
                <w:rFonts w:ascii="Calibri Light" w:hAnsi="Calibri Light"/>
                <w:b w:val="0"/>
                <w:lang w:val="es-PE"/>
              </w:rPr>
              <w:t xml:space="preserve"> acción fue tomada para </w:t>
            </w:r>
            <w:r w:rsidR="00FE15AE" w:rsidRPr="001F2762">
              <w:rPr>
                <w:rFonts w:ascii="Calibri Light" w:hAnsi="Calibri Light"/>
                <w:b w:val="0"/>
                <w:lang w:val="es-PE"/>
              </w:rPr>
              <w:t>investigar</w:t>
            </w:r>
            <w:r w:rsidR="003E574B" w:rsidRPr="001F2762">
              <w:rPr>
                <w:rFonts w:ascii="Calibri Light" w:hAnsi="Calibri Light"/>
                <w:b w:val="0"/>
                <w:lang w:val="es-PE"/>
              </w:rPr>
              <w:t xml:space="preserve"> los hechos.</w:t>
            </w:r>
          </w:p>
          <w:p w14:paraId="785DA2C2" w14:textId="77777777" w:rsidR="003E574B" w:rsidRPr="001F2762" w:rsidRDefault="003E574B" w:rsidP="008036E7">
            <w:pPr>
              <w:jc w:val="both"/>
              <w:rPr>
                <w:rFonts w:ascii="Calibri Light" w:hAnsi="Calibri Light"/>
                <w:b w:val="0"/>
                <w:lang w:val="es-PE"/>
              </w:rPr>
            </w:pPr>
          </w:p>
          <w:p w14:paraId="5E3F604A" w14:textId="50AF5638" w:rsidR="005430FB" w:rsidRPr="001F2762" w:rsidRDefault="003E574B" w:rsidP="008036E7">
            <w:pPr>
              <w:jc w:val="both"/>
              <w:rPr>
                <w:rFonts w:ascii="Calibri Light" w:hAnsi="Calibri Light"/>
                <w:b w:val="0"/>
                <w:lang w:val="es-PE"/>
              </w:rPr>
            </w:pPr>
            <w:r w:rsidRPr="001F2762">
              <w:rPr>
                <w:rFonts w:ascii="Calibri Light" w:hAnsi="Calibri Light"/>
                <w:b w:val="0"/>
                <w:lang w:val="es-PE"/>
              </w:rPr>
              <w:t xml:space="preserve">El </w:t>
            </w:r>
            <w:r w:rsidR="00CC2D55" w:rsidRPr="001F2762">
              <w:rPr>
                <w:rFonts w:ascii="Calibri Light" w:hAnsi="Calibri Light"/>
                <w:b w:val="0"/>
                <w:lang w:val="es-PE"/>
              </w:rPr>
              <w:t>10 de septiembre de 2001</w:t>
            </w:r>
            <w:r w:rsidRPr="001F2762">
              <w:rPr>
                <w:rFonts w:ascii="Calibri Light" w:hAnsi="Calibri Light"/>
                <w:b w:val="0"/>
                <w:lang w:val="es-PE"/>
              </w:rPr>
              <w:t xml:space="preserve">, </w:t>
            </w:r>
            <w:r w:rsidR="00CC2D55" w:rsidRPr="001F2762">
              <w:rPr>
                <w:rFonts w:ascii="Calibri Light" w:hAnsi="Calibri Light"/>
                <w:b w:val="0"/>
                <w:lang w:val="es-PE"/>
              </w:rPr>
              <w:t>se dictó arresto domiciliario</w:t>
            </w:r>
            <w:r w:rsidRPr="001F2762">
              <w:rPr>
                <w:rFonts w:ascii="Calibri Light" w:hAnsi="Calibri Light"/>
                <w:b w:val="0"/>
                <w:lang w:val="es-PE"/>
              </w:rPr>
              <w:t xml:space="preserve"> </w:t>
            </w:r>
            <w:r w:rsidR="004D74B0" w:rsidRPr="001F2762">
              <w:rPr>
                <w:rFonts w:ascii="Calibri Light" w:hAnsi="Calibri Light"/>
                <w:b w:val="0"/>
                <w:lang w:val="es-PE"/>
              </w:rPr>
              <w:t>contra el señor Carrera</w:t>
            </w:r>
            <w:r w:rsidR="00CC2D55" w:rsidRPr="001F2762">
              <w:rPr>
                <w:rFonts w:ascii="Calibri Light" w:hAnsi="Calibri Light"/>
                <w:b w:val="0"/>
                <w:lang w:val="es-PE"/>
              </w:rPr>
              <w:t xml:space="preserve">, </w:t>
            </w:r>
            <w:r w:rsidRPr="001F2762">
              <w:rPr>
                <w:rFonts w:ascii="Calibri Light" w:hAnsi="Calibri Light"/>
                <w:b w:val="0"/>
                <w:lang w:val="es-PE"/>
              </w:rPr>
              <w:t xml:space="preserve">en lugar de </w:t>
            </w:r>
            <w:r w:rsidR="004D74B0" w:rsidRPr="001F2762">
              <w:rPr>
                <w:rFonts w:ascii="Calibri Light" w:hAnsi="Calibri Light"/>
                <w:b w:val="0"/>
                <w:lang w:val="es-PE"/>
              </w:rPr>
              <w:t xml:space="preserve">la medida de </w:t>
            </w:r>
            <w:r w:rsidR="00FE15AE" w:rsidRPr="001F2762">
              <w:rPr>
                <w:rFonts w:ascii="Calibri Light" w:hAnsi="Calibri Light"/>
                <w:b w:val="0"/>
                <w:lang w:val="es-PE"/>
              </w:rPr>
              <w:t>prisión</w:t>
            </w:r>
            <w:r w:rsidRPr="001F2762">
              <w:rPr>
                <w:rFonts w:ascii="Calibri Light" w:hAnsi="Calibri Light"/>
                <w:b w:val="0"/>
                <w:lang w:val="es-PE"/>
              </w:rPr>
              <w:t xml:space="preserve"> preventiva de libertad. Tras </w:t>
            </w:r>
            <w:r w:rsidR="00FE15AE" w:rsidRPr="001F2762">
              <w:rPr>
                <w:rFonts w:ascii="Calibri Light" w:hAnsi="Calibri Light"/>
                <w:b w:val="0"/>
                <w:lang w:val="es-PE"/>
              </w:rPr>
              <w:t>múltiples apelacione</w:t>
            </w:r>
            <w:r w:rsidR="002A2B82" w:rsidRPr="001F2762">
              <w:rPr>
                <w:rFonts w:ascii="Calibri Light" w:hAnsi="Calibri Light"/>
                <w:b w:val="0"/>
                <w:lang w:val="es-PE"/>
              </w:rPr>
              <w:t xml:space="preserve">s, </w:t>
            </w:r>
            <w:r w:rsidR="00CC2D55" w:rsidRPr="001F2762">
              <w:rPr>
                <w:rFonts w:ascii="Calibri Light" w:hAnsi="Calibri Light"/>
                <w:b w:val="0"/>
                <w:lang w:val="es-PE"/>
              </w:rPr>
              <w:t xml:space="preserve">se ordenó la </w:t>
            </w:r>
            <w:r w:rsidR="00861455" w:rsidRPr="001F2762">
              <w:rPr>
                <w:rFonts w:ascii="Calibri Light" w:hAnsi="Calibri Light"/>
                <w:b w:val="0"/>
                <w:lang w:val="es-PE"/>
              </w:rPr>
              <w:t>prisión preventiva en su contra</w:t>
            </w:r>
            <w:r w:rsidR="002A2B82" w:rsidRPr="001F2762">
              <w:rPr>
                <w:rFonts w:ascii="Calibri Light" w:hAnsi="Calibri Light"/>
                <w:b w:val="0"/>
                <w:lang w:val="es-PE"/>
              </w:rPr>
              <w:t>, pero</w:t>
            </w:r>
            <w:r w:rsidR="00CC2D55" w:rsidRPr="001F2762">
              <w:rPr>
                <w:rFonts w:ascii="Calibri Light" w:hAnsi="Calibri Light"/>
                <w:b w:val="0"/>
                <w:lang w:val="es-PE"/>
              </w:rPr>
              <w:t xml:space="preserve"> </w:t>
            </w:r>
            <w:r w:rsidR="002A2B82" w:rsidRPr="001F2762">
              <w:rPr>
                <w:rFonts w:ascii="Calibri Light" w:hAnsi="Calibri Light"/>
                <w:b w:val="0"/>
                <w:lang w:val="es-PE"/>
              </w:rPr>
              <w:t xml:space="preserve">este </w:t>
            </w:r>
            <w:r w:rsidR="00CC2D55" w:rsidRPr="001F2762">
              <w:rPr>
                <w:rFonts w:ascii="Calibri Light" w:hAnsi="Calibri Light"/>
                <w:b w:val="0"/>
                <w:lang w:val="es-PE"/>
              </w:rPr>
              <w:t xml:space="preserve">fugó </w:t>
            </w:r>
            <w:r w:rsidR="002A2B82" w:rsidRPr="001F2762">
              <w:rPr>
                <w:rFonts w:ascii="Calibri Light" w:hAnsi="Calibri Light"/>
                <w:b w:val="0"/>
                <w:lang w:val="es-PE"/>
              </w:rPr>
              <w:t>junto a</w:t>
            </w:r>
            <w:r w:rsidR="00CC2D55" w:rsidRPr="001F2762">
              <w:rPr>
                <w:rFonts w:ascii="Calibri Light" w:hAnsi="Calibri Light"/>
                <w:b w:val="0"/>
                <w:lang w:val="es-PE"/>
              </w:rPr>
              <w:t xml:space="preserve"> su padre. </w:t>
            </w:r>
            <w:r w:rsidR="002A2B82" w:rsidRPr="001F2762">
              <w:rPr>
                <w:rFonts w:ascii="Calibri Light" w:hAnsi="Calibri Light"/>
                <w:b w:val="0"/>
                <w:lang w:val="es-PE"/>
              </w:rPr>
              <w:t>Sin embargo, a</w:t>
            </w:r>
            <w:r w:rsidR="00861455" w:rsidRPr="001F2762">
              <w:rPr>
                <w:rFonts w:ascii="Calibri Light" w:hAnsi="Calibri Light"/>
                <w:b w:val="0"/>
                <w:lang w:val="es-PE"/>
              </w:rPr>
              <w:t xml:space="preserve"> las pocas ho</w:t>
            </w:r>
            <w:r w:rsidR="002A2B82" w:rsidRPr="001F2762">
              <w:rPr>
                <w:rFonts w:ascii="Calibri Light" w:hAnsi="Calibri Light"/>
                <w:b w:val="0"/>
                <w:lang w:val="es-PE"/>
              </w:rPr>
              <w:t>ras</w:t>
            </w:r>
            <w:r w:rsidR="00861455" w:rsidRPr="001F2762">
              <w:rPr>
                <w:rFonts w:ascii="Calibri Light" w:hAnsi="Calibri Light"/>
                <w:b w:val="0"/>
                <w:lang w:val="es-PE"/>
              </w:rPr>
              <w:t xml:space="preserve"> fue capturado. </w:t>
            </w:r>
            <w:r w:rsidR="002A2B82" w:rsidRPr="001F2762">
              <w:rPr>
                <w:rFonts w:ascii="Calibri Light" w:hAnsi="Calibri Light"/>
                <w:b w:val="0"/>
                <w:lang w:val="es-PE"/>
              </w:rPr>
              <w:t xml:space="preserve">El 6 de junio de 2003, el juzgado que tramitaba el caso desistió de la acusación en vista de que el </w:t>
            </w:r>
            <w:r w:rsidRPr="001F2762">
              <w:rPr>
                <w:rFonts w:ascii="Calibri Light" w:hAnsi="Calibri Light"/>
                <w:b w:val="0"/>
                <w:lang w:val="es-PE"/>
              </w:rPr>
              <w:t xml:space="preserve">juicio </w:t>
            </w:r>
            <w:r w:rsidR="002A2B82" w:rsidRPr="001F2762">
              <w:rPr>
                <w:rFonts w:ascii="Calibri Light" w:hAnsi="Calibri Light"/>
                <w:b w:val="0"/>
                <w:lang w:val="es-PE"/>
              </w:rPr>
              <w:t>había sido</w:t>
            </w:r>
            <w:r w:rsidRPr="001F2762">
              <w:rPr>
                <w:rFonts w:ascii="Calibri Light" w:hAnsi="Calibri Light"/>
                <w:b w:val="0"/>
                <w:lang w:val="es-PE"/>
              </w:rPr>
              <w:t xml:space="preserve"> </w:t>
            </w:r>
            <w:r w:rsidR="00861455" w:rsidRPr="001F2762">
              <w:rPr>
                <w:rFonts w:ascii="Calibri Light" w:hAnsi="Calibri Light"/>
                <w:b w:val="0"/>
                <w:lang w:val="es-PE"/>
              </w:rPr>
              <w:t>di</w:t>
            </w:r>
            <w:r w:rsidR="00FE15AE" w:rsidRPr="001F2762">
              <w:rPr>
                <w:rFonts w:ascii="Calibri Light" w:hAnsi="Calibri Light"/>
                <w:b w:val="0"/>
                <w:lang w:val="es-PE"/>
              </w:rPr>
              <w:t>ferido</w:t>
            </w:r>
            <w:r w:rsidRPr="001F2762">
              <w:rPr>
                <w:rFonts w:ascii="Calibri Light" w:hAnsi="Calibri Light"/>
                <w:b w:val="0"/>
                <w:lang w:val="es-PE"/>
              </w:rPr>
              <w:t xml:space="preserve"> en </w:t>
            </w:r>
            <w:r w:rsidR="00FE15AE" w:rsidRPr="001F2762">
              <w:rPr>
                <w:rFonts w:ascii="Calibri Light" w:hAnsi="Calibri Light"/>
                <w:b w:val="0"/>
                <w:lang w:val="es-PE"/>
              </w:rPr>
              <w:t>múltiples</w:t>
            </w:r>
            <w:r w:rsidRPr="001F2762">
              <w:rPr>
                <w:rFonts w:ascii="Calibri Light" w:hAnsi="Calibri Light"/>
                <w:b w:val="0"/>
                <w:lang w:val="es-PE"/>
              </w:rPr>
              <w:t xml:space="preserve"> por reiterada inasistencia</w:t>
            </w:r>
            <w:r w:rsidR="002A2B82" w:rsidRPr="001F2762">
              <w:rPr>
                <w:rFonts w:ascii="Calibri Light" w:hAnsi="Calibri Light"/>
                <w:b w:val="0"/>
                <w:lang w:val="es-PE"/>
              </w:rPr>
              <w:t xml:space="preserve"> de la señora L</w:t>
            </w:r>
            <w:r w:rsidR="004E2765" w:rsidRPr="001F2762">
              <w:rPr>
                <w:rFonts w:ascii="Calibri Light" w:hAnsi="Calibri Light"/>
                <w:b w:val="0"/>
                <w:lang w:val="es-PE"/>
              </w:rPr>
              <w:t>ópez</w:t>
            </w:r>
            <w:r w:rsidR="002A2B82" w:rsidRPr="001F2762">
              <w:rPr>
                <w:rFonts w:ascii="Calibri Light" w:hAnsi="Calibri Light"/>
                <w:b w:val="0"/>
                <w:lang w:val="es-PE"/>
              </w:rPr>
              <w:t>, que se debió a motivos de salud</w:t>
            </w:r>
            <w:r w:rsidRPr="001F2762">
              <w:rPr>
                <w:rFonts w:ascii="Calibri Light" w:hAnsi="Calibri Light"/>
                <w:b w:val="0"/>
                <w:lang w:val="es-PE"/>
              </w:rPr>
              <w:t>.</w:t>
            </w:r>
            <w:r w:rsidR="00295ECC" w:rsidRPr="001F2762">
              <w:rPr>
                <w:rFonts w:ascii="Calibri Light" w:hAnsi="Calibri Light"/>
                <w:b w:val="0"/>
                <w:lang w:val="es-PE"/>
              </w:rPr>
              <w:t xml:space="preserve"> Tras </w:t>
            </w:r>
            <w:r w:rsidR="00FE15AE" w:rsidRPr="001F2762">
              <w:rPr>
                <w:rFonts w:ascii="Calibri Light" w:hAnsi="Calibri Light"/>
                <w:b w:val="0"/>
                <w:lang w:val="es-PE"/>
              </w:rPr>
              <w:t>múltiples</w:t>
            </w:r>
            <w:r w:rsidR="00295ECC" w:rsidRPr="001F2762">
              <w:rPr>
                <w:rFonts w:ascii="Calibri Light" w:hAnsi="Calibri Light"/>
                <w:b w:val="0"/>
                <w:lang w:val="es-PE"/>
              </w:rPr>
              <w:t xml:space="preserve"> </w:t>
            </w:r>
            <w:r w:rsidR="00861455" w:rsidRPr="001F2762">
              <w:rPr>
                <w:rFonts w:ascii="Calibri Light" w:hAnsi="Calibri Light"/>
                <w:b w:val="0"/>
                <w:lang w:val="es-PE"/>
              </w:rPr>
              <w:t>recursos</w:t>
            </w:r>
            <w:r w:rsidR="00295ECC" w:rsidRPr="001F2762">
              <w:rPr>
                <w:rFonts w:ascii="Calibri Light" w:hAnsi="Calibri Light"/>
                <w:b w:val="0"/>
                <w:lang w:val="es-PE"/>
              </w:rPr>
              <w:t xml:space="preserve"> de </w:t>
            </w:r>
            <w:r w:rsidR="00FE15AE" w:rsidRPr="001F2762">
              <w:rPr>
                <w:rFonts w:ascii="Calibri Light" w:hAnsi="Calibri Light"/>
                <w:b w:val="0"/>
                <w:lang w:val="es-PE"/>
              </w:rPr>
              <w:t>reconsideración y</w:t>
            </w:r>
            <w:r w:rsidR="00295ECC" w:rsidRPr="001F2762">
              <w:rPr>
                <w:rFonts w:ascii="Calibri Light" w:hAnsi="Calibri Light"/>
                <w:b w:val="0"/>
                <w:lang w:val="es-PE"/>
              </w:rPr>
              <w:t xml:space="preserve"> </w:t>
            </w:r>
            <w:r w:rsidR="00FE15AE" w:rsidRPr="001F2762">
              <w:rPr>
                <w:rFonts w:ascii="Calibri Light" w:hAnsi="Calibri Light"/>
                <w:b w:val="0"/>
                <w:lang w:val="es-PE"/>
              </w:rPr>
              <w:t>amparo</w:t>
            </w:r>
            <w:r w:rsidR="009A3D36" w:rsidRPr="001F2762">
              <w:rPr>
                <w:rFonts w:ascii="Calibri Light" w:hAnsi="Calibri Light"/>
                <w:b w:val="0"/>
                <w:lang w:val="es-PE"/>
              </w:rPr>
              <w:t>, la cuestión llegó</w:t>
            </w:r>
            <w:r w:rsidR="00295ECC" w:rsidRPr="001F2762">
              <w:rPr>
                <w:rFonts w:ascii="Calibri Light" w:hAnsi="Calibri Light"/>
                <w:b w:val="0"/>
                <w:lang w:val="es-PE"/>
              </w:rPr>
              <w:t xml:space="preserve"> a la Sala </w:t>
            </w:r>
            <w:r w:rsidR="00FE15AE" w:rsidRPr="001F2762">
              <w:rPr>
                <w:rFonts w:ascii="Calibri Light" w:hAnsi="Calibri Light"/>
                <w:b w:val="0"/>
                <w:lang w:val="es-PE"/>
              </w:rPr>
              <w:t>Constitucional</w:t>
            </w:r>
            <w:r w:rsidR="009A3D36" w:rsidRPr="001F2762">
              <w:rPr>
                <w:rFonts w:ascii="Calibri Light" w:hAnsi="Calibri Light"/>
                <w:b w:val="0"/>
                <w:lang w:val="es-PE"/>
              </w:rPr>
              <w:t xml:space="preserve"> del Tribunal S</w:t>
            </w:r>
            <w:r w:rsidR="00295ECC" w:rsidRPr="001F2762">
              <w:rPr>
                <w:rFonts w:ascii="Calibri Light" w:hAnsi="Calibri Light"/>
                <w:b w:val="0"/>
                <w:lang w:val="es-PE"/>
              </w:rPr>
              <w:t>upremo</w:t>
            </w:r>
            <w:r w:rsidR="00C45FCA" w:rsidRPr="001F2762">
              <w:rPr>
                <w:rFonts w:ascii="Calibri Light" w:hAnsi="Calibri Light"/>
                <w:b w:val="0"/>
                <w:lang w:val="es-PE"/>
              </w:rPr>
              <w:t xml:space="preserve"> de Justicia</w:t>
            </w:r>
            <w:r w:rsidR="00295ECC" w:rsidRPr="001F2762">
              <w:rPr>
                <w:rFonts w:ascii="Calibri Light" w:hAnsi="Calibri Light"/>
                <w:b w:val="0"/>
                <w:lang w:val="es-PE"/>
              </w:rPr>
              <w:t xml:space="preserve">, </w:t>
            </w:r>
            <w:r w:rsidR="00861455" w:rsidRPr="001F2762">
              <w:rPr>
                <w:rFonts w:ascii="Calibri Light" w:hAnsi="Calibri Light"/>
                <w:b w:val="0"/>
                <w:lang w:val="es-PE"/>
              </w:rPr>
              <w:t>la</w:t>
            </w:r>
            <w:r w:rsidR="00453383" w:rsidRPr="001F2762">
              <w:rPr>
                <w:rFonts w:ascii="Calibri Light" w:hAnsi="Calibri Light"/>
                <w:b w:val="0"/>
                <w:lang w:val="es-PE"/>
              </w:rPr>
              <w:t xml:space="preserve"> cual estimó</w:t>
            </w:r>
            <w:r w:rsidR="00C429EA" w:rsidRPr="001F2762">
              <w:rPr>
                <w:rFonts w:ascii="Calibri Light" w:hAnsi="Calibri Light"/>
                <w:b w:val="0"/>
                <w:lang w:val="es-PE"/>
              </w:rPr>
              <w:t xml:space="preserve"> </w:t>
            </w:r>
            <w:r w:rsidR="00295ECC" w:rsidRPr="001F2762">
              <w:rPr>
                <w:rFonts w:ascii="Calibri Light" w:hAnsi="Calibri Light"/>
                <w:b w:val="0"/>
                <w:lang w:val="es-PE"/>
              </w:rPr>
              <w:t xml:space="preserve">la acción. Pese a ello, los </w:t>
            </w:r>
            <w:r w:rsidR="00FE15AE" w:rsidRPr="001F2762">
              <w:rPr>
                <w:rFonts w:ascii="Calibri Light" w:hAnsi="Calibri Light"/>
                <w:b w:val="0"/>
                <w:lang w:val="es-PE"/>
              </w:rPr>
              <w:t>diferimientos</w:t>
            </w:r>
            <w:r w:rsidR="00295ECC" w:rsidRPr="001F2762">
              <w:rPr>
                <w:rFonts w:ascii="Calibri Light" w:hAnsi="Calibri Light"/>
                <w:b w:val="0"/>
                <w:lang w:val="es-PE"/>
              </w:rPr>
              <w:t xml:space="preserve"> </w:t>
            </w:r>
            <w:r w:rsidR="00FE15AE" w:rsidRPr="001F2762">
              <w:rPr>
                <w:rFonts w:ascii="Calibri Light" w:hAnsi="Calibri Light"/>
                <w:b w:val="0"/>
                <w:lang w:val="es-PE"/>
              </w:rPr>
              <w:t>continuaron</w:t>
            </w:r>
            <w:r w:rsidR="00295ECC" w:rsidRPr="001F2762">
              <w:rPr>
                <w:rFonts w:ascii="Calibri Light" w:hAnsi="Calibri Light"/>
                <w:b w:val="0"/>
                <w:lang w:val="es-PE"/>
              </w:rPr>
              <w:t xml:space="preserve"> y </w:t>
            </w:r>
            <w:r w:rsidR="002A2B82" w:rsidRPr="001F2762">
              <w:rPr>
                <w:rFonts w:ascii="Calibri Light" w:hAnsi="Calibri Light"/>
                <w:b w:val="0"/>
                <w:lang w:val="es-PE"/>
              </w:rPr>
              <w:t>a ello, se sumó</w:t>
            </w:r>
            <w:r w:rsidR="00295ECC" w:rsidRPr="001F2762">
              <w:rPr>
                <w:rFonts w:ascii="Calibri Light" w:hAnsi="Calibri Light"/>
                <w:b w:val="0"/>
                <w:lang w:val="es-PE"/>
              </w:rPr>
              <w:t xml:space="preserve"> un alto </w:t>
            </w:r>
            <w:r w:rsidR="00FE15AE" w:rsidRPr="001F2762">
              <w:rPr>
                <w:rFonts w:ascii="Calibri Light" w:hAnsi="Calibri Light"/>
                <w:b w:val="0"/>
                <w:lang w:val="es-PE"/>
              </w:rPr>
              <w:t>número</w:t>
            </w:r>
            <w:r w:rsidR="00295ECC" w:rsidRPr="001F2762">
              <w:rPr>
                <w:rFonts w:ascii="Calibri Light" w:hAnsi="Calibri Light"/>
                <w:b w:val="0"/>
                <w:lang w:val="es-PE"/>
              </w:rPr>
              <w:t xml:space="preserve"> de recusaciones e inhibiciones, </w:t>
            </w:r>
            <w:r w:rsidR="002A2B82" w:rsidRPr="001F2762">
              <w:rPr>
                <w:rFonts w:ascii="Calibri Light" w:hAnsi="Calibri Light"/>
                <w:b w:val="0"/>
                <w:lang w:val="es-PE"/>
              </w:rPr>
              <w:t>que</w:t>
            </w:r>
            <w:r w:rsidR="00295ECC" w:rsidRPr="001F2762">
              <w:rPr>
                <w:rFonts w:ascii="Calibri Light" w:hAnsi="Calibri Light"/>
                <w:b w:val="0"/>
                <w:lang w:val="es-PE"/>
              </w:rPr>
              <w:t xml:space="preserve"> fueron denunciadas por el abogado de la </w:t>
            </w:r>
            <w:r w:rsidR="00C9309C" w:rsidRPr="001F2762">
              <w:rPr>
                <w:rFonts w:ascii="Calibri Light" w:hAnsi="Calibri Light"/>
                <w:b w:val="0"/>
                <w:lang w:val="es-PE"/>
              </w:rPr>
              <w:t>señora</w:t>
            </w:r>
            <w:r w:rsidR="00295ECC" w:rsidRPr="001F2762">
              <w:rPr>
                <w:rFonts w:ascii="Calibri Light" w:hAnsi="Calibri Light"/>
                <w:b w:val="0"/>
                <w:lang w:val="es-PE"/>
              </w:rPr>
              <w:t xml:space="preserve"> </w:t>
            </w:r>
            <w:r w:rsidR="009A3D36" w:rsidRPr="001F2762">
              <w:rPr>
                <w:rFonts w:ascii="Calibri Light" w:hAnsi="Calibri Light"/>
                <w:b w:val="0"/>
                <w:lang w:val="es-PE"/>
              </w:rPr>
              <w:t>López</w:t>
            </w:r>
            <w:r w:rsidR="00295ECC" w:rsidRPr="001F2762">
              <w:rPr>
                <w:rFonts w:ascii="Calibri Light" w:hAnsi="Calibri Light"/>
                <w:b w:val="0"/>
                <w:lang w:val="es-PE"/>
              </w:rPr>
              <w:t xml:space="preserve">. Tras una huelga </w:t>
            </w:r>
            <w:r w:rsidR="00FE15AE" w:rsidRPr="001F2762">
              <w:rPr>
                <w:rFonts w:ascii="Calibri Light" w:hAnsi="Calibri Light"/>
                <w:b w:val="0"/>
                <w:lang w:val="es-PE"/>
              </w:rPr>
              <w:t>del hambre</w:t>
            </w:r>
            <w:r w:rsidR="00295ECC" w:rsidRPr="001F2762">
              <w:rPr>
                <w:rFonts w:ascii="Calibri Light" w:hAnsi="Calibri Light"/>
                <w:b w:val="0"/>
                <w:lang w:val="es-PE"/>
              </w:rPr>
              <w:t xml:space="preserve"> de la </w:t>
            </w:r>
            <w:r w:rsidR="00C9309C" w:rsidRPr="001F2762">
              <w:rPr>
                <w:rFonts w:ascii="Calibri Light" w:hAnsi="Calibri Light"/>
                <w:b w:val="0"/>
                <w:lang w:val="es-PE"/>
              </w:rPr>
              <w:t>señora</w:t>
            </w:r>
            <w:r w:rsidR="00295ECC" w:rsidRPr="001F2762">
              <w:rPr>
                <w:rFonts w:ascii="Calibri Light" w:hAnsi="Calibri Light"/>
                <w:b w:val="0"/>
                <w:lang w:val="es-PE"/>
              </w:rPr>
              <w:t xml:space="preserve"> </w:t>
            </w:r>
            <w:r w:rsidR="009A3D36" w:rsidRPr="001F2762">
              <w:rPr>
                <w:rFonts w:ascii="Calibri Light" w:hAnsi="Calibri Light"/>
                <w:b w:val="0"/>
                <w:lang w:val="es-PE"/>
              </w:rPr>
              <w:t>López</w:t>
            </w:r>
            <w:r w:rsidR="00295ECC" w:rsidRPr="001F2762">
              <w:rPr>
                <w:rFonts w:ascii="Calibri Light" w:hAnsi="Calibri Light"/>
                <w:b w:val="0"/>
                <w:lang w:val="es-PE"/>
              </w:rPr>
              <w:t xml:space="preserve">, el juicio finalmente </w:t>
            </w:r>
            <w:r w:rsidR="00FE15AE" w:rsidRPr="001F2762">
              <w:rPr>
                <w:rFonts w:ascii="Calibri Light" w:hAnsi="Calibri Light"/>
                <w:b w:val="0"/>
                <w:lang w:val="es-PE"/>
              </w:rPr>
              <w:t>inició</w:t>
            </w:r>
            <w:r w:rsidR="00295ECC" w:rsidRPr="001F2762">
              <w:rPr>
                <w:rFonts w:ascii="Calibri Light" w:hAnsi="Calibri Light"/>
                <w:b w:val="0"/>
                <w:lang w:val="es-PE"/>
              </w:rPr>
              <w:t xml:space="preserve"> en octubre del 2004. </w:t>
            </w:r>
          </w:p>
          <w:p w14:paraId="6AD249BB" w14:textId="77777777" w:rsidR="005430FB" w:rsidRPr="001F2762" w:rsidRDefault="005430FB" w:rsidP="008036E7">
            <w:pPr>
              <w:jc w:val="both"/>
              <w:rPr>
                <w:rFonts w:ascii="Calibri Light" w:hAnsi="Calibri Light"/>
                <w:b w:val="0"/>
                <w:lang w:val="es-PE"/>
              </w:rPr>
            </w:pPr>
          </w:p>
          <w:p w14:paraId="08331F74" w14:textId="67CAB2D5" w:rsidR="003E574B" w:rsidRPr="001F2762" w:rsidRDefault="00295ECC" w:rsidP="008036E7">
            <w:pPr>
              <w:jc w:val="both"/>
              <w:rPr>
                <w:rFonts w:ascii="Calibri Light" w:hAnsi="Calibri Light"/>
                <w:b w:val="0"/>
                <w:lang w:val="es-PE"/>
              </w:rPr>
            </w:pPr>
            <w:r w:rsidRPr="001F2762">
              <w:rPr>
                <w:rFonts w:ascii="Calibri Light" w:hAnsi="Calibri Light"/>
                <w:b w:val="0"/>
                <w:lang w:val="es-PE"/>
              </w:rPr>
              <w:t xml:space="preserve">El 21 de octubre de 2004, </w:t>
            </w:r>
            <w:r w:rsidR="00861455" w:rsidRPr="001F2762">
              <w:rPr>
                <w:rFonts w:ascii="Calibri Light" w:hAnsi="Calibri Light"/>
                <w:b w:val="0"/>
                <w:lang w:val="es-PE"/>
              </w:rPr>
              <w:t xml:space="preserve">se emitió </w:t>
            </w:r>
            <w:r w:rsidR="002A2B82" w:rsidRPr="001F2762">
              <w:rPr>
                <w:rFonts w:ascii="Calibri Light" w:hAnsi="Calibri Light"/>
                <w:b w:val="0"/>
                <w:lang w:val="es-PE"/>
              </w:rPr>
              <w:t>un pronunciamiento absolutorio</w:t>
            </w:r>
            <w:r w:rsidRPr="001F2762">
              <w:rPr>
                <w:rFonts w:ascii="Calibri Light" w:hAnsi="Calibri Light"/>
                <w:b w:val="0"/>
                <w:lang w:val="es-PE"/>
              </w:rPr>
              <w:t xml:space="preserve"> a favor del </w:t>
            </w:r>
            <w:r w:rsidR="00C9309C" w:rsidRPr="001F2762">
              <w:rPr>
                <w:rFonts w:ascii="Calibri Light" w:hAnsi="Calibri Light"/>
                <w:b w:val="0"/>
                <w:lang w:val="es-PE"/>
              </w:rPr>
              <w:t>señor</w:t>
            </w:r>
            <w:r w:rsidRPr="001F2762">
              <w:rPr>
                <w:rFonts w:ascii="Calibri Light" w:hAnsi="Calibri Light"/>
                <w:b w:val="0"/>
                <w:lang w:val="es-PE"/>
              </w:rPr>
              <w:t xml:space="preserve"> Carrera, su padre y los implicados en la fuga. </w:t>
            </w:r>
            <w:r w:rsidR="002A2B82" w:rsidRPr="001F2762">
              <w:rPr>
                <w:rFonts w:ascii="Calibri Light" w:hAnsi="Calibri Light"/>
                <w:b w:val="0"/>
                <w:lang w:val="es-PE"/>
              </w:rPr>
              <w:t>La sentencia recién</w:t>
            </w:r>
            <w:r w:rsidRPr="001F2762">
              <w:rPr>
                <w:rFonts w:ascii="Calibri Light" w:hAnsi="Calibri Light"/>
                <w:b w:val="0"/>
                <w:lang w:val="es-PE"/>
              </w:rPr>
              <w:t xml:space="preserve"> </w:t>
            </w:r>
            <w:r w:rsidR="00C45FCA" w:rsidRPr="001F2762">
              <w:rPr>
                <w:rFonts w:ascii="Calibri Light" w:hAnsi="Calibri Light"/>
                <w:b w:val="0"/>
                <w:lang w:val="es-PE"/>
              </w:rPr>
              <w:t xml:space="preserve">fue publicada </w:t>
            </w:r>
            <w:r w:rsidRPr="001F2762">
              <w:rPr>
                <w:rFonts w:ascii="Calibri Light" w:hAnsi="Calibri Light"/>
                <w:b w:val="0"/>
                <w:lang w:val="es-PE"/>
              </w:rPr>
              <w:t>el 5 de noviembre de 2004. E</w:t>
            </w:r>
            <w:r w:rsidR="00B47FF1" w:rsidRPr="001F2762">
              <w:rPr>
                <w:rFonts w:ascii="Calibri Light" w:hAnsi="Calibri Light"/>
                <w:b w:val="0"/>
                <w:lang w:val="es-PE"/>
              </w:rPr>
              <w:t>n e</w:t>
            </w:r>
            <w:r w:rsidR="0035309B" w:rsidRPr="001F2762">
              <w:rPr>
                <w:rFonts w:ascii="Calibri Light" w:hAnsi="Calibri Light"/>
                <w:b w:val="0"/>
                <w:lang w:val="es-PE"/>
              </w:rPr>
              <w:t>lla, e</w:t>
            </w:r>
            <w:r w:rsidRPr="001F2762">
              <w:rPr>
                <w:rFonts w:ascii="Calibri Light" w:hAnsi="Calibri Light"/>
                <w:b w:val="0"/>
                <w:lang w:val="es-PE"/>
              </w:rPr>
              <w:t xml:space="preserve">l </w:t>
            </w:r>
            <w:r w:rsidR="00FE15AE" w:rsidRPr="001F2762">
              <w:rPr>
                <w:rFonts w:ascii="Calibri Light" w:hAnsi="Calibri Light"/>
                <w:b w:val="0"/>
                <w:lang w:val="es-PE"/>
              </w:rPr>
              <w:t>Juzgado</w:t>
            </w:r>
            <w:r w:rsidRPr="001F2762">
              <w:rPr>
                <w:rFonts w:ascii="Calibri Light" w:hAnsi="Calibri Light"/>
                <w:b w:val="0"/>
                <w:lang w:val="es-PE"/>
              </w:rPr>
              <w:t xml:space="preserve"> </w:t>
            </w:r>
            <w:r w:rsidR="00FE15AE" w:rsidRPr="001F2762">
              <w:rPr>
                <w:rFonts w:ascii="Calibri Light" w:hAnsi="Calibri Light"/>
                <w:b w:val="0"/>
                <w:lang w:val="es-PE"/>
              </w:rPr>
              <w:t>reconoció</w:t>
            </w:r>
            <w:r w:rsidRPr="001F2762">
              <w:rPr>
                <w:rFonts w:ascii="Calibri Light" w:hAnsi="Calibri Light"/>
                <w:b w:val="0"/>
                <w:lang w:val="es-PE"/>
              </w:rPr>
              <w:t xml:space="preserve"> los abusos y traumatismos sufridos por la </w:t>
            </w:r>
            <w:r w:rsidR="00C9309C" w:rsidRPr="001F2762">
              <w:rPr>
                <w:rFonts w:ascii="Calibri Light" w:hAnsi="Calibri Light"/>
                <w:b w:val="0"/>
                <w:lang w:val="es-PE"/>
              </w:rPr>
              <w:t>señora</w:t>
            </w:r>
            <w:r w:rsidRPr="001F2762">
              <w:rPr>
                <w:rFonts w:ascii="Calibri Light" w:hAnsi="Calibri Light"/>
                <w:b w:val="0"/>
                <w:lang w:val="es-PE"/>
              </w:rPr>
              <w:t xml:space="preserve"> </w:t>
            </w:r>
            <w:r w:rsidR="009A3D36" w:rsidRPr="001F2762">
              <w:rPr>
                <w:rFonts w:ascii="Calibri Light" w:hAnsi="Calibri Light"/>
                <w:b w:val="0"/>
                <w:lang w:val="es-PE"/>
              </w:rPr>
              <w:t>López</w:t>
            </w:r>
            <w:r w:rsidR="00FE15AE" w:rsidRPr="001F2762">
              <w:rPr>
                <w:rFonts w:ascii="Calibri Light" w:hAnsi="Calibri Light"/>
                <w:b w:val="0"/>
                <w:lang w:val="es-PE"/>
              </w:rPr>
              <w:t>,</w:t>
            </w:r>
            <w:r w:rsidRPr="001F2762">
              <w:rPr>
                <w:rFonts w:ascii="Calibri Light" w:hAnsi="Calibri Light"/>
                <w:b w:val="0"/>
                <w:lang w:val="es-PE"/>
              </w:rPr>
              <w:t xml:space="preserve"> pero explicó que</w:t>
            </w:r>
            <w:r w:rsidR="004124AE" w:rsidRPr="001F2762">
              <w:rPr>
                <w:rFonts w:ascii="Calibri Light" w:hAnsi="Calibri Light"/>
                <w:b w:val="0"/>
                <w:lang w:val="es-PE"/>
              </w:rPr>
              <w:t xml:space="preserve"> dadas las versiones contradictorias de ella y el acusado, era necesario corroborar </w:t>
            </w:r>
            <w:r w:rsidR="004E2765" w:rsidRPr="001F2762">
              <w:rPr>
                <w:rFonts w:ascii="Calibri Light" w:hAnsi="Calibri Light"/>
                <w:b w:val="0"/>
                <w:lang w:val="es-PE"/>
              </w:rPr>
              <w:t>la</w:t>
            </w:r>
            <w:r w:rsidR="004124AE" w:rsidRPr="001F2762">
              <w:rPr>
                <w:rFonts w:ascii="Calibri Light" w:hAnsi="Calibri Light"/>
                <w:b w:val="0"/>
                <w:lang w:val="es-PE"/>
              </w:rPr>
              <w:t xml:space="preserve"> “credibilidad”</w:t>
            </w:r>
            <w:r w:rsidR="004E2765" w:rsidRPr="001F2762">
              <w:rPr>
                <w:rFonts w:ascii="Calibri Light" w:hAnsi="Calibri Light"/>
                <w:b w:val="0"/>
                <w:lang w:val="es-PE"/>
              </w:rPr>
              <w:t xml:space="preserve"> del testimonio de la señora López, lo cual no ocurrió por falta de otros elementos probatorios</w:t>
            </w:r>
            <w:r w:rsidR="00CF2567" w:rsidRPr="001F2762">
              <w:rPr>
                <w:rFonts w:ascii="Calibri Light" w:hAnsi="Calibri Light"/>
                <w:b w:val="0"/>
                <w:lang w:val="es-PE"/>
              </w:rPr>
              <w:t xml:space="preserve">. Además, no </w:t>
            </w:r>
            <w:r w:rsidR="00FE15AE" w:rsidRPr="001F2762">
              <w:rPr>
                <w:rFonts w:ascii="Calibri Light" w:hAnsi="Calibri Light"/>
                <w:b w:val="0"/>
                <w:lang w:val="es-PE"/>
              </w:rPr>
              <w:t>reconoció</w:t>
            </w:r>
            <w:r w:rsidR="00CF2567" w:rsidRPr="001F2762">
              <w:rPr>
                <w:rFonts w:ascii="Calibri Light" w:hAnsi="Calibri Light"/>
                <w:b w:val="0"/>
                <w:lang w:val="es-PE"/>
              </w:rPr>
              <w:t xml:space="preserve"> el secuestro</w:t>
            </w:r>
            <w:r w:rsidR="004E2765" w:rsidRPr="001F2762">
              <w:rPr>
                <w:rFonts w:ascii="Calibri Light" w:hAnsi="Calibri Light"/>
                <w:b w:val="0"/>
                <w:lang w:val="es-PE"/>
              </w:rPr>
              <w:t xml:space="preserve"> de la señora López, señalando </w:t>
            </w:r>
            <w:r w:rsidR="00CF2567" w:rsidRPr="001F2762">
              <w:rPr>
                <w:rFonts w:ascii="Calibri Light" w:hAnsi="Calibri Light"/>
                <w:b w:val="0"/>
                <w:lang w:val="es-PE"/>
              </w:rPr>
              <w:t xml:space="preserve"> que no </w:t>
            </w:r>
            <w:r w:rsidR="004E2765" w:rsidRPr="001F2762">
              <w:rPr>
                <w:rFonts w:ascii="Calibri Light" w:hAnsi="Calibri Light"/>
                <w:b w:val="0"/>
                <w:lang w:val="es-PE"/>
              </w:rPr>
              <w:t>se había podido</w:t>
            </w:r>
            <w:r w:rsidR="00CF2567" w:rsidRPr="001F2762">
              <w:rPr>
                <w:rFonts w:ascii="Calibri Light" w:hAnsi="Calibri Light"/>
                <w:b w:val="0"/>
                <w:lang w:val="es-PE"/>
              </w:rPr>
              <w:t xml:space="preserve"> </w:t>
            </w:r>
            <w:r w:rsidR="00FE15AE" w:rsidRPr="001F2762">
              <w:rPr>
                <w:rFonts w:ascii="Calibri Light" w:hAnsi="Calibri Light"/>
                <w:b w:val="0"/>
                <w:lang w:val="es-PE"/>
              </w:rPr>
              <w:t>comprobar</w:t>
            </w:r>
            <w:r w:rsidR="00CF2567" w:rsidRPr="001F2762">
              <w:rPr>
                <w:rFonts w:ascii="Calibri Light" w:hAnsi="Calibri Light"/>
                <w:b w:val="0"/>
                <w:lang w:val="es-PE"/>
              </w:rPr>
              <w:t xml:space="preserve"> debido a que la </w:t>
            </w:r>
            <w:r w:rsidR="00FE15AE" w:rsidRPr="001F2762">
              <w:rPr>
                <w:rFonts w:ascii="Calibri Light" w:hAnsi="Calibri Light"/>
                <w:b w:val="0"/>
                <w:lang w:val="es-PE"/>
              </w:rPr>
              <w:t>dirección</w:t>
            </w:r>
            <w:r w:rsidR="000A5834" w:rsidRPr="001F2762">
              <w:rPr>
                <w:rFonts w:ascii="Calibri Light" w:hAnsi="Calibri Light"/>
                <w:b w:val="0"/>
                <w:lang w:val="es-PE"/>
              </w:rPr>
              <w:t xml:space="preserve"> en </w:t>
            </w:r>
            <w:r w:rsidR="004E2765" w:rsidRPr="001F2762">
              <w:rPr>
                <w:rFonts w:ascii="Calibri Light" w:hAnsi="Calibri Light"/>
                <w:b w:val="0"/>
                <w:lang w:val="es-PE"/>
              </w:rPr>
              <w:t>la que habría ocurrido</w:t>
            </w:r>
            <w:r w:rsidR="00CF2567" w:rsidRPr="001F2762">
              <w:rPr>
                <w:rFonts w:ascii="Calibri Light" w:hAnsi="Calibri Light"/>
                <w:b w:val="0"/>
                <w:lang w:val="es-PE"/>
              </w:rPr>
              <w:t xml:space="preserve"> no se pudo </w:t>
            </w:r>
            <w:r w:rsidR="00FE15AE" w:rsidRPr="001F2762">
              <w:rPr>
                <w:rFonts w:ascii="Calibri Light" w:hAnsi="Calibri Light"/>
                <w:b w:val="0"/>
                <w:lang w:val="es-PE"/>
              </w:rPr>
              <w:t>encontrar</w:t>
            </w:r>
            <w:r w:rsidR="00CF2567" w:rsidRPr="001F2762">
              <w:rPr>
                <w:rFonts w:ascii="Calibri Light" w:hAnsi="Calibri Light"/>
                <w:b w:val="0"/>
                <w:lang w:val="es-PE"/>
              </w:rPr>
              <w:t>.</w:t>
            </w:r>
          </w:p>
          <w:p w14:paraId="133D78A7" w14:textId="77777777" w:rsidR="00CF2567" w:rsidRPr="001F2762" w:rsidRDefault="00CF2567" w:rsidP="008036E7">
            <w:pPr>
              <w:jc w:val="both"/>
              <w:rPr>
                <w:rFonts w:ascii="Calibri Light" w:hAnsi="Calibri Light"/>
                <w:b w:val="0"/>
                <w:lang w:val="es-PE"/>
              </w:rPr>
            </w:pPr>
          </w:p>
          <w:p w14:paraId="1649A699" w14:textId="15BE3420" w:rsidR="00CF2567" w:rsidRPr="001F2762" w:rsidRDefault="00CF2567" w:rsidP="008036E7">
            <w:pPr>
              <w:jc w:val="both"/>
              <w:rPr>
                <w:rFonts w:ascii="Calibri Light" w:hAnsi="Calibri Light"/>
                <w:b w:val="0"/>
                <w:lang w:val="es-PE"/>
              </w:rPr>
            </w:pPr>
            <w:r w:rsidRPr="001F2762">
              <w:rPr>
                <w:rFonts w:ascii="Calibri Light" w:hAnsi="Calibri Light"/>
                <w:b w:val="0"/>
                <w:lang w:val="es-PE"/>
              </w:rPr>
              <w:t xml:space="preserve">A raíz de esta sentencia, el abogado de la </w:t>
            </w:r>
            <w:r w:rsidR="00FE15AE" w:rsidRPr="001F2762">
              <w:rPr>
                <w:rFonts w:ascii="Calibri Light" w:hAnsi="Calibri Light"/>
                <w:b w:val="0"/>
                <w:lang w:val="es-PE"/>
              </w:rPr>
              <w:t>víctima</w:t>
            </w:r>
            <w:r w:rsidRPr="001F2762">
              <w:rPr>
                <w:rFonts w:ascii="Calibri Light" w:hAnsi="Calibri Light"/>
                <w:b w:val="0"/>
                <w:lang w:val="es-PE"/>
              </w:rPr>
              <w:t xml:space="preserve"> interpuso </w:t>
            </w:r>
            <w:r w:rsidR="00FE15AE" w:rsidRPr="001F2762">
              <w:rPr>
                <w:rFonts w:ascii="Calibri Light" w:hAnsi="Calibri Light"/>
                <w:b w:val="0"/>
                <w:lang w:val="es-PE"/>
              </w:rPr>
              <w:t>una denuncia</w:t>
            </w:r>
            <w:r w:rsidRPr="001F2762">
              <w:rPr>
                <w:rFonts w:ascii="Calibri Light" w:hAnsi="Calibri Light"/>
                <w:b w:val="0"/>
                <w:lang w:val="es-PE"/>
              </w:rPr>
              <w:t xml:space="preserve"> contra la jueza que emitió la sentencia, y </w:t>
            </w:r>
            <w:r w:rsidR="00FE15AE" w:rsidRPr="001F2762">
              <w:rPr>
                <w:rFonts w:ascii="Calibri Light" w:hAnsi="Calibri Light"/>
                <w:b w:val="0"/>
                <w:lang w:val="es-PE"/>
              </w:rPr>
              <w:t>múltiples</w:t>
            </w:r>
            <w:r w:rsidRPr="001F2762">
              <w:rPr>
                <w:rFonts w:ascii="Calibri Light" w:hAnsi="Calibri Light"/>
                <w:b w:val="0"/>
                <w:lang w:val="es-PE"/>
              </w:rPr>
              <w:t xml:space="preserve"> </w:t>
            </w:r>
            <w:r w:rsidR="00FE15AE" w:rsidRPr="001F2762">
              <w:rPr>
                <w:rFonts w:ascii="Calibri Light" w:hAnsi="Calibri Light"/>
                <w:b w:val="0"/>
                <w:lang w:val="es-PE"/>
              </w:rPr>
              <w:t>apelaciones</w:t>
            </w:r>
            <w:r w:rsidRPr="001F2762">
              <w:rPr>
                <w:rFonts w:ascii="Calibri Light" w:hAnsi="Calibri Light"/>
                <w:b w:val="0"/>
                <w:lang w:val="es-PE"/>
              </w:rPr>
              <w:t xml:space="preserve">. </w:t>
            </w:r>
            <w:r w:rsidR="004E2765" w:rsidRPr="001F2762">
              <w:rPr>
                <w:rFonts w:ascii="Calibri Light" w:hAnsi="Calibri Light"/>
                <w:b w:val="0"/>
                <w:lang w:val="es-PE"/>
              </w:rPr>
              <w:t>Estos recursos</w:t>
            </w:r>
            <w:r w:rsidRPr="001F2762">
              <w:rPr>
                <w:rFonts w:ascii="Calibri Light" w:hAnsi="Calibri Light"/>
                <w:b w:val="0"/>
                <w:lang w:val="es-PE"/>
              </w:rPr>
              <w:t xml:space="preserve"> culminaron en una </w:t>
            </w:r>
            <w:r w:rsidR="00FE15AE" w:rsidRPr="001F2762">
              <w:rPr>
                <w:rFonts w:ascii="Calibri Light" w:hAnsi="Calibri Light"/>
                <w:b w:val="0"/>
                <w:lang w:val="es-PE"/>
              </w:rPr>
              <w:t>decisión</w:t>
            </w:r>
            <w:r w:rsidRPr="001F2762">
              <w:rPr>
                <w:rFonts w:ascii="Calibri Light" w:hAnsi="Calibri Light"/>
                <w:b w:val="0"/>
                <w:lang w:val="es-PE"/>
              </w:rPr>
              <w:t xml:space="preserve"> de </w:t>
            </w:r>
            <w:r w:rsidR="00FE15AE" w:rsidRPr="001F2762">
              <w:rPr>
                <w:rFonts w:ascii="Calibri Light" w:hAnsi="Calibri Light"/>
                <w:b w:val="0"/>
                <w:lang w:val="es-PE"/>
              </w:rPr>
              <w:t>anulación</w:t>
            </w:r>
            <w:r w:rsidRPr="001F2762">
              <w:rPr>
                <w:rFonts w:ascii="Calibri Light" w:hAnsi="Calibri Light"/>
                <w:b w:val="0"/>
                <w:lang w:val="es-PE"/>
              </w:rPr>
              <w:t xml:space="preserve"> de la sentencia y la orden de abrir un </w:t>
            </w:r>
            <w:r w:rsidR="00FE15AE" w:rsidRPr="001F2762">
              <w:rPr>
                <w:rFonts w:ascii="Calibri Light" w:hAnsi="Calibri Light"/>
                <w:b w:val="0"/>
                <w:lang w:val="es-PE"/>
              </w:rPr>
              <w:t>nuevo</w:t>
            </w:r>
            <w:r w:rsidRPr="001F2762">
              <w:rPr>
                <w:rFonts w:ascii="Calibri Light" w:hAnsi="Calibri Light"/>
                <w:b w:val="0"/>
                <w:lang w:val="es-PE"/>
              </w:rPr>
              <w:t xml:space="preserve"> juicio. E</w:t>
            </w:r>
            <w:r w:rsidR="004E2765" w:rsidRPr="001F2762">
              <w:rPr>
                <w:rFonts w:ascii="Calibri Light" w:hAnsi="Calibri Light"/>
                <w:b w:val="0"/>
                <w:lang w:val="es-PE"/>
              </w:rPr>
              <w:t>n este, e</w:t>
            </w:r>
            <w:r w:rsidRPr="001F2762">
              <w:rPr>
                <w:rFonts w:ascii="Calibri Light" w:hAnsi="Calibri Light"/>
                <w:b w:val="0"/>
                <w:lang w:val="es-PE"/>
              </w:rPr>
              <w:t xml:space="preserve">l 9 de </w:t>
            </w:r>
            <w:r w:rsidR="00C00ED9" w:rsidRPr="001F2762">
              <w:rPr>
                <w:rFonts w:ascii="Calibri Light" w:hAnsi="Calibri Light"/>
                <w:b w:val="0"/>
                <w:lang w:val="es-PE"/>
              </w:rPr>
              <w:t>ab</w:t>
            </w:r>
            <w:r w:rsidRPr="001F2762">
              <w:rPr>
                <w:rFonts w:ascii="Calibri Light" w:hAnsi="Calibri Light"/>
                <w:b w:val="0"/>
                <w:lang w:val="es-PE"/>
              </w:rPr>
              <w:t>r</w:t>
            </w:r>
            <w:r w:rsidR="00C00ED9" w:rsidRPr="001F2762">
              <w:rPr>
                <w:rFonts w:ascii="Calibri Light" w:hAnsi="Calibri Light"/>
                <w:b w:val="0"/>
                <w:lang w:val="es-PE"/>
              </w:rPr>
              <w:t>il de 2006</w:t>
            </w:r>
            <w:r w:rsidR="004E2765" w:rsidRPr="001F2762">
              <w:rPr>
                <w:rFonts w:ascii="Calibri Light" w:hAnsi="Calibri Light"/>
                <w:b w:val="0"/>
                <w:lang w:val="es-PE"/>
              </w:rPr>
              <w:t>,</w:t>
            </w:r>
            <w:r w:rsidRPr="001F2762">
              <w:rPr>
                <w:rFonts w:ascii="Calibri Light" w:hAnsi="Calibri Light"/>
                <w:b w:val="0"/>
                <w:lang w:val="es-PE"/>
              </w:rPr>
              <w:t xml:space="preserve"> se emitió una sentencia condenatoria contra </w:t>
            </w:r>
            <w:r w:rsidR="005430FB" w:rsidRPr="001F2762">
              <w:rPr>
                <w:rFonts w:ascii="Calibri Light" w:hAnsi="Calibri Light"/>
                <w:b w:val="0"/>
                <w:lang w:val="es-PE"/>
              </w:rPr>
              <w:t xml:space="preserve">el señor </w:t>
            </w:r>
            <w:r w:rsidRPr="001F2762">
              <w:rPr>
                <w:rFonts w:ascii="Calibri Light" w:hAnsi="Calibri Light"/>
                <w:b w:val="0"/>
                <w:lang w:val="es-PE"/>
              </w:rPr>
              <w:t xml:space="preserve">Carrera por privación </w:t>
            </w:r>
            <w:r w:rsidR="00FE15AE" w:rsidRPr="001F2762">
              <w:rPr>
                <w:rFonts w:ascii="Calibri Light" w:hAnsi="Calibri Light"/>
                <w:b w:val="0"/>
                <w:lang w:val="es-PE"/>
              </w:rPr>
              <w:t>ilegítima</w:t>
            </w:r>
            <w:r w:rsidRPr="001F2762">
              <w:rPr>
                <w:rFonts w:ascii="Calibri Light" w:hAnsi="Calibri Light"/>
                <w:b w:val="0"/>
                <w:lang w:val="es-PE"/>
              </w:rPr>
              <w:t xml:space="preserve"> de libertad y lesiones personales </w:t>
            </w:r>
            <w:r w:rsidR="00FE15AE" w:rsidRPr="001F2762">
              <w:rPr>
                <w:rFonts w:ascii="Calibri Light" w:hAnsi="Calibri Light"/>
                <w:b w:val="0"/>
                <w:lang w:val="es-PE"/>
              </w:rPr>
              <w:t>gravísimas</w:t>
            </w:r>
            <w:r w:rsidRPr="001F2762">
              <w:rPr>
                <w:rFonts w:ascii="Calibri Light" w:hAnsi="Calibri Light"/>
                <w:b w:val="0"/>
                <w:lang w:val="es-PE"/>
              </w:rPr>
              <w:t xml:space="preserve">. Sin embargo, fue </w:t>
            </w:r>
            <w:r w:rsidR="00FE15AE" w:rsidRPr="001F2762">
              <w:rPr>
                <w:rFonts w:ascii="Calibri Light" w:hAnsi="Calibri Light"/>
                <w:b w:val="0"/>
                <w:lang w:val="es-PE"/>
              </w:rPr>
              <w:t>absuelto</w:t>
            </w:r>
            <w:r w:rsidRPr="001F2762">
              <w:rPr>
                <w:rFonts w:ascii="Calibri Light" w:hAnsi="Calibri Light"/>
                <w:b w:val="0"/>
                <w:lang w:val="es-PE"/>
              </w:rPr>
              <w:t xml:space="preserve"> de</w:t>
            </w:r>
            <w:r w:rsidR="00453383" w:rsidRPr="001F2762">
              <w:rPr>
                <w:rFonts w:ascii="Calibri Light" w:hAnsi="Calibri Light"/>
                <w:b w:val="0"/>
                <w:lang w:val="es-PE"/>
              </w:rPr>
              <w:t>l delito de</w:t>
            </w:r>
            <w:r w:rsidRPr="001F2762">
              <w:rPr>
                <w:rFonts w:ascii="Calibri Light" w:hAnsi="Calibri Light"/>
                <w:b w:val="0"/>
                <w:lang w:val="es-PE"/>
              </w:rPr>
              <w:t xml:space="preserve"> violación </w:t>
            </w:r>
            <w:r w:rsidR="00FE15AE" w:rsidRPr="001F2762">
              <w:rPr>
                <w:rFonts w:ascii="Calibri Light" w:hAnsi="Calibri Light"/>
                <w:b w:val="0"/>
                <w:lang w:val="es-PE"/>
              </w:rPr>
              <w:t>sexual</w:t>
            </w:r>
            <w:r w:rsidR="00453383" w:rsidRPr="001F2762">
              <w:rPr>
                <w:rFonts w:ascii="Calibri Light" w:hAnsi="Calibri Light"/>
                <w:b w:val="0"/>
                <w:lang w:val="es-PE"/>
              </w:rPr>
              <w:t>. Asimismo,</w:t>
            </w:r>
            <w:r w:rsidRPr="001F2762">
              <w:rPr>
                <w:rFonts w:ascii="Calibri Light" w:hAnsi="Calibri Light"/>
                <w:b w:val="0"/>
                <w:lang w:val="es-PE"/>
              </w:rPr>
              <w:t xml:space="preserve"> su padre y otros implicados fueron absueltos de cualquier delito. Una apelación </w:t>
            </w:r>
            <w:r w:rsidRPr="001F2762">
              <w:rPr>
                <w:rFonts w:ascii="Calibri Light" w:hAnsi="Calibri Light"/>
                <w:b w:val="0"/>
                <w:lang w:val="es-PE"/>
              </w:rPr>
              <w:lastRenderedPageBreak/>
              <w:t>contra la sentencia fue presentada por el Ministerio P</w:t>
            </w:r>
            <w:r w:rsidR="004E2765" w:rsidRPr="001F2762">
              <w:rPr>
                <w:rFonts w:ascii="Calibri Light" w:hAnsi="Calibri Light"/>
                <w:b w:val="0"/>
                <w:lang w:val="es-PE"/>
              </w:rPr>
              <w:t>ú</w:t>
            </w:r>
            <w:r w:rsidRPr="001F2762">
              <w:rPr>
                <w:rFonts w:ascii="Calibri Light" w:hAnsi="Calibri Light"/>
                <w:b w:val="0"/>
                <w:lang w:val="es-PE"/>
              </w:rPr>
              <w:t xml:space="preserve">blico y el abogado de la </w:t>
            </w:r>
            <w:r w:rsidR="00C9309C" w:rsidRPr="001F2762">
              <w:rPr>
                <w:rFonts w:ascii="Calibri Light" w:hAnsi="Calibri Light"/>
                <w:b w:val="0"/>
                <w:lang w:val="es-PE"/>
              </w:rPr>
              <w:t>señora</w:t>
            </w:r>
            <w:r w:rsidRPr="001F2762">
              <w:rPr>
                <w:rFonts w:ascii="Calibri Light" w:hAnsi="Calibri Light"/>
                <w:b w:val="0"/>
                <w:lang w:val="es-PE"/>
              </w:rPr>
              <w:t xml:space="preserve"> </w:t>
            </w:r>
            <w:r w:rsidR="009A3D36" w:rsidRPr="001F2762">
              <w:rPr>
                <w:rFonts w:ascii="Calibri Light" w:hAnsi="Calibri Light"/>
                <w:b w:val="0"/>
                <w:lang w:val="es-PE"/>
              </w:rPr>
              <w:t>López</w:t>
            </w:r>
            <w:r w:rsidRPr="001F2762">
              <w:rPr>
                <w:rFonts w:ascii="Calibri Light" w:hAnsi="Calibri Light"/>
                <w:b w:val="0"/>
                <w:lang w:val="es-PE"/>
              </w:rPr>
              <w:t xml:space="preserve">, sin resultado. </w:t>
            </w:r>
            <w:r w:rsidR="004E2765" w:rsidRPr="001F2762">
              <w:rPr>
                <w:rFonts w:ascii="Calibri Light" w:hAnsi="Calibri Light"/>
                <w:b w:val="0"/>
                <w:lang w:val="es-PE"/>
              </w:rPr>
              <w:t xml:space="preserve">Cabe señalar que durante el proceso, </w:t>
            </w:r>
            <w:r w:rsidRPr="001F2762">
              <w:rPr>
                <w:rFonts w:ascii="Calibri Light" w:hAnsi="Calibri Light"/>
                <w:b w:val="0"/>
                <w:lang w:val="es-PE"/>
              </w:rPr>
              <w:t xml:space="preserve">la </w:t>
            </w:r>
            <w:r w:rsidR="004E2765" w:rsidRPr="001F2762">
              <w:rPr>
                <w:rFonts w:ascii="Calibri Light" w:hAnsi="Calibri Light"/>
                <w:b w:val="0"/>
                <w:lang w:val="es-PE"/>
              </w:rPr>
              <w:t xml:space="preserve">señora López </w:t>
            </w:r>
            <w:r w:rsidRPr="001F2762">
              <w:rPr>
                <w:rFonts w:ascii="Calibri Light" w:hAnsi="Calibri Light"/>
                <w:b w:val="0"/>
                <w:lang w:val="es-PE"/>
              </w:rPr>
              <w:t xml:space="preserve">y sus familiares </w:t>
            </w:r>
            <w:r w:rsidR="004E2765" w:rsidRPr="001F2762">
              <w:rPr>
                <w:rFonts w:ascii="Calibri Light" w:hAnsi="Calibri Light"/>
                <w:b w:val="0"/>
                <w:lang w:val="es-PE"/>
              </w:rPr>
              <w:t xml:space="preserve">habrían sufrido </w:t>
            </w:r>
            <w:r w:rsidRPr="001F2762">
              <w:rPr>
                <w:rFonts w:ascii="Calibri Light" w:hAnsi="Calibri Light"/>
                <w:b w:val="0"/>
                <w:lang w:val="es-PE"/>
              </w:rPr>
              <w:t xml:space="preserve">varios actos de intimidación, </w:t>
            </w:r>
            <w:r w:rsidR="00FE15AE" w:rsidRPr="001F2762">
              <w:rPr>
                <w:rFonts w:ascii="Calibri Light" w:hAnsi="Calibri Light"/>
                <w:b w:val="0"/>
                <w:lang w:val="es-PE"/>
              </w:rPr>
              <w:t>hostigamiento</w:t>
            </w:r>
            <w:r w:rsidRPr="001F2762">
              <w:rPr>
                <w:rFonts w:ascii="Calibri Light" w:hAnsi="Calibri Light"/>
                <w:b w:val="0"/>
                <w:lang w:val="es-PE"/>
              </w:rPr>
              <w:t xml:space="preserve"> y </w:t>
            </w:r>
            <w:r w:rsidR="00FE15AE" w:rsidRPr="001F2762">
              <w:rPr>
                <w:rFonts w:ascii="Calibri Light" w:hAnsi="Calibri Light"/>
                <w:b w:val="0"/>
                <w:lang w:val="es-PE"/>
              </w:rPr>
              <w:t>amenazas</w:t>
            </w:r>
            <w:r w:rsidRPr="001F2762">
              <w:rPr>
                <w:rFonts w:ascii="Calibri Light" w:hAnsi="Calibri Light"/>
                <w:b w:val="0"/>
                <w:lang w:val="es-PE"/>
              </w:rPr>
              <w:t xml:space="preserve"> contra sus vidas a pesar de las </w:t>
            </w:r>
            <w:r w:rsidR="00FE15AE" w:rsidRPr="001F2762">
              <w:rPr>
                <w:rFonts w:ascii="Calibri Light" w:hAnsi="Calibri Light"/>
                <w:b w:val="0"/>
                <w:lang w:val="es-PE"/>
              </w:rPr>
              <w:t>medidas</w:t>
            </w:r>
            <w:r w:rsidRPr="001F2762">
              <w:rPr>
                <w:rFonts w:ascii="Calibri Light" w:hAnsi="Calibri Light"/>
                <w:b w:val="0"/>
                <w:lang w:val="es-PE"/>
              </w:rPr>
              <w:t xml:space="preserve"> de protección</w:t>
            </w:r>
            <w:r w:rsidR="004E2765" w:rsidRPr="001F2762">
              <w:rPr>
                <w:rFonts w:ascii="Calibri Light" w:hAnsi="Calibri Light"/>
                <w:b w:val="0"/>
                <w:lang w:val="es-PE"/>
              </w:rPr>
              <w:t xml:space="preserve"> que les fueron</w:t>
            </w:r>
            <w:r w:rsidRPr="001F2762">
              <w:rPr>
                <w:rFonts w:ascii="Calibri Light" w:hAnsi="Calibri Light"/>
                <w:b w:val="0"/>
                <w:lang w:val="es-PE"/>
              </w:rPr>
              <w:t xml:space="preserve"> </w:t>
            </w:r>
            <w:r w:rsidR="00FE15AE" w:rsidRPr="001F2762">
              <w:rPr>
                <w:rFonts w:ascii="Calibri Light" w:hAnsi="Calibri Light"/>
                <w:b w:val="0"/>
                <w:lang w:val="es-PE"/>
              </w:rPr>
              <w:t>otorgadas</w:t>
            </w:r>
            <w:r w:rsidRPr="001F2762">
              <w:rPr>
                <w:rFonts w:ascii="Calibri Light" w:hAnsi="Calibri Light"/>
                <w:b w:val="0"/>
                <w:lang w:val="es-PE"/>
              </w:rPr>
              <w:t>.</w:t>
            </w:r>
          </w:p>
          <w:p w14:paraId="2802FA5D" w14:textId="77777777" w:rsidR="005C4E8F" w:rsidRPr="001F2762" w:rsidRDefault="005C4E8F" w:rsidP="008036E7">
            <w:pPr>
              <w:jc w:val="both"/>
              <w:rPr>
                <w:rFonts w:ascii="Calibri Light" w:hAnsi="Calibri Light"/>
                <w:b w:val="0"/>
                <w:lang w:val="es-PE"/>
              </w:rPr>
            </w:pPr>
          </w:p>
          <w:p w14:paraId="0F172C63" w14:textId="045D0BF8" w:rsidR="005C4E8F" w:rsidRPr="001F2762" w:rsidRDefault="005C4E8F" w:rsidP="005C4E8F">
            <w:pPr>
              <w:jc w:val="both"/>
              <w:rPr>
                <w:rFonts w:ascii="Calibri Light" w:hAnsi="Calibri Light"/>
                <w:b w:val="0"/>
                <w:lang w:val="es-PE"/>
              </w:rPr>
            </w:pPr>
            <w:r w:rsidRPr="001F2762">
              <w:rPr>
                <w:rFonts w:ascii="Calibri Light" w:hAnsi="Calibri Light"/>
                <w:b w:val="0"/>
                <w:lang w:val="es-PE"/>
              </w:rPr>
              <w:t xml:space="preserve">Frente a tales hechos, Linda Loaiza López </w:t>
            </w:r>
            <w:r w:rsidR="009A3D36" w:rsidRPr="001F2762">
              <w:rPr>
                <w:rFonts w:ascii="Calibri Light" w:hAnsi="Calibri Light"/>
                <w:b w:val="0"/>
                <w:lang w:val="es-PE"/>
              </w:rPr>
              <w:t xml:space="preserve">Soto </w:t>
            </w:r>
            <w:r w:rsidRPr="001F2762">
              <w:rPr>
                <w:rFonts w:ascii="Calibri Light" w:hAnsi="Calibri Light"/>
                <w:b w:val="0"/>
                <w:lang w:val="es-PE"/>
              </w:rPr>
              <w:t>y Juan Bernardo Delgado presentaron una petición ante la CIDH, denunciando que el Estado de Venezuela había vulnerado los derechos a la</w:t>
            </w:r>
            <w:r w:rsidR="00381587" w:rsidRPr="001F2762">
              <w:rPr>
                <w:rFonts w:ascii="Calibri Light" w:hAnsi="Calibri Light"/>
                <w:b w:val="0"/>
                <w:lang w:val="es-PE"/>
              </w:rPr>
              <w:t xml:space="preserve"> vida (artículo 4 de la CADH), a la</w:t>
            </w:r>
            <w:r w:rsidRPr="001F2762">
              <w:rPr>
                <w:rFonts w:ascii="Calibri Light" w:hAnsi="Calibri Light"/>
                <w:b w:val="0"/>
                <w:lang w:val="es-PE"/>
              </w:rPr>
              <w:t xml:space="preserve"> integridad personal</w:t>
            </w:r>
            <w:r w:rsidR="00381587" w:rsidRPr="001F2762">
              <w:rPr>
                <w:rFonts w:ascii="Calibri Light" w:hAnsi="Calibri Light"/>
                <w:b w:val="0"/>
                <w:lang w:val="es-PE"/>
              </w:rPr>
              <w:t xml:space="preserve"> (artículo 5)</w:t>
            </w:r>
            <w:r w:rsidRPr="001F2762">
              <w:rPr>
                <w:rFonts w:ascii="Calibri Light" w:hAnsi="Calibri Light"/>
                <w:b w:val="0"/>
                <w:lang w:val="es-PE"/>
              </w:rPr>
              <w:t xml:space="preserve">, </w:t>
            </w:r>
            <w:r w:rsidR="00381587" w:rsidRPr="001F2762">
              <w:rPr>
                <w:rFonts w:ascii="Calibri Light" w:hAnsi="Calibri Light"/>
                <w:b w:val="0"/>
                <w:lang w:val="es-PE"/>
              </w:rPr>
              <w:t xml:space="preserve">a </w:t>
            </w:r>
            <w:r w:rsidRPr="001F2762">
              <w:rPr>
                <w:rFonts w:ascii="Calibri Light" w:hAnsi="Calibri Light"/>
                <w:b w:val="0"/>
                <w:lang w:val="es-PE"/>
              </w:rPr>
              <w:t xml:space="preserve">la </w:t>
            </w:r>
            <w:r w:rsidR="00FE15AE" w:rsidRPr="001F2762">
              <w:rPr>
                <w:rFonts w:ascii="Calibri Light" w:hAnsi="Calibri Light"/>
                <w:b w:val="0"/>
                <w:lang w:val="es-PE"/>
              </w:rPr>
              <w:t>libertad</w:t>
            </w:r>
            <w:r w:rsidRPr="001F2762">
              <w:rPr>
                <w:rFonts w:ascii="Calibri Light" w:hAnsi="Calibri Light"/>
                <w:b w:val="0"/>
                <w:lang w:val="es-PE"/>
              </w:rPr>
              <w:t xml:space="preserve"> personal</w:t>
            </w:r>
            <w:r w:rsidR="00381587" w:rsidRPr="001F2762">
              <w:rPr>
                <w:rFonts w:ascii="Calibri Light" w:hAnsi="Calibri Light"/>
                <w:b w:val="0"/>
                <w:lang w:val="es-PE"/>
              </w:rPr>
              <w:t xml:space="preserve"> (artículo 7)</w:t>
            </w:r>
            <w:r w:rsidRPr="001F2762">
              <w:rPr>
                <w:rFonts w:ascii="Calibri Light" w:hAnsi="Calibri Light"/>
                <w:b w:val="0"/>
                <w:lang w:val="es-PE"/>
              </w:rPr>
              <w:t xml:space="preserve">, </w:t>
            </w:r>
            <w:r w:rsidR="00381587" w:rsidRPr="001F2762">
              <w:rPr>
                <w:rFonts w:ascii="Calibri Light" w:hAnsi="Calibri Light"/>
                <w:b w:val="0"/>
                <w:lang w:val="es-PE"/>
              </w:rPr>
              <w:t xml:space="preserve">a las garantías judiciales (artículo 8), a </w:t>
            </w:r>
            <w:r w:rsidRPr="001F2762">
              <w:rPr>
                <w:rFonts w:ascii="Calibri Light" w:hAnsi="Calibri Light"/>
                <w:b w:val="0"/>
                <w:lang w:val="es-PE"/>
              </w:rPr>
              <w:t xml:space="preserve">la </w:t>
            </w:r>
            <w:r w:rsidR="00381587" w:rsidRPr="001F2762">
              <w:rPr>
                <w:rFonts w:ascii="Calibri Light" w:hAnsi="Calibri Light"/>
                <w:b w:val="0"/>
                <w:lang w:val="es-PE"/>
              </w:rPr>
              <w:t>protección a la honra y dignidad (artículo 11)</w:t>
            </w:r>
            <w:r w:rsidRPr="001F2762">
              <w:rPr>
                <w:rFonts w:ascii="Calibri Light" w:hAnsi="Calibri Light"/>
                <w:b w:val="0"/>
                <w:lang w:val="es-PE"/>
              </w:rPr>
              <w:t xml:space="preserve">, </w:t>
            </w:r>
            <w:r w:rsidR="00381587" w:rsidRPr="001F2762">
              <w:rPr>
                <w:rFonts w:ascii="Calibri Light" w:hAnsi="Calibri Light"/>
                <w:b w:val="0"/>
                <w:lang w:val="es-PE"/>
              </w:rPr>
              <w:t xml:space="preserve">a </w:t>
            </w:r>
            <w:r w:rsidRPr="001F2762">
              <w:rPr>
                <w:rFonts w:ascii="Calibri Light" w:hAnsi="Calibri Light"/>
                <w:b w:val="0"/>
                <w:lang w:val="es-PE"/>
              </w:rPr>
              <w:t>la igualdad</w:t>
            </w:r>
            <w:r w:rsidR="00E0027D" w:rsidRPr="001F2762">
              <w:rPr>
                <w:rFonts w:ascii="Calibri Light" w:hAnsi="Calibri Light"/>
                <w:b w:val="0"/>
                <w:lang w:val="es-PE"/>
              </w:rPr>
              <w:t xml:space="preserve"> ante la ley</w:t>
            </w:r>
            <w:r w:rsidR="00381587" w:rsidRPr="001F2762">
              <w:rPr>
                <w:rFonts w:ascii="Calibri Light" w:hAnsi="Calibri Light"/>
                <w:b w:val="0"/>
                <w:lang w:val="es-PE"/>
              </w:rPr>
              <w:t xml:space="preserve"> (artículo 24)</w:t>
            </w:r>
            <w:r w:rsidRPr="001F2762">
              <w:rPr>
                <w:rFonts w:ascii="Calibri Light" w:hAnsi="Calibri Light"/>
                <w:b w:val="0"/>
                <w:lang w:val="es-PE"/>
              </w:rPr>
              <w:t>, y a la protección judicial</w:t>
            </w:r>
            <w:r w:rsidR="00381587" w:rsidRPr="001F2762">
              <w:rPr>
                <w:rFonts w:ascii="Calibri Light" w:hAnsi="Calibri Light"/>
                <w:b w:val="0"/>
                <w:lang w:val="es-PE"/>
              </w:rPr>
              <w:t xml:space="preserve"> (artículo 25),</w:t>
            </w:r>
            <w:r w:rsidRPr="001F2762">
              <w:rPr>
                <w:rFonts w:ascii="Calibri Light" w:hAnsi="Calibri Light"/>
                <w:b w:val="0"/>
                <w:lang w:val="es-PE"/>
              </w:rPr>
              <w:t xml:space="preserve"> reconocidos en la Convención Americana sobre Derec</w:t>
            </w:r>
            <w:r w:rsidR="00381587" w:rsidRPr="001F2762">
              <w:rPr>
                <w:rFonts w:ascii="Calibri Light" w:hAnsi="Calibri Light"/>
                <w:b w:val="0"/>
                <w:lang w:val="es-PE"/>
              </w:rPr>
              <w:t xml:space="preserve">hos Humanos (en adelante, CADH). Asimismo, alegaron la violación del artículo 7 de </w:t>
            </w:r>
            <w:r w:rsidRPr="001F2762">
              <w:rPr>
                <w:rFonts w:ascii="Calibri Light" w:hAnsi="Calibri Light"/>
                <w:b w:val="0"/>
                <w:lang w:val="es-PE"/>
              </w:rPr>
              <w:t xml:space="preserve">la Convención Interamericana para Prevenir, Sancionar y Erradicar la Violencia contra la Mujer (en adelante, </w:t>
            </w:r>
            <w:r w:rsidR="005430FB" w:rsidRPr="001F2762">
              <w:rPr>
                <w:rFonts w:ascii="Calibri Light" w:hAnsi="Calibri Light"/>
                <w:b w:val="0"/>
                <w:lang w:val="es-PE"/>
              </w:rPr>
              <w:t xml:space="preserve">Convención </w:t>
            </w:r>
            <w:r w:rsidRPr="001F2762">
              <w:rPr>
                <w:rFonts w:ascii="Calibri Light" w:hAnsi="Calibri Light"/>
                <w:b w:val="0"/>
                <w:lang w:val="es-PE"/>
              </w:rPr>
              <w:t>Bel</w:t>
            </w:r>
            <w:r w:rsidR="001F2762">
              <w:rPr>
                <w:rFonts w:ascii="Calibri Light" w:hAnsi="Calibri Light"/>
                <w:b w:val="0"/>
                <w:lang w:val="es-PE"/>
              </w:rPr>
              <w:t>é</w:t>
            </w:r>
            <w:r w:rsidRPr="001F2762">
              <w:rPr>
                <w:rFonts w:ascii="Calibri Light" w:hAnsi="Calibri Light"/>
                <w:b w:val="0"/>
                <w:lang w:val="es-PE"/>
              </w:rPr>
              <w:t>m do Pará).</w:t>
            </w:r>
            <w:r w:rsidR="00381587" w:rsidRPr="001F2762">
              <w:rPr>
                <w:rFonts w:ascii="Calibri Light" w:hAnsi="Calibri Light"/>
                <w:b w:val="0"/>
                <w:lang w:val="es-PE"/>
              </w:rPr>
              <w:t xml:space="preserve"> En su Informe de Admisibilidad, la CIDH declaró admisible la petición respecto de todos los artículos mencionados, a excepción del artículo 4. </w:t>
            </w:r>
          </w:p>
          <w:p w14:paraId="6543A68A" w14:textId="675B471A" w:rsidR="00AC6F31" w:rsidRPr="001F2762" w:rsidRDefault="00AC6F31" w:rsidP="008036E7">
            <w:pPr>
              <w:jc w:val="both"/>
              <w:rPr>
                <w:rFonts w:ascii="Calibri Light" w:hAnsi="Calibri Light"/>
                <w:b w:val="0"/>
                <w:lang w:val="es-PE"/>
              </w:rPr>
            </w:pPr>
          </w:p>
        </w:tc>
      </w:tr>
      <w:tr w:rsidR="005173CF" w:rsidRPr="001F2762" w14:paraId="7B81A2F3" w14:textId="77777777" w:rsidTr="007C457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1F2762" w:rsidRDefault="00AC6F31" w:rsidP="00AC6F31">
            <w:pPr>
              <w:pStyle w:val="ListParagraph"/>
              <w:rPr>
                <w:rFonts w:ascii="Calibri Light" w:hAnsi="Calibri Light"/>
                <w:lang w:val="es-PE"/>
              </w:rPr>
            </w:pPr>
          </w:p>
          <w:p w14:paraId="1FB8AB09" w14:textId="77777777" w:rsidR="005173CF" w:rsidRPr="001F2762" w:rsidRDefault="003E6AB8" w:rsidP="003E6AB8">
            <w:pPr>
              <w:pStyle w:val="ListParagraph"/>
              <w:numPr>
                <w:ilvl w:val="0"/>
                <w:numId w:val="2"/>
              </w:numPr>
              <w:jc w:val="center"/>
              <w:rPr>
                <w:rFonts w:ascii="Calibri Light" w:hAnsi="Calibri Light"/>
                <w:lang w:val="es-PE"/>
              </w:rPr>
            </w:pPr>
            <w:r w:rsidRPr="001F2762">
              <w:rPr>
                <w:rFonts w:ascii="Calibri Light" w:hAnsi="Calibri Light"/>
                <w:lang w:val="es-PE"/>
              </w:rPr>
              <w:t>Análisis jurídico</w:t>
            </w:r>
          </w:p>
          <w:p w14:paraId="158A739A" w14:textId="77777777" w:rsidR="00AC6F31" w:rsidRPr="001F2762" w:rsidRDefault="00AC6F31" w:rsidP="00AC6F31">
            <w:pPr>
              <w:pStyle w:val="ListParagraph"/>
              <w:rPr>
                <w:rFonts w:ascii="Calibri Light" w:hAnsi="Calibri Light"/>
                <w:lang w:val="es-PE"/>
              </w:rPr>
            </w:pPr>
          </w:p>
        </w:tc>
      </w:tr>
      <w:tr w:rsidR="005173CF" w:rsidRPr="001F2762" w14:paraId="71AB3B44" w14:textId="77777777" w:rsidTr="007C457D">
        <w:trPr>
          <w:trHeight w:val="4616"/>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3E8E150D" w:rsidR="00AC6F31" w:rsidRPr="001F2762" w:rsidRDefault="00AC6F31" w:rsidP="00AC6F31">
            <w:pPr>
              <w:pStyle w:val="ListParagraph"/>
              <w:ind w:left="360"/>
              <w:jc w:val="both"/>
              <w:rPr>
                <w:rFonts w:ascii="Calibri Light" w:hAnsi="Calibri Light"/>
                <w:b w:val="0"/>
                <w:lang w:val="es-PE"/>
              </w:rPr>
            </w:pPr>
          </w:p>
          <w:p w14:paraId="43D52AF2" w14:textId="2F86C020" w:rsidR="00AA3542" w:rsidRPr="001F2762" w:rsidRDefault="00AA3542" w:rsidP="00C9309C">
            <w:pPr>
              <w:jc w:val="both"/>
              <w:rPr>
                <w:rFonts w:ascii="Calibri Light" w:hAnsi="Calibri Light"/>
                <w:lang w:val="es-PE"/>
              </w:rPr>
            </w:pPr>
            <w:r w:rsidRPr="001F2762">
              <w:rPr>
                <w:rFonts w:ascii="Calibri Light" w:hAnsi="Calibri Light"/>
                <w:lang w:val="es-PE"/>
              </w:rPr>
              <w:t xml:space="preserve">Derechos a la integridad personal, libertad personal, vida privada, dignidad y </w:t>
            </w:r>
            <w:r w:rsidR="001563D0" w:rsidRPr="001F2762">
              <w:rPr>
                <w:rFonts w:ascii="Calibri Light" w:hAnsi="Calibri Light"/>
                <w:lang w:val="es-PE"/>
              </w:rPr>
              <w:t>autonomía</w:t>
            </w:r>
            <w:r w:rsidRPr="001F2762">
              <w:rPr>
                <w:rFonts w:ascii="Calibri Light" w:hAnsi="Calibri Light"/>
                <w:lang w:val="es-PE"/>
              </w:rPr>
              <w:t xml:space="preserve">, a la igualdad y no </w:t>
            </w:r>
            <w:r w:rsidR="001563D0" w:rsidRPr="001F2762">
              <w:rPr>
                <w:rFonts w:ascii="Calibri Light" w:hAnsi="Calibri Light"/>
                <w:lang w:val="es-PE"/>
              </w:rPr>
              <w:t>discriminación</w:t>
            </w:r>
            <w:r w:rsidRPr="001F2762">
              <w:rPr>
                <w:rFonts w:ascii="Calibri Light" w:hAnsi="Calibri Light"/>
                <w:lang w:val="es-PE"/>
              </w:rPr>
              <w:t xml:space="preserve">, </w:t>
            </w:r>
            <w:r w:rsidR="00453383" w:rsidRPr="001F2762">
              <w:rPr>
                <w:rFonts w:ascii="Calibri Light" w:hAnsi="Calibri Light"/>
                <w:lang w:val="es-PE"/>
              </w:rPr>
              <w:t xml:space="preserve">y </w:t>
            </w:r>
            <w:r w:rsidRPr="001F2762">
              <w:rPr>
                <w:rFonts w:ascii="Calibri Light" w:hAnsi="Calibri Light"/>
                <w:lang w:val="es-PE"/>
              </w:rPr>
              <w:t>a no ser sujeto a tortura o violencia (</w:t>
            </w:r>
            <w:r w:rsidR="001563D0" w:rsidRPr="001F2762">
              <w:rPr>
                <w:rFonts w:ascii="Calibri Light" w:hAnsi="Calibri Light"/>
                <w:lang w:val="es-PE"/>
              </w:rPr>
              <w:t>Artículos</w:t>
            </w:r>
            <w:r w:rsidR="00381587" w:rsidRPr="001F2762">
              <w:rPr>
                <w:rFonts w:ascii="Calibri Light" w:hAnsi="Calibri Light"/>
                <w:lang w:val="es-PE"/>
              </w:rPr>
              <w:t xml:space="preserve"> 5, 7, 11 y</w:t>
            </w:r>
            <w:r w:rsidRPr="001F2762">
              <w:rPr>
                <w:rFonts w:ascii="Calibri Light" w:hAnsi="Calibri Light"/>
                <w:lang w:val="es-PE"/>
              </w:rPr>
              <w:t xml:space="preserve"> 24 de la CADH; </w:t>
            </w:r>
            <w:r w:rsidR="00381587" w:rsidRPr="001F2762">
              <w:rPr>
                <w:rFonts w:ascii="Calibri Light" w:hAnsi="Calibri Light"/>
                <w:lang w:val="es-PE"/>
              </w:rPr>
              <w:t xml:space="preserve">artículo </w:t>
            </w:r>
            <w:r w:rsidRPr="001F2762">
              <w:rPr>
                <w:rFonts w:ascii="Calibri Light" w:hAnsi="Calibri Light"/>
                <w:lang w:val="es-PE"/>
              </w:rPr>
              <w:t xml:space="preserve">7 de </w:t>
            </w:r>
            <w:r w:rsidR="00381587" w:rsidRPr="001F2762">
              <w:rPr>
                <w:rFonts w:ascii="Calibri Light" w:hAnsi="Calibri Light"/>
                <w:lang w:val="es-PE"/>
              </w:rPr>
              <w:t xml:space="preserve">la Convención </w:t>
            </w:r>
            <w:r w:rsidR="001F2762">
              <w:rPr>
                <w:rFonts w:ascii="Calibri Light" w:hAnsi="Calibri Light"/>
                <w:lang w:val="es-PE"/>
              </w:rPr>
              <w:t>Belé</w:t>
            </w:r>
            <w:r w:rsidRPr="001F2762">
              <w:rPr>
                <w:rFonts w:ascii="Calibri Light" w:hAnsi="Calibri Light"/>
                <w:lang w:val="es-PE"/>
              </w:rPr>
              <w:t>m do Pará</w:t>
            </w:r>
            <w:r w:rsidR="00381587" w:rsidRPr="001F2762">
              <w:rPr>
                <w:rFonts w:ascii="Calibri Light" w:hAnsi="Calibri Light"/>
                <w:lang w:val="es-PE"/>
              </w:rPr>
              <w:t>;</w:t>
            </w:r>
            <w:r w:rsidRPr="001F2762">
              <w:rPr>
                <w:rFonts w:ascii="Calibri Light" w:hAnsi="Calibri Light"/>
                <w:lang w:val="es-PE"/>
              </w:rPr>
              <w:t xml:space="preserve"> y </w:t>
            </w:r>
            <w:r w:rsidR="00381587" w:rsidRPr="001F2762">
              <w:rPr>
                <w:rFonts w:ascii="Calibri Light" w:hAnsi="Calibri Light"/>
                <w:lang w:val="es-PE"/>
              </w:rPr>
              <w:t xml:space="preserve">artículos </w:t>
            </w:r>
            <w:r w:rsidRPr="001F2762">
              <w:rPr>
                <w:rFonts w:ascii="Calibri Light" w:hAnsi="Calibri Light"/>
                <w:lang w:val="es-PE"/>
              </w:rPr>
              <w:t>1 y 6 de la CIPST)</w:t>
            </w:r>
          </w:p>
          <w:p w14:paraId="3D29B38B" w14:textId="77777777" w:rsidR="00AA3542" w:rsidRPr="001F2762" w:rsidRDefault="00AA3542" w:rsidP="00AA3542">
            <w:pPr>
              <w:rPr>
                <w:rFonts w:ascii="Calibri Light" w:hAnsi="Calibri Light"/>
                <w:lang w:val="es-PE"/>
              </w:rPr>
            </w:pPr>
          </w:p>
          <w:p w14:paraId="03D99DE3" w14:textId="7B3F65C9" w:rsidR="00AA3542" w:rsidRPr="001F2762" w:rsidRDefault="00AA3542" w:rsidP="00AA3542">
            <w:pPr>
              <w:pStyle w:val="ListParagraph"/>
              <w:numPr>
                <w:ilvl w:val="0"/>
                <w:numId w:val="9"/>
              </w:numPr>
              <w:ind w:left="851" w:hanging="567"/>
              <w:rPr>
                <w:rFonts w:ascii="Calibri Light" w:hAnsi="Calibri Light"/>
                <w:lang w:val="es-PE"/>
              </w:rPr>
            </w:pPr>
            <w:r w:rsidRPr="001F2762">
              <w:rPr>
                <w:rFonts w:ascii="Calibri Light" w:hAnsi="Calibri Light"/>
                <w:lang w:val="es-PE"/>
              </w:rPr>
              <w:t xml:space="preserve">Deber de respuesta inicial del Estado frente a la </w:t>
            </w:r>
            <w:r w:rsidR="001563D0" w:rsidRPr="001F2762">
              <w:rPr>
                <w:rFonts w:ascii="Calibri Light" w:hAnsi="Calibri Light"/>
                <w:lang w:val="es-PE"/>
              </w:rPr>
              <w:t>desaparición</w:t>
            </w:r>
            <w:r w:rsidRPr="001F2762">
              <w:rPr>
                <w:rFonts w:ascii="Calibri Light" w:hAnsi="Calibri Light"/>
                <w:lang w:val="es-PE"/>
              </w:rPr>
              <w:t xml:space="preserve"> de la </w:t>
            </w:r>
            <w:r w:rsidR="00C9309C" w:rsidRPr="001F2762">
              <w:rPr>
                <w:rFonts w:ascii="Calibri Light" w:hAnsi="Calibri Light"/>
                <w:lang w:val="es-PE"/>
              </w:rPr>
              <w:t xml:space="preserve">señora </w:t>
            </w:r>
            <w:r w:rsidR="004C5505" w:rsidRPr="001F2762">
              <w:rPr>
                <w:rFonts w:ascii="Calibri Light" w:hAnsi="Calibri Light"/>
                <w:lang w:val="es-PE"/>
              </w:rPr>
              <w:t>López</w:t>
            </w:r>
          </w:p>
          <w:p w14:paraId="750AA015" w14:textId="77777777" w:rsidR="00B873F8" w:rsidRPr="001F2762" w:rsidRDefault="00B873F8" w:rsidP="00B873F8">
            <w:pPr>
              <w:pStyle w:val="ListParagraph"/>
              <w:ind w:left="851"/>
              <w:rPr>
                <w:rFonts w:ascii="Calibri Light" w:hAnsi="Calibri Light"/>
                <w:lang w:val="es-PE"/>
              </w:rPr>
            </w:pPr>
          </w:p>
          <w:p w14:paraId="13F09896" w14:textId="05B5E019" w:rsidR="00B873F8" w:rsidRPr="001F2762" w:rsidRDefault="00E378C8" w:rsidP="00C9309C">
            <w:pPr>
              <w:jc w:val="both"/>
              <w:rPr>
                <w:rFonts w:ascii="Calibri Light" w:hAnsi="Calibri Light"/>
                <w:b w:val="0"/>
                <w:lang w:val="es-PE"/>
              </w:rPr>
            </w:pPr>
            <w:r w:rsidRPr="001F2762">
              <w:rPr>
                <w:rFonts w:ascii="Calibri Light" w:hAnsi="Calibri Light"/>
                <w:b w:val="0"/>
                <w:lang w:val="es-PE"/>
              </w:rPr>
              <w:t xml:space="preserve">La CIDH </w:t>
            </w:r>
            <w:r w:rsidR="001F29E8" w:rsidRPr="001F2762">
              <w:rPr>
                <w:rFonts w:ascii="Calibri Light" w:hAnsi="Calibri Light"/>
                <w:b w:val="0"/>
                <w:lang w:val="es-PE"/>
              </w:rPr>
              <w:t>recordó</w:t>
            </w:r>
            <w:r w:rsidR="00E72B87" w:rsidRPr="001F2762">
              <w:rPr>
                <w:rFonts w:ascii="Calibri Light" w:hAnsi="Calibri Light"/>
                <w:b w:val="0"/>
                <w:lang w:val="es-PE"/>
              </w:rPr>
              <w:t xml:space="preserve"> </w:t>
            </w:r>
            <w:r w:rsidR="001F29E8" w:rsidRPr="001F2762">
              <w:rPr>
                <w:rFonts w:ascii="Calibri Light" w:hAnsi="Calibri Light"/>
                <w:b w:val="0"/>
                <w:lang w:val="es-PE"/>
              </w:rPr>
              <w:t>que l</w:t>
            </w:r>
            <w:r w:rsidR="00E72B87" w:rsidRPr="001F2762">
              <w:rPr>
                <w:rFonts w:ascii="Calibri Light" w:hAnsi="Calibri Light"/>
                <w:b w:val="0"/>
                <w:lang w:val="es-PE"/>
              </w:rPr>
              <w:t xml:space="preserve">os hechos cometidos por particulares no siempre serán atribuibles al Estado. Este tiene el deber de adoptar medidas de prevención y protección de los particulares entre sí cuando tenga conocimiento de una situación de riesgo real e inminente y tenga posibilidades razonables de prevenir o evitar ese riesgo.  </w:t>
            </w:r>
            <w:r w:rsidR="00B873F8" w:rsidRPr="001F2762">
              <w:rPr>
                <w:rFonts w:ascii="Calibri Light" w:hAnsi="Calibri Light"/>
                <w:b w:val="0"/>
                <w:lang w:val="es-PE"/>
              </w:rPr>
              <w:t xml:space="preserve">Según </w:t>
            </w:r>
            <w:r w:rsidR="00E00425" w:rsidRPr="001F2762">
              <w:rPr>
                <w:rFonts w:ascii="Calibri Light" w:hAnsi="Calibri Light"/>
                <w:b w:val="0"/>
                <w:lang w:val="es-PE"/>
              </w:rPr>
              <w:t xml:space="preserve">la Convención </w:t>
            </w:r>
            <w:r w:rsidR="001F2762">
              <w:rPr>
                <w:rFonts w:ascii="Calibri Light" w:hAnsi="Calibri Light"/>
                <w:b w:val="0"/>
                <w:lang w:val="es-PE"/>
              </w:rPr>
              <w:t>Belé</w:t>
            </w:r>
            <w:r w:rsidR="00B873F8" w:rsidRPr="001F2762">
              <w:rPr>
                <w:rFonts w:ascii="Calibri Light" w:hAnsi="Calibri Light"/>
                <w:b w:val="0"/>
                <w:lang w:val="es-PE"/>
              </w:rPr>
              <w:t xml:space="preserve">m do </w:t>
            </w:r>
            <w:r w:rsidR="007448CB" w:rsidRPr="001F2762">
              <w:rPr>
                <w:rFonts w:ascii="Calibri Light" w:hAnsi="Calibri Light"/>
                <w:b w:val="0"/>
                <w:lang w:val="es-PE"/>
              </w:rPr>
              <w:t>Pará</w:t>
            </w:r>
            <w:r w:rsidR="00B873F8" w:rsidRPr="001F2762">
              <w:rPr>
                <w:rFonts w:ascii="Calibri Light" w:hAnsi="Calibri Light"/>
                <w:b w:val="0"/>
                <w:lang w:val="es-PE"/>
              </w:rPr>
              <w:t xml:space="preserve">, </w:t>
            </w:r>
            <w:r w:rsidR="00E00425" w:rsidRPr="001F2762">
              <w:rPr>
                <w:rFonts w:ascii="Calibri Light" w:hAnsi="Calibri Light"/>
                <w:b w:val="0"/>
                <w:lang w:val="es-PE"/>
              </w:rPr>
              <w:t>los</w:t>
            </w:r>
            <w:r w:rsidR="00B873F8" w:rsidRPr="001F2762">
              <w:rPr>
                <w:rFonts w:ascii="Calibri Light" w:hAnsi="Calibri Light"/>
                <w:b w:val="0"/>
                <w:lang w:val="es-PE"/>
              </w:rPr>
              <w:t xml:space="preserve"> </w:t>
            </w:r>
            <w:r w:rsidR="005E5F73" w:rsidRPr="001F2762">
              <w:rPr>
                <w:rFonts w:ascii="Calibri Light" w:hAnsi="Calibri Light"/>
                <w:b w:val="0"/>
                <w:lang w:val="es-PE"/>
              </w:rPr>
              <w:t>Estados también</w:t>
            </w:r>
            <w:r w:rsidR="00E00425" w:rsidRPr="001F2762">
              <w:rPr>
                <w:rFonts w:ascii="Calibri Light" w:hAnsi="Calibri Light"/>
                <w:b w:val="0"/>
                <w:lang w:val="es-PE"/>
              </w:rPr>
              <w:t xml:space="preserve"> tienen </w:t>
            </w:r>
            <w:r w:rsidR="00B873F8" w:rsidRPr="001F2762">
              <w:rPr>
                <w:rFonts w:ascii="Calibri Light" w:hAnsi="Calibri Light"/>
                <w:b w:val="0"/>
                <w:lang w:val="es-PE"/>
              </w:rPr>
              <w:t xml:space="preserve">una obligación de proteger y prevenir la violencia contra la mujer. En los casos de </w:t>
            </w:r>
            <w:r w:rsidR="007448CB" w:rsidRPr="001F2762">
              <w:rPr>
                <w:rFonts w:ascii="Calibri Light" w:hAnsi="Calibri Light"/>
                <w:b w:val="0"/>
                <w:lang w:val="es-PE"/>
              </w:rPr>
              <w:t>desaparición</w:t>
            </w:r>
            <w:r w:rsidR="00B873F8" w:rsidRPr="001F2762">
              <w:rPr>
                <w:rFonts w:ascii="Calibri Light" w:hAnsi="Calibri Light"/>
                <w:b w:val="0"/>
                <w:lang w:val="es-PE"/>
              </w:rPr>
              <w:t xml:space="preserve"> de mujeres, estas obligaciones se traducen </w:t>
            </w:r>
            <w:r w:rsidR="00E00425" w:rsidRPr="001F2762">
              <w:rPr>
                <w:rFonts w:ascii="Calibri Light" w:hAnsi="Calibri Light"/>
                <w:b w:val="0"/>
                <w:lang w:val="es-PE"/>
              </w:rPr>
              <w:t xml:space="preserve">en </w:t>
            </w:r>
            <w:r w:rsidR="00B873F8" w:rsidRPr="001F2762">
              <w:rPr>
                <w:rFonts w:ascii="Calibri Light" w:hAnsi="Calibri Light"/>
                <w:b w:val="0"/>
                <w:lang w:val="es-PE"/>
              </w:rPr>
              <w:t xml:space="preserve">un deber de repuesta inmediata y eficiente de parte de la </w:t>
            </w:r>
            <w:r w:rsidR="00E00425" w:rsidRPr="001F2762">
              <w:rPr>
                <w:rFonts w:ascii="Calibri Light" w:hAnsi="Calibri Light"/>
                <w:b w:val="0"/>
                <w:lang w:val="es-PE"/>
              </w:rPr>
              <w:t>P</w:t>
            </w:r>
            <w:r w:rsidR="00B873F8" w:rsidRPr="001F2762">
              <w:rPr>
                <w:rFonts w:ascii="Calibri Light" w:hAnsi="Calibri Light"/>
                <w:b w:val="0"/>
                <w:lang w:val="es-PE"/>
              </w:rPr>
              <w:t xml:space="preserve">olicía, </w:t>
            </w:r>
            <w:r w:rsidR="00E00425" w:rsidRPr="001F2762">
              <w:rPr>
                <w:rFonts w:ascii="Calibri Light" w:hAnsi="Calibri Light"/>
                <w:b w:val="0"/>
                <w:lang w:val="es-PE"/>
              </w:rPr>
              <w:t>F</w:t>
            </w:r>
            <w:r w:rsidR="007448CB" w:rsidRPr="001F2762">
              <w:rPr>
                <w:rFonts w:ascii="Calibri Light" w:hAnsi="Calibri Light"/>
                <w:b w:val="0"/>
                <w:lang w:val="es-PE"/>
              </w:rPr>
              <w:t>iscalía</w:t>
            </w:r>
            <w:r w:rsidR="00B873F8" w:rsidRPr="001F2762">
              <w:rPr>
                <w:rFonts w:ascii="Calibri Light" w:hAnsi="Calibri Light"/>
                <w:b w:val="0"/>
                <w:lang w:val="es-PE"/>
              </w:rPr>
              <w:t xml:space="preserve"> y toda otra autoridad pertinente</w:t>
            </w:r>
            <w:r w:rsidR="0065042A" w:rsidRPr="001F2762">
              <w:rPr>
                <w:rFonts w:ascii="Calibri Light" w:hAnsi="Calibri Light"/>
                <w:b w:val="0"/>
                <w:lang w:val="es-PE"/>
              </w:rPr>
              <w:t xml:space="preserve">, sobre todo en relación a la búsqueda en las primeras horas y los primeros días luego de recibida de la denuncia. </w:t>
            </w:r>
          </w:p>
          <w:p w14:paraId="751A270A" w14:textId="77777777" w:rsidR="00205137" w:rsidRPr="001F2762" w:rsidRDefault="00205137" w:rsidP="00C9309C">
            <w:pPr>
              <w:jc w:val="both"/>
              <w:rPr>
                <w:rFonts w:ascii="Calibri Light" w:hAnsi="Calibri Light"/>
                <w:b w:val="0"/>
                <w:lang w:val="es-PE"/>
              </w:rPr>
            </w:pPr>
          </w:p>
          <w:p w14:paraId="0758A5BF" w14:textId="003DFE38" w:rsidR="00205137" w:rsidRPr="001F2762" w:rsidRDefault="00205137" w:rsidP="00C9309C">
            <w:pPr>
              <w:jc w:val="both"/>
              <w:rPr>
                <w:rFonts w:ascii="Calibri Light" w:hAnsi="Calibri Light"/>
                <w:b w:val="0"/>
                <w:lang w:val="es-PE"/>
              </w:rPr>
            </w:pPr>
            <w:r w:rsidRPr="001F2762">
              <w:rPr>
                <w:rFonts w:ascii="Calibri Light" w:hAnsi="Calibri Light"/>
                <w:b w:val="0"/>
                <w:lang w:val="es-PE"/>
              </w:rPr>
              <w:t>La CIDH consideró que</w:t>
            </w:r>
            <w:r w:rsidR="008520B2" w:rsidRPr="001F2762">
              <w:rPr>
                <w:rFonts w:ascii="Calibri Light" w:hAnsi="Calibri Light"/>
                <w:b w:val="0"/>
                <w:lang w:val="es-PE"/>
              </w:rPr>
              <w:t xml:space="preserve"> la </w:t>
            </w:r>
            <w:r w:rsidR="00E00425" w:rsidRPr="001F2762">
              <w:rPr>
                <w:rFonts w:ascii="Calibri Light" w:hAnsi="Calibri Light"/>
                <w:b w:val="0"/>
                <w:lang w:val="es-PE"/>
              </w:rPr>
              <w:t>señora</w:t>
            </w:r>
            <w:r w:rsidR="008520B2" w:rsidRPr="001F2762">
              <w:rPr>
                <w:rFonts w:ascii="Calibri Light" w:hAnsi="Calibri Light"/>
                <w:b w:val="0"/>
                <w:lang w:val="es-PE"/>
              </w:rPr>
              <w:t xml:space="preserve"> </w:t>
            </w:r>
            <w:r w:rsidR="004C5505" w:rsidRPr="001F2762">
              <w:rPr>
                <w:rFonts w:ascii="Calibri Light" w:hAnsi="Calibri Light"/>
                <w:b w:val="0"/>
                <w:lang w:val="es-PE"/>
              </w:rPr>
              <w:t>López</w:t>
            </w:r>
            <w:r w:rsidR="008520B2" w:rsidRPr="001F2762">
              <w:rPr>
                <w:rFonts w:ascii="Calibri Light" w:hAnsi="Calibri Light"/>
                <w:b w:val="0"/>
                <w:lang w:val="es-PE"/>
              </w:rPr>
              <w:t xml:space="preserve"> </w:t>
            </w:r>
            <w:r w:rsidR="00E00425" w:rsidRPr="001F2762">
              <w:rPr>
                <w:rFonts w:ascii="Calibri Light" w:hAnsi="Calibri Light"/>
                <w:b w:val="0"/>
                <w:lang w:val="es-PE"/>
              </w:rPr>
              <w:t>estuvo</w:t>
            </w:r>
            <w:r w:rsidR="008520B2" w:rsidRPr="001F2762">
              <w:rPr>
                <w:rFonts w:ascii="Calibri Light" w:hAnsi="Calibri Light"/>
                <w:b w:val="0"/>
                <w:lang w:val="es-PE"/>
              </w:rPr>
              <w:t xml:space="preserve"> en </w:t>
            </w:r>
            <w:r w:rsidR="00750390" w:rsidRPr="001F2762">
              <w:rPr>
                <w:rFonts w:ascii="Calibri Light" w:hAnsi="Calibri Light"/>
                <w:b w:val="0"/>
                <w:lang w:val="es-PE"/>
              </w:rPr>
              <w:t xml:space="preserve">una </w:t>
            </w:r>
            <w:r w:rsidR="008520B2" w:rsidRPr="001F2762">
              <w:rPr>
                <w:rFonts w:ascii="Calibri Light" w:hAnsi="Calibri Light"/>
                <w:b w:val="0"/>
                <w:lang w:val="es-PE"/>
              </w:rPr>
              <w:t xml:space="preserve">situación de </w:t>
            </w:r>
            <w:r w:rsidR="007448CB" w:rsidRPr="001F2762">
              <w:rPr>
                <w:rFonts w:ascii="Calibri Light" w:hAnsi="Calibri Light"/>
                <w:b w:val="0"/>
                <w:lang w:val="es-PE"/>
              </w:rPr>
              <w:t>riesgo</w:t>
            </w:r>
            <w:r w:rsidR="008520B2" w:rsidRPr="001F2762">
              <w:rPr>
                <w:rFonts w:ascii="Calibri Light" w:hAnsi="Calibri Light"/>
                <w:b w:val="0"/>
                <w:lang w:val="es-PE"/>
              </w:rPr>
              <w:t xml:space="preserve"> real e </w:t>
            </w:r>
            <w:r w:rsidR="007448CB" w:rsidRPr="001F2762">
              <w:rPr>
                <w:rFonts w:ascii="Calibri Light" w:hAnsi="Calibri Light"/>
                <w:b w:val="0"/>
                <w:lang w:val="es-PE"/>
              </w:rPr>
              <w:t>inmediato</w:t>
            </w:r>
            <w:r w:rsidR="008520B2" w:rsidRPr="001F2762">
              <w:rPr>
                <w:rFonts w:ascii="Calibri Light" w:hAnsi="Calibri Light"/>
                <w:b w:val="0"/>
                <w:lang w:val="es-PE"/>
              </w:rPr>
              <w:t xml:space="preserve"> desde el momento </w:t>
            </w:r>
            <w:r w:rsidR="00E00425" w:rsidRPr="001F2762">
              <w:rPr>
                <w:rFonts w:ascii="Calibri Light" w:hAnsi="Calibri Light"/>
                <w:b w:val="0"/>
                <w:lang w:val="es-PE"/>
              </w:rPr>
              <w:t xml:space="preserve">en </w:t>
            </w:r>
            <w:r w:rsidR="008520B2" w:rsidRPr="001F2762">
              <w:rPr>
                <w:rFonts w:ascii="Calibri Light" w:hAnsi="Calibri Light"/>
                <w:b w:val="0"/>
                <w:lang w:val="es-PE"/>
              </w:rPr>
              <w:t>que fue secuestrada</w:t>
            </w:r>
            <w:r w:rsidR="00750390" w:rsidRPr="001F2762">
              <w:rPr>
                <w:rFonts w:ascii="Calibri Light" w:hAnsi="Calibri Light"/>
                <w:b w:val="0"/>
                <w:lang w:val="es-PE"/>
              </w:rPr>
              <w:t>. El</w:t>
            </w:r>
            <w:r w:rsidR="007448CB" w:rsidRPr="001F2762">
              <w:rPr>
                <w:rFonts w:ascii="Calibri Light" w:hAnsi="Calibri Light"/>
                <w:b w:val="0"/>
                <w:lang w:val="es-PE"/>
              </w:rPr>
              <w:t xml:space="preserve"> Estado conocía </w:t>
            </w:r>
            <w:r w:rsidR="00750390" w:rsidRPr="001F2762">
              <w:rPr>
                <w:rFonts w:ascii="Calibri Light" w:hAnsi="Calibri Light"/>
                <w:b w:val="0"/>
                <w:lang w:val="es-PE"/>
              </w:rPr>
              <w:t xml:space="preserve">de este riesgo </w:t>
            </w:r>
            <w:r w:rsidR="007448CB" w:rsidRPr="001F2762">
              <w:rPr>
                <w:rFonts w:ascii="Calibri Light" w:hAnsi="Calibri Light"/>
                <w:b w:val="0"/>
                <w:lang w:val="es-PE"/>
              </w:rPr>
              <w:t>debido a las múltiples denuncias hechas por la hermana de la víctima. Para la CIDH, la rep</w:t>
            </w:r>
            <w:r w:rsidR="00C725BC" w:rsidRPr="001F2762">
              <w:rPr>
                <w:rFonts w:ascii="Calibri Light" w:hAnsi="Calibri Light"/>
                <w:b w:val="0"/>
                <w:lang w:val="es-PE"/>
              </w:rPr>
              <w:t>uesta de las autoridades frente</w:t>
            </w:r>
            <w:r w:rsidR="007448CB" w:rsidRPr="001F2762">
              <w:rPr>
                <w:rFonts w:ascii="Calibri Light" w:hAnsi="Calibri Light"/>
                <w:b w:val="0"/>
                <w:lang w:val="es-PE"/>
              </w:rPr>
              <w:t xml:space="preserve"> a las denuncias </w:t>
            </w:r>
            <w:r w:rsidR="0065042A" w:rsidRPr="001F2762">
              <w:rPr>
                <w:rFonts w:ascii="Calibri Light" w:hAnsi="Calibri Light"/>
                <w:b w:val="0"/>
                <w:lang w:val="es-PE"/>
              </w:rPr>
              <w:t>no fue inmediata y eficiente</w:t>
            </w:r>
            <w:r w:rsidR="007448CB" w:rsidRPr="001F2762">
              <w:rPr>
                <w:rFonts w:ascii="Calibri Light" w:hAnsi="Calibri Light"/>
                <w:b w:val="0"/>
                <w:lang w:val="es-PE"/>
              </w:rPr>
              <w:t xml:space="preserve">, pues no registraron la denuncia y </w:t>
            </w:r>
            <w:r w:rsidR="00E72B87" w:rsidRPr="001F2762">
              <w:rPr>
                <w:rFonts w:ascii="Calibri Light" w:hAnsi="Calibri Light"/>
                <w:b w:val="0"/>
                <w:lang w:val="es-PE"/>
              </w:rPr>
              <w:t>justificaron</w:t>
            </w:r>
            <w:r w:rsidR="007448CB" w:rsidRPr="001F2762">
              <w:rPr>
                <w:rFonts w:ascii="Calibri Light" w:hAnsi="Calibri Light"/>
                <w:b w:val="0"/>
                <w:lang w:val="es-PE"/>
              </w:rPr>
              <w:t xml:space="preserve"> la situación en la que se encontraba la víctima como un problema conyugal. Sobre esta base, concluyó que el Estado venezolano no </w:t>
            </w:r>
            <w:r w:rsidR="00136030" w:rsidRPr="001F2762">
              <w:rPr>
                <w:rFonts w:ascii="Calibri Light" w:hAnsi="Calibri Light"/>
                <w:b w:val="0"/>
                <w:lang w:val="es-PE"/>
              </w:rPr>
              <w:t xml:space="preserve">había </w:t>
            </w:r>
            <w:r w:rsidR="008632F5" w:rsidRPr="001F2762">
              <w:rPr>
                <w:rFonts w:ascii="Calibri Light" w:hAnsi="Calibri Light"/>
                <w:b w:val="0"/>
                <w:lang w:val="es-PE"/>
              </w:rPr>
              <w:t>cumplido con</w:t>
            </w:r>
            <w:r w:rsidR="007448CB" w:rsidRPr="001F2762">
              <w:rPr>
                <w:rFonts w:ascii="Calibri Light" w:hAnsi="Calibri Light"/>
                <w:b w:val="0"/>
                <w:lang w:val="es-PE"/>
              </w:rPr>
              <w:t xml:space="preserve"> la diligencia requerida en </w:t>
            </w:r>
            <w:r w:rsidR="0065042A" w:rsidRPr="001F2762">
              <w:rPr>
                <w:rFonts w:ascii="Calibri Light" w:hAnsi="Calibri Light"/>
                <w:b w:val="0"/>
                <w:lang w:val="es-PE"/>
              </w:rPr>
              <w:t>la búsqueda y la investigaci</w:t>
            </w:r>
            <w:r w:rsidR="007448CB" w:rsidRPr="001F2762">
              <w:rPr>
                <w:rFonts w:ascii="Calibri Light" w:hAnsi="Calibri Light"/>
                <w:b w:val="0"/>
                <w:lang w:val="es-PE"/>
              </w:rPr>
              <w:t>ón</w:t>
            </w:r>
            <w:r w:rsidR="008632F5" w:rsidRPr="001F2762">
              <w:rPr>
                <w:rFonts w:ascii="Calibri Light" w:hAnsi="Calibri Light"/>
                <w:b w:val="0"/>
                <w:lang w:val="es-PE"/>
              </w:rPr>
              <w:t>,</w:t>
            </w:r>
            <w:r w:rsidR="007448CB" w:rsidRPr="001F2762">
              <w:rPr>
                <w:rFonts w:ascii="Calibri Light" w:hAnsi="Calibri Light"/>
                <w:b w:val="0"/>
                <w:lang w:val="es-PE"/>
              </w:rPr>
              <w:t xml:space="preserve"> ni </w:t>
            </w:r>
            <w:r w:rsidR="008632F5" w:rsidRPr="001F2762">
              <w:rPr>
                <w:rFonts w:ascii="Calibri Light" w:hAnsi="Calibri Light"/>
                <w:b w:val="0"/>
                <w:lang w:val="es-PE"/>
              </w:rPr>
              <w:t xml:space="preserve">había adoptado </w:t>
            </w:r>
            <w:r w:rsidR="007448CB" w:rsidRPr="001F2762">
              <w:rPr>
                <w:rFonts w:ascii="Calibri Light" w:hAnsi="Calibri Light"/>
                <w:b w:val="0"/>
                <w:lang w:val="es-PE"/>
              </w:rPr>
              <w:t xml:space="preserve">las medidas adecuadas para proteger a la </w:t>
            </w:r>
            <w:r w:rsidR="00C9309C" w:rsidRPr="001F2762">
              <w:rPr>
                <w:rFonts w:ascii="Calibri Light" w:hAnsi="Calibri Light"/>
                <w:b w:val="0"/>
                <w:lang w:val="es-PE"/>
              </w:rPr>
              <w:t xml:space="preserve">señora </w:t>
            </w:r>
            <w:r w:rsidR="004C5505" w:rsidRPr="001F2762">
              <w:rPr>
                <w:rFonts w:ascii="Calibri Light" w:hAnsi="Calibri Light"/>
                <w:b w:val="0"/>
                <w:lang w:val="es-PE"/>
              </w:rPr>
              <w:t>López</w:t>
            </w:r>
            <w:r w:rsidR="007448CB" w:rsidRPr="001F2762">
              <w:rPr>
                <w:rFonts w:ascii="Calibri Light" w:hAnsi="Calibri Light"/>
                <w:b w:val="0"/>
                <w:lang w:val="es-PE"/>
              </w:rPr>
              <w:t xml:space="preserve"> hasta el rescate cuatro meses después del inicio de los hechos.</w:t>
            </w:r>
          </w:p>
          <w:p w14:paraId="22C76F98" w14:textId="77777777" w:rsidR="00AC6F31" w:rsidRPr="001F2762" w:rsidRDefault="00AC6F31" w:rsidP="005430FB">
            <w:pPr>
              <w:jc w:val="both"/>
              <w:rPr>
                <w:rFonts w:ascii="Calibri Light" w:hAnsi="Calibri Light"/>
                <w:b w:val="0"/>
                <w:lang w:val="es-PE"/>
              </w:rPr>
            </w:pPr>
          </w:p>
          <w:p w14:paraId="6A56F8A8" w14:textId="76924EDB" w:rsidR="002870CC" w:rsidRPr="001F2762" w:rsidRDefault="002870CC" w:rsidP="002870CC">
            <w:pPr>
              <w:pStyle w:val="ListParagraph"/>
              <w:numPr>
                <w:ilvl w:val="0"/>
                <w:numId w:val="9"/>
              </w:numPr>
              <w:jc w:val="both"/>
              <w:rPr>
                <w:rFonts w:ascii="Calibri Light" w:hAnsi="Calibri Light"/>
                <w:lang w:val="es-PE"/>
              </w:rPr>
            </w:pPr>
            <w:r w:rsidRPr="001F2762">
              <w:rPr>
                <w:rFonts w:ascii="Calibri Light" w:hAnsi="Calibri Light"/>
                <w:lang w:val="es-PE"/>
              </w:rPr>
              <w:t xml:space="preserve">Violaciones sufridas por la </w:t>
            </w:r>
            <w:r w:rsidR="00C9309C" w:rsidRPr="001F2762">
              <w:rPr>
                <w:rFonts w:ascii="Calibri Light" w:hAnsi="Calibri Light"/>
                <w:lang w:val="es-PE"/>
              </w:rPr>
              <w:t>señora</w:t>
            </w:r>
            <w:r w:rsidRPr="001F2762">
              <w:rPr>
                <w:rFonts w:ascii="Calibri Light" w:hAnsi="Calibri Light"/>
                <w:lang w:val="es-PE"/>
              </w:rPr>
              <w:t xml:space="preserve"> </w:t>
            </w:r>
            <w:r w:rsidR="004C5505" w:rsidRPr="001F2762">
              <w:rPr>
                <w:rFonts w:ascii="Calibri Light" w:hAnsi="Calibri Light"/>
                <w:lang w:val="es-PE"/>
              </w:rPr>
              <w:t>López</w:t>
            </w:r>
            <w:r w:rsidRPr="001F2762">
              <w:rPr>
                <w:rFonts w:ascii="Calibri Light" w:hAnsi="Calibri Light"/>
                <w:lang w:val="es-PE"/>
              </w:rPr>
              <w:t xml:space="preserve"> y conclusión sobre atribución de responsabilidad al Estado</w:t>
            </w:r>
          </w:p>
          <w:p w14:paraId="29FB95E1" w14:textId="77777777" w:rsidR="002870CC" w:rsidRPr="001F2762" w:rsidRDefault="002870CC" w:rsidP="002870CC">
            <w:pPr>
              <w:jc w:val="both"/>
              <w:rPr>
                <w:rFonts w:ascii="Calibri Light" w:hAnsi="Calibri Light"/>
                <w:lang w:val="es-PE"/>
              </w:rPr>
            </w:pPr>
          </w:p>
          <w:p w14:paraId="2B99C355" w14:textId="479C0D58" w:rsidR="00A03721" w:rsidRPr="001F2762" w:rsidRDefault="00A03721" w:rsidP="0073020F">
            <w:pPr>
              <w:jc w:val="both"/>
              <w:rPr>
                <w:rFonts w:ascii="Calibri Light" w:hAnsi="Calibri Light"/>
                <w:b w:val="0"/>
                <w:lang w:val="es-PE"/>
              </w:rPr>
            </w:pPr>
            <w:r w:rsidRPr="001F2762">
              <w:rPr>
                <w:rFonts w:ascii="Calibri Light" w:hAnsi="Calibri Light"/>
                <w:b w:val="0"/>
                <w:lang w:val="es-PE"/>
              </w:rPr>
              <w:t xml:space="preserve">La CIDH </w:t>
            </w:r>
            <w:r w:rsidR="00432423" w:rsidRPr="001F2762">
              <w:rPr>
                <w:rFonts w:ascii="Calibri Light" w:hAnsi="Calibri Light"/>
                <w:b w:val="0"/>
                <w:lang w:val="es-PE"/>
              </w:rPr>
              <w:t xml:space="preserve">reafirmó que el derecho a la libertad </w:t>
            </w:r>
            <w:r w:rsidR="008632F5" w:rsidRPr="001F2762">
              <w:rPr>
                <w:rFonts w:ascii="Calibri Light" w:hAnsi="Calibri Light"/>
                <w:b w:val="0"/>
                <w:lang w:val="es-PE"/>
              </w:rPr>
              <w:t xml:space="preserve">personal, </w:t>
            </w:r>
            <w:r w:rsidR="00432423" w:rsidRPr="001F2762">
              <w:rPr>
                <w:rFonts w:ascii="Calibri Light" w:hAnsi="Calibri Light"/>
                <w:b w:val="0"/>
                <w:lang w:val="es-PE"/>
              </w:rPr>
              <w:t>reconocido en el artículo 7 de la CADH</w:t>
            </w:r>
            <w:r w:rsidR="008632F5" w:rsidRPr="001F2762">
              <w:rPr>
                <w:rFonts w:ascii="Calibri Light" w:hAnsi="Calibri Light"/>
                <w:b w:val="0"/>
                <w:lang w:val="es-PE"/>
              </w:rPr>
              <w:t>,</w:t>
            </w:r>
            <w:r w:rsidR="00432423" w:rsidRPr="001F2762">
              <w:rPr>
                <w:rFonts w:ascii="Calibri Light" w:hAnsi="Calibri Light"/>
                <w:b w:val="0"/>
                <w:lang w:val="es-PE"/>
              </w:rPr>
              <w:t xml:space="preserve"> incluye una obligación del Estado de preven</w:t>
            </w:r>
            <w:r w:rsidR="008632F5" w:rsidRPr="001F2762">
              <w:rPr>
                <w:rFonts w:ascii="Calibri Light" w:hAnsi="Calibri Light"/>
                <w:b w:val="0"/>
                <w:lang w:val="es-PE"/>
              </w:rPr>
              <w:t>ir y sancio</w:t>
            </w:r>
            <w:r w:rsidR="00432423" w:rsidRPr="001F2762">
              <w:rPr>
                <w:rFonts w:ascii="Calibri Light" w:hAnsi="Calibri Light"/>
                <w:b w:val="0"/>
                <w:lang w:val="es-PE"/>
              </w:rPr>
              <w:t>n</w:t>
            </w:r>
            <w:r w:rsidR="008632F5" w:rsidRPr="001F2762">
              <w:rPr>
                <w:rFonts w:ascii="Calibri Light" w:hAnsi="Calibri Light"/>
                <w:b w:val="0"/>
                <w:lang w:val="es-PE"/>
              </w:rPr>
              <w:t>ar cualquier acto que afecte</w:t>
            </w:r>
            <w:r w:rsidR="00432423" w:rsidRPr="001F2762">
              <w:rPr>
                <w:rFonts w:ascii="Calibri Light" w:hAnsi="Calibri Light"/>
                <w:b w:val="0"/>
                <w:lang w:val="es-PE"/>
              </w:rPr>
              <w:t xml:space="preserve"> este derecho, ya sea cometido por particulares o agentes del Estado. Por otro lado, reiteró</w:t>
            </w:r>
            <w:r w:rsidRPr="001F2762">
              <w:rPr>
                <w:rFonts w:ascii="Calibri Light" w:hAnsi="Calibri Light"/>
                <w:b w:val="0"/>
                <w:lang w:val="es-PE"/>
              </w:rPr>
              <w:t xml:space="preserve"> que en </w:t>
            </w:r>
            <w:r w:rsidRPr="001F2762">
              <w:rPr>
                <w:rFonts w:ascii="Calibri Light" w:hAnsi="Calibri Light"/>
                <w:b w:val="0"/>
                <w:lang w:val="es-PE"/>
              </w:rPr>
              <w:lastRenderedPageBreak/>
              <w:t>los casos de violencia y violación sexual varios derechos se encuentran afectados</w:t>
            </w:r>
            <w:r w:rsidR="00750390" w:rsidRPr="001F2762">
              <w:rPr>
                <w:rFonts w:ascii="Calibri Light" w:hAnsi="Calibri Light"/>
                <w:b w:val="0"/>
                <w:lang w:val="es-PE"/>
              </w:rPr>
              <w:t xml:space="preserve">, tales como </w:t>
            </w:r>
            <w:r w:rsidRPr="001F2762">
              <w:rPr>
                <w:rFonts w:ascii="Calibri Light" w:hAnsi="Calibri Light"/>
                <w:b w:val="0"/>
                <w:lang w:val="es-PE"/>
              </w:rPr>
              <w:t xml:space="preserve"> los der</w:t>
            </w:r>
            <w:r w:rsidR="008632F5" w:rsidRPr="001F2762">
              <w:rPr>
                <w:rFonts w:ascii="Calibri Light" w:hAnsi="Calibri Light"/>
                <w:b w:val="0"/>
                <w:lang w:val="es-PE"/>
              </w:rPr>
              <w:t>echos a la integridad personal</w:t>
            </w:r>
            <w:r w:rsidRPr="001F2762">
              <w:rPr>
                <w:rFonts w:ascii="Calibri Light" w:hAnsi="Calibri Light"/>
                <w:b w:val="0"/>
                <w:lang w:val="es-PE"/>
              </w:rPr>
              <w:t xml:space="preserve">, </w:t>
            </w:r>
            <w:r w:rsidR="005A3D42" w:rsidRPr="001F2762">
              <w:rPr>
                <w:rFonts w:ascii="Calibri Light" w:hAnsi="Calibri Light"/>
                <w:b w:val="0"/>
                <w:lang w:val="es-PE"/>
              </w:rPr>
              <w:t>a la vida</w:t>
            </w:r>
            <w:r w:rsidR="008632F5" w:rsidRPr="001F2762">
              <w:rPr>
                <w:rFonts w:ascii="Calibri Light" w:hAnsi="Calibri Light"/>
                <w:b w:val="0"/>
                <w:lang w:val="es-PE"/>
              </w:rPr>
              <w:t xml:space="preserve"> privada, autonomía y dignidad</w:t>
            </w:r>
            <w:r w:rsidR="005A3D42" w:rsidRPr="001F2762">
              <w:rPr>
                <w:rFonts w:ascii="Calibri Light" w:hAnsi="Calibri Light"/>
                <w:b w:val="0"/>
                <w:lang w:val="es-PE"/>
              </w:rPr>
              <w:t>, y a l</w:t>
            </w:r>
            <w:r w:rsidR="008632F5" w:rsidRPr="001F2762">
              <w:rPr>
                <w:rFonts w:ascii="Calibri Light" w:hAnsi="Calibri Light"/>
                <w:b w:val="0"/>
                <w:lang w:val="es-PE"/>
              </w:rPr>
              <w:t>a igualdad y no discriminación</w:t>
            </w:r>
            <w:r w:rsidR="00DF47CF" w:rsidRPr="001F2762">
              <w:rPr>
                <w:rFonts w:ascii="Calibri Light" w:hAnsi="Calibri Light"/>
                <w:b w:val="0"/>
                <w:lang w:val="es-PE"/>
              </w:rPr>
              <w:t>.</w:t>
            </w:r>
            <w:r w:rsidR="00501906" w:rsidRPr="001F2762">
              <w:rPr>
                <w:rFonts w:ascii="Calibri Light" w:hAnsi="Calibri Light"/>
                <w:b w:val="0"/>
                <w:lang w:val="es-PE"/>
              </w:rPr>
              <w:t xml:space="preserve"> </w:t>
            </w:r>
            <w:r w:rsidR="00BE472D" w:rsidRPr="001F2762">
              <w:rPr>
                <w:rFonts w:ascii="Calibri Light" w:hAnsi="Calibri Light"/>
                <w:b w:val="0"/>
                <w:lang w:val="es-PE"/>
              </w:rPr>
              <w:t>A</w:t>
            </w:r>
            <w:r w:rsidR="00501906" w:rsidRPr="001F2762">
              <w:rPr>
                <w:rFonts w:ascii="Calibri Light" w:hAnsi="Calibri Light"/>
                <w:b w:val="0"/>
                <w:lang w:val="es-PE"/>
              </w:rPr>
              <w:t>gregó</w:t>
            </w:r>
            <w:r w:rsidR="00BE472D" w:rsidRPr="001F2762">
              <w:rPr>
                <w:rFonts w:ascii="Calibri Light" w:hAnsi="Calibri Light"/>
                <w:b w:val="0"/>
                <w:lang w:val="es-PE"/>
              </w:rPr>
              <w:t xml:space="preserve"> que </w:t>
            </w:r>
            <w:r w:rsidR="00750390" w:rsidRPr="001F2762">
              <w:rPr>
                <w:rFonts w:ascii="Calibri Light" w:hAnsi="Calibri Light"/>
                <w:b w:val="0"/>
                <w:lang w:val="es-PE"/>
              </w:rPr>
              <w:t xml:space="preserve">este tipo de actos </w:t>
            </w:r>
            <w:r w:rsidR="00BE472D" w:rsidRPr="001F2762">
              <w:rPr>
                <w:rFonts w:ascii="Calibri Light" w:hAnsi="Calibri Light"/>
                <w:b w:val="0"/>
                <w:lang w:val="es-PE"/>
              </w:rPr>
              <w:t>constituye</w:t>
            </w:r>
            <w:r w:rsidR="00750390" w:rsidRPr="001F2762">
              <w:rPr>
                <w:rFonts w:ascii="Calibri Light" w:hAnsi="Calibri Light"/>
                <w:b w:val="0"/>
                <w:lang w:val="es-PE"/>
              </w:rPr>
              <w:t>n</w:t>
            </w:r>
            <w:r w:rsidR="00BE472D" w:rsidRPr="001F2762">
              <w:rPr>
                <w:rFonts w:ascii="Calibri Light" w:hAnsi="Calibri Light"/>
                <w:b w:val="0"/>
                <w:lang w:val="es-PE"/>
              </w:rPr>
              <w:t xml:space="preserve"> una forma de violencia contra la mujer, la cual </w:t>
            </w:r>
            <w:r w:rsidR="00130635" w:rsidRPr="001F2762">
              <w:rPr>
                <w:rFonts w:ascii="Calibri Light" w:hAnsi="Calibri Light"/>
                <w:b w:val="0"/>
                <w:lang w:val="es-PE"/>
              </w:rPr>
              <w:t>es</w:t>
            </w:r>
            <w:r w:rsidR="00BE472D" w:rsidRPr="001F2762">
              <w:rPr>
                <w:rFonts w:ascii="Calibri Light" w:hAnsi="Calibri Light"/>
                <w:b w:val="0"/>
                <w:lang w:val="es-PE"/>
              </w:rPr>
              <w:t xml:space="preserve"> una forma de discriminación. </w:t>
            </w:r>
            <w:r w:rsidR="00432423" w:rsidRPr="001F2762">
              <w:rPr>
                <w:rFonts w:ascii="Calibri Light" w:hAnsi="Calibri Light"/>
                <w:b w:val="0"/>
                <w:lang w:val="es-PE"/>
              </w:rPr>
              <w:t>También añadió que en los casos de violencia contra las mujeres y violaciones sexuales</w:t>
            </w:r>
            <w:r w:rsidR="00BC65B7" w:rsidRPr="001F2762">
              <w:rPr>
                <w:rFonts w:ascii="Calibri Light" w:hAnsi="Calibri Light"/>
                <w:b w:val="0"/>
                <w:lang w:val="es-PE"/>
              </w:rPr>
              <w:t xml:space="preserve"> el testimonio de la </w:t>
            </w:r>
            <w:r w:rsidR="0073020F" w:rsidRPr="001F2762">
              <w:rPr>
                <w:rFonts w:ascii="Calibri Light" w:hAnsi="Calibri Light"/>
                <w:b w:val="0"/>
                <w:lang w:val="es-PE"/>
              </w:rPr>
              <w:t xml:space="preserve">víctima </w:t>
            </w:r>
            <w:r w:rsidR="00130635" w:rsidRPr="001F2762">
              <w:rPr>
                <w:rFonts w:ascii="Calibri Light" w:hAnsi="Calibri Light"/>
                <w:b w:val="0"/>
                <w:lang w:val="es-PE"/>
              </w:rPr>
              <w:t>resulta</w:t>
            </w:r>
            <w:r w:rsidR="0073020F" w:rsidRPr="001F2762">
              <w:rPr>
                <w:rFonts w:ascii="Calibri Light" w:hAnsi="Calibri Light"/>
                <w:b w:val="0"/>
                <w:lang w:val="es-PE"/>
              </w:rPr>
              <w:t xml:space="preserve"> </w:t>
            </w:r>
            <w:r w:rsidR="00A63CAD" w:rsidRPr="001F2762">
              <w:rPr>
                <w:rFonts w:ascii="Calibri Light" w:hAnsi="Calibri Light"/>
                <w:b w:val="0"/>
                <w:lang w:val="es-PE"/>
              </w:rPr>
              <w:t xml:space="preserve">una prueba </w:t>
            </w:r>
            <w:r w:rsidR="0073020F" w:rsidRPr="001F2762">
              <w:rPr>
                <w:rFonts w:ascii="Calibri Light" w:hAnsi="Calibri Light"/>
                <w:b w:val="0"/>
                <w:lang w:val="es-PE"/>
              </w:rPr>
              <w:t xml:space="preserve">fundamental debido a </w:t>
            </w:r>
            <w:r w:rsidR="00A63CAD" w:rsidRPr="001F2762">
              <w:rPr>
                <w:rFonts w:ascii="Calibri Light" w:hAnsi="Calibri Light"/>
                <w:b w:val="0"/>
                <w:lang w:val="es-PE"/>
              </w:rPr>
              <w:t>que estos actos suelen cometerse en ausencia de otras personas, y no se puede esperar la existencia de pruebas gráficas o documentales</w:t>
            </w:r>
            <w:r w:rsidR="0073020F" w:rsidRPr="001F2762">
              <w:rPr>
                <w:rFonts w:ascii="Calibri Light" w:hAnsi="Calibri Light"/>
                <w:b w:val="0"/>
                <w:lang w:val="es-PE"/>
              </w:rPr>
              <w:t>. Finalmente</w:t>
            </w:r>
            <w:r w:rsidR="00130635" w:rsidRPr="001F2762">
              <w:rPr>
                <w:rFonts w:ascii="Calibri Light" w:hAnsi="Calibri Light"/>
                <w:b w:val="0"/>
                <w:lang w:val="es-PE"/>
              </w:rPr>
              <w:t>,</w:t>
            </w:r>
            <w:r w:rsidR="0073020F" w:rsidRPr="001F2762">
              <w:rPr>
                <w:rFonts w:ascii="Calibri Light" w:hAnsi="Calibri Light"/>
                <w:b w:val="0"/>
                <w:lang w:val="es-PE"/>
              </w:rPr>
              <w:t xml:space="preserve"> </w:t>
            </w:r>
            <w:r w:rsidR="00786CD3" w:rsidRPr="001F2762">
              <w:rPr>
                <w:rFonts w:ascii="Calibri Light" w:hAnsi="Calibri Light"/>
                <w:b w:val="0"/>
                <w:lang w:val="es-PE"/>
              </w:rPr>
              <w:t xml:space="preserve">recordó que la Corte </w:t>
            </w:r>
            <w:r w:rsidR="00A63CAD" w:rsidRPr="001F2762">
              <w:rPr>
                <w:rFonts w:ascii="Calibri Light" w:hAnsi="Calibri Light"/>
                <w:b w:val="0"/>
                <w:lang w:val="es-PE"/>
              </w:rPr>
              <w:t>IDH</w:t>
            </w:r>
            <w:r w:rsidR="00786CD3" w:rsidRPr="001F2762">
              <w:rPr>
                <w:rFonts w:ascii="Calibri Light" w:hAnsi="Calibri Light"/>
                <w:b w:val="0"/>
                <w:lang w:val="es-PE"/>
              </w:rPr>
              <w:t xml:space="preserve"> ha considerado </w:t>
            </w:r>
            <w:r w:rsidR="00A63CAD" w:rsidRPr="001F2762">
              <w:rPr>
                <w:rFonts w:ascii="Calibri Light" w:hAnsi="Calibri Light"/>
                <w:b w:val="0"/>
                <w:lang w:val="es-PE"/>
              </w:rPr>
              <w:t>l</w:t>
            </w:r>
            <w:r w:rsidR="00786CD3" w:rsidRPr="001F2762">
              <w:rPr>
                <w:rFonts w:ascii="Calibri Light" w:hAnsi="Calibri Light"/>
                <w:b w:val="0"/>
                <w:lang w:val="es-PE"/>
              </w:rPr>
              <w:t xml:space="preserve">a falta de esclarecimiento </w:t>
            </w:r>
            <w:r w:rsidR="0073020F" w:rsidRPr="001F2762">
              <w:rPr>
                <w:rFonts w:ascii="Calibri Light" w:hAnsi="Calibri Light"/>
                <w:b w:val="0"/>
                <w:lang w:val="es-PE"/>
              </w:rPr>
              <w:t>de los hechos por parte</w:t>
            </w:r>
            <w:r w:rsidR="003900CA" w:rsidRPr="001F2762">
              <w:rPr>
                <w:rFonts w:ascii="Calibri Light" w:hAnsi="Calibri Light"/>
                <w:b w:val="0"/>
                <w:lang w:val="es-PE"/>
              </w:rPr>
              <w:t xml:space="preserve"> de un Estado</w:t>
            </w:r>
            <w:r w:rsidR="00786CD3" w:rsidRPr="001F2762">
              <w:rPr>
                <w:rFonts w:ascii="Calibri Light" w:hAnsi="Calibri Light"/>
                <w:b w:val="0"/>
                <w:lang w:val="es-PE"/>
              </w:rPr>
              <w:t>, como parte del análisis probatorio</w:t>
            </w:r>
            <w:r w:rsidR="003900CA" w:rsidRPr="001F2762">
              <w:rPr>
                <w:rFonts w:ascii="Calibri Light" w:hAnsi="Calibri Light"/>
                <w:b w:val="0"/>
                <w:lang w:val="es-PE"/>
              </w:rPr>
              <w:t xml:space="preserve"> </w:t>
            </w:r>
            <w:r w:rsidR="00786CD3" w:rsidRPr="001F2762">
              <w:rPr>
                <w:rFonts w:ascii="Calibri Light" w:hAnsi="Calibri Light"/>
                <w:b w:val="0"/>
                <w:lang w:val="es-PE"/>
              </w:rPr>
              <w:t xml:space="preserve">para la determinación de ciertas agresiones, incluyendo la </w:t>
            </w:r>
            <w:r w:rsidR="003900CA" w:rsidRPr="001F2762">
              <w:rPr>
                <w:rFonts w:ascii="Calibri Light" w:hAnsi="Calibri Light"/>
                <w:b w:val="0"/>
                <w:lang w:val="es-PE"/>
              </w:rPr>
              <w:t>violencia sexual.</w:t>
            </w:r>
          </w:p>
          <w:p w14:paraId="76C2AD65" w14:textId="77777777" w:rsidR="00F67EAB" w:rsidRPr="001F2762" w:rsidRDefault="00F67EAB" w:rsidP="0073020F">
            <w:pPr>
              <w:jc w:val="both"/>
              <w:rPr>
                <w:rFonts w:ascii="Calibri Light" w:hAnsi="Calibri Light"/>
                <w:b w:val="0"/>
                <w:lang w:val="es-PE"/>
              </w:rPr>
            </w:pPr>
          </w:p>
          <w:p w14:paraId="315A32A8" w14:textId="5033E9BB" w:rsidR="00F67EAB" w:rsidRPr="001F2762" w:rsidRDefault="00F67EAB" w:rsidP="0073020F">
            <w:pPr>
              <w:jc w:val="both"/>
              <w:rPr>
                <w:rFonts w:ascii="Calibri Light" w:hAnsi="Calibri Light"/>
                <w:b w:val="0"/>
                <w:lang w:val="es-PE"/>
              </w:rPr>
            </w:pPr>
            <w:r w:rsidRPr="001F2762">
              <w:rPr>
                <w:rFonts w:ascii="Calibri Light" w:hAnsi="Calibri Light"/>
                <w:b w:val="0"/>
                <w:lang w:val="es-PE"/>
              </w:rPr>
              <w:t xml:space="preserve">Para evaluar la situación, la CIDH tomó en cuenta </w:t>
            </w:r>
            <w:r w:rsidR="000C552B" w:rsidRPr="001F2762">
              <w:rPr>
                <w:rFonts w:ascii="Calibri Light" w:hAnsi="Calibri Light"/>
                <w:b w:val="0"/>
                <w:lang w:val="es-PE"/>
              </w:rPr>
              <w:t xml:space="preserve">el testimonio detallado y consistente de la víctima que fue respaldado </w:t>
            </w:r>
            <w:r w:rsidR="00A63CAD" w:rsidRPr="001F2762">
              <w:rPr>
                <w:rFonts w:ascii="Calibri Light" w:hAnsi="Calibri Light"/>
                <w:b w:val="0"/>
                <w:lang w:val="es-PE"/>
              </w:rPr>
              <w:t>con</w:t>
            </w:r>
            <w:r w:rsidR="000C552B" w:rsidRPr="001F2762">
              <w:rPr>
                <w:rFonts w:ascii="Calibri Light" w:hAnsi="Calibri Light"/>
                <w:b w:val="0"/>
                <w:lang w:val="es-PE"/>
              </w:rPr>
              <w:t xml:space="preserve"> evidencia física, la evaluación médica consistente con las condiciones descritas por la </w:t>
            </w:r>
            <w:r w:rsidR="009443C8" w:rsidRPr="001F2762">
              <w:rPr>
                <w:rFonts w:ascii="Calibri Light" w:hAnsi="Calibri Light"/>
                <w:b w:val="0"/>
                <w:lang w:val="es-PE"/>
              </w:rPr>
              <w:t>víctima</w:t>
            </w:r>
            <w:r w:rsidR="000C552B" w:rsidRPr="001F2762">
              <w:rPr>
                <w:rFonts w:ascii="Calibri Light" w:hAnsi="Calibri Light"/>
                <w:b w:val="0"/>
                <w:lang w:val="es-PE"/>
              </w:rPr>
              <w:t xml:space="preserve"> y los testimonios de funcionarios presentes en el rescate. Añadió que el Estado no actuó con la diligencia requerida al momento de la revisión médica tras el rescate de la víctima, pues está había indicado haber sufrido abusos sexuales, pero aun así no practicaron los exámenes </w:t>
            </w:r>
            <w:r w:rsidR="00C9309C" w:rsidRPr="001F2762">
              <w:rPr>
                <w:rFonts w:ascii="Calibri Light" w:hAnsi="Calibri Light"/>
                <w:b w:val="0"/>
                <w:lang w:val="es-PE"/>
              </w:rPr>
              <w:t xml:space="preserve">médicos </w:t>
            </w:r>
            <w:r w:rsidR="000C552B" w:rsidRPr="001F2762">
              <w:rPr>
                <w:rFonts w:ascii="Calibri Light" w:hAnsi="Calibri Light"/>
                <w:b w:val="0"/>
                <w:lang w:val="es-PE"/>
              </w:rPr>
              <w:t>int</w:t>
            </w:r>
            <w:r w:rsidR="00750390" w:rsidRPr="001F2762">
              <w:rPr>
                <w:rFonts w:ascii="Calibri Light" w:hAnsi="Calibri Light"/>
                <w:b w:val="0"/>
                <w:lang w:val="es-PE"/>
              </w:rPr>
              <w:t>e</w:t>
            </w:r>
            <w:r w:rsidR="000C552B" w:rsidRPr="001F2762">
              <w:rPr>
                <w:rFonts w:ascii="Calibri Light" w:hAnsi="Calibri Light"/>
                <w:b w:val="0"/>
                <w:lang w:val="es-PE"/>
              </w:rPr>
              <w:t xml:space="preserve">grales necesarios </w:t>
            </w:r>
            <w:r w:rsidR="00203815">
              <w:rPr>
                <w:rFonts w:ascii="Calibri Light" w:hAnsi="Calibri Light"/>
                <w:b w:val="0"/>
                <w:lang w:val="es-PE"/>
              </w:rPr>
              <w:t xml:space="preserve">sino </w:t>
            </w:r>
            <w:r w:rsidR="000C552B" w:rsidRPr="001F2762">
              <w:rPr>
                <w:rFonts w:ascii="Calibri Light" w:hAnsi="Calibri Light"/>
                <w:b w:val="0"/>
                <w:lang w:val="es-PE"/>
              </w:rPr>
              <w:t xml:space="preserve">hasta semanas después. Sobre esta base, determinó que la </w:t>
            </w:r>
            <w:r w:rsidR="00C9309C" w:rsidRPr="001F2762">
              <w:rPr>
                <w:rFonts w:ascii="Calibri Light" w:hAnsi="Calibri Light"/>
                <w:b w:val="0"/>
                <w:lang w:val="es-PE"/>
              </w:rPr>
              <w:t xml:space="preserve">señora </w:t>
            </w:r>
            <w:r w:rsidR="004C5505" w:rsidRPr="001F2762">
              <w:rPr>
                <w:rFonts w:ascii="Calibri Light" w:hAnsi="Calibri Light"/>
                <w:b w:val="0"/>
                <w:lang w:val="es-PE"/>
              </w:rPr>
              <w:t>López</w:t>
            </w:r>
            <w:r w:rsidR="000C552B" w:rsidRPr="001F2762">
              <w:rPr>
                <w:rFonts w:ascii="Calibri Light" w:hAnsi="Calibri Light"/>
                <w:b w:val="0"/>
                <w:lang w:val="es-PE"/>
              </w:rPr>
              <w:t xml:space="preserve"> había sido privada de libertad contra su voluntad y víctima de violencia física y sexual.</w:t>
            </w:r>
          </w:p>
          <w:p w14:paraId="3FEBA036" w14:textId="77777777" w:rsidR="000C552B" w:rsidRPr="001F2762" w:rsidRDefault="000C552B" w:rsidP="0073020F">
            <w:pPr>
              <w:jc w:val="both"/>
              <w:rPr>
                <w:rFonts w:ascii="Calibri Light" w:hAnsi="Calibri Light"/>
                <w:b w:val="0"/>
                <w:lang w:val="es-PE"/>
              </w:rPr>
            </w:pPr>
          </w:p>
          <w:p w14:paraId="701432BC" w14:textId="00201D9F" w:rsidR="000C552B" w:rsidRPr="001F2762" w:rsidRDefault="000C552B" w:rsidP="000C552B">
            <w:pPr>
              <w:pStyle w:val="ListParagraph"/>
              <w:numPr>
                <w:ilvl w:val="0"/>
                <w:numId w:val="9"/>
              </w:numPr>
              <w:jc w:val="both"/>
              <w:rPr>
                <w:rFonts w:ascii="Calibri Light" w:hAnsi="Calibri Light"/>
                <w:lang w:val="es-PE"/>
              </w:rPr>
            </w:pPr>
            <w:r w:rsidRPr="001F2762">
              <w:rPr>
                <w:rFonts w:ascii="Calibri Light" w:hAnsi="Calibri Light"/>
                <w:lang w:val="es-PE"/>
              </w:rPr>
              <w:t>Violencia física, psicología y sexual a la luz de la prohibición absoluta de tortura y tratos y penas crueles, inhumanos y degradantes.</w:t>
            </w:r>
          </w:p>
          <w:p w14:paraId="5D801C92" w14:textId="77777777" w:rsidR="000C552B" w:rsidRPr="001F2762" w:rsidRDefault="000C552B" w:rsidP="000C552B">
            <w:pPr>
              <w:jc w:val="both"/>
              <w:rPr>
                <w:rFonts w:ascii="Calibri Light" w:hAnsi="Calibri Light"/>
                <w:lang w:val="es-PE"/>
              </w:rPr>
            </w:pPr>
          </w:p>
          <w:p w14:paraId="2EE50E29" w14:textId="05BEAA9F" w:rsidR="000C552B" w:rsidRPr="001F2762" w:rsidRDefault="00072F93" w:rsidP="00072F93">
            <w:pPr>
              <w:jc w:val="both"/>
              <w:rPr>
                <w:rFonts w:ascii="Calibri Light" w:hAnsi="Calibri Light"/>
                <w:b w:val="0"/>
                <w:lang w:val="es-PE"/>
              </w:rPr>
            </w:pPr>
            <w:r w:rsidRPr="001F2762">
              <w:rPr>
                <w:rFonts w:ascii="Calibri Light" w:hAnsi="Calibri Light"/>
                <w:b w:val="0"/>
                <w:lang w:val="es-PE"/>
              </w:rPr>
              <w:t xml:space="preserve">La CIDH </w:t>
            </w:r>
            <w:r w:rsidR="009578A8" w:rsidRPr="001F2762">
              <w:rPr>
                <w:rFonts w:ascii="Calibri Light" w:hAnsi="Calibri Light"/>
                <w:b w:val="0"/>
                <w:lang w:val="es-PE"/>
              </w:rPr>
              <w:t xml:space="preserve">recordó que </w:t>
            </w:r>
            <w:r w:rsidRPr="001F2762">
              <w:rPr>
                <w:rFonts w:ascii="Calibri Light" w:hAnsi="Calibri Light"/>
                <w:b w:val="0"/>
                <w:lang w:val="es-PE"/>
              </w:rPr>
              <w:t>l</w:t>
            </w:r>
            <w:r w:rsidR="00AB647D" w:rsidRPr="001F2762">
              <w:rPr>
                <w:rFonts w:ascii="Calibri Light" w:hAnsi="Calibri Light"/>
                <w:b w:val="0"/>
                <w:lang w:val="es-PE"/>
              </w:rPr>
              <w:t>os actos de</w:t>
            </w:r>
            <w:r w:rsidRPr="001F2762">
              <w:rPr>
                <w:rFonts w:ascii="Calibri Light" w:hAnsi="Calibri Light"/>
                <w:b w:val="0"/>
                <w:lang w:val="es-PE"/>
              </w:rPr>
              <w:t xml:space="preserve"> violencia sexual – y aún más los casos de violaci</w:t>
            </w:r>
            <w:r w:rsidR="00AB647D" w:rsidRPr="001F2762">
              <w:rPr>
                <w:rFonts w:ascii="Calibri Light" w:hAnsi="Calibri Light"/>
                <w:b w:val="0"/>
                <w:lang w:val="es-PE"/>
              </w:rPr>
              <w:t>ón sexual</w:t>
            </w:r>
            <w:r w:rsidRPr="001F2762">
              <w:rPr>
                <w:rFonts w:ascii="Calibri Light" w:hAnsi="Calibri Light"/>
                <w:b w:val="0"/>
                <w:lang w:val="es-PE"/>
              </w:rPr>
              <w:t xml:space="preserve"> – puede</w:t>
            </w:r>
            <w:r w:rsidR="00AB647D" w:rsidRPr="001F2762">
              <w:rPr>
                <w:rFonts w:ascii="Calibri Light" w:hAnsi="Calibri Light"/>
                <w:b w:val="0"/>
                <w:lang w:val="es-PE"/>
              </w:rPr>
              <w:t>n</w:t>
            </w:r>
            <w:r w:rsidRPr="001F2762">
              <w:rPr>
                <w:rFonts w:ascii="Calibri Light" w:hAnsi="Calibri Light"/>
                <w:b w:val="0"/>
                <w:lang w:val="es-PE"/>
              </w:rPr>
              <w:t xml:space="preserve"> constituir una forma de tortura, pues es una experiencia traumática que causa gran sufrimiento a la víctima, y un acto que busca intimidar, humillar y controlar a la víctima.</w:t>
            </w:r>
            <w:r w:rsidR="0053153F" w:rsidRPr="001F2762">
              <w:rPr>
                <w:rFonts w:ascii="Calibri Light" w:hAnsi="Calibri Light"/>
                <w:b w:val="0"/>
                <w:lang w:val="es-PE"/>
              </w:rPr>
              <w:t xml:space="preserve"> </w:t>
            </w:r>
            <w:r w:rsidR="0068778C" w:rsidRPr="001F2762">
              <w:rPr>
                <w:rFonts w:ascii="Calibri Light" w:hAnsi="Calibri Light"/>
                <w:b w:val="0"/>
                <w:lang w:val="es-PE"/>
              </w:rPr>
              <w:t xml:space="preserve">De acuerdo a la Corte IDH, tres son los elementos constitutivos de la tortura: i) intencionalidad, ii) severidad de los sufrimientos que causa, y iii) la existencia de un fin o propósito. En cuanto a actos de esta índole cometidos por actores no estatales, la CIDH señaló - </w:t>
            </w:r>
            <w:r w:rsidR="00AB647D" w:rsidRPr="001F2762">
              <w:rPr>
                <w:rFonts w:ascii="Calibri Light" w:hAnsi="Calibri Light"/>
                <w:b w:val="0"/>
                <w:lang w:val="es-PE"/>
              </w:rPr>
              <w:t xml:space="preserve">haciendo referencia a pronunciamientos del Tribunal Europeo de Derechos Humanos, el Comité contra la Tortura y el Relator Especial de Naciones unidas sobre la tortura y otros tratos crueles, inhumanos o </w:t>
            </w:r>
            <w:r w:rsidR="0068778C" w:rsidRPr="001F2762">
              <w:rPr>
                <w:rFonts w:ascii="Calibri Light" w:hAnsi="Calibri Light"/>
                <w:b w:val="0"/>
                <w:lang w:val="es-PE"/>
              </w:rPr>
              <w:t>degradante -</w:t>
            </w:r>
            <w:r w:rsidR="00AB647D" w:rsidRPr="001F2762">
              <w:rPr>
                <w:rFonts w:ascii="Calibri Light" w:hAnsi="Calibri Light"/>
                <w:b w:val="0"/>
                <w:lang w:val="es-PE"/>
              </w:rPr>
              <w:t xml:space="preserve"> </w:t>
            </w:r>
            <w:r w:rsidR="00F655FD" w:rsidRPr="001F2762">
              <w:rPr>
                <w:rFonts w:ascii="Calibri Light" w:hAnsi="Calibri Light"/>
                <w:b w:val="0"/>
                <w:lang w:val="es-PE"/>
              </w:rPr>
              <w:t>que un acto cometido por</w:t>
            </w:r>
            <w:r w:rsidR="009578A8" w:rsidRPr="001F2762">
              <w:rPr>
                <w:rFonts w:ascii="Calibri Light" w:hAnsi="Calibri Light"/>
                <w:b w:val="0"/>
                <w:lang w:val="es-PE"/>
              </w:rPr>
              <w:t xml:space="preserve"> un</w:t>
            </w:r>
            <w:r w:rsidR="00F655FD" w:rsidRPr="001F2762">
              <w:rPr>
                <w:rFonts w:ascii="Calibri Light" w:hAnsi="Calibri Light"/>
                <w:b w:val="0"/>
                <w:lang w:val="es-PE"/>
              </w:rPr>
              <w:t xml:space="preserve"> privado </w:t>
            </w:r>
            <w:r w:rsidR="00AB647D" w:rsidRPr="001F2762">
              <w:rPr>
                <w:rFonts w:ascii="Calibri Light" w:hAnsi="Calibri Light"/>
                <w:b w:val="0"/>
                <w:lang w:val="es-PE"/>
              </w:rPr>
              <w:t xml:space="preserve">también </w:t>
            </w:r>
            <w:r w:rsidR="00F655FD" w:rsidRPr="001F2762">
              <w:rPr>
                <w:rFonts w:ascii="Calibri Light" w:hAnsi="Calibri Light"/>
                <w:b w:val="0"/>
                <w:lang w:val="es-PE"/>
              </w:rPr>
              <w:t>puede constituir tortura</w:t>
            </w:r>
            <w:r w:rsidR="0068778C" w:rsidRPr="001F2762">
              <w:rPr>
                <w:rFonts w:ascii="Calibri Light" w:hAnsi="Calibri Light"/>
                <w:b w:val="0"/>
                <w:lang w:val="es-PE"/>
              </w:rPr>
              <w:t xml:space="preserve"> cuando el Estado incumpla su deber de protección, lo que se equipara con una forma de aquiescencia o tolerancia</w:t>
            </w:r>
            <w:r w:rsidR="00F655FD" w:rsidRPr="001F2762">
              <w:rPr>
                <w:rFonts w:ascii="Calibri Light" w:hAnsi="Calibri Light"/>
                <w:b w:val="0"/>
                <w:lang w:val="es-PE"/>
              </w:rPr>
              <w:t xml:space="preserve">. </w:t>
            </w:r>
            <w:r w:rsidR="00AB647D" w:rsidRPr="001F2762">
              <w:rPr>
                <w:rFonts w:ascii="Calibri Light" w:hAnsi="Calibri Light"/>
                <w:b w:val="0"/>
                <w:lang w:val="es-PE"/>
              </w:rPr>
              <w:t>Asimismo, la CIDH destacó</w:t>
            </w:r>
            <w:r w:rsidR="00D159C5" w:rsidRPr="001F2762">
              <w:rPr>
                <w:rFonts w:ascii="Calibri Light" w:hAnsi="Calibri Light"/>
                <w:b w:val="0"/>
                <w:lang w:val="es-PE"/>
              </w:rPr>
              <w:t xml:space="preserve"> que la Relatora Especial sobre la violencia contra la mujer, sus causa</w:t>
            </w:r>
            <w:r w:rsidR="009578A8" w:rsidRPr="001F2762">
              <w:rPr>
                <w:rFonts w:ascii="Calibri Light" w:hAnsi="Calibri Light"/>
                <w:b w:val="0"/>
                <w:lang w:val="es-PE"/>
              </w:rPr>
              <w:t>s</w:t>
            </w:r>
            <w:r w:rsidR="00D159C5" w:rsidRPr="001F2762">
              <w:rPr>
                <w:rFonts w:ascii="Calibri Light" w:hAnsi="Calibri Light"/>
                <w:b w:val="0"/>
                <w:lang w:val="es-PE"/>
              </w:rPr>
              <w:t xml:space="preserve"> y consecuencias ha señalado que las normas internacionales como la prohibición de la tortura y malos tratos pueden aplicarse a situaciones de violencia contra la</w:t>
            </w:r>
            <w:r w:rsidR="00AB647D" w:rsidRPr="001F2762">
              <w:rPr>
                <w:rFonts w:ascii="Calibri Light" w:hAnsi="Calibri Light"/>
                <w:b w:val="0"/>
                <w:lang w:val="es-PE"/>
              </w:rPr>
              <w:t xml:space="preserve"> mujer cuando el Estado no tom</w:t>
            </w:r>
            <w:r w:rsidR="009578A8" w:rsidRPr="001F2762">
              <w:rPr>
                <w:rFonts w:ascii="Calibri Light" w:hAnsi="Calibri Light"/>
                <w:b w:val="0"/>
                <w:lang w:val="es-PE"/>
              </w:rPr>
              <w:t>e</w:t>
            </w:r>
            <w:r w:rsidR="00D159C5" w:rsidRPr="001F2762">
              <w:rPr>
                <w:rFonts w:ascii="Calibri Light" w:hAnsi="Calibri Light"/>
                <w:b w:val="0"/>
                <w:lang w:val="es-PE"/>
              </w:rPr>
              <w:t xml:space="preserve"> medidas para impedir y sancionarla.</w:t>
            </w:r>
          </w:p>
          <w:p w14:paraId="245CFD95" w14:textId="77777777" w:rsidR="00364745" w:rsidRPr="001F2762" w:rsidRDefault="00364745" w:rsidP="00072F93">
            <w:pPr>
              <w:jc w:val="both"/>
              <w:rPr>
                <w:rFonts w:ascii="Calibri Light" w:hAnsi="Calibri Light"/>
                <w:b w:val="0"/>
                <w:lang w:val="es-PE"/>
              </w:rPr>
            </w:pPr>
          </w:p>
          <w:p w14:paraId="1BA52024" w14:textId="238FA1C2" w:rsidR="00677735" w:rsidRPr="001F2762" w:rsidRDefault="0068778C" w:rsidP="00677735">
            <w:pPr>
              <w:jc w:val="both"/>
              <w:rPr>
                <w:rFonts w:ascii="Calibri Light" w:hAnsi="Calibri Light"/>
                <w:b w:val="0"/>
                <w:lang w:val="es-PE"/>
              </w:rPr>
            </w:pPr>
            <w:r w:rsidRPr="001F2762">
              <w:rPr>
                <w:rFonts w:ascii="Calibri Light" w:hAnsi="Calibri Light"/>
                <w:b w:val="0"/>
                <w:lang w:val="es-PE"/>
              </w:rPr>
              <w:t>En este caso, l</w:t>
            </w:r>
            <w:r w:rsidR="00364745" w:rsidRPr="001F2762">
              <w:rPr>
                <w:rFonts w:ascii="Calibri Light" w:hAnsi="Calibri Light"/>
                <w:b w:val="0"/>
                <w:lang w:val="es-PE"/>
              </w:rPr>
              <w:t xml:space="preserve">a CIDH afirmó que los actos sufridos por </w:t>
            </w:r>
            <w:r w:rsidR="009578A8" w:rsidRPr="001F2762">
              <w:rPr>
                <w:rFonts w:ascii="Calibri Light" w:hAnsi="Calibri Light"/>
                <w:b w:val="0"/>
                <w:lang w:val="es-PE"/>
              </w:rPr>
              <w:t>la señora López</w:t>
            </w:r>
            <w:r w:rsidR="00364745" w:rsidRPr="001F2762">
              <w:rPr>
                <w:rFonts w:ascii="Calibri Light" w:hAnsi="Calibri Light"/>
                <w:b w:val="0"/>
                <w:lang w:val="es-PE"/>
              </w:rPr>
              <w:t xml:space="preserve"> </w:t>
            </w:r>
            <w:r w:rsidR="009578A8" w:rsidRPr="001F2762">
              <w:rPr>
                <w:rFonts w:ascii="Calibri Light" w:hAnsi="Calibri Light"/>
                <w:b w:val="0"/>
                <w:lang w:val="es-PE"/>
              </w:rPr>
              <w:t>eran</w:t>
            </w:r>
            <w:r w:rsidR="00364745" w:rsidRPr="001F2762">
              <w:rPr>
                <w:rFonts w:ascii="Calibri Light" w:hAnsi="Calibri Light"/>
                <w:b w:val="0"/>
                <w:lang w:val="es-PE"/>
              </w:rPr>
              <w:t xml:space="preserve"> tortura, pues</w:t>
            </w:r>
            <w:r w:rsidRPr="001F2762">
              <w:rPr>
                <w:rFonts w:ascii="Calibri Light" w:hAnsi="Calibri Light"/>
                <w:b w:val="0"/>
                <w:lang w:val="es-PE"/>
              </w:rPr>
              <w:t xml:space="preserve"> se cumplían con los tres elementos antes señalados. En efecto, la CIDH consideró por las características de los hechos que existió intencionalidad desde que la señora López fue privada de libertad. Asimismo, hubo severidad en su sufrimiento, toda vez que </w:t>
            </w:r>
            <w:r w:rsidR="007C3120" w:rsidRPr="001F2762">
              <w:rPr>
                <w:rFonts w:ascii="Calibri Light" w:hAnsi="Calibri Light"/>
                <w:b w:val="0"/>
                <w:lang w:val="es-PE"/>
              </w:rPr>
              <w:t>los actos que se cometieron en su contra fueron crueles y sus consecuencias persisten hasta el momento</w:t>
            </w:r>
            <w:r w:rsidR="00364745" w:rsidRPr="001F2762">
              <w:rPr>
                <w:rFonts w:ascii="Calibri Light" w:hAnsi="Calibri Light"/>
                <w:b w:val="0"/>
                <w:lang w:val="es-PE"/>
              </w:rPr>
              <w:t xml:space="preserve">. </w:t>
            </w:r>
            <w:r w:rsidR="007C3120" w:rsidRPr="001F2762">
              <w:rPr>
                <w:rFonts w:ascii="Calibri Light" w:hAnsi="Calibri Light"/>
                <w:b w:val="0"/>
                <w:lang w:val="es-PE"/>
              </w:rPr>
              <w:t>Igualmente</w:t>
            </w:r>
            <w:r w:rsidR="00364745" w:rsidRPr="001F2762">
              <w:rPr>
                <w:rFonts w:ascii="Calibri Light" w:hAnsi="Calibri Light"/>
                <w:b w:val="0"/>
                <w:lang w:val="es-PE"/>
              </w:rPr>
              <w:t xml:space="preserve">, </w:t>
            </w:r>
            <w:r w:rsidR="007C3120" w:rsidRPr="001F2762">
              <w:rPr>
                <w:rFonts w:ascii="Calibri Light" w:hAnsi="Calibri Light"/>
                <w:b w:val="0"/>
                <w:lang w:val="es-PE"/>
              </w:rPr>
              <w:t xml:space="preserve">se cumplió con la existencia de una finalidad, ya que </w:t>
            </w:r>
            <w:r w:rsidR="00364745" w:rsidRPr="001F2762">
              <w:rPr>
                <w:rFonts w:ascii="Calibri Light" w:hAnsi="Calibri Light"/>
                <w:b w:val="0"/>
                <w:lang w:val="es-PE"/>
              </w:rPr>
              <w:t xml:space="preserve">el agresor buscaba </w:t>
            </w:r>
            <w:r w:rsidR="007C3120" w:rsidRPr="001F2762">
              <w:rPr>
                <w:rFonts w:ascii="Calibri Light" w:hAnsi="Calibri Light"/>
                <w:b w:val="0"/>
                <w:lang w:val="es-PE"/>
              </w:rPr>
              <w:t>humillarla y someterla</w:t>
            </w:r>
            <w:r w:rsidR="00677735" w:rsidRPr="001F2762">
              <w:rPr>
                <w:rFonts w:ascii="Calibri Light" w:hAnsi="Calibri Light"/>
                <w:b w:val="0"/>
                <w:lang w:val="es-PE"/>
              </w:rPr>
              <w:t xml:space="preserve"> totalmente a su control. </w:t>
            </w:r>
            <w:r w:rsidR="007C3120" w:rsidRPr="001F2762">
              <w:rPr>
                <w:rFonts w:ascii="Calibri Light" w:hAnsi="Calibri Light"/>
                <w:b w:val="0"/>
                <w:lang w:val="es-PE"/>
              </w:rPr>
              <w:t xml:space="preserve">En cuanto a la participación o aquiescencia estatal, la CIDH consideró que los actos cometidos contra la señora López fueron producidos en un contexto de incumplimiento por parte del Estado de su deber de prevenir y proteger, por lo cual consideró que existió aquiescencia y tolerancia de su parte. </w:t>
            </w:r>
            <w:r w:rsidR="00677735" w:rsidRPr="001F2762">
              <w:rPr>
                <w:rFonts w:ascii="Calibri Light" w:hAnsi="Calibri Light"/>
                <w:b w:val="0"/>
                <w:lang w:val="es-PE"/>
              </w:rPr>
              <w:t xml:space="preserve">A la luz de todos estos elementos, la CIDH concluyó </w:t>
            </w:r>
            <w:r w:rsidR="00750390" w:rsidRPr="001F2762">
              <w:rPr>
                <w:rFonts w:ascii="Calibri Light" w:hAnsi="Calibri Light"/>
                <w:b w:val="0"/>
                <w:lang w:val="es-PE"/>
              </w:rPr>
              <w:t xml:space="preserve">que </w:t>
            </w:r>
            <w:r w:rsidR="00645ED4" w:rsidRPr="001F2762">
              <w:rPr>
                <w:rFonts w:ascii="Calibri Light" w:hAnsi="Calibri Light"/>
                <w:b w:val="0"/>
                <w:lang w:val="es-PE"/>
              </w:rPr>
              <w:t>lo</w:t>
            </w:r>
            <w:r w:rsidR="00750390" w:rsidRPr="001F2762">
              <w:rPr>
                <w:rFonts w:ascii="Calibri Light" w:hAnsi="Calibri Light"/>
                <w:b w:val="0"/>
                <w:lang w:val="es-PE"/>
              </w:rPr>
              <w:t>s</w:t>
            </w:r>
            <w:r w:rsidR="00645ED4" w:rsidRPr="001F2762">
              <w:rPr>
                <w:rFonts w:ascii="Calibri Light" w:hAnsi="Calibri Light"/>
                <w:b w:val="0"/>
                <w:lang w:val="es-PE"/>
              </w:rPr>
              <w:t xml:space="preserve"> actos sufridos por la </w:t>
            </w:r>
            <w:r w:rsidR="00C9309C" w:rsidRPr="001F2762">
              <w:rPr>
                <w:rFonts w:ascii="Calibri Light" w:hAnsi="Calibri Light"/>
                <w:b w:val="0"/>
                <w:lang w:val="es-PE"/>
              </w:rPr>
              <w:t xml:space="preserve">señora </w:t>
            </w:r>
            <w:r w:rsidR="004C5505" w:rsidRPr="001F2762">
              <w:rPr>
                <w:rFonts w:ascii="Calibri Light" w:hAnsi="Calibri Light"/>
                <w:b w:val="0"/>
                <w:lang w:val="es-PE"/>
              </w:rPr>
              <w:t>López</w:t>
            </w:r>
            <w:r w:rsidR="00645ED4" w:rsidRPr="001F2762">
              <w:rPr>
                <w:rFonts w:ascii="Calibri Light" w:hAnsi="Calibri Light"/>
                <w:b w:val="0"/>
                <w:lang w:val="es-PE"/>
              </w:rPr>
              <w:t xml:space="preserve"> </w:t>
            </w:r>
            <w:r w:rsidR="007C3120" w:rsidRPr="001F2762">
              <w:rPr>
                <w:rFonts w:ascii="Calibri Light" w:hAnsi="Calibri Light"/>
                <w:b w:val="0"/>
                <w:lang w:val="es-PE"/>
              </w:rPr>
              <w:t>eran</w:t>
            </w:r>
            <w:r w:rsidR="00645ED4" w:rsidRPr="001F2762">
              <w:rPr>
                <w:rFonts w:ascii="Calibri Light" w:hAnsi="Calibri Light"/>
                <w:b w:val="0"/>
                <w:lang w:val="es-PE"/>
              </w:rPr>
              <w:t xml:space="preserve"> atribuibles al Estado venezolano y que por los tanto este </w:t>
            </w:r>
            <w:r w:rsidR="00677735" w:rsidRPr="001F2762">
              <w:rPr>
                <w:rFonts w:ascii="Calibri Light" w:hAnsi="Calibri Light"/>
                <w:b w:val="0"/>
                <w:lang w:val="es-PE"/>
              </w:rPr>
              <w:t>fue responsable de las violaciones de los derechos establecidos en los artículos 5.1, 5.2, 7.1, 11.1, 11.2 y 24 de la CADH.</w:t>
            </w:r>
          </w:p>
          <w:p w14:paraId="4C305DEC" w14:textId="77777777" w:rsidR="00645ED4" w:rsidRPr="001F2762" w:rsidRDefault="00645ED4" w:rsidP="00677735">
            <w:pPr>
              <w:jc w:val="both"/>
              <w:rPr>
                <w:rFonts w:ascii="Calibri Light" w:hAnsi="Calibri Light"/>
                <w:b w:val="0"/>
                <w:lang w:val="es-PE"/>
              </w:rPr>
            </w:pPr>
          </w:p>
          <w:p w14:paraId="611091B1" w14:textId="47918967" w:rsidR="00645ED4" w:rsidRPr="001F2762" w:rsidRDefault="00645ED4" w:rsidP="00981318">
            <w:pPr>
              <w:jc w:val="both"/>
              <w:rPr>
                <w:rFonts w:ascii="Calibri Light" w:hAnsi="Calibri Light"/>
                <w:lang w:val="es-PE"/>
              </w:rPr>
            </w:pPr>
            <w:r w:rsidRPr="001F2762">
              <w:rPr>
                <w:rFonts w:ascii="Calibri Light" w:hAnsi="Calibri Light"/>
                <w:lang w:val="es-PE"/>
              </w:rPr>
              <w:lastRenderedPageBreak/>
              <w:t xml:space="preserve">Los derechos a las </w:t>
            </w:r>
            <w:r w:rsidR="000A5834" w:rsidRPr="001F2762">
              <w:rPr>
                <w:rFonts w:ascii="Calibri Light" w:hAnsi="Calibri Light"/>
                <w:lang w:val="es-PE"/>
              </w:rPr>
              <w:t>garantías</w:t>
            </w:r>
            <w:r w:rsidRPr="001F2762">
              <w:rPr>
                <w:rFonts w:ascii="Calibri Light" w:hAnsi="Calibri Light"/>
                <w:lang w:val="es-PE"/>
              </w:rPr>
              <w:t xml:space="preserve"> judiciales, </w:t>
            </w:r>
            <w:r w:rsidR="000A5834" w:rsidRPr="001F2762">
              <w:rPr>
                <w:rFonts w:ascii="Calibri Light" w:hAnsi="Calibri Light"/>
                <w:lang w:val="es-PE"/>
              </w:rPr>
              <w:t>protección</w:t>
            </w:r>
            <w:r w:rsidRPr="001F2762">
              <w:rPr>
                <w:rFonts w:ascii="Calibri Light" w:hAnsi="Calibri Light"/>
                <w:lang w:val="es-PE"/>
              </w:rPr>
              <w:t xml:space="preserve"> judicial y el deber de investigar actos de tortura y de violencia contra la mujer (</w:t>
            </w:r>
            <w:r w:rsidR="00750390" w:rsidRPr="001F2762">
              <w:rPr>
                <w:rFonts w:ascii="Calibri Light" w:hAnsi="Calibri Light"/>
                <w:lang w:val="es-PE"/>
              </w:rPr>
              <w:t>a</w:t>
            </w:r>
            <w:r w:rsidR="000A5834" w:rsidRPr="001F2762">
              <w:rPr>
                <w:rFonts w:ascii="Calibri Light" w:hAnsi="Calibri Light"/>
                <w:lang w:val="es-PE"/>
              </w:rPr>
              <w:t>rtículos</w:t>
            </w:r>
            <w:r w:rsidRPr="001F2762">
              <w:rPr>
                <w:rFonts w:ascii="Calibri Light" w:hAnsi="Calibri Light"/>
                <w:lang w:val="es-PE"/>
              </w:rPr>
              <w:t xml:space="preserve"> 8.1 y 25.1 de la CADH</w:t>
            </w:r>
            <w:r w:rsidR="00750390" w:rsidRPr="001F2762">
              <w:rPr>
                <w:rFonts w:ascii="Calibri Light" w:hAnsi="Calibri Light"/>
                <w:lang w:val="es-PE"/>
              </w:rPr>
              <w:t>;</w:t>
            </w:r>
            <w:r w:rsidRPr="001F2762">
              <w:rPr>
                <w:rFonts w:ascii="Calibri Light" w:hAnsi="Calibri Light"/>
                <w:lang w:val="es-PE"/>
              </w:rPr>
              <w:t xml:space="preserve"> </w:t>
            </w:r>
            <w:r w:rsidR="00750390" w:rsidRPr="001F2762">
              <w:rPr>
                <w:rFonts w:ascii="Calibri Light" w:hAnsi="Calibri Light"/>
                <w:lang w:val="es-PE"/>
              </w:rPr>
              <w:t>a</w:t>
            </w:r>
            <w:r w:rsidR="000A5834" w:rsidRPr="001F2762">
              <w:rPr>
                <w:rFonts w:ascii="Calibri Light" w:hAnsi="Calibri Light"/>
                <w:lang w:val="es-PE"/>
              </w:rPr>
              <w:t>rtículos</w:t>
            </w:r>
            <w:r w:rsidRPr="001F2762">
              <w:rPr>
                <w:rFonts w:ascii="Calibri Light" w:hAnsi="Calibri Light"/>
                <w:lang w:val="es-PE"/>
              </w:rPr>
              <w:t xml:space="preserve"> 1, 6 y 8 de la CIPST</w:t>
            </w:r>
            <w:r w:rsidR="00750390" w:rsidRPr="001F2762">
              <w:rPr>
                <w:rFonts w:ascii="Calibri Light" w:hAnsi="Calibri Light"/>
                <w:lang w:val="es-PE"/>
              </w:rPr>
              <w:t>;</w:t>
            </w:r>
            <w:r w:rsidRPr="001F2762">
              <w:rPr>
                <w:rFonts w:ascii="Calibri Light" w:hAnsi="Calibri Light"/>
                <w:lang w:val="es-PE"/>
              </w:rPr>
              <w:t xml:space="preserve"> </w:t>
            </w:r>
            <w:r w:rsidR="00750390" w:rsidRPr="001F2762">
              <w:rPr>
                <w:rFonts w:ascii="Calibri Light" w:hAnsi="Calibri Light"/>
                <w:lang w:val="es-PE"/>
              </w:rPr>
              <w:t>a</w:t>
            </w:r>
            <w:r w:rsidR="000A5834" w:rsidRPr="001F2762">
              <w:rPr>
                <w:rFonts w:ascii="Calibri Light" w:hAnsi="Calibri Light"/>
                <w:lang w:val="es-PE"/>
              </w:rPr>
              <w:t>rtículo</w:t>
            </w:r>
            <w:r w:rsidRPr="001F2762">
              <w:rPr>
                <w:rFonts w:ascii="Calibri Light" w:hAnsi="Calibri Light"/>
                <w:lang w:val="es-PE"/>
              </w:rPr>
              <w:t xml:space="preserve"> 7 de </w:t>
            </w:r>
            <w:r w:rsidR="00750390" w:rsidRPr="001F2762">
              <w:rPr>
                <w:rFonts w:ascii="Calibri Light" w:hAnsi="Calibri Light"/>
                <w:lang w:val="es-PE"/>
              </w:rPr>
              <w:t xml:space="preserve">la Convención </w:t>
            </w:r>
            <w:r w:rsidR="001F2762">
              <w:rPr>
                <w:rFonts w:ascii="Calibri Light" w:hAnsi="Calibri Light"/>
                <w:lang w:val="es-PE"/>
              </w:rPr>
              <w:t>Belé</w:t>
            </w:r>
            <w:r w:rsidRPr="001F2762">
              <w:rPr>
                <w:rFonts w:ascii="Calibri Light" w:hAnsi="Calibri Light"/>
                <w:lang w:val="es-PE"/>
              </w:rPr>
              <w:t>m Do Pará</w:t>
            </w:r>
            <w:r w:rsidR="00981318" w:rsidRPr="001F2762">
              <w:rPr>
                <w:rFonts w:ascii="Calibri Light" w:hAnsi="Calibri Light"/>
                <w:lang w:val="es-PE"/>
              </w:rPr>
              <w:t>;</w:t>
            </w:r>
            <w:r w:rsidRPr="001F2762">
              <w:rPr>
                <w:rFonts w:ascii="Calibri Light" w:hAnsi="Calibri Light"/>
                <w:lang w:val="es-PE"/>
              </w:rPr>
              <w:t xml:space="preserve"> y </w:t>
            </w:r>
            <w:r w:rsidR="000A5834" w:rsidRPr="001F2762">
              <w:rPr>
                <w:rFonts w:ascii="Calibri Light" w:hAnsi="Calibri Light"/>
                <w:lang w:val="es-PE"/>
              </w:rPr>
              <w:t>artículo</w:t>
            </w:r>
            <w:r w:rsidRPr="001F2762">
              <w:rPr>
                <w:rFonts w:ascii="Calibri Light" w:hAnsi="Calibri Light"/>
                <w:lang w:val="es-PE"/>
              </w:rPr>
              <w:t xml:space="preserve"> XVIII de la </w:t>
            </w:r>
            <w:r w:rsidR="000A5834" w:rsidRPr="001F2762">
              <w:rPr>
                <w:rFonts w:ascii="Calibri Light" w:hAnsi="Calibri Light"/>
                <w:lang w:val="es-PE"/>
              </w:rPr>
              <w:t>Declaración</w:t>
            </w:r>
            <w:r w:rsidRPr="001F2762">
              <w:rPr>
                <w:rFonts w:ascii="Calibri Light" w:hAnsi="Calibri Light"/>
                <w:lang w:val="es-PE"/>
              </w:rPr>
              <w:t xml:space="preserve"> Americana)</w:t>
            </w:r>
          </w:p>
          <w:p w14:paraId="76901746" w14:textId="77777777" w:rsidR="00645ED4" w:rsidRPr="001F2762" w:rsidRDefault="00645ED4" w:rsidP="00677735">
            <w:pPr>
              <w:jc w:val="both"/>
              <w:rPr>
                <w:rFonts w:ascii="Calibri Light" w:hAnsi="Calibri Light"/>
                <w:b w:val="0"/>
                <w:lang w:val="es-PE"/>
              </w:rPr>
            </w:pPr>
          </w:p>
          <w:p w14:paraId="5A205A6E" w14:textId="5C56E1EE" w:rsidR="00F62BC2" w:rsidRPr="001F2762" w:rsidRDefault="00C136C6" w:rsidP="00677735">
            <w:pPr>
              <w:jc w:val="both"/>
              <w:rPr>
                <w:rFonts w:ascii="Calibri Light" w:hAnsi="Calibri Light"/>
                <w:b w:val="0"/>
                <w:lang w:val="es-PE"/>
              </w:rPr>
            </w:pPr>
            <w:r w:rsidRPr="001F2762">
              <w:rPr>
                <w:rFonts w:ascii="Calibri Light" w:hAnsi="Calibri Light"/>
                <w:b w:val="0"/>
                <w:lang w:val="es-PE"/>
              </w:rPr>
              <w:t xml:space="preserve">La CIDH indicó que, ante una violación de derechos humanos, el Estado tiene </w:t>
            </w:r>
            <w:r w:rsidR="000405FB" w:rsidRPr="001F2762">
              <w:rPr>
                <w:rFonts w:ascii="Calibri Light" w:hAnsi="Calibri Light"/>
                <w:b w:val="0"/>
                <w:lang w:val="es-PE"/>
              </w:rPr>
              <w:t xml:space="preserve">la </w:t>
            </w:r>
            <w:r w:rsidRPr="001F2762">
              <w:rPr>
                <w:rFonts w:ascii="Calibri Light" w:hAnsi="Calibri Light"/>
                <w:b w:val="0"/>
                <w:lang w:val="es-PE"/>
              </w:rPr>
              <w:t>obligación de suministrar recursos judiciales efectivos a las víctimas y hacer todo la necesario para que estas conozcan la verd</w:t>
            </w:r>
            <w:r w:rsidR="00F247A4" w:rsidRPr="001F2762">
              <w:rPr>
                <w:rFonts w:ascii="Calibri Light" w:hAnsi="Calibri Light"/>
                <w:b w:val="0"/>
                <w:lang w:val="es-PE"/>
              </w:rPr>
              <w:t xml:space="preserve">ad de lo sucedido. Esto incluye </w:t>
            </w:r>
            <w:r w:rsidRPr="001F2762">
              <w:rPr>
                <w:rFonts w:ascii="Calibri Light" w:hAnsi="Calibri Light"/>
                <w:b w:val="0"/>
                <w:lang w:val="es-PE"/>
              </w:rPr>
              <w:t xml:space="preserve">llevar una investigación de manera </w:t>
            </w:r>
            <w:r w:rsidR="000405FB" w:rsidRPr="001F2762">
              <w:rPr>
                <w:rFonts w:ascii="Calibri Light" w:hAnsi="Calibri Light"/>
                <w:b w:val="0"/>
                <w:lang w:val="es-PE"/>
              </w:rPr>
              <w:t>diligente, ordenar</w:t>
            </w:r>
            <w:r w:rsidRPr="001F2762">
              <w:rPr>
                <w:rFonts w:ascii="Calibri Light" w:hAnsi="Calibri Light"/>
                <w:b w:val="0"/>
                <w:lang w:val="es-PE"/>
              </w:rPr>
              <w:t xml:space="preserve"> y practicar las pruebas necesarias. En los casos de violencia contra la mujer</w:t>
            </w:r>
            <w:r w:rsidR="00981318" w:rsidRPr="001F2762">
              <w:rPr>
                <w:rFonts w:ascii="Calibri Light" w:hAnsi="Calibri Light"/>
                <w:b w:val="0"/>
                <w:lang w:val="es-PE"/>
              </w:rPr>
              <w:t>,</w:t>
            </w:r>
            <w:r w:rsidRPr="001F2762">
              <w:rPr>
                <w:rFonts w:ascii="Calibri Light" w:hAnsi="Calibri Light"/>
                <w:b w:val="0"/>
                <w:lang w:val="es-PE"/>
              </w:rPr>
              <w:t xml:space="preserve"> se debe además llevar</w:t>
            </w:r>
            <w:r w:rsidR="000405FB" w:rsidRPr="001F2762">
              <w:rPr>
                <w:rFonts w:ascii="Calibri Light" w:hAnsi="Calibri Light"/>
                <w:b w:val="0"/>
                <w:lang w:val="es-PE"/>
              </w:rPr>
              <w:t xml:space="preserve"> a cabo</w:t>
            </w:r>
            <w:r w:rsidRPr="001F2762">
              <w:rPr>
                <w:rFonts w:ascii="Calibri Light" w:hAnsi="Calibri Light"/>
                <w:b w:val="0"/>
                <w:lang w:val="es-PE"/>
              </w:rPr>
              <w:t xml:space="preserve"> el proceso con una perspectiva de género. </w:t>
            </w:r>
            <w:r w:rsidR="00981318" w:rsidRPr="001F2762">
              <w:rPr>
                <w:rFonts w:ascii="Calibri Light" w:hAnsi="Calibri Light"/>
                <w:b w:val="0"/>
                <w:lang w:val="es-PE"/>
              </w:rPr>
              <w:t>En</w:t>
            </w:r>
            <w:r w:rsidR="008839D3" w:rsidRPr="001F2762">
              <w:rPr>
                <w:rFonts w:ascii="Calibri Light" w:hAnsi="Calibri Light"/>
                <w:b w:val="0"/>
                <w:lang w:val="es-PE"/>
              </w:rPr>
              <w:t xml:space="preserve"> particular en</w:t>
            </w:r>
            <w:r w:rsidRPr="001F2762">
              <w:rPr>
                <w:rFonts w:ascii="Calibri Light" w:hAnsi="Calibri Light"/>
                <w:b w:val="0"/>
                <w:lang w:val="es-PE"/>
              </w:rPr>
              <w:t xml:space="preserve"> los casos de v</w:t>
            </w:r>
            <w:r w:rsidR="00981318" w:rsidRPr="001F2762">
              <w:rPr>
                <w:rFonts w:ascii="Calibri Light" w:hAnsi="Calibri Light"/>
                <w:b w:val="0"/>
                <w:lang w:val="es-PE"/>
              </w:rPr>
              <w:t>iolaciones sexuales, no se debe</w:t>
            </w:r>
            <w:r w:rsidRPr="001F2762">
              <w:rPr>
                <w:rFonts w:ascii="Calibri Light" w:hAnsi="Calibri Light"/>
                <w:b w:val="0"/>
                <w:lang w:val="es-PE"/>
              </w:rPr>
              <w:t xml:space="preserve"> valorar </w:t>
            </w:r>
            <w:r w:rsidR="000405FB" w:rsidRPr="001F2762">
              <w:rPr>
                <w:rFonts w:ascii="Calibri Light" w:hAnsi="Calibri Light"/>
                <w:b w:val="0"/>
                <w:lang w:val="es-PE"/>
              </w:rPr>
              <w:t xml:space="preserve">únicamente </w:t>
            </w:r>
            <w:r w:rsidRPr="001F2762">
              <w:rPr>
                <w:rFonts w:ascii="Calibri Light" w:hAnsi="Calibri Light"/>
                <w:b w:val="0"/>
                <w:lang w:val="es-PE"/>
              </w:rPr>
              <w:t>la evidencia física sino los distintos elementos probatorios</w:t>
            </w:r>
            <w:r w:rsidR="000405FB" w:rsidRPr="001F2762">
              <w:rPr>
                <w:rFonts w:ascii="Calibri Light" w:hAnsi="Calibri Light"/>
                <w:b w:val="0"/>
                <w:lang w:val="es-PE"/>
              </w:rPr>
              <w:t>,</w:t>
            </w:r>
            <w:r w:rsidRPr="001F2762">
              <w:rPr>
                <w:rFonts w:ascii="Calibri Light" w:hAnsi="Calibri Light"/>
                <w:b w:val="0"/>
                <w:lang w:val="es-PE"/>
              </w:rPr>
              <w:t xml:space="preserve"> incluyendo la declaración de la </w:t>
            </w:r>
            <w:r w:rsidR="008839D3" w:rsidRPr="001F2762">
              <w:rPr>
                <w:rFonts w:ascii="Calibri Light" w:hAnsi="Calibri Light"/>
                <w:b w:val="0"/>
                <w:lang w:val="es-PE"/>
              </w:rPr>
              <w:t>víctima</w:t>
            </w:r>
            <w:r w:rsidRPr="001F2762">
              <w:rPr>
                <w:rFonts w:ascii="Calibri Light" w:hAnsi="Calibri Light"/>
                <w:b w:val="0"/>
                <w:lang w:val="es-PE"/>
              </w:rPr>
              <w:t>.</w:t>
            </w:r>
            <w:r w:rsidR="00271421" w:rsidRPr="001F2762">
              <w:rPr>
                <w:rFonts w:ascii="Calibri Light" w:hAnsi="Calibri Light"/>
                <w:b w:val="0"/>
                <w:lang w:val="es-PE"/>
              </w:rPr>
              <w:t xml:space="preserve"> La CIDH llegó a la conclusión que, en el presente caso, el Estado venezolano no cumplió con su deber de investigar</w:t>
            </w:r>
            <w:r w:rsidR="00E55104" w:rsidRPr="001F2762">
              <w:rPr>
                <w:rFonts w:ascii="Calibri Light" w:hAnsi="Calibri Light"/>
                <w:b w:val="0"/>
                <w:lang w:val="es-PE"/>
              </w:rPr>
              <w:t xml:space="preserve"> por las razones que se detallan a continuación</w:t>
            </w:r>
            <w:r w:rsidR="00271421" w:rsidRPr="001F2762">
              <w:rPr>
                <w:rFonts w:ascii="Calibri Light" w:hAnsi="Calibri Light"/>
                <w:b w:val="0"/>
                <w:lang w:val="es-PE"/>
              </w:rPr>
              <w:t>.</w:t>
            </w:r>
          </w:p>
          <w:p w14:paraId="286DA4D1" w14:textId="77777777" w:rsidR="008839D3" w:rsidRPr="001F2762" w:rsidRDefault="008839D3" w:rsidP="00677735">
            <w:pPr>
              <w:jc w:val="both"/>
              <w:rPr>
                <w:rFonts w:ascii="Calibri Light" w:hAnsi="Calibri Light"/>
                <w:b w:val="0"/>
                <w:lang w:val="es-PE"/>
              </w:rPr>
            </w:pPr>
          </w:p>
          <w:p w14:paraId="1158B5F4" w14:textId="763C988A" w:rsidR="008839D3" w:rsidRPr="001F2762" w:rsidRDefault="008839D3" w:rsidP="008839D3">
            <w:pPr>
              <w:pStyle w:val="ListParagraph"/>
              <w:numPr>
                <w:ilvl w:val="0"/>
                <w:numId w:val="10"/>
              </w:numPr>
              <w:jc w:val="both"/>
              <w:rPr>
                <w:rFonts w:ascii="Calibri Light" w:hAnsi="Calibri Light"/>
                <w:lang w:val="es-PE"/>
              </w:rPr>
            </w:pPr>
            <w:r w:rsidRPr="001F2762">
              <w:rPr>
                <w:rFonts w:ascii="Calibri Light" w:hAnsi="Calibri Light"/>
                <w:lang w:val="es-PE"/>
              </w:rPr>
              <w:t>Deber de investigar con la debida diligencia</w:t>
            </w:r>
          </w:p>
          <w:p w14:paraId="1B1E1336" w14:textId="77777777" w:rsidR="008839D3" w:rsidRPr="001F2762" w:rsidRDefault="008839D3" w:rsidP="008839D3">
            <w:pPr>
              <w:jc w:val="both"/>
              <w:rPr>
                <w:rFonts w:ascii="Calibri Light" w:hAnsi="Calibri Light"/>
                <w:lang w:val="es-PE"/>
              </w:rPr>
            </w:pPr>
          </w:p>
          <w:p w14:paraId="0DB4CEBC" w14:textId="0BA84504" w:rsidR="008839D3" w:rsidRPr="001F2762" w:rsidRDefault="00815148" w:rsidP="008839D3">
            <w:pPr>
              <w:jc w:val="both"/>
              <w:rPr>
                <w:rFonts w:ascii="Calibri Light" w:hAnsi="Calibri Light"/>
                <w:b w:val="0"/>
                <w:lang w:val="es-PE"/>
              </w:rPr>
            </w:pPr>
            <w:r w:rsidRPr="001F2762">
              <w:rPr>
                <w:rFonts w:ascii="Calibri Light" w:hAnsi="Calibri Light"/>
                <w:b w:val="0"/>
                <w:lang w:val="es-PE"/>
              </w:rPr>
              <w:t xml:space="preserve">Según la CIDH, existían suficientes elementos a la hora del rescate de la </w:t>
            </w:r>
            <w:r w:rsidR="00C9309C" w:rsidRPr="001F2762">
              <w:rPr>
                <w:rFonts w:ascii="Calibri Light" w:hAnsi="Calibri Light"/>
                <w:b w:val="0"/>
                <w:lang w:val="es-PE"/>
              </w:rPr>
              <w:t xml:space="preserve">señora </w:t>
            </w:r>
            <w:r w:rsidR="004C5505" w:rsidRPr="001F2762">
              <w:rPr>
                <w:rFonts w:ascii="Calibri Light" w:hAnsi="Calibri Light"/>
                <w:b w:val="0"/>
                <w:lang w:val="es-PE"/>
              </w:rPr>
              <w:t>López</w:t>
            </w:r>
            <w:r w:rsidRPr="001F2762">
              <w:rPr>
                <w:rFonts w:ascii="Calibri Light" w:hAnsi="Calibri Light"/>
                <w:b w:val="0"/>
                <w:lang w:val="es-PE"/>
              </w:rPr>
              <w:t xml:space="preserve"> para identificar el caso como violencia contra la mujer. Sin embargo, </w:t>
            </w:r>
            <w:r w:rsidR="00981318" w:rsidRPr="001F2762">
              <w:rPr>
                <w:rFonts w:ascii="Calibri Light" w:hAnsi="Calibri Light"/>
                <w:b w:val="0"/>
                <w:lang w:val="es-PE"/>
              </w:rPr>
              <w:t xml:space="preserve">no se tomaron </w:t>
            </w:r>
            <w:r w:rsidRPr="001F2762">
              <w:rPr>
                <w:rFonts w:ascii="Calibri Light" w:hAnsi="Calibri Light"/>
                <w:b w:val="0"/>
                <w:lang w:val="es-PE"/>
              </w:rPr>
              <w:t xml:space="preserve">precauciones </w:t>
            </w:r>
            <w:r w:rsidR="00933217" w:rsidRPr="001F2762">
              <w:rPr>
                <w:rFonts w:ascii="Calibri Light" w:hAnsi="Calibri Light"/>
                <w:b w:val="0"/>
                <w:lang w:val="es-PE"/>
              </w:rPr>
              <w:t>en cuanto a la examinación de la víctima</w:t>
            </w:r>
            <w:r w:rsidR="00981318" w:rsidRPr="001F2762">
              <w:rPr>
                <w:rFonts w:ascii="Calibri Light" w:hAnsi="Calibri Light"/>
                <w:b w:val="0"/>
                <w:lang w:val="es-PE"/>
              </w:rPr>
              <w:t>,</w:t>
            </w:r>
            <w:r w:rsidRPr="001F2762">
              <w:rPr>
                <w:rFonts w:ascii="Calibri Light" w:hAnsi="Calibri Light"/>
                <w:b w:val="0"/>
                <w:lang w:val="es-PE"/>
              </w:rPr>
              <w:t xml:space="preserve"> y </w:t>
            </w:r>
            <w:r w:rsidR="006F4B29" w:rsidRPr="001F2762">
              <w:rPr>
                <w:rFonts w:ascii="Calibri Light" w:hAnsi="Calibri Light"/>
                <w:b w:val="0"/>
                <w:lang w:val="es-PE"/>
              </w:rPr>
              <w:t xml:space="preserve">no se actuó con </w:t>
            </w:r>
            <w:r w:rsidRPr="001F2762">
              <w:rPr>
                <w:rFonts w:ascii="Calibri Light" w:hAnsi="Calibri Light"/>
                <w:b w:val="0"/>
                <w:lang w:val="es-PE"/>
              </w:rPr>
              <w:t>la diligencia requerida en este tipo de casos. Por otro lado, la CIDH observó que de manera general hubo un gran número de falencias a la diligencia en toda la investigación y la recopilación de pruebas.</w:t>
            </w:r>
            <w:r w:rsidR="00933217" w:rsidRPr="001F2762">
              <w:rPr>
                <w:rFonts w:ascii="Calibri Light" w:hAnsi="Calibri Light"/>
                <w:b w:val="0"/>
                <w:lang w:val="es-PE"/>
              </w:rPr>
              <w:t xml:space="preserve"> Señaló que por ejemplo el departamento en el</w:t>
            </w:r>
            <w:r w:rsidR="006F4B29" w:rsidRPr="001F2762">
              <w:rPr>
                <w:rFonts w:ascii="Calibri Light" w:hAnsi="Calibri Light"/>
                <w:b w:val="0"/>
                <w:lang w:val="es-PE"/>
              </w:rPr>
              <w:t xml:space="preserve"> cual la víctima fue encontrada</w:t>
            </w:r>
            <w:r w:rsidR="00933217" w:rsidRPr="001F2762">
              <w:rPr>
                <w:rFonts w:ascii="Calibri Light" w:hAnsi="Calibri Light"/>
                <w:b w:val="0"/>
                <w:lang w:val="es-PE"/>
              </w:rPr>
              <w:t xml:space="preserve"> no fue protegido y preservado</w:t>
            </w:r>
            <w:r w:rsidR="006F4B29" w:rsidRPr="001F2762">
              <w:rPr>
                <w:rFonts w:ascii="Calibri Light" w:hAnsi="Calibri Light"/>
                <w:b w:val="0"/>
                <w:lang w:val="es-PE"/>
              </w:rPr>
              <w:t>, lo que llevó</w:t>
            </w:r>
            <w:r w:rsidR="00933217" w:rsidRPr="001F2762">
              <w:rPr>
                <w:rFonts w:ascii="Calibri Light" w:hAnsi="Calibri Light"/>
                <w:b w:val="0"/>
                <w:lang w:val="es-PE"/>
              </w:rPr>
              <w:t xml:space="preserve"> a su c</w:t>
            </w:r>
            <w:r w:rsidR="006F4B29" w:rsidRPr="001F2762">
              <w:rPr>
                <w:rFonts w:ascii="Calibri Light" w:hAnsi="Calibri Light"/>
                <w:b w:val="0"/>
                <w:lang w:val="es-PE"/>
              </w:rPr>
              <w:t>ontaminación. Por otra parta, si</w:t>
            </w:r>
            <w:r w:rsidR="00933217" w:rsidRPr="001F2762">
              <w:rPr>
                <w:rFonts w:ascii="Calibri Light" w:hAnsi="Calibri Light"/>
                <w:b w:val="0"/>
                <w:lang w:val="es-PE"/>
              </w:rPr>
              <w:t xml:space="preserve"> bien </w:t>
            </w:r>
            <w:r w:rsidR="006F4B29" w:rsidRPr="001F2762">
              <w:rPr>
                <w:rFonts w:ascii="Calibri Light" w:hAnsi="Calibri Light"/>
                <w:b w:val="0"/>
                <w:lang w:val="es-PE"/>
              </w:rPr>
              <w:t xml:space="preserve">la sangre, </w:t>
            </w:r>
            <w:r w:rsidR="00933217" w:rsidRPr="001F2762">
              <w:rPr>
                <w:rFonts w:ascii="Calibri Light" w:hAnsi="Calibri Light"/>
                <w:b w:val="0"/>
                <w:lang w:val="es-PE"/>
              </w:rPr>
              <w:t xml:space="preserve">otros desechos humanos, </w:t>
            </w:r>
            <w:r w:rsidR="006F4B29" w:rsidRPr="001F2762">
              <w:rPr>
                <w:rFonts w:ascii="Calibri Light" w:hAnsi="Calibri Light"/>
                <w:b w:val="0"/>
                <w:lang w:val="es-PE"/>
              </w:rPr>
              <w:t xml:space="preserve">las </w:t>
            </w:r>
            <w:r w:rsidR="00933217" w:rsidRPr="001F2762">
              <w:rPr>
                <w:rFonts w:ascii="Calibri Light" w:hAnsi="Calibri Light"/>
                <w:b w:val="0"/>
                <w:lang w:val="es-PE"/>
              </w:rPr>
              <w:t>balas de proyect</w:t>
            </w:r>
            <w:r w:rsidR="006F4B29" w:rsidRPr="001F2762">
              <w:rPr>
                <w:rFonts w:ascii="Calibri Light" w:hAnsi="Calibri Light"/>
                <w:b w:val="0"/>
                <w:lang w:val="es-PE"/>
              </w:rPr>
              <w:t>il</w:t>
            </w:r>
            <w:r w:rsidR="00933217" w:rsidRPr="001F2762">
              <w:rPr>
                <w:rFonts w:ascii="Calibri Light" w:hAnsi="Calibri Light"/>
                <w:b w:val="0"/>
                <w:lang w:val="es-PE"/>
              </w:rPr>
              <w:t xml:space="preserve"> y huellas se encontraban en dicho departamento, no se practicó ningún examen forense</w:t>
            </w:r>
            <w:r w:rsidR="006F4B29" w:rsidRPr="001F2762">
              <w:rPr>
                <w:rFonts w:ascii="Calibri Light" w:hAnsi="Calibri Light"/>
                <w:b w:val="0"/>
                <w:lang w:val="es-PE"/>
              </w:rPr>
              <w:t xml:space="preserve"> al respecto</w:t>
            </w:r>
            <w:r w:rsidR="00933217" w:rsidRPr="001F2762">
              <w:rPr>
                <w:rFonts w:ascii="Calibri Light" w:hAnsi="Calibri Light"/>
                <w:b w:val="0"/>
                <w:lang w:val="es-PE"/>
              </w:rPr>
              <w:t>. La CIDH t</w:t>
            </w:r>
            <w:r w:rsidR="00FC69A5" w:rsidRPr="001F2762">
              <w:rPr>
                <w:rFonts w:ascii="Calibri Light" w:hAnsi="Calibri Light"/>
                <w:b w:val="0"/>
                <w:lang w:val="es-PE"/>
              </w:rPr>
              <w:t>ambién señaló que el Estado fall</w:t>
            </w:r>
            <w:r w:rsidR="006F4B29" w:rsidRPr="001F2762">
              <w:rPr>
                <w:rFonts w:ascii="Calibri Light" w:hAnsi="Calibri Light"/>
                <w:b w:val="0"/>
                <w:lang w:val="es-PE"/>
              </w:rPr>
              <w:t>ó</w:t>
            </w:r>
            <w:r w:rsidR="00FC69A5" w:rsidRPr="001F2762">
              <w:rPr>
                <w:rFonts w:ascii="Calibri Light" w:hAnsi="Calibri Light"/>
                <w:b w:val="0"/>
                <w:lang w:val="es-PE"/>
              </w:rPr>
              <w:t xml:space="preserve"> en investigar las alegadas irregularidades y amenazas </w:t>
            </w:r>
            <w:r w:rsidR="006F4B29" w:rsidRPr="001F2762">
              <w:rPr>
                <w:rFonts w:ascii="Calibri Light" w:hAnsi="Calibri Light"/>
                <w:b w:val="0"/>
                <w:lang w:val="es-PE"/>
              </w:rPr>
              <w:t xml:space="preserve">denunciadas </w:t>
            </w:r>
            <w:r w:rsidR="00FC69A5" w:rsidRPr="001F2762">
              <w:rPr>
                <w:rFonts w:ascii="Calibri Light" w:hAnsi="Calibri Light"/>
                <w:b w:val="0"/>
                <w:lang w:val="es-PE"/>
              </w:rPr>
              <w:t>a lo largo de todo el proceso.</w:t>
            </w:r>
          </w:p>
          <w:p w14:paraId="1A14BDEE" w14:textId="77777777" w:rsidR="008839D3" w:rsidRPr="001F2762" w:rsidRDefault="008839D3" w:rsidP="008839D3">
            <w:pPr>
              <w:jc w:val="both"/>
              <w:rPr>
                <w:rFonts w:ascii="Calibri Light" w:hAnsi="Calibri Light"/>
                <w:lang w:val="es-PE"/>
              </w:rPr>
            </w:pPr>
          </w:p>
          <w:p w14:paraId="69D8EB6B" w14:textId="3EB97C97" w:rsidR="00677735" w:rsidRPr="001F2762" w:rsidRDefault="004C79C5" w:rsidP="004C79C5">
            <w:pPr>
              <w:pStyle w:val="ListParagraph"/>
              <w:numPr>
                <w:ilvl w:val="0"/>
                <w:numId w:val="10"/>
              </w:numPr>
              <w:jc w:val="both"/>
              <w:rPr>
                <w:rFonts w:ascii="Calibri Light" w:hAnsi="Calibri Light"/>
                <w:lang w:val="es-PE"/>
              </w:rPr>
            </w:pPr>
            <w:r w:rsidRPr="001F2762">
              <w:rPr>
                <w:rFonts w:ascii="Calibri Light" w:hAnsi="Calibri Light"/>
                <w:lang w:val="es-PE"/>
              </w:rPr>
              <w:t>Deber de investigar en un plazo razonable</w:t>
            </w:r>
          </w:p>
          <w:p w14:paraId="4F1C92A8" w14:textId="77777777" w:rsidR="004C79C5" w:rsidRPr="001F2762" w:rsidRDefault="004C79C5" w:rsidP="004C79C5">
            <w:pPr>
              <w:jc w:val="both"/>
              <w:rPr>
                <w:rFonts w:ascii="Calibri Light" w:hAnsi="Calibri Light"/>
                <w:lang w:val="es-PE"/>
              </w:rPr>
            </w:pPr>
          </w:p>
          <w:p w14:paraId="6561F955" w14:textId="53F4DE0D" w:rsidR="00375522" w:rsidRPr="001F2762" w:rsidRDefault="004C79C5" w:rsidP="004F340A">
            <w:pPr>
              <w:jc w:val="both"/>
              <w:rPr>
                <w:rFonts w:ascii="Calibri Light" w:hAnsi="Calibri Light"/>
                <w:b w:val="0"/>
                <w:lang w:val="es-PE"/>
              </w:rPr>
            </w:pPr>
            <w:r w:rsidRPr="001F2762">
              <w:rPr>
                <w:rFonts w:ascii="Calibri Light" w:hAnsi="Calibri Light"/>
                <w:b w:val="0"/>
                <w:lang w:val="es-PE"/>
              </w:rPr>
              <w:t>La CIDH recordó que el plazo razonable se debe examinar caso a caso</w:t>
            </w:r>
            <w:r w:rsidR="006F4B29" w:rsidRPr="001F2762">
              <w:rPr>
                <w:rFonts w:ascii="Calibri Light" w:hAnsi="Calibri Light"/>
                <w:b w:val="0"/>
                <w:lang w:val="es-PE"/>
              </w:rPr>
              <w:t xml:space="preserve"> y que son </w:t>
            </w:r>
            <w:r w:rsidR="000F79F2" w:rsidRPr="001F2762">
              <w:rPr>
                <w:rFonts w:ascii="Calibri Light" w:hAnsi="Calibri Light"/>
                <w:b w:val="0"/>
                <w:lang w:val="es-PE"/>
              </w:rPr>
              <w:t>cuatro</w:t>
            </w:r>
            <w:r w:rsidR="006F4B29" w:rsidRPr="001F2762">
              <w:rPr>
                <w:rFonts w:ascii="Calibri Light" w:hAnsi="Calibri Light"/>
                <w:b w:val="0"/>
                <w:lang w:val="es-PE"/>
              </w:rPr>
              <w:t xml:space="preserve"> los elementos que deben ser tomados en cuenta: i) la complejidad del asunto, ii) la conducta de las autoridades </w:t>
            </w:r>
            <w:r w:rsidR="000F79F2" w:rsidRPr="001F2762">
              <w:rPr>
                <w:rFonts w:ascii="Calibri Light" w:hAnsi="Calibri Light"/>
                <w:b w:val="0"/>
                <w:lang w:val="es-PE"/>
              </w:rPr>
              <w:t xml:space="preserve">judiciales, </w:t>
            </w:r>
            <w:r w:rsidR="006F4B29" w:rsidRPr="001F2762">
              <w:rPr>
                <w:rFonts w:ascii="Calibri Light" w:hAnsi="Calibri Light"/>
                <w:b w:val="0"/>
                <w:lang w:val="es-PE"/>
              </w:rPr>
              <w:t>iii) la actividad procesal del interesado</w:t>
            </w:r>
            <w:r w:rsidR="000F79F2" w:rsidRPr="001F2762">
              <w:rPr>
                <w:rFonts w:ascii="Calibri Light" w:hAnsi="Calibri Light"/>
                <w:b w:val="0"/>
                <w:lang w:val="es-PE"/>
              </w:rPr>
              <w:t>, iv) la afectación generada por la duración del procedimiento en la situación jurídica de la persona involucrada</w:t>
            </w:r>
            <w:r w:rsidRPr="001F2762">
              <w:rPr>
                <w:rFonts w:ascii="Calibri Light" w:hAnsi="Calibri Light"/>
                <w:b w:val="0"/>
                <w:lang w:val="es-PE"/>
              </w:rPr>
              <w:t xml:space="preserve">. </w:t>
            </w:r>
            <w:r w:rsidR="006F4B29" w:rsidRPr="001F2762">
              <w:rPr>
                <w:rFonts w:ascii="Calibri Light" w:hAnsi="Calibri Light"/>
                <w:b w:val="0"/>
                <w:lang w:val="es-PE"/>
              </w:rPr>
              <w:t>E</w:t>
            </w:r>
            <w:r w:rsidRPr="001F2762">
              <w:rPr>
                <w:rFonts w:ascii="Calibri Light" w:hAnsi="Calibri Light"/>
                <w:b w:val="0"/>
                <w:lang w:val="es-PE"/>
              </w:rPr>
              <w:t>n este caso</w:t>
            </w:r>
            <w:r w:rsidR="006F4B29" w:rsidRPr="001F2762">
              <w:rPr>
                <w:rFonts w:ascii="Calibri Light" w:hAnsi="Calibri Light"/>
                <w:b w:val="0"/>
                <w:lang w:val="es-PE"/>
              </w:rPr>
              <w:t>,</w:t>
            </w:r>
            <w:r w:rsidRPr="001F2762">
              <w:rPr>
                <w:rFonts w:ascii="Calibri Light" w:hAnsi="Calibri Light"/>
                <w:b w:val="0"/>
                <w:lang w:val="es-PE"/>
              </w:rPr>
              <w:t xml:space="preserve"> pasaron </w:t>
            </w:r>
            <w:r w:rsidR="004F340A" w:rsidRPr="001F2762">
              <w:rPr>
                <w:rFonts w:ascii="Calibri Light" w:hAnsi="Calibri Light"/>
                <w:b w:val="0"/>
                <w:lang w:val="es-PE"/>
              </w:rPr>
              <w:t>seis</w:t>
            </w:r>
            <w:r w:rsidRPr="001F2762">
              <w:rPr>
                <w:rFonts w:ascii="Calibri Light" w:hAnsi="Calibri Light"/>
                <w:b w:val="0"/>
                <w:lang w:val="es-PE"/>
              </w:rPr>
              <w:t xml:space="preserve"> años entre el inicio de la investigación penal y </w:t>
            </w:r>
            <w:r w:rsidR="00254A4A" w:rsidRPr="001F2762">
              <w:rPr>
                <w:rFonts w:ascii="Calibri Light" w:hAnsi="Calibri Light"/>
                <w:b w:val="0"/>
                <w:lang w:val="es-PE"/>
              </w:rPr>
              <w:t>la conclusión del proceso penal</w:t>
            </w:r>
            <w:r w:rsidR="004F340A" w:rsidRPr="001F2762">
              <w:rPr>
                <w:rFonts w:ascii="Calibri Light" w:hAnsi="Calibri Light"/>
                <w:b w:val="0"/>
                <w:lang w:val="es-PE"/>
              </w:rPr>
              <w:t xml:space="preserve">. Sin embargo, el Estado no presentó ningún elemento para </w:t>
            </w:r>
            <w:r w:rsidR="00375522" w:rsidRPr="001F2762">
              <w:rPr>
                <w:rFonts w:ascii="Calibri Light" w:hAnsi="Calibri Light"/>
                <w:b w:val="0"/>
                <w:lang w:val="es-PE"/>
              </w:rPr>
              <w:t>justificar</w:t>
            </w:r>
            <w:r w:rsidR="004F340A" w:rsidRPr="001F2762">
              <w:rPr>
                <w:rFonts w:ascii="Calibri Light" w:hAnsi="Calibri Light"/>
                <w:b w:val="0"/>
                <w:lang w:val="es-PE"/>
              </w:rPr>
              <w:t xml:space="preserve"> que se </w:t>
            </w:r>
            <w:r w:rsidR="00351A39" w:rsidRPr="001F2762">
              <w:rPr>
                <w:rFonts w:ascii="Calibri Light" w:hAnsi="Calibri Light"/>
                <w:b w:val="0"/>
                <w:lang w:val="es-PE"/>
              </w:rPr>
              <w:t>trataba</w:t>
            </w:r>
            <w:r w:rsidR="00375522" w:rsidRPr="001F2762">
              <w:rPr>
                <w:rFonts w:ascii="Calibri Light" w:hAnsi="Calibri Light"/>
                <w:b w:val="0"/>
                <w:lang w:val="es-PE"/>
              </w:rPr>
              <w:t xml:space="preserve"> </w:t>
            </w:r>
            <w:r w:rsidR="004F340A" w:rsidRPr="001F2762">
              <w:rPr>
                <w:rFonts w:ascii="Calibri Light" w:hAnsi="Calibri Light"/>
                <w:b w:val="0"/>
                <w:lang w:val="es-PE"/>
              </w:rPr>
              <w:t xml:space="preserve">de un caso complejo lo que explicaría la duración del proceso. Por otro lado, el proceso judicial fue marcado por un </w:t>
            </w:r>
            <w:r w:rsidR="00375522" w:rsidRPr="001F2762">
              <w:rPr>
                <w:rFonts w:ascii="Calibri Light" w:hAnsi="Calibri Light"/>
                <w:b w:val="0"/>
                <w:lang w:val="es-PE"/>
              </w:rPr>
              <w:t>número</w:t>
            </w:r>
            <w:r w:rsidR="004F340A" w:rsidRPr="001F2762">
              <w:rPr>
                <w:rFonts w:ascii="Calibri Light" w:hAnsi="Calibri Light"/>
                <w:b w:val="0"/>
                <w:lang w:val="es-PE"/>
              </w:rPr>
              <w:t xml:space="preserve"> importante de </w:t>
            </w:r>
            <w:r w:rsidR="00375522" w:rsidRPr="001F2762">
              <w:rPr>
                <w:rFonts w:ascii="Calibri Light" w:hAnsi="Calibri Light"/>
                <w:b w:val="0"/>
                <w:lang w:val="es-PE"/>
              </w:rPr>
              <w:t>diferimientos</w:t>
            </w:r>
            <w:r w:rsidR="004F340A" w:rsidRPr="001F2762">
              <w:rPr>
                <w:rFonts w:ascii="Calibri Light" w:hAnsi="Calibri Light"/>
                <w:b w:val="0"/>
                <w:lang w:val="es-PE"/>
              </w:rPr>
              <w:t xml:space="preserve"> y retrasos injustificados. </w:t>
            </w:r>
            <w:r w:rsidR="000F79F2" w:rsidRPr="001F2762">
              <w:rPr>
                <w:rFonts w:ascii="Calibri Light" w:hAnsi="Calibri Light"/>
                <w:b w:val="0"/>
                <w:lang w:val="es-PE"/>
              </w:rPr>
              <w:t xml:space="preserve">En cuanto a los otros dos elementos, destacó el deber reforzado que tenía el Estado frente a </w:t>
            </w:r>
            <w:r w:rsidR="001F2762" w:rsidRPr="001F2762">
              <w:rPr>
                <w:rFonts w:ascii="Calibri Light" w:hAnsi="Calibri Light"/>
                <w:b w:val="0"/>
                <w:lang w:val="es-PE"/>
              </w:rPr>
              <w:t>la señora López</w:t>
            </w:r>
            <w:r w:rsidR="000F79F2" w:rsidRPr="001F2762">
              <w:rPr>
                <w:rFonts w:ascii="Calibri Light" w:hAnsi="Calibri Light"/>
                <w:b w:val="0"/>
                <w:lang w:val="es-PE"/>
              </w:rPr>
              <w:t xml:space="preserve">, por su especial situación de vulnerabilidad. Asimismo, señaló que esta participó en todas las etapas del proceso. </w:t>
            </w:r>
            <w:r w:rsidR="004F340A" w:rsidRPr="001F2762">
              <w:rPr>
                <w:rFonts w:ascii="Calibri Light" w:hAnsi="Calibri Light"/>
                <w:b w:val="0"/>
                <w:lang w:val="es-PE"/>
              </w:rPr>
              <w:t xml:space="preserve">Por lo tanto, </w:t>
            </w:r>
            <w:r w:rsidR="00375522" w:rsidRPr="001F2762">
              <w:rPr>
                <w:rFonts w:ascii="Calibri Light" w:hAnsi="Calibri Light"/>
                <w:b w:val="0"/>
                <w:lang w:val="es-PE"/>
              </w:rPr>
              <w:t>la CIDH estimó que la obligación de investigar en un plazo razonable no fue cumplida por el Estado venezolano.</w:t>
            </w:r>
          </w:p>
          <w:p w14:paraId="1D2E8FC7" w14:textId="77777777" w:rsidR="000F79F2" w:rsidRPr="001F2762" w:rsidRDefault="000F79F2" w:rsidP="004F340A">
            <w:pPr>
              <w:jc w:val="both"/>
              <w:rPr>
                <w:rFonts w:ascii="Calibri Light" w:hAnsi="Calibri Light"/>
                <w:b w:val="0"/>
                <w:lang w:val="es-PE"/>
              </w:rPr>
            </w:pPr>
          </w:p>
          <w:p w14:paraId="1E4E90E6" w14:textId="516F0718" w:rsidR="000F79F2" w:rsidRPr="001F2762" w:rsidRDefault="000F79F2" w:rsidP="004F340A">
            <w:pPr>
              <w:jc w:val="both"/>
              <w:rPr>
                <w:rFonts w:ascii="Calibri Light" w:hAnsi="Calibri Light"/>
                <w:b w:val="0"/>
                <w:lang w:val="es-PE"/>
              </w:rPr>
            </w:pPr>
            <w:r w:rsidRPr="001F2762">
              <w:rPr>
                <w:rFonts w:ascii="Calibri Light" w:hAnsi="Calibri Light"/>
                <w:b w:val="0"/>
                <w:lang w:val="es-PE"/>
              </w:rPr>
              <w:t xml:space="preserve">En base a estas consideraciones, la CIDH determinó que el Estado había violado los artículos 8.1 y 25.1 de la CADH, en relación con el artículo 1.1, en perjuicio de la señora López. Asimismo consideró que había incumplido con su deber de investigar hechos de tortura y de violencia contra la mujer, reconocido en los artículos 1, 6 y 8 de la CIPST y el artículo 7 de la Convención Belém do Pará. De igual forma, tomando en cuenta que la denuncia del Estado venezolano de la CADH entró en vigor el 10 de septiembre de 2013 y la continuidad de la situación de impunidad por estos hechos, consideró que desde esa fecha se violó el artículo XVIII de la DADDH. </w:t>
            </w:r>
          </w:p>
          <w:p w14:paraId="0833623D" w14:textId="77777777" w:rsidR="00E55104" w:rsidRPr="001F2762" w:rsidRDefault="00E55104" w:rsidP="004F340A">
            <w:pPr>
              <w:jc w:val="both"/>
              <w:rPr>
                <w:rFonts w:ascii="Calibri Light" w:hAnsi="Calibri Light"/>
                <w:b w:val="0"/>
                <w:lang w:val="es-PE"/>
              </w:rPr>
            </w:pPr>
          </w:p>
          <w:p w14:paraId="2D6A58A9" w14:textId="4F1FBD5C" w:rsidR="00375522" w:rsidRPr="001F2762" w:rsidRDefault="00271421" w:rsidP="004F340A">
            <w:pPr>
              <w:jc w:val="both"/>
              <w:rPr>
                <w:rFonts w:ascii="Calibri Light" w:hAnsi="Calibri Light"/>
                <w:lang w:val="es-PE"/>
              </w:rPr>
            </w:pPr>
            <w:r w:rsidRPr="001F2762">
              <w:rPr>
                <w:rFonts w:ascii="Calibri Light" w:hAnsi="Calibri Light"/>
                <w:lang w:val="es-PE"/>
              </w:rPr>
              <w:t xml:space="preserve">Los derechos a las </w:t>
            </w:r>
            <w:r w:rsidR="000A5834" w:rsidRPr="001F2762">
              <w:rPr>
                <w:rFonts w:ascii="Calibri Light" w:hAnsi="Calibri Light"/>
                <w:lang w:val="es-PE"/>
              </w:rPr>
              <w:t>garantías</w:t>
            </w:r>
            <w:r w:rsidRPr="001F2762">
              <w:rPr>
                <w:rFonts w:ascii="Calibri Light" w:hAnsi="Calibri Light"/>
                <w:lang w:val="es-PE"/>
              </w:rPr>
              <w:t xml:space="preserve"> judiciales, </w:t>
            </w:r>
            <w:r w:rsidR="000A5834" w:rsidRPr="001F2762">
              <w:rPr>
                <w:rFonts w:ascii="Calibri Light" w:hAnsi="Calibri Light"/>
                <w:lang w:val="es-PE"/>
              </w:rPr>
              <w:t>protección</w:t>
            </w:r>
            <w:r w:rsidRPr="001F2762">
              <w:rPr>
                <w:rFonts w:ascii="Calibri Light" w:hAnsi="Calibri Light"/>
                <w:lang w:val="es-PE"/>
              </w:rPr>
              <w:t xml:space="preserve"> judicial, integridad personal, vida privada, igualdad y no </w:t>
            </w:r>
            <w:r w:rsidR="000A5834" w:rsidRPr="001F2762">
              <w:rPr>
                <w:rFonts w:ascii="Calibri Light" w:hAnsi="Calibri Light"/>
                <w:lang w:val="es-PE"/>
              </w:rPr>
              <w:t>discriminación</w:t>
            </w:r>
            <w:r w:rsidRPr="001F2762">
              <w:rPr>
                <w:rFonts w:ascii="Calibri Light" w:hAnsi="Calibri Light"/>
                <w:lang w:val="es-PE"/>
              </w:rPr>
              <w:t xml:space="preserve"> y deber de adoptar disposiciones de derecho interno (</w:t>
            </w:r>
            <w:r w:rsidR="000405FB" w:rsidRPr="001F2762">
              <w:rPr>
                <w:rFonts w:ascii="Calibri Light" w:hAnsi="Calibri Light"/>
                <w:lang w:val="es-PE"/>
              </w:rPr>
              <w:t>a</w:t>
            </w:r>
            <w:r w:rsidR="000A5834" w:rsidRPr="001F2762">
              <w:rPr>
                <w:rFonts w:ascii="Calibri Light" w:hAnsi="Calibri Light"/>
                <w:lang w:val="es-PE"/>
              </w:rPr>
              <w:t>rtículos</w:t>
            </w:r>
            <w:r w:rsidRPr="001F2762">
              <w:rPr>
                <w:rFonts w:ascii="Calibri Light" w:hAnsi="Calibri Light"/>
                <w:lang w:val="es-PE"/>
              </w:rPr>
              <w:t xml:space="preserve"> 8, </w:t>
            </w:r>
            <w:r w:rsidRPr="001F2762">
              <w:rPr>
                <w:rFonts w:ascii="Calibri Light" w:hAnsi="Calibri Light"/>
                <w:lang w:val="es-PE"/>
              </w:rPr>
              <w:lastRenderedPageBreak/>
              <w:t>25, 5, 11</w:t>
            </w:r>
            <w:r w:rsidR="000405FB" w:rsidRPr="001F2762">
              <w:rPr>
                <w:rFonts w:ascii="Calibri Light" w:hAnsi="Calibri Light"/>
                <w:lang w:val="es-PE"/>
              </w:rPr>
              <w:t>,</w:t>
            </w:r>
            <w:r w:rsidRPr="001F2762">
              <w:rPr>
                <w:rFonts w:ascii="Calibri Light" w:hAnsi="Calibri Light"/>
                <w:lang w:val="es-PE"/>
              </w:rPr>
              <w:t xml:space="preserve"> 24 y 2</w:t>
            </w:r>
            <w:r w:rsidR="00217301" w:rsidRPr="001F2762">
              <w:rPr>
                <w:rFonts w:ascii="Calibri Light" w:hAnsi="Calibri Light"/>
                <w:lang w:val="es-PE"/>
              </w:rPr>
              <w:t xml:space="preserve"> </w:t>
            </w:r>
            <w:r w:rsidRPr="001F2762">
              <w:rPr>
                <w:rFonts w:ascii="Calibri Light" w:hAnsi="Calibri Light"/>
                <w:lang w:val="es-PE"/>
              </w:rPr>
              <w:t xml:space="preserve">de la </w:t>
            </w:r>
            <w:r w:rsidR="003D4D45" w:rsidRPr="001F2762">
              <w:rPr>
                <w:rFonts w:ascii="Calibri Light" w:hAnsi="Calibri Light"/>
                <w:lang w:val="es-PE"/>
              </w:rPr>
              <w:t>CADH)</w:t>
            </w:r>
          </w:p>
          <w:p w14:paraId="63D80C6E" w14:textId="77777777" w:rsidR="00A35828" w:rsidRPr="001F2762" w:rsidRDefault="00A35828" w:rsidP="004F340A">
            <w:pPr>
              <w:jc w:val="both"/>
              <w:rPr>
                <w:rFonts w:ascii="Calibri Light" w:hAnsi="Calibri Light"/>
                <w:lang w:val="es-PE"/>
              </w:rPr>
            </w:pPr>
          </w:p>
          <w:p w14:paraId="3F746F6E" w14:textId="7C6445B9" w:rsidR="00E65D76" w:rsidRPr="001F2762" w:rsidRDefault="00A35828" w:rsidP="003D4D45">
            <w:pPr>
              <w:jc w:val="both"/>
              <w:rPr>
                <w:rFonts w:ascii="Calibri Light" w:hAnsi="Calibri Light"/>
                <w:b w:val="0"/>
                <w:lang w:val="es-PE"/>
              </w:rPr>
            </w:pPr>
            <w:r w:rsidRPr="001F2762">
              <w:rPr>
                <w:rFonts w:ascii="Calibri Light" w:hAnsi="Calibri Light"/>
                <w:b w:val="0"/>
                <w:lang w:val="es-PE"/>
              </w:rPr>
              <w:t xml:space="preserve">La </w:t>
            </w:r>
            <w:r w:rsidR="009C77EF" w:rsidRPr="001F2762">
              <w:rPr>
                <w:rFonts w:ascii="Calibri Light" w:hAnsi="Calibri Light"/>
                <w:b w:val="0"/>
                <w:lang w:val="es-PE"/>
              </w:rPr>
              <w:t>CIDH</w:t>
            </w:r>
            <w:r w:rsidRPr="001F2762">
              <w:rPr>
                <w:rFonts w:ascii="Calibri Light" w:hAnsi="Calibri Light"/>
                <w:b w:val="0"/>
                <w:lang w:val="es-PE"/>
              </w:rPr>
              <w:t xml:space="preserve"> reiteró </w:t>
            </w:r>
            <w:r w:rsidR="004D5994" w:rsidRPr="001F2762">
              <w:rPr>
                <w:rFonts w:ascii="Calibri Light" w:hAnsi="Calibri Light"/>
                <w:b w:val="0"/>
                <w:lang w:val="es-PE"/>
              </w:rPr>
              <w:t>que,</w:t>
            </w:r>
            <w:r w:rsidRPr="001F2762">
              <w:rPr>
                <w:rFonts w:ascii="Calibri Light" w:hAnsi="Calibri Light"/>
                <w:b w:val="0"/>
                <w:lang w:val="es-PE"/>
              </w:rPr>
              <w:t xml:space="preserve"> en los casos de violencia </w:t>
            </w:r>
            <w:r w:rsidR="009C77EF" w:rsidRPr="001F2762">
              <w:rPr>
                <w:rFonts w:ascii="Calibri Light" w:hAnsi="Calibri Light"/>
                <w:b w:val="0"/>
                <w:lang w:val="es-PE"/>
              </w:rPr>
              <w:t>contra</w:t>
            </w:r>
            <w:r w:rsidRPr="001F2762">
              <w:rPr>
                <w:rFonts w:ascii="Calibri Light" w:hAnsi="Calibri Light"/>
                <w:b w:val="0"/>
                <w:lang w:val="es-PE"/>
              </w:rPr>
              <w:t xml:space="preserve"> la mujer, la falta de diligencia </w:t>
            </w:r>
            <w:r w:rsidR="009C77EF" w:rsidRPr="001F2762">
              <w:rPr>
                <w:rFonts w:ascii="Calibri Light" w:hAnsi="Calibri Light"/>
                <w:b w:val="0"/>
                <w:lang w:val="es-PE"/>
              </w:rPr>
              <w:t xml:space="preserve">requerida </w:t>
            </w:r>
            <w:r w:rsidRPr="001F2762">
              <w:rPr>
                <w:rFonts w:ascii="Calibri Light" w:hAnsi="Calibri Light"/>
                <w:b w:val="0"/>
                <w:lang w:val="es-PE"/>
              </w:rPr>
              <w:t xml:space="preserve">en la investigación </w:t>
            </w:r>
            <w:r w:rsidR="009C77EF" w:rsidRPr="001F2762">
              <w:rPr>
                <w:rFonts w:ascii="Calibri Light" w:hAnsi="Calibri Light"/>
                <w:b w:val="0"/>
                <w:lang w:val="es-PE"/>
              </w:rPr>
              <w:t>constituye</w:t>
            </w:r>
            <w:r w:rsidRPr="001F2762">
              <w:rPr>
                <w:rFonts w:ascii="Calibri Light" w:hAnsi="Calibri Light"/>
                <w:b w:val="0"/>
                <w:lang w:val="es-PE"/>
              </w:rPr>
              <w:t xml:space="preserve"> una forma de </w:t>
            </w:r>
            <w:r w:rsidR="009C77EF" w:rsidRPr="001F2762">
              <w:rPr>
                <w:rFonts w:ascii="Calibri Light" w:hAnsi="Calibri Light"/>
                <w:b w:val="0"/>
                <w:lang w:val="es-PE"/>
              </w:rPr>
              <w:t>discriminación</w:t>
            </w:r>
            <w:r w:rsidR="00E55104" w:rsidRPr="001F2762">
              <w:rPr>
                <w:rFonts w:ascii="Calibri Light" w:hAnsi="Calibri Light"/>
                <w:b w:val="0"/>
                <w:lang w:val="es-PE"/>
              </w:rPr>
              <w:t xml:space="preserve">. Adicionalmente, </w:t>
            </w:r>
            <w:r w:rsidR="00511A9B" w:rsidRPr="001F2762">
              <w:rPr>
                <w:rFonts w:ascii="Calibri Light" w:hAnsi="Calibri Light"/>
                <w:b w:val="0"/>
                <w:lang w:val="es-PE"/>
              </w:rPr>
              <w:t>consideró relevante referirse</w:t>
            </w:r>
            <w:r w:rsidR="00351A39" w:rsidRPr="001F2762">
              <w:rPr>
                <w:rFonts w:ascii="Calibri Light" w:hAnsi="Calibri Light"/>
                <w:b w:val="0"/>
                <w:lang w:val="es-PE"/>
              </w:rPr>
              <w:t xml:space="preserve"> a</w:t>
            </w:r>
            <w:r w:rsidR="00511A9B" w:rsidRPr="001F2762">
              <w:rPr>
                <w:rFonts w:ascii="Calibri Light" w:hAnsi="Calibri Light"/>
                <w:b w:val="0"/>
                <w:lang w:val="es-PE"/>
              </w:rPr>
              <w:t xml:space="preserve"> </w:t>
            </w:r>
            <w:r w:rsidR="00A06DEC" w:rsidRPr="001F2762">
              <w:rPr>
                <w:rFonts w:ascii="Calibri Light" w:hAnsi="Calibri Light"/>
                <w:b w:val="0"/>
                <w:lang w:val="es-PE"/>
              </w:rPr>
              <w:t xml:space="preserve">la </w:t>
            </w:r>
            <w:r w:rsidR="00511A9B" w:rsidRPr="001F2762">
              <w:rPr>
                <w:rFonts w:ascii="Calibri Light" w:hAnsi="Calibri Light"/>
                <w:b w:val="0"/>
                <w:lang w:val="es-PE"/>
              </w:rPr>
              <w:t>revictimización</w:t>
            </w:r>
            <w:r w:rsidR="00E65D76" w:rsidRPr="001F2762">
              <w:rPr>
                <w:rFonts w:ascii="Calibri Light" w:hAnsi="Calibri Light"/>
                <w:b w:val="0"/>
                <w:lang w:val="es-PE"/>
              </w:rPr>
              <w:t xml:space="preserve"> </w:t>
            </w:r>
            <w:r w:rsidR="00511A9B" w:rsidRPr="001F2762">
              <w:rPr>
                <w:rFonts w:ascii="Calibri Light" w:hAnsi="Calibri Light"/>
                <w:b w:val="0"/>
                <w:lang w:val="es-PE"/>
              </w:rPr>
              <w:t>que pueden sufrir víctimas</w:t>
            </w:r>
            <w:r w:rsidR="00351A39" w:rsidRPr="001F2762">
              <w:rPr>
                <w:rFonts w:ascii="Calibri Light" w:hAnsi="Calibri Light"/>
                <w:b w:val="0"/>
                <w:lang w:val="es-PE"/>
              </w:rPr>
              <w:t xml:space="preserve"> de violaciones sexuales</w:t>
            </w:r>
            <w:r w:rsidR="00A06DEC" w:rsidRPr="001F2762">
              <w:rPr>
                <w:rFonts w:ascii="Calibri Light" w:hAnsi="Calibri Light"/>
                <w:b w:val="0"/>
                <w:lang w:val="es-PE"/>
              </w:rPr>
              <w:t>, lo cual implica producirle un sufrimiento adicional a la víctima durante la investigación y los procesos judiciales que sigan la violación</w:t>
            </w:r>
            <w:r w:rsidR="00351A39" w:rsidRPr="001F2762">
              <w:rPr>
                <w:rFonts w:ascii="Calibri Light" w:hAnsi="Calibri Light"/>
                <w:b w:val="0"/>
                <w:lang w:val="es-PE"/>
              </w:rPr>
              <w:t xml:space="preserve">. </w:t>
            </w:r>
            <w:r w:rsidR="00E65D76" w:rsidRPr="001F2762">
              <w:rPr>
                <w:rFonts w:ascii="Calibri Light" w:hAnsi="Calibri Light"/>
                <w:b w:val="0"/>
                <w:lang w:val="es-PE"/>
              </w:rPr>
              <w:t xml:space="preserve">La revictimización está vinculada a la falta de sensibilización ante la situación de la víctima y de protección suficiente de du dignidad y privacidad durante todo el proceso. </w:t>
            </w:r>
          </w:p>
          <w:p w14:paraId="6A34021B" w14:textId="77777777" w:rsidR="00E65D76" w:rsidRPr="001F2762" w:rsidRDefault="00E65D76" w:rsidP="003D4D45">
            <w:pPr>
              <w:jc w:val="both"/>
              <w:rPr>
                <w:rFonts w:ascii="Calibri Light" w:hAnsi="Calibri Light"/>
                <w:b w:val="0"/>
                <w:lang w:val="es-PE"/>
              </w:rPr>
            </w:pPr>
          </w:p>
          <w:p w14:paraId="01684311" w14:textId="7FB162D1" w:rsidR="00A35828" w:rsidRPr="001F2762" w:rsidRDefault="00A06DEC" w:rsidP="003D4D45">
            <w:pPr>
              <w:jc w:val="both"/>
              <w:rPr>
                <w:rFonts w:ascii="Calibri Light" w:hAnsi="Calibri Light"/>
                <w:b w:val="0"/>
                <w:lang w:val="es-PE"/>
              </w:rPr>
            </w:pPr>
            <w:r w:rsidRPr="001F2762">
              <w:rPr>
                <w:rFonts w:ascii="Calibri Light" w:hAnsi="Calibri Light"/>
                <w:b w:val="0"/>
                <w:lang w:val="es-PE"/>
              </w:rPr>
              <w:t>E</w:t>
            </w:r>
            <w:r w:rsidR="00511A9B" w:rsidRPr="001F2762">
              <w:rPr>
                <w:rFonts w:ascii="Calibri Light" w:hAnsi="Calibri Light"/>
                <w:b w:val="0"/>
                <w:lang w:val="es-PE"/>
              </w:rPr>
              <w:t xml:space="preserve">n el presente caso, </w:t>
            </w:r>
            <w:r w:rsidRPr="001F2762">
              <w:rPr>
                <w:rFonts w:ascii="Calibri Light" w:hAnsi="Calibri Light"/>
                <w:b w:val="0"/>
                <w:lang w:val="es-PE"/>
              </w:rPr>
              <w:t xml:space="preserve">señaló que </w:t>
            </w:r>
            <w:r w:rsidR="00511A9B" w:rsidRPr="001F2762">
              <w:rPr>
                <w:rFonts w:ascii="Calibri Light" w:hAnsi="Calibri Light"/>
                <w:b w:val="0"/>
                <w:lang w:val="es-PE"/>
              </w:rPr>
              <w:t>no se tomó en cuent</w:t>
            </w:r>
            <w:r w:rsidR="000405FB" w:rsidRPr="001F2762">
              <w:rPr>
                <w:rFonts w:ascii="Calibri Light" w:hAnsi="Calibri Light"/>
                <w:b w:val="0"/>
                <w:lang w:val="es-PE"/>
              </w:rPr>
              <w:t>a</w:t>
            </w:r>
            <w:r w:rsidR="00511A9B" w:rsidRPr="001F2762">
              <w:rPr>
                <w:rFonts w:ascii="Calibri Light" w:hAnsi="Calibri Light"/>
                <w:b w:val="0"/>
                <w:lang w:val="es-PE"/>
              </w:rPr>
              <w:t xml:space="preserve"> la situación extrema </w:t>
            </w:r>
            <w:r w:rsidRPr="001F2762">
              <w:rPr>
                <w:rFonts w:ascii="Calibri Light" w:hAnsi="Calibri Light"/>
                <w:b w:val="0"/>
                <w:lang w:val="es-PE"/>
              </w:rPr>
              <w:t xml:space="preserve">y prolongada de violencia de género, </w:t>
            </w:r>
            <w:r w:rsidR="00C3372E" w:rsidRPr="001F2762">
              <w:rPr>
                <w:rFonts w:ascii="Calibri Light" w:hAnsi="Calibri Light"/>
                <w:b w:val="0"/>
                <w:lang w:val="es-PE"/>
              </w:rPr>
              <w:t>incluyendo violencia y violación sexual</w:t>
            </w:r>
            <w:r w:rsidRPr="001F2762">
              <w:rPr>
                <w:rFonts w:ascii="Calibri Light" w:hAnsi="Calibri Light"/>
                <w:b w:val="0"/>
                <w:lang w:val="es-PE"/>
              </w:rPr>
              <w:t xml:space="preserve">, </w:t>
            </w:r>
            <w:r w:rsidR="009E3F6E" w:rsidRPr="001F2762">
              <w:rPr>
                <w:rFonts w:ascii="Calibri Light" w:hAnsi="Calibri Light"/>
                <w:b w:val="0"/>
                <w:lang w:val="es-PE"/>
              </w:rPr>
              <w:t>que sufrió la señora López</w:t>
            </w:r>
            <w:r w:rsidR="00511A9B" w:rsidRPr="001F2762">
              <w:rPr>
                <w:rFonts w:ascii="Calibri Light" w:hAnsi="Calibri Light"/>
                <w:b w:val="0"/>
                <w:lang w:val="es-PE"/>
              </w:rPr>
              <w:t xml:space="preserve">, al </w:t>
            </w:r>
            <w:r w:rsidR="001F3DEC" w:rsidRPr="001F2762">
              <w:rPr>
                <w:rFonts w:ascii="Calibri Light" w:hAnsi="Calibri Light"/>
                <w:b w:val="0"/>
                <w:lang w:val="es-PE"/>
              </w:rPr>
              <w:t>usar,</w:t>
            </w:r>
            <w:r w:rsidR="00511A9B" w:rsidRPr="001F2762">
              <w:rPr>
                <w:rFonts w:ascii="Calibri Light" w:hAnsi="Calibri Light"/>
                <w:b w:val="0"/>
                <w:lang w:val="es-PE"/>
              </w:rPr>
              <w:t xml:space="preserve"> por ejemplo, únicamente </w:t>
            </w:r>
            <w:r w:rsidR="009E3F6E" w:rsidRPr="001F2762">
              <w:rPr>
                <w:rFonts w:ascii="Calibri Light" w:hAnsi="Calibri Light"/>
                <w:b w:val="0"/>
                <w:lang w:val="es-PE"/>
              </w:rPr>
              <w:t xml:space="preserve">a </w:t>
            </w:r>
            <w:r w:rsidR="00511A9B" w:rsidRPr="001F2762">
              <w:rPr>
                <w:rFonts w:ascii="Calibri Light" w:hAnsi="Calibri Light"/>
                <w:b w:val="0"/>
                <w:lang w:val="es-PE"/>
              </w:rPr>
              <w:t>funcionarios hombre</w:t>
            </w:r>
            <w:r w:rsidR="009E3F6E" w:rsidRPr="001F2762">
              <w:rPr>
                <w:rFonts w:ascii="Calibri Light" w:hAnsi="Calibri Light"/>
                <w:b w:val="0"/>
                <w:lang w:val="es-PE"/>
              </w:rPr>
              <w:t>s</w:t>
            </w:r>
            <w:r w:rsidR="00511A9B" w:rsidRPr="001F2762">
              <w:rPr>
                <w:rFonts w:ascii="Calibri Light" w:hAnsi="Calibri Light"/>
                <w:b w:val="0"/>
                <w:lang w:val="es-PE"/>
              </w:rPr>
              <w:t xml:space="preserve"> para todos los exámenes e inspecciones forenses y </w:t>
            </w:r>
            <w:r w:rsidR="00351A39" w:rsidRPr="001F2762">
              <w:rPr>
                <w:rFonts w:ascii="Calibri Light" w:hAnsi="Calibri Light"/>
                <w:b w:val="0"/>
                <w:lang w:val="es-PE"/>
              </w:rPr>
              <w:t>médicas</w:t>
            </w:r>
            <w:r w:rsidR="009E3F6E" w:rsidRPr="001F2762">
              <w:rPr>
                <w:rFonts w:ascii="Calibri Light" w:hAnsi="Calibri Light"/>
                <w:b w:val="0"/>
                <w:lang w:val="es-PE"/>
              </w:rPr>
              <w:t xml:space="preserve"> realizadas</w:t>
            </w:r>
            <w:r w:rsidR="000405FB" w:rsidRPr="001F2762">
              <w:rPr>
                <w:rFonts w:ascii="Calibri Light" w:hAnsi="Calibri Light"/>
                <w:b w:val="0"/>
                <w:lang w:val="es-PE"/>
              </w:rPr>
              <w:t>,</w:t>
            </w:r>
            <w:r w:rsidR="00511A9B" w:rsidRPr="001F2762">
              <w:rPr>
                <w:rFonts w:ascii="Calibri Light" w:hAnsi="Calibri Light"/>
                <w:b w:val="0"/>
                <w:lang w:val="es-PE"/>
              </w:rPr>
              <w:t xml:space="preserve"> o </w:t>
            </w:r>
            <w:r w:rsidR="009E3F6E" w:rsidRPr="001F2762">
              <w:rPr>
                <w:rFonts w:ascii="Calibri Light" w:hAnsi="Calibri Light"/>
                <w:b w:val="0"/>
                <w:lang w:val="es-PE"/>
              </w:rPr>
              <w:t>al prohibir a la señora López</w:t>
            </w:r>
            <w:r w:rsidR="00511A9B" w:rsidRPr="001F2762">
              <w:rPr>
                <w:rFonts w:ascii="Calibri Light" w:hAnsi="Calibri Light"/>
                <w:b w:val="0"/>
                <w:lang w:val="es-PE"/>
              </w:rPr>
              <w:t xml:space="preserve"> las visitas los primeros días de </w:t>
            </w:r>
            <w:r w:rsidR="009E3F6E" w:rsidRPr="001F2762">
              <w:rPr>
                <w:rFonts w:ascii="Calibri Light" w:hAnsi="Calibri Light"/>
                <w:b w:val="0"/>
                <w:lang w:val="es-PE"/>
              </w:rPr>
              <w:t>su</w:t>
            </w:r>
            <w:r w:rsidR="00511A9B" w:rsidRPr="001F2762">
              <w:rPr>
                <w:rFonts w:ascii="Calibri Light" w:hAnsi="Calibri Light"/>
                <w:b w:val="0"/>
                <w:lang w:val="es-PE"/>
              </w:rPr>
              <w:t xml:space="preserve"> hospitalización.</w:t>
            </w:r>
            <w:r w:rsidR="006E2B53" w:rsidRPr="001F2762">
              <w:rPr>
                <w:rFonts w:ascii="Calibri Light" w:hAnsi="Calibri Light"/>
                <w:b w:val="0"/>
                <w:lang w:val="es-PE"/>
              </w:rPr>
              <w:t xml:space="preserve"> </w:t>
            </w:r>
            <w:r w:rsidR="009E3F6E" w:rsidRPr="001F2762">
              <w:rPr>
                <w:rFonts w:ascii="Calibri Light" w:hAnsi="Calibri Light"/>
                <w:b w:val="0"/>
                <w:lang w:val="es-PE"/>
              </w:rPr>
              <w:t>La CIDH observó además</w:t>
            </w:r>
            <w:r w:rsidR="006E2B53" w:rsidRPr="001F2762">
              <w:rPr>
                <w:rFonts w:ascii="Calibri Light" w:hAnsi="Calibri Light"/>
                <w:b w:val="0"/>
                <w:lang w:val="es-PE"/>
              </w:rPr>
              <w:t xml:space="preserve"> que </w:t>
            </w:r>
            <w:r w:rsidR="001F3DEC" w:rsidRPr="001F2762">
              <w:rPr>
                <w:rFonts w:ascii="Calibri Light" w:hAnsi="Calibri Light"/>
                <w:b w:val="0"/>
                <w:lang w:val="es-PE"/>
              </w:rPr>
              <w:t xml:space="preserve">el marco normativo interno </w:t>
            </w:r>
            <w:r w:rsidR="009E3F6E" w:rsidRPr="001F2762">
              <w:rPr>
                <w:rFonts w:ascii="Calibri Light" w:hAnsi="Calibri Light"/>
                <w:b w:val="0"/>
                <w:lang w:val="es-PE"/>
              </w:rPr>
              <w:t>favorecía</w:t>
            </w:r>
            <w:r w:rsidR="006E2B53" w:rsidRPr="001F2762">
              <w:rPr>
                <w:rFonts w:ascii="Calibri Light" w:hAnsi="Calibri Light"/>
                <w:b w:val="0"/>
                <w:lang w:val="es-PE"/>
              </w:rPr>
              <w:t xml:space="preserve"> </w:t>
            </w:r>
            <w:r w:rsidR="00FB555D" w:rsidRPr="001F2762">
              <w:rPr>
                <w:rFonts w:ascii="Calibri Light" w:hAnsi="Calibri Light"/>
                <w:b w:val="0"/>
                <w:lang w:val="es-PE"/>
              </w:rPr>
              <w:t xml:space="preserve">el uso de estereotipos </w:t>
            </w:r>
            <w:r w:rsidR="006E2B53" w:rsidRPr="001F2762">
              <w:rPr>
                <w:rFonts w:ascii="Calibri Light" w:hAnsi="Calibri Light"/>
                <w:b w:val="0"/>
                <w:lang w:val="es-PE"/>
              </w:rPr>
              <w:t>en el campo de la violencia contra las mujeres</w:t>
            </w:r>
            <w:r w:rsidR="001F3DEC" w:rsidRPr="001F2762">
              <w:rPr>
                <w:rFonts w:ascii="Calibri Light" w:hAnsi="Calibri Light"/>
                <w:b w:val="0"/>
                <w:lang w:val="es-PE"/>
              </w:rPr>
              <w:t xml:space="preserve">. </w:t>
            </w:r>
            <w:r w:rsidR="00FB555D" w:rsidRPr="001F2762">
              <w:rPr>
                <w:rFonts w:ascii="Calibri Light" w:hAnsi="Calibri Light"/>
                <w:b w:val="0"/>
                <w:lang w:val="es-PE"/>
              </w:rPr>
              <w:t xml:space="preserve">Por ejemplo, </w:t>
            </w:r>
            <w:r w:rsidR="009E3F6E" w:rsidRPr="001F2762">
              <w:rPr>
                <w:rFonts w:ascii="Calibri Light" w:hAnsi="Calibri Light"/>
                <w:b w:val="0"/>
                <w:lang w:val="es-PE"/>
              </w:rPr>
              <w:t xml:space="preserve">este </w:t>
            </w:r>
            <w:r w:rsidR="00FB555D" w:rsidRPr="001F2762">
              <w:rPr>
                <w:rFonts w:ascii="Calibri Light" w:hAnsi="Calibri Light"/>
                <w:b w:val="0"/>
                <w:lang w:val="es-PE"/>
              </w:rPr>
              <w:t xml:space="preserve">establece </w:t>
            </w:r>
            <w:r w:rsidR="009E3F6E" w:rsidRPr="001F2762">
              <w:rPr>
                <w:rFonts w:ascii="Calibri Light" w:hAnsi="Calibri Light"/>
                <w:b w:val="0"/>
                <w:lang w:val="es-PE"/>
              </w:rPr>
              <w:t>la</w:t>
            </w:r>
            <w:r w:rsidR="00FB555D" w:rsidRPr="001F2762">
              <w:rPr>
                <w:rFonts w:ascii="Calibri Light" w:hAnsi="Calibri Light"/>
                <w:b w:val="0"/>
                <w:lang w:val="es-PE"/>
              </w:rPr>
              <w:t xml:space="preserve"> atenuación </w:t>
            </w:r>
            <w:r w:rsidR="009E3F6E" w:rsidRPr="001F2762">
              <w:rPr>
                <w:rFonts w:ascii="Calibri Light" w:hAnsi="Calibri Light"/>
                <w:b w:val="0"/>
                <w:lang w:val="es-PE"/>
              </w:rPr>
              <w:t>de la pena</w:t>
            </w:r>
            <w:r w:rsidR="00FB555D" w:rsidRPr="001F2762">
              <w:rPr>
                <w:rFonts w:ascii="Calibri Light" w:hAnsi="Calibri Light"/>
                <w:b w:val="0"/>
                <w:lang w:val="es-PE"/>
              </w:rPr>
              <w:t xml:space="preserve"> en caso de </w:t>
            </w:r>
            <w:r w:rsidR="009E3F6E" w:rsidRPr="001F2762">
              <w:rPr>
                <w:rFonts w:ascii="Calibri Light" w:hAnsi="Calibri Light"/>
                <w:b w:val="0"/>
                <w:lang w:val="es-PE"/>
              </w:rPr>
              <w:t xml:space="preserve">violación sexual </w:t>
            </w:r>
            <w:r w:rsidR="00FB555D" w:rsidRPr="001F2762">
              <w:rPr>
                <w:rFonts w:ascii="Calibri Light" w:hAnsi="Calibri Light"/>
                <w:b w:val="0"/>
                <w:lang w:val="es-PE"/>
              </w:rPr>
              <w:t xml:space="preserve">en base </w:t>
            </w:r>
            <w:r w:rsidR="009E3F6E" w:rsidRPr="001F2762">
              <w:rPr>
                <w:rFonts w:ascii="Calibri Light" w:hAnsi="Calibri Light"/>
                <w:b w:val="0"/>
                <w:lang w:val="es-PE"/>
              </w:rPr>
              <w:t xml:space="preserve">a </w:t>
            </w:r>
            <w:r w:rsidR="00FB555D" w:rsidRPr="001F2762">
              <w:rPr>
                <w:rFonts w:ascii="Calibri Light" w:hAnsi="Calibri Light"/>
                <w:b w:val="0"/>
                <w:lang w:val="es-PE"/>
              </w:rPr>
              <w:t>las circunstancias personales de la víctima</w:t>
            </w:r>
            <w:r w:rsidR="009E3F6E" w:rsidRPr="001F2762">
              <w:rPr>
                <w:rFonts w:ascii="Calibri Light" w:hAnsi="Calibri Light"/>
                <w:b w:val="0"/>
                <w:lang w:val="es-PE"/>
              </w:rPr>
              <w:t>,</w:t>
            </w:r>
            <w:r w:rsidR="00FB555D" w:rsidRPr="001F2762">
              <w:rPr>
                <w:rFonts w:ascii="Calibri Light" w:hAnsi="Calibri Light"/>
                <w:b w:val="0"/>
                <w:lang w:val="es-PE"/>
              </w:rPr>
              <w:t xml:space="preserve"> como el hecho de que sea prostituta, soltera, viuda o una mujer honesta. </w:t>
            </w:r>
            <w:r w:rsidR="001F3DEC" w:rsidRPr="001F2762">
              <w:rPr>
                <w:rFonts w:ascii="Calibri Light" w:hAnsi="Calibri Light"/>
                <w:b w:val="0"/>
                <w:lang w:val="es-PE"/>
              </w:rPr>
              <w:t>Finalmente</w:t>
            </w:r>
            <w:r w:rsidR="009E3F6E" w:rsidRPr="001F2762">
              <w:rPr>
                <w:rFonts w:ascii="Calibri Light" w:hAnsi="Calibri Light"/>
                <w:b w:val="0"/>
                <w:lang w:val="es-PE"/>
              </w:rPr>
              <w:t>,</w:t>
            </w:r>
            <w:r w:rsidR="001F3DEC" w:rsidRPr="001F2762">
              <w:rPr>
                <w:rFonts w:ascii="Calibri Light" w:hAnsi="Calibri Light"/>
                <w:b w:val="0"/>
                <w:lang w:val="es-PE"/>
              </w:rPr>
              <w:t xml:space="preserve"> destacó la po</w:t>
            </w:r>
            <w:r w:rsidR="009E3F6E" w:rsidRPr="001F2762">
              <w:rPr>
                <w:rFonts w:ascii="Calibri Light" w:hAnsi="Calibri Light"/>
                <w:b w:val="0"/>
                <w:lang w:val="es-PE"/>
              </w:rPr>
              <w:t>ca credibilidad que se le dio a su</w:t>
            </w:r>
            <w:r w:rsidR="001F3DEC" w:rsidRPr="001F2762">
              <w:rPr>
                <w:rFonts w:ascii="Calibri Light" w:hAnsi="Calibri Light"/>
                <w:b w:val="0"/>
                <w:lang w:val="es-PE"/>
              </w:rPr>
              <w:t xml:space="preserve"> testimonio frente a la otorgada a los dichos de la defensa de su agresor.</w:t>
            </w:r>
            <w:r w:rsidR="003D4D45" w:rsidRPr="001F2762">
              <w:rPr>
                <w:rFonts w:ascii="Calibri Light" w:hAnsi="Calibri Light"/>
                <w:b w:val="0"/>
                <w:lang w:val="es-PE"/>
              </w:rPr>
              <w:t xml:space="preserve"> </w:t>
            </w:r>
            <w:r w:rsidR="009E3F6E" w:rsidRPr="001F2762">
              <w:rPr>
                <w:rFonts w:ascii="Calibri Light" w:hAnsi="Calibri Light"/>
                <w:b w:val="0"/>
                <w:lang w:val="es-PE"/>
              </w:rPr>
              <w:t>E</w:t>
            </w:r>
            <w:r w:rsidR="003D4D45" w:rsidRPr="001F2762">
              <w:rPr>
                <w:rFonts w:ascii="Calibri Light" w:hAnsi="Calibri Light"/>
                <w:b w:val="0"/>
                <w:lang w:val="es-PE"/>
              </w:rPr>
              <w:t xml:space="preserve">stas situaciones afectaron a la </w:t>
            </w:r>
            <w:r w:rsidR="00C9309C" w:rsidRPr="001F2762">
              <w:rPr>
                <w:rFonts w:ascii="Calibri Light" w:hAnsi="Calibri Light"/>
                <w:b w:val="0"/>
                <w:lang w:val="es-PE"/>
              </w:rPr>
              <w:t xml:space="preserve">señora </w:t>
            </w:r>
            <w:r w:rsidR="004C5505" w:rsidRPr="001F2762">
              <w:rPr>
                <w:rFonts w:ascii="Calibri Light" w:hAnsi="Calibri Light"/>
                <w:b w:val="0"/>
                <w:lang w:val="es-PE"/>
              </w:rPr>
              <w:t>López</w:t>
            </w:r>
            <w:r w:rsidR="003D4D45" w:rsidRPr="001F2762">
              <w:rPr>
                <w:rFonts w:ascii="Calibri Light" w:hAnsi="Calibri Light"/>
                <w:b w:val="0"/>
                <w:lang w:val="es-PE"/>
              </w:rPr>
              <w:t xml:space="preserve"> en su integridad personal, su vida privada y dignidad, debido a </w:t>
            </w:r>
            <w:r w:rsidR="00351A39" w:rsidRPr="001F2762">
              <w:rPr>
                <w:rFonts w:ascii="Calibri Light" w:hAnsi="Calibri Light"/>
                <w:b w:val="0"/>
                <w:lang w:val="es-PE"/>
              </w:rPr>
              <w:t xml:space="preserve">que </w:t>
            </w:r>
            <w:r w:rsidR="003D4D45" w:rsidRPr="001F2762">
              <w:rPr>
                <w:rFonts w:ascii="Calibri Light" w:hAnsi="Calibri Light"/>
                <w:b w:val="0"/>
                <w:lang w:val="es-PE"/>
              </w:rPr>
              <w:t xml:space="preserve">constituyen formas de revicitmización. </w:t>
            </w:r>
            <w:r w:rsidR="009E3F6E" w:rsidRPr="001F2762">
              <w:rPr>
                <w:rFonts w:ascii="Calibri Light" w:hAnsi="Calibri Light"/>
                <w:b w:val="0"/>
                <w:lang w:val="es-PE"/>
              </w:rPr>
              <w:t>En base a todo ello, l</w:t>
            </w:r>
            <w:r w:rsidR="003D4D45" w:rsidRPr="001F2762">
              <w:rPr>
                <w:rFonts w:ascii="Calibri Light" w:hAnsi="Calibri Light"/>
                <w:b w:val="0"/>
                <w:lang w:val="es-PE"/>
              </w:rPr>
              <w:t xml:space="preserve">a CIDH concluyó </w:t>
            </w:r>
            <w:r w:rsidR="009E3F6E" w:rsidRPr="001F2762">
              <w:rPr>
                <w:rFonts w:ascii="Calibri Light" w:hAnsi="Calibri Light"/>
                <w:b w:val="0"/>
                <w:lang w:val="es-PE"/>
              </w:rPr>
              <w:t>que el Estado venezolano</w:t>
            </w:r>
            <w:r w:rsidR="003D4D45" w:rsidRPr="001F2762">
              <w:rPr>
                <w:rFonts w:ascii="Calibri Light" w:hAnsi="Calibri Light"/>
                <w:b w:val="0"/>
                <w:lang w:val="es-PE"/>
              </w:rPr>
              <w:t xml:space="preserve"> </w:t>
            </w:r>
            <w:r w:rsidR="009E3F6E" w:rsidRPr="001F2762">
              <w:rPr>
                <w:rFonts w:ascii="Calibri Light" w:hAnsi="Calibri Light"/>
                <w:b w:val="0"/>
                <w:lang w:val="es-PE"/>
              </w:rPr>
              <w:t>era</w:t>
            </w:r>
            <w:r w:rsidR="003D4D45" w:rsidRPr="001F2762">
              <w:rPr>
                <w:rFonts w:ascii="Calibri Light" w:hAnsi="Calibri Light"/>
                <w:b w:val="0"/>
                <w:lang w:val="es-PE"/>
              </w:rPr>
              <w:t xml:space="preserve"> responsable de la violación de los artículos 5.1, 8.1, 11, 24 y 25 de la CADH en relación con su artículo 1.1, así como por la violación del artículo 7 de </w:t>
            </w:r>
            <w:r w:rsidR="00E0027D" w:rsidRPr="001F2762">
              <w:rPr>
                <w:rFonts w:ascii="Calibri Light" w:hAnsi="Calibri Light"/>
                <w:b w:val="0"/>
                <w:lang w:val="es-PE"/>
              </w:rPr>
              <w:t xml:space="preserve">la Convención </w:t>
            </w:r>
            <w:r w:rsidR="003D4D45" w:rsidRPr="001F2762">
              <w:rPr>
                <w:rFonts w:ascii="Calibri Light" w:hAnsi="Calibri Light"/>
                <w:b w:val="0"/>
                <w:lang w:val="es-PE"/>
              </w:rPr>
              <w:t>Belém do Pará</w:t>
            </w:r>
            <w:r w:rsidR="009E3F6E" w:rsidRPr="001F2762">
              <w:rPr>
                <w:rFonts w:ascii="Calibri Light" w:hAnsi="Calibri Light"/>
                <w:b w:val="0"/>
                <w:lang w:val="es-PE"/>
              </w:rPr>
              <w:t>, todo ello en perjuicio de la señora López</w:t>
            </w:r>
            <w:r w:rsidR="003D4D45" w:rsidRPr="001F2762">
              <w:rPr>
                <w:rFonts w:ascii="Calibri Light" w:hAnsi="Calibri Light"/>
                <w:b w:val="0"/>
                <w:lang w:val="es-PE"/>
              </w:rPr>
              <w:t>.</w:t>
            </w:r>
          </w:p>
          <w:p w14:paraId="17E19CCC" w14:textId="77777777" w:rsidR="003D4D45" w:rsidRPr="001F2762" w:rsidRDefault="003D4D45" w:rsidP="003D4D45">
            <w:pPr>
              <w:jc w:val="both"/>
              <w:rPr>
                <w:rFonts w:ascii="Calibri Light" w:hAnsi="Calibri Light"/>
                <w:b w:val="0"/>
                <w:lang w:val="es-PE"/>
              </w:rPr>
            </w:pPr>
          </w:p>
          <w:p w14:paraId="6A0EEA02" w14:textId="0341EED2" w:rsidR="003D4D45" w:rsidRPr="001F2762" w:rsidRDefault="003D4D45" w:rsidP="003D4D45">
            <w:pPr>
              <w:jc w:val="both"/>
              <w:rPr>
                <w:rFonts w:ascii="Calibri Light" w:hAnsi="Calibri Light"/>
                <w:lang w:val="es-PE"/>
              </w:rPr>
            </w:pPr>
            <w:r w:rsidRPr="001F2762">
              <w:rPr>
                <w:rFonts w:ascii="Calibri Light" w:hAnsi="Calibri Light"/>
                <w:lang w:val="es-PE"/>
              </w:rPr>
              <w:t>El derecho a la integridad personal respecto de los familiares (</w:t>
            </w:r>
            <w:r w:rsidR="000A5834" w:rsidRPr="001F2762">
              <w:rPr>
                <w:rFonts w:ascii="Calibri Light" w:hAnsi="Calibri Light"/>
                <w:lang w:val="es-PE"/>
              </w:rPr>
              <w:t>Artículo</w:t>
            </w:r>
            <w:r w:rsidRPr="001F2762">
              <w:rPr>
                <w:rFonts w:ascii="Calibri Light" w:hAnsi="Calibri Light"/>
                <w:lang w:val="es-PE"/>
              </w:rPr>
              <w:t xml:space="preserve"> 5 de la CADH)</w:t>
            </w:r>
          </w:p>
          <w:p w14:paraId="4315FC8D" w14:textId="77777777" w:rsidR="003D4D45" w:rsidRPr="001F2762" w:rsidRDefault="003D4D45" w:rsidP="003D4D45">
            <w:pPr>
              <w:jc w:val="both"/>
              <w:rPr>
                <w:rFonts w:ascii="Calibri Light" w:hAnsi="Calibri Light"/>
                <w:lang w:val="es-PE"/>
              </w:rPr>
            </w:pPr>
          </w:p>
          <w:p w14:paraId="7D8B9DDC" w14:textId="1DAF76E3" w:rsidR="003D4D45" w:rsidRPr="001F2762" w:rsidRDefault="004C719A" w:rsidP="003D4D45">
            <w:pPr>
              <w:jc w:val="both"/>
              <w:rPr>
                <w:rFonts w:ascii="Calibri Light" w:hAnsi="Calibri Light"/>
                <w:b w:val="0"/>
                <w:lang w:val="es-PE"/>
              </w:rPr>
            </w:pPr>
            <w:r w:rsidRPr="001F2762">
              <w:rPr>
                <w:rFonts w:ascii="Calibri Light" w:hAnsi="Calibri Light"/>
                <w:b w:val="0"/>
                <w:lang w:val="es-PE"/>
              </w:rPr>
              <w:t xml:space="preserve">La CIDH recordó que según la jurisprudencia de la Corte </w:t>
            </w:r>
            <w:r w:rsidR="000405FB" w:rsidRPr="001F2762">
              <w:rPr>
                <w:rFonts w:ascii="Calibri Light" w:hAnsi="Calibri Light"/>
                <w:b w:val="0"/>
                <w:lang w:val="es-PE"/>
              </w:rPr>
              <w:t xml:space="preserve">IDH </w:t>
            </w:r>
            <w:r w:rsidRPr="001F2762">
              <w:rPr>
                <w:rFonts w:ascii="Calibri Light" w:hAnsi="Calibri Light"/>
                <w:b w:val="0"/>
                <w:lang w:val="es-PE"/>
              </w:rPr>
              <w:t xml:space="preserve">los familiares de las </w:t>
            </w:r>
            <w:r w:rsidR="00F52584" w:rsidRPr="001F2762">
              <w:rPr>
                <w:rFonts w:ascii="Calibri Light" w:hAnsi="Calibri Light"/>
                <w:b w:val="0"/>
                <w:lang w:val="es-PE"/>
              </w:rPr>
              <w:t>víctimas</w:t>
            </w:r>
            <w:r w:rsidRPr="001F2762">
              <w:rPr>
                <w:rFonts w:ascii="Calibri Light" w:hAnsi="Calibri Light"/>
                <w:b w:val="0"/>
                <w:lang w:val="es-PE"/>
              </w:rPr>
              <w:t xml:space="preserve"> también </w:t>
            </w:r>
            <w:r w:rsidR="00F52584" w:rsidRPr="001F2762">
              <w:rPr>
                <w:rFonts w:ascii="Calibri Light" w:hAnsi="Calibri Light"/>
                <w:b w:val="0"/>
                <w:lang w:val="es-PE"/>
              </w:rPr>
              <w:t>pueden</w:t>
            </w:r>
            <w:r w:rsidRPr="001F2762">
              <w:rPr>
                <w:rFonts w:ascii="Calibri Light" w:hAnsi="Calibri Light"/>
                <w:b w:val="0"/>
                <w:lang w:val="es-PE"/>
              </w:rPr>
              <w:t xml:space="preserve"> ver su integridad personal afectada por las violaciones</w:t>
            </w:r>
            <w:r w:rsidR="00F52584" w:rsidRPr="001F2762">
              <w:rPr>
                <w:rFonts w:ascii="Calibri Light" w:hAnsi="Calibri Light"/>
                <w:b w:val="0"/>
                <w:lang w:val="es-PE"/>
              </w:rPr>
              <w:t xml:space="preserve"> perpetrad</w:t>
            </w:r>
            <w:r w:rsidR="000405FB" w:rsidRPr="001F2762">
              <w:rPr>
                <w:rFonts w:ascii="Calibri Light" w:hAnsi="Calibri Light"/>
                <w:b w:val="0"/>
                <w:lang w:val="es-PE"/>
              </w:rPr>
              <w:t>a</w:t>
            </w:r>
            <w:r w:rsidR="00F52584" w:rsidRPr="001F2762">
              <w:rPr>
                <w:rFonts w:ascii="Calibri Light" w:hAnsi="Calibri Light"/>
                <w:b w:val="0"/>
                <w:lang w:val="es-PE"/>
              </w:rPr>
              <w:t xml:space="preserve">s contra sus seres queridos y las omisiones de las autoridades frente a ellas. Señaló que la familia de la </w:t>
            </w:r>
            <w:r w:rsidR="00C9309C" w:rsidRPr="001F2762">
              <w:rPr>
                <w:rFonts w:ascii="Calibri Light" w:hAnsi="Calibri Light"/>
                <w:b w:val="0"/>
                <w:lang w:val="es-PE"/>
              </w:rPr>
              <w:t xml:space="preserve">señora </w:t>
            </w:r>
            <w:r w:rsidR="004C5505" w:rsidRPr="001F2762">
              <w:rPr>
                <w:rFonts w:ascii="Calibri Light" w:hAnsi="Calibri Light"/>
                <w:b w:val="0"/>
                <w:lang w:val="es-PE"/>
              </w:rPr>
              <w:t>López</w:t>
            </w:r>
            <w:r w:rsidR="00F52584" w:rsidRPr="001F2762">
              <w:rPr>
                <w:rFonts w:ascii="Calibri Light" w:hAnsi="Calibri Light"/>
                <w:b w:val="0"/>
                <w:lang w:val="es-PE"/>
              </w:rPr>
              <w:t xml:space="preserve"> se </w:t>
            </w:r>
            <w:r w:rsidR="00351A39" w:rsidRPr="001F2762">
              <w:rPr>
                <w:rFonts w:ascii="Calibri Light" w:hAnsi="Calibri Light"/>
                <w:b w:val="0"/>
                <w:lang w:val="es-PE"/>
              </w:rPr>
              <w:t>vio afectada</w:t>
            </w:r>
            <w:r w:rsidR="00F52584" w:rsidRPr="001F2762">
              <w:rPr>
                <w:rFonts w:ascii="Calibri Light" w:hAnsi="Calibri Light"/>
                <w:b w:val="0"/>
                <w:lang w:val="es-PE"/>
              </w:rPr>
              <w:t xml:space="preserve"> directamente desde el secuestro y que este sufrimiento creció cuando las autoridades se quedaron inactivas frente a la denuncia de la hermana de la víctima.</w:t>
            </w:r>
            <w:r w:rsidR="00B7160D" w:rsidRPr="001F2762">
              <w:rPr>
                <w:rFonts w:ascii="Calibri Light" w:hAnsi="Calibri Light"/>
                <w:b w:val="0"/>
                <w:lang w:val="es-PE"/>
              </w:rPr>
              <w:t xml:space="preserve"> </w:t>
            </w:r>
            <w:r w:rsidR="007E69B4" w:rsidRPr="001F2762">
              <w:rPr>
                <w:rFonts w:ascii="Calibri Light" w:hAnsi="Calibri Light"/>
                <w:b w:val="0"/>
                <w:lang w:val="es-PE"/>
              </w:rPr>
              <w:t>Adicionalmente</w:t>
            </w:r>
            <w:r w:rsidR="00B7160D" w:rsidRPr="001F2762">
              <w:rPr>
                <w:rFonts w:ascii="Calibri Light" w:hAnsi="Calibri Light"/>
                <w:b w:val="0"/>
                <w:lang w:val="es-PE"/>
              </w:rPr>
              <w:t xml:space="preserve">, la familia de la </w:t>
            </w:r>
            <w:r w:rsidR="007E69B4" w:rsidRPr="001F2762">
              <w:rPr>
                <w:rFonts w:ascii="Calibri Light" w:hAnsi="Calibri Light"/>
                <w:b w:val="0"/>
                <w:lang w:val="es-PE"/>
              </w:rPr>
              <w:t>víctima</w:t>
            </w:r>
            <w:r w:rsidR="00B7160D" w:rsidRPr="001F2762">
              <w:rPr>
                <w:rFonts w:ascii="Calibri Light" w:hAnsi="Calibri Light"/>
                <w:b w:val="0"/>
                <w:lang w:val="es-PE"/>
              </w:rPr>
              <w:t xml:space="preserve"> sufrió </w:t>
            </w:r>
            <w:r w:rsidR="007E69B4" w:rsidRPr="001F2762">
              <w:rPr>
                <w:rFonts w:ascii="Calibri Light" w:hAnsi="Calibri Light"/>
                <w:b w:val="0"/>
                <w:lang w:val="es-PE"/>
              </w:rPr>
              <w:t>hostigamientos</w:t>
            </w:r>
            <w:r w:rsidR="00B7160D" w:rsidRPr="001F2762">
              <w:rPr>
                <w:rFonts w:ascii="Calibri Light" w:hAnsi="Calibri Light"/>
                <w:b w:val="0"/>
                <w:lang w:val="es-PE"/>
              </w:rPr>
              <w:t xml:space="preserve"> y amenazas durante todo el proceso judicial que siguió</w:t>
            </w:r>
            <w:r w:rsidR="003808A8" w:rsidRPr="001F2762">
              <w:rPr>
                <w:rFonts w:ascii="Calibri Light" w:hAnsi="Calibri Light"/>
                <w:b w:val="0"/>
                <w:lang w:val="es-PE"/>
              </w:rPr>
              <w:t>,</w:t>
            </w:r>
            <w:r w:rsidR="007E69B4" w:rsidRPr="001F2762">
              <w:rPr>
                <w:rFonts w:ascii="Calibri Light" w:hAnsi="Calibri Light"/>
                <w:b w:val="0"/>
                <w:lang w:val="es-PE"/>
              </w:rPr>
              <w:t xml:space="preserve"> y se vio afectada de manera importante por la denegación de justicia. Por lo tanto, la CIDH concluyó que el Estado venezolano fue responsable de la </w:t>
            </w:r>
            <w:r w:rsidR="009E3F6E" w:rsidRPr="001F2762">
              <w:rPr>
                <w:rFonts w:ascii="Calibri Light" w:hAnsi="Calibri Light"/>
                <w:b w:val="0"/>
                <w:lang w:val="es-PE"/>
              </w:rPr>
              <w:t>d</w:t>
            </w:r>
            <w:r w:rsidR="007E69B4" w:rsidRPr="001F2762">
              <w:rPr>
                <w:rFonts w:ascii="Calibri Light" w:hAnsi="Calibri Light"/>
                <w:b w:val="0"/>
                <w:lang w:val="es-PE"/>
              </w:rPr>
              <w:t xml:space="preserve">el </w:t>
            </w:r>
            <w:r w:rsidR="005B5974" w:rsidRPr="001F2762">
              <w:rPr>
                <w:rFonts w:ascii="Calibri Light" w:hAnsi="Calibri Light"/>
                <w:b w:val="0"/>
                <w:lang w:val="es-PE"/>
              </w:rPr>
              <w:t>artículo</w:t>
            </w:r>
            <w:r w:rsidR="007E69B4" w:rsidRPr="001F2762">
              <w:rPr>
                <w:rFonts w:ascii="Calibri Light" w:hAnsi="Calibri Light"/>
                <w:b w:val="0"/>
                <w:lang w:val="es-PE"/>
              </w:rPr>
              <w:t xml:space="preserve"> 5.1 de la CADH</w:t>
            </w:r>
            <w:r w:rsidR="009E3F6E" w:rsidRPr="001F2762">
              <w:rPr>
                <w:rFonts w:ascii="Calibri Light" w:hAnsi="Calibri Light"/>
                <w:b w:val="0"/>
                <w:lang w:val="es-PE"/>
              </w:rPr>
              <w:t>, en relación con el artículo 1.1,</w:t>
            </w:r>
            <w:r w:rsidR="007E69B4" w:rsidRPr="001F2762">
              <w:rPr>
                <w:rFonts w:ascii="Calibri Light" w:hAnsi="Calibri Light"/>
                <w:b w:val="0"/>
                <w:lang w:val="es-PE"/>
              </w:rPr>
              <w:t xml:space="preserve"> en </w:t>
            </w:r>
            <w:r w:rsidR="009E3F6E" w:rsidRPr="001F2762">
              <w:rPr>
                <w:rFonts w:ascii="Calibri Light" w:hAnsi="Calibri Light"/>
                <w:b w:val="0"/>
                <w:lang w:val="es-PE"/>
              </w:rPr>
              <w:t>perjuicio</w:t>
            </w:r>
            <w:r w:rsidR="007E69B4" w:rsidRPr="001F2762">
              <w:rPr>
                <w:rFonts w:ascii="Calibri Light" w:hAnsi="Calibri Light"/>
                <w:b w:val="0"/>
                <w:lang w:val="es-PE"/>
              </w:rPr>
              <w:t xml:space="preserve"> de los familiares de la </w:t>
            </w:r>
            <w:r w:rsidR="00C9309C" w:rsidRPr="001F2762">
              <w:rPr>
                <w:rFonts w:ascii="Calibri Light" w:hAnsi="Calibri Light"/>
                <w:b w:val="0"/>
                <w:lang w:val="es-PE"/>
              </w:rPr>
              <w:t xml:space="preserve">señora </w:t>
            </w:r>
            <w:r w:rsidR="004C5505" w:rsidRPr="001F2762">
              <w:rPr>
                <w:rFonts w:ascii="Calibri Light" w:hAnsi="Calibri Light"/>
                <w:b w:val="0"/>
                <w:lang w:val="es-PE"/>
              </w:rPr>
              <w:t>López</w:t>
            </w:r>
            <w:r w:rsidR="007E69B4" w:rsidRPr="001F2762">
              <w:rPr>
                <w:rFonts w:ascii="Calibri Light" w:hAnsi="Calibri Light"/>
                <w:b w:val="0"/>
                <w:lang w:val="es-PE"/>
              </w:rPr>
              <w:t>.</w:t>
            </w:r>
          </w:p>
          <w:p w14:paraId="5AA471B6" w14:textId="2C0BD1CE" w:rsidR="00EF7496" w:rsidRPr="001F2762" w:rsidRDefault="00EF7496" w:rsidP="003D4D45">
            <w:pPr>
              <w:jc w:val="both"/>
              <w:rPr>
                <w:rFonts w:ascii="Calibri Light" w:hAnsi="Calibri Light"/>
                <w:b w:val="0"/>
                <w:lang w:val="es-PE"/>
              </w:rPr>
            </w:pPr>
          </w:p>
        </w:tc>
      </w:tr>
      <w:tr w:rsidR="005173CF" w:rsidRPr="001F2762" w14:paraId="0FBFBB6F" w14:textId="77777777" w:rsidTr="007C457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1F2762" w:rsidRDefault="00AC6F31" w:rsidP="00AC6F31">
            <w:pPr>
              <w:pStyle w:val="ListParagraph"/>
              <w:rPr>
                <w:rFonts w:ascii="Calibri Light" w:hAnsi="Calibri Light"/>
                <w:lang w:val="es-PE"/>
              </w:rPr>
            </w:pPr>
          </w:p>
          <w:p w14:paraId="5CF7BA21" w14:textId="6F8B48FF" w:rsidR="005173CF" w:rsidRPr="001F2762" w:rsidRDefault="007A6C56" w:rsidP="0029671B">
            <w:pPr>
              <w:pStyle w:val="ListParagraph"/>
              <w:numPr>
                <w:ilvl w:val="0"/>
                <w:numId w:val="2"/>
              </w:numPr>
              <w:jc w:val="center"/>
              <w:rPr>
                <w:rFonts w:ascii="Calibri Light" w:hAnsi="Calibri Light"/>
                <w:lang w:val="es-PE"/>
              </w:rPr>
            </w:pPr>
            <w:r w:rsidRPr="001F2762">
              <w:rPr>
                <w:rFonts w:ascii="Calibri Light" w:hAnsi="Calibri Light"/>
                <w:lang w:val="es-PE"/>
              </w:rPr>
              <w:t>Recomendaciones</w:t>
            </w:r>
            <w:r w:rsidR="00C548DC" w:rsidRPr="001F2762">
              <w:rPr>
                <w:rFonts w:ascii="Calibri Light" w:hAnsi="Calibri Light"/>
                <w:lang w:val="es-PE"/>
              </w:rPr>
              <w:t xml:space="preserve"> de la CIDH al Estado</w:t>
            </w:r>
          </w:p>
          <w:p w14:paraId="510D8BF9" w14:textId="77777777" w:rsidR="00AC6F31" w:rsidRPr="001F2762" w:rsidRDefault="00AC6F31" w:rsidP="00AC6F31">
            <w:pPr>
              <w:pStyle w:val="ListParagraph"/>
              <w:rPr>
                <w:rFonts w:ascii="Calibri Light" w:hAnsi="Calibri Light"/>
                <w:lang w:val="es-PE"/>
              </w:rPr>
            </w:pPr>
          </w:p>
        </w:tc>
      </w:tr>
      <w:tr w:rsidR="007A6C56" w:rsidRPr="001F2762" w14:paraId="3D91AF16" w14:textId="77777777" w:rsidTr="007C457D">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0FD14C40" w14:textId="77777777" w:rsidR="004D67BD" w:rsidRPr="001F2762" w:rsidRDefault="004D67BD" w:rsidP="004B1311">
            <w:pPr>
              <w:pStyle w:val="ListParagraph"/>
              <w:ind w:left="0"/>
              <w:jc w:val="both"/>
              <w:rPr>
                <w:rFonts w:ascii="Calibri Light" w:hAnsi="Calibri Light"/>
                <w:b w:val="0"/>
                <w:lang w:val="es-PE"/>
              </w:rPr>
            </w:pPr>
          </w:p>
          <w:p w14:paraId="26BAF72A" w14:textId="60C95643" w:rsidR="009E3F6E" w:rsidRPr="001F2762" w:rsidRDefault="009E3F6E" w:rsidP="009E3F6E">
            <w:pPr>
              <w:pStyle w:val="ListParagraph"/>
              <w:numPr>
                <w:ilvl w:val="0"/>
                <w:numId w:val="12"/>
              </w:numPr>
              <w:jc w:val="both"/>
              <w:rPr>
                <w:rFonts w:ascii="Calibri Light" w:hAnsi="Calibri Light"/>
                <w:b w:val="0"/>
                <w:lang w:val="es-PE"/>
              </w:rPr>
            </w:pPr>
            <w:r w:rsidRPr="001F2762">
              <w:rPr>
                <w:rFonts w:ascii="Calibri Light" w:hAnsi="Calibri Light"/>
                <w:b w:val="0"/>
                <w:lang w:val="es-PE"/>
              </w:rPr>
              <w:t xml:space="preserve">Investigar de manera efectiva, con la debida diligencia y dentro de un plazo razonable la violencia sexual sufrida por la señora López. Las investigaciones y procesos judiciales a que haya lugar deberán adelantarse con base en los estándares descritos en el presente informe. </w:t>
            </w:r>
          </w:p>
          <w:p w14:paraId="00204DFC" w14:textId="77777777" w:rsidR="009E3F6E" w:rsidRPr="001F2762" w:rsidRDefault="009E3F6E" w:rsidP="009E3F6E">
            <w:pPr>
              <w:pStyle w:val="ListParagraph"/>
              <w:jc w:val="both"/>
              <w:rPr>
                <w:rFonts w:ascii="Calibri Light" w:hAnsi="Calibri Light"/>
                <w:b w:val="0"/>
                <w:lang w:val="es-PE"/>
              </w:rPr>
            </w:pPr>
          </w:p>
          <w:p w14:paraId="29249E77" w14:textId="77777777" w:rsidR="009E3F6E" w:rsidRPr="001F2762" w:rsidRDefault="009E3F6E" w:rsidP="009E3F6E">
            <w:pPr>
              <w:pStyle w:val="ListParagraph"/>
              <w:numPr>
                <w:ilvl w:val="0"/>
                <w:numId w:val="12"/>
              </w:numPr>
              <w:jc w:val="both"/>
              <w:rPr>
                <w:rFonts w:ascii="Calibri Light" w:hAnsi="Calibri Light"/>
                <w:b w:val="0"/>
                <w:lang w:val="es-PE"/>
              </w:rPr>
            </w:pPr>
            <w:r w:rsidRPr="001F2762">
              <w:rPr>
                <w:rFonts w:ascii="Calibri Light" w:hAnsi="Calibri Light"/>
                <w:b w:val="0"/>
                <w:lang w:val="es-PE"/>
              </w:rPr>
              <w:t xml:space="preserve">Disponer las correspondientes medidas administrativas, disciplinarias o penales correspondientes frente a las acciones u omisiones de los funcionarios estatales que contribuyeron a los distintos factores de denegación de justicia identificados en el presente informe. </w:t>
            </w:r>
          </w:p>
          <w:p w14:paraId="38D7C4C4" w14:textId="77777777" w:rsidR="009E3F6E" w:rsidRPr="001F2762" w:rsidRDefault="009E3F6E" w:rsidP="009E3F6E">
            <w:pPr>
              <w:pStyle w:val="ListParagraph"/>
              <w:rPr>
                <w:rFonts w:ascii="Calibri Light" w:hAnsi="Calibri Light"/>
                <w:lang w:val="es-PE"/>
              </w:rPr>
            </w:pPr>
          </w:p>
          <w:p w14:paraId="4F977FEC" w14:textId="0A36BC33" w:rsidR="009E3F6E" w:rsidRPr="001F2762" w:rsidRDefault="009E3F6E" w:rsidP="009E3F6E">
            <w:pPr>
              <w:pStyle w:val="ListParagraph"/>
              <w:numPr>
                <w:ilvl w:val="0"/>
                <w:numId w:val="12"/>
              </w:numPr>
              <w:jc w:val="both"/>
              <w:rPr>
                <w:rFonts w:ascii="Calibri Light" w:hAnsi="Calibri Light"/>
                <w:b w:val="0"/>
                <w:lang w:val="es-PE"/>
              </w:rPr>
            </w:pPr>
            <w:r w:rsidRPr="001F2762">
              <w:rPr>
                <w:rFonts w:ascii="Calibri Light" w:hAnsi="Calibri Light"/>
                <w:b w:val="0"/>
                <w:lang w:val="es-PE"/>
              </w:rPr>
              <w:t xml:space="preserve">Disponer una reparación integral a la señora López y sus familiares por las violaciones de los derechos humanos establecidas en su perjuicio. Esta reparación debe incluir medidas de compensación pecuniaria y satisfacción para reparar tanto el daño material como moral. Dentro de las medidas de satisfacción se encuentran: i) un acto de disculpas públicas para la señora López y sus familiares por la denegación de justicia sufrida por los hechos del presente caso; ii) la divulgación de los estándares desarrollados en el presente informe mediante campañas de sensibilización a la comunidad sobre la violencia contra la mujer; y iii) otorgar una beca de estudios a la señora López para su desarrollo profesional de manera concertada con ella. </w:t>
            </w:r>
          </w:p>
          <w:p w14:paraId="3DF92EE2" w14:textId="77777777" w:rsidR="009E3F6E" w:rsidRPr="001F2762" w:rsidRDefault="009E3F6E" w:rsidP="009E3F6E">
            <w:pPr>
              <w:pStyle w:val="ListParagraph"/>
              <w:rPr>
                <w:rFonts w:ascii="Calibri Light" w:hAnsi="Calibri Light"/>
                <w:lang w:val="es-PE"/>
              </w:rPr>
            </w:pPr>
          </w:p>
          <w:p w14:paraId="2A01381F" w14:textId="77777777" w:rsidR="009E3F6E" w:rsidRPr="001F2762" w:rsidRDefault="009E3F6E" w:rsidP="009E3F6E">
            <w:pPr>
              <w:pStyle w:val="ListParagraph"/>
              <w:numPr>
                <w:ilvl w:val="0"/>
                <w:numId w:val="12"/>
              </w:numPr>
              <w:jc w:val="both"/>
              <w:rPr>
                <w:rFonts w:ascii="Calibri Light" w:hAnsi="Calibri Light"/>
                <w:b w:val="0"/>
                <w:lang w:val="es-PE"/>
              </w:rPr>
            </w:pPr>
            <w:r w:rsidRPr="001F2762">
              <w:rPr>
                <w:rFonts w:ascii="Calibri Light" w:hAnsi="Calibri Light"/>
                <w:b w:val="0"/>
                <w:lang w:val="es-PE"/>
              </w:rPr>
              <w:t xml:space="preserve">Brindar de forma gratuita, inmediata y por el tiempo que sea necesario, el tratamiento médico y psicológico o psiquiátrico, según corresponda, a las víctimas del presente caso que así lo soliciten y de manera concertada con ellas. </w:t>
            </w:r>
          </w:p>
          <w:p w14:paraId="2F6276D9" w14:textId="77777777" w:rsidR="009E3F6E" w:rsidRPr="001F2762" w:rsidRDefault="009E3F6E" w:rsidP="009E3F6E">
            <w:pPr>
              <w:pStyle w:val="ListParagraph"/>
              <w:rPr>
                <w:rFonts w:ascii="Calibri Light" w:hAnsi="Calibri Light"/>
                <w:lang w:val="es-PE"/>
              </w:rPr>
            </w:pPr>
          </w:p>
          <w:p w14:paraId="5F518859" w14:textId="77777777" w:rsidR="009E3F6E" w:rsidRPr="001F2762" w:rsidRDefault="009E3F6E" w:rsidP="009E3F6E">
            <w:pPr>
              <w:pStyle w:val="ListParagraph"/>
              <w:numPr>
                <w:ilvl w:val="0"/>
                <w:numId w:val="12"/>
              </w:numPr>
              <w:jc w:val="both"/>
              <w:rPr>
                <w:rFonts w:ascii="Calibri Light" w:hAnsi="Calibri Light"/>
                <w:b w:val="0"/>
                <w:lang w:val="es-PE"/>
              </w:rPr>
            </w:pPr>
            <w:r w:rsidRPr="001F2762">
              <w:rPr>
                <w:rFonts w:ascii="Calibri Light" w:hAnsi="Calibri Light"/>
                <w:b w:val="0"/>
                <w:lang w:val="es-PE"/>
              </w:rPr>
              <w:t>Disponer mecanismos de no repetición que incluyan: i) la adopción de medidas legislativas, administrativas o de otra índole para garantizar el acceso a la justicia a las mujeres víctima de violencia en Venezuela; ii) el diseño e implementación de una política nacional en materia de prevención de la violencia contra la mujer y de género que incluya mecanismos efectivos de supervisión y fiscalización; iii) fortalecer la capacidad institucional para atender los problemas estructurales identificados en el presente caso como factores de impunidad en casos de violencia contra la mujer en Venezuela; iv) diseño e implementación de mecanismos adecuados y accesibles de denuncia para mujeres víctimas de violencia, incluida la violencia sexual, en Venezuela conforme a los estándares establecidos en el presente informe; v) diseñar e implementar servicios multidisciplinarios en salud para las mujeres víctimas de violencia sexual, que aborden las necesidades específicas de su condición de víctimas de este tipo de violencia para su recuperación y rehabilitación; vi) Diseñar protocolos para facilitar y fomentar la efectiva, uniforme y transparente investigación de actos de violencia física, sexual y psicológica, que incluya una descripción de la complejidad de las pruebas, y el detalle de las pruebas mínimas que es preciso recopilar para proporcionar una fundamentación probatoria adecuada, teniendo en cuenta las normas internacionales establecidas en el Protocolo de Estambul; y vii) diseñar programas de formación y capacitación para todos los operadores jurídicos que tengan contacto y/o estén a cargo de investigar casos de violencia contra la mujer, incluida violencia sexual.</w:t>
            </w:r>
          </w:p>
          <w:p w14:paraId="587012A7" w14:textId="77777777" w:rsidR="009E3F6E" w:rsidRPr="001F2762" w:rsidRDefault="009E3F6E" w:rsidP="009E3F6E">
            <w:pPr>
              <w:pStyle w:val="ListParagraph"/>
              <w:jc w:val="both"/>
              <w:rPr>
                <w:rFonts w:ascii="Calibri Light" w:hAnsi="Calibri Light"/>
                <w:b w:val="0"/>
                <w:lang w:val="es-PE"/>
              </w:rPr>
            </w:pPr>
          </w:p>
          <w:p w14:paraId="13572C3C" w14:textId="55E8A0DD" w:rsidR="00203965" w:rsidRPr="001F2762" w:rsidRDefault="009E3F6E" w:rsidP="009E3F6E">
            <w:pPr>
              <w:pStyle w:val="ListParagraph"/>
              <w:numPr>
                <w:ilvl w:val="0"/>
                <w:numId w:val="12"/>
              </w:numPr>
              <w:jc w:val="both"/>
              <w:rPr>
                <w:rFonts w:ascii="Calibri Light" w:hAnsi="Calibri Light"/>
                <w:b w:val="0"/>
                <w:lang w:val="es-PE"/>
              </w:rPr>
            </w:pPr>
            <w:r w:rsidRPr="001F2762">
              <w:rPr>
                <w:rFonts w:ascii="Calibri Light" w:hAnsi="Calibri Light"/>
                <w:b w:val="0"/>
                <w:lang w:val="es-PE"/>
              </w:rPr>
              <w:t xml:space="preserve">Reintegrar los gastos del Fondo de Asistencia Legal de Víctimas de la Comisión Interamericana de Derechos Humanos por la cantidad erogada durante la tramitación del presente caso. </w:t>
            </w:r>
          </w:p>
          <w:p w14:paraId="49863AFC" w14:textId="3D0F69B5" w:rsidR="009E3F6E" w:rsidRPr="001F2762" w:rsidRDefault="009E3F6E" w:rsidP="00203965">
            <w:pPr>
              <w:pStyle w:val="ListParagraph"/>
              <w:ind w:left="360"/>
              <w:jc w:val="both"/>
              <w:rPr>
                <w:rFonts w:ascii="Calibri Light" w:hAnsi="Calibri Light"/>
                <w:b w:val="0"/>
                <w:lang w:val="es-PE"/>
              </w:rPr>
            </w:pPr>
          </w:p>
        </w:tc>
      </w:tr>
      <w:tr w:rsidR="00F464EC" w:rsidRPr="001F2762" w14:paraId="0B7CC98E" w14:textId="77777777" w:rsidTr="007C457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1F2762" w:rsidRDefault="00F464EC" w:rsidP="00F464EC">
            <w:pPr>
              <w:pStyle w:val="ListParagraph"/>
              <w:spacing w:after="200" w:line="276" w:lineRule="auto"/>
              <w:rPr>
                <w:rFonts w:ascii="Calibri Light" w:hAnsi="Calibri Light"/>
                <w:lang w:val="es-PE"/>
              </w:rPr>
            </w:pPr>
          </w:p>
          <w:p w14:paraId="7B045F14" w14:textId="2270E615" w:rsidR="00F464EC" w:rsidRPr="001F2762" w:rsidRDefault="00F464EC" w:rsidP="00F464EC">
            <w:pPr>
              <w:pStyle w:val="ListParagraph"/>
              <w:numPr>
                <w:ilvl w:val="0"/>
                <w:numId w:val="2"/>
              </w:numPr>
              <w:spacing w:after="200" w:line="276" w:lineRule="auto"/>
              <w:jc w:val="center"/>
              <w:rPr>
                <w:rFonts w:ascii="Calibri Light" w:hAnsi="Calibri Light"/>
                <w:lang w:val="es-PE"/>
              </w:rPr>
            </w:pPr>
            <w:r w:rsidRPr="001F2762">
              <w:rPr>
                <w:rFonts w:ascii="Calibri Light" w:hAnsi="Calibri Light"/>
                <w:lang w:val="es-PE"/>
              </w:rPr>
              <w:t>Análisis de cumplimiento de las recomendaciones</w:t>
            </w:r>
          </w:p>
          <w:p w14:paraId="3C93C1C0" w14:textId="77777777" w:rsidR="00F464EC" w:rsidRPr="001F2762" w:rsidRDefault="00F464EC" w:rsidP="00F464EC">
            <w:pPr>
              <w:pStyle w:val="ListParagraph"/>
              <w:ind w:left="0"/>
              <w:jc w:val="center"/>
              <w:rPr>
                <w:rFonts w:ascii="Calibri Light" w:hAnsi="Calibri Light"/>
                <w:b w:val="0"/>
                <w:lang w:val="es-PE"/>
              </w:rPr>
            </w:pPr>
          </w:p>
        </w:tc>
      </w:tr>
      <w:tr w:rsidR="00F464EC" w:rsidRPr="001F2762" w14:paraId="41FA15A1" w14:textId="77777777" w:rsidTr="007C457D">
        <w:trPr>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5E887EBC" w14:textId="77777777" w:rsidR="009E3F6E" w:rsidRPr="001F2762" w:rsidRDefault="009E3F6E" w:rsidP="00C9309C">
            <w:pPr>
              <w:pStyle w:val="ListParagraph"/>
              <w:ind w:left="0"/>
              <w:jc w:val="center"/>
              <w:rPr>
                <w:rFonts w:ascii="Calibri Light" w:hAnsi="Calibri Light"/>
                <w:b w:val="0"/>
                <w:lang w:val="es-PE"/>
              </w:rPr>
            </w:pPr>
          </w:p>
          <w:p w14:paraId="3572EBFB" w14:textId="77777777" w:rsidR="00F464EC" w:rsidRPr="001F2762" w:rsidRDefault="00C548DC" w:rsidP="00C9309C">
            <w:pPr>
              <w:pStyle w:val="ListParagraph"/>
              <w:ind w:left="0"/>
              <w:jc w:val="center"/>
              <w:rPr>
                <w:rFonts w:ascii="Calibri Light" w:hAnsi="Calibri Light"/>
                <w:b w:val="0"/>
                <w:lang w:val="es-PE"/>
              </w:rPr>
            </w:pPr>
            <w:r w:rsidRPr="001F2762">
              <w:rPr>
                <w:rFonts w:ascii="Calibri Light" w:hAnsi="Calibri Light"/>
                <w:b w:val="0"/>
                <w:lang w:val="es-PE"/>
              </w:rPr>
              <w:t>-</w:t>
            </w:r>
          </w:p>
          <w:p w14:paraId="1F3EA985" w14:textId="34A30EA2" w:rsidR="009E3F6E" w:rsidRPr="001F2762" w:rsidRDefault="009E3F6E" w:rsidP="00C9309C">
            <w:pPr>
              <w:pStyle w:val="ListParagraph"/>
              <w:ind w:left="0"/>
              <w:jc w:val="center"/>
              <w:rPr>
                <w:rFonts w:ascii="Calibri Light" w:hAnsi="Calibri Light"/>
                <w:b w:val="0"/>
                <w:lang w:val="es-PE"/>
              </w:rPr>
            </w:pPr>
          </w:p>
        </w:tc>
      </w:tr>
    </w:tbl>
    <w:p w14:paraId="13E97ABE" w14:textId="12FDCE23" w:rsidR="00714E42" w:rsidRPr="001F2762" w:rsidRDefault="00714E42" w:rsidP="009443C8">
      <w:pPr>
        <w:tabs>
          <w:tab w:val="left" w:pos="1695"/>
        </w:tabs>
        <w:rPr>
          <w:rFonts w:ascii="Calibri Light" w:hAnsi="Calibri Light"/>
          <w:lang w:val="es-PE"/>
        </w:rPr>
      </w:pPr>
    </w:p>
    <w:sectPr w:rsidR="00714E42" w:rsidRPr="001F276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C7ABD" w14:textId="77777777" w:rsidR="0038600C" w:rsidRDefault="0038600C" w:rsidP="00A65231">
      <w:pPr>
        <w:spacing w:after="0" w:line="240" w:lineRule="auto"/>
      </w:pPr>
      <w:r>
        <w:separator/>
      </w:r>
    </w:p>
  </w:endnote>
  <w:endnote w:type="continuationSeparator" w:id="0">
    <w:p w14:paraId="08B7386A" w14:textId="77777777" w:rsidR="0038600C" w:rsidRDefault="0038600C"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06DEC" w:rsidRDefault="00A06DEC">
        <w:pPr>
          <w:pStyle w:val="Footer"/>
          <w:jc w:val="right"/>
        </w:pPr>
        <w:r>
          <w:fldChar w:fldCharType="begin"/>
        </w:r>
        <w:r>
          <w:instrText>PAGE   \* MERGEFORMAT</w:instrText>
        </w:r>
        <w:r>
          <w:fldChar w:fldCharType="separate"/>
        </w:r>
        <w:r w:rsidR="00C030CE" w:rsidRPr="00C030CE">
          <w:rPr>
            <w:noProof/>
            <w:lang w:val="es-ES"/>
          </w:rPr>
          <w:t>7</w:t>
        </w:r>
        <w:r>
          <w:fldChar w:fldCharType="end"/>
        </w:r>
      </w:p>
    </w:sdtContent>
  </w:sdt>
  <w:p w14:paraId="6353BB13" w14:textId="77777777" w:rsidR="00A06DEC" w:rsidRDefault="00A0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269C" w14:textId="77777777" w:rsidR="0038600C" w:rsidRDefault="0038600C" w:rsidP="00A65231">
      <w:pPr>
        <w:spacing w:after="0" w:line="240" w:lineRule="auto"/>
      </w:pPr>
      <w:r>
        <w:separator/>
      </w:r>
    </w:p>
  </w:footnote>
  <w:footnote w:type="continuationSeparator" w:id="0">
    <w:p w14:paraId="32BCFB02" w14:textId="77777777" w:rsidR="0038600C" w:rsidRDefault="0038600C"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BB0"/>
    <w:multiLevelType w:val="hybridMultilevel"/>
    <w:tmpl w:val="1B004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A5EBA"/>
    <w:multiLevelType w:val="hybridMultilevel"/>
    <w:tmpl w:val="E4B69962"/>
    <w:lvl w:ilvl="0" w:tplc="C428E662">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1385521"/>
    <w:multiLevelType w:val="hybridMultilevel"/>
    <w:tmpl w:val="F750387C"/>
    <w:lvl w:ilvl="0" w:tplc="13585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0849"/>
    <w:multiLevelType w:val="hybridMultilevel"/>
    <w:tmpl w:val="EC9E1A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7D16E1E"/>
    <w:multiLevelType w:val="hybridMultilevel"/>
    <w:tmpl w:val="94F4F32C"/>
    <w:lvl w:ilvl="0" w:tplc="28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EFF5519"/>
    <w:multiLevelType w:val="hybridMultilevel"/>
    <w:tmpl w:val="22A2F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4AB281F"/>
    <w:multiLevelType w:val="hybridMultilevel"/>
    <w:tmpl w:val="F398C046"/>
    <w:lvl w:ilvl="0" w:tplc="C2467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7"/>
  </w:num>
  <w:num w:numId="6">
    <w:abstractNumId w:val="10"/>
  </w:num>
  <w:num w:numId="7">
    <w:abstractNumId w:val="0"/>
  </w:num>
  <w:num w:numId="8">
    <w:abstractNumId w:val="8"/>
  </w:num>
  <w:num w:numId="9">
    <w:abstractNumId w:val="1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460A"/>
    <w:rsid w:val="000405FB"/>
    <w:rsid w:val="00042016"/>
    <w:rsid w:val="0007056F"/>
    <w:rsid w:val="00072F93"/>
    <w:rsid w:val="000A5834"/>
    <w:rsid w:val="000B68F1"/>
    <w:rsid w:val="000C2ED1"/>
    <w:rsid w:val="000C552B"/>
    <w:rsid w:val="000C5A72"/>
    <w:rsid w:val="000D3CF2"/>
    <w:rsid w:val="000F2C70"/>
    <w:rsid w:val="000F79F2"/>
    <w:rsid w:val="00130635"/>
    <w:rsid w:val="00132C32"/>
    <w:rsid w:val="00136030"/>
    <w:rsid w:val="00152C55"/>
    <w:rsid w:val="001563D0"/>
    <w:rsid w:val="001A14F7"/>
    <w:rsid w:val="001A57CE"/>
    <w:rsid w:val="001B26B6"/>
    <w:rsid w:val="001C28EC"/>
    <w:rsid w:val="001D5B31"/>
    <w:rsid w:val="001E5EB3"/>
    <w:rsid w:val="001F2762"/>
    <w:rsid w:val="001F29E8"/>
    <w:rsid w:val="001F3DEC"/>
    <w:rsid w:val="00203815"/>
    <w:rsid w:val="00203965"/>
    <w:rsid w:val="00205137"/>
    <w:rsid w:val="00212F62"/>
    <w:rsid w:val="00213757"/>
    <w:rsid w:val="00217301"/>
    <w:rsid w:val="00220B75"/>
    <w:rsid w:val="00234516"/>
    <w:rsid w:val="00244DBB"/>
    <w:rsid w:val="00254A4A"/>
    <w:rsid w:val="002627F7"/>
    <w:rsid w:val="00270B3B"/>
    <w:rsid w:val="00271421"/>
    <w:rsid w:val="002870CC"/>
    <w:rsid w:val="00290BCB"/>
    <w:rsid w:val="00295ECC"/>
    <w:rsid w:val="002964F9"/>
    <w:rsid w:val="0029671B"/>
    <w:rsid w:val="002A15FB"/>
    <w:rsid w:val="002A2B82"/>
    <w:rsid w:val="002C13B1"/>
    <w:rsid w:val="002C1646"/>
    <w:rsid w:val="002C3878"/>
    <w:rsid w:val="002F14AF"/>
    <w:rsid w:val="00303617"/>
    <w:rsid w:val="00317EE5"/>
    <w:rsid w:val="00322CF7"/>
    <w:rsid w:val="00347408"/>
    <w:rsid w:val="00351A39"/>
    <w:rsid w:val="0035309B"/>
    <w:rsid w:val="00364745"/>
    <w:rsid w:val="00375522"/>
    <w:rsid w:val="003808A8"/>
    <w:rsid w:val="00381587"/>
    <w:rsid w:val="0038600C"/>
    <w:rsid w:val="003900CA"/>
    <w:rsid w:val="003930B5"/>
    <w:rsid w:val="003D1776"/>
    <w:rsid w:val="003D4D45"/>
    <w:rsid w:val="003E574B"/>
    <w:rsid w:val="003E6AB8"/>
    <w:rsid w:val="003F161D"/>
    <w:rsid w:val="00411A74"/>
    <w:rsid w:val="004124AE"/>
    <w:rsid w:val="004133FB"/>
    <w:rsid w:val="004137D3"/>
    <w:rsid w:val="00421D6C"/>
    <w:rsid w:val="00432423"/>
    <w:rsid w:val="00451809"/>
    <w:rsid w:val="00452AA6"/>
    <w:rsid w:val="00452B80"/>
    <w:rsid w:val="00453383"/>
    <w:rsid w:val="004533E5"/>
    <w:rsid w:val="00464CAC"/>
    <w:rsid w:val="004761AC"/>
    <w:rsid w:val="004858A8"/>
    <w:rsid w:val="004861D8"/>
    <w:rsid w:val="004A4CEC"/>
    <w:rsid w:val="004B1311"/>
    <w:rsid w:val="004C5505"/>
    <w:rsid w:val="004C719A"/>
    <w:rsid w:val="004C79C5"/>
    <w:rsid w:val="004D0742"/>
    <w:rsid w:val="004D5994"/>
    <w:rsid w:val="004D67BD"/>
    <w:rsid w:val="004D74B0"/>
    <w:rsid w:val="004E2765"/>
    <w:rsid w:val="004E678F"/>
    <w:rsid w:val="004F061A"/>
    <w:rsid w:val="004F183D"/>
    <w:rsid w:val="004F340A"/>
    <w:rsid w:val="00501906"/>
    <w:rsid w:val="00511A9B"/>
    <w:rsid w:val="005173CF"/>
    <w:rsid w:val="005228E2"/>
    <w:rsid w:val="0053153F"/>
    <w:rsid w:val="005430FB"/>
    <w:rsid w:val="00557C90"/>
    <w:rsid w:val="0056056D"/>
    <w:rsid w:val="00561038"/>
    <w:rsid w:val="00561359"/>
    <w:rsid w:val="005965AC"/>
    <w:rsid w:val="005A3D42"/>
    <w:rsid w:val="005B5974"/>
    <w:rsid w:val="005C3229"/>
    <w:rsid w:val="005C417E"/>
    <w:rsid w:val="005C4E8F"/>
    <w:rsid w:val="005D0493"/>
    <w:rsid w:val="005D4A68"/>
    <w:rsid w:val="005D4FDF"/>
    <w:rsid w:val="005D7372"/>
    <w:rsid w:val="005E5F73"/>
    <w:rsid w:val="005F6BAD"/>
    <w:rsid w:val="00615C7C"/>
    <w:rsid w:val="006407DD"/>
    <w:rsid w:val="00645ED4"/>
    <w:rsid w:val="0065042A"/>
    <w:rsid w:val="006701C2"/>
    <w:rsid w:val="00676230"/>
    <w:rsid w:val="00677735"/>
    <w:rsid w:val="00685F04"/>
    <w:rsid w:val="0068778C"/>
    <w:rsid w:val="006A0170"/>
    <w:rsid w:val="006D488A"/>
    <w:rsid w:val="006E2163"/>
    <w:rsid w:val="006E2B53"/>
    <w:rsid w:val="006F4B29"/>
    <w:rsid w:val="006F7790"/>
    <w:rsid w:val="007062AE"/>
    <w:rsid w:val="00706C12"/>
    <w:rsid w:val="00714E42"/>
    <w:rsid w:val="00721CC8"/>
    <w:rsid w:val="00726C5A"/>
    <w:rsid w:val="0073020F"/>
    <w:rsid w:val="007448CB"/>
    <w:rsid w:val="00747E22"/>
    <w:rsid w:val="00750390"/>
    <w:rsid w:val="00751287"/>
    <w:rsid w:val="00772ABA"/>
    <w:rsid w:val="007814B1"/>
    <w:rsid w:val="00781677"/>
    <w:rsid w:val="00786CD3"/>
    <w:rsid w:val="0079477F"/>
    <w:rsid w:val="007A6C56"/>
    <w:rsid w:val="007B7ED8"/>
    <w:rsid w:val="007C2274"/>
    <w:rsid w:val="007C3120"/>
    <w:rsid w:val="007C457D"/>
    <w:rsid w:val="007E382B"/>
    <w:rsid w:val="007E69B4"/>
    <w:rsid w:val="007F5AA7"/>
    <w:rsid w:val="008036E7"/>
    <w:rsid w:val="00815148"/>
    <w:rsid w:val="00841B0E"/>
    <w:rsid w:val="008520B2"/>
    <w:rsid w:val="00861455"/>
    <w:rsid w:val="008632F5"/>
    <w:rsid w:val="00866A4D"/>
    <w:rsid w:val="00873F36"/>
    <w:rsid w:val="008839D3"/>
    <w:rsid w:val="008A52E4"/>
    <w:rsid w:val="008C1D7A"/>
    <w:rsid w:val="008E2256"/>
    <w:rsid w:val="0090367F"/>
    <w:rsid w:val="009176F9"/>
    <w:rsid w:val="00931244"/>
    <w:rsid w:val="00933217"/>
    <w:rsid w:val="00940A1F"/>
    <w:rsid w:val="009443C8"/>
    <w:rsid w:val="0095307D"/>
    <w:rsid w:val="00954E20"/>
    <w:rsid w:val="009578A8"/>
    <w:rsid w:val="00965C31"/>
    <w:rsid w:val="00981318"/>
    <w:rsid w:val="00990459"/>
    <w:rsid w:val="009A3D36"/>
    <w:rsid w:val="009C1933"/>
    <w:rsid w:val="009C77EF"/>
    <w:rsid w:val="009E3F6E"/>
    <w:rsid w:val="009F4B59"/>
    <w:rsid w:val="00A01BA8"/>
    <w:rsid w:val="00A03721"/>
    <w:rsid w:val="00A06DEC"/>
    <w:rsid w:val="00A133CC"/>
    <w:rsid w:val="00A26D54"/>
    <w:rsid w:val="00A271BF"/>
    <w:rsid w:val="00A3216E"/>
    <w:rsid w:val="00A35828"/>
    <w:rsid w:val="00A42862"/>
    <w:rsid w:val="00A4435A"/>
    <w:rsid w:val="00A50D0C"/>
    <w:rsid w:val="00A530B4"/>
    <w:rsid w:val="00A531CA"/>
    <w:rsid w:val="00A604ED"/>
    <w:rsid w:val="00A63CAD"/>
    <w:rsid w:val="00A65231"/>
    <w:rsid w:val="00A91B24"/>
    <w:rsid w:val="00A96284"/>
    <w:rsid w:val="00AA3542"/>
    <w:rsid w:val="00AB647D"/>
    <w:rsid w:val="00AC6F31"/>
    <w:rsid w:val="00AE065A"/>
    <w:rsid w:val="00AF29E1"/>
    <w:rsid w:val="00B03FB9"/>
    <w:rsid w:val="00B07E72"/>
    <w:rsid w:val="00B23C13"/>
    <w:rsid w:val="00B36035"/>
    <w:rsid w:val="00B37CA5"/>
    <w:rsid w:val="00B461D0"/>
    <w:rsid w:val="00B47FF1"/>
    <w:rsid w:val="00B5253C"/>
    <w:rsid w:val="00B679CC"/>
    <w:rsid w:val="00B67D9D"/>
    <w:rsid w:val="00B7160D"/>
    <w:rsid w:val="00B71B8C"/>
    <w:rsid w:val="00B74209"/>
    <w:rsid w:val="00B7620C"/>
    <w:rsid w:val="00B771B5"/>
    <w:rsid w:val="00B873F8"/>
    <w:rsid w:val="00B93CB9"/>
    <w:rsid w:val="00BB61C6"/>
    <w:rsid w:val="00BC65B7"/>
    <w:rsid w:val="00BD3EB4"/>
    <w:rsid w:val="00BD48E5"/>
    <w:rsid w:val="00BE472D"/>
    <w:rsid w:val="00BE6FA1"/>
    <w:rsid w:val="00BF6F75"/>
    <w:rsid w:val="00C00ED9"/>
    <w:rsid w:val="00C030CE"/>
    <w:rsid w:val="00C136C6"/>
    <w:rsid w:val="00C26AA8"/>
    <w:rsid w:val="00C31DFF"/>
    <w:rsid w:val="00C3372E"/>
    <w:rsid w:val="00C429EA"/>
    <w:rsid w:val="00C45FCA"/>
    <w:rsid w:val="00C548DC"/>
    <w:rsid w:val="00C63B25"/>
    <w:rsid w:val="00C725BC"/>
    <w:rsid w:val="00C9309C"/>
    <w:rsid w:val="00C97AC7"/>
    <w:rsid w:val="00CA5393"/>
    <w:rsid w:val="00CC2D55"/>
    <w:rsid w:val="00CC31A4"/>
    <w:rsid w:val="00CF2567"/>
    <w:rsid w:val="00D0696E"/>
    <w:rsid w:val="00D159C5"/>
    <w:rsid w:val="00D216E1"/>
    <w:rsid w:val="00D22BEA"/>
    <w:rsid w:val="00D70468"/>
    <w:rsid w:val="00DD3C7C"/>
    <w:rsid w:val="00DE77E9"/>
    <w:rsid w:val="00DF2AFB"/>
    <w:rsid w:val="00DF47CF"/>
    <w:rsid w:val="00E0027D"/>
    <w:rsid w:val="00E00425"/>
    <w:rsid w:val="00E337B1"/>
    <w:rsid w:val="00E35FF7"/>
    <w:rsid w:val="00E378C8"/>
    <w:rsid w:val="00E55104"/>
    <w:rsid w:val="00E57ABC"/>
    <w:rsid w:val="00E65D76"/>
    <w:rsid w:val="00E72B87"/>
    <w:rsid w:val="00E93BD0"/>
    <w:rsid w:val="00E95E34"/>
    <w:rsid w:val="00EA3F68"/>
    <w:rsid w:val="00EB153A"/>
    <w:rsid w:val="00EF7496"/>
    <w:rsid w:val="00F06184"/>
    <w:rsid w:val="00F247A4"/>
    <w:rsid w:val="00F348B0"/>
    <w:rsid w:val="00F35633"/>
    <w:rsid w:val="00F464EC"/>
    <w:rsid w:val="00F52584"/>
    <w:rsid w:val="00F53444"/>
    <w:rsid w:val="00F55CD0"/>
    <w:rsid w:val="00F612FA"/>
    <w:rsid w:val="00F62BC2"/>
    <w:rsid w:val="00F655FD"/>
    <w:rsid w:val="00F67EAB"/>
    <w:rsid w:val="00F725A5"/>
    <w:rsid w:val="00F83405"/>
    <w:rsid w:val="00F873A1"/>
    <w:rsid w:val="00FA790D"/>
    <w:rsid w:val="00FB0A8E"/>
    <w:rsid w:val="00FB0F60"/>
    <w:rsid w:val="00FB1D17"/>
    <w:rsid w:val="00FB555D"/>
    <w:rsid w:val="00FC69A5"/>
    <w:rsid w:val="00FE15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E57ABC"/>
    <w:rPr>
      <w:color w:val="0000FF" w:themeColor="hyperlink"/>
      <w:u w:val="single"/>
    </w:rPr>
  </w:style>
  <w:style w:type="character" w:styleId="FollowedHyperlink">
    <w:name w:val="FollowedHyperlink"/>
    <w:basedOn w:val="DefaultParagraphFont"/>
    <w:uiPriority w:val="99"/>
    <w:semiHidden/>
    <w:unhideWhenUsed/>
    <w:rsid w:val="00E57ABC"/>
    <w:rPr>
      <w:color w:val="800080" w:themeColor="followedHyperlink"/>
      <w:u w:val="single"/>
    </w:rPr>
  </w:style>
  <w:style w:type="paragraph" w:styleId="FootnoteText">
    <w:name w:val="footnote text"/>
    <w:basedOn w:val="Normal"/>
    <w:link w:val="FootnoteTextChar"/>
    <w:uiPriority w:val="99"/>
    <w:semiHidden/>
    <w:unhideWhenUsed/>
    <w:rsid w:val="0045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383"/>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45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10sp/73.VEAD1462-07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6/12797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62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D9D5-E0E4-438D-912B-266B5571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3558</Words>
  <Characters>20283</Characters>
  <Application>Microsoft Office Word</Application>
  <DocSecurity>0</DocSecurity>
  <Lines>169</Lines>
  <Paragraphs>47</Paragraphs>
  <ScaleCrop>false</ScaleCrop>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2021-02-11T09:46:00Z</dcterms:created>
  <dcterms:modified xsi:type="dcterms:W3CDTF">2021-02-11T09:46:00Z</dcterms:modified>
</cp:coreProperties>
</file>