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4C722" w14:textId="77777777" w:rsidR="007907AF" w:rsidRDefault="007907AF" w:rsidP="007907AF">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0A771A75" wp14:editId="163EBD0B">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7FE70DDB" wp14:editId="5E0B99F8">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7E1EB268" wp14:editId="7AAF2E86">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A82270" w14:textId="77777777" w:rsidR="007907AF" w:rsidRPr="00411A74" w:rsidRDefault="007907AF" w:rsidP="007907AF">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105C1C7C" w14:textId="0E650FEF" w:rsidR="00DC336A" w:rsidRPr="007907AF" w:rsidRDefault="007907AF" w:rsidP="007907AF">
      <w:pPr>
        <w:spacing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esumen</w:t>
      </w:r>
    </w:p>
    <w:tbl>
      <w:tblPr>
        <w:tblStyle w:val="Tabladelista2-nfasis11"/>
        <w:tblW w:w="0" w:type="auto"/>
        <w:tblInd w:w="0" w:type="dxa"/>
        <w:tblLook w:val="04A0" w:firstRow="1" w:lastRow="0" w:firstColumn="1" w:lastColumn="0" w:noHBand="0" w:noVBand="1"/>
      </w:tblPr>
      <w:tblGrid>
        <w:gridCol w:w="3586"/>
        <w:gridCol w:w="2343"/>
        <w:gridCol w:w="2575"/>
      </w:tblGrid>
      <w:tr w:rsidR="00DC336A" w:rsidRPr="00F5622A" w14:paraId="57E40213" w14:textId="77777777" w:rsidTr="00A14AE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vAlign w:val="center"/>
          </w:tcPr>
          <w:p w14:paraId="38BD7952" w14:textId="77777777" w:rsidR="00DC336A" w:rsidRPr="00F5622A" w:rsidRDefault="00DC336A" w:rsidP="00A14AE3">
            <w:pPr>
              <w:pStyle w:val="ListParagraph"/>
              <w:numPr>
                <w:ilvl w:val="0"/>
                <w:numId w:val="1"/>
              </w:numPr>
              <w:spacing w:after="0" w:line="240" w:lineRule="auto"/>
              <w:jc w:val="center"/>
              <w:rPr>
                <w:rFonts w:asciiTheme="majorHAnsi" w:hAnsiTheme="majorHAnsi"/>
              </w:rPr>
            </w:pPr>
            <w:r w:rsidRPr="00F5622A">
              <w:rPr>
                <w:rFonts w:asciiTheme="majorHAnsi" w:hAnsiTheme="majorHAnsi"/>
              </w:rPr>
              <w:t>Datos generales</w:t>
            </w:r>
          </w:p>
        </w:tc>
      </w:tr>
      <w:tr w:rsidR="00DC336A" w:rsidRPr="00F5622A" w14:paraId="38D831B6" w14:textId="77777777" w:rsidTr="00A71B24">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2E5" w:themeColor="accent1" w:themeTint="99"/>
              <w:left w:val="nil"/>
              <w:bottom w:val="single" w:sz="4" w:space="0" w:color="9CC2E5" w:themeColor="accent1" w:themeTint="99"/>
              <w:right w:val="nil"/>
            </w:tcBorders>
            <w:hideMark/>
          </w:tcPr>
          <w:p w14:paraId="61307116" w14:textId="77777777" w:rsidR="00DC336A" w:rsidRPr="00F5622A" w:rsidRDefault="00DC336A" w:rsidP="007868AC">
            <w:pPr>
              <w:pStyle w:val="ListParagraph"/>
              <w:numPr>
                <w:ilvl w:val="0"/>
                <w:numId w:val="2"/>
              </w:numPr>
              <w:spacing w:after="0" w:line="240" w:lineRule="auto"/>
              <w:rPr>
                <w:rFonts w:asciiTheme="majorHAnsi" w:hAnsiTheme="majorHAnsi"/>
              </w:rPr>
            </w:pPr>
            <w:r w:rsidRPr="00F5622A">
              <w:rPr>
                <w:rFonts w:asciiTheme="majorHAnsi" w:hAnsiTheme="majorHAnsi"/>
              </w:rPr>
              <w:t>Nombre del caso</w:t>
            </w:r>
          </w:p>
        </w:tc>
        <w:tc>
          <w:tcPr>
            <w:tcW w:w="4918" w:type="dxa"/>
            <w:gridSpan w:val="2"/>
            <w:tcBorders>
              <w:top w:val="single" w:sz="4" w:space="0" w:color="9CC2E5" w:themeColor="accent1" w:themeTint="99"/>
              <w:left w:val="nil"/>
              <w:bottom w:val="single" w:sz="4" w:space="0" w:color="9CC2E5" w:themeColor="accent1" w:themeTint="99"/>
              <w:right w:val="nil"/>
            </w:tcBorders>
            <w:hideMark/>
          </w:tcPr>
          <w:p w14:paraId="1A6F3F32" w14:textId="77777777" w:rsidR="00DC336A" w:rsidRPr="00F5622A" w:rsidRDefault="00DC336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5622A">
              <w:rPr>
                <w:rFonts w:asciiTheme="majorHAnsi" w:hAnsiTheme="majorHAnsi"/>
              </w:rPr>
              <w:t>Roberto G</w:t>
            </w:r>
            <w:r w:rsidR="00924FFD" w:rsidRPr="00F5622A">
              <w:rPr>
                <w:rFonts w:asciiTheme="majorHAnsi" w:hAnsiTheme="majorHAnsi"/>
              </w:rPr>
              <w:t>irón y Pedro Castillo Mendoza,</w:t>
            </w:r>
            <w:r w:rsidRPr="00F5622A">
              <w:rPr>
                <w:rFonts w:asciiTheme="majorHAnsi" w:hAnsiTheme="majorHAnsi"/>
              </w:rPr>
              <w:t xml:space="preserve"> Guatemala</w:t>
            </w:r>
          </w:p>
        </w:tc>
      </w:tr>
      <w:tr w:rsidR="00DC336A" w:rsidRPr="00F5622A" w14:paraId="1304E89C" w14:textId="77777777" w:rsidTr="0008522C">
        <w:trPr>
          <w:trHeight w:val="263"/>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2E5" w:themeColor="accent1" w:themeTint="99"/>
              <w:left w:val="nil"/>
              <w:bottom w:val="single" w:sz="4" w:space="0" w:color="9CC2E5" w:themeColor="accent1" w:themeTint="99"/>
              <w:right w:val="nil"/>
            </w:tcBorders>
            <w:hideMark/>
          </w:tcPr>
          <w:p w14:paraId="58F7F712" w14:textId="77777777" w:rsidR="00DC336A" w:rsidRPr="00F5622A" w:rsidRDefault="00E12AF1" w:rsidP="007868AC">
            <w:pPr>
              <w:pStyle w:val="ListParagraph"/>
              <w:numPr>
                <w:ilvl w:val="0"/>
                <w:numId w:val="2"/>
              </w:numPr>
              <w:spacing w:after="0" w:line="240" w:lineRule="auto"/>
              <w:rPr>
                <w:rFonts w:asciiTheme="majorHAnsi" w:hAnsiTheme="majorHAnsi"/>
              </w:rPr>
            </w:pPr>
            <w:r w:rsidRPr="00F5622A">
              <w:rPr>
                <w:rFonts w:asciiTheme="majorHAnsi" w:hAnsiTheme="majorHAnsi"/>
              </w:rPr>
              <w:t>P</w:t>
            </w:r>
            <w:r w:rsidR="00924FFD" w:rsidRPr="00F5622A">
              <w:rPr>
                <w:rFonts w:asciiTheme="majorHAnsi" w:hAnsiTheme="majorHAnsi"/>
              </w:rPr>
              <w:t>arte peticionaria</w:t>
            </w:r>
          </w:p>
        </w:tc>
        <w:tc>
          <w:tcPr>
            <w:tcW w:w="4918" w:type="dxa"/>
            <w:gridSpan w:val="2"/>
            <w:tcBorders>
              <w:top w:val="single" w:sz="4" w:space="0" w:color="9CC2E5" w:themeColor="accent1" w:themeTint="99"/>
              <w:left w:val="nil"/>
              <w:bottom w:val="single" w:sz="4" w:space="0" w:color="9CC2E5" w:themeColor="accent1" w:themeTint="99"/>
              <w:right w:val="nil"/>
            </w:tcBorders>
            <w:hideMark/>
          </w:tcPr>
          <w:p w14:paraId="3BCE5338" w14:textId="290C160C" w:rsidR="00DC336A" w:rsidRPr="00F5622A" w:rsidRDefault="00DC336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F5622A">
              <w:rPr>
                <w:rFonts w:asciiTheme="majorHAnsi" w:hAnsiTheme="majorHAnsi"/>
                <w:lang w:val="en-US"/>
              </w:rPr>
              <w:t>Magnus F. Hirschfeld Centre for Human Rights</w:t>
            </w:r>
          </w:p>
          <w:p w14:paraId="755B5179" w14:textId="77777777" w:rsidR="00DC336A" w:rsidRPr="00F5622A" w:rsidRDefault="00DC336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5622A">
              <w:rPr>
                <w:rFonts w:asciiTheme="majorHAnsi" w:hAnsiTheme="majorHAnsi"/>
              </w:rPr>
              <w:t>Instituto de Estudios Comparados en Ciencias Penales de Guatemala</w:t>
            </w:r>
          </w:p>
          <w:p w14:paraId="4B518FC2" w14:textId="77777777" w:rsidR="00DC336A" w:rsidRPr="00F5622A" w:rsidRDefault="00DC336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5622A">
              <w:rPr>
                <w:rFonts w:asciiTheme="majorHAnsi" w:hAnsiTheme="majorHAnsi"/>
              </w:rPr>
              <w:t>Centro para la Acción Legal en Derechos Humanos</w:t>
            </w:r>
          </w:p>
        </w:tc>
      </w:tr>
      <w:tr w:rsidR="00DC336A" w:rsidRPr="00F5622A" w14:paraId="7876B952" w14:textId="77777777" w:rsidTr="0008522C">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2E5" w:themeColor="accent1" w:themeTint="99"/>
              <w:left w:val="nil"/>
              <w:bottom w:val="single" w:sz="4" w:space="0" w:color="9CC2E5" w:themeColor="accent1" w:themeTint="99"/>
              <w:right w:val="nil"/>
            </w:tcBorders>
            <w:hideMark/>
          </w:tcPr>
          <w:p w14:paraId="3E5C6810" w14:textId="77777777" w:rsidR="00DC336A" w:rsidRPr="00F5622A" w:rsidRDefault="00DC336A" w:rsidP="007868AC">
            <w:pPr>
              <w:pStyle w:val="ListParagraph"/>
              <w:numPr>
                <w:ilvl w:val="0"/>
                <w:numId w:val="2"/>
              </w:numPr>
              <w:spacing w:after="0" w:line="240" w:lineRule="auto"/>
              <w:rPr>
                <w:rFonts w:asciiTheme="majorHAnsi" w:hAnsiTheme="majorHAnsi"/>
              </w:rPr>
            </w:pPr>
            <w:r w:rsidRPr="00F5622A">
              <w:rPr>
                <w:rFonts w:asciiTheme="majorHAnsi" w:hAnsiTheme="majorHAnsi"/>
              </w:rPr>
              <w:t xml:space="preserve">Número de Informe </w:t>
            </w:r>
          </w:p>
        </w:tc>
        <w:tc>
          <w:tcPr>
            <w:tcW w:w="4918" w:type="dxa"/>
            <w:gridSpan w:val="2"/>
            <w:tcBorders>
              <w:top w:val="single" w:sz="4" w:space="0" w:color="9CC2E5" w:themeColor="accent1" w:themeTint="99"/>
              <w:left w:val="nil"/>
              <w:bottom w:val="single" w:sz="4" w:space="0" w:color="9CC2E5" w:themeColor="accent1" w:themeTint="99"/>
              <w:right w:val="nil"/>
            </w:tcBorders>
            <w:hideMark/>
          </w:tcPr>
          <w:p w14:paraId="7A10FAE9" w14:textId="77777777" w:rsidR="00DC336A" w:rsidRPr="00F5622A" w:rsidRDefault="00FF786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12" w:history="1">
              <w:r w:rsidR="00DC336A" w:rsidRPr="00A71B24">
                <w:rPr>
                  <w:rStyle w:val="Hyperlink"/>
                  <w:rFonts w:asciiTheme="majorHAnsi" w:hAnsiTheme="majorHAnsi"/>
                  <w:color w:val="0000FF"/>
                </w:rPr>
                <w:t>Informe No. 76/17</w:t>
              </w:r>
            </w:hyperlink>
          </w:p>
        </w:tc>
      </w:tr>
      <w:tr w:rsidR="00DC336A" w:rsidRPr="00F5622A" w14:paraId="2BE39A41" w14:textId="77777777" w:rsidTr="0008522C">
        <w:trPr>
          <w:trHeight w:val="212"/>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2E5" w:themeColor="accent1" w:themeTint="99"/>
              <w:left w:val="nil"/>
              <w:bottom w:val="single" w:sz="4" w:space="0" w:color="9CC2E5" w:themeColor="accent1" w:themeTint="99"/>
              <w:right w:val="nil"/>
            </w:tcBorders>
            <w:hideMark/>
          </w:tcPr>
          <w:p w14:paraId="7DB08894" w14:textId="77777777" w:rsidR="00DC336A" w:rsidRPr="00F5622A" w:rsidRDefault="00DC336A" w:rsidP="007868AC">
            <w:pPr>
              <w:pStyle w:val="ListParagraph"/>
              <w:numPr>
                <w:ilvl w:val="0"/>
                <w:numId w:val="2"/>
              </w:numPr>
              <w:spacing w:after="0" w:line="240" w:lineRule="auto"/>
              <w:rPr>
                <w:rFonts w:asciiTheme="majorHAnsi" w:hAnsiTheme="majorHAnsi"/>
              </w:rPr>
            </w:pPr>
            <w:r w:rsidRPr="00F5622A">
              <w:rPr>
                <w:rFonts w:asciiTheme="majorHAnsi" w:hAnsiTheme="majorHAnsi"/>
              </w:rPr>
              <w:t xml:space="preserve">Tipo de informe </w:t>
            </w:r>
          </w:p>
        </w:tc>
        <w:tc>
          <w:tcPr>
            <w:tcW w:w="4918" w:type="dxa"/>
            <w:gridSpan w:val="2"/>
            <w:tcBorders>
              <w:top w:val="single" w:sz="4" w:space="0" w:color="9CC2E5" w:themeColor="accent1" w:themeTint="99"/>
              <w:left w:val="nil"/>
              <w:bottom w:val="single" w:sz="4" w:space="0" w:color="9CC2E5" w:themeColor="accent1" w:themeTint="99"/>
              <w:right w:val="nil"/>
            </w:tcBorders>
            <w:vAlign w:val="center"/>
            <w:hideMark/>
          </w:tcPr>
          <w:p w14:paraId="78749777" w14:textId="77777777" w:rsidR="00DC336A" w:rsidRPr="00F5622A" w:rsidRDefault="00DC336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5622A">
              <w:rPr>
                <w:rFonts w:asciiTheme="majorHAnsi" w:hAnsiTheme="majorHAnsi"/>
              </w:rPr>
              <w:t>Informe de Admisibilidad y Fondo (Caso en la Corte IDH)</w:t>
            </w:r>
          </w:p>
        </w:tc>
      </w:tr>
      <w:tr w:rsidR="00DC336A" w:rsidRPr="00F5622A" w14:paraId="50FD13A4" w14:textId="77777777" w:rsidTr="00A71B24">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2E5" w:themeColor="accent1" w:themeTint="99"/>
              <w:left w:val="nil"/>
              <w:bottom w:val="single" w:sz="4" w:space="0" w:color="9CC2E5" w:themeColor="accent1" w:themeTint="99"/>
              <w:right w:val="nil"/>
            </w:tcBorders>
            <w:hideMark/>
          </w:tcPr>
          <w:p w14:paraId="55A18A5A" w14:textId="77777777" w:rsidR="00DC336A" w:rsidRPr="00F5622A" w:rsidRDefault="00DC336A" w:rsidP="007868AC">
            <w:pPr>
              <w:pStyle w:val="ListParagraph"/>
              <w:numPr>
                <w:ilvl w:val="0"/>
                <w:numId w:val="2"/>
              </w:numPr>
              <w:spacing w:after="0" w:line="240" w:lineRule="auto"/>
              <w:rPr>
                <w:rFonts w:asciiTheme="majorHAnsi" w:hAnsiTheme="majorHAnsi"/>
              </w:rPr>
            </w:pPr>
            <w:r w:rsidRPr="00F5622A">
              <w:rPr>
                <w:rFonts w:asciiTheme="majorHAnsi" w:hAnsiTheme="majorHAnsi"/>
              </w:rPr>
              <w:t xml:space="preserve">Fecha </w:t>
            </w:r>
          </w:p>
        </w:tc>
        <w:tc>
          <w:tcPr>
            <w:tcW w:w="4918" w:type="dxa"/>
            <w:gridSpan w:val="2"/>
            <w:tcBorders>
              <w:top w:val="single" w:sz="4" w:space="0" w:color="9CC2E5" w:themeColor="accent1" w:themeTint="99"/>
              <w:left w:val="nil"/>
              <w:bottom w:val="single" w:sz="4" w:space="0" w:color="9CC2E5" w:themeColor="accent1" w:themeTint="99"/>
              <w:right w:val="nil"/>
            </w:tcBorders>
            <w:vAlign w:val="center"/>
            <w:hideMark/>
          </w:tcPr>
          <w:p w14:paraId="31457743" w14:textId="77777777" w:rsidR="00DC336A" w:rsidRPr="00F5622A" w:rsidRDefault="0008522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5622A">
              <w:rPr>
                <w:rFonts w:asciiTheme="majorHAnsi" w:hAnsiTheme="majorHAnsi"/>
              </w:rPr>
              <w:t>05 de julio de 2017</w:t>
            </w:r>
          </w:p>
        </w:tc>
      </w:tr>
      <w:tr w:rsidR="00DC336A" w:rsidRPr="00F5622A" w14:paraId="0A7C8847" w14:textId="77777777" w:rsidTr="0008522C">
        <w:trPr>
          <w:trHeight w:val="602"/>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2E5" w:themeColor="accent1" w:themeTint="99"/>
              <w:left w:val="nil"/>
              <w:bottom w:val="single" w:sz="4" w:space="0" w:color="9CC2E5" w:themeColor="accent1" w:themeTint="99"/>
              <w:right w:val="nil"/>
            </w:tcBorders>
            <w:hideMark/>
          </w:tcPr>
          <w:p w14:paraId="17E74D4D" w14:textId="77777777" w:rsidR="00DC336A" w:rsidRPr="00F5622A" w:rsidRDefault="00DC336A" w:rsidP="007868AC">
            <w:pPr>
              <w:pStyle w:val="ListParagraph"/>
              <w:numPr>
                <w:ilvl w:val="0"/>
                <w:numId w:val="2"/>
              </w:numPr>
              <w:spacing w:after="0" w:line="240" w:lineRule="auto"/>
              <w:rPr>
                <w:rFonts w:asciiTheme="majorHAnsi" w:hAnsiTheme="majorHAnsi"/>
              </w:rPr>
            </w:pPr>
            <w:r w:rsidRPr="00F5622A">
              <w:rPr>
                <w:rFonts w:asciiTheme="majorHAnsi" w:hAnsiTheme="majorHAnsi"/>
              </w:rPr>
              <w:t>Decisiones de la CIDH y/o la Corte IDH, relacionadas</w:t>
            </w:r>
          </w:p>
        </w:tc>
        <w:tc>
          <w:tcPr>
            <w:tcW w:w="4918" w:type="dxa"/>
            <w:gridSpan w:val="2"/>
            <w:tcBorders>
              <w:top w:val="single" w:sz="4" w:space="0" w:color="9CC2E5" w:themeColor="accent1" w:themeTint="99"/>
              <w:left w:val="nil"/>
              <w:bottom w:val="single" w:sz="4" w:space="0" w:color="9CC2E5" w:themeColor="accent1" w:themeTint="99"/>
              <w:right w:val="nil"/>
            </w:tcBorders>
            <w:vAlign w:val="center"/>
            <w:hideMark/>
          </w:tcPr>
          <w:p w14:paraId="1F8D4AD5" w14:textId="7D122A3A" w:rsidR="00DC336A" w:rsidRPr="00F5622A" w:rsidRDefault="0068145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Caso Girón y otro vs. Guatemala (</w:t>
            </w:r>
            <w:hyperlink r:id="rId13" w:history="1">
              <w:r w:rsidRPr="0068145E">
                <w:rPr>
                  <w:rStyle w:val="Hyperlink"/>
                  <w:rFonts w:asciiTheme="majorHAnsi" w:hAnsiTheme="majorHAnsi"/>
                  <w:color w:val="0432FF"/>
                </w:rPr>
                <w:t>Sentencia de 15 de octubre de 2019</w:t>
              </w:r>
            </w:hyperlink>
            <w:r>
              <w:rPr>
                <w:rFonts w:asciiTheme="majorHAnsi" w:hAnsiTheme="majorHAnsi"/>
              </w:rPr>
              <w:t>)</w:t>
            </w:r>
          </w:p>
        </w:tc>
      </w:tr>
      <w:tr w:rsidR="0008522C" w:rsidRPr="00F5622A" w14:paraId="0E4ADBF4" w14:textId="77777777" w:rsidTr="00E12AF1">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3586" w:type="dxa"/>
            <w:vMerge w:val="restart"/>
            <w:tcBorders>
              <w:top w:val="single" w:sz="4" w:space="0" w:color="9CC2E5" w:themeColor="accent1" w:themeTint="99"/>
              <w:left w:val="nil"/>
              <w:right w:val="nil"/>
            </w:tcBorders>
            <w:hideMark/>
          </w:tcPr>
          <w:p w14:paraId="6684B66D" w14:textId="77777777" w:rsidR="0008522C" w:rsidRPr="00F5622A" w:rsidRDefault="0008522C" w:rsidP="0008522C">
            <w:pPr>
              <w:pStyle w:val="ListParagraph"/>
              <w:numPr>
                <w:ilvl w:val="0"/>
                <w:numId w:val="2"/>
              </w:numPr>
              <w:spacing w:after="0" w:line="240" w:lineRule="auto"/>
              <w:rPr>
                <w:rFonts w:asciiTheme="majorHAnsi" w:hAnsiTheme="majorHAnsi"/>
              </w:rPr>
            </w:pPr>
            <w:r w:rsidRPr="00F5622A">
              <w:rPr>
                <w:rFonts w:asciiTheme="majorHAnsi" w:hAnsiTheme="majorHAnsi"/>
              </w:rPr>
              <w:t xml:space="preserve">Artículos analizados </w:t>
            </w:r>
          </w:p>
        </w:tc>
        <w:tc>
          <w:tcPr>
            <w:tcW w:w="4918" w:type="dxa"/>
            <w:gridSpan w:val="2"/>
            <w:tcBorders>
              <w:top w:val="single" w:sz="4" w:space="0" w:color="9CC2E5" w:themeColor="accent1" w:themeTint="99"/>
              <w:left w:val="nil"/>
              <w:bottom w:val="single" w:sz="4" w:space="0" w:color="9CC2E5" w:themeColor="accent1" w:themeTint="99"/>
              <w:right w:val="nil"/>
            </w:tcBorders>
            <w:vAlign w:val="center"/>
            <w:hideMark/>
          </w:tcPr>
          <w:p w14:paraId="0C575B01" w14:textId="77777777" w:rsidR="0008522C" w:rsidRPr="00F5622A" w:rsidRDefault="0008522C" w:rsidP="00E12AF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5622A">
              <w:rPr>
                <w:rFonts w:asciiTheme="majorHAnsi" w:hAnsiTheme="majorHAnsi"/>
              </w:rPr>
              <w:t>Convención Americana sobre Derechos Humanos</w:t>
            </w:r>
          </w:p>
        </w:tc>
      </w:tr>
      <w:tr w:rsidR="0008522C" w:rsidRPr="00F5622A" w14:paraId="297A33C2" w14:textId="77777777" w:rsidTr="0008522C">
        <w:trPr>
          <w:trHeight w:val="610"/>
        </w:trPr>
        <w:tc>
          <w:tcPr>
            <w:cnfStyle w:val="001000000000" w:firstRow="0" w:lastRow="0" w:firstColumn="1" w:lastColumn="0" w:oddVBand="0" w:evenVBand="0" w:oddHBand="0" w:evenHBand="0" w:firstRowFirstColumn="0" w:firstRowLastColumn="0" w:lastRowFirstColumn="0" w:lastRowLastColumn="0"/>
            <w:tcW w:w="0" w:type="auto"/>
            <w:vMerge/>
            <w:tcBorders>
              <w:left w:val="nil"/>
              <w:right w:val="nil"/>
            </w:tcBorders>
            <w:vAlign w:val="center"/>
            <w:hideMark/>
          </w:tcPr>
          <w:p w14:paraId="68E4E805" w14:textId="77777777" w:rsidR="0008522C" w:rsidRPr="00F5622A" w:rsidRDefault="0008522C" w:rsidP="0008522C">
            <w:pPr>
              <w:spacing w:after="0" w:line="240" w:lineRule="auto"/>
              <w:rPr>
                <w:rFonts w:asciiTheme="majorHAnsi" w:hAnsiTheme="majorHAnsi"/>
              </w:rPr>
            </w:pPr>
          </w:p>
        </w:tc>
        <w:tc>
          <w:tcPr>
            <w:tcW w:w="2343" w:type="dxa"/>
            <w:tcBorders>
              <w:top w:val="single" w:sz="4" w:space="0" w:color="9CC2E5" w:themeColor="accent1" w:themeTint="99"/>
              <w:left w:val="nil"/>
              <w:bottom w:val="single" w:sz="4" w:space="0" w:color="9CC2E5" w:themeColor="accent1" w:themeTint="99"/>
              <w:right w:val="nil"/>
            </w:tcBorders>
            <w:vAlign w:val="center"/>
            <w:hideMark/>
          </w:tcPr>
          <w:p w14:paraId="30A5F37D" w14:textId="77777777" w:rsidR="0008522C" w:rsidRPr="00F5622A" w:rsidRDefault="0008522C" w:rsidP="00E12AF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5622A">
              <w:rPr>
                <w:rFonts w:asciiTheme="majorHAnsi" w:hAnsiTheme="majorHAnsi"/>
              </w:rPr>
              <w:t>Artículos analizados declarados violados</w:t>
            </w:r>
          </w:p>
        </w:tc>
        <w:tc>
          <w:tcPr>
            <w:tcW w:w="2575" w:type="dxa"/>
            <w:tcBorders>
              <w:top w:val="single" w:sz="4" w:space="0" w:color="9CC2E5" w:themeColor="accent1" w:themeTint="99"/>
              <w:left w:val="nil"/>
              <w:bottom w:val="single" w:sz="4" w:space="0" w:color="9CC2E5" w:themeColor="accent1" w:themeTint="99"/>
              <w:right w:val="nil"/>
            </w:tcBorders>
            <w:vAlign w:val="center"/>
            <w:hideMark/>
          </w:tcPr>
          <w:p w14:paraId="697ADCEC" w14:textId="77777777" w:rsidR="0008522C" w:rsidRPr="00F5622A" w:rsidRDefault="0008522C" w:rsidP="00E12AF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5622A">
              <w:rPr>
                <w:rFonts w:asciiTheme="majorHAnsi" w:hAnsiTheme="majorHAnsi"/>
              </w:rPr>
              <w:t>Artículos analizados no declarados violados</w:t>
            </w:r>
          </w:p>
        </w:tc>
      </w:tr>
      <w:tr w:rsidR="0008522C" w:rsidRPr="00F5622A" w14:paraId="3CF1366A" w14:textId="77777777" w:rsidTr="0008522C">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0" w:type="auto"/>
            <w:vMerge/>
            <w:tcBorders>
              <w:left w:val="nil"/>
              <w:right w:val="nil"/>
            </w:tcBorders>
            <w:vAlign w:val="center"/>
            <w:hideMark/>
          </w:tcPr>
          <w:p w14:paraId="50207424" w14:textId="77777777" w:rsidR="0008522C" w:rsidRPr="00F5622A" w:rsidRDefault="0008522C" w:rsidP="0008522C">
            <w:pPr>
              <w:spacing w:after="0" w:line="240" w:lineRule="auto"/>
              <w:rPr>
                <w:rFonts w:asciiTheme="majorHAnsi" w:hAnsiTheme="majorHAnsi"/>
              </w:rPr>
            </w:pPr>
          </w:p>
        </w:tc>
        <w:tc>
          <w:tcPr>
            <w:tcW w:w="2343" w:type="dxa"/>
            <w:tcBorders>
              <w:top w:val="single" w:sz="4" w:space="0" w:color="9CC2E5" w:themeColor="accent1" w:themeTint="99"/>
              <w:left w:val="nil"/>
              <w:bottom w:val="single" w:sz="4" w:space="0" w:color="9CC2E5" w:themeColor="accent1" w:themeTint="99"/>
              <w:right w:val="nil"/>
            </w:tcBorders>
            <w:vAlign w:val="center"/>
            <w:hideMark/>
          </w:tcPr>
          <w:p w14:paraId="08145AAE" w14:textId="77777777" w:rsidR="0008522C" w:rsidRPr="00F5622A" w:rsidRDefault="0008522C" w:rsidP="00E12AF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n-US"/>
              </w:rPr>
            </w:pPr>
            <w:r w:rsidRPr="00F5622A">
              <w:rPr>
                <w:rFonts w:asciiTheme="majorHAnsi" w:hAnsiTheme="majorHAnsi"/>
                <w:lang w:val="en-US"/>
              </w:rPr>
              <w:t>Art. 1, art. 2, art. 4, art. 5, art. 8, art. 25</w:t>
            </w:r>
          </w:p>
        </w:tc>
        <w:tc>
          <w:tcPr>
            <w:tcW w:w="2575" w:type="dxa"/>
            <w:tcBorders>
              <w:top w:val="single" w:sz="4" w:space="0" w:color="9CC2E5" w:themeColor="accent1" w:themeTint="99"/>
              <w:left w:val="nil"/>
              <w:bottom w:val="single" w:sz="4" w:space="0" w:color="9CC2E5" w:themeColor="accent1" w:themeTint="99"/>
              <w:right w:val="nil"/>
            </w:tcBorders>
            <w:vAlign w:val="center"/>
            <w:hideMark/>
          </w:tcPr>
          <w:p w14:paraId="0FE77146" w14:textId="77777777" w:rsidR="0008522C" w:rsidRPr="00F5622A" w:rsidRDefault="0008522C" w:rsidP="00E12AF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5622A">
              <w:rPr>
                <w:rFonts w:asciiTheme="majorHAnsi" w:hAnsiTheme="majorHAnsi"/>
              </w:rPr>
              <w:t>-</w:t>
            </w:r>
          </w:p>
        </w:tc>
      </w:tr>
      <w:tr w:rsidR="0008522C" w:rsidRPr="00F5622A" w14:paraId="1BA95CDB" w14:textId="77777777" w:rsidTr="0008522C">
        <w:trPr>
          <w:trHeight w:val="537"/>
        </w:trPr>
        <w:tc>
          <w:tcPr>
            <w:cnfStyle w:val="001000000000" w:firstRow="0" w:lastRow="0" w:firstColumn="1" w:lastColumn="0" w:oddVBand="0" w:evenVBand="0" w:oddHBand="0" w:evenHBand="0" w:firstRowFirstColumn="0" w:firstRowLastColumn="0" w:lastRowFirstColumn="0" w:lastRowLastColumn="0"/>
            <w:tcW w:w="0" w:type="auto"/>
            <w:vMerge/>
            <w:tcBorders>
              <w:left w:val="nil"/>
              <w:right w:val="nil"/>
            </w:tcBorders>
            <w:vAlign w:val="center"/>
          </w:tcPr>
          <w:p w14:paraId="0CC14BE4" w14:textId="77777777" w:rsidR="0008522C" w:rsidRPr="00F5622A" w:rsidRDefault="0008522C" w:rsidP="0008522C">
            <w:pPr>
              <w:spacing w:after="0" w:line="240" w:lineRule="auto"/>
              <w:rPr>
                <w:rFonts w:asciiTheme="majorHAnsi" w:hAnsiTheme="majorHAnsi"/>
                <w:b w:val="0"/>
                <w:bCs w:val="0"/>
              </w:rPr>
            </w:pPr>
          </w:p>
        </w:tc>
        <w:tc>
          <w:tcPr>
            <w:tcW w:w="4918" w:type="dxa"/>
            <w:gridSpan w:val="2"/>
            <w:tcBorders>
              <w:top w:val="single" w:sz="4" w:space="0" w:color="9CC2E5" w:themeColor="accent1" w:themeTint="99"/>
              <w:left w:val="nil"/>
              <w:bottom w:val="single" w:sz="4" w:space="0" w:color="9CC2E5" w:themeColor="accent1" w:themeTint="99"/>
              <w:right w:val="nil"/>
            </w:tcBorders>
            <w:vAlign w:val="center"/>
          </w:tcPr>
          <w:p w14:paraId="6E8912F6" w14:textId="77777777" w:rsidR="0008522C" w:rsidRPr="00F5622A" w:rsidRDefault="0008522C" w:rsidP="00E12AF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5622A">
              <w:rPr>
                <w:rFonts w:asciiTheme="majorHAnsi" w:hAnsiTheme="majorHAnsi"/>
              </w:rPr>
              <w:t>Convención Interamericana para Prevenir y Sancionar la Tortura</w:t>
            </w:r>
          </w:p>
        </w:tc>
      </w:tr>
      <w:tr w:rsidR="0008522C" w:rsidRPr="00F5622A" w14:paraId="15B54D21" w14:textId="77777777" w:rsidTr="0008522C">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0" w:type="auto"/>
            <w:vMerge/>
            <w:tcBorders>
              <w:left w:val="nil"/>
              <w:right w:val="nil"/>
            </w:tcBorders>
            <w:vAlign w:val="center"/>
          </w:tcPr>
          <w:p w14:paraId="4B5C1034" w14:textId="77777777" w:rsidR="0008522C" w:rsidRPr="00F5622A" w:rsidRDefault="0008522C" w:rsidP="0008522C">
            <w:pPr>
              <w:spacing w:after="0" w:line="240" w:lineRule="auto"/>
              <w:rPr>
                <w:rFonts w:asciiTheme="majorHAnsi" w:hAnsiTheme="majorHAnsi"/>
                <w:b w:val="0"/>
                <w:bCs w:val="0"/>
              </w:rPr>
            </w:pPr>
          </w:p>
        </w:tc>
        <w:tc>
          <w:tcPr>
            <w:tcW w:w="2343" w:type="dxa"/>
            <w:tcBorders>
              <w:top w:val="single" w:sz="4" w:space="0" w:color="9CC2E5" w:themeColor="accent1" w:themeTint="99"/>
              <w:left w:val="nil"/>
              <w:bottom w:val="single" w:sz="4" w:space="0" w:color="9CC2E5" w:themeColor="accent1" w:themeTint="99"/>
              <w:right w:val="nil"/>
            </w:tcBorders>
            <w:vAlign w:val="center"/>
          </w:tcPr>
          <w:p w14:paraId="25E68225" w14:textId="77777777" w:rsidR="0008522C" w:rsidRPr="00F5622A" w:rsidRDefault="0008522C" w:rsidP="00E12AF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n-US"/>
              </w:rPr>
            </w:pPr>
            <w:r w:rsidRPr="00F5622A">
              <w:rPr>
                <w:rFonts w:asciiTheme="majorHAnsi" w:hAnsiTheme="majorHAnsi"/>
                <w:lang w:val="en-US"/>
              </w:rPr>
              <w:t>Artículos analizados declarados violados</w:t>
            </w:r>
          </w:p>
        </w:tc>
        <w:tc>
          <w:tcPr>
            <w:tcW w:w="2575" w:type="dxa"/>
            <w:tcBorders>
              <w:top w:val="single" w:sz="4" w:space="0" w:color="9CC2E5" w:themeColor="accent1" w:themeTint="99"/>
              <w:left w:val="nil"/>
              <w:bottom w:val="single" w:sz="4" w:space="0" w:color="9CC2E5" w:themeColor="accent1" w:themeTint="99"/>
              <w:right w:val="nil"/>
            </w:tcBorders>
            <w:vAlign w:val="center"/>
          </w:tcPr>
          <w:p w14:paraId="171B8475" w14:textId="77777777" w:rsidR="0008522C" w:rsidRPr="00F5622A" w:rsidRDefault="0008522C" w:rsidP="00E12AF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5622A">
              <w:rPr>
                <w:rFonts w:asciiTheme="majorHAnsi" w:hAnsiTheme="majorHAnsi"/>
              </w:rPr>
              <w:t>Artículos analizados no declarados violados</w:t>
            </w:r>
          </w:p>
        </w:tc>
      </w:tr>
      <w:tr w:rsidR="0008522C" w:rsidRPr="00F5622A" w14:paraId="56D5BA27" w14:textId="77777777" w:rsidTr="0008522C">
        <w:trPr>
          <w:trHeight w:val="537"/>
        </w:trPr>
        <w:tc>
          <w:tcPr>
            <w:cnfStyle w:val="001000000000" w:firstRow="0" w:lastRow="0" w:firstColumn="1" w:lastColumn="0" w:oddVBand="0" w:evenVBand="0" w:oddHBand="0" w:evenHBand="0" w:firstRowFirstColumn="0" w:firstRowLastColumn="0" w:lastRowFirstColumn="0" w:lastRowLastColumn="0"/>
            <w:tcW w:w="0" w:type="auto"/>
            <w:vMerge/>
            <w:tcBorders>
              <w:left w:val="nil"/>
              <w:bottom w:val="single" w:sz="4" w:space="0" w:color="9CC2E5" w:themeColor="accent1" w:themeTint="99"/>
              <w:right w:val="nil"/>
            </w:tcBorders>
            <w:vAlign w:val="center"/>
          </w:tcPr>
          <w:p w14:paraId="675CAF8C" w14:textId="77777777" w:rsidR="0008522C" w:rsidRPr="00F5622A" w:rsidRDefault="0008522C" w:rsidP="0008522C">
            <w:pPr>
              <w:spacing w:after="0" w:line="240" w:lineRule="auto"/>
              <w:rPr>
                <w:rFonts w:asciiTheme="majorHAnsi" w:hAnsiTheme="majorHAnsi"/>
                <w:b w:val="0"/>
                <w:bCs w:val="0"/>
              </w:rPr>
            </w:pPr>
          </w:p>
        </w:tc>
        <w:tc>
          <w:tcPr>
            <w:tcW w:w="2343" w:type="dxa"/>
            <w:tcBorders>
              <w:top w:val="single" w:sz="4" w:space="0" w:color="9CC2E5" w:themeColor="accent1" w:themeTint="99"/>
              <w:left w:val="nil"/>
              <w:bottom w:val="single" w:sz="4" w:space="0" w:color="9CC2E5" w:themeColor="accent1" w:themeTint="99"/>
              <w:right w:val="nil"/>
            </w:tcBorders>
            <w:vAlign w:val="center"/>
          </w:tcPr>
          <w:p w14:paraId="69C76F6A" w14:textId="77777777" w:rsidR="0008522C" w:rsidRPr="00F5622A" w:rsidRDefault="0008522C" w:rsidP="00E12AF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F5622A">
              <w:rPr>
                <w:rFonts w:asciiTheme="majorHAnsi" w:hAnsiTheme="majorHAnsi"/>
                <w:lang w:val="en-US"/>
              </w:rPr>
              <w:t>Art. 1, art. 6</w:t>
            </w:r>
          </w:p>
        </w:tc>
        <w:tc>
          <w:tcPr>
            <w:tcW w:w="2575" w:type="dxa"/>
            <w:tcBorders>
              <w:top w:val="single" w:sz="4" w:space="0" w:color="9CC2E5" w:themeColor="accent1" w:themeTint="99"/>
              <w:left w:val="nil"/>
              <w:bottom w:val="single" w:sz="4" w:space="0" w:color="9CC2E5" w:themeColor="accent1" w:themeTint="99"/>
              <w:right w:val="nil"/>
            </w:tcBorders>
            <w:vAlign w:val="center"/>
          </w:tcPr>
          <w:p w14:paraId="230A2261" w14:textId="77777777" w:rsidR="0008522C" w:rsidRPr="00F5622A" w:rsidRDefault="0008522C" w:rsidP="00E12AF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5622A">
              <w:rPr>
                <w:rFonts w:asciiTheme="majorHAnsi" w:hAnsiTheme="majorHAnsi"/>
              </w:rPr>
              <w:t>-</w:t>
            </w:r>
          </w:p>
        </w:tc>
      </w:tr>
      <w:tr w:rsidR="00DC336A" w:rsidRPr="00F5622A" w14:paraId="796FA3D7" w14:textId="77777777" w:rsidTr="00A14AE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vAlign w:val="center"/>
          </w:tcPr>
          <w:p w14:paraId="60535EFB" w14:textId="77777777" w:rsidR="00DC336A" w:rsidRPr="00F5622A" w:rsidRDefault="00DC336A" w:rsidP="00A14AE3">
            <w:pPr>
              <w:pStyle w:val="ListParagraph"/>
              <w:numPr>
                <w:ilvl w:val="0"/>
                <w:numId w:val="1"/>
              </w:numPr>
              <w:spacing w:after="0" w:line="240" w:lineRule="auto"/>
              <w:jc w:val="center"/>
              <w:rPr>
                <w:rFonts w:asciiTheme="majorHAnsi" w:hAnsiTheme="majorHAnsi"/>
              </w:rPr>
            </w:pPr>
            <w:r w:rsidRPr="00F5622A">
              <w:rPr>
                <w:rFonts w:asciiTheme="majorHAnsi" w:hAnsiTheme="majorHAnsi"/>
              </w:rPr>
              <w:t>Sumilla</w:t>
            </w:r>
          </w:p>
        </w:tc>
      </w:tr>
      <w:tr w:rsidR="00DC336A" w:rsidRPr="00F5622A" w14:paraId="29D3E311" w14:textId="77777777" w:rsidTr="0008522C">
        <w:trPr>
          <w:trHeight w:val="220"/>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tcPr>
          <w:p w14:paraId="4AED5515" w14:textId="0D735638" w:rsidR="00DC336A" w:rsidRPr="00F5622A" w:rsidRDefault="00DC336A">
            <w:pPr>
              <w:spacing w:after="0" w:line="240" w:lineRule="auto"/>
              <w:jc w:val="both"/>
              <w:rPr>
                <w:rFonts w:asciiTheme="majorHAnsi" w:hAnsiTheme="majorHAnsi"/>
                <w:b w:val="0"/>
              </w:rPr>
            </w:pPr>
          </w:p>
          <w:p w14:paraId="0774231A" w14:textId="7A7BF754" w:rsidR="00C8402A" w:rsidRDefault="00D97BF5">
            <w:pPr>
              <w:spacing w:after="0" w:line="240" w:lineRule="auto"/>
              <w:jc w:val="both"/>
              <w:rPr>
                <w:rFonts w:asciiTheme="majorHAnsi" w:hAnsiTheme="majorHAnsi"/>
                <w:b w:val="0"/>
              </w:rPr>
            </w:pPr>
            <w:r w:rsidRPr="00F5622A">
              <w:rPr>
                <w:rFonts w:asciiTheme="majorHAnsi" w:hAnsiTheme="majorHAnsi"/>
                <w:b w:val="0"/>
              </w:rPr>
              <w:t xml:space="preserve">El caso </w:t>
            </w:r>
            <w:r w:rsidR="00C8402A">
              <w:rPr>
                <w:rFonts w:asciiTheme="majorHAnsi" w:hAnsiTheme="majorHAnsi"/>
                <w:b w:val="0"/>
              </w:rPr>
              <w:t xml:space="preserve">trata sobre el proceso que llevó a la condena a pena de muerte de Roberto Girón y Pedro Castillo Mendoza. En este, los señores Girón y Castillo fueron defendidos de oficio por dos estudiantes de Derecho y no contaron con defensa técnica en algunas diligencias. Finalmente, fueron ejecutados en septiembre de 1996 por un pelotón de fusilamiento. </w:t>
            </w:r>
          </w:p>
          <w:p w14:paraId="481D5F0A" w14:textId="77777777" w:rsidR="000A7B13" w:rsidRPr="00F5622A" w:rsidRDefault="000A7B13" w:rsidP="00C8402A">
            <w:pPr>
              <w:spacing w:after="0" w:line="240" w:lineRule="auto"/>
              <w:jc w:val="both"/>
              <w:rPr>
                <w:rFonts w:asciiTheme="majorHAnsi" w:hAnsiTheme="majorHAnsi"/>
                <w:b w:val="0"/>
              </w:rPr>
            </w:pPr>
          </w:p>
        </w:tc>
      </w:tr>
      <w:tr w:rsidR="00DC336A" w:rsidRPr="00F5622A" w14:paraId="5A6D6341" w14:textId="77777777" w:rsidTr="00A14AE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vAlign w:val="center"/>
          </w:tcPr>
          <w:p w14:paraId="40BAD440" w14:textId="77777777" w:rsidR="00DC336A" w:rsidRPr="00F5622A" w:rsidRDefault="00DC336A" w:rsidP="00A14AE3">
            <w:pPr>
              <w:pStyle w:val="ListParagraph"/>
              <w:numPr>
                <w:ilvl w:val="0"/>
                <w:numId w:val="1"/>
              </w:numPr>
              <w:spacing w:after="0" w:line="240" w:lineRule="auto"/>
              <w:jc w:val="center"/>
              <w:rPr>
                <w:rFonts w:asciiTheme="majorHAnsi" w:hAnsiTheme="majorHAnsi"/>
              </w:rPr>
            </w:pPr>
            <w:r w:rsidRPr="00F5622A">
              <w:rPr>
                <w:rFonts w:asciiTheme="majorHAnsi" w:hAnsiTheme="majorHAnsi"/>
              </w:rPr>
              <w:t>Palabras clave</w:t>
            </w:r>
          </w:p>
        </w:tc>
      </w:tr>
      <w:tr w:rsidR="00DC336A" w:rsidRPr="00F5622A" w14:paraId="2AA4EDCE" w14:textId="77777777" w:rsidTr="0008522C">
        <w:trPr>
          <w:trHeight w:val="509"/>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tcPr>
          <w:p w14:paraId="3185A3CF" w14:textId="77777777" w:rsidR="00DC336A" w:rsidRPr="00F5622A" w:rsidRDefault="00DC336A">
            <w:pPr>
              <w:spacing w:after="0" w:line="240" w:lineRule="auto"/>
              <w:jc w:val="both"/>
              <w:rPr>
                <w:rFonts w:asciiTheme="majorHAnsi" w:hAnsiTheme="majorHAnsi" w:cs="Calibri Light"/>
                <w:b w:val="0"/>
              </w:rPr>
            </w:pPr>
          </w:p>
          <w:p w14:paraId="6EEA04F4" w14:textId="44EC1316" w:rsidR="00724B58" w:rsidRPr="00F5622A" w:rsidRDefault="00724B58" w:rsidP="00DC336A">
            <w:pPr>
              <w:spacing w:after="0" w:line="240" w:lineRule="auto"/>
              <w:jc w:val="both"/>
              <w:rPr>
                <w:rFonts w:asciiTheme="majorHAnsi" w:hAnsiTheme="majorHAnsi"/>
                <w:b w:val="0"/>
                <w:lang w:val="es-PE"/>
              </w:rPr>
            </w:pPr>
            <w:r w:rsidRPr="00F5622A">
              <w:rPr>
                <w:rFonts w:asciiTheme="majorHAnsi" w:hAnsiTheme="majorHAnsi"/>
                <w:b w:val="0"/>
                <w:lang w:val="es-PE"/>
              </w:rPr>
              <w:t>CIPST, Integridad personal</w:t>
            </w:r>
            <w:r w:rsidR="00142DCA" w:rsidRPr="00F5622A">
              <w:rPr>
                <w:rFonts w:asciiTheme="majorHAnsi" w:hAnsiTheme="majorHAnsi"/>
                <w:b w:val="0"/>
                <w:lang w:val="es-PE"/>
              </w:rPr>
              <w:t>,</w:t>
            </w:r>
            <w:r w:rsidRPr="00F5622A">
              <w:rPr>
                <w:rFonts w:asciiTheme="majorHAnsi" w:hAnsiTheme="majorHAnsi"/>
                <w:b w:val="0"/>
                <w:lang w:val="es-PE"/>
              </w:rPr>
              <w:t xml:space="preserve"> Pena de muerte, </w:t>
            </w:r>
            <w:r w:rsidR="00142DCA" w:rsidRPr="00F5622A">
              <w:rPr>
                <w:rFonts w:asciiTheme="majorHAnsi" w:hAnsiTheme="majorHAnsi"/>
                <w:b w:val="0"/>
                <w:lang w:val="es-PE"/>
              </w:rPr>
              <w:t xml:space="preserve">Protección judicial y garantías judiciales, </w:t>
            </w:r>
            <w:r w:rsidR="00807812" w:rsidRPr="00F5622A">
              <w:rPr>
                <w:rFonts w:asciiTheme="majorHAnsi" w:hAnsiTheme="majorHAnsi"/>
                <w:b w:val="0"/>
                <w:lang w:val="es-PE"/>
              </w:rPr>
              <w:t>Tortura</w:t>
            </w:r>
            <w:r w:rsidR="008358BA">
              <w:rPr>
                <w:rFonts w:asciiTheme="majorHAnsi" w:hAnsiTheme="majorHAnsi"/>
                <w:b w:val="0"/>
                <w:lang w:val="es-PE"/>
              </w:rPr>
              <w:t xml:space="preserve"> tratos crueles</w:t>
            </w:r>
            <w:r w:rsidR="00807812" w:rsidRPr="00F5622A">
              <w:rPr>
                <w:rFonts w:asciiTheme="majorHAnsi" w:hAnsiTheme="majorHAnsi"/>
                <w:b w:val="0"/>
                <w:lang w:val="es-PE"/>
              </w:rPr>
              <w:t xml:space="preserve"> inhumanos o degradantes,</w:t>
            </w:r>
            <w:r w:rsidR="00807812" w:rsidRPr="00F5622A">
              <w:rPr>
                <w:rFonts w:asciiTheme="majorHAnsi" w:hAnsiTheme="majorHAnsi"/>
                <w:lang w:val="es-PE"/>
              </w:rPr>
              <w:t xml:space="preserve"> </w:t>
            </w:r>
            <w:r w:rsidR="00142DCA" w:rsidRPr="00F5622A">
              <w:rPr>
                <w:rFonts w:asciiTheme="majorHAnsi" w:hAnsiTheme="majorHAnsi"/>
                <w:b w:val="0"/>
                <w:lang w:val="es-PE"/>
              </w:rPr>
              <w:t>Vida</w:t>
            </w:r>
          </w:p>
          <w:p w14:paraId="22CCECCB" w14:textId="77777777" w:rsidR="008610B6" w:rsidRPr="00F5622A" w:rsidRDefault="008610B6" w:rsidP="00DC336A">
            <w:pPr>
              <w:spacing w:after="0" w:line="240" w:lineRule="auto"/>
              <w:jc w:val="both"/>
              <w:rPr>
                <w:rFonts w:asciiTheme="majorHAnsi" w:hAnsiTheme="majorHAnsi"/>
                <w:b w:val="0"/>
              </w:rPr>
            </w:pPr>
          </w:p>
        </w:tc>
      </w:tr>
      <w:tr w:rsidR="00DC336A" w:rsidRPr="00F5622A" w14:paraId="07DB5684" w14:textId="77777777" w:rsidTr="00A14AE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vAlign w:val="center"/>
          </w:tcPr>
          <w:p w14:paraId="1443CB4F" w14:textId="77777777" w:rsidR="00DC336A" w:rsidRPr="00F5622A" w:rsidRDefault="00132175" w:rsidP="00A14AE3">
            <w:pPr>
              <w:pStyle w:val="ListParagraph"/>
              <w:numPr>
                <w:ilvl w:val="0"/>
                <w:numId w:val="1"/>
              </w:numPr>
              <w:spacing w:after="0" w:line="240" w:lineRule="auto"/>
              <w:jc w:val="center"/>
              <w:rPr>
                <w:rFonts w:asciiTheme="majorHAnsi" w:hAnsiTheme="majorHAnsi"/>
              </w:rPr>
            </w:pPr>
            <w:r w:rsidRPr="00F5622A">
              <w:rPr>
                <w:rFonts w:asciiTheme="majorHAnsi" w:hAnsiTheme="majorHAnsi"/>
              </w:rPr>
              <w:t>Hechos</w:t>
            </w:r>
          </w:p>
        </w:tc>
      </w:tr>
      <w:tr w:rsidR="00DC336A" w:rsidRPr="00F5622A" w14:paraId="0A2ACB19" w14:textId="77777777" w:rsidTr="0008522C">
        <w:trPr>
          <w:trHeight w:val="662"/>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tcPr>
          <w:p w14:paraId="0492BE01" w14:textId="77777777" w:rsidR="00DC336A" w:rsidRPr="00F5622A" w:rsidRDefault="00DC336A">
            <w:pPr>
              <w:spacing w:after="0" w:line="240" w:lineRule="auto"/>
              <w:jc w:val="both"/>
              <w:rPr>
                <w:rFonts w:asciiTheme="majorHAnsi" w:hAnsiTheme="majorHAnsi"/>
                <w:b w:val="0"/>
              </w:rPr>
            </w:pPr>
          </w:p>
          <w:p w14:paraId="0C8FDABF" w14:textId="6D30C0E4" w:rsidR="008610B6" w:rsidRPr="00F5622A" w:rsidRDefault="00974DA6">
            <w:pPr>
              <w:spacing w:after="0" w:line="240" w:lineRule="auto"/>
              <w:jc w:val="both"/>
              <w:rPr>
                <w:rFonts w:asciiTheme="majorHAnsi" w:hAnsiTheme="majorHAnsi"/>
                <w:b w:val="0"/>
              </w:rPr>
            </w:pPr>
            <w:r w:rsidRPr="00F5622A">
              <w:rPr>
                <w:rFonts w:asciiTheme="majorHAnsi" w:hAnsiTheme="majorHAnsi"/>
                <w:b w:val="0"/>
              </w:rPr>
              <w:t>En Guate</w:t>
            </w:r>
            <w:r w:rsidR="003805AA" w:rsidRPr="00F5622A">
              <w:rPr>
                <w:rFonts w:asciiTheme="majorHAnsi" w:hAnsiTheme="majorHAnsi"/>
                <w:b w:val="0"/>
              </w:rPr>
              <w:t xml:space="preserve">mala, </w:t>
            </w:r>
            <w:r w:rsidR="002A5EDC" w:rsidRPr="00F5622A">
              <w:rPr>
                <w:rFonts w:asciiTheme="majorHAnsi" w:hAnsiTheme="majorHAnsi"/>
                <w:b w:val="0"/>
              </w:rPr>
              <w:t xml:space="preserve">la </w:t>
            </w:r>
            <w:r w:rsidR="00DD2B04" w:rsidRPr="00F5622A">
              <w:rPr>
                <w:rFonts w:asciiTheme="majorHAnsi" w:hAnsiTheme="majorHAnsi"/>
                <w:b w:val="0"/>
              </w:rPr>
              <w:t xml:space="preserve">aplicación de la </w:t>
            </w:r>
            <w:r w:rsidR="002A5EDC" w:rsidRPr="00F5622A">
              <w:rPr>
                <w:rFonts w:asciiTheme="majorHAnsi" w:hAnsiTheme="majorHAnsi"/>
                <w:b w:val="0"/>
              </w:rPr>
              <w:t xml:space="preserve">pena de muerte </w:t>
            </w:r>
            <w:r w:rsidRPr="00F5622A">
              <w:rPr>
                <w:rFonts w:asciiTheme="majorHAnsi" w:hAnsiTheme="majorHAnsi"/>
                <w:b w:val="0"/>
              </w:rPr>
              <w:t xml:space="preserve">se encuentra prevista </w:t>
            </w:r>
            <w:r w:rsidR="00450E89" w:rsidRPr="00F5622A">
              <w:rPr>
                <w:rFonts w:asciiTheme="majorHAnsi" w:hAnsiTheme="majorHAnsi"/>
                <w:b w:val="0"/>
              </w:rPr>
              <w:t>de forma general</w:t>
            </w:r>
            <w:r w:rsidR="00450E89" w:rsidRPr="00F5622A" w:rsidDel="00450E89">
              <w:rPr>
                <w:rFonts w:asciiTheme="majorHAnsi" w:hAnsiTheme="majorHAnsi"/>
                <w:b w:val="0"/>
              </w:rPr>
              <w:t xml:space="preserve"> </w:t>
            </w:r>
            <w:r w:rsidR="00450E89" w:rsidRPr="00F5622A">
              <w:rPr>
                <w:rFonts w:asciiTheme="majorHAnsi" w:hAnsiTheme="majorHAnsi"/>
                <w:b w:val="0"/>
              </w:rPr>
              <w:t xml:space="preserve">por </w:t>
            </w:r>
            <w:r w:rsidRPr="00F5622A">
              <w:rPr>
                <w:rFonts w:asciiTheme="majorHAnsi" w:hAnsiTheme="majorHAnsi"/>
                <w:b w:val="0"/>
              </w:rPr>
              <w:t>el artículo 18 de la Constitución</w:t>
            </w:r>
            <w:r w:rsidR="003805AA" w:rsidRPr="00F5622A">
              <w:rPr>
                <w:rFonts w:asciiTheme="majorHAnsi" w:hAnsiTheme="majorHAnsi"/>
                <w:b w:val="0"/>
              </w:rPr>
              <w:t xml:space="preserve"> y el artículo 43 del Código Penal.</w:t>
            </w:r>
            <w:r w:rsidR="00450E89" w:rsidRPr="00F5622A">
              <w:rPr>
                <w:rFonts w:asciiTheme="majorHAnsi" w:hAnsiTheme="majorHAnsi"/>
                <w:b w:val="0"/>
              </w:rPr>
              <w:t xml:space="preserve"> Contra su imposición, se </w:t>
            </w:r>
            <w:r w:rsidR="00450E89" w:rsidRPr="00F5622A">
              <w:rPr>
                <w:rFonts w:asciiTheme="majorHAnsi" w:hAnsiTheme="majorHAnsi"/>
                <w:b w:val="0"/>
              </w:rPr>
              <w:lastRenderedPageBreak/>
              <w:t xml:space="preserve">admiten </w:t>
            </w:r>
            <w:r w:rsidR="005703D9" w:rsidRPr="00F5622A">
              <w:rPr>
                <w:rFonts w:asciiTheme="majorHAnsi" w:hAnsiTheme="majorHAnsi"/>
                <w:b w:val="0"/>
              </w:rPr>
              <w:t>todos los recursos legales pertinentes, incluso el de casación</w:t>
            </w:r>
            <w:r w:rsidR="00C31D25" w:rsidRPr="00F5622A">
              <w:rPr>
                <w:rFonts w:asciiTheme="majorHAnsi" w:hAnsiTheme="majorHAnsi"/>
                <w:b w:val="0"/>
              </w:rPr>
              <w:t>, y, al momento de los hechos</w:t>
            </w:r>
            <w:r w:rsidR="00DE74DD" w:rsidRPr="00F5622A">
              <w:rPr>
                <w:rFonts w:asciiTheme="majorHAnsi" w:hAnsiTheme="majorHAnsi"/>
                <w:b w:val="0"/>
              </w:rPr>
              <w:t xml:space="preserve"> del presente caso</w:t>
            </w:r>
            <w:r w:rsidR="00C31D25" w:rsidRPr="00F5622A">
              <w:rPr>
                <w:rFonts w:asciiTheme="majorHAnsi" w:hAnsiTheme="majorHAnsi"/>
                <w:b w:val="0"/>
              </w:rPr>
              <w:t>, el recurso de gracia</w:t>
            </w:r>
            <w:r w:rsidR="005703D9" w:rsidRPr="00F5622A">
              <w:rPr>
                <w:rFonts w:asciiTheme="majorHAnsi" w:hAnsiTheme="majorHAnsi"/>
                <w:b w:val="0"/>
              </w:rPr>
              <w:t xml:space="preserve">. </w:t>
            </w:r>
            <w:r w:rsidR="00450E89" w:rsidRPr="00F5622A">
              <w:rPr>
                <w:rFonts w:asciiTheme="majorHAnsi" w:hAnsiTheme="majorHAnsi"/>
                <w:b w:val="0"/>
              </w:rPr>
              <w:t>Específicamente, d</w:t>
            </w:r>
            <w:r w:rsidR="00334E0B" w:rsidRPr="00F5622A">
              <w:rPr>
                <w:rFonts w:asciiTheme="majorHAnsi" w:hAnsiTheme="majorHAnsi"/>
                <w:b w:val="0"/>
              </w:rPr>
              <w:t xml:space="preserve">e acuerdo al artículo 175 de su Código Penal, modificado mediante Decreto </w:t>
            </w:r>
            <w:r w:rsidR="00DD2B04" w:rsidRPr="00F5622A">
              <w:rPr>
                <w:rFonts w:asciiTheme="majorHAnsi" w:hAnsiTheme="majorHAnsi"/>
                <w:b w:val="0"/>
              </w:rPr>
              <w:t xml:space="preserve">No. </w:t>
            </w:r>
            <w:r w:rsidR="00334E0B" w:rsidRPr="00F5622A">
              <w:rPr>
                <w:rFonts w:asciiTheme="majorHAnsi" w:hAnsiTheme="majorHAnsi"/>
                <w:b w:val="0"/>
              </w:rPr>
              <w:t>20-96 en mayo de 1996, podrá aplicarse la pena de muerte por la comisión del delito de violación si la víctima no hubiere cumplido diez años y muriera con motivo o a consecuencia de esta.</w:t>
            </w:r>
            <w:r w:rsidR="00450E89" w:rsidRPr="00F5622A">
              <w:rPr>
                <w:rFonts w:asciiTheme="majorHAnsi" w:hAnsiTheme="majorHAnsi"/>
                <w:b w:val="0"/>
              </w:rPr>
              <w:t xml:space="preserve"> A pesar de estas disposiciones, </w:t>
            </w:r>
            <w:r w:rsidR="009C501C" w:rsidRPr="00F5622A">
              <w:rPr>
                <w:rFonts w:asciiTheme="majorHAnsi" w:hAnsiTheme="majorHAnsi"/>
                <w:b w:val="0"/>
              </w:rPr>
              <w:t xml:space="preserve">la pena de muerte en Guatemala </w:t>
            </w:r>
            <w:r w:rsidR="00450E89" w:rsidRPr="00F5622A">
              <w:rPr>
                <w:rFonts w:asciiTheme="majorHAnsi" w:hAnsiTheme="majorHAnsi"/>
                <w:b w:val="0"/>
              </w:rPr>
              <w:t>ha sido aplicada</w:t>
            </w:r>
            <w:r w:rsidR="009C501C" w:rsidRPr="00F5622A">
              <w:rPr>
                <w:rFonts w:asciiTheme="majorHAnsi" w:hAnsiTheme="majorHAnsi"/>
                <w:b w:val="0"/>
              </w:rPr>
              <w:t xml:space="preserve"> rara vez antes de los años 90, cuando se reactivó su utilización primero por medio del fusilamiento, regulado el Decreto </w:t>
            </w:r>
            <w:r w:rsidR="00450E89" w:rsidRPr="00F5622A">
              <w:rPr>
                <w:rFonts w:asciiTheme="majorHAnsi" w:hAnsiTheme="majorHAnsi"/>
                <w:b w:val="0"/>
              </w:rPr>
              <w:t xml:space="preserve">No. </w:t>
            </w:r>
            <w:r w:rsidR="009C501C" w:rsidRPr="00F5622A">
              <w:rPr>
                <w:rFonts w:asciiTheme="majorHAnsi" w:hAnsiTheme="majorHAnsi"/>
                <w:b w:val="0"/>
              </w:rPr>
              <w:t>234, y luego mediante la inyección letal, regulad</w:t>
            </w:r>
            <w:r w:rsidR="00450E89" w:rsidRPr="00F5622A">
              <w:rPr>
                <w:rFonts w:asciiTheme="majorHAnsi" w:hAnsiTheme="majorHAnsi"/>
                <w:b w:val="0"/>
              </w:rPr>
              <w:t>a</w:t>
            </w:r>
            <w:r w:rsidR="009C501C" w:rsidRPr="00F5622A">
              <w:rPr>
                <w:rFonts w:asciiTheme="majorHAnsi" w:hAnsiTheme="majorHAnsi"/>
                <w:b w:val="0"/>
              </w:rPr>
              <w:t xml:space="preserve"> por el Decreto </w:t>
            </w:r>
            <w:r w:rsidR="00450E89" w:rsidRPr="00F5622A">
              <w:rPr>
                <w:rFonts w:asciiTheme="majorHAnsi" w:hAnsiTheme="majorHAnsi"/>
                <w:b w:val="0"/>
              </w:rPr>
              <w:t xml:space="preserve">No. </w:t>
            </w:r>
            <w:r w:rsidR="009C501C" w:rsidRPr="00F5622A">
              <w:rPr>
                <w:rFonts w:asciiTheme="majorHAnsi" w:hAnsiTheme="majorHAnsi"/>
                <w:b w:val="0"/>
              </w:rPr>
              <w:t>100-96.</w:t>
            </w:r>
          </w:p>
          <w:p w14:paraId="05C79593" w14:textId="77777777" w:rsidR="009B4358" w:rsidRPr="00F5622A" w:rsidRDefault="009B4358">
            <w:pPr>
              <w:spacing w:after="0" w:line="240" w:lineRule="auto"/>
              <w:jc w:val="both"/>
              <w:rPr>
                <w:rFonts w:asciiTheme="majorHAnsi" w:hAnsiTheme="majorHAnsi"/>
                <w:b w:val="0"/>
              </w:rPr>
            </w:pPr>
          </w:p>
          <w:p w14:paraId="54C1E71E" w14:textId="01629D83" w:rsidR="00B252FD" w:rsidRPr="00F5622A" w:rsidRDefault="009B4358">
            <w:pPr>
              <w:spacing w:after="0" w:line="240" w:lineRule="auto"/>
              <w:jc w:val="both"/>
              <w:rPr>
                <w:rFonts w:asciiTheme="majorHAnsi" w:hAnsiTheme="majorHAnsi"/>
                <w:b w:val="0"/>
              </w:rPr>
            </w:pPr>
            <w:r w:rsidRPr="00F5622A">
              <w:rPr>
                <w:rFonts w:asciiTheme="majorHAnsi" w:hAnsiTheme="majorHAnsi"/>
                <w:b w:val="0"/>
              </w:rPr>
              <w:t>En 1993, Roberto Giró</w:t>
            </w:r>
            <w:r w:rsidR="00156D67" w:rsidRPr="00F5622A">
              <w:rPr>
                <w:rFonts w:asciiTheme="majorHAnsi" w:hAnsiTheme="majorHAnsi"/>
                <w:b w:val="0"/>
              </w:rPr>
              <w:t xml:space="preserve">n y Pedro Castillo </w:t>
            </w:r>
            <w:r w:rsidR="009861C4" w:rsidRPr="00F5622A">
              <w:rPr>
                <w:rFonts w:asciiTheme="majorHAnsi" w:hAnsiTheme="majorHAnsi"/>
                <w:b w:val="0"/>
              </w:rPr>
              <w:t xml:space="preserve">fueron detenidos </w:t>
            </w:r>
            <w:r w:rsidR="00156D67" w:rsidRPr="00F5622A">
              <w:rPr>
                <w:rFonts w:asciiTheme="majorHAnsi" w:hAnsiTheme="majorHAnsi"/>
                <w:b w:val="0"/>
              </w:rPr>
              <w:t>por el delito de</w:t>
            </w:r>
            <w:r w:rsidRPr="00F5622A">
              <w:rPr>
                <w:rFonts w:asciiTheme="majorHAnsi" w:hAnsiTheme="majorHAnsi"/>
                <w:b w:val="0"/>
              </w:rPr>
              <w:t xml:space="preserve"> violación</w:t>
            </w:r>
            <w:r w:rsidR="00156D67" w:rsidRPr="00F5622A">
              <w:rPr>
                <w:rFonts w:asciiTheme="majorHAnsi" w:hAnsiTheme="majorHAnsi"/>
                <w:b w:val="0"/>
              </w:rPr>
              <w:t xml:space="preserve"> calificada en contra de </w:t>
            </w:r>
            <w:r w:rsidRPr="00F5622A">
              <w:rPr>
                <w:rFonts w:asciiTheme="majorHAnsi" w:hAnsiTheme="majorHAnsi"/>
                <w:b w:val="0"/>
              </w:rPr>
              <w:t xml:space="preserve">Sonia Álvarez, una niña de cuatro años. </w:t>
            </w:r>
            <w:r w:rsidR="00806926" w:rsidRPr="00F5622A">
              <w:rPr>
                <w:rFonts w:asciiTheme="majorHAnsi" w:hAnsiTheme="majorHAnsi"/>
                <w:b w:val="0"/>
              </w:rPr>
              <w:t>Al rendir su declaración indagatoria</w:t>
            </w:r>
            <w:r w:rsidR="00B252FD" w:rsidRPr="00F5622A">
              <w:rPr>
                <w:rFonts w:asciiTheme="majorHAnsi" w:hAnsiTheme="majorHAnsi"/>
                <w:b w:val="0"/>
              </w:rPr>
              <w:t xml:space="preserve"> el 19 de abril</w:t>
            </w:r>
            <w:r w:rsidR="00450E89" w:rsidRPr="00F5622A">
              <w:rPr>
                <w:rFonts w:asciiTheme="majorHAnsi" w:hAnsiTheme="majorHAnsi"/>
                <w:b w:val="0"/>
              </w:rPr>
              <w:t xml:space="preserve"> de ese año</w:t>
            </w:r>
            <w:r w:rsidR="00806926" w:rsidRPr="00F5622A">
              <w:rPr>
                <w:rFonts w:asciiTheme="majorHAnsi" w:hAnsiTheme="majorHAnsi"/>
                <w:b w:val="0"/>
              </w:rPr>
              <w:t xml:space="preserve">, el señor Girón adujo que no se le comunicó el motivo de su detención y sostuvo que no estuvo involucrado en los hechos de la violación y muerte de Sonia Álvarez. Por su lado, el señor </w:t>
            </w:r>
            <w:r w:rsidR="00EF0E50" w:rsidRPr="00F5622A">
              <w:rPr>
                <w:rFonts w:asciiTheme="majorHAnsi" w:hAnsiTheme="majorHAnsi"/>
                <w:b w:val="0"/>
              </w:rPr>
              <w:t>Castillo se declaró responsable d</w:t>
            </w:r>
            <w:r w:rsidR="007A3DC6" w:rsidRPr="00F5622A">
              <w:rPr>
                <w:rFonts w:asciiTheme="majorHAnsi" w:hAnsiTheme="majorHAnsi"/>
                <w:b w:val="0"/>
              </w:rPr>
              <w:t>el delito y precisó</w:t>
            </w:r>
            <w:r w:rsidR="00FE1A61" w:rsidRPr="00F5622A">
              <w:rPr>
                <w:rFonts w:asciiTheme="majorHAnsi" w:hAnsiTheme="majorHAnsi"/>
                <w:b w:val="0"/>
              </w:rPr>
              <w:t xml:space="preserve"> que lo cometió </w:t>
            </w:r>
            <w:r w:rsidR="00B252FD" w:rsidRPr="00F5622A">
              <w:rPr>
                <w:rFonts w:asciiTheme="majorHAnsi" w:hAnsiTheme="majorHAnsi"/>
                <w:b w:val="0"/>
              </w:rPr>
              <w:t>junto con el señor Girón. Ninguno contó con un abogado defensor al momento de brindar sus declaraciones.</w:t>
            </w:r>
            <w:r w:rsidR="00450E89" w:rsidRPr="00F5622A">
              <w:rPr>
                <w:rFonts w:asciiTheme="majorHAnsi" w:hAnsiTheme="majorHAnsi"/>
                <w:b w:val="0"/>
              </w:rPr>
              <w:t xml:space="preserve"> </w:t>
            </w:r>
            <w:r w:rsidR="00B252FD" w:rsidRPr="00F5622A">
              <w:rPr>
                <w:rFonts w:asciiTheme="majorHAnsi" w:hAnsiTheme="majorHAnsi"/>
                <w:b w:val="0"/>
              </w:rPr>
              <w:t>El 23 de abril</w:t>
            </w:r>
            <w:r w:rsidR="00A70FAD">
              <w:rPr>
                <w:rFonts w:asciiTheme="majorHAnsi" w:hAnsiTheme="majorHAnsi"/>
                <w:b w:val="0"/>
              </w:rPr>
              <w:t>,</w:t>
            </w:r>
            <w:r w:rsidR="00B252FD" w:rsidRPr="00F5622A">
              <w:rPr>
                <w:rFonts w:asciiTheme="majorHAnsi" w:hAnsiTheme="majorHAnsi"/>
                <w:b w:val="0"/>
              </w:rPr>
              <w:t xml:space="preserve"> se decretó la prisión provisional de ambos, y días después, el 27 de abril, se les asignaron como abogados de oficio dos estudiantes de </w:t>
            </w:r>
            <w:r w:rsidR="00450E89" w:rsidRPr="00F5622A">
              <w:rPr>
                <w:rFonts w:asciiTheme="majorHAnsi" w:hAnsiTheme="majorHAnsi"/>
                <w:b w:val="0"/>
              </w:rPr>
              <w:t>D</w:t>
            </w:r>
            <w:r w:rsidR="00B252FD" w:rsidRPr="00F5622A">
              <w:rPr>
                <w:rFonts w:asciiTheme="majorHAnsi" w:hAnsiTheme="majorHAnsi"/>
                <w:b w:val="0"/>
              </w:rPr>
              <w:t xml:space="preserve">erecho, lo cual estaba permitido por la legislación de Guatemala. A pesar del nombramiento, ninguno de los abogados defensores estuvo presente en la siguiente diligencia realizada, </w:t>
            </w:r>
            <w:r w:rsidR="00450E89" w:rsidRPr="00F5622A">
              <w:rPr>
                <w:rFonts w:asciiTheme="majorHAnsi" w:hAnsiTheme="majorHAnsi"/>
                <w:b w:val="0"/>
              </w:rPr>
              <w:t xml:space="preserve">conocida como </w:t>
            </w:r>
            <w:r w:rsidR="00B252FD" w:rsidRPr="00F5622A">
              <w:rPr>
                <w:rFonts w:asciiTheme="majorHAnsi" w:hAnsiTheme="majorHAnsi"/>
                <w:b w:val="0"/>
              </w:rPr>
              <w:t>el “careo”, que tenía como fin confrontar a ambos investigados para aclarar los aspectos contradictorios de sus declaraciones.</w:t>
            </w:r>
          </w:p>
          <w:p w14:paraId="2DCC4503" w14:textId="77777777" w:rsidR="00B252FD" w:rsidRPr="00F5622A" w:rsidRDefault="00B252FD">
            <w:pPr>
              <w:spacing w:after="0" w:line="240" w:lineRule="auto"/>
              <w:jc w:val="both"/>
              <w:rPr>
                <w:rFonts w:asciiTheme="majorHAnsi" w:hAnsiTheme="majorHAnsi"/>
                <w:b w:val="0"/>
              </w:rPr>
            </w:pPr>
          </w:p>
          <w:p w14:paraId="38EE89BD" w14:textId="1ABF33A9" w:rsidR="00381B03" w:rsidRPr="00F5622A" w:rsidRDefault="00B252FD">
            <w:pPr>
              <w:spacing w:after="0" w:line="240" w:lineRule="auto"/>
              <w:jc w:val="both"/>
              <w:rPr>
                <w:rFonts w:asciiTheme="majorHAnsi" w:hAnsiTheme="majorHAnsi"/>
                <w:b w:val="0"/>
              </w:rPr>
            </w:pPr>
            <w:r w:rsidRPr="00F5622A">
              <w:rPr>
                <w:rFonts w:asciiTheme="majorHAnsi" w:hAnsiTheme="majorHAnsi"/>
                <w:b w:val="0"/>
              </w:rPr>
              <w:t>Tras dicha diligencia, en la cual los procesados no se pusieron de acuerdo sobre los aspectos controvertidos, el 12 de mayo</w:t>
            </w:r>
            <w:r w:rsidR="00450E89" w:rsidRPr="00F5622A">
              <w:rPr>
                <w:rFonts w:asciiTheme="majorHAnsi" w:hAnsiTheme="majorHAnsi"/>
                <w:b w:val="0"/>
              </w:rPr>
              <w:t>,</w:t>
            </w:r>
            <w:r w:rsidRPr="00F5622A">
              <w:rPr>
                <w:rFonts w:asciiTheme="majorHAnsi" w:hAnsiTheme="majorHAnsi"/>
                <w:b w:val="0"/>
              </w:rPr>
              <w:t xml:space="preserve"> el Juzgado Primero de Primera Instancia del Departamento de Escuintia abrió juicio penal en </w:t>
            </w:r>
            <w:r w:rsidR="0006138D">
              <w:rPr>
                <w:rFonts w:asciiTheme="majorHAnsi" w:hAnsiTheme="majorHAnsi"/>
                <w:b w:val="0"/>
              </w:rPr>
              <w:t>su contra</w:t>
            </w:r>
            <w:r w:rsidRPr="00F5622A">
              <w:rPr>
                <w:rFonts w:asciiTheme="majorHAnsi" w:hAnsiTheme="majorHAnsi"/>
                <w:b w:val="0"/>
              </w:rPr>
              <w:t xml:space="preserve"> por el delito de violación calificada. </w:t>
            </w:r>
            <w:r w:rsidR="00450E89" w:rsidRPr="00F5622A">
              <w:rPr>
                <w:rFonts w:asciiTheme="majorHAnsi" w:hAnsiTheme="majorHAnsi"/>
                <w:b w:val="0"/>
              </w:rPr>
              <w:t>El</w:t>
            </w:r>
            <w:r w:rsidR="00381B03" w:rsidRPr="00F5622A">
              <w:rPr>
                <w:rFonts w:asciiTheme="majorHAnsi" w:hAnsiTheme="majorHAnsi"/>
                <w:b w:val="0"/>
              </w:rPr>
              <w:t xml:space="preserve"> 18 de junio</w:t>
            </w:r>
            <w:r w:rsidR="0006138D">
              <w:rPr>
                <w:rFonts w:asciiTheme="majorHAnsi" w:hAnsiTheme="majorHAnsi"/>
                <w:b w:val="0"/>
              </w:rPr>
              <w:t>,</w:t>
            </w:r>
            <w:r w:rsidR="00381B03" w:rsidRPr="00F5622A">
              <w:rPr>
                <w:rFonts w:asciiTheme="majorHAnsi" w:hAnsiTheme="majorHAnsi"/>
                <w:b w:val="0"/>
              </w:rPr>
              <w:t xml:space="preserve"> se tenía previsto recibir las declaraciones de tres testigos en el marco de la apertura a prueba del proceso</w:t>
            </w:r>
            <w:r w:rsidR="00450E89" w:rsidRPr="00F5622A">
              <w:rPr>
                <w:rFonts w:asciiTheme="majorHAnsi" w:hAnsiTheme="majorHAnsi"/>
                <w:b w:val="0"/>
              </w:rPr>
              <w:t>; sin embargo,</w:t>
            </w:r>
            <w:r w:rsidR="00381B03" w:rsidRPr="00F5622A">
              <w:rPr>
                <w:rFonts w:asciiTheme="majorHAnsi" w:hAnsiTheme="majorHAnsi"/>
                <w:b w:val="0"/>
              </w:rPr>
              <w:t xml:space="preserve"> la diligencia no pudo llevarse a cabo </w:t>
            </w:r>
            <w:r w:rsidR="00450E89" w:rsidRPr="00F5622A">
              <w:rPr>
                <w:rFonts w:asciiTheme="majorHAnsi" w:hAnsiTheme="majorHAnsi"/>
                <w:b w:val="0"/>
              </w:rPr>
              <w:t xml:space="preserve">debido a </w:t>
            </w:r>
            <w:r w:rsidR="00381B03" w:rsidRPr="00F5622A">
              <w:rPr>
                <w:rFonts w:asciiTheme="majorHAnsi" w:hAnsiTheme="majorHAnsi"/>
                <w:b w:val="0"/>
              </w:rPr>
              <w:t>que el abogado defensor del señor Girón no consignó su firma en la plica que presentó al juez, lo cual era un requisito formal del acto.</w:t>
            </w:r>
          </w:p>
          <w:p w14:paraId="3226F446" w14:textId="77777777" w:rsidR="00381B03" w:rsidRPr="00F5622A" w:rsidRDefault="00381B03">
            <w:pPr>
              <w:spacing w:after="0" w:line="240" w:lineRule="auto"/>
              <w:jc w:val="both"/>
              <w:rPr>
                <w:rFonts w:asciiTheme="majorHAnsi" w:hAnsiTheme="majorHAnsi"/>
                <w:b w:val="0"/>
              </w:rPr>
            </w:pPr>
          </w:p>
          <w:p w14:paraId="008B340C" w14:textId="5B21A0B2" w:rsidR="00FC3DE4" w:rsidRPr="00F5622A" w:rsidRDefault="00C62221">
            <w:pPr>
              <w:spacing w:after="0" w:line="240" w:lineRule="auto"/>
              <w:jc w:val="both"/>
              <w:rPr>
                <w:rFonts w:asciiTheme="majorHAnsi" w:hAnsiTheme="majorHAnsi"/>
                <w:b w:val="0"/>
              </w:rPr>
            </w:pPr>
            <w:r w:rsidRPr="00F5622A">
              <w:rPr>
                <w:rFonts w:asciiTheme="majorHAnsi" w:hAnsiTheme="majorHAnsi"/>
                <w:b w:val="0"/>
              </w:rPr>
              <w:t>E</w:t>
            </w:r>
            <w:r w:rsidR="0006138D">
              <w:rPr>
                <w:rFonts w:asciiTheme="majorHAnsi" w:hAnsiTheme="majorHAnsi"/>
                <w:b w:val="0"/>
              </w:rPr>
              <w:t xml:space="preserve">l </w:t>
            </w:r>
            <w:r w:rsidR="00381B03" w:rsidRPr="00F5622A">
              <w:rPr>
                <w:rFonts w:asciiTheme="majorHAnsi" w:hAnsiTheme="majorHAnsi"/>
                <w:b w:val="0"/>
              </w:rPr>
              <w:t>4 de octubre de ese mismo año</w:t>
            </w:r>
            <w:r w:rsidR="0006138D">
              <w:rPr>
                <w:rFonts w:asciiTheme="majorHAnsi" w:hAnsiTheme="majorHAnsi"/>
                <w:b w:val="0"/>
              </w:rPr>
              <w:t>,</w:t>
            </w:r>
            <w:r w:rsidR="00381B03" w:rsidRPr="00F5622A">
              <w:rPr>
                <w:rFonts w:asciiTheme="majorHAnsi" w:hAnsiTheme="majorHAnsi"/>
                <w:b w:val="0"/>
              </w:rPr>
              <w:t xml:space="preserve"> se dictó la sentencia condenatoria por el delito de violación calificada en contra de ambos imputados y se ordenó la imposición de la pena de muerte.</w:t>
            </w:r>
            <w:r w:rsidR="00AE1DB0" w:rsidRPr="00F5622A">
              <w:rPr>
                <w:rFonts w:asciiTheme="majorHAnsi" w:hAnsiTheme="majorHAnsi"/>
                <w:b w:val="0"/>
              </w:rPr>
              <w:t xml:space="preserve"> </w:t>
            </w:r>
            <w:r w:rsidR="0007543C" w:rsidRPr="00F5622A">
              <w:rPr>
                <w:rFonts w:asciiTheme="majorHAnsi" w:hAnsiTheme="majorHAnsi"/>
                <w:b w:val="0"/>
              </w:rPr>
              <w:t>Ante ello, se presentaron los siguientes recursos: i)</w:t>
            </w:r>
            <w:r w:rsidR="00933E3C" w:rsidRPr="00F5622A">
              <w:rPr>
                <w:rFonts w:asciiTheme="majorHAnsi" w:hAnsiTheme="majorHAnsi"/>
                <w:b w:val="0"/>
              </w:rPr>
              <w:t xml:space="preserve"> recurso</w:t>
            </w:r>
            <w:r w:rsidR="0007543C" w:rsidRPr="00F5622A">
              <w:rPr>
                <w:rFonts w:asciiTheme="majorHAnsi" w:hAnsiTheme="majorHAnsi"/>
                <w:b w:val="0"/>
              </w:rPr>
              <w:t>s</w:t>
            </w:r>
            <w:r w:rsidR="00933E3C" w:rsidRPr="00F5622A">
              <w:rPr>
                <w:rFonts w:asciiTheme="majorHAnsi" w:hAnsiTheme="majorHAnsi"/>
                <w:b w:val="0"/>
              </w:rPr>
              <w:t xml:space="preserve"> de apelación, </w:t>
            </w:r>
            <w:r w:rsidR="0007543C" w:rsidRPr="00F5622A">
              <w:rPr>
                <w:rFonts w:asciiTheme="majorHAnsi" w:hAnsiTheme="majorHAnsi"/>
                <w:b w:val="0"/>
              </w:rPr>
              <w:t>que fuer</w:t>
            </w:r>
            <w:r w:rsidR="00933E3C" w:rsidRPr="00F5622A">
              <w:rPr>
                <w:rFonts w:asciiTheme="majorHAnsi" w:hAnsiTheme="majorHAnsi"/>
                <w:b w:val="0"/>
              </w:rPr>
              <w:t>o</w:t>
            </w:r>
            <w:r w:rsidR="0007543C" w:rsidRPr="00F5622A">
              <w:rPr>
                <w:rFonts w:asciiTheme="majorHAnsi" w:hAnsiTheme="majorHAnsi"/>
                <w:b w:val="0"/>
              </w:rPr>
              <w:t>n</w:t>
            </w:r>
            <w:r w:rsidR="00933E3C" w:rsidRPr="00F5622A">
              <w:rPr>
                <w:rFonts w:asciiTheme="majorHAnsi" w:hAnsiTheme="majorHAnsi"/>
                <w:b w:val="0"/>
              </w:rPr>
              <w:t xml:space="preserve"> denegados por la Sala Duodécima de la Corte de Apelacion</w:t>
            </w:r>
            <w:r w:rsidR="0007543C" w:rsidRPr="00F5622A">
              <w:rPr>
                <w:rFonts w:asciiTheme="majorHAnsi" w:hAnsiTheme="majorHAnsi"/>
                <w:b w:val="0"/>
              </w:rPr>
              <w:t>es en diciembre de 1993; ii)</w:t>
            </w:r>
            <w:r w:rsidR="00933E3C" w:rsidRPr="00F5622A">
              <w:rPr>
                <w:rFonts w:asciiTheme="majorHAnsi" w:hAnsiTheme="majorHAnsi"/>
                <w:b w:val="0"/>
              </w:rPr>
              <w:t xml:space="preserve"> recursos de casación por motivos de fondo en contra l</w:t>
            </w:r>
            <w:r w:rsidR="001E7AE3" w:rsidRPr="00F5622A">
              <w:rPr>
                <w:rFonts w:asciiTheme="majorHAnsi" w:hAnsiTheme="majorHAnsi"/>
                <w:b w:val="0"/>
              </w:rPr>
              <w:t>a decisión de segunda instancia, los cuales fueron denegados en septiembre de 1994</w:t>
            </w:r>
            <w:r w:rsidR="00D866E3" w:rsidRPr="00F5622A">
              <w:rPr>
                <w:rFonts w:asciiTheme="majorHAnsi" w:hAnsiTheme="majorHAnsi"/>
                <w:b w:val="0"/>
              </w:rPr>
              <w:t>; iii) un recurso de amparo</w:t>
            </w:r>
            <w:r w:rsidR="00933E3C" w:rsidRPr="00F5622A">
              <w:rPr>
                <w:rFonts w:asciiTheme="majorHAnsi" w:hAnsiTheme="majorHAnsi"/>
                <w:b w:val="0"/>
              </w:rPr>
              <w:t xml:space="preserve"> </w:t>
            </w:r>
            <w:r w:rsidR="00FC3DE4" w:rsidRPr="00F5622A">
              <w:rPr>
                <w:rFonts w:asciiTheme="majorHAnsi" w:hAnsiTheme="majorHAnsi"/>
                <w:b w:val="0"/>
              </w:rPr>
              <w:t>ante la Corte de Constitucionalidad en junio de 1995 contra la decisión de la Corte Suprema, pero este fue declarado sin luga</w:t>
            </w:r>
            <w:r w:rsidR="009A2C63" w:rsidRPr="00F5622A">
              <w:rPr>
                <w:rFonts w:asciiTheme="majorHAnsi" w:hAnsiTheme="majorHAnsi"/>
                <w:b w:val="0"/>
              </w:rPr>
              <w:t>r en noviembre de ese mismo año; iv) un recurso de gracia</w:t>
            </w:r>
            <w:r w:rsidR="00FD66CD" w:rsidRPr="00F5622A">
              <w:rPr>
                <w:rFonts w:asciiTheme="majorHAnsi" w:hAnsiTheme="majorHAnsi"/>
                <w:b w:val="0"/>
              </w:rPr>
              <w:t xml:space="preserve"> </w:t>
            </w:r>
            <w:r w:rsidR="00FC3DE4" w:rsidRPr="00F5622A">
              <w:rPr>
                <w:rFonts w:asciiTheme="majorHAnsi" w:hAnsiTheme="majorHAnsi"/>
                <w:b w:val="0"/>
              </w:rPr>
              <w:t>ante el Presidente de la República solicitando la conmutación de la</w:t>
            </w:r>
            <w:r w:rsidR="00341FFE" w:rsidRPr="00F5622A">
              <w:rPr>
                <w:rFonts w:asciiTheme="majorHAnsi" w:hAnsiTheme="majorHAnsi"/>
                <w:b w:val="0"/>
              </w:rPr>
              <w:t xml:space="preserve"> pena</w:t>
            </w:r>
            <w:r w:rsidR="009A2C63" w:rsidRPr="00F5622A">
              <w:rPr>
                <w:rFonts w:asciiTheme="majorHAnsi" w:hAnsiTheme="majorHAnsi"/>
                <w:b w:val="0"/>
              </w:rPr>
              <w:t xml:space="preserve"> en julio de 1996</w:t>
            </w:r>
            <w:r w:rsidR="00341FFE" w:rsidRPr="00F5622A">
              <w:rPr>
                <w:rFonts w:asciiTheme="majorHAnsi" w:hAnsiTheme="majorHAnsi"/>
                <w:b w:val="0"/>
              </w:rPr>
              <w:t>, pero</w:t>
            </w:r>
            <w:r w:rsidR="001E7AE3" w:rsidRPr="00F5622A">
              <w:rPr>
                <w:rFonts w:asciiTheme="majorHAnsi" w:hAnsiTheme="majorHAnsi"/>
                <w:b w:val="0"/>
              </w:rPr>
              <w:t xml:space="preserve"> también les fue negado</w:t>
            </w:r>
            <w:r w:rsidR="00B84E05" w:rsidRPr="00F5622A">
              <w:rPr>
                <w:rFonts w:asciiTheme="majorHAnsi" w:hAnsiTheme="majorHAnsi"/>
                <w:b w:val="0"/>
              </w:rPr>
              <w:t xml:space="preserve">; </w:t>
            </w:r>
            <w:r w:rsidR="0006138D">
              <w:rPr>
                <w:rFonts w:asciiTheme="majorHAnsi" w:hAnsiTheme="majorHAnsi"/>
                <w:b w:val="0"/>
              </w:rPr>
              <w:t xml:space="preserve">y </w:t>
            </w:r>
            <w:r w:rsidR="00B84E05" w:rsidRPr="00F5622A">
              <w:rPr>
                <w:rFonts w:asciiTheme="majorHAnsi" w:hAnsiTheme="majorHAnsi"/>
                <w:b w:val="0"/>
              </w:rPr>
              <w:t>v) un recurso de amparo contra la denegatoria del recurso de gracia, el cual fue rechazado</w:t>
            </w:r>
            <w:r w:rsidR="00341FFE" w:rsidRPr="00F5622A">
              <w:rPr>
                <w:rFonts w:asciiTheme="majorHAnsi" w:hAnsiTheme="majorHAnsi"/>
                <w:b w:val="0"/>
              </w:rPr>
              <w:t xml:space="preserve"> en agosto </w:t>
            </w:r>
            <w:r w:rsidR="00B84E05" w:rsidRPr="00F5622A">
              <w:rPr>
                <w:rFonts w:asciiTheme="majorHAnsi" w:hAnsiTheme="majorHAnsi"/>
                <w:b w:val="0"/>
              </w:rPr>
              <w:t xml:space="preserve">de 1996 por </w:t>
            </w:r>
            <w:r w:rsidR="00341FFE" w:rsidRPr="00F5622A">
              <w:rPr>
                <w:rFonts w:asciiTheme="majorHAnsi" w:hAnsiTheme="majorHAnsi"/>
                <w:b w:val="0"/>
              </w:rPr>
              <w:t>la Corte</w:t>
            </w:r>
            <w:r w:rsidR="00B84E05" w:rsidRPr="00F5622A">
              <w:rPr>
                <w:rFonts w:asciiTheme="majorHAnsi" w:hAnsiTheme="majorHAnsi"/>
                <w:b w:val="0"/>
              </w:rPr>
              <w:t xml:space="preserve"> de Constitucionalidad</w:t>
            </w:r>
            <w:r w:rsidR="00341FFE" w:rsidRPr="00F5622A">
              <w:rPr>
                <w:rFonts w:asciiTheme="majorHAnsi" w:hAnsiTheme="majorHAnsi"/>
                <w:b w:val="0"/>
              </w:rPr>
              <w:t>.</w:t>
            </w:r>
          </w:p>
          <w:p w14:paraId="77586375" w14:textId="77777777" w:rsidR="00341FFE" w:rsidRPr="00F5622A" w:rsidRDefault="00341FFE">
            <w:pPr>
              <w:spacing w:after="0" w:line="240" w:lineRule="auto"/>
              <w:jc w:val="both"/>
              <w:rPr>
                <w:rFonts w:asciiTheme="majorHAnsi" w:hAnsiTheme="majorHAnsi"/>
                <w:b w:val="0"/>
              </w:rPr>
            </w:pPr>
          </w:p>
          <w:p w14:paraId="14EC7B11" w14:textId="62CD74CC" w:rsidR="00485EA4" w:rsidRPr="00F5622A" w:rsidRDefault="00341FFE">
            <w:pPr>
              <w:spacing w:after="0" w:line="240" w:lineRule="auto"/>
              <w:jc w:val="both"/>
              <w:rPr>
                <w:rFonts w:asciiTheme="majorHAnsi" w:hAnsiTheme="majorHAnsi"/>
                <w:b w:val="0"/>
              </w:rPr>
            </w:pPr>
            <w:r w:rsidRPr="00F5622A">
              <w:rPr>
                <w:rFonts w:asciiTheme="majorHAnsi" w:hAnsiTheme="majorHAnsi"/>
                <w:b w:val="0"/>
              </w:rPr>
              <w:t xml:space="preserve">A pesar de los recursos interpuestos para suspender la ejecución, la cual fue aplazada inicialmente, el juez de ejecución penal finalmente ordenó que la pena de muerte fuera ejecutada el 13 de septiembre de 1996 </w:t>
            </w:r>
            <w:r w:rsidR="005411A1" w:rsidRPr="00F5622A">
              <w:rPr>
                <w:rFonts w:asciiTheme="majorHAnsi" w:hAnsiTheme="majorHAnsi"/>
                <w:b w:val="0"/>
              </w:rPr>
              <w:t>por un pelotón de fusilamiento</w:t>
            </w:r>
            <w:r w:rsidR="005A34E8" w:rsidRPr="00F5622A">
              <w:rPr>
                <w:rFonts w:asciiTheme="majorHAnsi" w:hAnsiTheme="majorHAnsi"/>
                <w:b w:val="0"/>
              </w:rPr>
              <w:t xml:space="preserve">, </w:t>
            </w:r>
            <w:r w:rsidR="005411A1" w:rsidRPr="00F5622A">
              <w:rPr>
                <w:rFonts w:asciiTheme="majorHAnsi" w:hAnsiTheme="majorHAnsi"/>
                <w:b w:val="0"/>
              </w:rPr>
              <w:t>compuesto por 20 guardias del penal Granja Canadá</w:t>
            </w:r>
            <w:r w:rsidR="005A34E8" w:rsidRPr="00F5622A">
              <w:rPr>
                <w:rFonts w:asciiTheme="majorHAnsi" w:hAnsiTheme="majorHAnsi"/>
                <w:b w:val="0"/>
              </w:rPr>
              <w:t>.</w:t>
            </w:r>
            <w:r w:rsidR="005411A1" w:rsidRPr="00F5622A">
              <w:rPr>
                <w:rFonts w:asciiTheme="majorHAnsi" w:hAnsiTheme="majorHAnsi"/>
                <w:b w:val="0"/>
              </w:rPr>
              <w:t xml:space="preserve"> </w:t>
            </w:r>
            <w:r w:rsidR="005A34E8" w:rsidRPr="00F5622A">
              <w:rPr>
                <w:rFonts w:asciiTheme="majorHAnsi" w:hAnsiTheme="majorHAnsi"/>
                <w:b w:val="0"/>
              </w:rPr>
              <w:t>L</w:t>
            </w:r>
            <w:r w:rsidR="005411A1" w:rsidRPr="00F5622A">
              <w:rPr>
                <w:rFonts w:asciiTheme="majorHAnsi" w:hAnsiTheme="majorHAnsi"/>
                <w:b w:val="0"/>
              </w:rPr>
              <w:t xml:space="preserve">a ejecución fue televisada a nivel nacional. Dado que el señor Castillo no falleció durante la descarga de balas del pelotón de fusilamiento, </w:t>
            </w:r>
            <w:r w:rsidR="00D858F1" w:rsidRPr="00F5622A">
              <w:rPr>
                <w:rFonts w:asciiTheme="majorHAnsi" w:hAnsiTheme="majorHAnsi"/>
                <w:b w:val="0"/>
              </w:rPr>
              <w:t>se le tuvo que dar un “tiro de gracia”.</w:t>
            </w:r>
            <w:r w:rsidR="005A34E8" w:rsidRPr="00F5622A">
              <w:rPr>
                <w:rFonts w:asciiTheme="majorHAnsi" w:hAnsiTheme="majorHAnsi"/>
                <w:b w:val="0"/>
              </w:rPr>
              <w:t xml:space="preserve"> Cabe señalar </w:t>
            </w:r>
            <w:r w:rsidR="00251012" w:rsidRPr="00F5622A">
              <w:rPr>
                <w:rFonts w:asciiTheme="majorHAnsi" w:hAnsiTheme="majorHAnsi"/>
                <w:b w:val="0"/>
              </w:rPr>
              <w:t>que,</w:t>
            </w:r>
            <w:r w:rsidR="005A34E8" w:rsidRPr="00F5622A">
              <w:rPr>
                <w:rFonts w:asciiTheme="majorHAnsi" w:hAnsiTheme="majorHAnsi"/>
                <w:b w:val="0"/>
              </w:rPr>
              <w:t xml:space="preserve"> e</w:t>
            </w:r>
            <w:r w:rsidR="00485EA4" w:rsidRPr="00F5622A">
              <w:rPr>
                <w:rFonts w:asciiTheme="majorHAnsi" w:hAnsiTheme="majorHAnsi"/>
                <w:b w:val="0"/>
              </w:rPr>
              <w:t xml:space="preserve">n la actualidad, la pena de muerte aún se encuentra prevista en el sistema jurídico de Guatemala, pero no ha sido aplicada desde la emisión de las sentencias de los casos </w:t>
            </w:r>
            <w:r w:rsidR="00485EA4" w:rsidRPr="0006138D">
              <w:rPr>
                <w:rFonts w:asciiTheme="majorHAnsi" w:hAnsiTheme="majorHAnsi"/>
                <w:b w:val="0"/>
                <w:i/>
              </w:rPr>
              <w:t>Fermín Ramírez y Raxcacó Reyes vs. Guatemala</w:t>
            </w:r>
            <w:r w:rsidR="00485EA4" w:rsidRPr="00F5622A">
              <w:rPr>
                <w:rFonts w:asciiTheme="majorHAnsi" w:hAnsiTheme="majorHAnsi"/>
                <w:b w:val="0"/>
              </w:rPr>
              <w:t xml:space="preserve"> </w:t>
            </w:r>
            <w:r w:rsidR="005A34E8" w:rsidRPr="00F5622A">
              <w:rPr>
                <w:rFonts w:asciiTheme="majorHAnsi" w:hAnsiTheme="majorHAnsi"/>
                <w:b w:val="0"/>
              </w:rPr>
              <w:t xml:space="preserve">de </w:t>
            </w:r>
            <w:r w:rsidR="00485EA4" w:rsidRPr="00F5622A">
              <w:rPr>
                <w:rFonts w:asciiTheme="majorHAnsi" w:hAnsiTheme="majorHAnsi"/>
                <w:b w:val="0"/>
              </w:rPr>
              <w:t xml:space="preserve">la Corte IDH, que precisamente abordaron la imposición de la pena de muerte y su regulación en Guatemala. Aunque ya no existe un recurso de gracia en su legislación, la Corte Suprema </w:t>
            </w:r>
            <w:r w:rsidR="00485EA4" w:rsidRPr="00F5622A">
              <w:rPr>
                <w:rFonts w:asciiTheme="majorHAnsi" w:hAnsiTheme="majorHAnsi"/>
                <w:b w:val="0"/>
              </w:rPr>
              <w:lastRenderedPageBreak/>
              <w:t>de Justicia ha conmutado las penas de muerte impuestas por la máxima de prisión a quienes lo han solicitado.</w:t>
            </w:r>
          </w:p>
          <w:p w14:paraId="4F39E80F" w14:textId="77777777" w:rsidR="00D858F1" w:rsidRPr="00F5622A" w:rsidRDefault="00D858F1">
            <w:pPr>
              <w:spacing w:after="0" w:line="240" w:lineRule="auto"/>
              <w:jc w:val="both"/>
              <w:rPr>
                <w:rFonts w:asciiTheme="majorHAnsi" w:hAnsiTheme="majorHAnsi"/>
                <w:b w:val="0"/>
              </w:rPr>
            </w:pPr>
          </w:p>
          <w:p w14:paraId="7B8859B8" w14:textId="5DD6BBCA" w:rsidR="00DC336A" w:rsidRPr="00F5622A" w:rsidRDefault="0006138D" w:rsidP="00FE70DA">
            <w:pPr>
              <w:spacing w:after="0" w:line="240" w:lineRule="auto"/>
              <w:jc w:val="both"/>
              <w:rPr>
                <w:rFonts w:asciiTheme="majorHAnsi" w:hAnsiTheme="majorHAnsi"/>
                <w:b w:val="0"/>
              </w:rPr>
            </w:pPr>
            <w:r>
              <w:rPr>
                <w:rFonts w:asciiTheme="majorHAnsi" w:hAnsiTheme="majorHAnsi"/>
                <w:b w:val="0"/>
              </w:rPr>
              <w:t xml:space="preserve">Frente a tales hechos, </w:t>
            </w:r>
            <w:r w:rsidR="00D858F1" w:rsidRPr="00F5622A">
              <w:rPr>
                <w:rFonts w:asciiTheme="majorHAnsi" w:hAnsiTheme="majorHAnsi"/>
                <w:b w:val="0"/>
              </w:rPr>
              <w:t>Magnus F. Hirschfeld Centre for Human Rights, el Instituto de Estudios Comparados en Ciencias Penales de Guatemala y el Centro para la Acción Legal en Derechos Humanos presentaron una petición ante la CIDH, denunciando que el Estado de Guatemala había vulnerado los derechos a la vida</w:t>
            </w:r>
            <w:r>
              <w:rPr>
                <w:rFonts w:asciiTheme="majorHAnsi" w:hAnsiTheme="majorHAnsi"/>
                <w:b w:val="0"/>
              </w:rPr>
              <w:t xml:space="preserve"> (artículo 4)</w:t>
            </w:r>
            <w:r w:rsidR="00D858F1" w:rsidRPr="00F5622A">
              <w:rPr>
                <w:rFonts w:asciiTheme="majorHAnsi" w:hAnsiTheme="majorHAnsi"/>
                <w:b w:val="0"/>
              </w:rPr>
              <w:t>, integridad personal</w:t>
            </w:r>
            <w:r>
              <w:rPr>
                <w:rFonts w:asciiTheme="majorHAnsi" w:hAnsiTheme="majorHAnsi"/>
                <w:b w:val="0"/>
              </w:rPr>
              <w:t xml:space="preserve"> (artículo 5)</w:t>
            </w:r>
            <w:r w:rsidR="00D858F1" w:rsidRPr="00F5622A">
              <w:rPr>
                <w:rFonts w:asciiTheme="majorHAnsi" w:hAnsiTheme="majorHAnsi"/>
                <w:b w:val="0"/>
              </w:rPr>
              <w:t>, libertad personal</w:t>
            </w:r>
            <w:r>
              <w:rPr>
                <w:rFonts w:asciiTheme="majorHAnsi" w:hAnsiTheme="majorHAnsi"/>
                <w:b w:val="0"/>
              </w:rPr>
              <w:t xml:space="preserve"> (artículo 7)</w:t>
            </w:r>
            <w:r w:rsidR="00D858F1" w:rsidRPr="00F5622A">
              <w:rPr>
                <w:rFonts w:asciiTheme="majorHAnsi" w:hAnsiTheme="majorHAnsi"/>
                <w:b w:val="0"/>
              </w:rPr>
              <w:t>, garantías judiciales</w:t>
            </w:r>
            <w:r>
              <w:rPr>
                <w:rFonts w:asciiTheme="majorHAnsi" w:hAnsiTheme="majorHAnsi"/>
                <w:b w:val="0"/>
              </w:rPr>
              <w:t xml:space="preserve"> (artículo 8)</w:t>
            </w:r>
            <w:r w:rsidR="00D858F1" w:rsidRPr="00F5622A">
              <w:rPr>
                <w:rFonts w:asciiTheme="majorHAnsi" w:hAnsiTheme="majorHAnsi"/>
                <w:b w:val="0"/>
              </w:rPr>
              <w:t xml:space="preserve"> y a la protección judicial </w:t>
            </w:r>
            <w:r>
              <w:rPr>
                <w:rFonts w:asciiTheme="majorHAnsi" w:hAnsiTheme="majorHAnsi"/>
                <w:b w:val="0"/>
              </w:rPr>
              <w:t xml:space="preserve">(artículo 25), </w:t>
            </w:r>
            <w:r w:rsidR="00D858F1" w:rsidRPr="00F5622A">
              <w:rPr>
                <w:rFonts w:asciiTheme="majorHAnsi" w:hAnsiTheme="majorHAnsi"/>
                <w:b w:val="0"/>
              </w:rPr>
              <w:t>reconocidos en la Convención Americana sobre Derechos Humanos (</w:t>
            </w:r>
            <w:r w:rsidR="00FE70DA" w:rsidRPr="00F5622A">
              <w:rPr>
                <w:rFonts w:asciiTheme="majorHAnsi" w:hAnsiTheme="majorHAnsi"/>
                <w:b w:val="0"/>
              </w:rPr>
              <w:t xml:space="preserve">en adelante, </w:t>
            </w:r>
            <w:r w:rsidR="00D858F1" w:rsidRPr="00F5622A">
              <w:rPr>
                <w:rFonts w:asciiTheme="majorHAnsi" w:hAnsiTheme="majorHAnsi"/>
                <w:b w:val="0"/>
              </w:rPr>
              <w:t>CADH) en perjuicio de Roberto Girón y Pedro Castillo.</w:t>
            </w:r>
            <w:r w:rsidR="00E12AF1" w:rsidRPr="00F5622A">
              <w:rPr>
                <w:rFonts w:asciiTheme="majorHAnsi" w:hAnsiTheme="majorHAnsi"/>
                <w:b w:val="0"/>
              </w:rPr>
              <w:t xml:space="preserve"> </w:t>
            </w:r>
            <w:r w:rsidR="00FE70DA" w:rsidRPr="00F5622A">
              <w:rPr>
                <w:rFonts w:asciiTheme="majorHAnsi" w:hAnsiTheme="majorHAnsi"/>
                <w:b w:val="0"/>
              </w:rPr>
              <w:t xml:space="preserve">La CIDH declaró la admisibilidad de la petición respecto a los derechos establecidos en los artículos 4, 5, 7, 8 y 25 de la CADH, en relación con los artículos 1.1 y 2. Asimismo, precisó que en su análisis incluiría las disposiciones pertinentes de la Convención Interamericana para Prevenir y Sancionar la Tortura (en adelante, </w:t>
            </w:r>
            <w:r w:rsidR="00FE70DA" w:rsidRPr="00F5622A">
              <w:rPr>
                <w:rFonts w:asciiTheme="majorHAnsi" w:hAnsiTheme="majorHAnsi"/>
                <w:b w:val="0"/>
                <w:lang w:val="es-PE"/>
              </w:rPr>
              <w:t>CIPST).</w:t>
            </w:r>
          </w:p>
          <w:p w14:paraId="38E6D29E" w14:textId="77777777" w:rsidR="00FE70DA" w:rsidRPr="00F5622A" w:rsidRDefault="00FE70DA" w:rsidP="00FE70DA">
            <w:pPr>
              <w:spacing w:after="0" w:line="240" w:lineRule="auto"/>
              <w:jc w:val="both"/>
              <w:rPr>
                <w:rFonts w:asciiTheme="majorHAnsi" w:hAnsiTheme="majorHAnsi"/>
                <w:b w:val="0"/>
              </w:rPr>
            </w:pPr>
          </w:p>
        </w:tc>
      </w:tr>
      <w:tr w:rsidR="00DC336A" w:rsidRPr="00F5622A" w14:paraId="68E1F3BB" w14:textId="77777777" w:rsidTr="00A14AE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vAlign w:val="center"/>
          </w:tcPr>
          <w:p w14:paraId="26BE2D70" w14:textId="77777777" w:rsidR="00DC336A" w:rsidRPr="00F5622A" w:rsidRDefault="007A3DC6" w:rsidP="00A14AE3">
            <w:pPr>
              <w:pStyle w:val="ListParagraph"/>
              <w:numPr>
                <w:ilvl w:val="0"/>
                <w:numId w:val="1"/>
              </w:numPr>
              <w:spacing w:after="0" w:line="240" w:lineRule="auto"/>
              <w:jc w:val="center"/>
              <w:rPr>
                <w:rFonts w:asciiTheme="majorHAnsi" w:hAnsiTheme="majorHAnsi"/>
              </w:rPr>
            </w:pPr>
            <w:r w:rsidRPr="00F5622A">
              <w:rPr>
                <w:rFonts w:asciiTheme="majorHAnsi" w:hAnsiTheme="majorHAnsi"/>
              </w:rPr>
              <w:lastRenderedPageBreak/>
              <w:t>Análisis jurídico</w:t>
            </w:r>
          </w:p>
        </w:tc>
      </w:tr>
      <w:tr w:rsidR="00DC336A" w:rsidRPr="00F5622A" w14:paraId="641E8F65" w14:textId="77777777" w:rsidTr="0008522C">
        <w:trPr>
          <w:trHeight w:val="1147"/>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tcPr>
          <w:p w14:paraId="3F50492A" w14:textId="1AB33345" w:rsidR="00616B92" w:rsidRPr="00F5622A" w:rsidRDefault="00616B92" w:rsidP="00DC336A">
            <w:pPr>
              <w:spacing w:after="0" w:line="240" w:lineRule="auto"/>
              <w:jc w:val="both"/>
              <w:rPr>
                <w:rFonts w:asciiTheme="majorHAnsi" w:hAnsiTheme="majorHAnsi"/>
                <w:b w:val="0"/>
              </w:rPr>
            </w:pPr>
          </w:p>
          <w:p w14:paraId="0613B03F" w14:textId="60242459" w:rsidR="00616B92" w:rsidRPr="00F5622A" w:rsidRDefault="00BB47E3" w:rsidP="009F0296">
            <w:pPr>
              <w:spacing w:after="0" w:line="240" w:lineRule="auto"/>
              <w:jc w:val="both"/>
              <w:rPr>
                <w:rFonts w:asciiTheme="majorHAnsi" w:hAnsiTheme="majorHAnsi"/>
                <w:b w:val="0"/>
              </w:rPr>
            </w:pPr>
            <w:r w:rsidRPr="00F5622A">
              <w:rPr>
                <w:rFonts w:asciiTheme="majorHAnsi" w:hAnsiTheme="majorHAnsi"/>
                <w:b w:val="0"/>
              </w:rPr>
              <w:t xml:space="preserve">Dado que el derecho a la vida </w:t>
            </w:r>
            <w:r w:rsidR="009F0296" w:rsidRPr="00F5622A">
              <w:rPr>
                <w:rFonts w:asciiTheme="majorHAnsi" w:hAnsiTheme="majorHAnsi"/>
                <w:b w:val="0"/>
              </w:rPr>
              <w:t>es</w:t>
            </w:r>
            <w:r w:rsidR="00CD45A3" w:rsidRPr="00F5622A">
              <w:rPr>
                <w:rFonts w:asciiTheme="majorHAnsi" w:hAnsiTheme="majorHAnsi"/>
                <w:b w:val="0"/>
              </w:rPr>
              <w:t xml:space="preserve"> una condición sin la cual no se pueden realizar otros derechos</w:t>
            </w:r>
            <w:r w:rsidR="00F00EE0" w:rsidRPr="00F5622A">
              <w:rPr>
                <w:rFonts w:asciiTheme="majorHAnsi" w:hAnsiTheme="majorHAnsi"/>
                <w:b w:val="0"/>
              </w:rPr>
              <w:t xml:space="preserve">, </w:t>
            </w:r>
            <w:r w:rsidR="00CA63D1" w:rsidRPr="00F5622A">
              <w:rPr>
                <w:rFonts w:asciiTheme="majorHAnsi" w:hAnsiTheme="majorHAnsi"/>
                <w:b w:val="0"/>
              </w:rPr>
              <w:t xml:space="preserve">la CIDH tiene la obligación </w:t>
            </w:r>
            <w:r w:rsidR="00420171" w:rsidRPr="00F5622A">
              <w:rPr>
                <w:rFonts w:asciiTheme="majorHAnsi" w:hAnsiTheme="majorHAnsi"/>
                <w:b w:val="0"/>
              </w:rPr>
              <w:t xml:space="preserve">de velar porque toda privación </w:t>
            </w:r>
            <w:r w:rsidR="00845743" w:rsidRPr="00F5622A">
              <w:rPr>
                <w:rFonts w:asciiTheme="majorHAnsi" w:hAnsiTheme="majorHAnsi"/>
                <w:b w:val="0"/>
              </w:rPr>
              <w:t xml:space="preserve">a </w:t>
            </w:r>
            <w:r w:rsidR="00AE7352">
              <w:rPr>
                <w:rFonts w:asciiTheme="majorHAnsi" w:hAnsiTheme="majorHAnsi"/>
                <w:b w:val="0"/>
              </w:rPr>
              <w:t>este derecho</w:t>
            </w:r>
            <w:r w:rsidR="00845743" w:rsidRPr="00F5622A">
              <w:rPr>
                <w:rFonts w:asciiTheme="majorHAnsi" w:hAnsiTheme="majorHAnsi"/>
                <w:b w:val="0"/>
              </w:rPr>
              <w:t xml:space="preserve"> que pueda ocurrir por la aplicación de la pena de muerte</w:t>
            </w:r>
            <w:r w:rsidR="00C81ADF" w:rsidRPr="00F5622A">
              <w:rPr>
                <w:rFonts w:asciiTheme="majorHAnsi" w:hAnsiTheme="majorHAnsi"/>
                <w:b w:val="0"/>
              </w:rPr>
              <w:t>, por su carácter irrevocable,</w:t>
            </w:r>
            <w:r w:rsidR="00845743" w:rsidRPr="00F5622A">
              <w:rPr>
                <w:rFonts w:asciiTheme="majorHAnsi" w:hAnsiTheme="majorHAnsi"/>
                <w:b w:val="0"/>
              </w:rPr>
              <w:t xml:space="preserve"> no transgreda ninguna obligación consagrada en </w:t>
            </w:r>
            <w:r w:rsidR="00147EBC" w:rsidRPr="00F5622A">
              <w:rPr>
                <w:rFonts w:asciiTheme="majorHAnsi" w:hAnsiTheme="majorHAnsi"/>
                <w:b w:val="0"/>
              </w:rPr>
              <w:t>l</w:t>
            </w:r>
            <w:r w:rsidR="00BD2721" w:rsidRPr="00F5622A">
              <w:rPr>
                <w:rFonts w:asciiTheme="majorHAnsi" w:hAnsiTheme="majorHAnsi"/>
                <w:b w:val="0"/>
              </w:rPr>
              <w:t>os instrumentos aplicables del Sistema Interamericano de Derechos H</w:t>
            </w:r>
            <w:r w:rsidR="00147EBC" w:rsidRPr="00F5622A">
              <w:rPr>
                <w:rFonts w:asciiTheme="majorHAnsi" w:hAnsiTheme="majorHAnsi"/>
                <w:b w:val="0"/>
              </w:rPr>
              <w:t>umanos</w:t>
            </w:r>
            <w:r w:rsidR="00BD2721" w:rsidRPr="00F5622A">
              <w:rPr>
                <w:rFonts w:asciiTheme="majorHAnsi" w:hAnsiTheme="majorHAnsi"/>
                <w:b w:val="0"/>
              </w:rPr>
              <w:t xml:space="preserve"> (en adelante, SIDH)</w:t>
            </w:r>
            <w:r w:rsidR="00147EBC" w:rsidRPr="00F5622A">
              <w:rPr>
                <w:rFonts w:asciiTheme="majorHAnsi" w:hAnsiTheme="majorHAnsi"/>
                <w:b w:val="0"/>
              </w:rPr>
              <w:t>.</w:t>
            </w:r>
          </w:p>
          <w:p w14:paraId="305D71EF" w14:textId="77777777" w:rsidR="00D050D5" w:rsidRPr="00F5622A" w:rsidRDefault="00D050D5" w:rsidP="009F0296">
            <w:pPr>
              <w:spacing w:after="0" w:line="240" w:lineRule="auto"/>
              <w:jc w:val="both"/>
              <w:rPr>
                <w:rFonts w:asciiTheme="majorHAnsi" w:hAnsiTheme="majorHAnsi"/>
                <w:b w:val="0"/>
              </w:rPr>
            </w:pPr>
          </w:p>
          <w:p w14:paraId="3C5D0826" w14:textId="77777777" w:rsidR="00845743" w:rsidRPr="00F5622A" w:rsidRDefault="0064554B" w:rsidP="00A14AE3">
            <w:pPr>
              <w:spacing w:after="0" w:line="240" w:lineRule="auto"/>
              <w:jc w:val="both"/>
              <w:rPr>
                <w:rFonts w:asciiTheme="majorHAnsi" w:hAnsiTheme="majorHAnsi"/>
              </w:rPr>
            </w:pPr>
            <w:r w:rsidRPr="00F5622A">
              <w:rPr>
                <w:rFonts w:asciiTheme="majorHAnsi" w:hAnsiTheme="majorHAnsi"/>
              </w:rPr>
              <w:t>Derecho a las garantías judiciales y protección judicial en el marco del proceso penal (artículos 8 y 25 de la CADH)</w:t>
            </w:r>
          </w:p>
          <w:p w14:paraId="580E7A89" w14:textId="77777777" w:rsidR="00D66418" w:rsidRPr="00F5622A" w:rsidRDefault="00D66418" w:rsidP="00D66418">
            <w:pPr>
              <w:spacing w:after="0" w:line="240" w:lineRule="auto"/>
              <w:jc w:val="both"/>
              <w:rPr>
                <w:rFonts w:asciiTheme="majorHAnsi" w:hAnsiTheme="majorHAnsi"/>
              </w:rPr>
            </w:pPr>
          </w:p>
          <w:p w14:paraId="153A387B" w14:textId="09968826" w:rsidR="002D7429" w:rsidRPr="00F5622A" w:rsidRDefault="005054BD" w:rsidP="00D66418">
            <w:pPr>
              <w:spacing w:after="0" w:line="240" w:lineRule="auto"/>
              <w:jc w:val="both"/>
              <w:rPr>
                <w:rFonts w:asciiTheme="majorHAnsi" w:hAnsiTheme="majorHAnsi"/>
                <w:b w:val="0"/>
              </w:rPr>
            </w:pPr>
            <w:r w:rsidRPr="00F5622A">
              <w:rPr>
                <w:rFonts w:asciiTheme="majorHAnsi" w:hAnsiTheme="majorHAnsi"/>
                <w:b w:val="0"/>
              </w:rPr>
              <w:t>La CIDH resalt</w:t>
            </w:r>
            <w:r w:rsidR="00E12AF1" w:rsidRPr="00F5622A">
              <w:rPr>
                <w:rFonts w:asciiTheme="majorHAnsi" w:hAnsiTheme="majorHAnsi"/>
                <w:b w:val="0"/>
              </w:rPr>
              <w:t>ó</w:t>
            </w:r>
            <w:r w:rsidRPr="00F5622A">
              <w:rPr>
                <w:rFonts w:asciiTheme="majorHAnsi" w:hAnsiTheme="majorHAnsi"/>
                <w:b w:val="0"/>
              </w:rPr>
              <w:t xml:space="preserve"> la importancia del estricto cumplimiento del debido proceso en los casos en que se juzga a </w:t>
            </w:r>
            <w:r w:rsidR="008D4046">
              <w:rPr>
                <w:rFonts w:asciiTheme="majorHAnsi" w:hAnsiTheme="majorHAnsi"/>
                <w:b w:val="0"/>
              </w:rPr>
              <w:t xml:space="preserve">personas por delitos sujetos a </w:t>
            </w:r>
            <w:r w:rsidRPr="00F5622A">
              <w:rPr>
                <w:rFonts w:asciiTheme="majorHAnsi" w:hAnsiTheme="majorHAnsi"/>
                <w:b w:val="0"/>
              </w:rPr>
              <w:t>pe</w:t>
            </w:r>
            <w:r w:rsidR="00BD2721" w:rsidRPr="00F5622A">
              <w:rPr>
                <w:rFonts w:asciiTheme="majorHAnsi" w:hAnsiTheme="majorHAnsi"/>
                <w:b w:val="0"/>
              </w:rPr>
              <w:t xml:space="preserve">na de muerte. La observancia de su </w:t>
            </w:r>
            <w:r w:rsidRPr="00F5622A">
              <w:rPr>
                <w:rFonts w:asciiTheme="majorHAnsi" w:hAnsiTheme="majorHAnsi"/>
                <w:b w:val="0"/>
              </w:rPr>
              <w:t xml:space="preserve"> cumplimiento garantiza que, en estos casos, la privación de la vida se dé en consonancia con los requisitos establecidos en los instrumentos interamericanos </w:t>
            </w:r>
            <w:r w:rsidR="00DD0F50" w:rsidRPr="00F5622A">
              <w:rPr>
                <w:rFonts w:asciiTheme="majorHAnsi" w:hAnsiTheme="majorHAnsi"/>
                <w:b w:val="0"/>
              </w:rPr>
              <w:t>de derechos humanos. En específico</w:t>
            </w:r>
            <w:r w:rsidR="00D2188C" w:rsidRPr="00F5622A">
              <w:rPr>
                <w:rFonts w:asciiTheme="majorHAnsi" w:hAnsiTheme="majorHAnsi"/>
                <w:b w:val="0"/>
              </w:rPr>
              <w:t>,</w:t>
            </w:r>
            <w:r w:rsidR="00DD0F50" w:rsidRPr="00F5622A">
              <w:rPr>
                <w:rFonts w:asciiTheme="majorHAnsi" w:hAnsiTheme="majorHAnsi"/>
                <w:b w:val="0"/>
              </w:rPr>
              <w:t xml:space="preserve"> sobre el derecho a la defensa,</w:t>
            </w:r>
            <w:r w:rsidR="00336931" w:rsidRPr="00F5622A">
              <w:rPr>
                <w:rFonts w:asciiTheme="majorHAnsi" w:hAnsiTheme="majorHAnsi"/>
                <w:b w:val="0"/>
              </w:rPr>
              <w:t xml:space="preserve"> </w:t>
            </w:r>
            <w:r w:rsidR="00D2188C" w:rsidRPr="00F5622A">
              <w:rPr>
                <w:rFonts w:asciiTheme="majorHAnsi" w:hAnsiTheme="majorHAnsi"/>
                <w:b w:val="0"/>
              </w:rPr>
              <w:t xml:space="preserve">señaló que </w:t>
            </w:r>
            <w:r w:rsidR="00336931" w:rsidRPr="00F5622A">
              <w:rPr>
                <w:rFonts w:asciiTheme="majorHAnsi" w:hAnsiTheme="majorHAnsi"/>
                <w:b w:val="0"/>
              </w:rPr>
              <w:t>est</w:t>
            </w:r>
            <w:r w:rsidR="00D2188C" w:rsidRPr="00F5622A">
              <w:rPr>
                <w:rFonts w:asciiTheme="majorHAnsi" w:hAnsiTheme="majorHAnsi"/>
                <w:b w:val="0"/>
              </w:rPr>
              <w:t>e</w:t>
            </w:r>
            <w:r w:rsidR="00336931" w:rsidRPr="00F5622A">
              <w:rPr>
                <w:rFonts w:asciiTheme="majorHAnsi" w:hAnsiTheme="majorHAnsi"/>
                <w:b w:val="0"/>
              </w:rPr>
              <w:t xml:space="preserve"> debe poder ejercerse desde que se señala a alguien como posible autor o partícipe de un hecho punible </w:t>
            </w:r>
            <w:r w:rsidR="00D2188C" w:rsidRPr="00F5622A">
              <w:rPr>
                <w:rFonts w:asciiTheme="majorHAnsi" w:hAnsiTheme="majorHAnsi"/>
                <w:b w:val="0"/>
              </w:rPr>
              <w:t>hasta que</w:t>
            </w:r>
            <w:r w:rsidR="00336931" w:rsidRPr="00F5622A">
              <w:rPr>
                <w:rFonts w:asciiTheme="majorHAnsi" w:hAnsiTheme="majorHAnsi"/>
                <w:b w:val="0"/>
              </w:rPr>
              <w:t xml:space="preserve"> culmin</w:t>
            </w:r>
            <w:r w:rsidR="00D2188C" w:rsidRPr="00F5622A">
              <w:rPr>
                <w:rFonts w:asciiTheme="majorHAnsi" w:hAnsiTheme="majorHAnsi"/>
                <w:b w:val="0"/>
              </w:rPr>
              <w:t>e</w:t>
            </w:r>
            <w:r w:rsidR="00336931" w:rsidRPr="00F5622A">
              <w:rPr>
                <w:rFonts w:asciiTheme="majorHAnsi" w:hAnsiTheme="majorHAnsi"/>
                <w:b w:val="0"/>
              </w:rPr>
              <w:t xml:space="preserve"> el proceso. </w:t>
            </w:r>
            <w:r w:rsidR="00A960BF">
              <w:rPr>
                <w:rFonts w:asciiTheme="majorHAnsi" w:hAnsiTheme="majorHAnsi"/>
                <w:b w:val="0"/>
              </w:rPr>
              <w:t>De este derecho, depende en gran medida e</w:t>
            </w:r>
            <w:r w:rsidR="00111709" w:rsidRPr="00F5622A">
              <w:rPr>
                <w:rFonts w:asciiTheme="majorHAnsi" w:hAnsiTheme="majorHAnsi"/>
                <w:b w:val="0"/>
              </w:rPr>
              <w:t>l cumplimiento de las garantías del debido proceso</w:t>
            </w:r>
            <w:r w:rsidR="00D2188C" w:rsidRPr="00F5622A">
              <w:rPr>
                <w:rFonts w:asciiTheme="majorHAnsi" w:hAnsiTheme="majorHAnsi"/>
                <w:b w:val="0"/>
              </w:rPr>
              <w:t xml:space="preserve">. En esa medida, </w:t>
            </w:r>
            <w:r w:rsidR="00A960BF">
              <w:rPr>
                <w:rFonts w:asciiTheme="majorHAnsi" w:hAnsiTheme="majorHAnsi"/>
                <w:b w:val="0"/>
              </w:rPr>
              <w:t>la defensa</w:t>
            </w:r>
            <w:r w:rsidR="00D2188C" w:rsidRPr="00F5622A">
              <w:rPr>
                <w:rFonts w:asciiTheme="majorHAnsi" w:hAnsiTheme="majorHAnsi"/>
                <w:b w:val="0"/>
              </w:rPr>
              <w:t xml:space="preserve"> </w:t>
            </w:r>
            <w:r w:rsidR="00336931" w:rsidRPr="00F5622A">
              <w:rPr>
                <w:rFonts w:asciiTheme="majorHAnsi" w:hAnsiTheme="majorHAnsi"/>
                <w:b w:val="0"/>
              </w:rPr>
              <w:t xml:space="preserve">ha de ser eficaz, oportuna, realizada por gente capacitada, </w:t>
            </w:r>
            <w:r w:rsidR="00E12AF1" w:rsidRPr="00F5622A">
              <w:rPr>
                <w:rFonts w:asciiTheme="majorHAnsi" w:hAnsiTheme="majorHAnsi"/>
                <w:b w:val="0"/>
              </w:rPr>
              <w:t>y debe permitir</w:t>
            </w:r>
            <w:r w:rsidR="00336931" w:rsidRPr="00F5622A">
              <w:rPr>
                <w:rFonts w:asciiTheme="majorHAnsi" w:hAnsiTheme="majorHAnsi"/>
                <w:b w:val="0"/>
              </w:rPr>
              <w:t xml:space="preserve"> fortalecer la defensa del interés concreto del imputado.</w:t>
            </w:r>
            <w:r w:rsidR="002D7429" w:rsidRPr="00F5622A">
              <w:rPr>
                <w:rFonts w:asciiTheme="majorHAnsi" w:hAnsiTheme="majorHAnsi"/>
                <w:b w:val="0"/>
              </w:rPr>
              <w:t xml:space="preserve"> </w:t>
            </w:r>
            <w:r w:rsidR="00443199" w:rsidRPr="00F5622A">
              <w:rPr>
                <w:rFonts w:asciiTheme="majorHAnsi" w:hAnsiTheme="majorHAnsi"/>
                <w:b w:val="0"/>
              </w:rPr>
              <w:t>Por ello</w:t>
            </w:r>
            <w:r w:rsidR="004F33FA" w:rsidRPr="00F5622A">
              <w:rPr>
                <w:rFonts w:asciiTheme="majorHAnsi" w:hAnsiTheme="majorHAnsi"/>
                <w:b w:val="0"/>
              </w:rPr>
              <w:t xml:space="preserve">, la satisfacción del derecho a la defensa requiere que no se tome como un simple medio para cumplir formalmente con la garantía. </w:t>
            </w:r>
          </w:p>
          <w:p w14:paraId="75958159" w14:textId="77777777" w:rsidR="002D7429" w:rsidRPr="00F5622A" w:rsidRDefault="002D7429" w:rsidP="00D66418">
            <w:pPr>
              <w:spacing w:after="0" w:line="240" w:lineRule="auto"/>
              <w:jc w:val="both"/>
              <w:rPr>
                <w:rFonts w:asciiTheme="majorHAnsi" w:hAnsiTheme="majorHAnsi"/>
                <w:b w:val="0"/>
              </w:rPr>
            </w:pPr>
          </w:p>
          <w:p w14:paraId="03903C28" w14:textId="0E7158B9" w:rsidR="008A626F" w:rsidRPr="00F5622A" w:rsidRDefault="00AE7352" w:rsidP="00D66418">
            <w:pPr>
              <w:spacing w:after="0" w:line="240" w:lineRule="auto"/>
              <w:jc w:val="both"/>
              <w:rPr>
                <w:rFonts w:asciiTheme="majorHAnsi" w:hAnsiTheme="majorHAnsi"/>
                <w:b w:val="0"/>
              </w:rPr>
            </w:pPr>
            <w:r>
              <w:rPr>
                <w:rFonts w:asciiTheme="majorHAnsi" w:hAnsiTheme="majorHAnsi"/>
                <w:b w:val="0"/>
              </w:rPr>
              <w:t>Particularmente, l</w:t>
            </w:r>
            <w:r w:rsidR="004F33FA" w:rsidRPr="00F5622A">
              <w:rPr>
                <w:rFonts w:asciiTheme="majorHAnsi" w:hAnsiTheme="majorHAnsi"/>
                <w:b w:val="0"/>
              </w:rPr>
              <w:t>os defensores de oficio</w:t>
            </w:r>
            <w:r w:rsidR="00D2188C" w:rsidRPr="00F5622A">
              <w:rPr>
                <w:rFonts w:asciiTheme="majorHAnsi" w:hAnsiTheme="majorHAnsi"/>
                <w:b w:val="0"/>
              </w:rPr>
              <w:t xml:space="preserve"> </w:t>
            </w:r>
            <w:r w:rsidR="004F33FA" w:rsidRPr="00F5622A">
              <w:rPr>
                <w:rFonts w:asciiTheme="majorHAnsi" w:hAnsiTheme="majorHAnsi"/>
                <w:b w:val="0"/>
              </w:rPr>
              <w:t xml:space="preserve">han de proteger las garantías procesales del acusado, </w:t>
            </w:r>
            <w:r w:rsidR="00D2188C" w:rsidRPr="00F5622A">
              <w:rPr>
                <w:rFonts w:asciiTheme="majorHAnsi" w:hAnsiTheme="majorHAnsi"/>
                <w:b w:val="0"/>
              </w:rPr>
              <w:t>y evitar</w:t>
            </w:r>
            <w:r w:rsidR="004F33FA" w:rsidRPr="00F5622A">
              <w:rPr>
                <w:rFonts w:asciiTheme="majorHAnsi" w:hAnsiTheme="majorHAnsi"/>
                <w:b w:val="0"/>
              </w:rPr>
              <w:t xml:space="preserve"> que sus derechos se vean lesionados y se quebrante la relación de confianza.</w:t>
            </w:r>
            <w:r w:rsidR="00A41FF1" w:rsidRPr="00F5622A">
              <w:rPr>
                <w:rFonts w:asciiTheme="majorHAnsi" w:hAnsiTheme="majorHAnsi"/>
                <w:b w:val="0"/>
              </w:rPr>
              <w:t xml:space="preserve"> </w:t>
            </w:r>
            <w:r w:rsidR="00D2188C" w:rsidRPr="00F5622A">
              <w:rPr>
                <w:rFonts w:asciiTheme="majorHAnsi" w:hAnsiTheme="majorHAnsi"/>
                <w:b w:val="0"/>
              </w:rPr>
              <w:t>Al respecto, l</w:t>
            </w:r>
            <w:r w:rsidR="00FB26D9" w:rsidRPr="00F5622A">
              <w:rPr>
                <w:rFonts w:asciiTheme="majorHAnsi" w:hAnsiTheme="majorHAnsi"/>
                <w:b w:val="0"/>
              </w:rPr>
              <w:t xml:space="preserve">os Principios Básicos sobre la Función de los </w:t>
            </w:r>
            <w:r w:rsidR="00D2188C" w:rsidRPr="00F5622A">
              <w:rPr>
                <w:rFonts w:asciiTheme="majorHAnsi" w:hAnsiTheme="majorHAnsi"/>
                <w:b w:val="0"/>
              </w:rPr>
              <w:t>A</w:t>
            </w:r>
            <w:r w:rsidR="00FB26D9" w:rsidRPr="00F5622A">
              <w:rPr>
                <w:rFonts w:asciiTheme="majorHAnsi" w:hAnsiTheme="majorHAnsi"/>
                <w:b w:val="0"/>
              </w:rPr>
              <w:t>bogados de Naciones Unidas establecen que estos h</w:t>
            </w:r>
            <w:r w:rsidR="00A41FF1" w:rsidRPr="00F5622A">
              <w:rPr>
                <w:rFonts w:asciiTheme="majorHAnsi" w:hAnsiTheme="majorHAnsi"/>
                <w:b w:val="0"/>
              </w:rPr>
              <w:t xml:space="preserve">an de contar con la experiencia y competencia </w:t>
            </w:r>
            <w:r w:rsidR="002D3790" w:rsidRPr="00F5622A">
              <w:rPr>
                <w:rFonts w:asciiTheme="majorHAnsi" w:hAnsiTheme="majorHAnsi"/>
                <w:b w:val="0"/>
              </w:rPr>
              <w:t>que requiera el tipo de delito del que se haya acusa</w:t>
            </w:r>
            <w:r w:rsidR="00BF6175" w:rsidRPr="00F5622A">
              <w:rPr>
                <w:rFonts w:asciiTheme="majorHAnsi" w:hAnsiTheme="majorHAnsi"/>
                <w:b w:val="0"/>
              </w:rPr>
              <w:t>do al imputado a quien defiende.</w:t>
            </w:r>
            <w:r w:rsidR="00427C0C" w:rsidRPr="00F5622A">
              <w:rPr>
                <w:rFonts w:asciiTheme="majorHAnsi" w:hAnsiTheme="majorHAnsi"/>
                <w:b w:val="0"/>
              </w:rPr>
              <w:t xml:space="preserve"> </w:t>
            </w:r>
            <w:r w:rsidR="00443199" w:rsidRPr="00F5622A">
              <w:rPr>
                <w:rFonts w:asciiTheme="majorHAnsi" w:hAnsiTheme="majorHAnsi"/>
                <w:b w:val="0"/>
              </w:rPr>
              <w:t>Los Estados son responsables de asegurar que esa asistencia sea efectiva en atención al contexto general del proceso y teniendo en cuenta los intereses específicos en juego</w:t>
            </w:r>
            <w:r w:rsidR="00427C0C" w:rsidRPr="00F5622A">
              <w:rPr>
                <w:rFonts w:asciiTheme="majorHAnsi" w:hAnsiTheme="majorHAnsi"/>
                <w:b w:val="0"/>
              </w:rPr>
              <w:t>.</w:t>
            </w:r>
          </w:p>
          <w:p w14:paraId="4F6071B8" w14:textId="77777777" w:rsidR="002011D7" w:rsidRPr="00F5622A" w:rsidRDefault="002011D7" w:rsidP="00D66418">
            <w:pPr>
              <w:spacing w:after="0" w:line="240" w:lineRule="auto"/>
              <w:jc w:val="both"/>
              <w:rPr>
                <w:rFonts w:asciiTheme="majorHAnsi" w:hAnsiTheme="majorHAnsi"/>
                <w:b w:val="0"/>
              </w:rPr>
            </w:pPr>
          </w:p>
          <w:p w14:paraId="1C43E063" w14:textId="10106BEE" w:rsidR="002C1C0E" w:rsidRPr="00F5622A" w:rsidRDefault="00AE7352" w:rsidP="00D66418">
            <w:pPr>
              <w:spacing w:after="0" w:line="240" w:lineRule="auto"/>
              <w:jc w:val="both"/>
              <w:rPr>
                <w:rFonts w:asciiTheme="majorHAnsi" w:hAnsiTheme="majorHAnsi"/>
                <w:b w:val="0"/>
              </w:rPr>
            </w:pPr>
            <w:r>
              <w:rPr>
                <w:rFonts w:asciiTheme="majorHAnsi" w:hAnsiTheme="majorHAnsi"/>
                <w:b w:val="0"/>
              </w:rPr>
              <w:t>En el presente caso, la CIDH observó que los señores</w:t>
            </w:r>
            <w:r w:rsidR="00093C09" w:rsidRPr="00F5622A">
              <w:rPr>
                <w:rFonts w:asciiTheme="majorHAnsi" w:hAnsiTheme="majorHAnsi"/>
                <w:b w:val="0"/>
              </w:rPr>
              <w:t xml:space="preserve"> Girón y Castillo no contaron con defensa técnica en </w:t>
            </w:r>
            <w:r>
              <w:rPr>
                <w:rFonts w:asciiTheme="majorHAnsi" w:hAnsiTheme="majorHAnsi"/>
                <w:b w:val="0"/>
              </w:rPr>
              <w:t xml:space="preserve">la diligencia para </w:t>
            </w:r>
            <w:r w:rsidRPr="00F5622A">
              <w:rPr>
                <w:rFonts w:asciiTheme="majorHAnsi" w:hAnsiTheme="majorHAnsi"/>
                <w:b w:val="0"/>
              </w:rPr>
              <w:t>prestar sus declaraciones indagatorias</w:t>
            </w:r>
            <w:r>
              <w:rPr>
                <w:rFonts w:asciiTheme="majorHAnsi" w:hAnsiTheme="majorHAnsi"/>
                <w:b w:val="0"/>
              </w:rPr>
              <w:t xml:space="preserve">, la diligencia de </w:t>
            </w:r>
            <w:r w:rsidRPr="00F5622A">
              <w:rPr>
                <w:rFonts w:asciiTheme="majorHAnsi" w:hAnsiTheme="majorHAnsi"/>
                <w:b w:val="0"/>
              </w:rPr>
              <w:t>“careo” entre los procesados</w:t>
            </w:r>
            <w:r>
              <w:rPr>
                <w:rFonts w:asciiTheme="majorHAnsi" w:hAnsiTheme="majorHAnsi"/>
                <w:b w:val="0"/>
              </w:rPr>
              <w:t xml:space="preserve"> y la diligencia en la que </w:t>
            </w:r>
            <w:r w:rsidR="00093C09" w:rsidRPr="00F5622A">
              <w:rPr>
                <w:rFonts w:asciiTheme="majorHAnsi" w:hAnsiTheme="majorHAnsi"/>
                <w:b w:val="0"/>
              </w:rPr>
              <w:t>se dictó la prisión provisional</w:t>
            </w:r>
            <w:r w:rsidR="00FF6C37" w:rsidRPr="00F5622A">
              <w:rPr>
                <w:rFonts w:asciiTheme="majorHAnsi" w:hAnsiTheme="majorHAnsi"/>
                <w:b w:val="0"/>
              </w:rPr>
              <w:t xml:space="preserve">. </w:t>
            </w:r>
            <w:r w:rsidR="002F3DA1">
              <w:rPr>
                <w:rFonts w:asciiTheme="majorHAnsi" w:hAnsiTheme="majorHAnsi"/>
                <w:b w:val="0"/>
              </w:rPr>
              <w:t>E</w:t>
            </w:r>
            <w:r>
              <w:rPr>
                <w:rFonts w:asciiTheme="majorHAnsi" w:hAnsiTheme="majorHAnsi"/>
                <w:b w:val="0"/>
              </w:rPr>
              <w:t>l hecho de</w:t>
            </w:r>
            <w:r w:rsidR="0049148F" w:rsidRPr="00F5622A">
              <w:rPr>
                <w:rFonts w:asciiTheme="majorHAnsi" w:hAnsiTheme="majorHAnsi"/>
                <w:b w:val="0"/>
              </w:rPr>
              <w:t xml:space="preserve"> que no pudiera</w:t>
            </w:r>
            <w:r>
              <w:rPr>
                <w:rFonts w:asciiTheme="majorHAnsi" w:hAnsiTheme="majorHAnsi"/>
                <w:b w:val="0"/>
              </w:rPr>
              <w:t>n</w:t>
            </w:r>
            <w:r w:rsidR="0049148F" w:rsidRPr="00F5622A">
              <w:rPr>
                <w:rFonts w:asciiTheme="majorHAnsi" w:hAnsiTheme="majorHAnsi"/>
                <w:b w:val="0"/>
              </w:rPr>
              <w:t xml:space="preserve"> ejercer el derecho de defensa técnica </w:t>
            </w:r>
            <w:r w:rsidR="002C1C0E" w:rsidRPr="00F5622A">
              <w:rPr>
                <w:rFonts w:asciiTheme="majorHAnsi" w:hAnsiTheme="majorHAnsi"/>
                <w:b w:val="0"/>
              </w:rPr>
              <w:t xml:space="preserve">en estas diligencias tuvo un claro impacto </w:t>
            </w:r>
            <w:r w:rsidR="002C1C0E" w:rsidRPr="00F5622A">
              <w:rPr>
                <w:rFonts w:asciiTheme="majorHAnsi" w:hAnsiTheme="majorHAnsi"/>
                <w:b w:val="0"/>
              </w:rPr>
              <w:lastRenderedPageBreak/>
              <w:t>en el proceso, y de por sí constituy</w:t>
            </w:r>
            <w:r w:rsidR="00D21918" w:rsidRPr="00F5622A">
              <w:rPr>
                <w:rFonts w:asciiTheme="majorHAnsi" w:hAnsiTheme="majorHAnsi"/>
                <w:b w:val="0"/>
              </w:rPr>
              <w:t>ó</w:t>
            </w:r>
            <w:r w:rsidR="002C1C0E" w:rsidRPr="00F5622A">
              <w:rPr>
                <w:rFonts w:asciiTheme="majorHAnsi" w:hAnsiTheme="majorHAnsi"/>
                <w:b w:val="0"/>
              </w:rPr>
              <w:t xml:space="preserve"> una violación de este derecho.</w:t>
            </w:r>
            <w:r>
              <w:rPr>
                <w:rFonts w:asciiTheme="majorHAnsi" w:hAnsiTheme="majorHAnsi"/>
                <w:b w:val="0"/>
              </w:rPr>
              <w:t xml:space="preserve"> </w:t>
            </w:r>
            <w:r w:rsidR="00EB0B4C" w:rsidRPr="00F5622A">
              <w:rPr>
                <w:rFonts w:asciiTheme="majorHAnsi" w:hAnsiTheme="majorHAnsi"/>
                <w:b w:val="0"/>
              </w:rPr>
              <w:t xml:space="preserve">Además, </w:t>
            </w:r>
            <w:r w:rsidR="00D21918" w:rsidRPr="00F5622A">
              <w:rPr>
                <w:rFonts w:asciiTheme="majorHAnsi" w:hAnsiTheme="majorHAnsi"/>
                <w:b w:val="0"/>
              </w:rPr>
              <w:t xml:space="preserve">la CIDH evidenció que los defensores de oficio nombrados para el señor Girón y el señor Castillo </w:t>
            </w:r>
            <w:r w:rsidR="00EB0B4C" w:rsidRPr="00F5622A">
              <w:rPr>
                <w:rFonts w:asciiTheme="majorHAnsi" w:hAnsiTheme="majorHAnsi"/>
                <w:b w:val="0"/>
              </w:rPr>
              <w:t xml:space="preserve">eran estudiantes de </w:t>
            </w:r>
            <w:r w:rsidR="00D21918" w:rsidRPr="00F5622A">
              <w:rPr>
                <w:rFonts w:asciiTheme="majorHAnsi" w:hAnsiTheme="majorHAnsi"/>
                <w:b w:val="0"/>
              </w:rPr>
              <w:t>D</w:t>
            </w:r>
            <w:r w:rsidR="00EB0B4C" w:rsidRPr="00F5622A">
              <w:rPr>
                <w:rFonts w:asciiTheme="majorHAnsi" w:hAnsiTheme="majorHAnsi"/>
                <w:b w:val="0"/>
              </w:rPr>
              <w:t>erecho y no abogados titulados</w:t>
            </w:r>
            <w:r w:rsidR="00D21918" w:rsidRPr="00F5622A">
              <w:rPr>
                <w:rFonts w:asciiTheme="majorHAnsi" w:hAnsiTheme="majorHAnsi"/>
                <w:b w:val="0"/>
              </w:rPr>
              <w:t>;</w:t>
            </w:r>
            <w:r w:rsidR="00EB0B4C" w:rsidRPr="00F5622A">
              <w:rPr>
                <w:rFonts w:asciiTheme="majorHAnsi" w:hAnsiTheme="majorHAnsi"/>
                <w:b w:val="0"/>
              </w:rPr>
              <w:t xml:space="preserve"> por lo </w:t>
            </w:r>
            <w:r w:rsidR="00D21918" w:rsidRPr="00F5622A">
              <w:rPr>
                <w:rFonts w:asciiTheme="majorHAnsi" w:hAnsiTheme="majorHAnsi"/>
                <w:b w:val="0"/>
              </w:rPr>
              <w:t xml:space="preserve">cual, </w:t>
            </w:r>
            <w:r w:rsidR="00EB0B4C" w:rsidRPr="00F5622A">
              <w:rPr>
                <w:rFonts w:asciiTheme="majorHAnsi" w:hAnsiTheme="majorHAnsi"/>
                <w:b w:val="0"/>
              </w:rPr>
              <w:t xml:space="preserve">no </w:t>
            </w:r>
            <w:r w:rsidR="00D21918" w:rsidRPr="00F5622A">
              <w:rPr>
                <w:rFonts w:asciiTheme="majorHAnsi" w:hAnsiTheme="majorHAnsi"/>
                <w:b w:val="0"/>
              </w:rPr>
              <w:t xml:space="preserve">se encontraban </w:t>
            </w:r>
            <w:r w:rsidR="00EB0B4C" w:rsidRPr="00F5622A">
              <w:rPr>
                <w:rFonts w:asciiTheme="majorHAnsi" w:hAnsiTheme="majorHAnsi"/>
                <w:b w:val="0"/>
              </w:rPr>
              <w:t xml:space="preserve">debidamente calificados, ni contaban con la experiencia </w:t>
            </w:r>
            <w:r w:rsidR="00CD0625" w:rsidRPr="00F5622A">
              <w:rPr>
                <w:rFonts w:asciiTheme="majorHAnsi" w:hAnsiTheme="majorHAnsi"/>
                <w:b w:val="0"/>
              </w:rPr>
              <w:t>con la que deben contar</w:t>
            </w:r>
            <w:r w:rsidR="00EB0B4C" w:rsidRPr="00F5622A">
              <w:rPr>
                <w:rFonts w:asciiTheme="majorHAnsi" w:hAnsiTheme="majorHAnsi"/>
                <w:b w:val="0"/>
              </w:rPr>
              <w:t xml:space="preserve"> los profesionales que asumen la defensa en casos de procesos en </w:t>
            </w:r>
            <w:r w:rsidR="00D21918" w:rsidRPr="00F5622A">
              <w:rPr>
                <w:rFonts w:asciiTheme="majorHAnsi" w:hAnsiTheme="majorHAnsi"/>
                <w:b w:val="0"/>
              </w:rPr>
              <w:t xml:space="preserve">los </w:t>
            </w:r>
            <w:r w:rsidR="00EB0B4C" w:rsidRPr="00F5622A">
              <w:rPr>
                <w:rFonts w:asciiTheme="majorHAnsi" w:hAnsiTheme="majorHAnsi"/>
                <w:b w:val="0"/>
              </w:rPr>
              <w:t>que podría apl</w:t>
            </w:r>
            <w:r w:rsidR="00912279" w:rsidRPr="00F5622A">
              <w:rPr>
                <w:rFonts w:asciiTheme="majorHAnsi" w:hAnsiTheme="majorHAnsi"/>
                <w:b w:val="0"/>
              </w:rPr>
              <w:t>icarse la pena de muerte. Como consecuencia</w:t>
            </w:r>
            <w:r w:rsidR="00CD0625" w:rsidRPr="00F5622A">
              <w:rPr>
                <w:rFonts w:asciiTheme="majorHAnsi" w:hAnsiTheme="majorHAnsi"/>
                <w:b w:val="0"/>
              </w:rPr>
              <w:t xml:space="preserve"> de </w:t>
            </w:r>
            <w:r w:rsidR="002F3DA1">
              <w:rPr>
                <w:rFonts w:asciiTheme="majorHAnsi" w:hAnsiTheme="majorHAnsi"/>
                <w:b w:val="0"/>
              </w:rPr>
              <w:t>su inexperiencia</w:t>
            </w:r>
            <w:r w:rsidR="00912279" w:rsidRPr="00F5622A">
              <w:rPr>
                <w:rFonts w:asciiTheme="majorHAnsi" w:hAnsiTheme="majorHAnsi"/>
                <w:b w:val="0"/>
              </w:rPr>
              <w:t xml:space="preserve">, hubo más de un problema en la observación de los requisitos formales </w:t>
            </w:r>
            <w:r w:rsidR="004C6DE2" w:rsidRPr="00F5622A">
              <w:rPr>
                <w:rFonts w:asciiTheme="majorHAnsi" w:hAnsiTheme="majorHAnsi"/>
                <w:b w:val="0"/>
              </w:rPr>
              <w:t>para</w:t>
            </w:r>
            <w:r w:rsidR="00D16EB1" w:rsidRPr="00F5622A">
              <w:rPr>
                <w:rFonts w:asciiTheme="majorHAnsi" w:hAnsiTheme="majorHAnsi"/>
                <w:b w:val="0"/>
              </w:rPr>
              <w:t xml:space="preserve"> el cumplimiento de diligencias. A pesar de las evidentes fallas, en ninguno de los recurso</w:t>
            </w:r>
            <w:r w:rsidR="00982237" w:rsidRPr="00F5622A">
              <w:rPr>
                <w:rFonts w:asciiTheme="majorHAnsi" w:hAnsiTheme="majorHAnsi"/>
                <w:b w:val="0"/>
              </w:rPr>
              <w:t>s</w:t>
            </w:r>
            <w:r w:rsidR="00D16EB1" w:rsidRPr="00F5622A">
              <w:rPr>
                <w:rFonts w:asciiTheme="majorHAnsi" w:hAnsiTheme="majorHAnsi"/>
                <w:b w:val="0"/>
              </w:rPr>
              <w:t xml:space="preserve"> interpuestos por el señor Girón y el señor Castillo</w:t>
            </w:r>
            <w:r>
              <w:rPr>
                <w:rFonts w:asciiTheme="majorHAnsi" w:hAnsiTheme="majorHAnsi"/>
                <w:b w:val="0"/>
              </w:rPr>
              <w:t>,</w:t>
            </w:r>
            <w:r w:rsidR="00D16EB1" w:rsidRPr="00F5622A">
              <w:rPr>
                <w:rFonts w:asciiTheme="majorHAnsi" w:hAnsiTheme="majorHAnsi"/>
                <w:b w:val="0"/>
              </w:rPr>
              <w:t xml:space="preserve"> </w:t>
            </w:r>
            <w:r w:rsidR="007C249D" w:rsidRPr="00F5622A">
              <w:rPr>
                <w:rFonts w:asciiTheme="majorHAnsi" w:hAnsiTheme="majorHAnsi"/>
                <w:b w:val="0"/>
              </w:rPr>
              <w:t xml:space="preserve">las autoridades encargadas analizaron </w:t>
            </w:r>
            <w:r w:rsidR="009C2037" w:rsidRPr="00F5622A">
              <w:rPr>
                <w:rFonts w:asciiTheme="majorHAnsi" w:hAnsiTheme="majorHAnsi"/>
                <w:b w:val="0"/>
              </w:rPr>
              <w:t>la violación del debido proceso</w:t>
            </w:r>
            <w:r w:rsidR="00762630" w:rsidRPr="00F5622A">
              <w:rPr>
                <w:rFonts w:asciiTheme="majorHAnsi" w:hAnsiTheme="majorHAnsi"/>
                <w:b w:val="0"/>
              </w:rPr>
              <w:t>, lo cual los dejó en una situación de indefensión</w:t>
            </w:r>
            <w:r w:rsidR="009C2037" w:rsidRPr="00F5622A">
              <w:rPr>
                <w:rFonts w:asciiTheme="majorHAnsi" w:hAnsiTheme="majorHAnsi"/>
                <w:b w:val="0"/>
              </w:rPr>
              <w:t>.</w:t>
            </w:r>
          </w:p>
          <w:p w14:paraId="730403D0" w14:textId="77777777" w:rsidR="009C2037" w:rsidRPr="00F5622A" w:rsidRDefault="009C2037" w:rsidP="00D66418">
            <w:pPr>
              <w:spacing w:after="0" w:line="240" w:lineRule="auto"/>
              <w:jc w:val="both"/>
              <w:rPr>
                <w:rFonts w:asciiTheme="majorHAnsi" w:hAnsiTheme="majorHAnsi"/>
                <w:b w:val="0"/>
              </w:rPr>
            </w:pPr>
          </w:p>
          <w:p w14:paraId="7C133832" w14:textId="1F22A4FD" w:rsidR="009C2037" w:rsidRPr="00F5622A" w:rsidRDefault="009C2037" w:rsidP="00D66418">
            <w:pPr>
              <w:spacing w:after="0" w:line="240" w:lineRule="auto"/>
              <w:jc w:val="both"/>
              <w:rPr>
                <w:rFonts w:asciiTheme="majorHAnsi" w:hAnsiTheme="majorHAnsi"/>
                <w:b w:val="0"/>
              </w:rPr>
            </w:pPr>
            <w:r w:rsidRPr="00F5622A">
              <w:rPr>
                <w:rFonts w:asciiTheme="majorHAnsi" w:hAnsiTheme="majorHAnsi"/>
                <w:b w:val="0"/>
              </w:rPr>
              <w:t xml:space="preserve">Por </w:t>
            </w:r>
            <w:r w:rsidR="00D2188C" w:rsidRPr="00F5622A">
              <w:rPr>
                <w:rFonts w:asciiTheme="majorHAnsi" w:hAnsiTheme="majorHAnsi"/>
                <w:b w:val="0"/>
              </w:rPr>
              <w:t>ello</w:t>
            </w:r>
            <w:r w:rsidRPr="00F5622A">
              <w:rPr>
                <w:rFonts w:asciiTheme="majorHAnsi" w:hAnsiTheme="majorHAnsi"/>
                <w:b w:val="0"/>
              </w:rPr>
              <w:t>, la CIDH declar</w:t>
            </w:r>
            <w:r w:rsidR="00D2188C" w:rsidRPr="00F5622A">
              <w:rPr>
                <w:rFonts w:asciiTheme="majorHAnsi" w:hAnsiTheme="majorHAnsi"/>
                <w:b w:val="0"/>
              </w:rPr>
              <w:t>ó</w:t>
            </w:r>
            <w:r w:rsidRPr="00F5622A">
              <w:rPr>
                <w:rFonts w:asciiTheme="majorHAnsi" w:hAnsiTheme="majorHAnsi"/>
                <w:b w:val="0"/>
              </w:rPr>
              <w:t xml:space="preserve"> que el Estado de Guatemala e</w:t>
            </w:r>
            <w:r w:rsidR="00D2188C" w:rsidRPr="00F5622A">
              <w:rPr>
                <w:rFonts w:asciiTheme="majorHAnsi" w:hAnsiTheme="majorHAnsi"/>
                <w:b w:val="0"/>
              </w:rPr>
              <w:t>ra</w:t>
            </w:r>
            <w:r w:rsidRPr="00F5622A">
              <w:rPr>
                <w:rFonts w:asciiTheme="majorHAnsi" w:hAnsiTheme="majorHAnsi"/>
                <w:b w:val="0"/>
              </w:rPr>
              <w:t xml:space="preserve"> responsable de la violación de los artículos 8.2 c) y 8.2 e) de la CADH, en </w:t>
            </w:r>
            <w:r w:rsidR="00333A3A" w:rsidRPr="00F5622A">
              <w:rPr>
                <w:rFonts w:asciiTheme="majorHAnsi" w:hAnsiTheme="majorHAnsi"/>
                <w:b w:val="0"/>
              </w:rPr>
              <w:t>relación con los artículos 1.1</w:t>
            </w:r>
            <w:r w:rsidR="00AE7352">
              <w:rPr>
                <w:rFonts w:asciiTheme="majorHAnsi" w:hAnsiTheme="majorHAnsi"/>
                <w:b w:val="0"/>
              </w:rPr>
              <w:t xml:space="preserve"> y 2,</w:t>
            </w:r>
            <w:r w:rsidR="00333A3A" w:rsidRPr="00F5622A">
              <w:rPr>
                <w:rFonts w:asciiTheme="majorHAnsi" w:hAnsiTheme="majorHAnsi"/>
                <w:b w:val="0"/>
              </w:rPr>
              <w:t xml:space="preserve"> en perjuicio </w:t>
            </w:r>
            <w:r w:rsidR="00AE7352">
              <w:rPr>
                <w:rFonts w:asciiTheme="majorHAnsi" w:hAnsiTheme="majorHAnsi"/>
                <w:b w:val="0"/>
              </w:rPr>
              <w:t>de los señores</w:t>
            </w:r>
            <w:r w:rsidR="00333A3A" w:rsidRPr="00F5622A">
              <w:rPr>
                <w:rFonts w:asciiTheme="majorHAnsi" w:hAnsiTheme="majorHAnsi"/>
                <w:b w:val="0"/>
              </w:rPr>
              <w:t xml:space="preserve"> Girón y Castillo. </w:t>
            </w:r>
            <w:r w:rsidRPr="00F5622A">
              <w:rPr>
                <w:rFonts w:asciiTheme="majorHAnsi" w:hAnsiTheme="majorHAnsi"/>
                <w:b w:val="0"/>
              </w:rPr>
              <w:t xml:space="preserve"> </w:t>
            </w:r>
          </w:p>
          <w:p w14:paraId="085FDD43" w14:textId="77777777" w:rsidR="0064554B" w:rsidRPr="00F5622A" w:rsidRDefault="0064554B" w:rsidP="0064554B">
            <w:pPr>
              <w:spacing w:after="0" w:line="240" w:lineRule="auto"/>
              <w:jc w:val="both"/>
              <w:rPr>
                <w:rFonts w:asciiTheme="majorHAnsi" w:hAnsiTheme="majorHAnsi"/>
                <w:b w:val="0"/>
              </w:rPr>
            </w:pPr>
          </w:p>
          <w:p w14:paraId="60B819FF" w14:textId="77777777" w:rsidR="0064554B" w:rsidRPr="00F5622A" w:rsidRDefault="00A052FD" w:rsidP="00A14AE3">
            <w:pPr>
              <w:spacing w:after="0" w:line="240" w:lineRule="auto"/>
              <w:jc w:val="both"/>
              <w:rPr>
                <w:rFonts w:asciiTheme="majorHAnsi" w:hAnsiTheme="majorHAnsi"/>
              </w:rPr>
            </w:pPr>
            <w:r w:rsidRPr="00F5622A">
              <w:rPr>
                <w:rFonts w:asciiTheme="majorHAnsi" w:hAnsiTheme="majorHAnsi"/>
              </w:rPr>
              <w:t>Derecho a la integridad y disposiciones relevantes de la CIPST con respecto al método de ejecución de la pena de muerte</w:t>
            </w:r>
            <w:r w:rsidR="006B3E12" w:rsidRPr="00F5622A">
              <w:rPr>
                <w:rFonts w:asciiTheme="majorHAnsi" w:hAnsiTheme="majorHAnsi"/>
              </w:rPr>
              <w:t xml:space="preserve"> (artículo 5 de la CADH; artículos 1 y 6 de la CIPST)</w:t>
            </w:r>
          </w:p>
          <w:p w14:paraId="11CA307E" w14:textId="77777777" w:rsidR="00C70066" w:rsidRPr="00F5622A" w:rsidRDefault="00C70066" w:rsidP="00C70066">
            <w:pPr>
              <w:spacing w:after="0" w:line="240" w:lineRule="auto"/>
              <w:jc w:val="both"/>
              <w:rPr>
                <w:rFonts w:asciiTheme="majorHAnsi" w:hAnsiTheme="majorHAnsi"/>
              </w:rPr>
            </w:pPr>
          </w:p>
          <w:p w14:paraId="1CC754CB" w14:textId="37A0AB57" w:rsidR="00B5749D" w:rsidRPr="00F5622A" w:rsidRDefault="00AF5E5A" w:rsidP="00C70066">
            <w:pPr>
              <w:spacing w:after="0" w:line="240" w:lineRule="auto"/>
              <w:jc w:val="both"/>
              <w:rPr>
                <w:rFonts w:asciiTheme="majorHAnsi" w:hAnsiTheme="majorHAnsi"/>
                <w:b w:val="0"/>
              </w:rPr>
            </w:pPr>
            <w:r w:rsidRPr="00F5622A">
              <w:rPr>
                <w:rFonts w:asciiTheme="majorHAnsi" w:hAnsiTheme="majorHAnsi"/>
                <w:b w:val="0"/>
              </w:rPr>
              <w:t>A pesar que no existe en la CADH una prohibición de la pena de muerte, varios organismos a nivel internacional</w:t>
            </w:r>
            <w:r w:rsidR="00AA137B" w:rsidRPr="00F5622A">
              <w:rPr>
                <w:rFonts w:asciiTheme="majorHAnsi" w:hAnsiTheme="majorHAnsi"/>
                <w:b w:val="0"/>
              </w:rPr>
              <w:t xml:space="preserve">, </w:t>
            </w:r>
            <w:r w:rsidR="00D2188C" w:rsidRPr="00F5622A">
              <w:rPr>
                <w:rFonts w:asciiTheme="majorHAnsi" w:hAnsiTheme="majorHAnsi"/>
                <w:b w:val="0"/>
              </w:rPr>
              <w:t>como</w:t>
            </w:r>
            <w:r w:rsidR="00AA137B" w:rsidRPr="00F5622A">
              <w:rPr>
                <w:rFonts w:asciiTheme="majorHAnsi" w:hAnsiTheme="majorHAnsi"/>
                <w:b w:val="0"/>
              </w:rPr>
              <w:t xml:space="preserve"> Naciones Unidas con las </w:t>
            </w:r>
            <w:r w:rsidR="00D2188C" w:rsidRPr="00F5622A">
              <w:rPr>
                <w:rFonts w:asciiTheme="majorHAnsi" w:hAnsiTheme="majorHAnsi"/>
                <w:b w:val="0"/>
              </w:rPr>
              <w:t>“</w:t>
            </w:r>
            <w:r w:rsidR="00AA137B" w:rsidRPr="00F5622A">
              <w:rPr>
                <w:rFonts w:asciiTheme="majorHAnsi" w:hAnsiTheme="majorHAnsi"/>
                <w:b w:val="0"/>
              </w:rPr>
              <w:t>Salvaguardas para garantizar la protección de los derechos de los condenados a la pena de muerte</w:t>
            </w:r>
            <w:r w:rsidR="00D2188C" w:rsidRPr="00F5622A">
              <w:rPr>
                <w:rFonts w:asciiTheme="majorHAnsi" w:hAnsiTheme="majorHAnsi"/>
                <w:b w:val="0"/>
              </w:rPr>
              <w:t>”</w:t>
            </w:r>
            <w:r w:rsidR="0042361A" w:rsidRPr="00F5622A">
              <w:rPr>
                <w:rFonts w:asciiTheme="majorHAnsi" w:hAnsiTheme="majorHAnsi"/>
                <w:b w:val="0"/>
              </w:rPr>
              <w:t>,</w:t>
            </w:r>
            <w:r w:rsidRPr="00F5622A">
              <w:rPr>
                <w:rFonts w:asciiTheme="majorHAnsi" w:hAnsiTheme="majorHAnsi"/>
                <w:b w:val="0"/>
              </w:rPr>
              <w:t xml:space="preserve"> </w:t>
            </w:r>
            <w:r w:rsidR="00B11F24" w:rsidRPr="00F5622A">
              <w:rPr>
                <w:rFonts w:asciiTheme="majorHAnsi" w:hAnsiTheme="majorHAnsi"/>
                <w:b w:val="0"/>
              </w:rPr>
              <w:t>han mani</w:t>
            </w:r>
            <w:r w:rsidR="00B8372E" w:rsidRPr="00F5622A">
              <w:rPr>
                <w:rFonts w:asciiTheme="majorHAnsi" w:hAnsiTheme="majorHAnsi"/>
                <w:b w:val="0"/>
              </w:rPr>
              <w:t>festado que un método de ejecución será incompatible con el derecho a la integridad personal y la prohibición de tortura cuando no est</w:t>
            </w:r>
            <w:r w:rsidR="00D2188C" w:rsidRPr="00F5622A">
              <w:rPr>
                <w:rFonts w:asciiTheme="majorHAnsi" w:hAnsiTheme="majorHAnsi"/>
                <w:b w:val="0"/>
              </w:rPr>
              <w:t>é</w:t>
            </w:r>
            <w:r w:rsidR="00B8372E" w:rsidRPr="00F5622A">
              <w:rPr>
                <w:rFonts w:asciiTheme="majorHAnsi" w:hAnsiTheme="majorHAnsi"/>
                <w:b w:val="0"/>
              </w:rPr>
              <w:t xml:space="preserve"> </w:t>
            </w:r>
            <w:r w:rsidR="002B4DD7" w:rsidRPr="00F5622A">
              <w:rPr>
                <w:rFonts w:asciiTheme="majorHAnsi" w:hAnsiTheme="majorHAnsi"/>
                <w:b w:val="0"/>
              </w:rPr>
              <w:t>diseñado para ocasionar el menor</w:t>
            </w:r>
            <w:r w:rsidR="00B8372E" w:rsidRPr="00F5622A">
              <w:rPr>
                <w:rFonts w:asciiTheme="majorHAnsi" w:hAnsiTheme="majorHAnsi"/>
                <w:b w:val="0"/>
              </w:rPr>
              <w:t xml:space="preserve"> sufrimiento posible.</w:t>
            </w:r>
            <w:r w:rsidR="002F3DA1">
              <w:rPr>
                <w:rFonts w:asciiTheme="majorHAnsi" w:hAnsiTheme="majorHAnsi"/>
                <w:b w:val="0"/>
              </w:rPr>
              <w:t xml:space="preserve"> </w:t>
            </w:r>
            <w:r w:rsidR="00440504" w:rsidRPr="00F5622A">
              <w:rPr>
                <w:rFonts w:asciiTheme="majorHAnsi" w:hAnsiTheme="majorHAnsi"/>
                <w:b w:val="0"/>
              </w:rPr>
              <w:t xml:space="preserve">Asimismo, </w:t>
            </w:r>
            <w:r w:rsidR="007C7F33" w:rsidRPr="00F5622A">
              <w:rPr>
                <w:rFonts w:asciiTheme="majorHAnsi" w:hAnsiTheme="majorHAnsi"/>
                <w:b w:val="0"/>
              </w:rPr>
              <w:t xml:space="preserve">el Relator Especial sobre la Tortura y otros tratos o penas crueles, inhumanas o degradantes ha señalado </w:t>
            </w:r>
            <w:r w:rsidR="00440504" w:rsidRPr="00F5622A">
              <w:rPr>
                <w:rFonts w:asciiTheme="majorHAnsi" w:hAnsiTheme="majorHAnsi"/>
                <w:b w:val="0"/>
              </w:rPr>
              <w:t>que las ejecuciones públicas incrementan el trato cruel, inhumano y degradante típico de la pena de muerte, lo cual tiene un efecto deshumanizador sobre la persona, así como un efecto brutalizador sobre los testigos de la ejecución.</w:t>
            </w:r>
            <w:r w:rsidR="00A073A9" w:rsidRPr="00F5622A">
              <w:rPr>
                <w:rFonts w:asciiTheme="majorHAnsi" w:hAnsiTheme="majorHAnsi"/>
                <w:b w:val="0"/>
              </w:rPr>
              <w:t xml:space="preserve"> </w:t>
            </w:r>
            <w:r w:rsidR="007C7F33" w:rsidRPr="00F5622A">
              <w:rPr>
                <w:rFonts w:asciiTheme="majorHAnsi" w:hAnsiTheme="majorHAnsi"/>
                <w:b w:val="0"/>
              </w:rPr>
              <w:t>De acuerdo a lo desarrollado por el Comité de Derechos Humanos de Naciones Unidas, e</w:t>
            </w:r>
            <w:r w:rsidR="00A073A9" w:rsidRPr="00F5622A">
              <w:rPr>
                <w:rFonts w:asciiTheme="majorHAnsi" w:hAnsiTheme="majorHAnsi"/>
                <w:b w:val="0"/>
              </w:rPr>
              <w:t>nt</w:t>
            </w:r>
            <w:r w:rsidR="006C35A3" w:rsidRPr="00F5622A">
              <w:rPr>
                <w:rFonts w:asciiTheme="majorHAnsi" w:hAnsiTheme="majorHAnsi"/>
                <w:b w:val="0"/>
              </w:rPr>
              <w:t>re los métodos de ejecución que no superan el test del “menor sufrimiento posible” y</w:t>
            </w:r>
            <w:r w:rsidR="00A073A9" w:rsidRPr="00F5622A">
              <w:rPr>
                <w:rFonts w:asciiTheme="majorHAnsi" w:hAnsiTheme="majorHAnsi"/>
                <w:b w:val="0"/>
              </w:rPr>
              <w:t xml:space="preserve"> </w:t>
            </w:r>
            <w:r w:rsidR="006C35A3" w:rsidRPr="00F5622A">
              <w:rPr>
                <w:rFonts w:asciiTheme="majorHAnsi" w:hAnsiTheme="majorHAnsi"/>
                <w:b w:val="0"/>
              </w:rPr>
              <w:t>constituyen</w:t>
            </w:r>
            <w:r w:rsidR="006C35A3" w:rsidRPr="00F5622A">
              <w:rPr>
                <w:rFonts w:asciiTheme="majorHAnsi" w:hAnsiTheme="majorHAnsi"/>
              </w:rPr>
              <w:t xml:space="preserve"> </w:t>
            </w:r>
            <w:r w:rsidR="00A073A9" w:rsidRPr="00F5622A">
              <w:rPr>
                <w:rFonts w:asciiTheme="majorHAnsi" w:hAnsiTheme="majorHAnsi"/>
                <w:b w:val="0"/>
              </w:rPr>
              <w:t xml:space="preserve">tratos crueles, inhumanos y degradantes </w:t>
            </w:r>
            <w:r w:rsidR="00216730" w:rsidRPr="00F5622A">
              <w:rPr>
                <w:rFonts w:asciiTheme="majorHAnsi" w:hAnsiTheme="majorHAnsi"/>
                <w:b w:val="0"/>
              </w:rPr>
              <w:t>están la lapidación, decapitación, electrocución, o disparos, ya que infligen un dolor insoportable a la víctima.</w:t>
            </w:r>
          </w:p>
          <w:p w14:paraId="260CA88B" w14:textId="77777777" w:rsidR="005A590C" w:rsidRPr="00F5622A" w:rsidRDefault="005A590C" w:rsidP="00C70066">
            <w:pPr>
              <w:spacing w:after="0" w:line="240" w:lineRule="auto"/>
              <w:jc w:val="both"/>
              <w:rPr>
                <w:rFonts w:asciiTheme="majorHAnsi" w:hAnsiTheme="majorHAnsi"/>
                <w:b w:val="0"/>
              </w:rPr>
            </w:pPr>
          </w:p>
          <w:p w14:paraId="4EAAAA32" w14:textId="2B186709" w:rsidR="00B15740" w:rsidRPr="00F5622A" w:rsidRDefault="00921DFA" w:rsidP="00C70066">
            <w:pPr>
              <w:spacing w:after="0" w:line="240" w:lineRule="auto"/>
              <w:jc w:val="both"/>
              <w:rPr>
                <w:rFonts w:asciiTheme="majorHAnsi" w:hAnsiTheme="majorHAnsi"/>
                <w:b w:val="0"/>
              </w:rPr>
            </w:pPr>
            <w:r w:rsidRPr="00F5622A">
              <w:rPr>
                <w:rFonts w:asciiTheme="majorHAnsi" w:hAnsiTheme="majorHAnsi"/>
                <w:b w:val="0"/>
              </w:rPr>
              <w:t xml:space="preserve">En </w:t>
            </w:r>
            <w:r w:rsidR="002F3DA1">
              <w:rPr>
                <w:rFonts w:asciiTheme="majorHAnsi" w:hAnsiTheme="majorHAnsi"/>
                <w:b w:val="0"/>
              </w:rPr>
              <w:t>este</w:t>
            </w:r>
            <w:r w:rsidRPr="00F5622A">
              <w:rPr>
                <w:rFonts w:asciiTheme="majorHAnsi" w:hAnsiTheme="majorHAnsi"/>
                <w:b w:val="0"/>
              </w:rPr>
              <w:t xml:space="preserve"> caso, la CIDH consider</w:t>
            </w:r>
            <w:r w:rsidR="00DD2B04" w:rsidRPr="00F5622A">
              <w:rPr>
                <w:rFonts w:asciiTheme="majorHAnsi" w:hAnsiTheme="majorHAnsi"/>
                <w:b w:val="0"/>
              </w:rPr>
              <w:t>ó</w:t>
            </w:r>
            <w:r w:rsidRPr="00F5622A">
              <w:rPr>
                <w:rFonts w:asciiTheme="majorHAnsi" w:hAnsiTheme="majorHAnsi"/>
                <w:b w:val="0"/>
              </w:rPr>
              <w:t xml:space="preserve"> que el uso de armas de fuego para ejecutar la pena de muerte </w:t>
            </w:r>
            <w:r w:rsidR="00DD2B04" w:rsidRPr="00F5622A">
              <w:rPr>
                <w:rFonts w:asciiTheme="majorHAnsi" w:hAnsiTheme="majorHAnsi"/>
                <w:b w:val="0"/>
              </w:rPr>
              <w:t xml:space="preserve">podía </w:t>
            </w:r>
            <w:r w:rsidRPr="00F5622A">
              <w:rPr>
                <w:rFonts w:asciiTheme="majorHAnsi" w:hAnsiTheme="majorHAnsi"/>
                <w:b w:val="0"/>
              </w:rPr>
              <w:t>generar prolongada agonía y sufrimiento, lo cual quedó demostrado en el caso del señor Castillo, quien tuvo que recibir un “tiro de gracia” ya que no f</w:t>
            </w:r>
            <w:r w:rsidR="00074783" w:rsidRPr="00F5622A">
              <w:rPr>
                <w:rFonts w:asciiTheme="majorHAnsi" w:hAnsiTheme="majorHAnsi"/>
                <w:b w:val="0"/>
              </w:rPr>
              <w:t>alleció con los disparos realizados</w:t>
            </w:r>
            <w:r w:rsidRPr="00F5622A">
              <w:rPr>
                <w:rFonts w:asciiTheme="majorHAnsi" w:hAnsiTheme="majorHAnsi"/>
                <w:b w:val="0"/>
              </w:rPr>
              <w:t xml:space="preserve"> por el pelotón de fusilamiento. Además, la transmisión por televisión nacional de la ejecución contribuyó a aumentar el nivel de sufrimiento experimentado, en tanto convirtió la ejecución de la pena en un espectáculo público.</w:t>
            </w:r>
          </w:p>
          <w:p w14:paraId="045027DE" w14:textId="77777777" w:rsidR="00B15740" w:rsidRPr="00F5622A" w:rsidRDefault="00B15740" w:rsidP="00C70066">
            <w:pPr>
              <w:spacing w:after="0" w:line="240" w:lineRule="auto"/>
              <w:jc w:val="both"/>
              <w:rPr>
                <w:rFonts w:asciiTheme="majorHAnsi" w:hAnsiTheme="majorHAnsi"/>
                <w:b w:val="0"/>
              </w:rPr>
            </w:pPr>
          </w:p>
          <w:p w14:paraId="21751B01" w14:textId="010E270D" w:rsidR="00CC1352" w:rsidRPr="00F5622A" w:rsidRDefault="00DD2B04" w:rsidP="00065329">
            <w:pPr>
              <w:spacing w:after="0" w:line="240" w:lineRule="auto"/>
              <w:jc w:val="both"/>
              <w:rPr>
                <w:rFonts w:asciiTheme="majorHAnsi" w:hAnsiTheme="majorHAnsi"/>
                <w:b w:val="0"/>
              </w:rPr>
            </w:pPr>
            <w:r w:rsidRPr="00F5622A">
              <w:rPr>
                <w:rFonts w:asciiTheme="majorHAnsi" w:hAnsiTheme="majorHAnsi"/>
                <w:b w:val="0"/>
              </w:rPr>
              <w:t>La CIDH evaluó</w:t>
            </w:r>
            <w:r w:rsidR="00B15740" w:rsidRPr="00F5622A">
              <w:rPr>
                <w:rFonts w:asciiTheme="majorHAnsi" w:hAnsiTheme="majorHAnsi"/>
                <w:b w:val="0"/>
              </w:rPr>
              <w:t xml:space="preserve"> </w:t>
            </w:r>
            <w:r w:rsidR="002F3DA1" w:rsidRPr="00F5622A">
              <w:rPr>
                <w:rFonts w:asciiTheme="majorHAnsi" w:hAnsiTheme="majorHAnsi"/>
                <w:b w:val="0"/>
              </w:rPr>
              <w:t xml:space="preserve">también </w:t>
            </w:r>
            <w:r w:rsidR="00B15740" w:rsidRPr="00F5622A">
              <w:rPr>
                <w:rFonts w:asciiTheme="majorHAnsi" w:hAnsiTheme="majorHAnsi"/>
                <w:b w:val="0"/>
              </w:rPr>
              <w:t xml:space="preserve">si el modo de ejecución de la pena de muerte </w:t>
            </w:r>
            <w:r w:rsidR="00AD41B5" w:rsidRPr="00F5622A">
              <w:rPr>
                <w:rFonts w:asciiTheme="majorHAnsi" w:hAnsiTheme="majorHAnsi"/>
                <w:b w:val="0"/>
              </w:rPr>
              <w:t>p</w:t>
            </w:r>
            <w:r w:rsidR="002F3DA1">
              <w:rPr>
                <w:rFonts w:asciiTheme="majorHAnsi" w:hAnsiTheme="majorHAnsi"/>
                <w:b w:val="0"/>
              </w:rPr>
              <w:t xml:space="preserve">odía </w:t>
            </w:r>
            <w:r w:rsidR="00AD41B5" w:rsidRPr="00F5622A">
              <w:rPr>
                <w:rFonts w:asciiTheme="majorHAnsi" w:hAnsiTheme="majorHAnsi"/>
                <w:b w:val="0"/>
              </w:rPr>
              <w:t xml:space="preserve">ser calificado como tortura, para lo cual </w:t>
            </w:r>
            <w:r w:rsidRPr="00F5622A">
              <w:rPr>
                <w:rFonts w:asciiTheme="majorHAnsi" w:hAnsiTheme="majorHAnsi"/>
                <w:b w:val="0"/>
              </w:rPr>
              <w:t>tomó</w:t>
            </w:r>
            <w:r w:rsidR="00AD41B5" w:rsidRPr="00F5622A">
              <w:rPr>
                <w:rFonts w:asciiTheme="majorHAnsi" w:hAnsiTheme="majorHAnsi"/>
                <w:b w:val="0"/>
              </w:rPr>
              <w:t xml:space="preserve"> en cuenta que </w:t>
            </w:r>
            <w:r w:rsidRPr="00F5622A">
              <w:rPr>
                <w:rFonts w:asciiTheme="majorHAnsi" w:hAnsiTheme="majorHAnsi"/>
                <w:b w:val="0"/>
              </w:rPr>
              <w:t xml:space="preserve">tres </w:t>
            </w:r>
            <w:r w:rsidR="002F3DA1">
              <w:rPr>
                <w:rFonts w:asciiTheme="majorHAnsi" w:hAnsiTheme="majorHAnsi"/>
                <w:b w:val="0"/>
              </w:rPr>
              <w:t>elementos: i</w:t>
            </w:r>
            <w:r w:rsidR="00AD41B5" w:rsidRPr="00F5622A">
              <w:rPr>
                <w:rFonts w:asciiTheme="majorHAnsi" w:hAnsiTheme="majorHAnsi"/>
                <w:b w:val="0"/>
              </w:rPr>
              <w:t>) que sea un acto intencional cometido por un agente del Estado o con su autorización y aquiescencia, b) que cause intenso sufrimiento físico o mental, y c) que se cometa con determinado fin o propósito.</w:t>
            </w:r>
            <w:r w:rsidR="002F3DA1">
              <w:rPr>
                <w:rFonts w:asciiTheme="majorHAnsi" w:hAnsiTheme="majorHAnsi"/>
                <w:b w:val="0"/>
              </w:rPr>
              <w:t xml:space="preserve"> </w:t>
            </w:r>
            <w:r w:rsidRPr="00F5622A">
              <w:rPr>
                <w:rFonts w:asciiTheme="majorHAnsi" w:hAnsiTheme="majorHAnsi"/>
                <w:b w:val="0"/>
              </w:rPr>
              <w:t>L</w:t>
            </w:r>
            <w:r w:rsidR="00925B83" w:rsidRPr="00F5622A">
              <w:rPr>
                <w:rFonts w:asciiTheme="majorHAnsi" w:hAnsiTheme="majorHAnsi"/>
                <w:b w:val="0"/>
              </w:rPr>
              <w:t xml:space="preserve">a CIDH </w:t>
            </w:r>
            <w:r w:rsidRPr="00F5622A">
              <w:rPr>
                <w:rFonts w:asciiTheme="majorHAnsi" w:hAnsiTheme="majorHAnsi"/>
                <w:b w:val="0"/>
              </w:rPr>
              <w:t>estimó</w:t>
            </w:r>
            <w:r w:rsidR="00925B83" w:rsidRPr="00F5622A">
              <w:rPr>
                <w:rFonts w:asciiTheme="majorHAnsi" w:hAnsiTheme="majorHAnsi"/>
                <w:b w:val="0"/>
              </w:rPr>
              <w:t xml:space="preserve"> que </w:t>
            </w:r>
            <w:r w:rsidRPr="00F5622A">
              <w:rPr>
                <w:rFonts w:asciiTheme="majorHAnsi" w:hAnsiTheme="majorHAnsi"/>
                <w:b w:val="0"/>
              </w:rPr>
              <w:t xml:space="preserve">el primer y tercer elemento </w:t>
            </w:r>
            <w:r w:rsidR="001D2965" w:rsidRPr="00F5622A">
              <w:rPr>
                <w:rFonts w:asciiTheme="majorHAnsi" w:hAnsiTheme="majorHAnsi"/>
                <w:b w:val="0"/>
              </w:rPr>
              <w:t xml:space="preserve">se </w:t>
            </w:r>
            <w:r w:rsidRPr="00F5622A">
              <w:rPr>
                <w:rFonts w:asciiTheme="majorHAnsi" w:hAnsiTheme="majorHAnsi"/>
                <w:b w:val="0"/>
              </w:rPr>
              <w:t xml:space="preserve">cumplían </w:t>
            </w:r>
            <w:r w:rsidR="001D2965" w:rsidRPr="00F5622A">
              <w:rPr>
                <w:rFonts w:asciiTheme="majorHAnsi" w:hAnsiTheme="majorHAnsi"/>
                <w:b w:val="0"/>
              </w:rPr>
              <w:t xml:space="preserve">en tanto la pena </w:t>
            </w:r>
            <w:r w:rsidR="000432B3" w:rsidRPr="00F5622A">
              <w:rPr>
                <w:rFonts w:asciiTheme="majorHAnsi" w:hAnsiTheme="majorHAnsi"/>
                <w:b w:val="0"/>
              </w:rPr>
              <w:t>s</w:t>
            </w:r>
            <w:r w:rsidR="001D2965" w:rsidRPr="00F5622A">
              <w:rPr>
                <w:rFonts w:asciiTheme="majorHAnsi" w:hAnsiTheme="majorHAnsi"/>
                <w:b w:val="0"/>
              </w:rPr>
              <w:t xml:space="preserve">e encontraba establecida por ley para sancionar el delito de violación agravada, del cual fueron encontrados responsables el señor Girón y el señor Castillo. </w:t>
            </w:r>
            <w:r w:rsidR="008440BD" w:rsidRPr="00F5622A">
              <w:rPr>
                <w:rFonts w:asciiTheme="majorHAnsi" w:hAnsiTheme="majorHAnsi"/>
                <w:b w:val="0"/>
              </w:rPr>
              <w:t xml:space="preserve">Respecto al segundo elemento, </w:t>
            </w:r>
            <w:r w:rsidRPr="00F5622A">
              <w:rPr>
                <w:rFonts w:asciiTheme="majorHAnsi" w:hAnsiTheme="majorHAnsi"/>
                <w:b w:val="0"/>
              </w:rPr>
              <w:t>consideró que este también se cumplía debido a que</w:t>
            </w:r>
            <w:r w:rsidR="008440BD" w:rsidRPr="00F5622A">
              <w:rPr>
                <w:rFonts w:asciiTheme="majorHAnsi" w:hAnsiTheme="majorHAnsi"/>
                <w:b w:val="0"/>
              </w:rPr>
              <w:t xml:space="preserve">: i) la ejecución </w:t>
            </w:r>
            <w:r w:rsidRPr="00F5622A">
              <w:rPr>
                <w:rFonts w:asciiTheme="majorHAnsi" w:hAnsiTheme="majorHAnsi"/>
                <w:b w:val="0"/>
              </w:rPr>
              <w:t xml:space="preserve">se </w:t>
            </w:r>
            <w:r w:rsidR="008440BD" w:rsidRPr="00F5622A">
              <w:rPr>
                <w:rFonts w:asciiTheme="majorHAnsi" w:hAnsiTheme="majorHAnsi"/>
                <w:b w:val="0"/>
              </w:rPr>
              <w:t xml:space="preserve">realizó </w:t>
            </w:r>
            <w:r w:rsidRPr="00F5622A">
              <w:rPr>
                <w:rFonts w:asciiTheme="majorHAnsi" w:hAnsiTheme="majorHAnsi"/>
                <w:b w:val="0"/>
              </w:rPr>
              <w:t xml:space="preserve">por </w:t>
            </w:r>
            <w:r w:rsidR="008440BD" w:rsidRPr="00F5622A">
              <w:rPr>
                <w:rFonts w:asciiTheme="majorHAnsi" w:hAnsiTheme="majorHAnsi"/>
                <w:b w:val="0"/>
              </w:rPr>
              <w:t xml:space="preserve">un pelotón de fusilamiento compuesto por 20 personas, ii) Pedro Castillo no falleció de forma instantánea tras la descarga del pelotón, </w:t>
            </w:r>
            <w:r w:rsidRPr="00F5622A">
              <w:rPr>
                <w:rFonts w:asciiTheme="majorHAnsi" w:hAnsiTheme="majorHAnsi"/>
                <w:b w:val="0"/>
              </w:rPr>
              <w:t>sino</w:t>
            </w:r>
            <w:r w:rsidR="008440BD" w:rsidRPr="00F5622A">
              <w:rPr>
                <w:rFonts w:asciiTheme="majorHAnsi" w:hAnsiTheme="majorHAnsi"/>
                <w:b w:val="0"/>
              </w:rPr>
              <w:t xml:space="preserve"> que tuvo que recibir un “tiro de gracia”, y iii) las ejecuciones fueron televisadas con el fin de exponerlos al escarnio público. </w:t>
            </w:r>
            <w:r w:rsidR="006209CE" w:rsidRPr="00F5622A">
              <w:rPr>
                <w:rFonts w:asciiTheme="majorHAnsi" w:hAnsiTheme="majorHAnsi"/>
                <w:b w:val="0"/>
              </w:rPr>
              <w:t xml:space="preserve">Al configurarse los tres elementos, </w:t>
            </w:r>
            <w:r w:rsidRPr="00F5622A">
              <w:rPr>
                <w:rFonts w:asciiTheme="majorHAnsi" w:hAnsiTheme="majorHAnsi"/>
                <w:b w:val="0"/>
              </w:rPr>
              <w:t xml:space="preserve">la CIDH calificó estos hechos como tortura. </w:t>
            </w:r>
          </w:p>
          <w:p w14:paraId="37424285" w14:textId="77777777" w:rsidR="00CC1352" w:rsidRPr="00F5622A" w:rsidRDefault="00CC1352" w:rsidP="00065329">
            <w:pPr>
              <w:spacing w:after="0" w:line="240" w:lineRule="auto"/>
              <w:jc w:val="both"/>
              <w:rPr>
                <w:rFonts w:asciiTheme="majorHAnsi" w:hAnsiTheme="majorHAnsi"/>
                <w:b w:val="0"/>
              </w:rPr>
            </w:pPr>
          </w:p>
          <w:p w14:paraId="030B93DB" w14:textId="29449CF3" w:rsidR="00D023CF" w:rsidRPr="00F5622A" w:rsidRDefault="002F3DA1" w:rsidP="00065329">
            <w:pPr>
              <w:spacing w:after="0" w:line="240" w:lineRule="auto"/>
              <w:jc w:val="both"/>
              <w:rPr>
                <w:rFonts w:asciiTheme="majorHAnsi" w:hAnsiTheme="majorHAnsi"/>
                <w:b w:val="0"/>
              </w:rPr>
            </w:pPr>
            <w:r>
              <w:rPr>
                <w:rFonts w:asciiTheme="majorHAnsi" w:hAnsiTheme="majorHAnsi"/>
                <w:b w:val="0"/>
              </w:rPr>
              <w:lastRenderedPageBreak/>
              <w:t>Por estas razones, la</w:t>
            </w:r>
            <w:r w:rsidR="006F5433" w:rsidRPr="00F5622A">
              <w:rPr>
                <w:rFonts w:asciiTheme="majorHAnsi" w:hAnsiTheme="majorHAnsi"/>
                <w:b w:val="0"/>
              </w:rPr>
              <w:t xml:space="preserve"> CIDH declaró que Guatemala </w:t>
            </w:r>
            <w:r w:rsidR="00DD2B04" w:rsidRPr="00F5622A">
              <w:rPr>
                <w:rFonts w:asciiTheme="majorHAnsi" w:hAnsiTheme="majorHAnsi"/>
                <w:b w:val="0"/>
              </w:rPr>
              <w:t xml:space="preserve">había violado </w:t>
            </w:r>
            <w:r w:rsidR="00B15740" w:rsidRPr="00F5622A">
              <w:rPr>
                <w:rFonts w:asciiTheme="majorHAnsi" w:hAnsiTheme="majorHAnsi"/>
                <w:b w:val="0"/>
              </w:rPr>
              <w:t xml:space="preserve">los artículos 5.1 y 5.2 de la CADH, en relación con los artículos 1.1 y 2, </w:t>
            </w:r>
            <w:r w:rsidR="00920B79" w:rsidRPr="00F5622A">
              <w:rPr>
                <w:rFonts w:asciiTheme="majorHAnsi" w:hAnsiTheme="majorHAnsi"/>
                <w:b w:val="0"/>
              </w:rPr>
              <w:t xml:space="preserve">en perjuicio de </w:t>
            </w:r>
            <w:r>
              <w:rPr>
                <w:rFonts w:asciiTheme="majorHAnsi" w:hAnsiTheme="majorHAnsi"/>
                <w:b w:val="0"/>
              </w:rPr>
              <w:t xml:space="preserve">los señores </w:t>
            </w:r>
            <w:r w:rsidR="00920B79" w:rsidRPr="00F5622A">
              <w:rPr>
                <w:rFonts w:asciiTheme="majorHAnsi" w:hAnsiTheme="majorHAnsi"/>
                <w:b w:val="0"/>
              </w:rPr>
              <w:t xml:space="preserve">Girón y Castillo. </w:t>
            </w:r>
            <w:r w:rsidR="00C63822" w:rsidRPr="00F5622A">
              <w:rPr>
                <w:rFonts w:asciiTheme="majorHAnsi" w:hAnsiTheme="majorHAnsi"/>
                <w:b w:val="0"/>
              </w:rPr>
              <w:t>A</w:t>
            </w:r>
            <w:r w:rsidR="00580E71" w:rsidRPr="00F5622A">
              <w:rPr>
                <w:rFonts w:asciiTheme="majorHAnsi" w:hAnsiTheme="majorHAnsi"/>
                <w:b w:val="0"/>
              </w:rPr>
              <w:t xml:space="preserve">demás, </w:t>
            </w:r>
            <w:r w:rsidR="006F5433" w:rsidRPr="00F5622A">
              <w:rPr>
                <w:rFonts w:asciiTheme="majorHAnsi" w:hAnsiTheme="majorHAnsi"/>
                <w:b w:val="0"/>
              </w:rPr>
              <w:t>consideró que el Estado</w:t>
            </w:r>
            <w:r w:rsidR="00580E71" w:rsidRPr="00F5622A">
              <w:rPr>
                <w:rFonts w:asciiTheme="majorHAnsi" w:hAnsiTheme="majorHAnsi"/>
              </w:rPr>
              <w:t xml:space="preserve"> </w:t>
            </w:r>
            <w:r w:rsidR="00580E71" w:rsidRPr="00F5622A">
              <w:rPr>
                <w:rFonts w:asciiTheme="majorHAnsi" w:hAnsiTheme="majorHAnsi"/>
                <w:b w:val="0"/>
              </w:rPr>
              <w:t>había violado los artículos 1 y 6 de la CIPST</w:t>
            </w:r>
            <w:r>
              <w:rPr>
                <w:rFonts w:asciiTheme="majorHAnsi" w:hAnsiTheme="majorHAnsi"/>
                <w:b w:val="0"/>
              </w:rPr>
              <w:t>,</w:t>
            </w:r>
            <w:r w:rsidR="00CC1352" w:rsidRPr="00F5622A">
              <w:rPr>
                <w:rFonts w:asciiTheme="majorHAnsi" w:hAnsiTheme="majorHAnsi"/>
                <w:b w:val="0"/>
              </w:rPr>
              <w:t xml:space="preserve"> que</w:t>
            </w:r>
            <w:r w:rsidR="00580E71" w:rsidRPr="00F5622A">
              <w:rPr>
                <w:rFonts w:asciiTheme="majorHAnsi" w:hAnsiTheme="majorHAnsi"/>
                <w:b w:val="0"/>
              </w:rPr>
              <w:t xml:space="preserve"> establece</w:t>
            </w:r>
            <w:r w:rsidR="00CC1352" w:rsidRPr="00F5622A">
              <w:rPr>
                <w:rFonts w:asciiTheme="majorHAnsi" w:hAnsiTheme="majorHAnsi"/>
                <w:b w:val="0"/>
              </w:rPr>
              <w:t>n</w:t>
            </w:r>
            <w:r w:rsidR="00580E71" w:rsidRPr="00F5622A">
              <w:rPr>
                <w:rFonts w:asciiTheme="majorHAnsi" w:hAnsiTheme="majorHAnsi"/>
                <w:b w:val="0"/>
              </w:rPr>
              <w:t xml:space="preserve"> que los Estado</w:t>
            </w:r>
            <w:r w:rsidR="006F5433" w:rsidRPr="00F5622A">
              <w:rPr>
                <w:rFonts w:asciiTheme="majorHAnsi" w:hAnsiTheme="majorHAnsi"/>
                <w:b w:val="0"/>
              </w:rPr>
              <w:t>s</w:t>
            </w:r>
            <w:r w:rsidR="00CC1352" w:rsidRPr="00F5622A">
              <w:rPr>
                <w:rFonts w:asciiTheme="majorHAnsi" w:hAnsiTheme="majorHAnsi"/>
                <w:b w:val="0"/>
              </w:rPr>
              <w:t xml:space="preserve"> deben prevenir y sancionar la tortura.</w:t>
            </w:r>
          </w:p>
          <w:p w14:paraId="02FBA884" w14:textId="77777777" w:rsidR="00065329" w:rsidRPr="00F5622A" w:rsidRDefault="00065329" w:rsidP="00065329">
            <w:pPr>
              <w:spacing w:after="0" w:line="240" w:lineRule="auto"/>
              <w:jc w:val="both"/>
              <w:rPr>
                <w:rFonts w:asciiTheme="majorHAnsi" w:hAnsiTheme="majorHAnsi"/>
                <w:b w:val="0"/>
              </w:rPr>
            </w:pPr>
          </w:p>
          <w:p w14:paraId="6E33FD7D" w14:textId="77777777" w:rsidR="00D023CF" w:rsidRPr="00F5622A" w:rsidRDefault="00D023CF" w:rsidP="00A14AE3">
            <w:pPr>
              <w:spacing w:after="0" w:line="240" w:lineRule="auto"/>
              <w:jc w:val="both"/>
              <w:rPr>
                <w:rFonts w:asciiTheme="majorHAnsi" w:hAnsiTheme="majorHAnsi"/>
              </w:rPr>
            </w:pPr>
            <w:r w:rsidRPr="00F5622A">
              <w:rPr>
                <w:rFonts w:asciiTheme="majorHAnsi" w:hAnsiTheme="majorHAnsi"/>
              </w:rPr>
              <w:t>Derecho a la vida por la imposición y ejecución de la pena de muerte (artículo 4 de la CADH)</w:t>
            </w:r>
          </w:p>
          <w:p w14:paraId="5B90A8CF" w14:textId="77777777" w:rsidR="000B047F" w:rsidRPr="00F5622A" w:rsidRDefault="000B047F" w:rsidP="000B047F">
            <w:pPr>
              <w:spacing w:after="0" w:line="240" w:lineRule="auto"/>
              <w:jc w:val="both"/>
              <w:rPr>
                <w:rFonts w:asciiTheme="majorHAnsi" w:hAnsiTheme="majorHAnsi"/>
                <w:b w:val="0"/>
              </w:rPr>
            </w:pPr>
          </w:p>
          <w:p w14:paraId="2124A275" w14:textId="1D2D288B" w:rsidR="0064554B" w:rsidRPr="00F5622A" w:rsidRDefault="0031044F" w:rsidP="0064554B">
            <w:pPr>
              <w:spacing w:after="0" w:line="240" w:lineRule="auto"/>
              <w:jc w:val="both"/>
              <w:rPr>
                <w:rFonts w:asciiTheme="majorHAnsi" w:hAnsiTheme="majorHAnsi"/>
                <w:b w:val="0"/>
              </w:rPr>
            </w:pPr>
            <w:r w:rsidRPr="00F5622A">
              <w:rPr>
                <w:rFonts w:asciiTheme="majorHAnsi" w:hAnsiTheme="majorHAnsi"/>
                <w:b w:val="0"/>
              </w:rPr>
              <w:t xml:space="preserve">Los estándares del </w:t>
            </w:r>
            <w:r w:rsidR="002F3DA1">
              <w:rPr>
                <w:rFonts w:asciiTheme="majorHAnsi" w:hAnsiTheme="majorHAnsi"/>
                <w:b w:val="0"/>
              </w:rPr>
              <w:t>SIDH</w:t>
            </w:r>
            <w:r w:rsidRPr="00F5622A">
              <w:rPr>
                <w:rFonts w:asciiTheme="majorHAnsi" w:hAnsiTheme="majorHAnsi"/>
                <w:b w:val="0"/>
              </w:rPr>
              <w:t xml:space="preserve"> </w:t>
            </w:r>
            <w:r w:rsidR="00180CED" w:rsidRPr="00F5622A">
              <w:rPr>
                <w:rFonts w:asciiTheme="majorHAnsi" w:hAnsiTheme="majorHAnsi"/>
                <w:b w:val="0"/>
              </w:rPr>
              <w:t xml:space="preserve">sobre la imposición de la pena de muerte </w:t>
            </w:r>
            <w:r w:rsidR="0063417B" w:rsidRPr="00F5622A">
              <w:rPr>
                <w:rFonts w:asciiTheme="majorHAnsi" w:hAnsiTheme="majorHAnsi"/>
                <w:b w:val="0"/>
              </w:rPr>
              <w:t xml:space="preserve">establecen que: i) solo puede imponerse a los delitos más graves, ii) </w:t>
            </w:r>
            <w:r w:rsidR="00D67FCB" w:rsidRPr="00F5622A">
              <w:rPr>
                <w:rFonts w:asciiTheme="majorHAnsi" w:hAnsiTheme="majorHAnsi"/>
                <w:b w:val="0"/>
              </w:rPr>
              <w:t xml:space="preserve">no puede extenderse su uso al futuro para delitos para los cuales la pena no estaba prevista al momento de la ratificación de la CADH, </w:t>
            </w:r>
            <w:r w:rsidR="00DD2B04" w:rsidRPr="00F5622A">
              <w:rPr>
                <w:rFonts w:asciiTheme="majorHAnsi" w:hAnsiTheme="majorHAnsi"/>
                <w:b w:val="0"/>
              </w:rPr>
              <w:t xml:space="preserve">y </w:t>
            </w:r>
            <w:r w:rsidR="00D67FCB" w:rsidRPr="00F5622A">
              <w:rPr>
                <w:rFonts w:asciiTheme="majorHAnsi" w:hAnsiTheme="majorHAnsi"/>
                <w:b w:val="0"/>
              </w:rPr>
              <w:t>iii) su imposición en el marco de procesos que vulneren el debido proceso constituye una violación de</w:t>
            </w:r>
            <w:r w:rsidR="00534FD6" w:rsidRPr="00F5622A">
              <w:rPr>
                <w:rFonts w:asciiTheme="majorHAnsi" w:hAnsiTheme="majorHAnsi"/>
                <w:b w:val="0"/>
              </w:rPr>
              <w:t>l artículo 4.2 de la CADH.</w:t>
            </w:r>
            <w:r w:rsidR="002F3DA1">
              <w:rPr>
                <w:rFonts w:asciiTheme="majorHAnsi" w:hAnsiTheme="majorHAnsi"/>
                <w:b w:val="0"/>
              </w:rPr>
              <w:t xml:space="preserve"> </w:t>
            </w:r>
            <w:r w:rsidR="00534FD6" w:rsidRPr="00F5622A">
              <w:rPr>
                <w:rFonts w:asciiTheme="majorHAnsi" w:hAnsiTheme="majorHAnsi"/>
                <w:b w:val="0"/>
              </w:rPr>
              <w:t xml:space="preserve">En </w:t>
            </w:r>
            <w:r w:rsidR="002F3DA1">
              <w:rPr>
                <w:rFonts w:asciiTheme="majorHAnsi" w:hAnsiTheme="majorHAnsi"/>
                <w:b w:val="0"/>
              </w:rPr>
              <w:t>este caso en particular</w:t>
            </w:r>
            <w:r w:rsidR="00534FD6" w:rsidRPr="00F5622A">
              <w:rPr>
                <w:rFonts w:asciiTheme="majorHAnsi" w:hAnsiTheme="majorHAnsi"/>
                <w:b w:val="0"/>
              </w:rPr>
              <w:t xml:space="preserve">, </w:t>
            </w:r>
            <w:r w:rsidR="00485205" w:rsidRPr="00F5622A">
              <w:rPr>
                <w:rFonts w:asciiTheme="majorHAnsi" w:hAnsiTheme="majorHAnsi"/>
                <w:b w:val="0"/>
              </w:rPr>
              <w:t xml:space="preserve">se </w:t>
            </w:r>
            <w:r w:rsidR="002F3DA1">
              <w:rPr>
                <w:rFonts w:asciiTheme="majorHAnsi" w:hAnsiTheme="majorHAnsi"/>
                <w:b w:val="0"/>
              </w:rPr>
              <w:t>comprobó</w:t>
            </w:r>
            <w:r w:rsidR="00E069A0" w:rsidRPr="00F5622A">
              <w:rPr>
                <w:rFonts w:asciiTheme="majorHAnsi" w:hAnsiTheme="majorHAnsi"/>
                <w:b w:val="0"/>
              </w:rPr>
              <w:t xml:space="preserve"> que se violó el derecho al debido proceso en el ámbito del derecho a la defensa y que el método de ejecución constituyó por sí mismo un trato cruel, inhumano y degradante, por lo que la privación del derecho a la vida fue arbitraria. En ese sentido, la CIDH declaró la violación por parte del Estado de Guatemala de los artículos 4.1 y 4.2 de la CADH, en relación con los artículos 1.1 y 2, </w:t>
            </w:r>
            <w:r w:rsidR="00EC6A30" w:rsidRPr="00F5622A">
              <w:rPr>
                <w:rFonts w:asciiTheme="majorHAnsi" w:hAnsiTheme="majorHAnsi"/>
                <w:b w:val="0"/>
              </w:rPr>
              <w:t xml:space="preserve">en perjuicio de </w:t>
            </w:r>
            <w:r w:rsidR="002F3DA1">
              <w:rPr>
                <w:rFonts w:asciiTheme="majorHAnsi" w:hAnsiTheme="majorHAnsi"/>
                <w:b w:val="0"/>
              </w:rPr>
              <w:t>los señores</w:t>
            </w:r>
            <w:r w:rsidR="00EC6A30" w:rsidRPr="00F5622A">
              <w:rPr>
                <w:rFonts w:asciiTheme="majorHAnsi" w:hAnsiTheme="majorHAnsi"/>
                <w:b w:val="0"/>
              </w:rPr>
              <w:t xml:space="preserve"> Girón y Castillo.</w:t>
            </w:r>
          </w:p>
          <w:p w14:paraId="157928CA" w14:textId="77777777" w:rsidR="00093C09" w:rsidRPr="00F5622A" w:rsidRDefault="00093C09" w:rsidP="0064554B">
            <w:pPr>
              <w:spacing w:after="0" w:line="240" w:lineRule="auto"/>
              <w:jc w:val="both"/>
              <w:rPr>
                <w:rFonts w:asciiTheme="majorHAnsi" w:hAnsiTheme="majorHAnsi"/>
                <w:b w:val="0"/>
              </w:rPr>
            </w:pPr>
          </w:p>
        </w:tc>
      </w:tr>
      <w:tr w:rsidR="00DC336A" w:rsidRPr="00F5622A" w14:paraId="786A6465" w14:textId="77777777" w:rsidTr="00A14AE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vAlign w:val="center"/>
          </w:tcPr>
          <w:p w14:paraId="036FF082" w14:textId="77777777" w:rsidR="00DC336A" w:rsidRPr="00F5622A" w:rsidRDefault="00DC336A" w:rsidP="00A14AE3">
            <w:pPr>
              <w:pStyle w:val="ListParagraph"/>
              <w:numPr>
                <w:ilvl w:val="0"/>
                <w:numId w:val="1"/>
              </w:numPr>
              <w:spacing w:after="0" w:line="240" w:lineRule="auto"/>
              <w:jc w:val="center"/>
              <w:rPr>
                <w:rFonts w:asciiTheme="majorHAnsi" w:hAnsiTheme="majorHAnsi"/>
              </w:rPr>
            </w:pPr>
            <w:r w:rsidRPr="00F5622A">
              <w:rPr>
                <w:rFonts w:asciiTheme="majorHAnsi" w:hAnsiTheme="majorHAnsi"/>
              </w:rPr>
              <w:lastRenderedPageBreak/>
              <w:t>Recomendaciones</w:t>
            </w:r>
            <w:r w:rsidR="00924FFD" w:rsidRPr="00F5622A">
              <w:rPr>
                <w:rFonts w:asciiTheme="majorHAnsi" w:hAnsiTheme="majorHAnsi"/>
              </w:rPr>
              <w:t xml:space="preserve"> de la CIDH al Estado</w:t>
            </w:r>
          </w:p>
        </w:tc>
      </w:tr>
      <w:tr w:rsidR="00DC336A" w:rsidRPr="00F5622A" w14:paraId="0CAE4EF2" w14:textId="77777777" w:rsidTr="0008522C">
        <w:trPr>
          <w:trHeight w:val="463"/>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tcPr>
          <w:p w14:paraId="249A673C" w14:textId="77777777" w:rsidR="00CB3098" w:rsidRPr="00C8402A" w:rsidRDefault="00CB3098" w:rsidP="00C8402A">
            <w:pPr>
              <w:pStyle w:val="ListParagraph"/>
              <w:spacing w:after="0" w:line="240" w:lineRule="auto"/>
              <w:ind w:left="360"/>
              <w:jc w:val="both"/>
              <w:rPr>
                <w:rFonts w:asciiTheme="majorHAnsi" w:hAnsiTheme="majorHAnsi"/>
                <w:b w:val="0"/>
              </w:rPr>
            </w:pPr>
          </w:p>
          <w:p w14:paraId="27310190" w14:textId="78B75A89" w:rsidR="00C8402A" w:rsidRPr="00C8402A" w:rsidRDefault="00C8402A" w:rsidP="00C8402A">
            <w:pPr>
              <w:pStyle w:val="ListParagraph"/>
              <w:numPr>
                <w:ilvl w:val="0"/>
                <w:numId w:val="11"/>
              </w:numPr>
              <w:spacing w:after="0" w:line="240" w:lineRule="auto"/>
              <w:ind w:left="360"/>
              <w:jc w:val="both"/>
              <w:rPr>
                <w:rFonts w:asciiTheme="majorHAnsi" w:hAnsiTheme="majorHAnsi"/>
                <w:b w:val="0"/>
              </w:rPr>
            </w:pPr>
            <w:r w:rsidRPr="00C8402A">
              <w:rPr>
                <w:rFonts w:asciiTheme="majorHAnsi" w:hAnsiTheme="majorHAnsi"/>
                <w:b w:val="0"/>
              </w:rPr>
              <w:t>Reparar integralmente las violaciones de derechos humanos declaradas en el presente informe tanto en el aspecto material como inmaterial. Las medidas de reparación deberán incluir una justa compensación así como medidas de satisfacción y rehabilitación en consulta con los familiares de los señores Roberto Girón y Pedro Castillo Mendoza. En caso de que una vez agotados todos los esfuerzos posibles no se logre ubicar a sus familiares, la CIDH recomienda que el componente pecuniario de la reparación sea aportado al Fondo de Asistencia Legal.</w:t>
            </w:r>
          </w:p>
          <w:p w14:paraId="1E15B1AE" w14:textId="77777777" w:rsidR="00C8402A" w:rsidRPr="00C8402A" w:rsidRDefault="00C8402A" w:rsidP="00C8402A">
            <w:pPr>
              <w:spacing w:after="0" w:line="240" w:lineRule="auto"/>
              <w:jc w:val="both"/>
              <w:rPr>
                <w:rFonts w:asciiTheme="majorHAnsi" w:hAnsiTheme="majorHAnsi"/>
                <w:b w:val="0"/>
              </w:rPr>
            </w:pPr>
          </w:p>
          <w:p w14:paraId="77468D3F" w14:textId="77777777" w:rsidR="00C8402A" w:rsidRPr="00AA6E7C" w:rsidRDefault="00C8402A" w:rsidP="00C8402A">
            <w:pPr>
              <w:pStyle w:val="Default"/>
              <w:numPr>
                <w:ilvl w:val="0"/>
                <w:numId w:val="12"/>
              </w:numPr>
              <w:jc w:val="both"/>
              <w:rPr>
                <w:rFonts w:ascii="Calibri Light" w:hAnsi="Calibri Light"/>
                <w:b w:val="0"/>
                <w:sz w:val="22"/>
                <w:szCs w:val="22"/>
              </w:rPr>
            </w:pPr>
            <w:r>
              <w:rPr>
                <w:rFonts w:ascii="Calibri Light" w:hAnsi="Calibri Light"/>
                <w:b w:val="0"/>
                <w:sz w:val="22"/>
                <w:szCs w:val="22"/>
              </w:rPr>
              <w:t>A</w:t>
            </w:r>
            <w:r w:rsidRPr="00AA6E7C">
              <w:rPr>
                <w:rFonts w:ascii="Calibri Light" w:hAnsi="Calibri Light"/>
                <w:b w:val="0"/>
                <w:sz w:val="22"/>
                <w:szCs w:val="22"/>
              </w:rPr>
              <w:t>doptar las medidas necesarias para que la legislación i</w:t>
            </w:r>
            <w:r>
              <w:rPr>
                <w:rFonts w:ascii="Calibri Light" w:hAnsi="Calibri Light"/>
                <w:b w:val="0"/>
                <w:sz w:val="22"/>
                <w:szCs w:val="22"/>
              </w:rPr>
              <w:t>nterna sea consistente con la</w:t>
            </w:r>
            <w:r w:rsidRPr="00AA6E7C">
              <w:rPr>
                <w:rFonts w:ascii="Calibri Light" w:hAnsi="Calibri Light"/>
                <w:b w:val="0"/>
                <w:sz w:val="22"/>
                <w:szCs w:val="22"/>
              </w:rPr>
              <w:t xml:space="preserve"> práctica</w:t>
            </w:r>
            <w:r>
              <w:rPr>
                <w:rFonts w:ascii="Calibri Light" w:hAnsi="Calibri Light"/>
                <w:b w:val="0"/>
                <w:sz w:val="22"/>
                <w:szCs w:val="22"/>
              </w:rPr>
              <w:t xml:space="preserve"> de eliminar gradualmente la pena de muerte</w:t>
            </w:r>
            <w:r w:rsidRPr="00AA6E7C">
              <w:rPr>
                <w:rFonts w:ascii="Calibri Light" w:hAnsi="Calibri Light"/>
                <w:b w:val="0"/>
                <w:sz w:val="22"/>
                <w:szCs w:val="22"/>
              </w:rPr>
              <w:t xml:space="preserve"> y así continuar </w:t>
            </w:r>
            <w:r>
              <w:rPr>
                <w:rFonts w:ascii="Calibri Light" w:hAnsi="Calibri Light"/>
                <w:b w:val="0"/>
                <w:sz w:val="22"/>
                <w:szCs w:val="22"/>
              </w:rPr>
              <w:t>con el camino hacia su</w:t>
            </w:r>
            <w:r w:rsidRPr="00AA6E7C">
              <w:rPr>
                <w:rFonts w:ascii="Calibri Light" w:hAnsi="Calibri Light"/>
                <w:b w:val="0"/>
                <w:sz w:val="22"/>
                <w:szCs w:val="22"/>
              </w:rPr>
              <w:t xml:space="preserve"> abolición. </w:t>
            </w:r>
          </w:p>
          <w:p w14:paraId="2012CF7A" w14:textId="77777777" w:rsidR="00F00FC2" w:rsidRPr="00C8402A" w:rsidRDefault="00F00FC2" w:rsidP="00F00FC2">
            <w:pPr>
              <w:pStyle w:val="ListParagraph"/>
              <w:spacing w:after="0" w:line="240" w:lineRule="auto"/>
              <w:jc w:val="both"/>
              <w:rPr>
                <w:rFonts w:asciiTheme="majorHAnsi" w:hAnsiTheme="majorHAnsi"/>
                <w:lang w:val="es-PE"/>
              </w:rPr>
            </w:pPr>
          </w:p>
        </w:tc>
      </w:tr>
      <w:tr w:rsidR="00DC336A" w:rsidRPr="00F5622A" w14:paraId="15575A25" w14:textId="77777777" w:rsidTr="00A14AE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vAlign w:val="bottom"/>
          </w:tcPr>
          <w:p w14:paraId="1617424E" w14:textId="77777777" w:rsidR="00DC336A" w:rsidRPr="00F5622A" w:rsidRDefault="00DC336A" w:rsidP="00A14AE3">
            <w:pPr>
              <w:pStyle w:val="ListParagraph"/>
              <w:numPr>
                <w:ilvl w:val="0"/>
                <w:numId w:val="1"/>
              </w:numPr>
              <w:jc w:val="center"/>
              <w:rPr>
                <w:rFonts w:asciiTheme="majorHAnsi" w:hAnsiTheme="majorHAnsi"/>
              </w:rPr>
            </w:pPr>
            <w:r w:rsidRPr="00F5622A">
              <w:rPr>
                <w:rFonts w:asciiTheme="majorHAnsi" w:hAnsiTheme="majorHAnsi"/>
              </w:rPr>
              <w:t>Análisis de cumplimiento de las recomendaciones</w:t>
            </w:r>
          </w:p>
        </w:tc>
      </w:tr>
      <w:tr w:rsidR="00DC336A" w:rsidRPr="00F5622A" w14:paraId="109D5C6F" w14:textId="77777777" w:rsidTr="0008522C">
        <w:trPr>
          <w:trHeight w:val="463"/>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tcPr>
          <w:p w14:paraId="5329EC92" w14:textId="77777777" w:rsidR="00DC336A" w:rsidRPr="00F5622A" w:rsidRDefault="00DC336A">
            <w:pPr>
              <w:pStyle w:val="ListParagraph"/>
              <w:spacing w:after="0" w:line="240" w:lineRule="auto"/>
              <w:ind w:left="0"/>
              <w:jc w:val="center"/>
              <w:rPr>
                <w:rFonts w:asciiTheme="majorHAnsi" w:hAnsiTheme="majorHAnsi"/>
                <w:b w:val="0"/>
              </w:rPr>
            </w:pPr>
          </w:p>
          <w:p w14:paraId="0A65808C" w14:textId="77777777" w:rsidR="00DC336A" w:rsidRPr="00F5622A" w:rsidRDefault="00DC336A">
            <w:pPr>
              <w:pStyle w:val="ListParagraph"/>
              <w:spacing w:after="0" w:line="240" w:lineRule="auto"/>
              <w:ind w:left="0"/>
              <w:jc w:val="center"/>
              <w:rPr>
                <w:rFonts w:asciiTheme="majorHAnsi" w:hAnsiTheme="majorHAnsi"/>
                <w:b w:val="0"/>
              </w:rPr>
            </w:pPr>
            <w:r w:rsidRPr="00F5622A">
              <w:rPr>
                <w:rFonts w:asciiTheme="majorHAnsi" w:hAnsiTheme="majorHAnsi"/>
                <w:b w:val="0"/>
              </w:rPr>
              <w:t>-</w:t>
            </w:r>
          </w:p>
          <w:p w14:paraId="730136B9" w14:textId="77777777" w:rsidR="00DC336A" w:rsidRPr="00F5622A" w:rsidRDefault="00DC336A">
            <w:pPr>
              <w:pStyle w:val="ListParagraph"/>
              <w:spacing w:after="0" w:line="240" w:lineRule="auto"/>
              <w:ind w:left="0"/>
              <w:jc w:val="center"/>
              <w:rPr>
                <w:rFonts w:asciiTheme="majorHAnsi" w:hAnsiTheme="majorHAnsi"/>
                <w:b w:val="0"/>
              </w:rPr>
            </w:pPr>
          </w:p>
        </w:tc>
      </w:tr>
    </w:tbl>
    <w:p w14:paraId="7FEFC04C" w14:textId="77777777" w:rsidR="00473367" w:rsidRPr="00F5622A" w:rsidRDefault="00473367">
      <w:pPr>
        <w:rPr>
          <w:rFonts w:asciiTheme="majorHAnsi" w:hAnsiTheme="majorHAnsi"/>
        </w:rPr>
      </w:pPr>
    </w:p>
    <w:sectPr w:rsidR="00473367" w:rsidRPr="00F5622A">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1C7FC" w14:textId="77777777" w:rsidR="009C171E" w:rsidRDefault="009C171E" w:rsidP="00F5622A">
      <w:pPr>
        <w:spacing w:after="0" w:line="240" w:lineRule="auto"/>
      </w:pPr>
      <w:r>
        <w:separator/>
      </w:r>
    </w:p>
  </w:endnote>
  <w:endnote w:type="continuationSeparator" w:id="0">
    <w:p w14:paraId="37EB2FC8" w14:textId="77777777" w:rsidR="009C171E" w:rsidRDefault="009C171E" w:rsidP="00F56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rPr>
      <w:id w:val="1536541851"/>
      <w:docPartObj>
        <w:docPartGallery w:val="Page Numbers (Bottom of Page)"/>
        <w:docPartUnique/>
      </w:docPartObj>
    </w:sdtPr>
    <w:sdtEndPr/>
    <w:sdtContent>
      <w:p w14:paraId="1F2C8EA7" w14:textId="626DEA86" w:rsidR="00F5622A" w:rsidRPr="00F5622A" w:rsidRDefault="00F5622A">
        <w:pPr>
          <w:pStyle w:val="Footer"/>
          <w:jc w:val="right"/>
          <w:rPr>
            <w:rFonts w:asciiTheme="majorHAnsi" w:hAnsiTheme="majorHAnsi"/>
          </w:rPr>
        </w:pPr>
        <w:r w:rsidRPr="00F5622A">
          <w:rPr>
            <w:rFonts w:asciiTheme="majorHAnsi" w:hAnsiTheme="majorHAnsi"/>
          </w:rPr>
          <w:fldChar w:fldCharType="begin"/>
        </w:r>
        <w:r w:rsidRPr="00F5622A">
          <w:rPr>
            <w:rFonts w:asciiTheme="majorHAnsi" w:hAnsiTheme="majorHAnsi"/>
          </w:rPr>
          <w:instrText>PAGE   \* MERGEFORMAT</w:instrText>
        </w:r>
        <w:r w:rsidRPr="00F5622A">
          <w:rPr>
            <w:rFonts w:asciiTheme="majorHAnsi" w:hAnsiTheme="majorHAnsi"/>
          </w:rPr>
          <w:fldChar w:fldCharType="separate"/>
        </w:r>
        <w:r w:rsidR="00A56C09" w:rsidRPr="00A56C09">
          <w:rPr>
            <w:rFonts w:asciiTheme="majorHAnsi" w:hAnsiTheme="majorHAnsi"/>
            <w:noProof/>
            <w:lang w:val="es-ES"/>
          </w:rPr>
          <w:t>5</w:t>
        </w:r>
        <w:r w:rsidRPr="00F5622A">
          <w:rPr>
            <w:rFonts w:asciiTheme="majorHAnsi" w:hAnsiTheme="majorHAnsi"/>
          </w:rPr>
          <w:fldChar w:fldCharType="end"/>
        </w:r>
      </w:p>
    </w:sdtContent>
  </w:sdt>
  <w:p w14:paraId="2F722778" w14:textId="77777777" w:rsidR="00F5622A" w:rsidRPr="00F5622A" w:rsidRDefault="00F5622A">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1CC28" w14:textId="77777777" w:rsidR="009C171E" w:rsidRDefault="009C171E" w:rsidP="00F5622A">
      <w:pPr>
        <w:spacing w:after="0" w:line="240" w:lineRule="auto"/>
      </w:pPr>
      <w:r>
        <w:separator/>
      </w:r>
    </w:p>
  </w:footnote>
  <w:footnote w:type="continuationSeparator" w:id="0">
    <w:p w14:paraId="5F7B51BD" w14:textId="77777777" w:rsidR="009C171E" w:rsidRDefault="009C171E" w:rsidP="00F562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5EBA"/>
    <w:multiLevelType w:val="hybridMultilevel"/>
    <w:tmpl w:val="DE76F0E4"/>
    <w:lvl w:ilvl="0" w:tplc="0F8CEB4A">
      <w:start w:val="1"/>
      <w:numFmt w:val="decimal"/>
      <w:lvlText w:val="%1."/>
      <w:lvlJc w:val="left"/>
      <w:pPr>
        <w:ind w:left="360" w:hanging="360"/>
      </w:pPr>
      <w:rPr>
        <w:rFonts w:ascii="Calibri Light" w:hAnsi="Calibri Light" w:hint="default"/>
        <w:b/>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 w15:restartNumberingAfterBreak="0">
    <w:nsid w:val="117B473B"/>
    <w:multiLevelType w:val="hybridMultilevel"/>
    <w:tmpl w:val="D3AACBB0"/>
    <w:lvl w:ilvl="0" w:tplc="E13EC6DE">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20A6463E"/>
    <w:multiLevelType w:val="hybridMultilevel"/>
    <w:tmpl w:val="7EC6EBE6"/>
    <w:lvl w:ilvl="0" w:tplc="63067A8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2D183B55"/>
    <w:multiLevelType w:val="hybridMultilevel"/>
    <w:tmpl w:val="ECC4A6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3D81334F"/>
    <w:multiLevelType w:val="hybridMultilevel"/>
    <w:tmpl w:val="66322A9C"/>
    <w:lvl w:ilvl="0" w:tplc="280A0015">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15:restartNumberingAfterBreak="0">
    <w:nsid w:val="3DDC62EE"/>
    <w:multiLevelType w:val="hybridMultilevel"/>
    <w:tmpl w:val="1F9287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405A010C"/>
    <w:multiLevelType w:val="hybridMultilevel"/>
    <w:tmpl w:val="F280DE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61E5676B"/>
    <w:multiLevelType w:val="hybridMultilevel"/>
    <w:tmpl w:val="6EB4748E"/>
    <w:lvl w:ilvl="0" w:tplc="809EAD0E">
      <w:start w:val="1"/>
      <w:numFmt w:val="upperRoman"/>
      <w:lvlText w:val="%1."/>
      <w:lvlJc w:val="left"/>
      <w:pPr>
        <w:ind w:left="720" w:hanging="72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8" w15:restartNumberingAfterBreak="0">
    <w:nsid w:val="717B452E"/>
    <w:multiLevelType w:val="hybridMultilevel"/>
    <w:tmpl w:val="5ABE7D18"/>
    <w:lvl w:ilvl="0" w:tplc="4BD6B3C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766432BE"/>
    <w:multiLevelType w:val="hybridMultilevel"/>
    <w:tmpl w:val="B1B8627A"/>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5"/>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36A"/>
    <w:rsid w:val="00005D1D"/>
    <w:rsid w:val="00015A01"/>
    <w:rsid w:val="0003047A"/>
    <w:rsid w:val="000432B3"/>
    <w:rsid w:val="00057DBE"/>
    <w:rsid w:val="0006138D"/>
    <w:rsid w:val="00065329"/>
    <w:rsid w:val="00074783"/>
    <w:rsid w:val="0007543C"/>
    <w:rsid w:val="00084652"/>
    <w:rsid w:val="0008522C"/>
    <w:rsid w:val="00093C09"/>
    <w:rsid w:val="000A7B13"/>
    <w:rsid w:val="000B047F"/>
    <w:rsid w:val="000C37D5"/>
    <w:rsid w:val="000D73CF"/>
    <w:rsid w:val="000E2ACA"/>
    <w:rsid w:val="00111709"/>
    <w:rsid w:val="00132175"/>
    <w:rsid w:val="00140C78"/>
    <w:rsid w:val="00142DCA"/>
    <w:rsid w:val="00143409"/>
    <w:rsid w:val="00147EBC"/>
    <w:rsid w:val="00156D67"/>
    <w:rsid w:val="0016185D"/>
    <w:rsid w:val="0017583C"/>
    <w:rsid w:val="00180CED"/>
    <w:rsid w:val="001A4C63"/>
    <w:rsid w:val="001A50B6"/>
    <w:rsid w:val="001B1554"/>
    <w:rsid w:val="001D2965"/>
    <w:rsid w:val="001D3973"/>
    <w:rsid w:val="001E7AE3"/>
    <w:rsid w:val="002011D7"/>
    <w:rsid w:val="00215ED6"/>
    <w:rsid w:val="00216730"/>
    <w:rsid w:val="002328FC"/>
    <w:rsid w:val="002334E3"/>
    <w:rsid w:val="00245C2F"/>
    <w:rsid w:val="00247FF3"/>
    <w:rsid w:val="00251012"/>
    <w:rsid w:val="00276D75"/>
    <w:rsid w:val="002A1AA5"/>
    <w:rsid w:val="002A5EDC"/>
    <w:rsid w:val="002B4DD7"/>
    <w:rsid w:val="002C1C0E"/>
    <w:rsid w:val="002D3790"/>
    <w:rsid w:val="002D7429"/>
    <w:rsid w:val="002F0AF1"/>
    <w:rsid w:val="002F3DA1"/>
    <w:rsid w:val="002F598A"/>
    <w:rsid w:val="00300F2F"/>
    <w:rsid w:val="0031044F"/>
    <w:rsid w:val="00317EF1"/>
    <w:rsid w:val="00333A3A"/>
    <w:rsid w:val="00334E0B"/>
    <w:rsid w:val="00336931"/>
    <w:rsid w:val="00341FFE"/>
    <w:rsid w:val="003805AA"/>
    <w:rsid w:val="00381B03"/>
    <w:rsid w:val="0039044E"/>
    <w:rsid w:val="003C4B4C"/>
    <w:rsid w:val="00420171"/>
    <w:rsid w:val="00420B07"/>
    <w:rsid w:val="00421AE9"/>
    <w:rsid w:val="0042361A"/>
    <w:rsid w:val="00424860"/>
    <w:rsid w:val="00427C0C"/>
    <w:rsid w:val="00432927"/>
    <w:rsid w:val="00440504"/>
    <w:rsid w:val="00443199"/>
    <w:rsid w:val="00450E89"/>
    <w:rsid w:val="00473367"/>
    <w:rsid w:val="00485205"/>
    <w:rsid w:val="00485EA4"/>
    <w:rsid w:val="0049148F"/>
    <w:rsid w:val="004B3DDE"/>
    <w:rsid w:val="004B4BD3"/>
    <w:rsid w:val="004C6DE2"/>
    <w:rsid w:val="004D1A61"/>
    <w:rsid w:val="004D259A"/>
    <w:rsid w:val="004D3ADE"/>
    <w:rsid w:val="004F33FA"/>
    <w:rsid w:val="004F63B8"/>
    <w:rsid w:val="005054BD"/>
    <w:rsid w:val="00506EE7"/>
    <w:rsid w:val="005217E8"/>
    <w:rsid w:val="00534FD6"/>
    <w:rsid w:val="005411A1"/>
    <w:rsid w:val="00554CF3"/>
    <w:rsid w:val="005703D9"/>
    <w:rsid w:val="00580E71"/>
    <w:rsid w:val="005A34E8"/>
    <w:rsid w:val="005A590C"/>
    <w:rsid w:val="005B3BE3"/>
    <w:rsid w:val="005C1010"/>
    <w:rsid w:val="005C7260"/>
    <w:rsid w:val="005E2A5E"/>
    <w:rsid w:val="005E49FD"/>
    <w:rsid w:val="00610CE7"/>
    <w:rsid w:val="00616B92"/>
    <w:rsid w:val="006209CE"/>
    <w:rsid w:val="00621EC5"/>
    <w:rsid w:val="006269D9"/>
    <w:rsid w:val="0063417B"/>
    <w:rsid w:val="00641155"/>
    <w:rsid w:val="006431AF"/>
    <w:rsid w:val="0064554B"/>
    <w:rsid w:val="00654CEA"/>
    <w:rsid w:val="006570E8"/>
    <w:rsid w:val="00657371"/>
    <w:rsid w:val="0067390F"/>
    <w:rsid w:val="006804CF"/>
    <w:rsid w:val="0068145E"/>
    <w:rsid w:val="006A7EAC"/>
    <w:rsid w:val="006B3E12"/>
    <w:rsid w:val="006B59B8"/>
    <w:rsid w:val="006C35A3"/>
    <w:rsid w:val="006C5937"/>
    <w:rsid w:val="006D699A"/>
    <w:rsid w:val="006F5433"/>
    <w:rsid w:val="00701594"/>
    <w:rsid w:val="00724B58"/>
    <w:rsid w:val="00737FA6"/>
    <w:rsid w:val="007441E9"/>
    <w:rsid w:val="00755847"/>
    <w:rsid w:val="00761FE2"/>
    <w:rsid w:val="00762630"/>
    <w:rsid w:val="00771385"/>
    <w:rsid w:val="00780AA2"/>
    <w:rsid w:val="007871D7"/>
    <w:rsid w:val="007907AF"/>
    <w:rsid w:val="00791614"/>
    <w:rsid w:val="007973C1"/>
    <w:rsid w:val="007A3DC6"/>
    <w:rsid w:val="007C249D"/>
    <w:rsid w:val="007C7F33"/>
    <w:rsid w:val="007D44BF"/>
    <w:rsid w:val="007D6E25"/>
    <w:rsid w:val="00806926"/>
    <w:rsid w:val="00807812"/>
    <w:rsid w:val="00810D30"/>
    <w:rsid w:val="008225EC"/>
    <w:rsid w:val="008358BA"/>
    <w:rsid w:val="008440BD"/>
    <w:rsid w:val="00845743"/>
    <w:rsid w:val="008610B6"/>
    <w:rsid w:val="00875503"/>
    <w:rsid w:val="00876619"/>
    <w:rsid w:val="0088001C"/>
    <w:rsid w:val="00884612"/>
    <w:rsid w:val="008A626F"/>
    <w:rsid w:val="008C5024"/>
    <w:rsid w:val="008D4046"/>
    <w:rsid w:val="008E3E09"/>
    <w:rsid w:val="008F3D11"/>
    <w:rsid w:val="008F4609"/>
    <w:rsid w:val="00912279"/>
    <w:rsid w:val="00917E0D"/>
    <w:rsid w:val="00920B79"/>
    <w:rsid w:val="00921DFA"/>
    <w:rsid w:val="00924FFD"/>
    <w:rsid w:val="00925B83"/>
    <w:rsid w:val="00925DE1"/>
    <w:rsid w:val="00933E3C"/>
    <w:rsid w:val="00952364"/>
    <w:rsid w:val="009660D8"/>
    <w:rsid w:val="00966C49"/>
    <w:rsid w:val="00974DA6"/>
    <w:rsid w:val="00982237"/>
    <w:rsid w:val="009861C4"/>
    <w:rsid w:val="009A2C63"/>
    <w:rsid w:val="009B2E4B"/>
    <w:rsid w:val="009B4358"/>
    <w:rsid w:val="009C171E"/>
    <w:rsid w:val="009C2037"/>
    <w:rsid w:val="009C501C"/>
    <w:rsid w:val="009D4FAD"/>
    <w:rsid w:val="009E688F"/>
    <w:rsid w:val="009F0296"/>
    <w:rsid w:val="009F332B"/>
    <w:rsid w:val="00A052FD"/>
    <w:rsid w:val="00A073A9"/>
    <w:rsid w:val="00A14AE3"/>
    <w:rsid w:val="00A36763"/>
    <w:rsid w:val="00A41FF1"/>
    <w:rsid w:val="00A4408D"/>
    <w:rsid w:val="00A51B41"/>
    <w:rsid w:val="00A56C09"/>
    <w:rsid w:val="00A70FAD"/>
    <w:rsid w:val="00A71B24"/>
    <w:rsid w:val="00A76C11"/>
    <w:rsid w:val="00A960BF"/>
    <w:rsid w:val="00AA137B"/>
    <w:rsid w:val="00AC6CA9"/>
    <w:rsid w:val="00AD41B5"/>
    <w:rsid w:val="00AE1DB0"/>
    <w:rsid w:val="00AE46FC"/>
    <w:rsid w:val="00AE6AA3"/>
    <w:rsid w:val="00AE7352"/>
    <w:rsid w:val="00AF5E5A"/>
    <w:rsid w:val="00B0356B"/>
    <w:rsid w:val="00B11F24"/>
    <w:rsid w:val="00B15740"/>
    <w:rsid w:val="00B252FD"/>
    <w:rsid w:val="00B56319"/>
    <w:rsid w:val="00B5749D"/>
    <w:rsid w:val="00B8372E"/>
    <w:rsid w:val="00B84E05"/>
    <w:rsid w:val="00BB4063"/>
    <w:rsid w:val="00BB47E3"/>
    <w:rsid w:val="00BD2721"/>
    <w:rsid w:val="00BD4F5F"/>
    <w:rsid w:val="00BF6175"/>
    <w:rsid w:val="00C22143"/>
    <w:rsid w:val="00C228A4"/>
    <w:rsid w:val="00C23807"/>
    <w:rsid w:val="00C31D25"/>
    <w:rsid w:val="00C425C9"/>
    <w:rsid w:val="00C62221"/>
    <w:rsid w:val="00C63822"/>
    <w:rsid w:val="00C6562E"/>
    <w:rsid w:val="00C70066"/>
    <w:rsid w:val="00C81ADF"/>
    <w:rsid w:val="00C8402A"/>
    <w:rsid w:val="00C92DBA"/>
    <w:rsid w:val="00C931AB"/>
    <w:rsid w:val="00CA21E4"/>
    <w:rsid w:val="00CA63D1"/>
    <w:rsid w:val="00CB3098"/>
    <w:rsid w:val="00CC1352"/>
    <w:rsid w:val="00CC5B30"/>
    <w:rsid w:val="00CD0625"/>
    <w:rsid w:val="00CD38BB"/>
    <w:rsid w:val="00CD45A3"/>
    <w:rsid w:val="00CE75FF"/>
    <w:rsid w:val="00CF0BD9"/>
    <w:rsid w:val="00D023CF"/>
    <w:rsid w:val="00D050D5"/>
    <w:rsid w:val="00D06091"/>
    <w:rsid w:val="00D15A4C"/>
    <w:rsid w:val="00D16EB1"/>
    <w:rsid w:val="00D2188C"/>
    <w:rsid w:val="00D21918"/>
    <w:rsid w:val="00D241ED"/>
    <w:rsid w:val="00D256C5"/>
    <w:rsid w:val="00D32AF6"/>
    <w:rsid w:val="00D47B86"/>
    <w:rsid w:val="00D66418"/>
    <w:rsid w:val="00D67FCB"/>
    <w:rsid w:val="00D85699"/>
    <w:rsid w:val="00D858F1"/>
    <w:rsid w:val="00D866E3"/>
    <w:rsid w:val="00D97BF5"/>
    <w:rsid w:val="00DC336A"/>
    <w:rsid w:val="00DD0F50"/>
    <w:rsid w:val="00DD2B04"/>
    <w:rsid w:val="00DD37F7"/>
    <w:rsid w:val="00DD5B33"/>
    <w:rsid w:val="00DE74DD"/>
    <w:rsid w:val="00DF60CF"/>
    <w:rsid w:val="00E0458C"/>
    <w:rsid w:val="00E069A0"/>
    <w:rsid w:val="00E10881"/>
    <w:rsid w:val="00E12AF1"/>
    <w:rsid w:val="00E6601B"/>
    <w:rsid w:val="00E74FE7"/>
    <w:rsid w:val="00E956EC"/>
    <w:rsid w:val="00E96580"/>
    <w:rsid w:val="00EB0B4C"/>
    <w:rsid w:val="00EC6A30"/>
    <w:rsid w:val="00ED0479"/>
    <w:rsid w:val="00ED2099"/>
    <w:rsid w:val="00EE0124"/>
    <w:rsid w:val="00EE60F7"/>
    <w:rsid w:val="00EF0E50"/>
    <w:rsid w:val="00F00EE0"/>
    <w:rsid w:val="00F00FC2"/>
    <w:rsid w:val="00F5622A"/>
    <w:rsid w:val="00F91261"/>
    <w:rsid w:val="00FA1663"/>
    <w:rsid w:val="00FB26D9"/>
    <w:rsid w:val="00FB4BC2"/>
    <w:rsid w:val="00FC3DE4"/>
    <w:rsid w:val="00FC6129"/>
    <w:rsid w:val="00FD66CD"/>
    <w:rsid w:val="00FE1A61"/>
    <w:rsid w:val="00FE70DA"/>
    <w:rsid w:val="00FF6C37"/>
    <w:rsid w:val="00FF786F"/>
    <w:rsid w:val="00FF7D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36A"/>
    <w:pPr>
      <w:spacing w:after="200" w:line="276" w:lineRule="auto"/>
    </w:pPr>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36A"/>
    <w:rPr>
      <w:color w:val="0563C1" w:themeColor="hyperlink"/>
      <w:u w:val="single"/>
    </w:rPr>
  </w:style>
  <w:style w:type="paragraph" w:styleId="Header">
    <w:name w:val="header"/>
    <w:basedOn w:val="Normal"/>
    <w:link w:val="HeaderChar"/>
    <w:uiPriority w:val="99"/>
    <w:unhideWhenUsed/>
    <w:rsid w:val="00DC336A"/>
    <w:pPr>
      <w:tabs>
        <w:tab w:val="center" w:pos="4419"/>
        <w:tab w:val="right" w:pos="8838"/>
      </w:tabs>
      <w:spacing w:after="0" w:line="240" w:lineRule="auto"/>
    </w:pPr>
  </w:style>
  <w:style w:type="character" w:customStyle="1" w:styleId="HeaderChar">
    <w:name w:val="Header Char"/>
    <w:basedOn w:val="DefaultParagraphFont"/>
    <w:link w:val="Header"/>
    <w:uiPriority w:val="99"/>
    <w:rsid w:val="00DC336A"/>
    <w:rPr>
      <w:rFonts w:ascii="Calibri" w:eastAsia="Calibri" w:hAnsi="Calibri" w:cs="Times New Roman"/>
      <w:lang w:val="es-MX"/>
    </w:rPr>
  </w:style>
  <w:style w:type="paragraph" w:styleId="ListParagraph">
    <w:name w:val="List Paragraph"/>
    <w:basedOn w:val="Normal"/>
    <w:uiPriority w:val="34"/>
    <w:qFormat/>
    <w:rsid w:val="00DC336A"/>
    <w:pPr>
      <w:ind w:left="720"/>
      <w:contextualSpacing/>
    </w:pPr>
  </w:style>
  <w:style w:type="table" w:customStyle="1" w:styleId="Tabladelista2-nfasis11">
    <w:name w:val="Tabla de lista 2 - Énfasis 11"/>
    <w:basedOn w:val="TableNormal"/>
    <w:uiPriority w:val="47"/>
    <w:rsid w:val="00DC336A"/>
    <w:pPr>
      <w:spacing w:after="0" w:line="240" w:lineRule="auto"/>
    </w:pPr>
    <w:tblPr>
      <w:tblStyleRowBandSize w:val="1"/>
      <w:tblStyleColBandSize w:val="1"/>
      <w:tblInd w:w="0" w:type="nil"/>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E12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AF1"/>
    <w:rPr>
      <w:rFonts w:ascii="Tahoma" w:eastAsia="Calibri" w:hAnsi="Tahoma" w:cs="Tahoma"/>
      <w:sz w:val="16"/>
      <w:szCs w:val="16"/>
      <w:lang w:val="es-MX"/>
    </w:rPr>
  </w:style>
  <w:style w:type="character" w:styleId="CommentReference">
    <w:name w:val="annotation reference"/>
    <w:basedOn w:val="DefaultParagraphFont"/>
    <w:uiPriority w:val="99"/>
    <w:semiHidden/>
    <w:unhideWhenUsed/>
    <w:rsid w:val="00E12AF1"/>
    <w:rPr>
      <w:sz w:val="16"/>
      <w:szCs w:val="16"/>
    </w:rPr>
  </w:style>
  <w:style w:type="paragraph" w:styleId="CommentText">
    <w:name w:val="annotation text"/>
    <w:basedOn w:val="Normal"/>
    <w:link w:val="CommentTextChar"/>
    <w:uiPriority w:val="99"/>
    <w:semiHidden/>
    <w:unhideWhenUsed/>
    <w:rsid w:val="00E12AF1"/>
    <w:pPr>
      <w:spacing w:line="240" w:lineRule="auto"/>
    </w:pPr>
    <w:rPr>
      <w:sz w:val="20"/>
      <w:szCs w:val="20"/>
    </w:rPr>
  </w:style>
  <w:style w:type="character" w:customStyle="1" w:styleId="CommentTextChar">
    <w:name w:val="Comment Text Char"/>
    <w:basedOn w:val="DefaultParagraphFont"/>
    <w:link w:val="CommentText"/>
    <w:uiPriority w:val="99"/>
    <w:semiHidden/>
    <w:rsid w:val="00E12AF1"/>
    <w:rPr>
      <w:rFonts w:ascii="Calibri" w:eastAsia="Calibri" w:hAnsi="Calibri" w:cs="Times New Roman"/>
      <w:sz w:val="20"/>
      <w:szCs w:val="20"/>
      <w:lang w:val="es-MX"/>
    </w:rPr>
  </w:style>
  <w:style w:type="paragraph" w:styleId="CommentSubject">
    <w:name w:val="annotation subject"/>
    <w:basedOn w:val="CommentText"/>
    <w:next w:val="CommentText"/>
    <w:link w:val="CommentSubjectChar"/>
    <w:uiPriority w:val="99"/>
    <w:semiHidden/>
    <w:unhideWhenUsed/>
    <w:rsid w:val="00E12AF1"/>
    <w:rPr>
      <w:b/>
      <w:bCs/>
    </w:rPr>
  </w:style>
  <w:style w:type="character" w:customStyle="1" w:styleId="CommentSubjectChar">
    <w:name w:val="Comment Subject Char"/>
    <w:basedOn w:val="CommentTextChar"/>
    <w:link w:val="CommentSubject"/>
    <w:uiPriority w:val="99"/>
    <w:semiHidden/>
    <w:rsid w:val="00E12AF1"/>
    <w:rPr>
      <w:rFonts w:ascii="Calibri" w:eastAsia="Calibri" w:hAnsi="Calibri" w:cs="Times New Roman"/>
      <w:b/>
      <w:bCs/>
      <w:sz w:val="20"/>
      <w:szCs w:val="20"/>
      <w:lang w:val="es-MX"/>
    </w:rPr>
  </w:style>
  <w:style w:type="paragraph" w:styleId="Footer">
    <w:name w:val="footer"/>
    <w:basedOn w:val="Normal"/>
    <w:link w:val="FooterChar"/>
    <w:uiPriority w:val="99"/>
    <w:unhideWhenUsed/>
    <w:rsid w:val="00F5622A"/>
    <w:pPr>
      <w:tabs>
        <w:tab w:val="center" w:pos="4419"/>
        <w:tab w:val="right" w:pos="8838"/>
      </w:tabs>
      <w:spacing w:after="0" w:line="240" w:lineRule="auto"/>
    </w:pPr>
  </w:style>
  <w:style w:type="character" w:customStyle="1" w:styleId="FooterChar">
    <w:name w:val="Footer Char"/>
    <w:basedOn w:val="DefaultParagraphFont"/>
    <w:link w:val="Footer"/>
    <w:uiPriority w:val="99"/>
    <w:rsid w:val="00F5622A"/>
    <w:rPr>
      <w:rFonts w:ascii="Calibri" w:eastAsia="Calibri" w:hAnsi="Calibri" w:cs="Times New Roman"/>
      <w:lang w:val="es-MX"/>
    </w:rPr>
  </w:style>
  <w:style w:type="paragraph" w:customStyle="1" w:styleId="Default">
    <w:name w:val="Default"/>
    <w:rsid w:val="00C8402A"/>
    <w:pPr>
      <w:autoSpaceDE w:val="0"/>
      <w:autoSpaceDN w:val="0"/>
      <w:adjustRightInd w:val="0"/>
      <w:spacing w:after="0" w:line="240" w:lineRule="auto"/>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681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23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rteidh.or.cr/docs/casos/articulos/seriec_390_esp.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corte/2017/11686FondoE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149A0-FD7E-41F8-8483-005CF7336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2334</Words>
  <Characters>13309</Characters>
  <Application>Microsoft Office Word</Application>
  <DocSecurity>0</DocSecurity>
  <Lines>110</Lines>
  <Paragraphs>31</Paragraphs>
  <ScaleCrop>false</ScaleCrop>
  <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2021-02-11T09:48:00Z</dcterms:created>
  <dcterms:modified xsi:type="dcterms:W3CDTF">2021-02-11T09:48:00Z</dcterms:modified>
</cp:coreProperties>
</file>