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11BBE" w14:textId="77777777" w:rsidR="00EC0BB1" w:rsidRDefault="00EC0BB1" w:rsidP="00EC0BB1">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41F36022" wp14:editId="30BBDEC8">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325E5DBF" wp14:editId="693F3FFA">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3A86409F" wp14:editId="4B69F5B1">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A22E61" w14:textId="77777777" w:rsidR="00EC0BB1" w:rsidRPr="00411A74" w:rsidRDefault="00EC0BB1" w:rsidP="00EC0BB1">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21D9F75D" w14:textId="77777777" w:rsidR="00EC0BB1" w:rsidRDefault="00EC0BB1" w:rsidP="00EC0BB1">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1FC2CD46" w14:textId="77777777" w:rsidR="00407729" w:rsidRDefault="00407729" w:rsidP="00057AC9">
      <w:pPr>
        <w:spacing w:after="0" w:line="240" w:lineRule="auto"/>
        <w:jc w:val="center"/>
        <w:rPr>
          <w:rFonts w:ascii="Calibri Light" w:hAnsi="Calibri Light"/>
          <w:sz w:val="16"/>
          <w:szCs w:val="16"/>
          <w:lang w:val="es-PE"/>
        </w:rPr>
      </w:pPr>
    </w:p>
    <w:tbl>
      <w:tblPr>
        <w:tblStyle w:val="Tabladelista2-nfasis11"/>
        <w:tblW w:w="0" w:type="auto"/>
        <w:jc w:val="center"/>
        <w:tblInd w:w="0" w:type="dxa"/>
        <w:tblLook w:val="04A0" w:firstRow="1" w:lastRow="0" w:firstColumn="1" w:lastColumn="0" w:noHBand="0" w:noVBand="1"/>
      </w:tblPr>
      <w:tblGrid>
        <w:gridCol w:w="3586"/>
        <w:gridCol w:w="2343"/>
        <w:gridCol w:w="2575"/>
      </w:tblGrid>
      <w:tr w:rsidR="00A66C4B" w14:paraId="7B442AAA" w14:textId="77777777" w:rsidTr="00310326">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vAlign w:val="center"/>
            <w:hideMark/>
          </w:tcPr>
          <w:p w14:paraId="70795F26" w14:textId="77777777" w:rsidR="00A66C4B" w:rsidRDefault="00A66C4B" w:rsidP="00057AC9">
            <w:pPr>
              <w:pStyle w:val="ListParagraph"/>
              <w:numPr>
                <w:ilvl w:val="0"/>
                <w:numId w:val="1"/>
              </w:numPr>
              <w:spacing w:after="0" w:line="240" w:lineRule="auto"/>
              <w:jc w:val="center"/>
              <w:rPr>
                <w:rFonts w:ascii="Calibri Light" w:hAnsi="Calibri Light"/>
              </w:rPr>
            </w:pPr>
            <w:r>
              <w:rPr>
                <w:rFonts w:ascii="Calibri Light" w:hAnsi="Calibri Light"/>
              </w:rPr>
              <w:t>Datos generales</w:t>
            </w:r>
          </w:p>
        </w:tc>
      </w:tr>
      <w:tr w:rsidR="00A66C4B" w14:paraId="77B7E26B" w14:textId="77777777" w:rsidTr="00310326">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9CC2E5" w:themeColor="accent1" w:themeTint="99"/>
              <w:left w:val="nil"/>
              <w:bottom w:val="single" w:sz="4" w:space="0" w:color="9CC2E5" w:themeColor="accent1" w:themeTint="99"/>
              <w:right w:val="nil"/>
            </w:tcBorders>
            <w:hideMark/>
          </w:tcPr>
          <w:p w14:paraId="0125B153" w14:textId="77777777" w:rsidR="00A66C4B" w:rsidRDefault="00A66C4B" w:rsidP="00057AC9">
            <w:pPr>
              <w:pStyle w:val="ListParagraph"/>
              <w:numPr>
                <w:ilvl w:val="0"/>
                <w:numId w:val="2"/>
              </w:numPr>
              <w:spacing w:after="0" w:line="240" w:lineRule="auto"/>
              <w:rPr>
                <w:rFonts w:ascii="Calibri Light" w:hAnsi="Calibri Light"/>
              </w:rPr>
            </w:pPr>
            <w:r>
              <w:rPr>
                <w:rFonts w:ascii="Calibri Light" w:hAnsi="Calibri Light"/>
              </w:rPr>
              <w:t>Nombre del caso</w:t>
            </w:r>
          </w:p>
        </w:tc>
        <w:tc>
          <w:tcPr>
            <w:tcW w:w="4918" w:type="dxa"/>
            <w:gridSpan w:val="2"/>
            <w:tcBorders>
              <w:top w:val="single" w:sz="4" w:space="0" w:color="9CC2E5" w:themeColor="accent1" w:themeTint="99"/>
              <w:left w:val="nil"/>
              <w:bottom w:val="single" w:sz="4" w:space="0" w:color="9CC2E5" w:themeColor="accent1" w:themeTint="99"/>
              <w:right w:val="nil"/>
            </w:tcBorders>
            <w:hideMark/>
          </w:tcPr>
          <w:p w14:paraId="1E10707B" w14:textId="77777777" w:rsidR="00A66C4B" w:rsidRDefault="00A66C4B" w:rsidP="00057A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Empleados de la Fábrica de Fuegos en Santo Antonio de Jesús y sus familiares, Brasil</w:t>
            </w:r>
          </w:p>
        </w:tc>
      </w:tr>
      <w:tr w:rsidR="00A66C4B" w:rsidRPr="00961DAA" w14:paraId="57AC286C" w14:textId="77777777" w:rsidTr="00310326">
        <w:trPr>
          <w:trHeight w:val="263"/>
          <w:jc w:val="center"/>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9CC2E5" w:themeColor="accent1" w:themeTint="99"/>
              <w:left w:val="nil"/>
              <w:bottom w:val="single" w:sz="4" w:space="0" w:color="9CC2E5" w:themeColor="accent1" w:themeTint="99"/>
              <w:right w:val="nil"/>
            </w:tcBorders>
            <w:hideMark/>
          </w:tcPr>
          <w:p w14:paraId="64761001" w14:textId="77777777" w:rsidR="00A66C4B" w:rsidRDefault="006C0DDD" w:rsidP="00057AC9">
            <w:pPr>
              <w:pStyle w:val="ListParagraph"/>
              <w:numPr>
                <w:ilvl w:val="0"/>
                <w:numId w:val="2"/>
              </w:numPr>
              <w:spacing w:after="0" w:line="240" w:lineRule="auto"/>
              <w:rPr>
                <w:rFonts w:ascii="Calibri Light" w:hAnsi="Calibri Light"/>
              </w:rPr>
            </w:pPr>
            <w:r>
              <w:rPr>
                <w:rFonts w:ascii="Calibri Light" w:hAnsi="Calibri Light"/>
              </w:rPr>
              <w:t xml:space="preserve">Parte </w:t>
            </w:r>
            <w:r w:rsidR="00A66C4B">
              <w:rPr>
                <w:rFonts w:ascii="Calibri Light" w:hAnsi="Calibri Light"/>
              </w:rPr>
              <w:t>peticionaria</w:t>
            </w:r>
          </w:p>
        </w:tc>
        <w:tc>
          <w:tcPr>
            <w:tcW w:w="4918" w:type="dxa"/>
            <w:gridSpan w:val="2"/>
            <w:tcBorders>
              <w:top w:val="single" w:sz="4" w:space="0" w:color="9CC2E5" w:themeColor="accent1" w:themeTint="99"/>
              <w:left w:val="nil"/>
              <w:bottom w:val="single" w:sz="4" w:space="0" w:color="9CC2E5" w:themeColor="accent1" w:themeTint="99"/>
              <w:right w:val="nil"/>
            </w:tcBorders>
          </w:tcPr>
          <w:p w14:paraId="2748ABED" w14:textId="77777777" w:rsidR="003018EE" w:rsidRDefault="001528BF" w:rsidP="00057A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pt-BR"/>
              </w:rPr>
            </w:pPr>
            <w:r w:rsidRPr="00A645FD">
              <w:rPr>
                <w:rFonts w:ascii="Calibri Light" w:hAnsi="Calibri Light"/>
                <w:lang w:val="pt-BR"/>
              </w:rPr>
              <w:t xml:space="preserve">Centro de Justiça Global, Movimiento 11 de </w:t>
            </w:r>
            <w:r w:rsidR="004E3F6B" w:rsidRPr="00A645FD">
              <w:rPr>
                <w:rFonts w:ascii="Calibri Light" w:hAnsi="Calibri Light"/>
                <w:lang w:val="pt-BR"/>
              </w:rPr>
              <w:t>Dezembro</w:t>
            </w:r>
          </w:p>
          <w:p w14:paraId="3CD5353F" w14:textId="57F14830" w:rsidR="003018EE" w:rsidRDefault="004E3F6B" w:rsidP="00057A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pt-BR"/>
              </w:rPr>
            </w:pPr>
            <w:r w:rsidRPr="004E3F6B">
              <w:rPr>
                <w:rFonts w:ascii="Calibri Light" w:hAnsi="Calibri Light"/>
                <w:lang w:val="pt-BR"/>
              </w:rPr>
              <w:t>Comissão</w:t>
            </w:r>
            <w:r>
              <w:rPr>
                <w:rFonts w:ascii="Calibri Light" w:hAnsi="Calibri Light"/>
                <w:lang w:val="pt-BR"/>
              </w:rPr>
              <w:t xml:space="preserve"> de Direitos Humanos da Ordem dos Advogados do Brasil (OAB) – Subseção de </w:t>
            </w:r>
            <w:r w:rsidR="00D6436D">
              <w:rPr>
                <w:rFonts w:ascii="Calibri Light" w:hAnsi="Calibri Light"/>
                <w:lang w:val="pt-BR"/>
              </w:rPr>
              <w:t>Salvador</w:t>
            </w:r>
          </w:p>
          <w:p w14:paraId="60945887" w14:textId="52084E8D" w:rsidR="003018EE" w:rsidRDefault="00D6436D" w:rsidP="000213F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pt-BR"/>
              </w:rPr>
            </w:pPr>
            <w:r>
              <w:rPr>
                <w:rFonts w:ascii="Calibri Light" w:hAnsi="Calibri Light"/>
                <w:lang w:val="pt-BR"/>
              </w:rPr>
              <w:t>Fórum de Direitos Humanos de Santo Antônio</w:t>
            </w:r>
            <w:r w:rsidR="00FC1B07">
              <w:rPr>
                <w:rFonts w:ascii="Calibri Light" w:hAnsi="Calibri Light"/>
                <w:lang w:val="pt-BR"/>
              </w:rPr>
              <w:t xml:space="preserve"> de Jesus/Bahía</w:t>
            </w:r>
          </w:p>
          <w:p w14:paraId="2050D29A" w14:textId="419E9820" w:rsidR="00A66C4B" w:rsidRPr="00A645FD" w:rsidRDefault="00FC1B07" w:rsidP="000213F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pt-BR"/>
              </w:rPr>
            </w:pPr>
            <w:r>
              <w:rPr>
                <w:rFonts w:ascii="Calibri Light" w:hAnsi="Calibri Light"/>
                <w:lang w:val="pt-BR"/>
              </w:rPr>
              <w:t>Ailton Jose dos Santos</w:t>
            </w:r>
            <w:r w:rsidR="00DE2298">
              <w:rPr>
                <w:rFonts w:ascii="Calibri Light" w:hAnsi="Calibri Light"/>
                <w:lang w:val="pt-BR"/>
              </w:rPr>
              <w:t xml:space="preserve">, </w:t>
            </w:r>
            <w:r>
              <w:rPr>
                <w:rFonts w:ascii="Calibri Light" w:hAnsi="Calibri Light"/>
                <w:lang w:val="pt-BR"/>
              </w:rPr>
              <w:t>Yulo Oiticica Pereira y Nelson Portela Pellegrino</w:t>
            </w:r>
            <w:r w:rsidR="00D6436D">
              <w:rPr>
                <w:rFonts w:ascii="Calibri Light" w:hAnsi="Calibri Light"/>
                <w:lang w:val="pt-BR"/>
              </w:rPr>
              <w:t xml:space="preserve"> </w:t>
            </w:r>
            <w:r w:rsidR="004E3F6B">
              <w:rPr>
                <w:rFonts w:ascii="Calibri Light" w:hAnsi="Calibri Light"/>
                <w:lang w:val="pt-BR"/>
              </w:rPr>
              <w:t xml:space="preserve"> </w:t>
            </w:r>
            <w:r w:rsidR="004E3F6B" w:rsidRPr="00A645FD">
              <w:rPr>
                <w:rFonts w:ascii="Calibri Light" w:hAnsi="Calibri Light"/>
                <w:lang w:val="pt-BR"/>
              </w:rPr>
              <w:t xml:space="preserve"> </w:t>
            </w:r>
          </w:p>
        </w:tc>
      </w:tr>
      <w:tr w:rsidR="00A66C4B" w14:paraId="5AAE20F6" w14:textId="77777777" w:rsidTr="00310326">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9CC2E5" w:themeColor="accent1" w:themeTint="99"/>
              <w:left w:val="nil"/>
              <w:bottom w:val="single" w:sz="4" w:space="0" w:color="9CC2E5" w:themeColor="accent1" w:themeTint="99"/>
              <w:right w:val="nil"/>
            </w:tcBorders>
            <w:hideMark/>
          </w:tcPr>
          <w:p w14:paraId="0297A635" w14:textId="77777777" w:rsidR="00A66C4B" w:rsidRDefault="00A66C4B" w:rsidP="00057AC9">
            <w:pPr>
              <w:pStyle w:val="ListParagraph"/>
              <w:numPr>
                <w:ilvl w:val="0"/>
                <w:numId w:val="2"/>
              </w:numPr>
              <w:spacing w:after="0" w:line="240" w:lineRule="auto"/>
              <w:rPr>
                <w:rFonts w:ascii="Calibri Light" w:hAnsi="Calibri Light"/>
              </w:rPr>
            </w:pPr>
            <w:r>
              <w:rPr>
                <w:rFonts w:ascii="Calibri Light" w:hAnsi="Calibri Light"/>
              </w:rPr>
              <w:t xml:space="preserve">Número de Informe </w:t>
            </w:r>
          </w:p>
        </w:tc>
        <w:tc>
          <w:tcPr>
            <w:tcW w:w="4918" w:type="dxa"/>
            <w:gridSpan w:val="2"/>
            <w:tcBorders>
              <w:top w:val="single" w:sz="4" w:space="0" w:color="9CC2E5" w:themeColor="accent1" w:themeTint="99"/>
              <w:left w:val="nil"/>
              <w:bottom w:val="single" w:sz="4" w:space="0" w:color="9CC2E5" w:themeColor="accent1" w:themeTint="99"/>
              <w:right w:val="nil"/>
            </w:tcBorders>
          </w:tcPr>
          <w:p w14:paraId="0ECFF31C" w14:textId="08E963D6" w:rsidR="00A66C4B" w:rsidRDefault="0034673C" w:rsidP="0028079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history="1">
              <w:r w:rsidR="00A66C4B" w:rsidRPr="00A0771E">
                <w:rPr>
                  <w:rStyle w:val="Hyperlink"/>
                  <w:rFonts w:ascii="Calibri Light" w:hAnsi="Calibri Light"/>
                  <w:color w:val="0000FF"/>
                </w:rPr>
                <w:t>Informe No. 25/18</w:t>
              </w:r>
            </w:hyperlink>
            <w:r w:rsidR="00A66C4B">
              <w:rPr>
                <w:rFonts w:ascii="Calibri Light" w:hAnsi="Calibri Light"/>
              </w:rPr>
              <w:t xml:space="preserve"> </w:t>
            </w:r>
          </w:p>
        </w:tc>
      </w:tr>
      <w:tr w:rsidR="00A66C4B" w14:paraId="7F37E7A4" w14:textId="77777777" w:rsidTr="00310326">
        <w:trPr>
          <w:trHeight w:val="212"/>
          <w:jc w:val="center"/>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9CC2E5" w:themeColor="accent1" w:themeTint="99"/>
              <w:left w:val="nil"/>
              <w:bottom w:val="single" w:sz="4" w:space="0" w:color="9CC2E5" w:themeColor="accent1" w:themeTint="99"/>
              <w:right w:val="nil"/>
            </w:tcBorders>
            <w:hideMark/>
          </w:tcPr>
          <w:p w14:paraId="65335927" w14:textId="77777777" w:rsidR="00A66C4B" w:rsidRDefault="00A66C4B" w:rsidP="00057AC9">
            <w:pPr>
              <w:pStyle w:val="ListParagraph"/>
              <w:numPr>
                <w:ilvl w:val="0"/>
                <w:numId w:val="2"/>
              </w:numPr>
              <w:spacing w:after="0" w:line="240" w:lineRule="auto"/>
            </w:pPr>
            <w:r>
              <w:rPr>
                <w:rFonts w:ascii="Calibri Light" w:hAnsi="Calibri Light"/>
              </w:rPr>
              <w:t xml:space="preserve">Tipo de informe </w:t>
            </w:r>
          </w:p>
        </w:tc>
        <w:tc>
          <w:tcPr>
            <w:tcW w:w="4918" w:type="dxa"/>
            <w:gridSpan w:val="2"/>
            <w:tcBorders>
              <w:top w:val="single" w:sz="4" w:space="0" w:color="9CC2E5" w:themeColor="accent1" w:themeTint="99"/>
              <w:left w:val="nil"/>
              <w:bottom w:val="single" w:sz="4" w:space="0" w:color="9CC2E5" w:themeColor="accent1" w:themeTint="99"/>
              <w:right w:val="nil"/>
            </w:tcBorders>
            <w:vAlign w:val="center"/>
            <w:hideMark/>
          </w:tcPr>
          <w:p w14:paraId="7DF01A8F" w14:textId="601E63D9" w:rsidR="00A66C4B" w:rsidRDefault="00A66C4B" w:rsidP="00057A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Informe de Admisibilidad y Fondo</w:t>
            </w:r>
            <w:r w:rsidR="00280799">
              <w:rPr>
                <w:rFonts w:ascii="Calibri Light" w:hAnsi="Calibri Light"/>
              </w:rPr>
              <w:t xml:space="preserve"> (Caso en la Corte IDH)</w:t>
            </w:r>
          </w:p>
        </w:tc>
      </w:tr>
      <w:tr w:rsidR="00A66C4B" w14:paraId="45A0B266" w14:textId="77777777" w:rsidTr="0031032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9CC2E5" w:themeColor="accent1" w:themeTint="99"/>
              <w:left w:val="nil"/>
              <w:bottom w:val="single" w:sz="4" w:space="0" w:color="9CC2E5" w:themeColor="accent1" w:themeTint="99"/>
              <w:right w:val="nil"/>
            </w:tcBorders>
            <w:hideMark/>
          </w:tcPr>
          <w:p w14:paraId="1EBE7CFC" w14:textId="77777777" w:rsidR="00A66C4B" w:rsidRDefault="00A66C4B" w:rsidP="00057AC9">
            <w:pPr>
              <w:pStyle w:val="ListParagraph"/>
              <w:numPr>
                <w:ilvl w:val="0"/>
                <w:numId w:val="2"/>
              </w:numPr>
              <w:spacing w:after="0" w:line="240" w:lineRule="auto"/>
              <w:rPr>
                <w:rFonts w:ascii="Calibri Light" w:hAnsi="Calibri Light"/>
              </w:rPr>
            </w:pPr>
            <w:r>
              <w:rPr>
                <w:rFonts w:ascii="Calibri Light" w:hAnsi="Calibri Light"/>
              </w:rPr>
              <w:t xml:space="preserve">Fecha </w:t>
            </w:r>
          </w:p>
        </w:tc>
        <w:tc>
          <w:tcPr>
            <w:tcW w:w="4918" w:type="dxa"/>
            <w:gridSpan w:val="2"/>
            <w:tcBorders>
              <w:top w:val="single" w:sz="4" w:space="0" w:color="9CC2E5" w:themeColor="accent1" w:themeTint="99"/>
              <w:left w:val="nil"/>
              <w:bottom w:val="single" w:sz="4" w:space="0" w:color="9CC2E5" w:themeColor="accent1" w:themeTint="99"/>
              <w:right w:val="nil"/>
            </w:tcBorders>
            <w:vAlign w:val="center"/>
            <w:hideMark/>
          </w:tcPr>
          <w:p w14:paraId="0CCD9383" w14:textId="77777777" w:rsidR="00A66C4B" w:rsidRDefault="00A66C4B" w:rsidP="00057A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2 de marzo de 2018</w:t>
            </w:r>
          </w:p>
        </w:tc>
      </w:tr>
      <w:tr w:rsidR="00A66C4B" w14:paraId="69CCC5C6" w14:textId="77777777" w:rsidTr="00310326">
        <w:trPr>
          <w:trHeight w:val="567"/>
          <w:jc w:val="center"/>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9CC2E5" w:themeColor="accent1" w:themeTint="99"/>
              <w:left w:val="nil"/>
              <w:bottom w:val="single" w:sz="4" w:space="0" w:color="9CC2E5" w:themeColor="accent1" w:themeTint="99"/>
              <w:right w:val="nil"/>
            </w:tcBorders>
            <w:hideMark/>
          </w:tcPr>
          <w:p w14:paraId="40E8DA88" w14:textId="77777777" w:rsidR="00A66C4B" w:rsidRDefault="00A66C4B" w:rsidP="00057AC9">
            <w:pPr>
              <w:pStyle w:val="ListParagraph"/>
              <w:numPr>
                <w:ilvl w:val="0"/>
                <w:numId w:val="2"/>
              </w:numPr>
              <w:spacing w:after="0" w:line="240" w:lineRule="auto"/>
              <w:rPr>
                <w:rFonts w:ascii="Calibri Light" w:hAnsi="Calibri Light"/>
              </w:rPr>
            </w:pPr>
            <w:r>
              <w:rPr>
                <w:rFonts w:ascii="Calibri Light" w:hAnsi="Calibri Light"/>
              </w:rPr>
              <w:t>Decisiones de la CIDH y/o la Corte IDH, relacionadas</w:t>
            </w:r>
          </w:p>
        </w:tc>
        <w:tc>
          <w:tcPr>
            <w:tcW w:w="4918" w:type="dxa"/>
            <w:gridSpan w:val="2"/>
            <w:tcBorders>
              <w:top w:val="single" w:sz="4" w:space="0" w:color="9CC2E5" w:themeColor="accent1" w:themeTint="99"/>
              <w:left w:val="nil"/>
              <w:bottom w:val="single" w:sz="4" w:space="0" w:color="9CC2E5" w:themeColor="accent1" w:themeTint="99"/>
              <w:right w:val="nil"/>
            </w:tcBorders>
            <w:vAlign w:val="center"/>
            <w:hideMark/>
          </w:tcPr>
          <w:p w14:paraId="40146754" w14:textId="1F65D0C2" w:rsidR="00A66C4B" w:rsidRDefault="00EC0BB1" w:rsidP="00057A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Caso Empleados de la Fábrica de Fuegos en Santo Antônio de Jesus y sus familiares vs. Brasil (</w:t>
            </w:r>
            <w:hyperlink r:id="rId13" w:history="1">
              <w:r w:rsidRPr="00EC0BB1">
                <w:rPr>
                  <w:rStyle w:val="Hyperlink"/>
                  <w:rFonts w:ascii="Calibri Light" w:hAnsi="Calibri Light"/>
                  <w:color w:val="0432FF"/>
                </w:rPr>
                <w:t>Sentencia de 15 de julio de 2020</w:t>
              </w:r>
            </w:hyperlink>
            <w:r>
              <w:rPr>
                <w:rFonts w:ascii="Calibri Light" w:hAnsi="Calibri Light"/>
              </w:rPr>
              <w:t>)</w:t>
            </w:r>
          </w:p>
        </w:tc>
      </w:tr>
      <w:tr w:rsidR="00A66C4B" w14:paraId="4CB3620E" w14:textId="77777777" w:rsidTr="00310326">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586" w:type="dxa"/>
            <w:vMerge w:val="restart"/>
            <w:tcBorders>
              <w:top w:val="single" w:sz="4" w:space="0" w:color="9CC2E5" w:themeColor="accent1" w:themeTint="99"/>
              <w:left w:val="nil"/>
              <w:bottom w:val="single" w:sz="4" w:space="0" w:color="9CC2E5" w:themeColor="accent1" w:themeTint="99"/>
              <w:right w:val="nil"/>
            </w:tcBorders>
            <w:hideMark/>
          </w:tcPr>
          <w:p w14:paraId="6FCC28F9" w14:textId="77777777" w:rsidR="00A66C4B" w:rsidRDefault="00A66C4B" w:rsidP="00057AC9">
            <w:pPr>
              <w:pStyle w:val="ListParagraph"/>
              <w:numPr>
                <w:ilvl w:val="0"/>
                <w:numId w:val="2"/>
              </w:numPr>
              <w:spacing w:after="0" w:line="240" w:lineRule="auto"/>
              <w:rPr>
                <w:rFonts w:ascii="Calibri Light" w:hAnsi="Calibri Light"/>
              </w:rPr>
            </w:pPr>
            <w:r>
              <w:rPr>
                <w:rFonts w:ascii="Calibri Light" w:hAnsi="Calibri Light"/>
              </w:rPr>
              <w:t xml:space="preserve">Artículos analizados </w:t>
            </w:r>
          </w:p>
        </w:tc>
        <w:tc>
          <w:tcPr>
            <w:tcW w:w="4918" w:type="dxa"/>
            <w:gridSpan w:val="2"/>
            <w:tcBorders>
              <w:top w:val="single" w:sz="4" w:space="0" w:color="9CC2E5" w:themeColor="accent1" w:themeTint="99"/>
              <w:left w:val="nil"/>
              <w:bottom w:val="single" w:sz="4" w:space="0" w:color="9CC2E5" w:themeColor="accent1" w:themeTint="99"/>
              <w:right w:val="nil"/>
            </w:tcBorders>
            <w:vAlign w:val="center"/>
            <w:hideMark/>
          </w:tcPr>
          <w:p w14:paraId="064CD5D1" w14:textId="77777777" w:rsidR="00A66C4B" w:rsidRDefault="00A66C4B" w:rsidP="00057A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Convención Americana sobre Derechos Humanos</w:t>
            </w:r>
          </w:p>
        </w:tc>
      </w:tr>
      <w:tr w:rsidR="00A66C4B" w14:paraId="14ED8E8A" w14:textId="77777777" w:rsidTr="00310326">
        <w:trPr>
          <w:trHeight w:val="51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CC2E5" w:themeColor="accent1" w:themeTint="99"/>
              <w:left w:val="nil"/>
              <w:bottom w:val="single" w:sz="4" w:space="0" w:color="9CC2E5" w:themeColor="accent1" w:themeTint="99"/>
              <w:right w:val="nil"/>
            </w:tcBorders>
            <w:vAlign w:val="center"/>
            <w:hideMark/>
          </w:tcPr>
          <w:p w14:paraId="18C59698" w14:textId="77777777" w:rsidR="00A66C4B" w:rsidRDefault="00A66C4B" w:rsidP="00057AC9">
            <w:pPr>
              <w:spacing w:after="0" w:line="240" w:lineRule="auto"/>
              <w:rPr>
                <w:rFonts w:ascii="Calibri Light" w:hAnsi="Calibri Light"/>
              </w:rPr>
            </w:pPr>
          </w:p>
        </w:tc>
        <w:tc>
          <w:tcPr>
            <w:tcW w:w="2343" w:type="dxa"/>
            <w:tcBorders>
              <w:top w:val="single" w:sz="4" w:space="0" w:color="9CC2E5" w:themeColor="accent1" w:themeTint="99"/>
              <w:left w:val="nil"/>
              <w:bottom w:val="single" w:sz="4" w:space="0" w:color="9CC2E5" w:themeColor="accent1" w:themeTint="99"/>
              <w:right w:val="nil"/>
            </w:tcBorders>
            <w:vAlign w:val="center"/>
            <w:hideMark/>
          </w:tcPr>
          <w:p w14:paraId="6F2F0115" w14:textId="77777777" w:rsidR="00A66C4B" w:rsidRDefault="00A66C4B" w:rsidP="00057A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Artículos analizados declarados violados</w:t>
            </w:r>
          </w:p>
        </w:tc>
        <w:tc>
          <w:tcPr>
            <w:tcW w:w="2575" w:type="dxa"/>
            <w:tcBorders>
              <w:top w:val="single" w:sz="4" w:space="0" w:color="9CC2E5" w:themeColor="accent1" w:themeTint="99"/>
              <w:left w:val="nil"/>
              <w:bottom w:val="single" w:sz="4" w:space="0" w:color="9CC2E5" w:themeColor="accent1" w:themeTint="99"/>
              <w:right w:val="nil"/>
            </w:tcBorders>
            <w:vAlign w:val="center"/>
            <w:hideMark/>
          </w:tcPr>
          <w:p w14:paraId="794987D9" w14:textId="77777777" w:rsidR="00A66C4B" w:rsidRDefault="00A66C4B" w:rsidP="00057A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Artículos analizados no declarados violados</w:t>
            </w:r>
          </w:p>
        </w:tc>
      </w:tr>
      <w:tr w:rsidR="00A66C4B" w14:paraId="279BC19D" w14:textId="77777777" w:rsidTr="00310326">
        <w:trPr>
          <w:cnfStyle w:val="000000100000" w:firstRow="0" w:lastRow="0" w:firstColumn="0" w:lastColumn="0" w:oddVBand="0" w:evenVBand="0" w:oddHBand="1" w:evenHBand="0" w:firstRowFirstColumn="0" w:firstRowLastColumn="0" w:lastRowFirstColumn="0" w:lastRowLastColumn="0"/>
          <w:trHeight w:val="61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CC2E5" w:themeColor="accent1" w:themeTint="99"/>
              <w:left w:val="nil"/>
              <w:bottom w:val="single" w:sz="4" w:space="0" w:color="9CC2E5" w:themeColor="accent1" w:themeTint="99"/>
              <w:right w:val="nil"/>
            </w:tcBorders>
            <w:vAlign w:val="center"/>
            <w:hideMark/>
          </w:tcPr>
          <w:p w14:paraId="7881FD9A" w14:textId="77777777" w:rsidR="00A66C4B" w:rsidRDefault="00A66C4B" w:rsidP="00057AC9">
            <w:pPr>
              <w:spacing w:after="0" w:line="240" w:lineRule="auto"/>
              <w:rPr>
                <w:rFonts w:ascii="Calibri Light" w:hAnsi="Calibri Light"/>
              </w:rPr>
            </w:pPr>
          </w:p>
        </w:tc>
        <w:tc>
          <w:tcPr>
            <w:tcW w:w="2343" w:type="dxa"/>
            <w:tcBorders>
              <w:top w:val="single" w:sz="4" w:space="0" w:color="9CC2E5" w:themeColor="accent1" w:themeTint="99"/>
              <w:left w:val="nil"/>
              <w:bottom w:val="single" w:sz="4" w:space="0" w:color="9CC2E5" w:themeColor="accent1" w:themeTint="99"/>
              <w:right w:val="nil"/>
            </w:tcBorders>
            <w:vAlign w:val="center"/>
            <w:hideMark/>
          </w:tcPr>
          <w:p w14:paraId="2DEAE300" w14:textId="77777777" w:rsidR="00A66C4B" w:rsidRDefault="000729CC" w:rsidP="00057A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Pr>
                <w:rFonts w:ascii="Calibri Light" w:hAnsi="Calibri Light"/>
                <w:lang w:val="en-US"/>
              </w:rPr>
              <w:t>Art. 1, art. 2, art. 4, art. 5, art</w:t>
            </w:r>
            <w:r w:rsidR="00ED2DFB">
              <w:rPr>
                <w:rFonts w:ascii="Calibri Light" w:hAnsi="Calibri Light"/>
                <w:lang w:val="en-US"/>
              </w:rPr>
              <w:t>. 8, art. 19, art. 24, art. 25 y</w:t>
            </w:r>
            <w:r>
              <w:rPr>
                <w:rFonts w:ascii="Calibri Light" w:hAnsi="Calibri Light"/>
                <w:lang w:val="en-US"/>
              </w:rPr>
              <w:t xml:space="preserve"> art. 26</w:t>
            </w:r>
          </w:p>
        </w:tc>
        <w:tc>
          <w:tcPr>
            <w:tcW w:w="2575" w:type="dxa"/>
            <w:tcBorders>
              <w:top w:val="single" w:sz="4" w:space="0" w:color="9CC2E5" w:themeColor="accent1" w:themeTint="99"/>
              <w:left w:val="nil"/>
              <w:bottom w:val="single" w:sz="4" w:space="0" w:color="9CC2E5" w:themeColor="accent1" w:themeTint="99"/>
              <w:right w:val="nil"/>
            </w:tcBorders>
            <w:vAlign w:val="center"/>
            <w:hideMark/>
          </w:tcPr>
          <w:p w14:paraId="271339C3" w14:textId="77777777" w:rsidR="00A66C4B" w:rsidRDefault="00A66C4B" w:rsidP="00057A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w:t>
            </w:r>
          </w:p>
        </w:tc>
      </w:tr>
      <w:tr w:rsidR="00A66C4B" w14:paraId="6E1A4958" w14:textId="77777777" w:rsidTr="00310326">
        <w:trPr>
          <w:trHeight w:val="567"/>
          <w:jc w:val="cent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vAlign w:val="center"/>
            <w:hideMark/>
          </w:tcPr>
          <w:p w14:paraId="1D5F5A5C" w14:textId="77777777" w:rsidR="00A66C4B" w:rsidRDefault="00A66C4B" w:rsidP="00057AC9">
            <w:pPr>
              <w:pStyle w:val="ListParagraph"/>
              <w:numPr>
                <w:ilvl w:val="0"/>
                <w:numId w:val="1"/>
              </w:numPr>
              <w:spacing w:after="0" w:line="240" w:lineRule="auto"/>
              <w:jc w:val="center"/>
              <w:rPr>
                <w:rFonts w:ascii="Calibri Light" w:hAnsi="Calibri Light"/>
              </w:rPr>
            </w:pPr>
            <w:r>
              <w:rPr>
                <w:rFonts w:ascii="Calibri Light" w:hAnsi="Calibri Light"/>
              </w:rPr>
              <w:t>Sumilla</w:t>
            </w:r>
          </w:p>
        </w:tc>
      </w:tr>
      <w:tr w:rsidR="00A66C4B" w14:paraId="7E62911E" w14:textId="77777777" w:rsidTr="00310326">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tcPr>
          <w:p w14:paraId="017CB194" w14:textId="77777777" w:rsidR="00A66C4B" w:rsidRDefault="00A66C4B" w:rsidP="00057AC9">
            <w:pPr>
              <w:spacing w:after="0" w:line="240" w:lineRule="auto"/>
              <w:jc w:val="both"/>
              <w:rPr>
                <w:rFonts w:ascii="Calibri Light" w:hAnsi="Calibri Light"/>
                <w:b w:val="0"/>
              </w:rPr>
            </w:pPr>
          </w:p>
          <w:p w14:paraId="27B530F1" w14:textId="00B17654" w:rsidR="006675DC" w:rsidRDefault="00376C92" w:rsidP="00057AC9">
            <w:pPr>
              <w:spacing w:after="0" w:line="240" w:lineRule="auto"/>
              <w:jc w:val="both"/>
              <w:rPr>
                <w:rFonts w:ascii="Calibri Light" w:hAnsi="Calibri Light"/>
                <w:b w:val="0"/>
              </w:rPr>
            </w:pPr>
            <w:r>
              <w:rPr>
                <w:rFonts w:ascii="Calibri Light" w:hAnsi="Calibri Light"/>
                <w:b w:val="0"/>
              </w:rPr>
              <w:t xml:space="preserve">El caso trata </w:t>
            </w:r>
            <w:r w:rsidR="003018EE">
              <w:rPr>
                <w:rFonts w:ascii="Calibri Light" w:hAnsi="Calibri Light"/>
                <w:b w:val="0"/>
              </w:rPr>
              <w:t xml:space="preserve">sobre </w:t>
            </w:r>
            <w:r>
              <w:rPr>
                <w:rFonts w:ascii="Calibri Light" w:hAnsi="Calibri Light"/>
                <w:b w:val="0"/>
              </w:rPr>
              <w:t xml:space="preserve">la explosión producida en una fábrica de fuegos artificiales, que provocó la muerte de 64 personas y dejó heridas gravemente a 6 personas, entre ellas niños y niñas. </w:t>
            </w:r>
            <w:r w:rsidR="00E06A2E">
              <w:rPr>
                <w:rFonts w:ascii="Calibri Light" w:hAnsi="Calibri Light"/>
                <w:b w:val="0"/>
              </w:rPr>
              <w:t xml:space="preserve">Las inspecciones realizadas de forma posterior a la explosión </w:t>
            </w:r>
            <w:r w:rsidR="00BC2E2C">
              <w:rPr>
                <w:rFonts w:ascii="Calibri Light" w:hAnsi="Calibri Light"/>
                <w:b w:val="0"/>
              </w:rPr>
              <w:t>evidenciaron</w:t>
            </w:r>
            <w:r w:rsidR="00E06A2E">
              <w:rPr>
                <w:rFonts w:ascii="Calibri Light" w:hAnsi="Calibri Light"/>
                <w:b w:val="0"/>
              </w:rPr>
              <w:t xml:space="preserve"> que la fábrica no contaba con las medidas mínimas </w:t>
            </w:r>
            <w:r w:rsidR="007263FF">
              <w:rPr>
                <w:rFonts w:ascii="Calibri Light" w:hAnsi="Calibri Light"/>
                <w:b w:val="0"/>
              </w:rPr>
              <w:t>de seguridad</w:t>
            </w:r>
            <w:r w:rsidR="005E1711">
              <w:rPr>
                <w:rFonts w:ascii="Calibri Light" w:hAnsi="Calibri Light"/>
                <w:b w:val="0"/>
              </w:rPr>
              <w:t xml:space="preserve"> para operar, y exponía a peligro a todos sus trabajadores. Asimismo, </w:t>
            </w:r>
            <w:r w:rsidR="00BC2E2C">
              <w:rPr>
                <w:rFonts w:ascii="Calibri Light" w:hAnsi="Calibri Light"/>
                <w:b w:val="0"/>
              </w:rPr>
              <w:t xml:space="preserve">en el caso se </w:t>
            </w:r>
            <w:r w:rsidR="005E1711">
              <w:rPr>
                <w:rFonts w:ascii="Calibri Light" w:hAnsi="Calibri Light"/>
                <w:b w:val="0"/>
              </w:rPr>
              <w:t>analizan los procesos seguidos</w:t>
            </w:r>
            <w:r w:rsidR="00BC2E2C">
              <w:rPr>
                <w:rFonts w:ascii="Calibri Light" w:hAnsi="Calibri Light"/>
                <w:b w:val="0"/>
              </w:rPr>
              <w:t xml:space="preserve"> por estos hechos</w:t>
            </w:r>
            <w:r w:rsidR="005E1711">
              <w:rPr>
                <w:rFonts w:ascii="Calibri Light" w:hAnsi="Calibri Light"/>
                <w:b w:val="0"/>
              </w:rPr>
              <w:t xml:space="preserve"> </w:t>
            </w:r>
            <w:r w:rsidR="00412406">
              <w:rPr>
                <w:rFonts w:ascii="Calibri Light" w:hAnsi="Calibri Light"/>
                <w:b w:val="0"/>
              </w:rPr>
              <w:t xml:space="preserve">en </w:t>
            </w:r>
            <w:r w:rsidR="00BC2E2C">
              <w:rPr>
                <w:rFonts w:ascii="Calibri Light" w:hAnsi="Calibri Light"/>
                <w:b w:val="0"/>
              </w:rPr>
              <w:t xml:space="preserve">las </w:t>
            </w:r>
            <w:r w:rsidR="00412406">
              <w:rPr>
                <w:rFonts w:ascii="Calibri Light" w:hAnsi="Calibri Light"/>
                <w:b w:val="0"/>
              </w:rPr>
              <w:t>vía</w:t>
            </w:r>
            <w:r w:rsidR="00BC2E2C">
              <w:rPr>
                <w:rFonts w:ascii="Calibri Light" w:hAnsi="Calibri Light"/>
                <w:b w:val="0"/>
              </w:rPr>
              <w:t>s</w:t>
            </w:r>
            <w:r w:rsidR="00412406">
              <w:rPr>
                <w:rFonts w:ascii="Calibri Light" w:hAnsi="Calibri Light"/>
                <w:b w:val="0"/>
              </w:rPr>
              <w:t xml:space="preserve"> </w:t>
            </w:r>
            <w:r w:rsidR="00DD56DD">
              <w:rPr>
                <w:rFonts w:ascii="Calibri Light" w:hAnsi="Calibri Light"/>
                <w:b w:val="0"/>
              </w:rPr>
              <w:t>penal, civil</w:t>
            </w:r>
            <w:r w:rsidR="00446FDB">
              <w:rPr>
                <w:rFonts w:ascii="Calibri Light" w:hAnsi="Calibri Light"/>
                <w:b w:val="0"/>
              </w:rPr>
              <w:t xml:space="preserve"> y</w:t>
            </w:r>
            <w:r w:rsidR="00DD56DD">
              <w:rPr>
                <w:rFonts w:ascii="Calibri Light" w:hAnsi="Calibri Light"/>
                <w:b w:val="0"/>
              </w:rPr>
              <w:t xml:space="preserve"> laboral </w:t>
            </w:r>
            <w:r w:rsidR="005E1711">
              <w:rPr>
                <w:rFonts w:ascii="Calibri Light" w:hAnsi="Calibri Light"/>
                <w:b w:val="0"/>
              </w:rPr>
              <w:t>para determinar responsabilidades e indemnizaciones</w:t>
            </w:r>
            <w:r w:rsidR="00BC2E2C">
              <w:rPr>
                <w:rFonts w:ascii="Calibri Light" w:hAnsi="Calibri Light"/>
                <w:b w:val="0"/>
              </w:rPr>
              <w:t>. V</w:t>
            </w:r>
            <w:r w:rsidR="00205CAB">
              <w:rPr>
                <w:rFonts w:ascii="Calibri Light" w:hAnsi="Calibri Light"/>
                <w:b w:val="0"/>
              </w:rPr>
              <w:t xml:space="preserve">arios de </w:t>
            </w:r>
            <w:r w:rsidR="00BC2E2C">
              <w:rPr>
                <w:rFonts w:ascii="Calibri Light" w:hAnsi="Calibri Light"/>
                <w:b w:val="0"/>
              </w:rPr>
              <w:t>e</w:t>
            </w:r>
            <w:r w:rsidR="00446FDB">
              <w:rPr>
                <w:rFonts w:ascii="Calibri Light" w:hAnsi="Calibri Light"/>
                <w:b w:val="0"/>
              </w:rPr>
              <w:t>stos procesos</w:t>
            </w:r>
            <w:r w:rsidR="00205CAB">
              <w:rPr>
                <w:rFonts w:ascii="Calibri Light" w:hAnsi="Calibri Light"/>
                <w:b w:val="0"/>
              </w:rPr>
              <w:t xml:space="preserve"> </w:t>
            </w:r>
            <w:r w:rsidR="00B97068">
              <w:rPr>
                <w:rFonts w:ascii="Calibri Light" w:hAnsi="Calibri Light"/>
                <w:b w:val="0"/>
              </w:rPr>
              <w:t>no cumplieron con el objetivo de tutelar los derechos afectados</w:t>
            </w:r>
            <w:r w:rsidR="00446FDB">
              <w:rPr>
                <w:rFonts w:ascii="Calibri Light" w:hAnsi="Calibri Light"/>
                <w:b w:val="0"/>
              </w:rPr>
              <w:t xml:space="preserve">, entre otras razones, </w:t>
            </w:r>
            <w:r w:rsidR="00B97068">
              <w:rPr>
                <w:rFonts w:ascii="Calibri Light" w:hAnsi="Calibri Light"/>
                <w:b w:val="0"/>
              </w:rPr>
              <w:t>por los</w:t>
            </w:r>
            <w:r w:rsidR="00BC2E2C">
              <w:rPr>
                <w:rFonts w:ascii="Calibri Light" w:hAnsi="Calibri Light"/>
                <w:b w:val="0"/>
              </w:rPr>
              <w:t xml:space="preserve"> </w:t>
            </w:r>
            <w:r w:rsidR="00B97068">
              <w:rPr>
                <w:rFonts w:ascii="Calibri Light" w:hAnsi="Calibri Light"/>
                <w:b w:val="0"/>
              </w:rPr>
              <w:t xml:space="preserve">retrasos en </w:t>
            </w:r>
            <w:r w:rsidR="00BC2E2C">
              <w:rPr>
                <w:rFonts w:ascii="Calibri Light" w:hAnsi="Calibri Light"/>
                <w:b w:val="0"/>
              </w:rPr>
              <w:t xml:space="preserve">su </w:t>
            </w:r>
            <w:r w:rsidR="00B97068">
              <w:rPr>
                <w:rFonts w:ascii="Calibri Light" w:hAnsi="Calibri Light"/>
                <w:b w:val="0"/>
              </w:rPr>
              <w:t>resolución o la falta de pago de indemnizaciones</w:t>
            </w:r>
            <w:r w:rsidR="005E1711">
              <w:rPr>
                <w:rFonts w:ascii="Calibri Light" w:hAnsi="Calibri Light"/>
                <w:b w:val="0"/>
              </w:rPr>
              <w:t>.</w:t>
            </w:r>
          </w:p>
          <w:p w14:paraId="6D234D8A" w14:textId="77777777" w:rsidR="006675DC" w:rsidRDefault="006675DC" w:rsidP="00057AC9">
            <w:pPr>
              <w:spacing w:after="0" w:line="240" w:lineRule="auto"/>
              <w:jc w:val="both"/>
              <w:rPr>
                <w:rFonts w:ascii="Calibri Light" w:hAnsi="Calibri Light"/>
                <w:b w:val="0"/>
              </w:rPr>
            </w:pPr>
          </w:p>
        </w:tc>
      </w:tr>
      <w:tr w:rsidR="00A66C4B" w14:paraId="357518B3" w14:textId="77777777" w:rsidTr="00310326">
        <w:trPr>
          <w:trHeight w:val="567"/>
          <w:jc w:val="cent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vAlign w:val="center"/>
            <w:hideMark/>
          </w:tcPr>
          <w:p w14:paraId="26661660" w14:textId="77777777" w:rsidR="00A66C4B" w:rsidRDefault="00A66C4B" w:rsidP="00057AC9">
            <w:pPr>
              <w:pStyle w:val="ListParagraph"/>
              <w:numPr>
                <w:ilvl w:val="0"/>
                <w:numId w:val="1"/>
              </w:numPr>
              <w:spacing w:after="0" w:line="240" w:lineRule="auto"/>
              <w:jc w:val="center"/>
              <w:rPr>
                <w:rFonts w:ascii="Calibri Light" w:hAnsi="Calibri Light"/>
              </w:rPr>
            </w:pPr>
            <w:r>
              <w:rPr>
                <w:rFonts w:ascii="Calibri Light" w:hAnsi="Calibri Light"/>
              </w:rPr>
              <w:t>Palabras clave</w:t>
            </w:r>
          </w:p>
        </w:tc>
      </w:tr>
      <w:tr w:rsidR="00A66C4B" w14:paraId="6C090CE5" w14:textId="77777777" w:rsidTr="001329F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vAlign w:val="center"/>
            <w:hideMark/>
          </w:tcPr>
          <w:p w14:paraId="68414ADD" w14:textId="77777777" w:rsidR="00DE2298" w:rsidRDefault="00DE2298" w:rsidP="00057AC9">
            <w:pPr>
              <w:spacing w:after="0" w:line="240" w:lineRule="auto"/>
              <w:jc w:val="both"/>
              <w:rPr>
                <w:rFonts w:ascii="Calibri Light" w:hAnsi="Calibri Light"/>
                <w:b w:val="0"/>
              </w:rPr>
            </w:pPr>
          </w:p>
          <w:p w14:paraId="0DC61AC0" w14:textId="77777777" w:rsidR="00DE2298" w:rsidRDefault="00DE2298" w:rsidP="00057AC9">
            <w:pPr>
              <w:spacing w:after="0" w:line="240" w:lineRule="auto"/>
              <w:jc w:val="both"/>
              <w:rPr>
                <w:rFonts w:ascii="Calibri Light" w:hAnsi="Calibri Light"/>
                <w:b w:val="0"/>
              </w:rPr>
            </w:pPr>
            <w:r>
              <w:rPr>
                <w:rFonts w:ascii="Calibri Light" w:hAnsi="Calibri Light"/>
                <w:b w:val="0"/>
              </w:rPr>
              <w:t xml:space="preserve">DESCA, </w:t>
            </w:r>
            <w:r w:rsidR="0099410C">
              <w:rPr>
                <w:rFonts w:ascii="Calibri Light" w:hAnsi="Calibri Light"/>
                <w:b w:val="0"/>
              </w:rPr>
              <w:t>Derechos laborales, Integridad personal, Niñas niños y adolescentes, No discriminación, Protección judicial y garantías judiciales, Vida</w:t>
            </w:r>
          </w:p>
          <w:p w14:paraId="08CAED94" w14:textId="7545B1E2" w:rsidR="001329FD" w:rsidRDefault="001329FD" w:rsidP="00057AC9">
            <w:pPr>
              <w:spacing w:after="0" w:line="240" w:lineRule="auto"/>
              <w:jc w:val="both"/>
              <w:rPr>
                <w:rFonts w:ascii="Calibri Light" w:hAnsi="Calibri Light"/>
                <w:b w:val="0"/>
              </w:rPr>
            </w:pPr>
          </w:p>
        </w:tc>
      </w:tr>
      <w:tr w:rsidR="00A66C4B" w14:paraId="765FCC67" w14:textId="77777777" w:rsidTr="00310326">
        <w:trPr>
          <w:trHeight w:val="567"/>
          <w:jc w:val="cent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vAlign w:val="center"/>
            <w:hideMark/>
          </w:tcPr>
          <w:p w14:paraId="3240ADFF" w14:textId="77777777" w:rsidR="00A66C4B" w:rsidRDefault="00A66C4B" w:rsidP="00057AC9">
            <w:pPr>
              <w:pStyle w:val="ListParagraph"/>
              <w:numPr>
                <w:ilvl w:val="0"/>
                <w:numId w:val="1"/>
              </w:numPr>
              <w:spacing w:after="0" w:line="240" w:lineRule="auto"/>
              <w:jc w:val="center"/>
              <w:rPr>
                <w:rFonts w:ascii="Calibri Light" w:hAnsi="Calibri Light"/>
              </w:rPr>
            </w:pPr>
            <w:r>
              <w:rPr>
                <w:rFonts w:ascii="Calibri Light" w:hAnsi="Calibri Light"/>
              </w:rPr>
              <w:t>Hechos</w:t>
            </w:r>
          </w:p>
        </w:tc>
      </w:tr>
      <w:tr w:rsidR="00A66C4B" w14:paraId="6A836563" w14:textId="77777777" w:rsidTr="00310326">
        <w:trPr>
          <w:cnfStyle w:val="000000100000" w:firstRow="0" w:lastRow="0" w:firstColumn="0" w:lastColumn="0" w:oddVBand="0" w:evenVBand="0" w:oddHBand="1" w:evenHBand="0" w:firstRowFirstColumn="0" w:firstRowLastColumn="0" w:lastRowFirstColumn="0" w:lastRowLastColumn="0"/>
          <w:trHeight w:val="662"/>
          <w:jc w:val="cent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tcPr>
          <w:p w14:paraId="5431712B" w14:textId="77777777" w:rsidR="00A66C4B" w:rsidRDefault="00A66C4B" w:rsidP="00057AC9">
            <w:pPr>
              <w:spacing w:after="0" w:line="240" w:lineRule="auto"/>
              <w:jc w:val="both"/>
              <w:rPr>
                <w:rFonts w:ascii="Calibri Light" w:hAnsi="Calibri Light"/>
                <w:bCs w:val="0"/>
              </w:rPr>
            </w:pPr>
          </w:p>
          <w:p w14:paraId="07CF723D" w14:textId="5356A4D7" w:rsidR="004E2175" w:rsidRDefault="00DC791C" w:rsidP="00057AC9">
            <w:pPr>
              <w:spacing w:after="0" w:line="240" w:lineRule="auto"/>
              <w:jc w:val="both"/>
              <w:rPr>
                <w:rFonts w:ascii="Calibri Light" w:hAnsi="Calibri Light"/>
                <w:b w:val="0"/>
              </w:rPr>
            </w:pPr>
            <w:r>
              <w:rPr>
                <w:rFonts w:ascii="Calibri Light" w:hAnsi="Calibri Light"/>
                <w:b w:val="0"/>
              </w:rPr>
              <w:t xml:space="preserve">El municipio de Santo Antonio de Jesús, ubicado en el </w:t>
            </w:r>
            <w:r w:rsidR="00DE2298">
              <w:rPr>
                <w:rFonts w:ascii="Calibri Light" w:hAnsi="Calibri Light"/>
                <w:b w:val="0"/>
              </w:rPr>
              <w:t>e</w:t>
            </w:r>
            <w:r>
              <w:rPr>
                <w:rFonts w:ascii="Calibri Light" w:hAnsi="Calibri Light"/>
                <w:b w:val="0"/>
              </w:rPr>
              <w:t>stado de Bahía, es conocido por la producción ilegal de fuegos artificiales, así como por la situación clandestina y precaria</w:t>
            </w:r>
            <w:r w:rsidR="0052663C">
              <w:rPr>
                <w:rFonts w:ascii="Calibri Light" w:hAnsi="Calibri Light"/>
                <w:b w:val="0"/>
              </w:rPr>
              <w:t xml:space="preserve"> de las fábricas de producción. Gran parte de la población se dedica a esta actividad dada </w:t>
            </w:r>
            <w:r w:rsidR="00DE2298">
              <w:rPr>
                <w:rFonts w:ascii="Calibri Light" w:hAnsi="Calibri Light"/>
                <w:b w:val="0"/>
              </w:rPr>
              <w:t>su</w:t>
            </w:r>
            <w:r w:rsidR="0052663C">
              <w:rPr>
                <w:rFonts w:ascii="Calibri Light" w:hAnsi="Calibri Light"/>
                <w:b w:val="0"/>
              </w:rPr>
              <w:t xml:space="preserve"> condición de pobreza</w:t>
            </w:r>
            <w:r w:rsidR="00B3330B">
              <w:rPr>
                <w:rFonts w:ascii="Calibri Light" w:hAnsi="Calibri Light"/>
                <w:b w:val="0"/>
              </w:rPr>
              <w:t>, incluso niños y niñas</w:t>
            </w:r>
            <w:r w:rsidR="0052663C">
              <w:rPr>
                <w:rFonts w:ascii="Calibri Light" w:hAnsi="Calibri Light"/>
                <w:b w:val="0"/>
              </w:rPr>
              <w:t xml:space="preserve">. </w:t>
            </w:r>
            <w:r w:rsidR="00A645FD">
              <w:rPr>
                <w:rFonts w:ascii="Calibri Light" w:hAnsi="Calibri Light"/>
                <w:b w:val="0"/>
              </w:rPr>
              <w:t>El 11 de diciembre de 1998</w:t>
            </w:r>
            <w:r w:rsidR="00DE2298">
              <w:rPr>
                <w:rFonts w:ascii="Calibri Light" w:hAnsi="Calibri Light"/>
                <w:b w:val="0"/>
              </w:rPr>
              <w:t>,</w:t>
            </w:r>
            <w:r w:rsidR="000D0C38">
              <w:rPr>
                <w:rFonts w:ascii="Calibri Light" w:hAnsi="Calibri Light"/>
                <w:b w:val="0"/>
              </w:rPr>
              <w:t xml:space="preserve"> se produjo una explosión en la Fábrica de Fuegos A</w:t>
            </w:r>
            <w:r w:rsidR="00A645FD">
              <w:rPr>
                <w:rFonts w:ascii="Calibri Light" w:hAnsi="Calibri Light"/>
                <w:b w:val="0"/>
              </w:rPr>
              <w:t xml:space="preserve">rtificiales </w:t>
            </w:r>
            <w:r w:rsidR="000D0C38">
              <w:rPr>
                <w:rFonts w:ascii="Calibri Light" w:hAnsi="Calibri Light"/>
                <w:b w:val="0"/>
              </w:rPr>
              <w:t xml:space="preserve">(en adelante, </w:t>
            </w:r>
            <w:r w:rsidR="00DE2298">
              <w:rPr>
                <w:rFonts w:ascii="Calibri Light" w:hAnsi="Calibri Light"/>
                <w:b w:val="0"/>
              </w:rPr>
              <w:t xml:space="preserve">la </w:t>
            </w:r>
            <w:r w:rsidR="000D0C38">
              <w:rPr>
                <w:rFonts w:ascii="Calibri Light" w:hAnsi="Calibri Light"/>
                <w:b w:val="0"/>
              </w:rPr>
              <w:t>Fábrica)</w:t>
            </w:r>
            <w:r w:rsidR="00DE2298">
              <w:rPr>
                <w:rFonts w:ascii="Calibri Light" w:hAnsi="Calibri Light"/>
                <w:b w:val="0"/>
              </w:rPr>
              <w:t>,</w:t>
            </w:r>
            <w:r w:rsidR="000D0C38">
              <w:rPr>
                <w:rFonts w:ascii="Calibri Light" w:hAnsi="Calibri Light"/>
                <w:b w:val="0"/>
              </w:rPr>
              <w:t xml:space="preserve"> registrada a nombre de</w:t>
            </w:r>
            <w:r w:rsidR="00A645FD">
              <w:rPr>
                <w:rFonts w:ascii="Calibri Light" w:hAnsi="Calibri Light"/>
                <w:b w:val="0"/>
              </w:rPr>
              <w:t xml:space="preserve"> Mário Fróes Prazeres Bastos</w:t>
            </w:r>
            <w:r w:rsidR="008A075B">
              <w:rPr>
                <w:rFonts w:ascii="Calibri Light" w:hAnsi="Calibri Light"/>
                <w:b w:val="0"/>
              </w:rPr>
              <w:t xml:space="preserve"> y</w:t>
            </w:r>
            <w:r w:rsidR="004E2175">
              <w:rPr>
                <w:rFonts w:ascii="Calibri Light" w:hAnsi="Calibri Light"/>
                <w:b w:val="0"/>
              </w:rPr>
              <w:t xml:space="preserve"> ubicada </w:t>
            </w:r>
            <w:r w:rsidR="000D0C38">
              <w:rPr>
                <w:rFonts w:ascii="Calibri Light" w:hAnsi="Calibri Light"/>
                <w:b w:val="0"/>
              </w:rPr>
              <w:t>en la hacienda de su padre, Osvaldo Prazeres Bastos</w:t>
            </w:r>
            <w:r w:rsidR="004E2175">
              <w:rPr>
                <w:rFonts w:ascii="Calibri Light" w:hAnsi="Calibri Light"/>
                <w:b w:val="0"/>
              </w:rPr>
              <w:t xml:space="preserve">. Como resultado de </w:t>
            </w:r>
            <w:r w:rsidR="00DE2298">
              <w:rPr>
                <w:rFonts w:ascii="Calibri Light" w:hAnsi="Calibri Light"/>
                <w:b w:val="0"/>
              </w:rPr>
              <w:t>esta</w:t>
            </w:r>
            <w:r w:rsidR="004E2175">
              <w:rPr>
                <w:rFonts w:ascii="Calibri Light" w:hAnsi="Calibri Light"/>
                <w:b w:val="0"/>
              </w:rPr>
              <w:t>,</w:t>
            </w:r>
            <w:r w:rsidR="00A645FD">
              <w:rPr>
                <w:rFonts w:ascii="Calibri Light" w:hAnsi="Calibri Light"/>
                <w:b w:val="0"/>
              </w:rPr>
              <w:t xml:space="preserve"> 64 mujeres</w:t>
            </w:r>
            <w:r w:rsidR="004E2175">
              <w:rPr>
                <w:rFonts w:ascii="Calibri Light" w:hAnsi="Calibri Light"/>
                <w:b w:val="0"/>
              </w:rPr>
              <w:t xml:space="preserve"> fallecieron</w:t>
            </w:r>
            <w:r w:rsidR="00A645FD">
              <w:rPr>
                <w:rFonts w:ascii="Calibri Light" w:hAnsi="Calibri Light"/>
                <w:b w:val="0"/>
              </w:rPr>
              <w:t xml:space="preserve">, entre ellas 20 niñas, y </w:t>
            </w:r>
            <w:r w:rsidR="008A075B">
              <w:rPr>
                <w:rFonts w:ascii="Calibri Light" w:hAnsi="Calibri Light"/>
                <w:b w:val="0"/>
              </w:rPr>
              <w:t xml:space="preserve">6 </w:t>
            </w:r>
            <w:r w:rsidR="004E2175">
              <w:rPr>
                <w:rFonts w:ascii="Calibri Light" w:hAnsi="Calibri Light"/>
                <w:b w:val="0"/>
              </w:rPr>
              <w:t>personas quedaron</w:t>
            </w:r>
            <w:r w:rsidR="00A645FD">
              <w:rPr>
                <w:rFonts w:ascii="Calibri Light" w:hAnsi="Calibri Light"/>
                <w:b w:val="0"/>
              </w:rPr>
              <w:t xml:space="preserve"> gravem</w:t>
            </w:r>
            <w:r w:rsidR="004E2175">
              <w:rPr>
                <w:rFonts w:ascii="Calibri Light" w:hAnsi="Calibri Light"/>
                <w:b w:val="0"/>
              </w:rPr>
              <w:t>ente heridas</w:t>
            </w:r>
            <w:r w:rsidR="00A645FD">
              <w:rPr>
                <w:rFonts w:ascii="Calibri Light" w:hAnsi="Calibri Light"/>
                <w:b w:val="0"/>
              </w:rPr>
              <w:t>,</w:t>
            </w:r>
            <w:r w:rsidR="004E2175">
              <w:rPr>
                <w:rFonts w:ascii="Calibri Light" w:hAnsi="Calibri Light"/>
                <w:b w:val="0"/>
              </w:rPr>
              <w:t xml:space="preserve"> incluyendo </w:t>
            </w:r>
            <w:r w:rsidR="008A075B">
              <w:rPr>
                <w:rFonts w:ascii="Calibri Light" w:hAnsi="Calibri Light"/>
                <w:b w:val="0"/>
              </w:rPr>
              <w:t xml:space="preserve">2 </w:t>
            </w:r>
            <w:r w:rsidR="004E2175">
              <w:rPr>
                <w:rFonts w:ascii="Calibri Light" w:hAnsi="Calibri Light"/>
                <w:b w:val="0"/>
              </w:rPr>
              <w:t>niños</w:t>
            </w:r>
            <w:r w:rsidR="00A645FD">
              <w:rPr>
                <w:rFonts w:ascii="Calibri Light" w:hAnsi="Calibri Light"/>
                <w:b w:val="0"/>
              </w:rPr>
              <w:t>. Todos los afectados eran</w:t>
            </w:r>
            <w:r w:rsidR="004E2175">
              <w:rPr>
                <w:rFonts w:ascii="Calibri Light" w:hAnsi="Calibri Light"/>
                <w:b w:val="0"/>
              </w:rPr>
              <w:t xml:space="preserve"> empleados de la fábrica.</w:t>
            </w:r>
          </w:p>
          <w:p w14:paraId="3C5E4C0D" w14:textId="77777777" w:rsidR="004E2175" w:rsidRDefault="004E2175" w:rsidP="00057AC9">
            <w:pPr>
              <w:spacing w:after="0" w:line="240" w:lineRule="auto"/>
              <w:jc w:val="both"/>
              <w:rPr>
                <w:rFonts w:ascii="Calibri Light" w:hAnsi="Calibri Light"/>
                <w:b w:val="0"/>
              </w:rPr>
            </w:pPr>
          </w:p>
          <w:p w14:paraId="089869EA" w14:textId="6E474598" w:rsidR="004E2175" w:rsidRDefault="00825D62" w:rsidP="00057AC9">
            <w:pPr>
              <w:spacing w:after="0" w:line="240" w:lineRule="auto"/>
              <w:jc w:val="both"/>
              <w:rPr>
                <w:rFonts w:ascii="Calibri Light" w:hAnsi="Calibri Light"/>
                <w:b w:val="0"/>
              </w:rPr>
            </w:pPr>
            <w:r>
              <w:rPr>
                <w:rFonts w:ascii="Calibri Light" w:hAnsi="Calibri Light"/>
                <w:b w:val="0"/>
              </w:rPr>
              <w:t xml:space="preserve">Las investigaciones que se realizaron para esclarecer las causas de la explosión dejaron en evidencia </w:t>
            </w:r>
            <w:r w:rsidR="006D34D1">
              <w:rPr>
                <w:rFonts w:ascii="Calibri Light" w:hAnsi="Calibri Light"/>
                <w:b w:val="0"/>
              </w:rPr>
              <w:t>que,</w:t>
            </w:r>
            <w:r>
              <w:rPr>
                <w:rFonts w:ascii="Calibri Light" w:hAnsi="Calibri Light"/>
                <w:b w:val="0"/>
              </w:rPr>
              <w:t xml:space="preserve"> </w:t>
            </w:r>
            <w:r w:rsidR="00B42D77">
              <w:rPr>
                <w:rFonts w:ascii="Calibri Light" w:hAnsi="Calibri Light"/>
                <w:b w:val="0"/>
              </w:rPr>
              <w:t>si bien la fábrica contaba con un permiso otorgado por</w:t>
            </w:r>
            <w:r w:rsidR="000D0C38">
              <w:rPr>
                <w:rFonts w:ascii="Calibri Light" w:hAnsi="Calibri Light"/>
                <w:b w:val="0"/>
              </w:rPr>
              <w:t xml:space="preserve"> el Poder Público de la Municipalidad y</w:t>
            </w:r>
            <w:r w:rsidR="00B42D77">
              <w:rPr>
                <w:rFonts w:ascii="Calibri Light" w:hAnsi="Calibri Light"/>
                <w:b w:val="0"/>
              </w:rPr>
              <w:t xml:space="preserve"> el Ministerio del Ejército</w:t>
            </w:r>
            <w:r w:rsidR="006D34D1">
              <w:rPr>
                <w:rFonts w:ascii="Calibri Light" w:hAnsi="Calibri Light"/>
                <w:b w:val="0"/>
              </w:rPr>
              <w:t xml:space="preserve">, </w:t>
            </w:r>
            <w:r w:rsidR="00043F97">
              <w:rPr>
                <w:rFonts w:ascii="Calibri Light" w:hAnsi="Calibri Light"/>
                <w:b w:val="0"/>
              </w:rPr>
              <w:t xml:space="preserve">esta había incurrido en numerosas irregularidades como: i) tener depósitos no registrados y contiguos a los pabellones de la industria; ii) </w:t>
            </w:r>
            <w:r w:rsidR="00603CB2">
              <w:rPr>
                <w:rFonts w:ascii="Calibri Light" w:hAnsi="Calibri Light"/>
                <w:b w:val="0"/>
              </w:rPr>
              <w:t xml:space="preserve">fabricar </w:t>
            </w:r>
            <w:r w:rsidR="00043F97">
              <w:rPr>
                <w:rFonts w:ascii="Calibri Light" w:hAnsi="Calibri Light"/>
                <w:b w:val="0"/>
              </w:rPr>
              <w:t xml:space="preserve">pólvora negra y explosivos; iii) </w:t>
            </w:r>
            <w:r w:rsidR="00603CB2">
              <w:rPr>
                <w:rFonts w:ascii="Calibri Light" w:hAnsi="Calibri Light"/>
                <w:b w:val="0"/>
              </w:rPr>
              <w:t xml:space="preserve">no disponer </w:t>
            </w:r>
            <w:r w:rsidR="00043F97">
              <w:rPr>
                <w:rFonts w:ascii="Calibri Light" w:hAnsi="Calibri Light"/>
                <w:b w:val="0"/>
              </w:rPr>
              <w:t>de extintores de incendio en la mayoría de sus depósito</w:t>
            </w:r>
            <w:r w:rsidR="00603CB2">
              <w:rPr>
                <w:rFonts w:ascii="Calibri Light" w:hAnsi="Calibri Light"/>
                <w:b w:val="0"/>
              </w:rPr>
              <w:t>s</w:t>
            </w:r>
            <w:r w:rsidR="00043F97">
              <w:rPr>
                <w:rFonts w:ascii="Calibri Light" w:hAnsi="Calibri Light"/>
                <w:b w:val="0"/>
              </w:rPr>
              <w:t xml:space="preserve">; entre varias otras que fueron notadas </w:t>
            </w:r>
            <w:r w:rsidR="00446FDB">
              <w:rPr>
                <w:rFonts w:ascii="Calibri Light" w:hAnsi="Calibri Light"/>
                <w:b w:val="0"/>
              </w:rPr>
              <w:t xml:space="preserve">en </w:t>
            </w:r>
            <w:r w:rsidR="00043F97">
              <w:rPr>
                <w:rFonts w:ascii="Calibri Light" w:hAnsi="Calibri Light"/>
                <w:b w:val="0"/>
              </w:rPr>
              <w:t xml:space="preserve">la inspección </w:t>
            </w:r>
            <w:r w:rsidR="000841E3">
              <w:rPr>
                <w:rFonts w:ascii="Calibri Light" w:hAnsi="Calibri Light"/>
                <w:b w:val="0"/>
              </w:rPr>
              <w:t xml:space="preserve">realizada </w:t>
            </w:r>
            <w:r w:rsidR="00B422C6">
              <w:rPr>
                <w:rFonts w:ascii="Calibri Light" w:hAnsi="Calibri Light"/>
                <w:b w:val="0"/>
              </w:rPr>
              <w:t>después</w:t>
            </w:r>
            <w:r w:rsidR="006843B1">
              <w:rPr>
                <w:rFonts w:ascii="Calibri Light" w:hAnsi="Calibri Light"/>
                <w:b w:val="0"/>
              </w:rPr>
              <w:t xml:space="preserve"> </w:t>
            </w:r>
            <w:r w:rsidR="00407729">
              <w:rPr>
                <w:rFonts w:ascii="Calibri Light" w:hAnsi="Calibri Light"/>
                <w:b w:val="0"/>
              </w:rPr>
              <w:t xml:space="preserve">de </w:t>
            </w:r>
            <w:r w:rsidR="006843B1">
              <w:rPr>
                <w:rFonts w:ascii="Calibri Light" w:hAnsi="Calibri Light"/>
                <w:b w:val="0"/>
              </w:rPr>
              <w:t>la explosión</w:t>
            </w:r>
            <w:r w:rsidR="000841E3">
              <w:rPr>
                <w:rFonts w:ascii="Calibri Light" w:hAnsi="Calibri Light"/>
                <w:b w:val="0"/>
              </w:rPr>
              <w:t>.</w:t>
            </w:r>
            <w:r w:rsidR="00B422C6">
              <w:rPr>
                <w:rFonts w:ascii="Calibri Light" w:hAnsi="Calibri Light"/>
                <w:b w:val="0"/>
              </w:rPr>
              <w:t xml:space="preserve"> De forma posterior</w:t>
            </w:r>
            <w:r w:rsidR="00B178EE">
              <w:rPr>
                <w:rFonts w:ascii="Calibri Light" w:hAnsi="Calibri Light"/>
                <w:b w:val="0"/>
              </w:rPr>
              <w:t>, e</w:t>
            </w:r>
            <w:r w:rsidR="000E26E4">
              <w:rPr>
                <w:rFonts w:ascii="Calibri Light" w:hAnsi="Calibri Light"/>
                <w:b w:val="0"/>
              </w:rPr>
              <w:t xml:space="preserve">l </w:t>
            </w:r>
            <w:r w:rsidR="00603CB2">
              <w:rPr>
                <w:rFonts w:ascii="Calibri Light" w:hAnsi="Calibri Light"/>
                <w:b w:val="0"/>
              </w:rPr>
              <w:t>E</w:t>
            </w:r>
            <w:r w:rsidR="000E26E4">
              <w:rPr>
                <w:rFonts w:ascii="Calibri Light" w:hAnsi="Calibri Light"/>
                <w:b w:val="0"/>
              </w:rPr>
              <w:t>jército brasileño reconoció que la compañía operaba sin la seguridad debida, lo que ocasionó la explosión.</w:t>
            </w:r>
          </w:p>
          <w:p w14:paraId="5A23EBA8" w14:textId="77777777" w:rsidR="00B3330B" w:rsidRDefault="00B3330B" w:rsidP="00057AC9">
            <w:pPr>
              <w:spacing w:after="0" w:line="240" w:lineRule="auto"/>
              <w:jc w:val="both"/>
              <w:rPr>
                <w:rFonts w:ascii="Calibri Light" w:hAnsi="Calibri Light"/>
                <w:b w:val="0"/>
              </w:rPr>
            </w:pPr>
          </w:p>
          <w:p w14:paraId="4822C0E7" w14:textId="6448DB61" w:rsidR="00B3330B" w:rsidRDefault="008A075B" w:rsidP="00057AC9">
            <w:pPr>
              <w:spacing w:after="0" w:line="240" w:lineRule="auto"/>
              <w:jc w:val="both"/>
              <w:rPr>
                <w:rFonts w:ascii="Calibri Light" w:hAnsi="Calibri Light"/>
                <w:b w:val="0"/>
              </w:rPr>
            </w:pPr>
            <w:r>
              <w:rPr>
                <w:rFonts w:ascii="Calibri Light" w:hAnsi="Calibri Light"/>
                <w:b w:val="0"/>
              </w:rPr>
              <w:t>Por estos hechos</w:t>
            </w:r>
            <w:r w:rsidR="00603675">
              <w:rPr>
                <w:rFonts w:ascii="Calibri Light" w:hAnsi="Calibri Light"/>
                <w:b w:val="0"/>
              </w:rPr>
              <w:t xml:space="preserve"> se iniciaron procesos en el ámbito penal, civil</w:t>
            </w:r>
            <w:r w:rsidR="00777B2F">
              <w:rPr>
                <w:rFonts w:ascii="Calibri Light" w:hAnsi="Calibri Light"/>
                <w:b w:val="0"/>
              </w:rPr>
              <w:t>, laboral</w:t>
            </w:r>
            <w:r w:rsidR="00603675">
              <w:rPr>
                <w:rFonts w:ascii="Calibri Light" w:hAnsi="Calibri Light"/>
                <w:b w:val="0"/>
              </w:rPr>
              <w:t xml:space="preserve"> </w:t>
            </w:r>
            <w:r w:rsidR="000D0C38">
              <w:rPr>
                <w:rFonts w:ascii="Calibri Light" w:hAnsi="Calibri Light"/>
                <w:b w:val="0"/>
              </w:rPr>
              <w:t>y administrativo</w:t>
            </w:r>
            <w:r w:rsidR="00603675">
              <w:rPr>
                <w:rFonts w:ascii="Calibri Light" w:hAnsi="Calibri Light"/>
                <w:b w:val="0"/>
              </w:rPr>
              <w:t xml:space="preserve">. En cuanto al proceso penal, </w:t>
            </w:r>
            <w:r w:rsidR="00FB7363">
              <w:rPr>
                <w:rFonts w:ascii="Calibri Light" w:hAnsi="Calibri Light"/>
                <w:b w:val="0"/>
              </w:rPr>
              <w:t xml:space="preserve">la acusación formal se presentó en abril de 1999 y </w:t>
            </w:r>
            <w:r w:rsidR="00603675">
              <w:rPr>
                <w:rFonts w:ascii="Calibri Light" w:hAnsi="Calibri Light"/>
                <w:b w:val="0"/>
              </w:rPr>
              <w:t xml:space="preserve">fueron imputados como responsables </w:t>
            </w:r>
            <w:r w:rsidR="00602AAB">
              <w:rPr>
                <w:rFonts w:ascii="Calibri Light" w:hAnsi="Calibri Light"/>
                <w:b w:val="0"/>
              </w:rPr>
              <w:t xml:space="preserve">de los cargos de homicidio doloso y tentativa de homicidio </w:t>
            </w:r>
            <w:r w:rsidR="002C04C7">
              <w:rPr>
                <w:rFonts w:ascii="Calibri Light" w:hAnsi="Calibri Light"/>
                <w:b w:val="0"/>
              </w:rPr>
              <w:t>los señores</w:t>
            </w:r>
            <w:r w:rsidR="00603675">
              <w:rPr>
                <w:rFonts w:ascii="Calibri Light" w:hAnsi="Calibri Light"/>
                <w:b w:val="0"/>
              </w:rPr>
              <w:t xml:space="preserve"> Prazeres Bastos</w:t>
            </w:r>
            <w:r w:rsidR="00F26CB2">
              <w:rPr>
                <w:rFonts w:ascii="Calibri Light" w:hAnsi="Calibri Light"/>
                <w:b w:val="0"/>
              </w:rPr>
              <w:t>,</w:t>
            </w:r>
            <w:r w:rsidR="00D938D5">
              <w:rPr>
                <w:rFonts w:ascii="Calibri Light" w:hAnsi="Calibri Light"/>
                <w:b w:val="0"/>
              </w:rPr>
              <w:t xml:space="preserve"> </w:t>
            </w:r>
            <w:r w:rsidR="002C04C7">
              <w:rPr>
                <w:rFonts w:ascii="Calibri Light" w:hAnsi="Calibri Light"/>
                <w:b w:val="0"/>
              </w:rPr>
              <w:t>Fróes Prazeres</w:t>
            </w:r>
            <w:r w:rsidR="00B73599">
              <w:rPr>
                <w:rFonts w:ascii="Calibri Light" w:hAnsi="Calibri Light"/>
                <w:b w:val="0"/>
              </w:rPr>
              <w:t xml:space="preserve"> Bastos</w:t>
            </w:r>
            <w:r w:rsidR="00603675">
              <w:rPr>
                <w:rFonts w:ascii="Calibri Light" w:hAnsi="Calibri Light"/>
                <w:b w:val="0"/>
              </w:rPr>
              <w:t xml:space="preserve">, </w:t>
            </w:r>
            <w:r w:rsidR="00F26CB2">
              <w:rPr>
                <w:rFonts w:ascii="Calibri Light" w:hAnsi="Calibri Light"/>
                <w:b w:val="0"/>
              </w:rPr>
              <w:t>y</w:t>
            </w:r>
            <w:r w:rsidR="00603675">
              <w:rPr>
                <w:rFonts w:ascii="Calibri Light" w:hAnsi="Calibri Light"/>
                <w:b w:val="0"/>
              </w:rPr>
              <w:t xml:space="preserve"> </w:t>
            </w:r>
            <w:r w:rsidR="00407729">
              <w:rPr>
                <w:rFonts w:ascii="Calibri Light" w:hAnsi="Calibri Light"/>
                <w:b w:val="0"/>
              </w:rPr>
              <w:t>otras seis personas</w:t>
            </w:r>
            <w:r w:rsidR="00FB7363">
              <w:rPr>
                <w:rFonts w:ascii="Calibri Light" w:hAnsi="Calibri Light"/>
                <w:b w:val="0"/>
              </w:rPr>
              <w:t xml:space="preserve"> que ejercían funciones administr</w:t>
            </w:r>
            <w:r w:rsidR="00602AAB">
              <w:rPr>
                <w:rFonts w:ascii="Calibri Light" w:hAnsi="Calibri Light"/>
                <w:b w:val="0"/>
              </w:rPr>
              <w:t>ativas en la compañía.</w:t>
            </w:r>
            <w:r w:rsidR="00285C23">
              <w:rPr>
                <w:rFonts w:ascii="Calibri Light" w:hAnsi="Calibri Light"/>
                <w:b w:val="0"/>
              </w:rPr>
              <w:t xml:space="preserve"> </w:t>
            </w:r>
            <w:r w:rsidR="00D96BF6">
              <w:rPr>
                <w:rFonts w:ascii="Calibri Light" w:hAnsi="Calibri Light"/>
                <w:b w:val="0"/>
              </w:rPr>
              <w:t xml:space="preserve">En octubre de 2010, </w:t>
            </w:r>
            <w:r w:rsidR="00695451">
              <w:rPr>
                <w:rFonts w:ascii="Calibri Light" w:hAnsi="Calibri Light"/>
                <w:b w:val="0"/>
              </w:rPr>
              <w:t xml:space="preserve">tras varios traslados de la causa y </w:t>
            </w:r>
            <w:r w:rsidR="00407729">
              <w:rPr>
                <w:rFonts w:ascii="Calibri Light" w:hAnsi="Calibri Light"/>
                <w:b w:val="0"/>
              </w:rPr>
              <w:t>periodos</w:t>
            </w:r>
            <w:r w:rsidR="00695451">
              <w:rPr>
                <w:rFonts w:ascii="Calibri Light" w:hAnsi="Calibri Light"/>
                <w:b w:val="0"/>
              </w:rPr>
              <w:t xml:space="preserve"> de inactividad, </w:t>
            </w:r>
            <w:r w:rsidR="00D96BF6">
              <w:rPr>
                <w:rFonts w:ascii="Calibri Light" w:hAnsi="Calibri Light"/>
                <w:b w:val="0"/>
              </w:rPr>
              <w:t xml:space="preserve">se </w:t>
            </w:r>
            <w:r>
              <w:rPr>
                <w:rFonts w:ascii="Calibri Light" w:hAnsi="Calibri Light"/>
                <w:b w:val="0"/>
              </w:rPr>
              <w:t xml:space="preserve">condenó a </w:t>
            </w:r>
            <w:r w:rsidR="00407729">
              <w:rPr>
                <w:rFonts w:ascii="Calibri Light" w:hAnsi="Calibri Light"/>
                <w:b w:val="0"/>
              </w:rPr>
              <w:t xml:space="preserve">cinco personas, entre ellas </w:t>
            </w:r>
            <w:r w:rsidR="000B71E2">
              <w:rPr>
                <w:rFonts w:ascii="Calibri Light" w:hAnsi="Calibri Light"/>
                <w:b w:val="0"/>
              </w:rPr>
              <w:t>los señores Prazeres Bastos</w:t>
            </w:r>
            <w:r w:rsidR="00407729">
              <w:rPr>
                <w:rFonts w:ascii="Calibri Light" w:hAnsi="Calibri Light"/>
                <w:b w:val="0"/>
              </w:rPr>
              <w:t xml:space="preserve"> y</w:t>
            </w:r>
            <w:r w:rsidR="000B71E2">
              <w:rPr>
                <w:rFonts w:ascii="Calibri Light" w:hAnsi="Calibri Light"/>
                <w:b w:val="0"/>
              </w:rPr>
              <w:t xml:space="preserve"> Fróes Prazeres</w:t>
            </w:r>
            <w:r w:rsidR="00B73599">
              <w:rPr>
                <w:rFonts w:ascii="Calibri Light" w:hAnsi="Calibri Light"/>
                <w:b w:val="0"/>
              </w:rPr>
              <w:t xml:space="preserve"> Bastos</w:t>
            </w:r>
            <w:r w:rsidR="00407729">
              <w:rPr>
                <w:rFonts w:ascii="Calibri Light" w:hAnsi="Calibri Light"/>
                <w:b w:val="0"/>
              </w:rPr>
              <w:t>,</w:t>
            </w:r>
            <w:r w:rsidR="00B73599">
              <w:rPr>
                <w:rFonts w:ascii="Calibri Light" w:hAnsi="Calibri Light"/>
                <w:b w:val="0"/>
              </w:rPr>
              <w:t xml:space="preserve"> </w:t>
            </w:r>
            <w:r>
              <w:rPr>
                <w:rFonts w:ascii="Calibri Light" w:hAnsi="Calibri Light"/>
                <w:b w:val="0"/>
              </w:rPr>
              <w:t xml:space="preserve">mientras que </w:t>
            </w:r>
            <w:r w:rsidR="00B73599">
              <w:rPr>
                <w:rFonts w:ascii="Calibri Light" w:hAnsi="Calibri Light"/>
                <w:b w:val="0"/>
              </w:rPr>
              <w:t>el resto fue</w:t>
            </w:r>
            <w:r w:rsidR="00407729">
              <w:rPr>
                <w:rFonts w:ascii="Calibri Light" w:hAnsi="Calibri Light"/>
                <w:b w:val="0"/>
              </w:rPr>
              <w:t xml:space="preserve"> </w:t>
            </w:r>
            <w:r w:rsidR="00B73599">
              <w:rPr>
                <w:rFonts w:ascii="Calibri Light" w:hAnsi="Calibri Light"/>
                <w:b w:val="0"/>
              </w:rPr>
              <w:t xml:space="preserve">absuelto. </w:t>
            </w:r>
            <w:r>
              <w:rPr>
                <w:rFonts w:ascii="Calibri Light" w:hAnsi="Calibri Light"/>
                <w:b w:val="0"/>
              </w:rPr>
              <w:t xml:space="preserve">Los condenados cuestionaron esta decisión, estando pendiente </w:t>
            </w:r>
            <w:r w:rsidR="00737A97">
              <w:rPr>
                <w:rFonts w:ascii="Calibri Light" w:hAnsi="Calibri Light"/>
                <w:b w:val="0"/>
              </w:rPr>
              <w:t xml:space="preserve">a la fecha de emisión del informe de fondo </w:t>
            </w:r>
            <w:r>
              <w:rPr>
                <w:rFonts w:ascii="Calibri Light" w:hAnsi="Calibri Light"/>
                <w:b w:val="0"/>
              </w:rPr>
              <w:t>un recurso de inconstitucionalidad</w:t>
            </w:r>
            <w:r w:rsidR="00737A97">
              <w:rPr>
                <w:rFonts w:ascii="Calibri Light" w:hAnsi="Calibri Light"/>
                <w:b w:val="0"/>
              </w:rPr>
              <w:t>.</w:t>
            </w:r>
          </w:p>
          <w:p w14:paraId="784F36A1" w14:textId="77777777" w:rsidR="00737A97" w:rsidRDefault="00737A97" w:rsidP="00057AC9">
            <w:pPr>
              <w:spacing w:after="0" w:line="240" w:lineRule="auto"/>
              <w:jc w:val="both"/>
              <w:rPr>
                <w:rFonts w:ascii="Calibri Light" w:hAnsi="Calibri Light"/>
                <w:b w:val="0"/>
              </w:rPr>
            </w:pPr>
          </w:p>
          <w:p w14:paraId="6EB90F37" w14:textId="1CB39FE0" w:rsidR="00777B2F" w:rsidRDefault="009151D5" w:rsidP="00057AC9">
            <w:pPr>
              <w:spacing w:after="0" w:line="240" w:lineRule="auto"/>
              <w:jc w:val="both"/>
              <w:rPr>
                <w:rFonts w:ascii="Calibri Light" w:hAnsi="Calibri Light"/>
                <w:b w:val="0"/>
              </w:rPr>
            </w:pPr>
            <w:r>
              <w:rPr>
                <w:rFonts w:ascii="Calibri Light" w:hAnsi="Calibri Light"/>
                <w:b w:val="0"/>
              </w:rPr>
              <w:t>Por otro lado, se iniciaron dos proces</w:t>
            </w:r>
            <w:r w:rsidR="000D0C38">
              <w:rPr>
                <w:rFonts w:ascii="Calibri Light" w:hAnsi="Calibri Light"/>
                <w:b w:val="0"/>
              </w:rPr>
              <w:t xml:space="preserve">os civiles. </w:t>
            </w:r>
            <w:r w:rsidR="00F26CB2">
              <w:rPr>
                <w:rFonts w:ascii="Calibri Light" w:hAnsi="Calibri Light"/>
                <w:b w:val="0"/>
              </w:rPr>
              <w:t>Uno</w:t>
            </w:r>
            <w:r w:rsidR="000D0C38">
              <w:rPr>
                <w:rFonts w:ascii="Calibri Light" w:hAnsi="Calibri Light"/>
                <w:b w:val="0"/>
              </w:rPr>
              <w:t xml:space="preserve"> empezó </w:t>
            </w:r>
            <w:r w:rsidR="00603CB2">
              <w:rPr>
                <w:rFonts w:ascii="Calibri Light" w:hAnsi="Calibri Light"/>
                <w:b w:val="0"/>
              </w:rPr>
              <w:t xml:space="preserve">en </w:t>
            </w:r>
            <w:r w:rsidR="000D0C38">
              <w:rPr>
                <w:rFonts w:ascii="Calibri Light" w:hAnsi="Calibri Light"/>
                <w:b w:val="0"/>
              </w:rPr>
              <w:t xml:space="preserve">marzo de 2002 con la demanda </w:t>
            </w:r>
            <w:r>
              <w:rPr>
                <w:rFonts w:ascii="Calibri Light" w:hAnsi="Calibri Light"/>
                <w:b w:val="0"/>
              </w:rPr>
              <w:t>planteada</w:t>
            </w:r>
            <w:r w:rsidR="00D84195">
              <w:rPr>
                <w:rFonts w:ascii="Calibri Light" w:hAnsi="Calibri Light"/>
                <w:b w:val="0"/>
              </w:rPr>
              <w:t xml:space="preserve"> contra el Estado de Brasil, el </w:t>
            </w:r>
            <w:r w:rsidR="00603CB2">
              <w:rPr>
                <w:rFonts w:ascii="Calibri Light" w:hAnsi="Calibri Light"/>
                <w:b w:val="0"/>
              </w:rPr>
              <w:t>e</w:t>
            </w:r>
            <w:r w:rsidR="00D84195">
              <w:rPr>
                <w:rFonts w:ascii="Calibri Light" w:hAnsi="Calibri Light"/>
                <w:b w:val="0"/>
              </w:rPr>
              <w:t>stado de Bahía, la Municipalidad de Santo Antonio de Jesús y el señor Fróes Prazeres Basto</w:t>
            </w:r>
            <w:r w:rsidR="00750C3E">
              <w:rPr>
                <w:rFonts w:ascii="Calibri Light" w:hAnsi="Calibri Light"/>
                <w:b w:val="0"/>
              </w:rPr>
              <w:t>s. En este se exigió</w:t>
            </w:r>
            <w:r w:rsidR="00D84195">
              <w:rPr>
                <w:rFonts w:ascii="Calibri Light" w:hAnsi="Calibri Light"/>
                <w:b w:val="0"/>
              </w:rPr>
              <w:t xml:space="preserve"> el pago del valor relativo a los daños morales y materiales</w:t>
            </w:r>
            <w:r w:rsidR="00750C3E">
              <w:rPr>
                <w:rFonts w:ascii="Calibri Light" w:hAnsi="Calibri Light"/>
                <w:b w:val="0"/>
              </w:rPr>
              <w:t xml:space="preserve"> causados por la explosión</w:t>
            </w:r>
            <w:r w:rsidR="00D84195">
              <w:rPr>
                <w:rFonts w:ascii="Calibri Light" w:hAnsi="Calibri Light"/>
                <w:b w:val="0"/>
              </w:rPr>
              <w:t xml:space="preserve">, así como la anticipación de tutela </w:t>
            </w:r>
            <w:r w:rsidR="00B26680">
              <w:rPr>
                <w:rFonts w:ascii="Calibri Light" w:hAnsi="Calibri Light"/>
                <w:b w:val="0"/>
              </w:rPr>
              <w:t xml:space="preserve">de </w:t>
            </w:r>
            <w:r w:rsidR="00D84195">
              <w:rPr>
                <w:rFonts w:ascii="Calibri Light" w:hAnsi="Calibri Light"/>
                <w:b w:val="0"/>
              </w:rPr>
              <w:t>los menores de 18 años cuyas madres fallecieron</w:t>
            </w:r>
            <w:r w:rsidR="00750C3E">
              <w:rPr>
                <w:rFonts w:ascii="Calibri Light" w:hAnsi="Calibri Light"/>
                <w:b w:val="0"/>
              </w:rPr>
              <w:t xml:space="preserve"> producto de ella. </w:t>
            </w:r>
            <w:r w:rsidR="00603CB2">
              <w:rPr>
                <w:rFonts w:ascii="Calibri Light" w:hAnsi="Calibri Light"/>
                <w:b w:val="0"/>
              </w:rPr>
              <w:t>Si bien la</w:t>
            </w:r>
            <w:r>
              <w:rPr>
                <w:rFonts w:ascii="Calibri Light" w:hAnsi="Calibri Light"/>
                <w:b w:val="0"/>
              </w:rPr>
              <w:t xml:space="preserve"> anticipación de la tutela</w:t>
            </w:r>
            <w:r w:rsidR="006C0DDD">
              <w:rPr>
                <w:rFonts w:ascii="Calibri Light" w:hAnsi="Calibri Light"/>
                <w:b w:val="0"/>
              </w:rPr>
              <w:t xml:space="preserve"> fue aceptad</w:t>
            </w:r>
            <w:r w:rsidR="00603CB2">
              <w:rPr>
                <w:rFonts w:ascii="Calibri Light" w:hAnsi="Calibri Light"/>
                <w:b w:val="0"/>
              </w:rPr>
              <w:t>a</w:t>
            </w:r>
            <w:r w:rsidR="006C0DDD">
              <w:rPr>
                <w:rFonts w:ascii="Calibri Light" w:hAnsi="Calibri Light"/>
                <w:b w:val="0"/>
              </w:rPr>
              <w:t xml:space="preserve"> por el juez, solo </w:t>
            </w:r>
            <w:r w:rsidR="00777B2F">
              <w:rPr>
                <w:rFonts w:ascii="Calibri Light" w:hAnsi="Calibri Light"/>
                <w:b w:val="0"/>
              </w:rPr>
              <w:t>16</w:t>
            </w:r>
            <w:r w:rsidR="006C0DDD">
              <w:rPr>
                <w:rFonts w:ascii="Calibri Light" w:hAnsi="Calibri Light"/>
                <w:b w:val="0"/>
              </w:rPr>
              <w:t xml:space="preserve"> de los 39 beneficiados recibieron</w:t>
            </w:r>
            <w:r w:rsidR="00777B2F">
              <w:rPr>
                <w:rFonts w:ascii="Calibri Light" w:hAnsi="Calibri Light"/>
                <w:b w:val="0"/>
              </w:rPr>
              <w:t xml:space="preserve"> el pago correspondiente. </w:t>
            </w:r>
            <w:r w:rsidR="00603CB2">
              <w:rPr>
                <w:rFonts w:ascii="Calibri Light" w:hAnsi="Calibri Light"/>
                <w:b w:val="0"/>
              </w:rPr>
              <w:t>A</w:t>
            </w:r>
            <w:r w:rsidR="00777B2F">
              <w:rPr>
                <w:rFonts w:ascii="Calibri Light" w:hAnsi="Calibri Light"/>
                <w:b w:val="0"/>
              </w:rPr>
              <w:t xml:space="preserve"> la fecha de emisión del</w:t>
            </w:r>
            <w:r w:rsidR="00F26CB2">
              <w:rPr>
                <w:rFonts w:ascii="Calibri Light" w:hAnsi="Calibri Light"/>
                <w:b w:val="0"/>
              </w:rPr>
              <w:t xml:space="preserve"> presente</w:t>
            </w:r>
            <w:r w:rsidR="00777B2F">
              <w:rPr>
                <w:rFonts w:ascii="Calibri Light" w:hAnsi="Calibri Light"/>
                <w:b w:val="0"/>
              </w:rPr>
              <w:t xml:space="preserve"> informe</w:t>
            </w:r>
            <w:r w:rsidR="00603CB2">
              <w:rPr>
                <w:rFonts w:ascii="Calibri Light" w:hAnsi="Calibri Light"/>
                <w:b w:val="0"/>
              </w:rPr>
              <w:t>,</w:t>
            </w:r>
            <w:r w:rsidR="00777B2F">
              <w:rPr>
                <w:rFonts w:ascii="Calibri Light" w:hAnsi="Calibri Light"/>
                <w:b w:val="0"/>
              </w:rPr>
              <w:t xml:space="preserve"> ninguno de los procesos civiles había sido resuelto de forma definitiva</w:t>
            </w:r>
            <w:r w:rsidR="005E4AE8">
              <w:rPr>
                <w:rFonts w:ascii="Calibri Light" w:hAnsi="Calibri Light"/>
                <w:b w:val="0"/>
              </w:rPr>
              <w:t xml:space="preserve"> a pesar </w:t>
            </w:r>
            <w:r w:rsidR="00407729">
              <w:rPr>
                <w:rFonts w:ascii="Calibri Light" w:hAnsi="Calibri Light"/>
                <w:b w:val="0"/>
              </w:rPr>
              <w:t xml:space="preserve">de </w:t>
            </w:r>
            <w:r w:rsidR="005E4AE8">
              <w:rPr>
                <w:rFonts w:ascii="Calibri Light" w:hAnsi="Calibri Light"/>
                <w:b w:val="0"/>
              </w:rPr>
              <w:t xml:space="preserve">que habían transcurrido </w:t>
            </w:r>
            <w:r w:rsidR="00F26CB2">
              <w:rPr>
                <w:rFonts w:ascii="Calibri Light" w:hAnsi="Calibri Light"/>
                <w:b w:val="0"/>
              </w:rPr>
              <w:t>al</w:t>
            </w:r>
            <w:r w:rsidR="005E4AE8">
              <w:rPr>
                <w:rFonts w:ascii="Calibri Light" w:hAnsi="Calibri Light"/>
                <w:b w:val="0"/>
              </w:rPr>
              <w:t xml:space="preserve"> menos 15 años de su interposición</w:t>
            </w:r>
            <w:r w:rsidR="00777B2F">
              <w:rPr>
                <w:rFonts w:ascii="Calibri Light" w:hAnsi="Calibri Light"/>
                <w:b w:val="0"/>
              </w:rPr>
              <w:t>.</w:t>
            </w:r>
            <w:r w:rsidR="008A075B">
              <w:rPr>
                <w:rFonts w:ascii="Calibri Light" w:hAnsi="Calibri Light"/>
                <w:b w:val="0"/>
              </w:rPr>
              <w:t xml:space="preserve"> </w:t>
            </w:r>
            <w:r w:rsidR="00777B2F">
              <w:rPr>
                <w:rFonts w:ascii="Calibri Light" w:hAnsi="Calibri Light"/>
                <w:b w:val="0"/>
              </w:rPr>
              <w:t xml:space="preserve">En cuanto a la </w:t>
            </w:r>
            <w:r w:rsidR="00F26CB2">
              <w:rPr>
                <w:rFonts w:ascii="Calibri Light" w:hAnsi="Calibri Light"/>
                <w:b w:val="0"/>
              </w:rPr>
              <w:t xml:space="preserve">otra </w:t>
            </w:r>
            <w:r w:rsidR="00777B2F">
              <w:rPr>
                <w:rFonts w:ascii="Calibri Light" w:hAnsi="Calibri Light"/>
                <w:b w:val="0"/>
              </w:rPr>
              <w:t>causa civil, iniciada en enero de 1999, la demanda se dirigió contra los señores Prazeres Bastos</w:t>
            </w:r>
            <w:r w:rsidR="002A1260">
              <w:rPr>
                <w:rFonts w:ascii="Calibri Light" w:hAnsi="Calibri Light"/>
                <w:b w:val="0"/>
              </w:rPr>
              <w:t>,</w:t>
            </w:r>
            <w:r w:rsidR="00777B2F">
              <w:rPr>
                <w:rFonts w:ascii="Calibri Light" w:hAnsi="Calibri Light"/>
                <w:b w:val="0"/>
              </w:rPr>
              <w:t xml:space="preserve"> Fróes Prazeres Bastos, y María Julieta Fróes Bastos. </w:t>
            </w:r>
            <w:r w:rsidR="003A7EC9">
              <w:rPr>
                <w:rFonts w:ascii="Calibri Light" w:hAnsi="Calibri Light"/>
                <w:b w:val="0"/>
              </w:rPr>
              <w:t>Su objeto era obtener reparaciones por los daños producidos por la e</w:t>
            </w:r>
            <w:r w:rsidR="00A45E1E">
              <w:rPr>
                <w:rFonts w:ascii="Calibri Light" w:hAnsi="Calibri Light"/>
                <w:b w:val="0"/>
              </w:rPr>
              <w:t>xplosión en la Fábrica</w:t>
            </w:r>
            <w:r w:rsidR="003A7EC9">
              <w:rPr>
                <w:rFonts w:ascii="Calibri Light" w:hAnsi="Calibri Light"/>
                <w:b w:val="0"/>
              </w:rPr>
              <w:t>. En diciembre de 2013, se culminó el proceso por medio de acuerdo entre las víctimas</w:t>
            </w:r>
            <w:r w:rsidR="002A1260">
              <w:rPr>
                <w:rFonts w:ascii="Calibri Light" w:hAnsi="Calibri Light"/>
                <w:b w:val="0"/>
              </w:rPr>
              <w:t>, sus</w:t>
            </w:r>
            <w:r w:rsidR="008A075B">
              <w:rPr>
                <w:rFonts w:ascii="Calibri Light" w:hAnsi="Calibri Light"/>
                <w:b w:val="0"/>
              </w:rPr>
              <w:t xml:space="preserve"> </w:t>
            </w:r>
            <w:r w:rsidR="003A7EC9">
              <w:rPr>
                <w:rFonts w:ascii="Calibri Light" w:hAnsi="Calibri Light"/>
                <w:b w:val="0"/>
              </w:rPr>
              <w:t>parientes y los demandados.</w:t>
            </w:r>
          </w:p>
          <w:p w14:paraId="4C89AD70" w14:textId="77777777" w:rsidR="003A7EC9" w:rsidRDefault="003A7EC9" w:rsidP="00057AC9">
            <w:pPr>
              <w:spacing w:after="0" w:line="240" w:lineRule="auto"/>
              <w:jc w:val="both"/>
              <w:rPr>
                <w:rFonts w:ascii="Calibri Light" w:hAnsi="Calibri Light"/>
                <w:b w:val="0"/>
              </w:rPr>
            </w:pPr>
          </w:p>
          <w:p w14:paraId="58CF7049" w14:textId="21CC4D5C" w:rsidR="00756DB8" w:rsidRDefault="003A7EC9" w:rsidP="00057AC9">
            <w:pPr>
              <w:spacing w:after="0" w:line="240" w:lineRule="auto"/>
              <w:jc w:val="both"/>
              <w:rPr>
                <w:rFonts w:ascii="Calibri Light" w:hAnsi="Calibri Light"/>
                <w:b w:val="0"/>
              </w:rPr>
            </w:pPr>
            <w:r>
              <w:rPr>
                <w:rFonts w:ascii="Calibri Light" w:hAnsi="Calibri Light"/>
                <w:b w:val="0"/>
              </w:rPr>
              <w:t>C</w:t>
            </w:r>
            <w:r w:rsidR="009460B2">
              <w:rPr>
                <w:rFonts w:ascii="Calibri Light" w:hAnsi="Calibri Light"/>
                <w:b w:val="0"/>
              </w:rPr>
              <w:t xml:space="preserve">ontra </w:t>
            </w:r>
            <w:r w:rsidR="00F26CB2">
              <w:rPr>
                <w:rFonts w:ascii="Calibri Light" w:hAnsi="Calibri Light"/>
                <w:b w:val="0"/>
              </w:rPr>
              <w:t>estas mismas personas</w:t>
            </w:r>
            <w:r w:rsidR="009460B2">
              <w:rPr>
                <w:rFonts w:ascii="Calibri Light" w:hAnsi="Calibri Light"/>
                <w:b w:val="0"/>
              </w:rPr>
              <w:t xml:space="preserve"> también</w:t>
            </w:r>
            <w:r>
              <w:rPr>
                <w:rFonts w:ascii="Calibri Light" w:hAnsi="Calibri Light"/>
                <w:b w:val="0"/>
              </w:rPr>
              <w:t xml:space="preserve"> se siguieron 76 procesos ante la Justicia del Trabajo de Santo Antonio de Jesús. De estos, 30 fueron archivados y 46 declarados improcedentes inicialmente al no reconocerse el vínculo laboral con ninguno de los demandados. </w:t>
            </w:r>
            <w:r w:rsidR="00186E66">
              <w:rPr>
                <w:rFonts w:ascii="Calibri Light" w:hAnsi="Calibri Light"/>
                <w:b w:val="0"/>
              </w:rPr>
              <w:t xml:space="preserve">Frente a </w:t>
            </w:r>
            <w:r w:rsidR="00FF3FB8">
              <w:rPr>
                <w:rFonts w:ascii="Calibri Light" w:hAnsi="Calibri Light"/>
                <w:b w:val="0"/>
              </w:rPr>
              <w:t xml:space="preserve">ello, los reclamantes plantearon recurso ordinario </w:t>
            </w:r>
            <w:r w:rsidR="00FF3FB8" w:rsidRPr="008A075B">
              <w:rPr>
                <w:rFonts w:ascii="Calibri Light" w:hAnsi="Calibri Light"/>
                <w:b w:val="0"/>
              </w:rPr>
              <w:t>ante el Tribunal Regional de la Quinta Región de Bahía,</w:t>
            </w:r>
            <w:r w:rsidR="00FF3FB8">
              <w:rPr>
                <w:rFonts w:ascii="Calibri Light" w:hAnsi="Calibri Light"/>
                <w:b w:val="0"/>
              </w:rPr>
              <w:t xml:space="preserve"> </w:t>
            </w:r>
            <w:r w:rsidR="008A075B">
              <w:rPr>
                <w:rFonts w:ascii="Calibri Light" w:hAnsi="Calibri Light"/>
                <w:b w:val="0"/>
              </w:rPr>
              <w:t>el cual</w:t>
            </w:r>
            <w:r w:rsidR="00FF3FB8">
              <w:rPr>
                <w:rFonts w:ascii="Calibri Light" w:hAnsi="Calibri Light"/>
                <w:b w:val="0"/>
              </w:rPr>
              <w:t xml:space="preserve"> reconoció el vínculo laboral </w:t>
            </w:r>
            <w:r w:rsidR="00695451">
              <w:rPr>
                <w:rFonts w:ascii="Calibri Light" w:hAnsi="Calibri Light"/>
                <w:b w:val="0"/>
              </w:rPr>
              <w:t xml:space="preserve">únicamente con </w:t>
            </w:r>
            <w:r w:rsidR="00FF3FB8">
              <w:rPr>
                <w:rFonts w:ascii="Calibri Light" w:hAnsi="Calibri Light"/>
                <w:b w:val="0"/>
              </w:rPr>
              <w:t>el señor Fróes P</w:t>
            </w:r>
            <w:r w:rsidR="00641D63">
              <w:rPr>
                <w:rFonts w:ascii="Calibri Light" w:hAnsi="Calibri Light"/>
                <w:b w:val="0"/>
              </w:rPr>
              <w:t>razeres Bastos</w:t>
            </w:r>
            <w:r w:rsidR="00F26CB2">
              <w:rPr>
                <w:rFonts w:ascii="Calibri Light" w:hAnsi="Calibri Light"/>
                <w:b w:val="0"/>
              </w:rPr>
              <w:t>,</w:t>
            </w:r>
            <w:r w:rsidR="00641D63">
              <w:rPr>
                <w:rFonts w:ascii="Calibri Light" w:hAnsi="Calibri Light"/>
                <w:b w:val="0"/>
              </w:rPr>
              <w:t xml:space="preserve"> y</w:t>
            </w:r>
            <w:r w:rsidR="008A075B">
              <w:rPr>
                <w:rFonts w:ascii="Calibri Light" w:hAnsi="Calibri Light"/>
                <w:b w:val="0"/>
              </w:rPr>
              <w:t xml:space="preserve"> </w:t>
            </w:r>
            <w:r w:rsidR="00641D63">
              <w:rPr>
                <w:rFonts w:ascii="Calibri Light" w:hAnsi="Calibri Light"/>
                <w:b w:val="0"/>
              </w:rPr>
              <w:t>resolvió parcialmente el derecho de varias de las víctimas y</w:t>
            </w:r>
            <w:r w:rsidR="00756DB8">
              <w:rPr>
                <w:rFonts w:ascii="Calibri Light" w:hAnsi="Calibri Light"/>
                <w:b w:val="0"/>
              </w:rPr>
              <w:t xml:space="preserve"> sus familiares a indemnización. Posterio</w:t>
            </w:r>
            <w:r w:rsidR="00D46606">
              <w:rPr>
                <w:rFonts w:ascii="Calibri Light" w:hAnsi="Calibri Light"/>
                <w:b w:val="0"/>
              </w:rPr>
              <w:t xml:space="preserve">rmente, en octubre de 2006, se </w:t>
            </w:r>
            <w:r w:rsidR="00756DB8">
              <w:rPr>
                <w:rFonts w:ascii="Calibri Light" w:hAnsi="Calibri Light"/>
                <w:b w:val="0"/>
              </w:rPr>
              <w:t>archivaron de forma provisional las causas al no identificars</w:t>
            </w:r>
            <w:r w:rsidR="00D46606">
              <w:rPr>
                <w:rFonts w:ascii="Calibri Light" w:hAnsi="Calibri Light"/>
                <w:b w:val="0"/>
              </w:rPr>
              <w:t>e bienes que pudieran cubrir las indemnizaciones determinadas.</w:t>
            </w:r>
            <w:r w:rsidR="00756DB8">
              <w:rPr>
                <w:rFonts w:ascii="Calibri Light" w:hAnsi="Calibri Light"/>
                <w:b w:val="0"/>
              </w:rPr>
              <w:t xml:space="preserve"> De la información disponible, aún no se habría cumplido con otorgar</w:t>
            </w:r>
            <w:r w:rsidR="00854163">
              <w:rPr>
                <w:rFonts w:ascii="Calibri Light" w:hAnsi="Calibri Light"/>
                <w:b w:val="0"/>
              </w:rPr>
              <w:t xml:space="preserve"> </w:t>
            </w:r>
            <w:r w:rsidR="00756DB8">
              <w:rPr>
                <w:rFonts w:ascii="Calibri Light" w:hAnsi="Calibri Light"/>
                <w:b w:val="0"/>
              </w:rPr>
              <w:t>las</w:t>
            </w:r>
            <w:r w:rsidR="00854163">
              <w:rPr>
                <w:rFonts w:ascii="Calibri Light" w:hAnsi="Calibri Light"/>
                <w:b w:val="0"/>
              </w:rPr>
              <w:t xml:space="preserve"> indemnizaciones</w:t>
            </w:r>
            <w:r w:rsidR="00756DB8">
              <w:rPr>
                <w:rFonts w:ascii="Calibri Light" w:hAnsi="Calibri Light"/>
                <w:b w:val="0"/>
              </w:rPr>
              <w:t>.</w:t>
            </w:r>
          </w:p>
          <w:p w14:paraId="29138F1E" w14:textId="77777777" w:rsidR="00756DB8" w:rsidRDefault="00756DB8" w:rsidP="00057AC9">
            <w:pPr>
              <w:spacing w:after="0" w:line="240" w:lineRule="auto"/>
              <w:jc w:val="both"/>
              <w:rPr>
                <w:rFonts w:ascii="Calibri Light" w:hAnsi="Calibri Light"/>
                <w:b w:val="0"/>
              </w:rPr>
            </w:pPr>
          </w:p>
          <w:p w14:paraId="168D47B7" w14:textId="7B8BE5A4" w:rsidR="00623F17" w:rsidRDefault="00D373FA" w:rsidP="00057AC9">
            <w:pPr>
              <w:spacing w:after="0" w:line="240" w:lineRule="auto"/>
              <w:jc w:val="both"/>
              <w:rPr>
                <w:rFonts w:ascii="Calibri Light" w:hAnsi="Calibri Light"/>
                <w:b w:val="0"/>
              </w:rPr>
            </w:pPr>
            <w:r>
              <w:rPr>
                <w:rFonts w:ascii="Calibri Light" w:hAnsi="Calibri Light"/>
                <w:b w:val="0"/>
              </w:rPr>
              <w:t>En cuanto al procedimiento realizado en vía administrativa, este fue iniciado de oficio por la 6ª Región Militar del Ejército Brasileño. Entre las medidas que se adoptaron se encuentran: i) la confiscación de los productos irregulares encontrados en la fábrica, ii) la cancelación del Certificado de Registro de la fábrica, y iii) la destrucción del material encontrado en la sede de la empresa para evitar nuevas exposiciones a peligro.</w:t>
            </w:r>
            <w:r w:rsidR="00843120">
              <w:rPr>
                <w:rFonts w:ascii="Calibri Light" w:hAnsi="Calibri Light"/>
                <w:b w:val="0"/>
              </w:rPr>
              <w:t xml:space="preserve"> </w:t>
            </w:r>
            <w:r w:rsidR="00623F17">
              <w:rPr>
                <w:rFonts w:ascii="Calibri Light" w:hAnsi="Calibri Light"/>
                <w:b w:val="0"/>
              </w:rPr>
              <w:t xml:space="preserve">A pesar de todos </w:t>
            </w:r>
            <w:r w:rsidR="00F26CB2">
              <w:rPr>
                <w:rFonts w:ascii="Calibri Light" w:hAnsi="Calibri Light"/>
                <w:b w:val="0"/>
              </w:rPr>
              <w:t xml:space="preserve">estos </w:t>
            </w:r>
            <w:r w:rsidR="00623F17">
              <w:rPr>
                <w:rFonts w:ascii="Calibri Light" w:hAnsi="Calibri Light"/>
                <w:b w:val="0"/>
              </w:rPr>
              <w:t>procesos</w:t>
            </w:r>
            <w:r w:rsidR="00F26CB2">
              <w:rPr>
                <w:rFonts w:ascii="Calibri Light" w:hAnsi="Calibri Light"/>
                <w:b w:val="0"/>
              </w:rPr>
              <w:t xml:space="preserve">, </w:t>
            </w:r>
            <w:r w:rsidR="00623F17">
              <w:rPr>
                <w:rFonts w:ascii="Calibri Light" w:hAnsi="Calibri Light"/>
                <w:b w:val="0"/>
              </w:rPr>
              <w:t xml:space="preserve"> los señores Fróes Prazeres Bastos y Prazeres Bastos continuaron ejerciendo actividades irregulares de producción de fuegos artificiales. El Estado in</w:t>
            </w:r>
            <w:r w:rsidR="00C449D8">
              <w:rPr>
                <w:rFonts w:ascii="Calibri Light" w:hAnsi="Calibri Light"/>
                <w:b w:val="0"/>
              </w:rPr>
              <w:t>tentó implementar el proyecto Fénix en 2002 en el municipio para legalizar y revitalizar el sector industrial de pirotecnia de Santo Antonio de Jesús, pero este no funcionó adecuadamente.</w:t>
            </w:r>
          </w:p>
          <w:p w14:paraId="450500C3" w14:textId="77777777" w:rsidR="00C449D8" w:rsidRDefault="00C449D8" w:rsidP="00057AC9">
            <w:pPr>
              <w:spacing w:after="0" w:line="240" w:lineRule="auto"/>
              <w:jc w:val="both"/>
              <w:rPr>
                <w:rFonts w:ascii="Calibri Light" w:hAnsi="Calibri Light"/>
                <w:b w:val="0"/>
              </w:rPr>
            </w:pPr>
          </w:p>
          <w:p w14:paraId="6BFB050A" w14:textId="04E1E1E7" w:rsidR="00C449D8" w:rsidRPr="000213F4" w:rsidRDefault="00C449D8" w:rsidP="00057AC9">
            <w:pPr>
              <w:spacing w:after="0" w:line="240" w:lineRule="auto"/>
              <w:jc w:val="both"/>
              <w:rPr>
                <w:rFonts w:ascii="Calibri Light" w:hAnsi="Calibri Light"/>
                <w:b w:val="0"/>
                <w:lang w:val="es-PE"/>
              </w:rPr>
            </w:pPr>
            <w:r>
              <w:rPr>
                <w:rFonts w:ascii="Calibri Light" w:hAnsi="Calibri Light"/>
                <w:b w:val="0"/>
              </w:rPr>
              <w:t xml:space="preserve">Frente a tales hechos, el </w:t>
            </w:r>
            <w:r w:rsidRPr="00524C7F">
              <w:rPr>
                <w:rFonts w:ascii="Calibri Light" w:hAnsi="Calibri Light"/>
                <w:b w:val="0"/>
                <w:lang w:val="es-PE"/>
              </w:rPr>
              <w:t xml:space="preserve">Centro de Justiça Global, el Movimiento 11 de Dezembro, el Comissão de Direitos Humanos da Ordem dos Advogados do Brasil (OAB) – Subseção de Salvador, el Fórum de Direitos Humanos de Santo Antônio de Jesus/Bahía, Ailton Jose dos Santos, Yulo Oiticica Pereira y Nelson Portela Pellegrino </w:t>
            </w:r>
            <w:r w:rsidRPr="00C449D8">
              <w:rPr>
                <w:rFonts w:ascii="Calibri Light" w:hAnsi="Calibri Light"/>
                <w:b w:val="0"/>
                <w:lang w:val="es-PE"/>
              </w:rPr>
              <w:t>presentaron una petición</w:t>
            </w:r>
            <w:r w:rsidRPr="00524C7F">
              <w:rPr>
                <w:rFonts w:ascii="Calibri Light" w:hAnsi="Calibri Light"/>
                <w:b w:val="0"/>
                <w:lang w:val="es-PE"/>
              </w:rPr>
              <w:t xml:space="preserve"> ante la CIDH, denunciando que </w:t>
            </w:r>
            <w:r w:rsidRPr="00C449D8">
              <w:rPr>
                <w:rFonts w:ascii="Calibri Light" w:hAnsi="Calibri Light"/>
                <w:b w:val="0"/>
                <w:lang w:val="es-PE"/>
              </w:rPr>
              <w:t xml:space="preserve">el Estado </w:t>
            </w:r>
            <w:r w:rsidR="00186E66">
              <w:rPr>
                <w:rFonts w:ascii="Calibri Light" w:hAnsi="Calibri Light"/>
                <w:b w:val="0"/>
                <w:lang w:val="es-PE"/>
              </w:rPr>
              <w:t>de Brasil</w:t>
            </w:r>
            <w:r w:rsidR="00186E66" w:rsidRPr="00C449D8">
              <w:rPr>
                <w:rFonts w:ascii="Calibri Light" w:hAnsi="Calibri Light"/>
                <w:b w:val="0"/>
                <w:lang w:val="es-PE"/>
              </w:rPr>
              <w:t xml:space="preserve"> </w:t>
            </w:r>
            <w:r w:rsidRPr="00C449D8">
              <w:rPr>
                <w:rFonts w:ascii="Calibri Light" w:hAnsi="Calibri Light"/>
                <w:b w:val="0"/>
                <w:lang w:val="es-PE"/>
              </w:rPr>
              <w:t xml:space="preserve">había vulnerado los derechos </w:t>
            </w:r>
            <w:r w:rsidR="00186E66">
              <w:rPr>
                <w:rFonts w:ascii="Calibri Light" w:hAnsi="Calibri Light"/>
                <w:b w:val="0"/>
                <w:lang w:val="es-PE"/>
              </w:rPr>
              <w:t>de las 70 personas víctimas de la explosión de la Fábrica y sus familiares</w:t>
            </w:r>
            <w:r w:rsidR="00186E66" w:rsidRPr="00C449D8">
              <w:rPr>
                <w:rFonts w:ascii="Calibri Light" w:hAnsi="Calibri Light"/>
                <w:b w:val="0"/>
                <w:lang w:val="es-PE"/>
              </w:rPr>
              <w:t xml:space="preserve"> </w:t>
            </w:r>
            <w:r w:rsidRPr="00C449D8">
              <w:rPr>
                <w:rFonts w:ascii="Calibri Light" w:hAnsi="Calibri Light"/>
                <w:b w:val="0"/>
                <w:lang w:val="es-PE"/>
              </w:rPr>
              <w:t>a la vida</w:t>
            </w:r>
            <w:r w:rsidR="00D96140">
              <w:rPr>
                <w:rFonts w:ascii="Calibri Light" w:hAnsi="Calibri Light"/>
                <w:b w:val="0"/>
                <w:lang w:val="es-PE"/>
              </w:rPr>
              <w:t xml:space="preserve"> (artículo 4)</w:t>
            </w:r>
            <w:r w:rsidRPr="00C449D8">
              <w:rPr>
                <w:rFonts w:ascii="Calibri Light" w:hAnsi="Calibri Light"/>
                <w:b w:val="0"/>
                <w:lang w:val="es-PE"/>
              </w:rPr>
              <w:t>, a la integridad personal</w:t>
            </w:r>
            <w:r w:rsidR="00D96140">
              <w:rPr>
                <w:rFonts w:ascii="Calibri Light" w:hAnsi="Calibri Light"/>
                <w:b w:val="0"/>
                <w:lang w:val="es-PE"/>
              </w:rPr>
              <w:t xml:space="preserve"> (artículo 5)</w:t>
            </w:r>
            <w:r w:rsidRPr="00C449D8">
              <w:rPr>
                <w:rFonts w:ascii="Calibri Light" w:hAnsi="Calibri Light"/>
                <w:b w:val="0"/>
                <w:lang w:val="es-PE"/>
              </w:rPr>
              <w:t xml:space="preserve">, </w:t>
            </w:r>
            <w:r w:rsidR="00D96140" w:rsidRPr="00C449D8">
              <w:rPr>
                <w:rFonts w:ascii="Calibri Light" w:hAnsi="Calibri Light"/>
                <w:b w:val="0"/>
                <w:lang w:val="es-PE"/>
              </w:rPr>
              <w:t>a las garantías judi</w:t>
            </w:r>
            <w:r w:rsidR="00D96140">
              <w:rPr>
                <w:rFonts w:ascii="Calibri Light" w:hAnsi="Calibri Light"/>
                <w:b w:val="0"/>
                <w:lang w:val="es-PE"/>
              </w:rPr>
              <w:t xml:space="preserve">ciales (artículo 8), </w:t>
            </w:r>
            <w:r w:rsidR="00186E66">
              <w:rPr>
                <w:rFonts w:ascii="Calibri Light" w:hAnsi="Calibri Light"/>
                <w:b w:val="0"/>
                <w:lang w:val="es-PE"/>
              </w:rPr>
              <w:t>e</w:t>
            </w:r>
            <w:r w:rsidRPr="00C449D8">
              <w:rPr>
                <w:rFonts w:ascii="Calibri Light" w:hAnsi="Calibri Light"/>
                <w:b w:val="0"/>
                <w:lang w:val="es-PE"/>
              </w:rPr>
              <w:t>l deber de protección de la niñez</w:t>
            </w:r>
            <w:r w:rsidR="00D96140">
              <w:rPr>
                <w:rFonts w:ascii="Calibri Light" w:hAnsi="Calibri Light"/>
                <w:b w:val="0"/>
                <w:lang w:val="es-PE"/>
              </w:rPr>
              <w:t xml:space="preserve"> (artículo 19)</w:t>
            </w:r>
            <w:r w:rsidRPr="00C449D8">
              <w:rPr>
                <w:rFonts w:ascii="Calibri Light" w:hAnsi="Calibri Light"/>
                <w:b w:val="0"/>
                <w:lang w:val="es-PE"/>
              </w:rPr>
              <w:t>, a la igualdad y no discriminación</w:t>
            </w:r>
            <w:r w:rsidR="00D96140">
              <w:rPr>
                <w:rFonts w:ascii="Calibri Light" w:hAnsi="Calibri Light"/>
                <w:b w:val="0"/>
                <w:lang w:val="es-PE"/>
              </w:rPr>
              <w:t xml:space="preserve"> (artículo 24), a </w:t>
            </w:r>
            <w:r>
              <w:rPr>
                <w:rFonts w:ascii="Calibri Light" w:hAnsi="Calibri Light"/>
                <w:b w:val="0"/>
                <w:lang w:val="es-PE"/>
              </w:rPr>
              <w:t>la protección judicial</w:t>
            </w:r>
            <w:r w:rsidR="00D96140">
              <w:rPr>
                <w:rFonts w:ascii="Calibri Light" w:hAnsi="Calibri Light"/>
                <w:b w:val="0"/>
                <w:lang w:val="es-PE"/>
              </w:rPr>
              <w:t xml:space="preserve"> (artículo 25)</w:t>
            </w:r>
            <w:r>
              <w:rPr>
                <w:rFonts w:ascii="Calibri Light" w:hAnsi="Calibri Light"/>
                <w:b w:val="0"/>
                <w:lang w:val="es-PE"/>
              </w:rPr>
              <w:t xml:space="preserve"> </w:t>
            </w:r>
            <w:r w:rsidR="00D96140">
              <w:rPr>
                <w:rFonts w:ascii="Calibri Light" w:hAnsi="Calibri Light"/>
                <w:b w:val="0"/>
                <w:lang w:val="es-PE"/>
              </w:rPr>
              <w:t>y e</w:t>
            </w:r>
            <w:r w:rsidR="00D96140" w:rsidRPr="00C449D8">
              <w:rPr>
                <w:rFonts w:ascii="Calibri Light" w:hAnsi="Calibri Light"/>
                <w:b w:val="0"/>
                <w:lang w:val="es-PE"/>
              </w:rPr>
              <w:t>l derecho al trabajo</w:t>
            </w:r>
            <w:r w:rsidR="00D96140">
              <w:rPr>
                <w:rFonts w:ascii="Calibri Light" w:hAnsi="Calibri Light"/>
                <w:b w:val="0"/>
                <w:lang w:val="es-PE"/>
              </w:rPr>
              <w:t xml:space="preserve"> (artículo 26)</w:t>
            </w:r>
            <w:r w:rsidR="00186E66">
              <w:rPr>
                <w:rFonts w:ascii="Calibri Light" w:hAnsi="Calibri Light"/>
                <w:b w:val="0"/>
                <w:lang w:val="es-PE"/>
              </w:rPr>
              <w:t xml:space="preserve">, </w:t>
            </w:r>
            <w:r>
              <w:rPr>
                <w:rFonts w:ascii="Calibri Light" w:hAnsi="Calibri Light"/>
                <w:b w:val="0"/>
                <w:lang w:val="es-PE"/>
              </w:rPr>
              <w:t>reconocidos en la Convención Americana sobre Derechos Humanos (en adelante, CADH).</w:t>
            </w:r>
            <w:r w:rsidR="00CC2788">
              <w:rPr>
                <w:rFonts w:ascii="Calibri Light" w:hAnsi="Calibri Light"/>
                <w:b w:val="0"/>
                <w:lang w:val="es-PE"/>
              </w:rPr>
              <w:t xml:space="preserve"> </w:t>
            </w:r>
            <w:r>
              <w:rPr>
                <w:rFonts w:ascii="Calibri Light" w:hAnsi="Calibri Light"/>
                <w:b w:val="0"/>
                <w:lang w:val="es-PE"/>
              </w:rPr>
              <w:t xml:space="preserve">La CIDH declaró la admisibilidad </w:t>
            </w:r>
            <w:r w:rsidR="00F26CB2">
              <w:rPr>
                <w:rFonts w:ascii="Calibri Light" w:hAnsi="Calibri Light"/>
                <w:b w:val="0"/>
                <w:lang w:val="es-PE"/>
              </w:rPr>
              <w:t>de todos los derechos alegados en</w:t>
            </w:r>
            <w:r w:rsidR="00D96140">
              <w:rPr>
                <w:rFonts w:ascii="Calibri Light" w:hAnsi="Calibri Light"/>
                <w:b w:val="0"/>
                <w:lang w:val="es-PE"/>
              </w:rPr>
              <w:t xml:space="preserve"> la petición</w:t>
            </w:r>
            <w:r>
              <w:rPr>
                <w:rFonts w:ascii="Calibri Light" w:hAnsi="Calibri Light"/>
                <w:b w:val="0"/>
                <w:lang w:val="es-PE"/>
              </w:rPr>
              <w:t>.</w:t>
            </w:r>
          </w:p>
          <w:p w14:paraId="17FD466C" w14:textId="77777777" w:rsidR="004E2175" w:rsidRDefault="004E2175" w:rsidP="00057AC9">
            <w:pPr>
              <w:spacing w:after="0" w:line="240" w:lineRule="auto"/>
              <w:jc w:val="both"/>
              <w:rPr>
                <w:rFonts w:ascii="Calibri Light" w:hAnsi="Calibri Light"/>
                <w:b w:val="0"/>
              </w:rPr>
            </w:pPr>
          </w:p>
        </w:tc>
      </w:tr>
      <w:tr w:rsidR="00A66C4B" w14:paraId="13397399" w14:textId="77777777" w:rsidTr="00310326">
        <w:trPr>
          <w:trHeight w:val="567"/>
          <w:jc w:val="cent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vAlign w:val="center"/>
            <w:hideMark/>
          </w:tcPr>
          <w:p w14:paraId="4DD58418" w14:textId="77777777" w:rsidR="00A66C4B" w:rsidRDefault="00A66C4B" w:rsidP="00782162">
            <w:pPr>
              <w:pStyle w:val="ListParagraph"/>
              <w:numPr>
                <w:ilvl w:val="0"/>
                <w:numId w:val="1"/>
              </w:numPr>
              <w:spacing w:after="0" w:line="240" w:lineRule="auto"/>
              <w:jc w:val="center"/>
              <w:rPr>
                <w:rFonts w:ascii="Calibri Light" w:hAnsi="Calibri Light"/>
              </w:rPr>
            </w:pPr>
            <w:r>
              <w:rPr>
                <w:rFonts w:ascii="Calibri Light" w:hAnsi="Calibri Light"/>
              </w:rPr>
              <w:lastRenderedPageBreak/>
              <w:t>Análisis jurídico</w:t>
            </w:r>
          </w:p>
        </w:tc>
      </w:tr>
      <w:tr w:rsidR="00A66C4B" w14:paraId="16B26320" w14:textId="77777777" w:rsidTr="008A5F18">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tcPr>
          <w:p w14:paraId="700178FC" w14:textId="77777777" w:rsidR="00F26CB2" w:rsidRDefault="00F26CB2" w:rsidP="000E1FE9">
            <w:pPr>
              <w:spacing w:after="0" w:line="240" w:lineRule="auto"/>
              <w:jc w:val="both"/>
              <w:rPr>
                <w:rFonts w:ascii="Calibri Light" w:hAnsi="Calibri Light"/>
                <w:b w:val="0"/>
              </w:rPr>
            </w:pPr>
          </w:p>
          <w:p w14:paraId="122A9F21" w14:textId="53AAA369" w:rsidR="00C84465" w:rsidRDefault="00C84465" w:rsidP="000E1FE9">
            <w:pPr>
              <w:spacing w:after="0" w:line="240" w:lineRule="auto"/>
              <w:jc w:val="both"/>
              <w:rPr>
                <w:rFonts w:ascii="Calibri Light" w:hAnsi="Calibri Light"/>
              </w:rPr>
            </w:pPr>
            <w:r>
              <w:rPr>
                <w:rFonts w:ascii="Calibri Light" w:hAnsi="Calibri Light"/>
              </w:rPr>
              <w:t>El derecho a la vida, a la integridad personal y derechos del niño</w:t>
            </w:r>
            <w:r w:rsidR="00BC2E2C">
              <w:rPr>
                <w:rFonts w:ascii="Calibri Light" w:hAnsi="Calibri Light"/>
              </w:rPr>
              <w:t xml:space="preserve"> (artículos 4, 5 y 19 de la CADH)</w:t>
            </w:r>
          </w:p>
          <w:p w14:paraId="082777AE" w14:textId="77777777" w:rsidR="00C84465" w:rsidRDefault="00C84465" w:rsidP="000E1FE9">
            <w:pPr>
              <w:spacing w:after="0" w:line="240" w:lineRule="auto"/>
              <w:jc w:val="both"/>
              <w:rPr>
                <w:rFonts w:ascii="Calibri Light" w:hAnsi="Calibri Light"/>
              </w:rPr>
            </w:pPr>
          </w:p>
          <w:p w14:paraId="6D26F4A6" w14:textId="77777777" w:rsidR="00C84465" w:rsidRDefault="00C84465" w:rsidP="000E1FE9">
            <w:pPr>
              <w:spacing w:after="0" w:line="240" w:lineRule="auto"/>
              <w:jc w:val="both"/>
              <w:rPr>
                <w:rFonts w:ascii="Calibri Light" w:hAnsi="Calibri Light"/>
                <w:b w:val="0"/>
                <w:u w:val="single"/>
              </w:rPr>
            </w:pPr>
            <w:r>
              <w:rPr>
                <w:rFonts w:ascii="Calibri Light" w:hAnsi="Calibri Light"/>
                <w:b w:val="0"/>
                <w:u w:val="single"/>
              </w:rPr>
              <w:t>El deber de respeto y garantía de los derechos a la vida y a la integridad personal y supuestos de atribución de responsabilidad internacional</w:t>
            </w:r>
          </w:p>
          <w:p w14:paraId="0A84651E" w14:textId="77777777" w:rsidR="00C84465" w:rsidRDefault="00C84465" w:rsidP="000E1FE9">
            <w:pPr>
              <w:spacing w:after="0" w:line="240" w:lineRule="auto"/>
              <w:jc w:val="both"/>
              <w:rPr>
                <w:rFonts w:ascii="Calibri Light" w:hAnsi="Calibri Light"/>
                <w:b w:val="0"/>
                <w:u w:val="single"/>
              </w:rPr>
            </w:pPr>
          </w:p>
          <w:p w14:paraId="561EB143" w14:textId="20B7AA80" w:rsidR="004426DC" w:rsidRDefault="00CC2788">
            <w:pPr>
              <w:spacing w:after="0" w:line="240" w:lineRule="auto"/>
              <w:jc w:val="both"/>
              <w:rPr>
                <w:rFonts w:ascii="Calibri Light" w:hAnsi="Calibri Light"/>
                <w:b w:val="0"/>
              </w:rPr>
            </w:pPr>
            <w:r>
              <w:rPr>
                <w:rFonts w:ascii="Calibri Light" w:hAnsi="Calibri Light"/>
                <w:b w:val="0"/>
              </w:rPr>
              <w:t xml:space="preserve">El derecho a la vida </w:t>
            </w:r>
            <w:r w:rsidR="00C84465">
              <w:rPr>
                <w:rFonts w:ascii="Calibri Light" w:hAnsi="Calibri Light"/>
                <w:b w:val="0"/>
              </w:rPr>
              <w:t xml:space="preserve">no solo supone que nadie debe ser privado de su vida de forma arbitraria, sino que además los Estados deben tomar todas las medidas apropiadas para proteger y preservar </w:t>
            </w:r>
            <w:r w:rsidR="00186E66">
              <w:rPr>
                <w:rFonts w:ascii="Calibri Light" w:hAnsi="Calibri Light"/>
                <w:b w:val="0"/>
              </w:rPr>
              <w:t xml:space="preserve">este </w:t>
            </w:r>
            <w:r w:rsidR="00C84465">
              <w:rPr>
                <w:rFonts w:ascii="Calibri Light" w:hAnsi="Calibri Light"/>
                <w:b w:val="0"/>
              </w:rPr>
              <w:t>derecho, bajo su deber de garantizar el pleno y libre ejercicio de derechos de todas la</w:t>
            </w:r>
            <w:r w:rsidR="00665124">
              <w:rPr>
                <w:rFonts w:ascii="Calibri Light" w:hAnsi="Calibri Light"/>
                <w:b w:val="0"/>
              </w:rPr>
              <w:t>s personas bajo su jurisdicción. Estas obligaciones también resultan aplicables al derecho a la integridad personal</w:t>
            </w:r>
            <w:r w:rsidR="00C84465">
              <w:rPr>
                <w:rFonts w:ascii="Calibri Light" w:hAnsi="Calibri Light"/>
                <w:b w:val="0"/>
              </w:rPr>
              <w:t xml:space="preserve">. </w:t>
            </w:r>
            <w:r w:rsidR="00E77433">
              <w:rPr>
                <w:rFonts w:ascii="Calibri Light" w:hAnsi="Calibri Light"/>
                <w:b w:val="0"/>
              </w:rPr>
              <w:t>L</w:t>
            </w:r>
            <w:r w:rsidR="00C84465">
              <w:rPr>
                <w:rFonts w:ascii="Calibri Light" w:hAnsi="Calibri Light"/>
                <w:b w:val="0"/>
              </w:rPr>
              <w:t xml:space="preserve">a responsabilidad internacional del Estado respecto a estos derechos puede basarse en actos u omisiones </w:t>
            </w:r>
            <w:r w:rsidR="00E77433" w:rsidRPr="00E77433">
              <w:rPr>
                <w:rFonts w:ascii="Calibri Light" w:hAnsi="Calibri Light"/>
                <w:b w:val="0"/>
              </w:rPr>
              <w:t xml:space="preserve">que violen la CADH </w:t>
            </w:r>
            <w:r w:rsidR="00C84465">
              <w:rPr>
                <w:rFonts w:ascii="Calibri Light" w:hAnsi="Calibri Light"/>
                <w:b w:val="0"/>
              </w:rPr>
              <w:t xml:space="preserve">de cualquier poder u órgano de este. </w:t>
            </w:r>
          </w:p>
          <w:p w14:paraId="2D8CA8B0" w14:textId="77777777" w:rsidR="004426DC" w:rsidRDefault="004426DC">
            <w:pPr>
              <w:spacing w:after="0" w:line="240" w:lineRule="auto"/>
              <w:jc w:val="both"/>
              <w:rPr>
                <w:rFonts w:ascii="Calibri Light" w:hAnsi="Calibri Light"/>
                <w:b w:val="0"/>
              </w:rPr>
            </w:pPr>
          </w:p>
          <w:p w14:paraId="7B881D2D" w14:textId="78E2E932" w:rsidR="008F67B7" w:rsidRDefault="00A2647E">
            <w:pPr>
              <w:spacing w:after="0" w:line="240" w:lineRule="auto"/>
              <w:jc w:val="both"/>
              <w:rPr>
                <w:rFonts w:ascii="Calibri Light" w:hAnsi="Calibri Light"/>
                <w:b w:val="0"/>
              </w:rPr>
            </w:pPr>
            <w:r>
              <w:rPr>
                <w:rFonts w:ascii="Calibri Light" w:hAnsi="Calibri Light"/>
                <w:b w:val="0"/>
              </w:rPr>
              <w:t>Específicamente</w:t>
            </w:r>
            <w:r w:rsidR="00DB79A1">
              <w:rPr>
                <w:rFonts w:ascii="Calibri Light" w:hAnsi="Calibri Light"/>
                <w:b w:val="0"/>
              </w:rPr>
              <w:t>,</w:t>
            </w:r>
            <w:r>
              <w:rPr>
                <w:rFonts w:ascii="Calibri Light" w:hAnsi="Calibri Light"/>
                <w:b w:val="0"/>
              </w:rPr>
              <w:t xml:space="preserve"> el deber de prevención </w:t>
            </w:r>
            <w:r w:rsidRPr="00A2647E">
              <w:rPr>
                <w:rFonts w:ascii="Calibri Light" w:hAnsi="Calibri Light"/>
                <w:b w:val="0"/>
              </w:rPr>
              <w:t xml:space="preserve">y protección </w:t>
            </w:r>
            <w:r w:rsidR="00E77433">
              <w:rPr>
                <w:rFonts w:ascii="Calibri Light" w:hAnsi="Calibri Light"/>
                <w:b w:val="0"/>
              </w:rPr>
              <w:t>del Estado frente a los actos de</w:t>
            </w:r>
            <w:r w:rsidRPr="00A2647E">
              <w:rPr>
                <w:rFonts w:ascii="Calibri Light" w:hAnsi="Calibri Light"/>
                <w:b w:val="0"/>
              </w:rPr>
              <w:t xml:space="preserve"> particulares en sus relaciones entre sí se encuentra condicionado a</w:t>
            </w:r>
            <w:r>
              <w:rPr>
                <w:rFonts w:ascii="Calibri Light" w:hAnsi="Calibri Light"/>
                <w:b w:val="0"/>
              </w:rPr>
              <w:t xml:space="preserve">: i) </w:t>
            </w:r>
            <w:r w:rsidR="003B25A8">
              <w:rPr>
                <w:rFonts w:ascii="Calibri Light" w:hAnsi="Calibri Light"/>
                <w:b w:val="0"/>
              </w:rPr>
              <w:t>su</w:t>
            </w:r>
            <w:r w:rsidR="003B25A8" w:rsidRPr="00A2647E">
              <w:rPr>
                <w:rFonts w:ascii="Calibri Light" w:hAnsi="Calibri Light"/>
                <w:b w:val="0"/>
              </w:rPr>
              <w:t xml:space="preserve"> </w:t>
            </w:r>
            <w:r w:rsidRPr="00A2647E">
              <w:rPr>
                <w:rFonts w:ascii="Calibri Light" w:hAnsi="Calibri Light"/>
                <w:b w:val="0"/>
              </w:rPr>
              <w:t>conocimiento de una situación de riesgo</w:t>
            </w:r>
            <w:r>
              <w:rPr>
                <w:rFonts w:ascii="Calibri Light" w:hAnsi="Calibri Light"/>
                <w:b w:val="0"/>
              </w:rPr>
              <w:t xml:space="preserve">; ii) </w:t>
            </w:r>
            <w:r w:rsidR="00E77433">
              <w:rPr>
                <w:rFonts w:ascii="Calibri Light" w:hAnsi="Calibri Light"/>
                <w:b w:val="0"/>
              </w:rPr>
              <w:t xml:space="preserve">que </w:t>
            </w:r>
            <w:r>
              <w:rPr>
                <w:rFonts w:ascii="Calibri Light" w:hAnsi="Calibri Light"/>
                <w:b w:val="0"/>
              </w:rPr>
              <w:t xml:space="preserve">dicho riesgo </w:t>
            </w:r>
            <w:r w:rsidR="00E77433">
              <w:rPr>
                <w:rFonts w:ascii="Calibri Light" w:hAnsi="Calibri Light"/>
                <w:b w:val="0"/>
              </w:rPr>
              <w:t>sea</w:t>
            </w:r>
            <w:r w:rsidR="00E77433" w:rsidRPr="00A2647E">
              <w:rPr>
                <w:rFonts w:ascii="Calibri Light" w:hAnsi="Calibri Light"/>
                <w:b w:val="0"/>
              </w:rPr>
              <w:t xml:space="preserve"> </w:t>
            </w:r>
            <w:r w:rsidRPr="00843120">
              <w:rPr>
                <w:rFonts w:ascii="Calibri Light" w:hAnsi="Calibri Light"/>
                <w:b w:val="0"/>
              </w:rPr>
              <w:t>real e inmediato</w:t>
            </w:r>
            <w:r w:rsidRPr="00A2647E">
              <w:rPr>
                <w:rFonts w:ascii="Calibri Light" w:hAnsi="Calibri Light"/>
                <w:b w:val="0"/>
              </w:rPr>
              <w:t xml:space="preserve"> para una persona o grupo de personas determinado</w:t>
            </w:r>
            <w:r>
              <w:rPr>
                <w:rFonts w:ascii="Calibri Light" w:hAnsi="Calibri Light"/>
                <w:b w:val="0"/>
              </w:rPr>
              <w:t>; y iii)</w:t>
            </w:r>
            <w:r w:rsidRPr="00A2647E">
              <w:rPr>
                <w:rFonts w:ascii="Calibri Light" w:hAnsi="Calibri Light"/>
                <w:b w:val="0"/>
              </w:rPr>
              <w:t xml:space="preserve"> las posibilidades razonables </w:t>
            </w:r>
            <w:r w:rsidR="003B25A8">
              <w:rPr>
                <w:rFonts w:ascii="Calibri Light" w:hAnsi="Calibri Light"/>
                <w:b w:val="0"/>
              </w:rPr>
              <w:t>que tenga el Estado</w:t>
            </w:r>
            <w:r w:rsidR="00E77433">
              <w:rPr>
                <w:rFonts w:ascii="Calibri Light" w:hAnsi="Calibri Light"/>
                <w:b w:val="0"/>
              </w:rPr>
              <w:t xml:space="preserve"> de</w:t>
            </w:r>
            <w:r w:rsidRPr="00A2647E">
              <w:rPr>
                <w:rFonts w:ascii="Calibri Light" w:hAnsi="Calibri Light"/>
                <w:b w:val="0"/>
              </w:rPr>
              <w:t xml:space="preserve"> prevenir o evitar ese riesgo.</w:t>
            </w:r>
            <w:r w:rsidR="005717AF">
              <w:rPr>
                <w:rFonts w:ascii="Calibri Light" w:hAnsi="Calibri Light"/>
                <w:b w:val="0"/>
              </w:rPr>
              <w:t xml:space="preserve"> Las medidas de prevención exigibles deberán ser determinadas a la luz de las características y las circunstancias de cada caso concreto. </w:t>
            </w:r>
            <w:r w:rsidR="00843120" w:rsidRPr="00843120">
              <w:rPr>
                <w:rFonts w:ascii="Calibri Light" w:hAnsi="Calibri Light"/>
                <w:b w:val="0"/>
              </w:rPr>
              <w:t>En este caso</w:t>
            </w:r>
            <w:r w:rsidR="006B25A8">
              <w:rPr>
                <w:rFonts w:ascii="Calibri Light" w:hAnsi="Calibri Light"/>
                <w:b w:val="0"/>
              </w:rPr>
              <w:t xml:space="preserve">, la CIDH consideró que, por tratarse de una empresa privada, resultaban </w:t>
            </w:r>
            <w:r w:rsidR="00843120">
              <w:rPr>
                <w:rFonts w:ascii="Calibri Light" w:hAnsi="Calibri Light"/>
                <w:b w:val="0"/>
              </w:rPr>
              <w:t xml:space="preserve">también </w:t>
            </w:r>
            <w:r w:rsidR="006B25A8">
              <w:rPr>
                <w:rFonts w:ascii="Calibri Light" w:hAnsi="Calibri Light"/>
                <w:b w:val="0"/>
              </w:rPr>
              <w:t xml:space="preserve">de aplicación </w:t>
            </w:r>
            <w:r w:rsidR="00C62149">
              <w:rPr>
                <w:rFonts w:ascii="Calibri Light" w:hAnsi="Calibri Light"/>
                <w:b w:val="0"/>
              </w:rPr>
              <w:t>la</w:t>
            </w:r>
            <w:r w:rsidR="00843120">
              <w:rPr>
                <w:rFonts w:ascii="Calibri Light" w:hAnsi="Calibri Light"/>
                <w:b w:val="0"/>
              </w:rPr>
              <w:t xml:space="preserve">s </w:t>
            </w:r>
            <w:r w:rsidR="00C62149">
              <w:rPr>
                <w:rFonts w:ascii="Calibri Light" w:hAnsi="Calibri Light"/>
                <w:b w:val="0"/>
              </w:rPr>
              <w:t>obligaciones</w:t>
            </w:r>
            <w:r w:rsidR="006B25A8">
              <w:rPr>
                <w:rFonts w:ascii="Calibri Light" w:hAnsi="Calibri Light"/>
                <w:b w:val="0"/>
              </w:rPr>
              <w:t xml:space="preserve"> de regulación, supervisión y fiscalización.</w:t>
            </w:r>
          </w:p>
          <w:p w14:paraId="2FD44B39" w14:textId="77777777" w:rsidR="006B25A8" w:rsidRDefault="006B25A8">
            <w:pPr>
              <w:spacing w:after="0" w:line="240" w:lineRule="auto"/>
              <w:jc w:val="both"/>
              <w:rPr>
                <w:rFonts w:ascii="Calibri Light" w:hAnsi="Calibri Light"/>
                <w:b w:val="0"/>
              </w:rPr>
            </w:pPr>
          </w:p>
          <w:p w14:paraId="7E56978E" w14:textId="77777777" w:rsidR="006B25A8" w:rsidRDefault="006B25A8">
            <w:pPr>
              <w:spacing w:after="0" w:line="240" w:lineRule="auto"/>
              <w:jc w:val="both"/>
              <w:rPr>
                <w:rFonts w:ascii="Calibri Light" w:hAnsi="Calibri Light"/>
                <w:b w:val="0"/>
                <w:u w:val="single"/>
              </w:rPr>
            </w:pPr>
            <w:r>
              <w:rPr>
                <w:rFonts w:ascii="Calibri Light" w:hAnsi="Calibri Light"/>
                <w:b w:val="0"/>
                <w:u w:val="single"/>
              </w:rPr>
              <w:t>Estándares específicos sobre actividades peligrosas en el ámbito laboral</w:t>
            </w:r>
          </w:p>
          <w:p w14:paraId="5B011839" w14:textId="77777777" w:rsidR="006B25A8" w:rsidRDefault="006B25A8" w:rsidP="00057AC9">
            <w:pPr>
              <w:spacing w:after="0" w:line="240" w:lineRule="auto"/>
              <w:jc w:val="both"/>
              <w:rPr>
                <w:rFonts w:ascii="Calibri Light" w:hAnsi="Calibri Light"/>
                <w:b w:val="0"/>
                <w:u w:val="single"/>
              </w:rPr>
            </w:pPr>
          </w:p>
          <w:p w14:paraId="540B2370" w14:textId="37C9D657" w:rsidR="00327033" w:rsidRDefault="00094934" w:rsidP="00057AC9">
            <w:pPr>
              <w:spacing w:after="0" w:line="240" w:lineRule="auto"/>
              <w:jc w:val="both"/>
              <w:rPr>
                <w:rFonts w:ascii="Calibri Light" w:hAnsi="Calibri Light"/>
                <w:b w:val="0"/>
              </w:rPr>
            </w:pPr>
            <w:r>
              <w:rPr>
                <w:rFonts w:ascii="Calibri Light" w:hAnsi="Calibri Light"/>
                <w:b w:val="0"/>
              </w:rPr>
              <w:lastRenderedPageBreak/>
              <w:t xml:space="preserve">Para caracterizar el alcance del contenido de las obligaciones citadas en el apartado anterior en el marco del ámbito laboral y, principalmente, sobre actividades peligrosas, </w:t>
            </w:r>
            <w:r w:rsidR="00843120">
              <w:rPr>
                <w:rFonts w:ascii="Calibri Light" w:hAnsi="Calibri Light"/>
                <w:b w:val="0"/>
              </w:rPr>
              <w:t xml:space="preserve">la CIDH se refirió </w:t>
            </w:r>
            <w:r>
              <w:rPr>
                <w:rFonts w:ascii="Calibri Light" w:hAnsi="Calibri Light"/>
                <w:b w:val="0"/>
              </w:rPr>
              <w:t>al Convenio No. 155 de la Organización Internacional del Trabajo (en adelante, OIT)</w:t>
            </w:r>
            <w:r w:rsidR="00843120">
              <w:rPr>
                <w:rFonts w:ascii="Calibri Light" w:hAnsi="Calibri Light"/>
                <w:b w:val="0"/>
              </w:rPr>
              <w:t>. Este señala que</w:t>
            </w:r>
            <w:r>
              <w:rPr>
                <w:rFonts w:ascii="Calibri Light" w:hAnsi="Calibri Light"/>
                <w:b w:val="0"/>
              </w:rPr>
              <w:t xml:space="preserve"> es un</w:t>
            </w:r>
            <w:r w:rsidR="00C23D26">
              <w:rPr>
                <w:rFonts w:ascii="Calibri Light" w:hAnsi="Calibri Light"/>
                <w:b w:val="0"/>
              </w:rPr>
              <w:t>a</w:t>
            </w:r>
            <w:r>
              <w:rPr>
                <w:rFonts w:ascii="Calibri Light" w:hAnsi="Calibri Light"/>
                <w:b w:val="0"/>
              </w:rPr>
              <w:t xml:space="preserve"> obligación de los Estados poner en práctica una política nacional que pueda prevenir los accidentes y daños para la salud que sean consecuencia del trabajo</w:t>
            </w:r>
            <w:r w:rsidR="00327033">
              <w:rPr>
                <w:rFonts w:ascii="Calibri Light" w:hAnsi="Calibri Light"/>
                <w:b w:val="0"/>
              </w:rPr>
              <w:t>.</w:t>
            </w:r>
            <w:r>
              <w:rPr>
                <w:rFonts w:ascii="Calibri Light" w:hAnsi="Calibri Light"/>
                <w:b w:val="0"/>
              </w:rPr>
              <w:t xml:space="preserve"> </w:t>
            </w:r>
            <w:r w:rsidR="00327033">
              <w:rPr>
                <w:rFonts w:ascii="Calibri Light" w:hAnsi="Calibri Light"/>
                <w:b w:val="0"/>
              </w:rPr>
              <w:t>A</w:t>
            </w:r>
            <w:r>
              <w:rPr>
                <w:rFonts w:ascii="Calibri Light" w:hAnsi="Calibri Light"/>
                <w:b w:val="0"/>
              </w:rPr>
              <w:t>demás</w:t>
            </w:r>
            <w:r w:rsidR="00843120">
              <w:rPr>
                <w:rFonts w:ascii="Calibri Light" w:hAnsi="Calibri Light"/>
                <w:b w:val="0"/>
              </w:rPr>
              <w:t>,</w:t>
            </w:r>
            <w:r>
              <w:rPr>
                <w:rFonts w:ascii="Calibri Light" w:hAnsi="Calibri Light"/>
                <w:b w:val="0"/>
              </w:rPr>
              <w:t xml:space="preserve"> sobre los deberes de regulación, inspección y control, establece que la seguridad, la higiene y el medioambiente de trabajo deberá</w:t>
            </w:r>
            <w:r w:rsidR="00327033">
              <w:rPr>
                <w:rFonts w:ascii="Calibri Light" w:hAnsi="Calibri Light"/>
                <w:b w:val="0"/>
              </w:rPr>
              <w:t>n</w:t>
            </w:r>
            <w:r>
              <w:rPr>
                <w:rFonts w:ascii="Calibri Light" w:hAnsi="Calibri Light"/>
                <w:b w:val="0"/>
              </w:rPr>
              <w:t xml:space="preserve"> estar asegurado</w:t>
            </w:r>
            <w:r w:rsidR="00327033">
              <w:rPr>
                <w:rFonts w:ascii="Calibri Light" w:hAnsi="Calibri Light"/>
                <w:b w:val="0"/>
              </w:rPr>
              <w:t>s</w:t>
            </w:r>
            <w:r>
              <w:rPr>
                <w:rFonts w:ascii="Calibri Light" w:hAnsi="Calibri Light"/>
                <w:b w:val="0"/>
              </w:rPr>
              <w:t xml:space="preserve"> por un sistema de inspección apropiado y suficiente, que establezca sanciones adecuadas. </w:t>
            </w:r>
          </w:p>
          <w:p w14:paraId="4A5B6CA2" w14:textId="77777777" w:rsidR="00327033" w:rsidRDefault="00327033">
            <w:pPr>
              <w:spacing w:after="0" w:line="240" w:lineRule="auto"/>
              <w:jc w:val="both"/>
              <w:rPr>
                <w:rFonts w:ascii="Calibri Light" w:hAnsi="Calibri Light"/>
                <w:b w:val="0"/>
              </w:rPr>
            </w:pPr>
          </w:p>
          <w:p w14:paraId="306360BD" w14:textId="2400AF71" w:rsidR="008F67B7" w:rsidRDefault="00094934">
            <w:pPr>
              <w:spacing w:after="0" w:line="240" w:lineRule="auto"/>
              <w:jc w:val="both"/>
              <w:rPr>
                <w:rFonts w:ascii="Calibri Light" w:hAnsi="Calibri Light"/>
                <w:b w:val="0"/>
              </w:rPr>
            </w:pPr>
            <w:r>
              <w:rPr>
                <w:rFonts w:ascii="Calibri Light" w:hAnsi="Calibri Light"/>
                <w:b w:val="0"/>
              </w:rPr>
              <w:t xml:space="preserve">Asimismo, </w:t>
            </w:r>
            <w:r w:rsidR="00CE1B4B">
              <w:rPr>
                <w:rFonts w:ascii="Calibri Light" w:hAnsi="Calibri Light"/>
                <w:b w:val="0"/>
              </w:rPr>
              <w:t>el Comité de Derechos Económicos, Sociales y Culturales (en adelante, Comité DESC</w:t>
            </w:r>
            <w:r w:rsidR="00843120">
              <w:rPr>
                <w:rFonts w:ascii="Calibri Light" w:hAnsi="Calibri Light"/>
                <w:b w:val="0"/>
              </w:rPr>
              <w:t>)</w:t>
            </w:r>
            <w:r w:rsidR="00CE1B4B">
              <w:rPr>
                <w:rFonts w:ascii="Calibri Light" w:hAnsi="Calibri Light"/>
                <w:b w:val="0"/>
              </w:rPr>
              <w:t xml:space="preserve"> se ha referido a las obligaciones estatales relacionadas con la reducción y prevención de accidentes laborales en su Observación General </w:t>
            </w:r>
            <w:r w:rsidR="00496E15">
              <w:rPr>
                <w:rFonts w:ascii="Calibri Light" w:hAnsi="Calibri Light"/>
                <w:b w:val="0"/>
              </w:rPr>
              <w:t xml:space="preserve">No. </w:t>
            </w:r>
            <w:r w:rsidR="00CE1B4B">
              <w:rPr>
                <w:rFonts w:ascii="Calibri Light" w:hAnsi="Calibri Light"/>
                <w:b w:val="0"/>
              </w:rPr>
              <w:t>14</w:t>
            </w:r>
            <w:r w:rsidR="00593EC5">
              <w:rPr>
                <w:rFonts w:ascii="Calibri Light" w:hAnsi="Calibri Light"/>
                <w:b w:val="0"/>
              </w:rPr>
              <w:t xml:space="preserve">. Esta </w:t>
            </w:r>
            <w:r w:rsidR="00CE1B4B">
              <w:rPr>
                <w:rFonts w:ascii="Calibri Light" w:hAnsi="Calibri Light"/>
                <w:b w:val="0"/>
              </w:rPr>
              <w:t>estableció que los Estados deben formular, aplicar y revisar periódicamente una política nacional coherente destinada a reducir al mínimo los riesgos de accidentes laborales</w:t>
            </w:r>
            <w:r w:rsidR="00843120">
              <w:rPr>
                <w:rFonts w:ascii="Calibri Light" w:hAnsi="Calibri Light"/>
                <w:b w:val="0"/>
              </w:rPr>
              <w:t>.</w:t>
            </w:r>
            <w:r w:rsidR="00CE1B4B">
              <w:rPr>
                <w:rFonts w:ascii="Calibri Light" w:hAnsi="Calibri Light"/>
                <w:b w:val="0"/>
              </w:rPr>
              <w:t xml:space="preserve"> </w:t>
            </w:r>
            <w:r w:rsidR="00843120">
              <w:rPr>
                <w:rFonts w:ascii="Calibri Light" w:hAnsi="Calibri Light"/>
                <w:b w:val="0"/>
              </w:rPr>
              <w:t>P</w:t>
            </w:r>
            <w:r w:rsidR="00CE1B4B">
              <w:rPr>
                <w:rFonts w:ascii="Calibri Light" w:hAnsi="Calibri Light"/>
                <w:b w:val="0"/>
              </w:rPr>
              <w:t>arte de esa política debe ser la identificación, determinación, autorización y control de materiales, equipo, sustancias, agentes y procedimientos de trabajo peligrosos.</w:t>
            </w:r>
          </w:p>
          <w:p w14:paraId="6F82FCFD" w14:textId="77777777" w:rsidR="00CE1B4B" w:rsidRDefault="00CE1B4B">
            <w:pPr>
              <w:spacing w:after="0" w:line="240" w:lineRule="auto"/>
              <w:jc w:val="both"/>
              <w:rPr>
                <w:rFonts w:ascii="Calibri Light" w:hAnsi="Calibri Light"/>
                <w:b w:val="0"/>
              </w:rPr>
            </w:pPr>
          </w:p>
          <w:p w14:paraId="0F3056F2" w14:textId="77777777" w:rsidR="00CE1B4B" w:rsidRDefault="00CE1B4B">
            <w:pPr>
              <w:spacing w:after="0" w:line="240" w:lineRule="auto"/>
              <w:jc w:val="both"/>
              <w:rPr>
                <w:rFonts w:ascii="Calibri Light" w:hAnsi="Calibri Light"/>
                <w:b w:val="0"/>
                <w:u w:val="single"/>
              </w:rPr>
            </w:pPr>
            <w:r>
              <w:rPr>
                <w:rFonts w:ascii="Calibri Light" w:hAnsi="Calibri Light"/>
                <w:b w:val="0"/>
                <w:u w:val="single"/>
              </w:rPr>
              <w:t>Estándares específicos sobre el trabajo infantil y las peores formas de trabajo infantil</w:t>
            </w:r>
          </w:p>
          <w:p w14:paraId="4C843E15" w14:textId="77777777" w:rsidR="00CE1B4B" w:rsidRDefault="00CE1B4B">
            <w:pPr>
              <w:spacing w:after="0" w:line="240" w:lineRule="auto"/>
              <w:jc w:val="both"/>
              <w:rPr>
                <w:rFonts w:ascii="Calibri Light" w:hAnsi="Calibri Light"/>
                <w:b w:val="0"/>
                <w:u w:val="single"/>
              </w:rPr>
            </w:pPr>
          </w:p>
          <w:p w14:paraId="084E8000" w14:textId="087921BA" w:rsidR="001E1C31" w:rsidRDefault="00843120">
            <w:pPr>
              <w:spacing w:after="0" w:line="240" w:lineRule="auto"/>
              <w:jc w:val="both"/>
              <w:rPr>
                <w:rFonts w:ascii="Calibri Light" w:hAnsi="Calibri Light"/>
                <w:b w:val="0"/>
              </w:rPr>
            </w:pPr>
            <w:r>
              <w:rPr>
                <w:rFonts w:ascii="Calibri Light" w:hAnsi="Calibri Light"/>
                <w:b w:val="0"/>
              </w:rPr>
              <w:t>L</w:t>
            </w:r>
            <w:r w:rsidR="00B50392">
              <w:rPr>
                <w:rFonts w:ascii="Calibri Light" w:hAnsi="Calibri Light"/>
                <w:b w:val="0"/>
              </w:rPr>
              <w:t xml:space="preserve">os niños y niñas son titulares de los derechos establecidos en la CADH, </w:t>
            </w:r>
            <w:r w:rsidR="004426DC">
              <w:rPr>
                <w:rFonts w:ascii="Calibri Light" w:hAnsi="Calibri Light"/>
                <w:b w:val="0"/>
              </w:rPr>
              <w:t xml:space="preserve">y </w:t>
            </w:r>
            <w:r>
              <w:rPr>
                <w:rFonts w:ascii="Calibri Light" w:hAnsi="Calibri Light"/>
                <w:b w:val="0"/>
              </w:rPr>
              <w:t xml:space="preserve">cuentan </w:t>
            </w:r>
            <w:r w:rsidR="00B50392">
              <w:rPr>
                <w:rFonts w:ascii="Calibri Light" w:hAnsi="Calibri Light"/>
                <w:b w:val="0"/>
              </w:rPr>
              <w:t xml:space="preserve">con medidas de especial protección </w:t>
            </w:r>
            <w:r w:rsidR="00593EC5">
              <w:rPr>
                <w:rFonts w:ascii="Calibri Light" w:hAnsi="Calibri Light"/>
                <w:b w:val="0"/>
              </w:rPr>
              <w:t>contempladas</w:t>
            </w:r>
            <w:r w:rsidR="00B50392">
              <w:rPr>
                <w:rFonts w:ascii="Calibri Light" w:hAnsi="Calibri Light"/>
                <w:b w:val="0"/>
              </w:rPr>
              <w:t xml:space="preserve"> en su artículo 19, las cuales deben ser definidas según las circunstancias particulares </w:t>
            </w:r>
            <w:r>
              <w:rPr>
                <w:rFonts w:ascii="Calibri Light" w:hAnsi="Calibri Light"/>
                <w:b w:val="0"/>
              </w:rPr>
              <w:t>de cada</w:t>
            </w:r>
            <w:r w:rsidR="00B50392">
              <w:rPr>
                <w:rFonts w:ascii="Calibri Light" w:hAnsi="Calibri Light"/>
                <w:b w:val="0"/>
              </w:rPr>
              <w:t xml:space="preserve"> concreto. Por otro lado, la Convención sobre los Derechos del Niño ha establecido en su artículo 32 que deben ser protegidos contra la explotación económica y contra el desempeño de cualquier trabajo que pueda ser peligroso</w:t>
            </w:r>
            <w:r w:rsidR="00BC1B58">
              <w:rPr>
                <w:rFonts w:ascii="Calibri Light" w:hAnsi="Calibri Light"/>
                <w:b w:val="0"/>
              </w:rPr>
              <w:t>.</w:t>
            </w:r>
            <w:r w:rsidR="001E1C31">
              <w:rPr>
                <w:rFonts w:ascii="Calibri Light" w:hAnsi="Calibri Light"/>
                <w:b w:val="0"/>
              </w:rPr>
              <w:t xml:space="preserve"> </w:t>
            </w:r>
            <w:r w:rsidR="004426DC">
              <w:rPr>
                <w:rFonts w:ascii="Calibri Light" w:hAnsi="Calibri Light"/>
                <w:b w:val="0"/>
              </w:rPr>
              <w:t>De igual forma</w:t>
            </w:r>
            <w:r w:rsidR="00BC1B58">
              <w:rPr>
                <w:rFonts w:ascii="Calibri Light" w:hAnsi="Calibri Light"/>
                <w:b w:val="0"/>
              </w:rPr>
              <w:t xml:space="preserve">, </w:t>
            </w:r>
            <w:r w:rsidR="00593EC5">
              <w:rPr>
                <w:rFonts w:ascii="Calibri Light" w:hAnsi="Calibri Light"/>
                <w:b w:val="0"/>
              </w:rPr>
              <w:t>el artículo 7 d</w:t>
            </w:r>
            <w:r w:rsidR="00BC1B58">
              <w:rPr>
                <w:rFonts w:ascii="Calibri Light" w:hAnsi="Calibri Light"/>
                <w:b w:val="0"/>
              </w:rPr>
              <w:t>el Protocolo A</w:t>
            </w:r>
            <w:r w:rsidR="00BC1B58" w:rsidRPr="00BC1B58">
              <w:rPr>
                <w:rFonts w:ascii="Calibri Light" w:hAnsi="Calibri Light"/>
                <w:b w:val="0"/>
              </w:rPr>
              <w:t xml:space="preserve">dicional a la </w:t>
            </w:r>
            <w:r w:rsidR="00BC1B58">
              <w:rPr>
                <w:rFonts w:ascii="Calibri Light" w:hAnsi="Calibri Light"/>
                <w:b w:val="0"/>
              </w:rPr>
              <w:t>CADH en materia de Derechos Económicos, Sociales y C</w:t>
            </w:r>
            <w:r w:rsidR="00BC1B58" w:rsidRPr="00BC1B58">
              <w:rPr>
                <w:rFonts w:ascii="Calibri Light" w:hAnsi="Calibri Light"/>
                <w:b w:val="0"/>
              </w:rPr>
              <w:t>ulturales</w:t>
            </w:r>
            <w:r>
              <w:rPr>
                <w:rFonts w:ascii="Calibri Light" w:hAnsi="Calibri Light"/>
                <w:b w:val="0"/>
              </w:rPr>
              <w:t xml:space="preserve"> (en adelante,</w:t>
            </w:r>
            <w:r w:rsidR="00F41DF3">
              <w:rPr>
                <w:rFonts w:ascii="Calibri Light" w:hAnsi="Calibri Light"/>
                <w:b w:val="0"/>
              </w:rPr>
              <w:t xml:space="preserve"> Protocolo de San Salvador</w:t>
            </w:r>
            <w:r>
              <w:rPr>
                <w:rFonts w:ascii="Calibri Light" w:hAnsi="Calibri Light"/>
                <w:b w:val="0"/>
              </w:rPr>
              <w:t>)</w:t>
            </w:r>
            <w:r w:rsidR="00F41DF3">
              <w:rPr>
                <w:rFonts w:ascii="Calibri Light" w:hAnsi="Calibri Light"/>
                <w:b w:val="0"/>
              </w:rPr>
              <w:t xml:space="preserve"> establece el derecho a condiciones de trabajo justas, equitativas y satisfactorias</w:t>
            </w:r>
            <w:r>
              <w:rPr>
                <w:rFonts w:ascii="Calibri Light" w:hAnsi="Calibri Light"/>
                <w:b w:val="0"/>
              </w:rPr>
              <w:t>,</w:t>
            </w:r>
            <w:r w:rsidR="00F41DF3">
              <w:rPr>
                <w:rFonts w:ascii="Calibri Light" w:hAnsi="Calibri Light"/>
                <w:b w:val="0"/>
              </w:rPr>
              <w:t xml:space="preserve"> </w:t>
            </w:r>
            <w:r w:rsidR="00593EC5">
              <w:rPr>
                <w:rFonts w:ascii="Calibri Light" w:hAnsi="Calibri Light"/>
                <w:b w:val="0"/>
              </w:rPr>
              <w:t xml:space="preserve">y </w:t>
            </w:r>
            <w:r w:rsidR="00F41DF3">
              <w:rPr>
                <w:rFonts w:ascii="Calibri Light" w:hAnsi="Calibri Light"/>
                <w:b w:val="0"/>
              </w:rPr>
              <w:t xml:space="preserve">en el caso de menores </w:t>
            </w:r>
            <w:r w:rsidR="00593EC5">
              <w:rPr>
                <w:rFonts w:ascii="Calibri Light" w:hAnsi="Calibri Light"/>
                <w:b w:val="0"/>
              </w:rPr>
              <w:t xml:space="preserve">exige </w:t>
            </w:r>
            <w:r w:rsidR="00F41DF3">
              <w:rPr>
                <w:rFonts w:ascii="Calibri Light" w:hAnsi="Calibri Light"/>
                <w:b w:val="0"/>
              </w:rPr>
              <w:t xml:space="preserve">la prohibición de trabajos peligrosos. </w:t>
            </w:r>
          </w:p>
          <w:p w14:paraId="469147B5" w14:textId="77777777" w:rsidR="001E1C31" w:rsidRDefault="001E1C31">
            <w:pPr>
              <w:spacing w:after="0" w:line="240" w:lineRule="auto"/>
              <w:jc w:val="both"/>
              <w:rPr>
                <w:rFonts w:ascii="Calibri Light" w:hAnsi="Calibri Light"/>
                <w:b w:val="0"/>
              </w:rPr>
            </w:pPr>
          </w:p>
          <w:p w14:paraId="4E78BE13" w14:textId="4AB00F9B" w:rsidR="00BC1B58" w:rsidRDefault="001E1C31">
            <w:pPr>
              <w:spacing w:after="0" w:line="240" w:lineRule="auto"/>
              <w:jc w:val="both"/>
              <w:rPr>
                <w:rFonts w:ascii="Calibri Light" w:hAnsi="Calibri Light"/>
                <w:b w:val="0"/>
              </w:rPr>
            </w:pPr>
            <w:r>
              <w:rPr>
                <w:rFonts w:ascii="Calibri Light" w:hAnsi="Calibri Light"/>
                <w:b w:val="0"/>
              </w:rPr>
              <w:t xml:space="preserve">Si bien a nivel internacional, desde organizaciones como UNICEF o instrumentos como </w:t>
            </w:r>
            <w:r w:rsidR="00843120">
              <w:rPr>
                <w:rFonts w:ascii="Calibri Light" w:hAnsi="Calibri Light"/>
                <w:b w:val="0"/>
              </w:rPr>
              <w:t xml:space="preserve">los </w:t>
            </w:r>
            <w:r>
              <w:rPr>
                <w:rFonts w:ascii="Calibri Light" w:hAnsi="Calibri Light"/>
                <w:b w:val="0"/>
              </w:rPr>
              <w:t>Convenio</w:t>
            </w:r>
            <w:r w:rsidR="00843120">
              <w:rPr>
                <w:rFonts w:ascii="Calibri Light" w:hAnsi="Calibri Light"/>
                <w:b w:val="0"/>
              </w:rPr>
              <w:t>s</w:t>
            </w:r>
            <w:r>
              <w:rPr>
                <w:rFonts w:ascii="Calibri Light" w:hAnsi="Calibri Light"/>
                <w:b w:val="0"/>
              </w:rPr>
              <w:t xml:space="preserve"> No</w:t>
            </w:r>
            <w:r w:rsidR="000627C1">
              <w:rPr>
                <w:rFonts w:ascii="Calibri Light" w:hAnsi="Calibri Light"/>
                <w:b w:val="0"/>
              </w:rPr>
              <w:t>. 138 y 183 de la OIT, no se</w:t>
            </w:r>
            <w:r>
              <w:rPr>
                <w:rFonts w:ascii="Calibri Light" w:hAnsi="Calibri Light"/>
                <w:b w:val="0"/>
              </w:rPr>
              <w:t xml:space="preserve"> prohíbe el ejercicio de toda actividad laboral de niños y niñas, sí se ha puesto como límite que estos puedan ser sometidos a esclavitud, reclutamiento forzado, prostitución, trata, etc</w:t>
            </w:r>
            <w:r w:rsidR="00843120">
              <w:rPr>
                <w:rFonts w:ascii="Calibri Light" w:hAnsi="Calibri Light"/>
                <w:b w:val="0"/>
              </w:rPr>
              <w:t>.</w:t>
            </w:r>
            <w:r>
              <w:rPr>
                <w:rFonts w:ascii="Calibri Light" w:hAnsi="Calibri Light"/>
                <w:b w:val="0"/>
              </w:rPr>
              <w:t xml:space="preserve"> </w:t>
            </w:r>
            <w:r w:rsidR="00843120">
              <w:rPr>
                <w:rFonts w:ascii="Calibri Light" w:hAnsi="Calibri Light"/>
                <w:b w:val="0"/>
              </w:rPr>
              <w:t>Al respecto, l</w:t>
            </w:r>
            <w:r>
              <w:rPr>
                <w:rFonts w:ascii="Calibri Light" w:hAnsi="Calibri Light"/>
                <w:b w:val="0"/>
              </w:rPr>
              <w:t>a Corte IDH ha indicado que los Estados deben adoptar medidas de carácter prioritario para eliminar</w:t>
            </w:r>
            <w:r w:rsidR="006E7858">
              <w:rPr>
                <w:rFonts w:ascii="Calibri Light" w:hAnsi="Calibri Light"/>
                <w:b w:val="0"/>
              </w:rPr>
              <w:t xml:space="preserve"> </w:t>
            </w:r>
            <w:r>
              <w:rPr>
                <w:rFonts w:ascii="Calibri Light" w:hAnsi="Calibri Light"/>
                <w:b w:val="0"/>
              </w:rPr>
              <w:t>las</w:t>
            </w:r>
            <w:r w:rsidR="006E7858">
              <w:rPr>
                <w:rFonts w:ascii="Calibri Light" w:hAnsi="Calibri Light"/>
                <w:b w:val="0"/>
              </w:rPr>
              <w:t xml:space="preserve"> peores formas de trabajo infantil</w:t>
            </w:r>
            <w:r>
              <w:rPr>
                <w:rFonts w:ascii="Calibri Light" w:hAnsi="Calibri Light"/>
                <w:b w:val="0"/>
              </w:rPr>
              <w:t xml:space="preserve"> como: i) elaborar y poner en práctica programas de acción para asegurar el ejercicio y disfrute pleno de sus derechos; ii) impedir su ocupación en las peores formas de trabajo infantil; iii) prestar asistencia y atención adecuada a aquellos </w:t>
            </w:r>
            <w:r w:rsidR="00593EC5">
              <w:rPr>
                <w:rFonts w:ascii="Calibri Light" w:hAnsi="Calibri Light"/>
                <w:b w:val="0"/>
              </w:rPr>
              <w:t xml:space="preserve">niños y niñas </w:t>
            </w:r>
            <w:r>
              <w:rPr>
                <w:rFonts w:ascii="Calibri Light" w:hAnsi="Calibri Light"/>
                <w:b w:val="0"/>
              </w:rPr>
              <w:t xml:space="preserve">que se hayan visto sometidos a estas prácticas; iv) asegurar que hayan sido liberados de las peores formas de trabajo infantil; y v) tener en cuenta la situación particular de las niñas. </w:t>
            </w:r>
            <w:r w:rsidR="000627C1">
              <w:rPr>
                <w:rFonts w:ascii="Calibri Light" w:hAnsi="Calibri Light"/>
                <w:b w:val="0"/>
              </w:rPr>
              <w:t>En similar sentido se han pronunciado t</w:t>
            </w:r>
            <w:r>
              <w:rPr>
                <w:rFonts w:ascii="Calibri Light" w:hAnsi="Calibri Light"/>
                <w:b w:val="0"/>
              </w:rPr>
              <w:t>anto el Comité de los Derechos del Niño como el Comité</w:t>
            </w:r>
            <w:r w:rsidR="00593EC5">
              <w:rPr>
                <w:rFonts w:ascii="Calibri Light" w:hAnsi="Calibri Light"/>
                <w:b w:val="0"/>
              </w:rPr>
              <w:t xml:space="preserve"> DESC</w:t>
            </w:r>
            <w:r w:rsidR="000627C1">
              <w:rPr>
                <w:rFonts w:ascii="Calibri Light" w:hAnsi="Calibri Light"/>
                <w:b w:val="0"/>
              </w:rPr>
              <w:t>.</w:t>
            </w:r>
            <w:r>
              <w:rPr>
                <w:rFonts w:ascii="Calibri Light" w:hAnsi="Calibri Light"/>
                <w:b w:val="0"/>
              </w:rPr>
              <w:t xml:space="preserve"> </w:t>
            </w:r>
          </w:p>
          <w:p w14:paraId="0920B825" w14:textId="77777777" w:rsidR="001E1C31" w:rsidRDefault="001E1C31">
            <w:pPr>
              <w:spacing w:after="0" w:line="240" w:lineRule="auto"/>
              <w:jc w:val="both"/>
              <w:rPr>
                <w:rFonts w:ascii="Calibri Light" w:hAnsi="Calibri Light"/>
                <w:b w:val="0"/>
              </w:rPr>
            </w:pPr>
          </w:p>
          <w:p w14:paraId="474523BB" w14:textId="77777777" w:rsidR="001E1C31" w:rsidRDefault="001E1C31">
            <w:pPr>
              <w:spacing w:after="0" w:line="240" w:lineRule="auto"/>
              <w:jc w:val="both"/>
              <w:rPr>
                <w:rFonts w:ascii="Calibri Light" w:hAnsi="Calibri Light"/>
                <w:b w:val="0"/>
                <w:u w:val="single"/>
              </w:rPr>
            </w:pPr>
            <w:r>
              <w:rPr>
                <w:rFonts w:ascii="Calibri Light" w:hAnsi="Calibri Light"/>
                <w:b w:val="0"/>
                <w:u w:val="single"/>
              </w:rPr>
              <w:t>Análisis del caso</w:t>
            </w:r>
          </w:p>
          <w:p w14:paraId="427890EE" w14:textId="77777777" w:rsidR="001E1C31" w:rsidRDefault="001E1C31">
            <w:pPr>
              <w:spacing w:after="0" w:line="240" w:lineRule="auto"/>
              <w:jc w:val="both"/>
              <w:rPr>
                <w:rFonts w:ascii="Calibri Light" w:hAnsi="Calibri Light"/>
                <w:b w:val="0"/>
                <w:u w:val="single"/>
              </w:rPr>
            </w:pPr>
          </w:p>
          <w:p w14:paraId="64446DA6" w14:textId="438E3D66" w:rsidR="008D4BC2" w:rsidRPr="001E1C31" w:rsidRDefault="005F4AE9">
            <w:pPr>
              <w:spacing w:after="0" w:line="240" w:lineRule="auto"/>
              <w:jc w:val="both"/>
              <w:rPr>
                <w:rFonts w:ascii="Calibri Light" w:hAnsi="Calibri Light"/>
                <w:b w:val="0"/>
              </w:rPr>
            </w:pPr>
            <w:r>
              <w:rPr>
                <w:rFonts w:ascii="Calibri Light" w:hAnsi="Calibri Light"/>
                <w:b w:val="0"/>
              </w:rPr>
              <w:t xml:space="preserve">En este caso, </w:t>
            </w:r>
            <w:r w:rsidR="008D4BC2">
              <w:rPr>
                <w:rFonts w:ascii="Calibri Light" w:hAnsi="Calibri Light"/>
                <w:b w:val="0"/>
              </w:rPr>
              <w:t xml:space="preserve">la CIDH observó que la Fábrica contaba con permiso del </w:t>
            </w:r>
            <w:r w:rsidR="0051176C">
              <w:rPr>
                <w:rFonts w:ascii="Calibri Light" w:hAnsi="Calibri Light"/>
                <w:b w:val="0"/>
              </w:rPr>
              <w:t>E</w:t>
            </w:r>
            <w:r w:rsidR="008D4BC2">
              <w:rPr>
                <w:rFonts w:ascii="Calibri Light" w:hAnsi="Calibri Light"/>
                <w:b w:val="0"/>
              </w:rPr>
              <w:t>jército brasileño para operar, y que al tener el Estado brasilero relación directa con las actividades que allí se desarrollaban y conocer el riesgo potencial que su funcionamiento podía implicar, este tenía deberes reforzados de inspección y fiscalización. A pesar de ello, no se recibió información sobre posibles inspecciones o fiscalizaciones realizadas de forma previa a la explosión del 11 de diciembre de 1998, por lo que la CIDH consideró que la omisión del Estado fue de carácter absoluto. De haber cumplido con dichos deberes, podrían haberse advertido las irregularidades que se cometían en materia de seguridad en el trabajo en la Fábrica</w:t>
            </w:r>
            <w:r w:rsidR="0051176C">
              <w:rPr>
                <w:rFonts w:ascii="Calibri Light" w:hAnsi="Calibri Light"/>
                <w:b w:val="0"/>
              </w:rPr>
              <w:t xml:space="preserve"> y</w:t>
            </w:r>
            <w:r w:rsidR="008D4BC2">
              <w:rPr>
                <w:rFonts w:ascii="Calibri Light" w:hAnsi="Calibri Light"/>
                <w:b w:val="0"/>
              </w:rPr>
              <w:t xml:space="preserve"> las tareas de alta peligrosidad en las que participaban niños y niños.</w:t>
            </w:r>
            <w:r w:rsidR="0051176C">
              <w:rPr>
                <w:rFonts w:ascii="Calibri Light" w:hAnsi="Calibri Light"/>
                <w:b w:val="0"/>
              </w:rPr>
              <w:t xml:space="preserve"> </w:t>
            </w:r>
            <w:r w:rsidR="00F06372">
              <w:rPr>
                <w:rFonts w:ascii="Calibri Light" w:hAnsi="Calibri Light"/>
                <w:b w:val="0"/>
              </w:rPr>
              <w:t xml:space="preserve">Asimismo, la CIDH tomó en </w:t>
            </w:r>
            <w:r w:rsidR="00F06372">
              <w:rPr>
                <w:rFonts w:ascii="Calibri Light" w:hAnsi="Calibri Light"/>
                <w:b w:val="0"/>
              </w:rPr>
              <w:lastRenderedPageBreak/>
              <w:t xml:space="preserve">cuenta que la situación de irregularidad en que operaban las fábricas de fuego en Santo Antonio de Jesús </w:t>
            </w:r>
            <w:r w:rsidR="00C6128D">
              <w:rPr>
                <w:rFonts w:ascii="Calibri Light" w:hAnsi="Calibri Light"/>
                <w:b w:val="0"/>
              </w:rPr>
              <w:t xml:space="preserve">había sido reconocida mediante reportajes, sentencias e incluso informes realizados por el Estado. </w:t>
            </w:r>
            <w:r w:rsidR="00086030">
              <w:rPr>
                <w:rFonts w:ascii="Calibri Light" w:hAnsi="Calibri Light"/>
                <w:b w:val="0"/>
              </w:rPr>
              <w:t>Por ello, declaró al Estado de Brasil responsable de la violación de los artículos 4.1 y 5.1 de la CADH, en relación con los artículos 19 y 1.1, en perjuicio de las víctimas directas de la e</w:t>
            </w:r>
            <w:r w:rsidR="00E35131">
              <w:rPr>
                <w:rFonts w:ascii="Calibri Light" w:hAnsi="Calibri Light"/>
                <w:b w:val="0"/>
              </w:rPr>
              <w:t>xplosión de la Fábrica</w:t>
            </w:r>
            <w:r w:rsidR="00086030">
              <w:rPr>
                <w:rFonts w:ascii="Calibri Light" w:hAnsi="Calibri Light"/>
                <w:b w:val="0"/>
              </w:rPr>
              <w:t>.</w:t>
            </w:r>
          </w:p>
          <w:p w14:paraId="302F7191" w14:textId="77777777" w:rsidR="008F67B7" w:rsidRDefault="008F67B7">
            <w:pPr>
              <w:spacing w:after="0" w:line="240" w:lineRule="auto"/>
              <w:jc w:val="both"/>
              <w:rPr>
                <w:rFonts w:ascii="Calibri Light" w:hAnsi="Calibri Light"/>
              </w:rPr>
            </w:pPr>
          </w:p>
          <w:p w14:paraId="27248F9C" w14:textId="2DC45660" w:rsidR="00F547D3" w:rsidRDefault="003329AE">
            <w:pPr>
              <w:spacing w:after="0" w:line="240" w:lineRule="auto"/>
              <w:jc w:val="both"/>
              <w:rPr>
                <w:rFonts w:ascii="Calibri Light" w:hAnsi="Calibri Light"/>
              </w:rPr>
            </w:pPr>
            <w:r>
              <w:rPr>
                <w:rFonts w:ascii="Calibri Light" w:hAnsi="Calibri Light"/>
              </w:rPr>
              <w:t>Derecho al trabajo y principio de igualdad y no discriminación</w:t>
            </w:r>
            <w:r w:rsidR="00BC2E2C">
              <w:rPr>
                <w:rFonts w:ascii="Calibri Light" w:hAnsi="Calibri Light"/>
              </w:rPr>
              <w:t xml:space="preserve"> (artículos 26 y 24 de la CADH)</w:t>
            </w:r>
          </w:p>
          <w:p w14:paraId="40A61589" w14:textId="77777777" w:rsidR="003329AE" w:rsidRDefault="003329AE">
            <w:pPr>
              <w:spacing w:after="0" w:line="240" w:lineRule="auto"/>
              <w:jc w:val="both"/>
              <w:rPr>
                <w:rFonts w:ascii="Calibri Light" w:hAnsi="Calibri Light"/>
              </w:rPr>
            </w:pPr>
          </w:p>
          <w:p w14:paraId="3E94F5A5" w14:textId="38C73BD3" w:rsidR="003329AE" w:rsidRDefault="00BC2E2C">
            <w:pPr>
              <w:spacing w:after="0" w:line="240" w:lineRule="auto"/>
              <w:jc w:val="both"/>
              <w:rPr>
                <w:rFonts w:ascii="Calibri Light" w:hAnsi="Calibri Light"/>
                <w:b w:val="0"/>
                <w:u w:val="single"/>
              </w:rPr>
            </w:pPr>
            <w:r>
              <w:rPr>
                <w:rFonts w:ascii="Calibri Light" w:hAnsi="Calibri Light"/>
                <w:b w:val="0"/>
                <w:u w:val="single"/>
              </w:rPr>
              <w:t>Consideraciones generales</w:t>
            </w:r>
          </w:p>
          <w:p w14:paraId="73A0A2B7" w14:textId="25B47C2E" w:rsidR="001245AB" w:rsidRDefault="001245AB">
            <w:pPr>
              <w:spacing w:after="0" w:line="240" w:lineRule="auto"/>
              <w:jc w:val="both"/>
              <w:rPr>
                <w:rFonts w:ascii="Calibri Light" w:hAnsi="Calibri Light"/>
                <w:b w:val="0"/>
                <w:u w:val="single"/>
              </w:rPr>
            </w:pPr>
          </w:p>
          <w:p w14:paraId="1C79949A" w14:textId="05517490" w:rsidR="00CA1B21" w:rsidRDefault="00212CD8" w:rsidP="007E0A1E">
            <w:pPr>
              <w:spacing w:after="0" w:line="240" w:lineRule="auto"/>
              <w:jc w:val="both"/>
              <w:rPr>
                <w:rFonts w:ascii="Calibri Light" w:hAnsi="Calibri Light"/>
                <w:b w:val="0"/>
              </w:rPr>
            </w:pPr>
            <w:r>
              <w:rPr>
                <w:rFonts w:ascii="Calibri Light" w:hAnsi="Calibri Light"/>
                <w:b w:val="0"/>
              </w:rPr>
              <w:t xml:space="preserve">El artículo 26 de la CADH establece la obligación </w:t>
            </w:r>
            <w:r w:rsidR="00AB54E9">
              <w:rPr>
                <w:rFonts w:ascii="Calibri Light" w:hAnsi="Calibri Light"/>
                <w:b w:val="0"/>
              </w:rPr>
              <w:t xml:space="preserve">de los Estados </w:t>
            </w:r>
            <w:r>
              <w:rPr>
                <w:rFonts w:ascii="Calibri Light" w:hAnsi="Calibri Light"/>
                <w:b w:val="0"/>
              </w:rPr>
              <w:t xml:space="preserve">de procurar el desarrollo progresivo de los derechos </w:t>
            </w:r>
            <w:r w:rsidR="00AB54E9">
              <w:rPr>
                <w:rFonts w:ascii="Calibri Light" w:hAnsi="Calibri Light"/>
                <w:b w:val="0"/>
              </w:rPr>
              <w:t>económicos, sociales y culturales (en adelante, DESC)</w:t>
            </w:r>
            <w:r>
              <w:rPr>
                <w:rFonts w:ascii="Calibri Light" w:hAnsi="Calibri Light"/>
                <w:b w:val="0"/>
              </w:rPr>
              <w:t xml:space="preserve">. </w:t>
            </w:r>
            <w:r w:rsidR="007C4758">
              <w:rPr>
                <w:rFonts w:ascii="Calibri Light" w:hAnsi="Calibri Light"/>
                <w:b w:val="0"/>
              </w:rPr>
              <w:t xml:space="preserve">Para </w:t>
            </w:r>
            <w:r w:rsidR="00544FE5">
              <w:rPr>
                <w:rFonts w:ascii="Calibri Light" w:hAnsi="Calibri Light"/>
                <w:b w:val="0"/>
              </w:rPr>
              <w:t>su</w:t>
            </w:r>
            <w:r w:rsidR="007C4758">
              <w:rPr>
                <w:rFonts w:ascii="Calibri Light" w:hAnsi="Calibri Light"/>
                <w:b w:val="0"/>
              </w:rPr>
              <w:t xml:space="preserve"> adec</w:t>
            </w:r>
            <w:r w:rsidR="00D62F02">
              <w:rPr>
                <w:rFonts w:ascii="Calibri Light" w:hAnsi="Calibri Light"/>
                <w:b w:val="0"/>
              </w:rPr>
              <w:t>uada aplicación a un caso concreto, se debe</w:t>
            </w:r>
            <w:r w:rsidR="000B64FD">
              <w:rPr>
                <w:rFonts w:ascii="Calibri Light" w:hAnsi="Calibri Light"/>
                <w:b w:val="0"/>
              </w:rPr>
              <w:t>,</w:t>
            </w:r>
            <w:r w:rsidR="00D62F02">
              <w:rPr>
                <w:rFonts w:ascii="Calibri Light" w:hAnsi="Calibri Light"/>
                <w:b w:val="0"/>
              </w:rPr>
              <w:t xml:space="preserve"> </w:t>
            </w:r>
            <w:r w:rsidR="00AB54E9">
              <w:rPr>
                <w:rFonts w:ascii="Calibri Light" w:hAnsi="Calibri Light"/>
                <w:b w:val="0"/>
              </w:rPr>
              <w:t xml:space="preserve">por un lado, </w:t>
            </w:r>
            <w:r w:rsidR="00D62F02">
              <w:rPr>
                <w:rFonts w:ascii="Calibri Light" w:hAnsi="Calibri Light"/>
                <w:b w:val="0"/>
              </w:rPr>
              <w:t>establecer si el derecho del que se trata el caso se deriva de la Carta de la Organización de Estados Americanos (en adelante, OEA</w:t>
            </w:r>
            <w:r w:rsidR="005F4AE9">
              <w:rPr>
                <w:rFonts w:ascii="Calibri Light" w:hAnsi="Calibri Light"/>
                <w:b w:val="0"/>
              </w:rPr>
              <w:t>)</w:t>
            </w:r>
            <w:r w:rsidR="00AB54E9">
              <w:rPr>
                <w:rFonts w:ascii="Calibri Light" w:hAnsi="Calibri Light"/>
                <w:b w:val="0"/>
              </w:rPr>
              <w:t>. Por otro,</w:t>
            </w:r>
            <w:r w:rsidR="00D62F02">
              <w:rPr>
                <w:rFonts w:ascii="Calibri Light" w:hAnsi="Calibri Light"/>
                <w:b w:val="0"/>
              </w:rPr>
              <w:t xml:space="preserve"> corresponde determinar si el Estado en cuestión incumplió la obligación de lograr progresivamente la plena efectividad de tal derecho, o </w:t>
            </w:r>
            <w:r w:rsidR="00AB54E9">
              <w:rPr>
                <w:rFonts w:ascii="Calibri Light" w:hAnsi="Calibri Light"/>
                <w:b w:val="0"/>
              </w:rPr>
              <w:t xml:space="preserve">las </w:t>
            </w:r>
            <w:r w:rsidR="00D62F02">
              <w:rPr>
                <w:rFonts w:ascii="Calibri Light" w:hAnsi="Calibri Light"/>
                <w:b w:val="0"/>
              </w:rPr>
              <w:t>obligaciones generales de respetar y de garantizar el mismo.</w:t>
            </w:r>
            <w:r w:rsidR="007E0A1E">
              <w:rPr>
                <w:rFonts w:ascii="Calibri Light" w:hAnsi="Calibri Light"/>
                <w:b w:val="0"/>
              </w:rPr>
              <w:t xml:space="preserve"> </w:t>
            </w:r>
            <w:r w:rsidR="00496E15">
              <w:rPr>
                <w:rFonts w:ascii="Calibri Light" w:hAnsi="Calibri Light"/>
                <w:b w:val="0"/>
              </w:rPr>
              <w:t>En ese sentido</w:t>
            </w:r>
            <w:r w:rsidR="005F4AE9">
              <w:rPr>
                <w:rFonts w:ascii="Calibri Light" w:hAnsi="Calibri Light"/>
                <w:b w:val="0"/>
              </w:rPr>
              <w:t>, la CIDH estableció que de</w:t>
            </w:r>
            <w:r w:rsidR="00067CA0">
              <w:rPr>
                <w:rFonts w:ascii="Calibri Light" w:hAnsi="Calibri Light"/>
                <w:b w:val="0"/>
              </w:rPr>
              <w:t>l artículo 26</w:t>
            </w:r>
            <w:r w:rsidR="005F4AE9">
              <w:rPr>
                <w:rFonts w:ascii="Calibri Light" w:hAnsi="Calibri Light"/>
                <w:b w:val="0"/>
              </w:rPr>
              <w:t>,</w:t>
            </w:r>
            <w:r w:rsidR="00067CA0">
              <w:rPr>
                <w:rFonts w:ascii="Calibri Light" w:hAnsi="Calibri Light"/>
                <w:b w:val="0"/>
              </w:rPr>
              <w:t xml:space="preserve"> </w:t>
            </w:r>
            <w:r w:rsidR="000E5808">
              <w:rPr>
                <w:rFonts w:ascii="Calibri Light" w:hAnsi="Calibri Light"/>
                <w:b w:val="0"/>
              </w:rPr>
              <w:t xml:space="preserve">interpretado a la luz del principio </w:t>
            </w:r>
            <w:r w:rsidR="000E5808" w:rsidRPr="00AB54E9">
              <w:rPr>
                <w:rFonts w:ascii="Calibri Light" w:hAnsi="Calibri Light"/>
                <w:b w:val="0"/>
                <w:i/>
              </w:rPr>
              <w:t>pro persona</w:t>
            </w:r>
            <w:r w:rsidR="000E5808">
              <w:rPr>
                <w:rFonts w:ascii="Calibri Light" w:hAnsi="Calibri Light"/>
                <w:b w:val="0"/>
                <w:i/>
              </w:rPr>
              <w:t xml:space="preserve">, </w:t>
            </w:r>
            <w:r w:rsidR="000E5808">
              <w:rPr>
                <w:rFonts w:ascii="Calibri Light" w:hAnsi="Calibri Light"/>
                <w:b w:val="0"/>
              </w:rPr>
              <w:t xml:space="preserve">reconocido en el </w:t>
            </w:r>
            <w:r w:rsidR="00067CA0">
              <w:rPr>
                <w:rFonts w:ascii="Calibri Light" w:hAnsi="Calibri Light"/>
                <w:b w:val="0"/>
              </w:rPr>
              <w:t>artículo 29 de la CA</w:t>
            </w:r>
            <w:r w:rsidR="00FB5C32">
              <w:rPr>
                <w:rFonts w:ascii="Calibri Light" w:hAnsi="Calibri Light"/>
                <w:b w:val="0"/>
              </w:rPr>
              <w:t>DH</w:t>
            </w:r>
            <w:r w:rsidR="004058C7">
              <w:rPr>
                <w:rFonts w:ascii="Calibri Light" w:hAnsi="Calibri Light"/>
                <w:b w:val="0"/>
              </w:rPr>
              <w:t xml:space="preserve">, </w:t>
            </w:r>
            <w:r w:rsidR="005F4AE9">
              <w:rPr>
                <w:rFonts w:ascii="Calibri Light" w:hAnsi="Calibri Light"/>
                <w:b w:val="0"/>
              </w:rPr>
              <w:t>se desprenden</w:t>
            </w:r>
            <w:r w:rsidR="004058C7">
              <w:rPr>
                <w:rFonts w:ascii="Calibri Light" w:hAnsi="Calibri Light"/>
                <w:b w:val="0"/>
              </w:rPr>
              <w:t xml:space="preserve"> las siguientes obligaciones: i) obligaciones generales de respeto y garantía, ii) </w:t>
            </w:r>
            <w:r w:rsidR="000E5808">
              <w:rPr>
                <w:rFonts w:ascii="Calibri Light" w:hAnsi="Calibri Light"/>
                <w:b w:val="0"/>
              </w:rPr>
              <w:t xml:space="preserve">la </w:t>
            </w:r>
            <w:r w:rsidR="004058C7">
              <w:rPr>
                <w:rFonts w:ascii="Calibri Light" w:hAnsi="Calibri Light"/>
                <w:b w:val="0"/>
              </w:rPr>
              <w:t xml:space="preserve">aplicación del principio de no discriminación a los </w:t>
            </w:r>
            <w:r w:rsidR="00A3617F">
              <w:rPr>
                <w:rFonts w:ascii="Calibri Light" w:hAnsi="Calibri Light"/>
                <w:b w:val="0"/>
              </w:rPr>
              <w:t xml:space="preserve">DESC, iii) </w:t>
            </w:r>
            <w:r w:rsidR="000E5808">
              <w:rPr>
                <w:rFonts w:ascii="Calibri Light" w:hAnsi="Calibri Light"/>
                <w:b w:val="0"/>
              </w:rPr>
              <w:t xml:space="preserve">las </w:t>
            </w:r>
            <w:r w:rsidR="00A3617F">
              <w:rPr>
                <w:rFonts w:ascii="Calibri Light" w:hAnsi="Calibri Light"/>
                <w:b w:val="0"/>
              </w:rPr>
              <w:t xml:space="preserve">obligaciones de dar pasos o adoptar medidas para lograr el goce de los </w:t>
            </w:r>
            <w:r w:rsidR="005F4AE9">
              <w:rPr>
                <w:rFonts w:ascii="Calibri Light" w:hAnsi="Calibri Light"/>
                <w:b w:val="0"/>
              </w:rPr>
              <w:t>DESC</w:t>
            </w:r>
            <w:r w:rsidR="00A3617F">
              <w:rPr>
                <w:rFonts w:ascii="Calibri Light" w:hAnsi="Calibri Light"/>
                <w:b w:val="0"/>
              </w:rPr>
              <w:t>, y iv) ofrecer recursos idóneos y efectivos para su protección.</w:t>
            </w:r>
          </w:p>
          <w:p w14:paraId="65AFADF8" w14:textId="77777777" w:rsidR="00CA1B21" w:rsidRDefault="00CA1B21" w:rsidP="007E0A1E">
            <w:pPr>
              <w:spacing w:after="0" w:line="240" w:lineRule="auto"/>
              <w:jc w:val="both"/>
              <w:rPr>
                <w:rFonts w:ascii="Calibri Light" w:hAnsi="Calibri Light"/>
                <w:b w:val="0"/>
              </w:rPr>
            </w:pPr>
          </w:p>
          <w:p w14:paraId="0D876790" w14:textId="6331CBB7" w:rsidR="005F4AE9" w:rsidRPr="003018EE" w:rsidRDefault="00CA1B21" w:rsidP="007E0A1E">
            <w:pPr>
              <w:spacing w:after="0" w:line="240" w:lineRule="auto"/>
              <w:jc w:val="both"/>
              <w:rPr>
                <w:rFonts w:ascii="Calibri Light" w:hAnsi="Calibri Light"/>
                <w:b w:val="0"/>
                <w:u w:val="single"/>
              </w:rPr>
            </w:pPr>
            <w:r w:rsidRPr="003018EE">
              <w:rPr>
                <w:rFonts w:ascii="Calibri Light" w:hAnsi="Calibri Light"/>
                <w:b w:val="0"/>
                <w:u w:val="single"/>
              </w:rPr>
              <w:t>Análisis del presente caso</w:t>
            </w:r>
            <w:r w:rsidR="00A3617F" w:rsidRPr="003018EE">
              <w:rPr>
                <w:rFonts w:ascii="Calibri Light" w:hAnsi="Calibri Light"/>
                <w:b w:val="0"/>
                <w:u w:val="single"/>
              </w:rPr>
              <w:t xml:space="preserve"> </w:t>
            </w:r>
          </w:p>
          <w:p w14:paraId="7C08269D" w14:textId="77777777" w:rsidR="005F4AE9" w:rsidRDefault="005F4AE9">
            <w:pPr>
              <w:spacing w:after="0" w:line="240" w:lineRule="auto"/>
              <w:jc w:val="both"/>
              <w:rPr>
                <w:rFonts w:ascii="Calibri Light" w:hAnsi="Calibri Light"/>
                <w:b w:val="0"/>
              </w:rPr>
            </w:pPr>
          </w:p>
          <w:p w14:paraId="37C2C28B" w14:textId="0F8C19FB" w:rsidR="00E01BE1" w:rsidRDefault="00FC421E">
            <w:pPr>
              <w:spacing w:after="0" w:line="240" w:lineRule="auto"/>
              <w:jc w:val="both"/>
              <w:rPr>
                <w:rFonts w:ascii="Calibri Light" w:hAnsi="Calibri Light"/>
                <w:b w:val="0"/>
              </w:rPr>
            </w:pPr>
            <w:r>
              <w:rPr>
                <w:rFonts w:ascii="Calibri Light" w:hAnsi="Calibri Light"/>
                <w:b w:val="0"/>
              </w:rPr>
              <w:t>L</w:t>
            </w:r>
            <w:r w:rsidR="0051176C">
              <w:rPr>
                <w:rFonts w:ascii="Calibri Light" w:hAnsi="Calibri Light"/>
                <w:b w:val="0"/>
              </w:rPr>
              <w:t xml:space="preserve">a CIDH </w:t>
            </w:r>
            <w:r w:rsidR="00496E15">
              <w:rPr>
                <w:rFonts w:ascii="Calibri Light" w:hAnsi="Calibri Light"/>
                <w:b w:val="0"/>
              </w:rPr>
              <w:t>consideró, en base</w:t>
            </w:r>
            <w:r w:rsidR="00A3617F">
              <w:rPr>
                <w:rFonts w:ascii="Calibri Light" w:hAnsi="Calibri Light"/>
                <w:b w:val="0"/>
              </w:rPr>
              <w:t xml:space="preserve"> los artículos 34</w:t>
            </w:r>
            <w:r w:rsidR="0051176C">
              <w:rPr>
                <w:rFonts w:ascii="Calibri Light" w:hAnsi="Calibri Light"/>
                <w:b w:val="0"/>
              </w:rPr>
              <w:t>.</w:t>
            </w:r>
            <w:r w:rsidR="00A3617F">
              <w:rPr>
                <w:rFonts w:ascii="Calibri Light" w:hAnsi="Calibri Light"/>
                <w:b w:val="0"/>
              </w:rPr>
              <w:t>g) y 45 de la Carta de la OEA</w:t>
            </w:r>
            <w:r w:rsidR="007E0A1E">
              <w:rPr>
                <w:rFonts w:ascii="Calibri Light" w:hAnsi="Calibri Light"/>
                <w:b w:val="0"/>
              </w:rPr>
              <w:t>,</w:t>
            </w:r>
            <w:r w:rsidR="00A3617F">
              <w:rPr>
                <w:rFonts w:ascii="Calibri Light" w:hAnsi="Calibri Light"/>
                <w:b w:val="0"/>
              </w:rPr>
              <w:t xml:space="preserve"> </w:t>
            </w:r>
            <w:r w:rsidR="005B0115">
              <w:rPr>
                <w:rFonts w:ascii="Calibri Light" w:hAnsi="Calibri Light"/>
                <w:b w:val="0"/>
              </w:rPr>
              <w:t>y</w:t>
            </w:r>
            <w:r>
              <w:rPr>
                <w:rFonts w:ascii="Calibri Light" w:hAnsi="Calibri Light"/>
                <w:b w:val="0"/>
              </w:rPr>
              <w:t xml:space="preserve"> </w:t>
            </w:r>
            <w:r w:rsidR="00A3617F">
              <w:rPr>
                <w:rFonts w:ascii="Calibri Light" w:hAnsi="Calibri Light"/>
                <w:b w:val="0"/>
              </w:rPr>
              <w:t>el artículo XIV de la Declaración Americana sobre De</w:t>
            </w:r>
            <w:r w:rsidR="00FB7AC7">
              <w:rPr>
                <w:rFonts w:ascii="Calibri Light" w:hAnsi="Calibri Light"/>
                <w:b w:val="0"/>
              </w:rPr>
              <w:t>rechos y Deberes del Hombre</w:t>
            </w:r>
            <w:r w:rsidR="00496E15">
              <w:rPr>
                <w:rFonts w:ascii="Calibri Light" w:hAnsi="Calibri Light"/>
                <w:b w:val="0"/>
              </w:rPr>
              <w:t>, que el derecho al trabajo se encuentra protegido por el artículo 26 de la CADH y las obligaciones que de este se desprenden</w:t>
            </w:r>
            <w:r w:rsidR="007E0A1E">
              <w:rPr>
                <w:rFonts w:ascii="Calibri Light" w:hAnsi="Calibri Light"/>
                <w:b w:val="0"/>
              </w:rPr>
              <w:t xml:space="preserve">. </w:t>
            </w:r>
            <w:r w:rsidR="00E01BE1">
              <w:rPr>
                <w:rFonts w:ascii="Calibri Light" w:hAnsi="Calibri Light"/>
                <w:b w:val="0"/>
              </w:rPr>
              <w:t xml:space="preserve">Para desarrollar su contenido, hizo referencia a la Observación General No. 18 del Comité DESC, </w:t>
            </w:r>
            <w:r w:rsidR="00A22A83">
              <w:rPr>
                <w:rFonts w:ascii="Calibri Light" w:hAnsi="Calibri Light"/>
                <w:b w:val="0"/>
              </w:rPr>
              <w:t>que establece como elementos de este derecho</w:t>
            </w:r>
            <w:r w:rsidR="00E01BE1">
              <w:rPr>
                <w:rFonts w:ascii="Calibri Light" w:hAnsi="Calibri Light"/>
                <w:b w:val="0"/>
              </w:rPr>
              <w:t xml:space="preserve"> a la disponibilidad, la accesibilidad, y la aceptabilidad y calidad. </w:t>
            </w:r>
            <w:r w:rsidR="00A22A83">
              <w:rPr>
                <w:rFonts w:ascii="Calibri Light" w:hAnsi="Calibri Light"/>
                <w:b w:val="0"/>
              </w:rPr>
              <w:t xml:space="preserve">La CIDH destacó la importancia de este último estándar para el caso, indicando que este implica que el trabajador tenga, entre otros, derecho a condiciones justas y favorables en el trabajo, en especial condiciones laborales seguras, y pueda elegir y aceptar libremente el empleo. </w:t>
            </w:r>
          </w:p>
          <w:p w14:paraId="4B665716" w14:textId="77777777" w:rsidR="007E0A1E" w:rsidRDefault="007E0A1E">
            <w:pPr>
              <w:spacing w:after="0" w:line="240" w:lineRule="auto"/>
              <w:jc w:val="both"/>
              <w:rPr>
                <w:rFonts w:ascii="Calibri Light" w:hAnsi="Calibri Light"/>
                <w:b w:val="0"/>
              </w:rPr>
            </w:pPr>
          </w:p>
          <w:p w14:paraId="4971F8A3" w14:textId="67BB61D2" w:rsidR="00CC2A49" w:rsidRDefault="004D2CEF">
            <w:pPr>
              <w:spacing w:after="0" w:line="240" w:lineRule="auto"/>
              <w:jc w:val="both"/>
              <w:rPr>
                <w:rFonts w:ascii="Calibri Light" w:hAnsi="Calibri Light"/>
                <w:b w:val="0"/>
              </w:rPr>
            </w:pPr>
            <w:r>
              <w:rPr>
                <w:rFonts w:ascii="Calibri Light" w:hAnsi="Calibri Light"/>
                <w:b w:val="0"/>
              </w:rPr>
              <w:t>Asimismo, remarcó que a la luz del deber de garantía, los Estados tienen el deber de prevenir la violación de los derechos contenidos en el artículo 26 de la CADH en el contexto empresarial</w:t>
            </w:r>
            <w:r w:rsidR="00CC2A49">
              <w:rPr>
                <w:rFonts w:ascii="Calibri Light" w:hAnsi="Calibri Light"/>
                <w:b w:val="0"/>
              </w:rPr>
              <w:t>, lo que significa que se exija a las empresas actuar con la debida diligencia para identificar, prevenir y mitigar los riesgos de vulneraciones de derechos en sus actividades. Por último, señaló que una obligación básica de los Estados respecto de este derecho e</w:t>
            </w:r>
            <w:r w:rsidR="003E3107">
              <w:rPr>
                <w:rFonts w:ascii="Calibri Light" w:hAnsi="Calibri Light"/>
                <w:b w:val="0"/>
              </w:rPr>
              <w:t>s</w:t>
            </w:r>
            <w:r w:rsidR="00CC2A49">
              <w:rPr>
                <w:rFonts w:ascii="Calibri Light" w:hAnsi="Calibri Light"/>
                <w:b w:val="0"/>
              </w:rPr>
              <w:t xml:space="preserve"> garantizar el acceso al empleo, particularmente para personas grupos desfavorecidos o marginados, entre los cuales se encuentran las personas en situación de pobreza. </w:t>
            </w:r>
          </w:p>
          <w:p w14:paraId="4D778D93" w14:textId="77777777" w:rsidR="00951F51" w:rsidRDefault="00951F51">
            <w:pPr>
              <w:spacing w:after="0" w:line="240" w:lineRule="auto"/>
              <w:jc w:val="both"/>
              <w:rPr>
                <w:rFonts w:ascii="Calibri Light" w:hAnsi="Calibri Light"/>
                <w:b w:val="0"/>
              </w:rPr>
            </w:pPr>
          </w:p>
          <w:p w14:paraId="2C5F22B5" w14:textId="014AE7F5" w:rsidR="00383EE1" w:rsidRDefault="003E3107">
            <w:pPr>
              <w:spacing w:after="0" w:line="240" w:lineRule="auto"/>
              <w:jc w:val="both"/>
              <w:rPr>
                <w:rFonts w:ascii="Calibri Light" w:hAnsi="Calibri Light"/>
                <w:b w:val="0"/>
              </w:rPr>
            </w:pPr>
            <w:r>
              <w:rPr>
                <w:rFonts w:ascii="Calibri Light" w:hAnsi="Calibri Light"/>
                <w:b w:val="0"/>
              </w:rPr>
              <w:t>Respecto del caso en concreto, la CIDH observó que: i) en Santo Antonio de Jesús se vivía una situación general de pobreza; ii) en dicho municipio la fuente principal de trabajo era la fabricación de fuegos artificiales, actividad que se llevaba a cabo de forma riesgosa; y iii)</w:t>
            </w:r>
            <w:r w:rsidR="00FD6C20">
              <w:rPr>
                <w:rFonts w:ascii="Calibri Light" w:hAnsi="Calibri Light"/>
                <w:b w:val="0"/>
              </w:rPr>
              <w:t xml:space="preserve"> el nexo entre estos dos elementos era de tal magnitud que hacía que, dada su condición de pobreza, los habitantes de este municipio no tuvieran otra alternativa más que aceptar un trabajo riesgoso, con baja paga y sin medidas de seguridad adecuadas en las fábricas de fuegos </w:t>
            </w:r>
            <w:r w:rsidR="003018EE">
              <w:rPr>
                <w:rFonts w:ascii="Calibri Light" w:hAnsi="Calibri Light"/>
                <w:b w:val="0"/>
              </w:rPr>
              <w:t>artificiales</w:t>
            </w:r>
            <w:r w:rsidR="00FD6C20">
              <w:rPr>
                <w:rFonts w:ascii="Calibri Light" w:hAnsi="Calibri Light"/>
                <w:b w:val="0"/>
              </w:rPr>
              <w:t xml:space="preserve">. </w:t>
            </w:r>
            <w:r w:rsidR="003018EE">
              <w:rPr>
                <w:rFonts w:ascii="Calibri Light" w:hAnsi="Calibri Light"/>
                <w:b w:val="0"/>
              </w:rPr>
              <w:t xml:space="preserve">En base a estas consideraciones, la CIDH determinó que las muertes y lesiones provocadas por la explosión de la fábrica fueron consecuencia del abandono e indiferencia del Estado que, a pesar de tener conocimiento de la situación, no adoptó </w:t>
            </w:r>
            <w:r w:rsidR="003018EE">
              <w:rPr>
                <w:rFonts w:ascii="Calibri Light" w:hAnsi="Calibri Light"/>
                <w:b w:val="0"/>
              </w:rPr>
              <w:lastRenderedPageBreak/>
              <w:t>medidas para satisfacer los contenidos más mínimos del derecho al trabajo de los habitantes del municipio. La CIDH también consideró que</w:t>
            </w:r>
            <w:r w:rsidR="00383EE1">
              <w:rPr>
                <w:rFonts w:ascii="Calibri Light" w:hAnsi="Calibri Light"/>
                <w:b w:val="0"/>
              </w:rPr>
              <w:t xml:space="preserve"> el Estado</w:t>
            </w:r>
            <w:r w:rsidR="003018EE">
              <w:rPr>
                <w:rFonts w:ascii="Calibri Light" w:hAnsi="Calibri Light"/>
                <w:b w:val="0"/>
              </w:rPr>
              <w:t xml:space="preserve"> había incumplido con sus obligaciones de fiscalización y supervisión, al no requerir a las empresas medidas de debida diligencia. De igual forma, señaló que al permitir que niños y niñas trabajen en una actividad peligrosa, se había violado el derecho al trabajo en relación a </w:t>
            </w:r>
            <w:r w:rsidR="00383EE1">
              <w:rPr>
                <w:rFonts w:ascii="Calibri Light" w:hAnsi="Calibri Light"/>
                <w:b w:val="0"/>
              </w:rPr>
              <w:t>su deber de</w:t>
            </w:r>
            <w:r w:rsidR="003018EE">
              <w:rPr>
                <w:rFonts w:ascii="Calibri Light" w:hAnsi="Calibri Light"/>
                <w:b w:val="0"/>
              </w:rPr>
              <w:t xml:space="preserve"> protección a la infancia.</w:t>
            </w:r>
          </w:p>
          <w:p w14:paraId="62927EDD" w14:textId="42D6447A" w:rsidR="007A512E" w:rsidRDefault="003018EE">
            <w:pPr>
              <w:spacing w:after="0" w:line="240" w:lineRule="auto"/>
              <w:jc w:val="both"/>
              <w:rPr>
                <w:rFonts w:ascii="Calibri Light" w:hAnsi="Calibri Light"/>
                <w:b w:val="0"/>
              </w:rPr>
            </w:pPr>
            <w:r>
              <w:rPr>
                <w:rFonts w:ascii="Calibri Light" w:hAnsi="Calibri Light"/>
                <w:b w:val="0"/>
              </w:rPr>
              <w:t xml:space="preserve"> </w:t>
            </w:r>
          </w:p>
          <w:p w14:paraId="66A07F31" w14:textId="09E3DAE7" w:rsidR="00C21AB2" w:rsidRPr="001541A3" w:rsidRDefault="00C21AB2">
            <w:pPr>
              <w:spacing w:after="0" w:line="240" w:lineRule="auto"/>
              <w:jc w:val="both"/>
              <w:rPr>
                <w:rFonts w:ascii="Calibri Light" w:hAnsi="Calibri Light"/>
                <w:b w:val="0"/>
              </w:rPr>
            </w:pPr>
            <w:r>
              <w:rPr>
                <w:rFonts w:ascii="Calibri Light" w:hAnsi="Calibri Light"/>
                <w:b w:val="0"/>
              </w:rPr>
              <w:t>Por ello, la CIDH declaró que el Estado brasileño fue responsable de la violación del artículo 26</w:t>
            </w:r>
            <w:r w:rsidR="005E4708">
              <w:rPr>
                <w:rFonts w:ascii="Calibri Light" w:hAnsi="Calibri Light"/>
                <w:b w:val="0"/>
              </w:rPr>
              <w:t xml:space="preserve"> de la CADH</w:t>
            </w:r>
            <w:r>
              <w:rPr>
                <w:rFonts w:ascii="Calibri Light" w:hAnsi="Calibri Light"/>
                <w:b w:val="0"/>
              </w:rPr>
              <w:t xml:space="preserve">, en relación a </w:t>
            </w:r>
            <w:r w:rsidR="005E4708">
              <w:rPr>
                <w:rFonts w:ascii="Calibri Light" w:hAnsi="Calibri Light"/>
                <w:b w:val="0"/>
              </w:rPr>
              <w:t xml:space="preserve">sus </w:t>
            </w:r>
            <w:r>
              <w:rPr>
                <w:rFonts w:ascii="Calibri Light" w:hAnsi="Calibri Light"/>
                <w:b w:val="0"/>
              </w:rPr>
              <w:t xml:space="preserve">artículos 1.1 y 2, </w:t>
            </w:r>
            <w:r w:rsidR="005E4708">
              <w:rPr>
                <w:rFonts w:ascii="Calibri Light" w:hAnsi="Calibri Light"/>
                <w:b w:val="0"/>
              </w:rPr>
              <w:t xml:space="preserve">en perjuicio de las víctimas de la explosión de la Fábrica de Fuegos. Igualmente, estableció que </w:t>
            </w:r>
            <w:r>
              <w:rPr>
                <w:rFonts w:ascii="Calibri Light" w:hAnsi="Calibri Light"/>
                <w:b w:val="0"/>
              </w:rPr>
              <w:t xml:space="preserve">el artículo 19 </w:t>
            </w:r>
            <w:r w:rsidR="005E4708">
              <w:rPr>
                <w:rFonts w:ascii="Calibri Light" w:hAnsi="Calibri Light"/>
                <w:b w:val="0"/>
              </w:rPr>
              <w:t xml:space="preserve">de este tratado había sido violado </w:t>
            </w:r>
            <w:r>
              <w:rPr>
                <w:rFonts w:ascii="Calibri Light" w:hAnsi="Calibri Light"/>
                <w:b w:val="0"/>
              </w:rPr>
              <w:t>en el caso de los niños y niñas</w:t>
            </w:r>
            <w:r w:rsidR="005E4708">
              <w:rPr>
                <w:rFonts w:ascii="Calibri Light" w:hAnsi="Calibri Light"/>
                <w:b w:val="0"/>
              </w:rPr>
              <w:t xml:space="preserve"> que fueron víctimas</w:t>
            </w:r>
            <w:r>
              <w:rPr>
                <w:rFonts w:ascii="Calibri Light" w:hAnsi="Calibri Light"/>
                <w:b w:val="0"/>
              </w:rPr>
              <w:t>. Además, declaró la violación de los artículos 24 y 1.1 del mismo instrumento en perjuicio de estos.</w:t>
            </w:r>
          </w:p>
          <w:p w14:paraId="363C7024" w14:textId="77777777" w:rsidR="003329AE" w:rsidRDefault="003329AE">
            <w:pPr>
              <w:spacing w:after="0" w:line="240" w:lineRule="auto"/>
              <w:jc w:val="both"/>
              <w:rPr>
                <w:rFonts w:ascii="Calibri Light" w:hAnsi="Calibri Light"/>
              </w:rPr>
            </w:pPr>
          </w:p>
          <w:p w14:paraId="47A6D9CA" w14:textId="77777777" w:rsidR="00524C7F" w:rsidRDefault="00BB2B1C">
            <w:pPr>
              <w:spacing w:after="0" w:line="240" w:lineRule="auto"/>
              <w:jc w:val="both"/>
              <w:rPr>
                <w:rFonts w:ascii="Calibri Light" w:hAnsi="Calibri Light"/>
              </w:rPr>
            </w:pPr>
            <w:r>
              <w:rPr>
                <w:rFonts w:ascii="Calibri Light" w:hAnsi="Calibri Light"/>
              </w:rPr>
              <w:t>Derechos a las garantías judiciales y a la protección judicial</w:t>
            </w:r>
          </w:p>
          <w:p w14:paraId="66FDE383" w14:textId="77777777" w:rsidR="00731459" w:rsidRDefault="00731459">
            <w:pPr>
              <w:spacing w:after="0" w:line="240" w:lineRule="auto"/>
              <w:jc w:val="both"/>
              <w:rPr>
                <w:rFonts w:ascii="Calibri Light" w:hAnsi="Calibri Light"/>
              </w:rPr>
            </w:pPr>
          </w:p>
          <w:p w14:paraId="5770AB7F" w14:textId="71CFD276" w:rsidR="00E270C9" w:rsidRDefault="001E47F3">
            <w:pPr>
              <w:spacing w:after="0" w:line="240" w:lineRule="auto"/>
              <w:jc w:val="both"/>
              <w:rPr>
                <w:rFonts w:ascii="Calibri Light" w:hAnsi="Calibri Light"/>
                <w:b w:val="0"/>
              </w:rPr>
            </w:pPr>
            <w:r>
              <w:rPr>
                <w:rFonts w:ascii="Calibri Light" w:hAnsi="Calibri Light"/>
                <w:b w:val="0"/>
              </w:rPr>
              <w:t>Del artículo 25</w:t>
            </w:r>
            <w:r w:rsidR="00BC2E2C">
              <w:rPr>
                <w:rFonts w:ascii="Calibri Light" w:hAnsi="Calibri Light"/>
                <w:b w:val="0"/>
              </w:rPr>
              <w:t xml:space="preserve"> de la CADH</w:t>
            </w:r>
            <w:r>
              <w:rPr>
                <w:rFonts w:ascii="Calibri Light" w:hAnsi="Calibri Light"/>
                <w:b w:val="0"/>
              </w:rPr>
              <w:t xml:space="preserve"> nace </w:t>
            </w:r>
            <w:r w:rsidR="00D31641">
              <w:rPr>
                <w:rFonts w:ascii="Calibri Light" w:hAnsi="Calibri Light"/>
                <w:b w:val="0"/>
              </w:rPr>
              <w:t>la obligación de actuar con la debida diligencia</w:t>
            </w:r>
            <w:r>
              <w:rPr>
                <w:rFonts w:ascii="Calibri Light" w:hAnsi="Calibri Light"/>
                <w:b w:val="0"/>
              </w:rPr>
              <w:t xml:space="preserve"> del Estado, que</w:t>
            </w:r>
            <w:r w:rsidR="00D31641">
              <w:rPr>
                <w:rFonts w:ascii="Calibri Light" w:hAnsi="Calibri Light"/>
                <w:b w:val="0"/>
              </w:rPr>
              <w:t xml:space="preserve"> comprende facilitar el acceso a recursos judiciales idóneos y efectivos frente a una violación de derechos humanos</w:t>
            </w:r>
            <w:r w:rsidR="00BC2E2C">
              <w:rPr>
                <w:rFonts w:ascii="Calibri Light" w:hAnsi="Calibri Light"/>
                <w:b w:val="0"/>
              </w:rPr>
              <w:t>. A</w:t>
            </w:r>
            <w:r>
              <w:rPr>
                <w:rFonts w:ascii="Calibri Light" w:hAnsi="Calibri Light"/>
                <w:b w:val="0"/>
              </w:rPr>
              <w:t>simismo, en la práctica de estos recursos deberá respetarse el derecho de toda persona a ser oída con las debidas garantías y dentro de un plazo razonable en línea con el artículo 8.1</w:t>
            </w:r>
            <w:r w:rsidR="00BC2E2C">
              <w:rPr>
                <w:rFonts w:ascii="Calibri Light" w:hAnsi="Calibri Light"/>
                <w:b w:val="0"/>
              </w:rPr>
              <w:t xml:space="preserve"> de la CADH</w:t>
            </w:r>
            <w:r>
              <w:rPr>
                <w:rFonts w:ascii="Calibri Light" w:hAnsi="Calibri Light"/>
                <w:b w:val="0"/>
              </w:rPr>
              <w:t xml:space="preserve">. </w:t>
            </w:r>
            <w:r w:rsidR="00D135EC">
              <w:rPr>
                <w:rFonts w:ascii="Calibri Light" w:hAnsi="Calibri Light"/>
                <w:b w:val="0"/>
              </w:rPr>
              <w:t>E</w:t>
            </w:r>
            <w:r w:rsidR="00E270C9">
              <w:rPr>
                <w:rFonts w:ascii="Calibri Light" w:hAnsi="Calibri Light"/>
                <w:b w:val="0"/>
              </w:rPr>
              <w:t>l plazo razonable</w:t>
            </w:r>
            <w:r w:rsidR="00D135EC">
              <w:rPr>
                <w:rFonts w:ascii="Calibri Light" w:hAnsi="Calibri Light"/>
                <w:b w:val="0"/>
              </w:rPr>
              <w:t xml:space="preserve"> debe ser analizado</w:t>
            </w:r>
            <w:r w:rsidR="00E270C9">
              <w:rPr>
                <w:rFonts w:ascii="Calibri Light" w:hAnsi="Calibri Light"/>
                <w:b w:val="0"/>
              </w:rPr>
              <w:t xml:space="preserve"> en función a cuatro elementos: </w:t>
            </w:r>
            <w:r w:rsidR="00197193">
              <w:rPr>
                <w:rFonts w:ascii="Calibri Light" w:hAnsi="Calibri Light"/>
                <w:b w:val="0"/>
              </w:rPr>
              <w:t>i</w:t>
            </w:r>
            <w:r w:rsidR="00E270C9">
              <w:rPr>
                <w:rFonts w:ascii="Calibri Light" w:hAnsi="Calibri Light"/>
                <w:b w:val="0"/>
              </w:rPr>
              <w:t>) la complejidad del asunto</w:t>
            </w:r>
            <w:r w:rsidR="0074252B">
              <w:rPr>
                <w:rFonts w:ascii="Calibri Light" w:hAnsi="Calibri Light"/>
                <w:b w:val="0"/>
              </w:rPr>
              <w:t xml:space="preserve">; </w:t>
            </w:r>
            <w:r w:rsidR="00197193">
              <w:rPr>
                <w:rFonts w:ascii="Calibri Light" w:hAnsi="Calibri Light"/>
                <w:b w:val="0"/>
              </w:rPr>
              <w:t>i</w:t>
            </w:r>
            <w:r w:rsidR="00E270C9">
              <w:rPr>
                <w:rFonts w:ascii="Calibri Light" w:hAnsi="Calibri Light"/>
                <w:b w:val="0"/>
              </w:rPr>
              <w:t>) la activi</w:t>
            </w:r>
            <w:r w:rsidR="0074252B">
              <w:rPr>
                <w:rFonts w:ascii="Calibri Light" w:hAnsi="Calibri Light"/>
                <w:b w:val="0"/>
              </w:rPr>
              <w:t>dad procesal de los interesados;</w:t>
            </w:r>
            <w:r w:rsidR="00E270C9">
              <w:rPr>
                <w:rFonts w:ascii="Calibri Light" w:hAnsi="Calibri Light"/>
                <w:b w:val="0"/>
              </w:rPr>
              <w:t xml:space="preserve"> </w:t>
            </w:r>
            <w:r w:rsidR="00197193">
              <w:rPr>
                <w:rFonts w:ascii="Calibri Light" w:hAnsi="Calibri Light"/>
                <w:b w:val="0"/>
              </w:rPr>
              <w:t>iii</w:t>
            </w:r>
            <w:r w:rsidR="00E270C9">
              <w:rPr>
                <w:rFonts w:ascii="Calibri Light" w:hAnsi="Calibri Light"/>
                <w:b w:val="0"/>
              </w:rPr>
              <w:t>) la conduct</w:t>
            </w:r>
            <w:r w:rsidR="0074252B">
              <w:rPr>
                <w:rFonts w:ascii="Calibri Light" w:hAnsi="Calibri Light"/>
                <w:b w:val="0"/>
              </w:rPr>
              <w:t>a de las autoridades judiciales;</w:t>
            </w:r>
            <w:r w:rsidR="00E270C9">
              <w:rPr>
                <w:rFonts w:ascii="Calibri Light" w:hAnsi="Calibri Light"/>
                <w:b w:val="0"/>
              </w:rPr>
              <w:t xml:space="preserve"> y </w:t>
            </w:r>
            <w:r w:rsidR="00197193">
              <w:rPr>
                <w:rFonts w:ascii="Calibri Light" w:hAnsi="Calibri Light"/>
                <w:b w:val="0"/>
              </w:rPr>
              <w:t>iv</w:t>
            </w:r>
            <w:r w:rsidR="00E270C9">
              <w:rPr>
                <w:rFonts w:ascii="Calibri Light" w:hAnsi="Calibri Light"/>
                <w:b w:val="0"/>
              </w:rPr>
              <w:t>) la afectación generada en la situación jurídica de la persona involucrada en el proceso.</w:t>
            </w:r>
            <w:r w:rsidR="0074252B">
              <w:rPr>
                <w:rFonts w:ascii="Calibri Light" w:hAnsi="Calibri Light"/>
                <w:b w:val="0"/>
              </w:rPr>
              <w:t xml:space="preserve"> </w:t>
            </w:r>
            <w:r w:rsidR="007E0A1E">
              <w:rPr>
                <w:rFonts w:ascii="Calibri Light" w:hAnsi="Calibri Light"/>
                <w:b w:val="0"/>
              </w:rPr>
              <w:t xml:space="preserve">La complejidad no puede usarse como justificación cuando: i) </w:t>
            </w:r>
            <w:r w:rsidR="00197193">
              <w:rPr>
                <w:rFonts w:ascii="Calibri Light" w:hAnsi="Calibri Light"/>
                <w:b w:val="0"/>
              </w:rPr>
              <w:t xml:space="preserve">se hayan </w:t>
            </w:r>
            <w:r w:rsidR="007E0A1E">
              <w:rPr>
                <w:rFonts w:ascii="Calibri Light" w:hAnsi="Calibri Light"/>
                <w:b w:val="0"/>
              </w:rPr>
              <w:t>individualizado de posibles autores, ii) existan testigos, y iii) existan posibles líneas de investigación</w:t>
            </w:r>
          </w:p>
          <w:p w14:paraId="18700506" w14:textId="77777777" w:rsidR="00E270C9" w:rsidRDefault="00E270C9">
            <w:pPr>
              <w:spacing w:after="0" w:line="240" w:lineRule="auto"/>
              <w:jc w:val="both"/>
              <w:rPr>
                <w:rFonts w:ascii="Calibri Light" w:hAnsi="Calibri Light"/>
                <w:b w:val="0"/>
              </w:rPr>
            </w:pPr>
          </w:p>
          <w:p w14:paraId="09477B70" w14:textId="7A9C7C65" w:rsidR="00E270C9" w:rsidRDefault="00E270C9" w:rsidP="00E270C9">
            <w:pPr>
              <w:spacing w:after="0" w:line="240" w:lineRule="auto"/>
              <w:jc w:val="both"/>
              <w:rPr>
                <w:rFonts w:ascii="Calibri Light" w:hAnsi="Calibri Light"/>
                <w:b w:val="0"/>
              </w:rPr>
            </w:pPr>
            <w:r>
              <w:rPr>
                <w:rFonts w:ascii="Calibri Light" w:hAnsi="Calibri Light"/>
                <w:b w:val="0"/>
              </w:rPr>
              <w:t xml:space="preserve">Cuando las violaciones de derechos humanos se den en el marco del desarrollo de actividades empresariales, el Comité </w:t>
            </w:r>
            <w:r w:rsidR="00D135EC">
              <w:rPr>
                <w:rFonts w:ascii="Calibri Light" w:hAnsi="Calibri Light"/>
                <w:b w:val="0"/>
              </w:rPr>
              <w:t>DESC</w:t>
            </w:r>
            <w:r>
              <w:rPr>
                <w:rFonts w:ascii="Calibri Light" w:hAnsi="Calibri Light"/>
                <w:b w:val="0"/>
              </w:rPr>
              <w:t xml:space="preserve"> ha hecho énfasis en el deber de los Estados de proporcionar medios adecuados de reparación a las personas o grupos perjudicados y asegurar la rendición de cuentas de las empresas. En el caso de familiares de víctimas de violaciones de derechos humanos, el estándar les confiere el derecho a que se reparen los perjuicios sufridos por la muerte de sus seres queridos. Sobre la forma en que habrá de dirigirse la investigación para lograr esto último, </w:t>
            </w:r>
            <w:r w:rsidR="00197193">
              <w:rPr>
                <w:rFonts w:ascii="Calibri Light" w:hAnsi="Calibri Light"/>
                <w:b w:val="0"/>
              </w:rPr>
              <w:t>se</w:t>
            </w:r>
            <w:r>
              <w:rPr>
                <w:rFonts w:ascii="Calibri Light" w:hAnsi="Calibri Light"/>
                <w:b w:val="0"/>
              </w:rPr>
              <w:t xml:space="preserve"> ha determinado que </w:t>
            </w:r>
            <w:r w:rsidR="00BC2E2C">
              <w:rPr>
                <w:rFonts w:ascii="Calibri Light" w:hAnsi="Calibri Light"/>
                <w:b w:val="0"/>
              </w:rPr>
              <w:t xml:space="preserve">esta </w:t>
            </w:r>
            <w:r>
              <w:rPr>
                <w:rFonts w:ascii="Calibri Light" w:hAnsi="Calibri Light"/>
                <w:b w:val="0"/>
              </w:rPr>
              <w:t>deberá ser de oficio, inmediata, exhaustiva, seria e imparcial.</w:t>
            </w:r>
          </w:p>
          <w:p w14:paraId="3FD0C900" w14:textId="77777777" w:rsidR="00A56148" w:rsidRDefault="00A56148" w:rsidP="00E270C9">
            <w:pPr>
              <w:spacing w:after="0" w:line="240" w:lineRule="auto"/>
              <w:jc w:val="both"/>
              <w:rPr>
                <w:rFonts w:ascii="Calibri Light" w:hAnsi="Calibri Light"/>
                <w:b w:val="0"/>
                <w:u w:val="single"/>
              </w:rPr>
            </w:pPr>
          </w:p>
          <w:p w14:paraId="47BBE1C3" w14:textId="5EFB6FCD" w:rsidR="00A56148" w:rsidRDefault="00BC2E2C" w:rsidP="00E270C9">
            <w:pPr>
              <w:spacing w:after="0" w:line="240" w:lineRule="auto"/>
              <w:jc w:val="both"/>
              <w:rPr>
                <w:rFonts w:ascii="Calibri Light" w:hAnsi="Calibri Light"/>
                <w:b w:val="0"/>
              </w:rPr>
            </w:pPr>
            <w:r>
              <w:rPr>
                <w:rFonts w:ascii="Calibri Light" w:hAnsi="Calibri Light"/>
                <w:b w:val="0"/>
              </w:rPr>
              <w:t>En este caso, l</w:t>
            </w:r>
            <w:r w:rsidR="006F0CC3">
              <w:rPr>
                <w:rFonts w:ascii="Calibri Light" w:hAnsi="Calibri Light"/>
                <w:b w:val="0"/>
              </w:rPr>
              <w:t>a CIDH evaluó el cumplimiento de los estándares citados en cada uno de los procesos seguidos en sede interna. Respecto a los procesos penales, consideró que, contrario a lo que sostenía el Estado, el gran número de víctimas no era el motivo de la demora de estos procesos, ya que el caso versa</w:t>
            </w:r>
            <w:r w:rsidR="00FD5090">
              <w:rPr>
                <w:rFonts w:ascii="Calibri Light" w:hAnsi="Calibri Light"/>
                <w:b w:val="0"/>
              </w:rPr>
              <w:t>ba</w:t>
            </w:r>
            <w:r w:rsidR="006F0CC3">
              <w:rPr>
                <w:rFonts w:ascii="Calibri Light" w:hAnsi="Calibri Light"/>
                <w:b w:val="0"/>
              </w:rPr>
              <w:t xml:space="preserve"> sobre un solo hecho generador y no exist</w:t>
            </w:r>
            <w:r w:rsidR="00FD5090">
              <w:rPr>
                <w:rFonts w:ascii="Calibri Light" w:hAnsi="Calibri Light"/>
                <w:b w:val="0"/>
              </w:rPr>
              <w:t>ía</w:t>
            </w:r>
            <w:r w:rsidR="006F0CC3">
              <w:rPr>
                <w:rFonts w:ascii="Calibri Light" w:hAnsi="Calibri Light"/>
                <w:b w:val="0"/>
              </w:rPr>
              <w:t xml:space="preserve"> duda sobre el nexo causal entre la explosión</w:t>
            </w:r>
            <w:r w:rsidR="00D135EC">
              <w:rPr>
                <w:rFonts w:ascii="Calibri Light" w:hAnsi="Calibri Light"/>
                <w:b w:val="0"/>
              </w:rPr>
              <w:t xml:space="preserve">, </w:t>
            </w:r>
            <w:r w:rsidR="006F0CC3">
              <w:rPr>
                <w:rFonts w:ascii="Calibri Light" w:hAnsi="Calibri Light"/>
                <w:b w:val="0"/>
              </w:rPr>
              <w:t xml:space="preserve">las muertes y </w:t>
            </w:r>
            <w:r w:rsidR="00D135EC">
              <w:rPr>
                <w:rFonts w:ascii="Calibri Light" w:hAnsi="Calibri Light"/>
                <w:b w:val="0"/>
              </w:rPr>
              <w:t xml:space="preserve">las </w:t>
            </w:r>
            <w:r w:rsidR="006F0CC3">
              <w:rPr>
                <w:rFonts w:ascii="Calibri Light" w:hAnsi="Calibri Light"/>
                <w:b w:val="0"/>
              </w:rPr>
              <w:t xml:space="preserve">lesiones de las víctimas. Por otro lado, no se acreditó que hubiera algún tipo de comportamiento por parte de los familiares de las víctimas que entorpeciera el proceso. Acerca de la conducta de las autoridades judiciales, </w:t>
            </w:r>
            <w:r w:rsidR="00152DC6">
              <w:rPr>
                <w:rFonts w:ascii="Calibri Light" w:hAnsi="Calibri Light"/>
                <w:b w:val="0"/>
              </w:rPr>
              <w:t xml:space="preserve">la CIDH observó una demora significativa por lapsos de inactividad, traslados ocasionados por decisiones relativas a la competencia, y en general </w:t>
            </w:r>
            <w:r>
              <w:rPr>
                <w:rFonts w:ascii="Calibri Light" w:hAnsi="Calibri Light"/>
                <w:b w:val="0"/>
              </w:rPr>
              <w:t xml:space="preserve">una </w:t>
            </w:r>
            <w:r w:rsidR="00152DC6">
              <w:rPr>
                <w:rFonts w:ascii="Calibri Light" w:hAnsi="Calibri Light"/>
                <w:b w:val="0"/>
              </w:rPr>
              <w:t>demora en la resolución de los recursos.</w:t>
            </w:r>
            <w:r w:rsidR="00491365">
              <w:rPr>
                <w:rFonts w:ascii="Calibri Light" w:hAnsi="Calibri Light"/>
                <w:b w:val="0"/>
              </w:rPr>
              <w:t xml:space="preserve"> Asimismo, llam</w:t>
            </w:r>
            <w:r w:rsidR="00D135EC">
              <w:rPr>
                <w:rFonts w:ascii="Calibri Light" w:hAnsi="Calibri Light"/>
                <w:b w:val="0"/>
              </w:rPr>
              <w:t>ó</w:t>
            </w:r>
            <w:r w:rsidR="00491365">
              <w:rPr>
                <w:rFonts w:ascii="Calibri Light" w:hAnsi="Calibri Light"/>
                <w:b w:val="0"/>
              </w:rPr>
              <w:t xml:space="preserve"> la atención sobre el hecho</w:t>
            </w:r>
            <w:r>
              <w:rPr>
                <w:rFonts w:ascii="Calibri Light" w:hAnsi="Calibri Light"/>
                <w:b w:val="0"/>
              </w:rPr>
              <w:t xml:space="preserve"> de</w:t>
            </w:r>
            <w:r w:rsidR="00491365">
              <w:rPr>
                <w:rFonts w:ascii="Calibri Light" w:hAnsi="Calibri Light"/>
                <w:b w:val="0"/>
              </w:rPr>
              <w:t xml:space="preserve"> que los procesos penales solo fueran iniciados contra actores no estatales vinculados a la Fábrica de Fuegos, m</w:t>
            </w:r>
            <w:r w:rsidR="00FD5090">
              <w:rPr>
                <w:rFonts w:ascii="Calibri Light" w:hAnsi="Calibri Light"/>
                <w:b w:val="0"/>
              </w:rPr>
              <w:t>a</w:t>
            </w:r>
            <w:r w:rsidR="00491365">
              <w:rPr>
                <w:rFonts w:ascii="Calibri Light" w:hAnsi="Calibri Light"/>
                <w:b w:val="0"/>
              </w:rPr>
              <w:t xml:space="preserve">s no contra los funcionarios </w:t>
            </w:r>
            <w:r w:rsidR="00F32844">
              <w:rPr>
                <w:rFonts w:ascii="Calibri Light" w:hAnsi="Calibri Light"/>
                <w:b w:val="0"/>
              </w:rPr>
              <w:t>encargados de la supervisión y fiscalización de las actividades que esta desarrollaba.</w:t>
            </w:r>
          </w:p>
          <w:p w14:paraId="0DD0CABD" w14:textId="77777777" w:rsidR="00F32844" w:rsidRDefault="00F32844" w:rsidP="00E270C9">
            <w:pPr>
              <w:spacing w:after="0" w:line="240" w:lineRule="auto"/>
              <w:jc w:val="both"/>
              <w:rPr>
                <w:rFonts w:ascii="Calibri Light" w:hAnsi="Calibri Light"/>
                <w:b w:val="0"/>
              </w:rPr>
            </w:pPr>
          </w:p>
          <w:p w14:paraId="1DFE606C" w14:textId="310DCEAB" w:rsidR="00F32844" w:rsidRDefault="00A15260" w:rsidP="00E270C9">
            <w:pPr>
              <w:spacing w:after="0" w:line="240" w:lineRule="auto"/>
              <w:jc w:val="both"/>
              <w:rPr>
                <w:rFonts w:ascii="Calibri Light" w:hAnsi="Calibri Light"/>
                <w:b w:val="0"/>
              </w:rPr>
            </w:pPr>
            <w:r>
              <w:rPr>
                <w:rFonts w:ascii="Calibri Light" w:hAnsi="Calibri Light"/>
                <w:b w:val="0"/>
              </w:rPr>
              <w:t>Sobre el primer proceso civil</w:t>
            </w:r>
            <w:r w:rsidR="00F32844">
              <w:rPr>
                <w:rFonts w:ascii="Calibri Light" w:hAnsi="Calibri Light"/>
                <w:b w:val="0"/>
              </w:rPr>
              <w:t xml:space="preserve">, la CIDH nuevamente cuestionó la demora en la resolución de los recursos, resaltando que ninguno había sido resuelto de forma definitiva a la fecha de emisión del informe de fondo, </w:t>
            </w:r>
            <w:r w:rsidR="00466BD1">
              <w:rPr>
                <w:rFonts w:ascii="Calibri Light" w:hAnsi="Calibri Light"/>
                <w:b w:val="0"/>
              </w:rPr>
              <w:t xml:space="preserve">además del perjuicio ocasionado por las demoras en los pagos </w:t>
            </w:r>
            <w:r w:rsidR="00466BD1">
              <w:rPr>
                <w:rFonts w:ascii="Calibri Light" w:hAnsi="Calibri Light"/>
                <w:b w:val="0"/>
              </w:rPr>
              <w:lastRenderedPageBreak/>
              <w:t>de la anticipación de tutela.</w:t>
            </w:r>
            <w:r w:rsidR="00142364">
              <w:rPr>
                <w:rFonts w:ascii="Calibri Light" w:hAnsi="Calibri Light"/>
                <w:b w:val="0"/>
              </w:rPr>
              <w:t xml:space="preserve"> Respecto segundo proceso civil, la CIDH subrayó que no había información disponible sobre el cumplimiento del acuerdo entre los familiares y víctimas y los demandados, y que, de cualquier forma, el tiempo requerido para alcanzar dicho acuer</w:t>
            </w:r>
            <w:r w:rsidR="00321B7F">
              <w:rPr>
                <w:rFonts w:ascii="Calibri Light" w:hAnsi="Calibri Light"/>
                <w:b w:val="0"/>
              </w:rPr>
              <w:t>do resultaba excesivo.</w:t>
            </w:r>
          </w:p>
          <w:p w14:paraId="42C5C5B5" w14:textId="77777777" w:rsidR="00321B7F" w:rsidRDefault="00321B7F" w:rsidP="00E270C9">
            <w:pPr>
              <w:spacing w:after="0" w:line="240" w:lineRule="auto"/>
              <w:jc w:val="both"/>
              <w:rPr>
                <w:rFonts w:ascii="Calibri Light" w:hAnsi="Calibri Light"/>
                <w:b w:val="0"/>
              </w:rPr>
            </w:pPr>
          </w:p>
          <w:p w14:paraId="383E8C9E" w14:textId="4FC07832" w:rsidR="00321B7F" w:rsidRPr="00A56148" w:rsidRDefault="00321B7F" w:rsidP="00E270C9">
            <w:pPr>
              <w:spacing w:after="0" w:line="240" w:lineRule="auto"/>
              <w:jc w:val="both"/>
              <w:rPr>
                <w:rFonts w:ascii="Calibri Light" w:hAnsi="Calibri Light"/>
                <w:b w:val="0"/>
              </w:rPr>
            </w:pPr>
            <w:r>
              <w:rPr>
                <w:rFonts w:ascii="Calibri Light" w:hAnsi="Calibri Light"/>
                <w:b w:val="0"/>
              </w:rPr>
              <w:t>Finalmente, en cuanto a los procesos laborales,</w:t>
            </w:r>
            <w:r w:rsidR="000D7096">
              <w:rPr>
                <w:rFonts w:ascii="Calibri Light" w:hAnsi="Calibri Light"/>
                <w:b w:val="0"/>
              </w:rPr>
              <w:t xml:space="preserve"> </w:t>
            </w:r>
            <w:r w:rsidR="00B65DE7">
              <w:rPr>
                <w:rFonts w:ascii="Calibri Light" w:hAnsi="Calibri Light"/>
                <w:b w:val="0"/>
              </w:rPr>
              <w:t xml:space="preserve">se observó que la falta de reconocimiento del vínculo laboral entre las víctimas de la explosión y el </w:t>
            </w:r>
            <w:r w:rsidR="008B4DB8">
              <w:rPr>
                <w:rFonts w:ascii="Calibri Light" w:hAnsi="Calibri Light"/>
                <w:b w:val="0"/>
              </w:rPr>
              <w:t>señor Prazeres Bastos, que era el dueño de la hacienda donde se encontraba la fábrica, generó que varias de las causas se archivaran sin que se hiciera una investigación adecuada para determinar si el vínculo l</w:t>
            </w:r>
            <w:r w:rsidR="003018BD">
              <w:rPr>
                <w:rFonts w:ascii="Calibri Light" w:hAnsi="Calibri Light"/>
                <w:b w:val="0"/>
              </w:rPr>
              <w:t>aboral existía o no.</w:t>
            </w:r>
            <w:r w:rsidR="00780BCE">
              <w:rPr>
                <w:rFonts w:ascii="Calibri Light" w:hAnsi="Calibri Light"/>
                <w:b w:val="0"/>
              </w:rPr>
              <w:t xml:space="preserve"> Igualmente, notó que no se habrían desplegado todas las acciones necesarias para la ejecución de las indemnizaciones.</w:t>
            </w:r>
            <w:r w:rsidR="003329AE">
              <w:rPr>
                <w:rFonts w:ascii="Calibri Light" w:hAnsi="Calibri Light"/>
                <w:b w:val="0"/>
              </w:rPr>
              <w:t xml:space="preserve"> Por ello, la CIDH declaró a Brasil como responsable de la violación de los artículos 8.1 y 25.1 de la CADH, en relación con el artículo 1.1, en perjuicio de los familiares de las víctimas y víctimas sobrevivientes de la explosión en la Fábrica.</w:t>
            </w:r>
          </w:p>
          <w:p w14:paraId="52A55766" w14:textId="77777777" w:rsidR="00E270C9" w:rsidRDefault="00E270C9">
            <w:pPr>
              <w:spacing w:after="0" w:line="240" w:lineRule="auto"/>
              <w:jc w:val="both"/>
              <w:rPr>
                <w:rFonts w:ascii="Calibri Light" w:hAnsi="Calibri Light"/>
                <w:b w:val="0"/>
              </w:rPr>
            </w:pPr>
          </w:p>
          <w:p w14:paraId="2C16C144" w14:textId="77777777" w:rsidR="00F547D3" w:rsidRDefault="00F547D3">
            <w:pPr>
              <w:spacing w:after="0" w:line="240" w:lineRule="auto"/>
              <w:jc w:val="both"/>
              <w:rPr>
                <w:rFonts w:ascii="Calibri Light" w:hAnsi="Calibri Light"/>
              </w:rPr>
            </w:pPr>
            <w:r>
              <w:rPr>
                <w:rFonts w:ascii="Calibri Light" w:hAnsi="Calibri Light"/>
              </w:rPr>
              <w:t>El derecho a la integridad personal de los familiares de las víctimas fallecidas</w:t>
            </w:r>
          </w:p>
          <w:p w14:paraId="0001260C" w14:textId="77777777" w:rsidR="00F547D3" w:rsidRDefault="00F547D3">
            <w:pPr>
              <w:spacing w:after="0" w:line="240" w:lineRule="auto"/>
              <w:jc w:val="both"/>
              <w:rPr>
                <w:rFonts w:ascii="Calibri Light" w:hAnsi="Calibri Light"/>
              </w:rPr>
            </w:pPr>
          </w:p>
          <w:p w14:paraId="471D53C1" w14:textId="5E8915FA" w:rsidR="00044849" w:rsidRDefault="00D135EC">
            <w:pPr>
              <w:spacing w:after="0" w:line="240" w:lineRule="auto"/>
              <w:jc w:val="both"/>
              <w:rPr>
                <w:rFonts w:ascii="Calibri Light" w:hAnsi="Calibri Light"/>
                <w:b w:val="0"/>
              </w:rPr>
            </w:pPr>
            <w:r>
              <w:rPr>
                <w:rFonts w:ascii="Calibri Light" w:hAnsi="Calibri Light"/>
                <w:b w:val="0"/>
              </w:rPr>
              <w:t>L</w:t>
            </w:r>
            <w:r w:rsidR="00044849" w:rsidRPr="00A07708">
              <w:rPr>
                <w:rFonts w:ascii="Calibri Light" w:hAnsi="Calibri Light"/>
                <w:b w:val="0"/>
              </w:rPr>
              <w:t xml:space="preserve">os familiares de las víctimas de ciertas violaciones de derechos humanos pueden ser, a su vez, víctimas. En ese sentido, su integridad psíquica y moral puede verse afectada como consecuencia de las situaciones particulares que padecieron sus seres queridos, y de las posteriores actuaciones u omisiones de las autoridades. </w:t>
            </w:r>
            <w:r w:rsidR="00044849">
              <w:rPr>
                <w:rFonts w:ascii="Calibri Light" w:hAnsi="Calibri Light"/>
                <w:b w:val="0"/>
              </w:rPr>
              <w:t>En el caso concreto, la CIDH determinó</w:t>
            </w:r>
            <w:r w:rsidR="007F3964">
              <w:rPr>
                <w:rFonts w:ascii="Calibri Light" w:hAnsi="Calibri Light"/>
                <w:b w:val="0"/>
              </w:rPr>
              <w:t xml:space="preserve"> las muertes producidas a raíz de la explosión de la Fábrica constituyeron una fuente de sufrimiento para los familiares de los fallecidos y sobrevivientes, así como la falta de respuesta frente a las acciones judiciales que han emprendido.</w:t>
            </w:r>
            <w:r w:rsidR="00044849">
              <w:rPr>
                <w:rFonts w:ascii="Calibri Light" w:hAnsi="Calibri Light"/>
                <w:b w:val="0"/>
              </w:rPr>
              <w:t xml:space="preserve"> Por ello, declaró</w:t>
            </w:r>
            <w:r w:rsidR="007F3964">
              <w:rPr>
                <w:rFonts w:ascii="Calibri Light" w:hAnsi="Calibri Light"/>
                <w:b w:val="0"/>
              </w:rPr>
              <w:t xml:space="preserve"> que el Estado brasileño</w:t>
            </w:r>
            <w:r w:rsidR="00044849">
              <w:rPr>
                <w:rFonts w:ascii="Calibri Light" w:hAnsi="Calibri Light"/>
                <w:b w:val="0"/>
              </w:rPr>
              <w:t xml:space="preserve"> violó el artículo 5.1 de la CADH, en relación con el artículo 1.1, en perjuicio de</w:t>
            </w:r>
            <w:r w:rsidR="007F3964">
              <w:rPr>
                <w:rFonts w:ascii="Calibri Light" w:hAnsi="Calibri Light"/>
                <w:b w:val="0"/>
              </w:rPr>
              <w:t xml:space="preserve"> los familiares de las 70 víctimas de la explosión</w:t>
            </w:r>
            <w:r w:rsidR="00044849">
              <w:rPr>
                <w:rFonts w:ascii="Calibri Light" w:hAnsi="Calibri Light"/>
                <w:b w:val="0"/>
              </w:rPr>
              <w:t>.</w:t>
            </w:r>
          </w:p>
          <w:p w14:paraId="4B22F233" w14:textId="77777777" w:rsidR="008A5F18" w:rsidRPr="00F547D3" w:rsidRDefault="008A5F18">
            <w:pPr>
              <w:spacing w:after="0" w:line="240" w:lineRule="auto"/>
              <w:jc w:val="both"/>
              <w:rPr>
                <w:rFonts w:ascii="Calibri Light" w:hAnsi="Calibri Light"/>
                <w:b w:val="0"/>
              </w:rPr>
            </w:pPr>
          </w:p>
        </w:tc>
      </w:tr>
      <w:tr w:rsidR="00A66C4B" w14:paraId="6BD6F054" w14:textId="77777777" w:rsidTr="00310326">
        <w:trPr>
          <w:trHeight w:val="567"/>
          <w:jc w:val="cent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vAlign w:val="center"/>
            <w:hideMark/>
          </w:tcPr>
          <w:p w14:paraId="549178DF" w14:textId="77777777" w:rsidR="00A66C4B" w:rsidRDefault="00A66C4B" w:rsidP="00782162">
            <w:pPr>
              <w:pStyle w:val="ListParagraph"/>
              <w:numPr>
                <w:ilvl w:val="0"/>
                <w:numId w:val="1"/>
              </w:numPr>
              <w:spacing w:after="0" w:line="240" w:lineRule="auto"/>
              <w:jc w:val="center"/>
              <w:rPr>
                <w:rFonts w:ascii="Calibri Light" w:hAnsi="Calibri Light"/>
              </w:rPr>
            </w:pPr>
            <w:r>
              <w:rPr>
                <w:rFonts w:ascii="Calibri Light" w:hAnsi="Calibri Light"/>
              </w:rPr>
              <w:lastRenderedPageBreak/>
              <w:t>Recomendaciones de la CIDH al Estado</w:t>
            </w:r>
          </w:p>
        </w:tc>
      </w:tr>
      <w:tr w:rsidR="00A66C4B" w14:paraId="0A400F5B" w14:textId="77777777" w:rsidTr="00310326">
        <w:trPr>
          <w:cnfStyle w:val="000000100000" w:firstRow="0" w:lastRow="0" w:firstColumn="0" w:lastColumn="0" w:oddVBand="0" w:evenVBand="0" w:oddHBand="1" w:evenHBand="0" w:firstRowFirstColumn="0" w:firstRowLastColumn="0" w:lastRowFirstColumn="0" w:lastRowLastColumn="0"/>
          <w:trHeight w:val="463"/>
          <w:jc w:val="cent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tcPr>
          <w:p w14:paraId="2FCEC73E" w14:textId="77777777" w:rsidR="00A66C4B" w:rsidRDefault="00A66C4B" w:rsidP="00A66C4B">
            <w:pPr>
              <w:spacing w:after="0" w:line="240" w:lineRule="auto"/>
              <w:jc w:val="both"/>
              <w:rPr>
                <w:rFonts w:ascii="Calibri Light" w:hAnsi="Calibri Light"/>
                <w:b w:val="0"/>
              </w:rPr>
            </w:pPr>
          </w:p>
          <w:p w14:paraId="2ABE71C3" w14:textId="77777777" w:rsidR="00940343" w:rsidRPr="000213F4" w:rsidRDefault="00940343" w:rsidP="00940343">
            <w:pPr>
              <w:pStyle w:val="ListParagraph"/>
              <w:numPr>
                <w:ilvl w:val="0"/>
                <w:numId w:val="6"/>
              </w:numPr>
              <w:spacing w:after="0" w:line="240" w:lineRule="auto"/>
              <w:jc w:val="both"/>
              <w:rPr>
                <w:rFonts w:ascii="Calibri Light" w:hAnsi="Calibri Light"/>
              </w:rPr>
            </w:pPr>
            <w:r>
              <w:rPr>
                <w:rFonts w:ascii="Calibri Light" w:hAnsi="Calibri Light"/>
                <w:b w:val="0"/>
              </w:rPr>
              <w:t>Reparar integralmente las violaciones de derechos humanos declaradas en el informe de fondo, tanto en el aspecto material como inmaterial. Para ello, el Estado deberá adoptar medidas de compensación económica y satisfacción del daño moral.</w:t>
            </w:r>
          </w:p>
          <w:p w14:paraId="24EFEC73" w14:textId="77777777" w:rsidR="005F69DC" w:rsidRPr="00D135EC" w:rsidRDefault="005F69DC" w:rsidP="000213F4">
            <w:pPr>
              <w:pStyle w:val="ListParagraph"/>
              <w:spacing w:after="0" w:line="240" w:lineRule="auto"/>
              <w:ind w:left="360"/>
              <w:jc w:val="both"/>
              <w:rPr>
                <w:rFonts w:ascii="Calibri Light" w:hAnsi="Calibri Light"/>
              </w:rPr>
            </w:pPr>
          </w:p>
          <w:p w14:paraId="2DC1E265" w14:textId="77777777" w:rsidR="00940343" w:rsidRPr="00D135EC" w:rsidRDefault="00940343" w:rsidP="00940343">
            <w:pPr>
              <w:pStyle w:val="ListParagraph"/>
              <w:numPr>
                <w:ilvl w:val="0"/>
                <w:numId w:val="6"/>
              </w:numPr>
              <w:spacing w:after="0" w:line="240" w:lineRule="auto"/>
              <w:jc w:val="both"/>
              <w:rPr>
                <w:rFonts w:ascii="Calibri Light" w:hAnsi="Calibri Light"/>
              </w:rPr>
            </w:pPr>
            <w:r>
              <w:rPr>
                <w:rFonts w:ascii="Calibri Light" w:hAnsi="Calibri Light"/>
                <w:b w:val="0"/>
              </w:rPr>
              <w:t>Disponer las medidas de atención en salud física y mental necesarias a las víctimas sobrevivientes de la explosión, y medidas de salud mental para los familiares directos a las de esta.</w:t>
            </w:r>
          </w:p>
          <w:p w14:paraId="021716E9" w14:textId="717D67A2" w:rsidR="00D135EC" w:rsidRPr="0038379C" w:rsidRDefault="00D135EC" w:rsidP="0038379C">
            <w:pPr>
              <w:spacing w:after="0" w:line="240" w:lineRule="auto"/>
              <w:jc w:val="both"/>
              <w:rPr>
                <w:rFonts w:ascii="Calibri Light" w:hAnsi="Calibri Light"/>
              </w:rPr>
            </w:pPr>
          </w:p>
          <w:p w14:paraId="4AD6906E" w14:textId="4C1D0DC2" w:rsidR="00D33CD7" w:rsidRPr="00D135EC" w:rsidRDefault="00940343" w:rsidP="00D33CD7">
            <w:pPr>
              <w:pStyle w:val="ListParagraph"/>
              <w:numPr>
                <w:ilvl w:val="0"/>
                <w:numId w:val="6"/>
              </w:numPr>
              <w:spacing w:after="0" w:line="240" w:lineRule="auto"/>
              <w:jc w:val="both"/>
              <w:rPr>
                <w:rFonts w:ascii="Calibri Light" w:hAnsi="Calibri Light"/>
              </w:rPr>
            </w:pPr>
            <w:r>
              <w:rPr>
                <w:rFonts w:ascii="Calibri Light" w:hAnsi="Calibri Light"/>
                <w:b w:val="0"/>
              </w:rPr>
              <w:t>Investigar de manera diligente, efectiva y dentro de un plazo razonable con el objeto de esclarecer los hechos en forma completa, identificar todas las posibles responsabilidades e imponer las sanciones correspondientes respecto a las violaciones de derechos humanos declaradas en el informe de fondo. Ello involucra tanto las investigaciones penales como las administrativas, y debe extenderse no s</w:t>
            </w:r>
            <w:r w:rsidR="00D33CD7">
              <w:rPr>
                <w:rFonts w:ascii="Calibri Light" w:hAnsi="Calibri Light"/>
                <w:b w:val="0"/>
              </w:rPr>
              <w:t>olo a las personas vinculadas con la Fábrica, sino con las autoridades estatales que incumplieron sus deberes de inspección y fiscalización.</w:t>
            </w:r>
          </w:p>
          <w:p w14:paraId="246FB71D" w14:textId="77777777" w:rsidR="00D135EC" w:rsidRPr="0038379C" w:rsidRDefault="00D135EC" w:rsidP="0038379C">
            <w:pPr>
              <w:spacing w:after="0" w:line="240" w:lineRule="auto"/>
              <w:jc w:val="both"/>
              <w:rPr>
                <w:rFonts w:ascii="Calibri Light" w:hAnsi="Calibri Light"/>
              </w:rPr>
            </w:pPr>
          </w:p>
          <w:p w14:paraId="6CD09445" w14:textId="77777777" w:rsidR="00D33CD7" w:rsidRPr="00D135EC" w:rsidRDefault="00D33CD7" w:rsidP="00D33CD7">
            <w:pPr>
              <w:pStyle w:val="ListParagraph"/>
              <w:numPr>
                <w:ilvl w:val="0"/>
                <w:numId w:val="6"/>
              </w:numPr>
              <w:spacing w:after="0" w:line="240" w:lineRule="auto"/>
              <w:jc w:val="both"/>
              <w:rPr>
                <w:rFonts w:ascii="Calibri Light" w:hAnsi="Calibri Light"/>
              </w:rPr>
            </w:pPr>
            <w:r>
              <w:rPr>
                <w:rFonts w:ascii="Calibri Light" w:hAnsi="Calibri Light"/>
                <w:b w:val="0"/>
              </w:rPr>
              <w:t>Adoptar las medidas necesarias para que las responsabilidades y reparaciones establecidas en los procesos laborales y civiles sean implementadas de manera efectiva.</w:t>
            </w:r>
          </w:p>
          <w:p w14:paraId="18D518E0" w14:textId="77777777" w:rsidR="00D135EC" w:rsidRPr="0038379C" w:rsidRDefault="00D135EC" w:rsidP="0038379C">
            <w:pPr>
              <w:spacing w:after="0" w:line="240" w:lineRule="auto"/>
              <w:jc w:val="both"/>
              <w:rPr>
                <w:rFonts w:ascii="Calibri Light" w:hAnsi="Calibri Light"/>
              </w:rPr>
            </w:pPr>
          </w:p>
          <w:p w14:paraId="4227FBF4" w14:textId="77777777" w:rsidR="00310326" w:rsidRPr="00310326" w:rsidRDefault="00310326" w:rsidP="00D33CD7">
            <w:pPr>
              <w:pStyle w:val="ListParagraph"/>
              <w:numPr>
                <w:ilvl w:val="0"/>
                <w:numId w:val="6"/>
              </w:numPr>
              <w:spacing w:after="0" w:line="240" w:lineRule="auto"/>
              <w:jc w:val="both"/>
              <w:rPr>
                <w:rFonts w:ascii="Calibri Light" w:hAnsi="Calibri Light"/>
              </w:rPr>
            </w:pPr>
            <w:r>
              <w:rPr>
                <w:rFonts w:ascii="Calibri Light" w:hAnsi="Calibri Light"/>
                <w:b w:val="0"/>
              </w:rPr>
              <w:t>Adoptar las medidas legislativas, administrativas y de otra índole, para evitar que en el futuro se produzcan hechos similares, principalmente en lo referente al ofrecimiento de posibilidades laborales en la zona y prevención, erradicación y sanción del trabajo infantil.</w:t>
            </w:r>
          </w:p>
          <w:p w14:paraId="12F98A6C" w14:textId="77777777" w:rsidR="00940343" w:rsidRPr="00D33CD7" w:rsidRDefault="00940343" w:rsidP="00310326">
            <w:pPr>
              <w:pStyle w:val="ListParagraph"/>
              <w:spacing w:after="0" w:line="240" w:lineRule="auto"/>
              <w:jc w:val="both"/>
              <w:rPr>
                <w:rFonts w:ascii="Calibri Light" w:hAnsi="Calibri Light"/>
              </w:rPr>
            </w:pPr>
            <w:r w:rsidRPr="00D33CD7">
              <w:rPr>
                <w:rFonts w:ascii="Calibri Light" w:hAnsi="Calibri Light"/>
              </w:rPr>
              <w:lastRenderedPageBreak/>
              <w:t xml:space="preserve"> </w:t>
            </w:r>
          </w:p>
        </w:tc>
      </w:tr>
      <w:tr w:rsidR="00A66C4B" w14:paraId="626B5A3F" w14:textId="77777777" w:rsidTr="00310326">
        <w:trPr>
          <w:trHeight w:val="567"/>
          <w:jc w:val="cent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shd w:val="clear" w:color="auto" w:fill="auto"/>
            <w:vAlign w:val="center"/>
            <w:hideMark/>
          </w:tcPr>
          <w:p w14:paraId="5699B96C" w14:textId="77777777" w:rsidR="00A66C4B" w:rsidRDefault="00A66C4B" w:rsidP="00AA147B">
            <w:pPr>
              <w:pStyle w:val="ListParagraph"/>
              <w:numPr>
                <w:ilvl w:val="0"/>
                <w:numId w:val="1"/>
              </w:numPr>
              <w:spacing w:after="0"/>
              <w:jc w:val="center"/>
              <w:rPr>
                <w:rFonts w:ascii="Calibri Light" w:hAnsi="Calibri Light"/>
              </w:rPr>
            </w:pPr>
            <w:r>
              <w:rPr>
                <w:rFonts w:ascii="Calibri Light" w:hAnsi="Calibri Light"/>
              </w:rPr>
              <w:lastRenderedPageBreak/>
              <w:t>Análisis de cumplimiento de las recomendaciones</w:t>
            </w:r>
          </w:p>
        </w:tc>
      </w:tr>
      <w:tr w:rsidR="00A66C4B" w14:paraId="6F74D7AE" w14:textId="77777777" w:rsidTr="00310326">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vAlign w:val="center"/>
            <w:hideMark/>
          </w:tcPr>
          <w:p w14:paraId="4B71FFF3" w14:textId="77777777" w:rsidR="00A66C4B" w:rsidRDefault="00A66C4B">
            <w:pPr>
              <w:pStyle w:val="ListParagraph"/>
              <w:spacing w:after="0" w:line="240" w:lineRule="auto"/>
              <w:ind w:left="0"/>
              <w:jc w:val="center"/>
              <w:rPr>
                <w:rFonts w:ascii="Calibri Light" w:hAnsi="Calibri Light"/>
                <w:b w:val="0"/>
              </w:rPr>
            </w:pPr>
            <w:r>
              <w:rPr>
                <w:rFonts w:ascii="Calibri Light" w:hAnsi="Calibri Light"/>
                <w:b w:val="0"/>
              </w:rPr>
              <w:t>-</w:t>
            </w:r>
          </w:p>
        </w:tc>
      </w:tr>
    </w:tbl>
    <w:p w14:paraId="6FF7F3F3" w14:textId="77777777" w:rsidR="00A978A8" w:rsidRDefault="00A978A8"/>
    <w:sectPr w:rsidR="00A978A8" w:rsidSect="00A0771E">
      <w:footerReference w:type="default" r:id="rId14"/>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2171D" w14:textId="77777777" w:rsidR="00071B98" w:rsidRDefault="00071B98" w:rsidP="00186E66">
      <w:pPr>
        <w:spacing w:after="0" w:line="240" w:lineRule="auto"/>
      </w:pPr>
      <w:r>
        <w:separator/>
      </w:r>
    </w:p>
  </w:endnote>
  <w:endnote w:type="continuationSeparator" w:id="0">
    <w:p w14:paraId="6ED0367C" w14:textId="77777777" w:rsidR="00071B98" w:rsidRDefault="00071B98" w:rsidP="00186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rPr>
      <w:id w:val="2050886169"/>
      <w:docPartObj>
        <w:docPartGallery w:val="Page Numbers (Bottom of Page)"/>
        <w:docPartUnique/>
      </w:docPartObj>
    </w:sdtPr>
    <w:sdtEndPr/>
    <w:sdtContent>
      <w:p w14:paraId="7FA19862" w14:textId="6397AAAD" w:rsidR="00186E66" w:rsidRPr="00057AC9" w:rsidRDefault="00186E66">
        <w:pPr>
          <w:pStyle w:val="Footer"/>
          <w:jc w:val="right"/>
          <w:rPr>
            <w:rFonts w:asciiTheme="majorHAnsi" w:hAnsiTheme="majorHAnsi"/>
          </w:rPr>
        </w:pPr>
        <w:r w:rsidRPr="00057AC9">
          <w:rPr>
            <w:rFonts w:asciiTheme="majorHAnsi" w:hAnsiTheme="majorHAnsi"/>
          </w:rPr>
          <w:fldChar w:fldCharType="begin"/>
        </w:r>
        <w:r w:rsidRPr="00057AC9">
          <w:rPr>
            <w:rFonts w:asciiTheme="majorHAnsi" w:hAnsiTheme="majorHAnsi"/>
          </w:rPr>
          <w:instrText>PAGE   \* MERGEFORMAT</w:instrText>
        </w:r>
        <w:r w:rsidRPr="00057AC9">
          <w:rPr>
            <w:rFonts w:asciiTheme="majorHAnsi" w:hAnsiTheme="majorHAnsi"/>
          </w:rPr>
          <w:fldChar w:fldCharType="separate"/>
        </w:r>
        <w:r w:rsidR="003D6A37" w:rsidRPr="003D6A37">
          <w:rPr>
            <w:rFonts w:asciiTheme="majorHAnsi" w:hAnsiTheme="majorHAnsi"/>
            <w:noProof/>
            <w:lang w:val="es-ES"/>
          </w:rPr>
          <w:t>1</w:t>
        </w:r>
        <w:r w:rsidRPr="00057AC9">
          <w:rPr>
            <w:rFonts w:asciiTheme="majorHAnsi" w:hAnsiTheme="majorHAnsi"/>
          </w:rPr>
          <w:fldChar w:fldCharType="end"/>
        </w:r>
      </w:p>
    </w:sdtContent>
  </w:sdt>
  <w:p w14:paraId="30808C51" w14:textId="77777777" w:rsidR="00186E66" w:rsidRPr="00057AC9" w:rsidRDefault="00186E66">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76439" w14:textId="77777777" w:rsidR="00071B98" w:rsidRDefault="00071B98" w:rsidP="00186E66">
      <w:pPr>
        <w:spacing w:after="0" w:line="240" w:lineRule="auto"/>
      </w:pPr>
      <w:r>
        <w:separator/>
      </w:r>
    </w:p>
  </w:footnote>
  <w:footnote w:type="continuationSeparator" w:id="0">
    <w:p w14:paraId="3EDB90EE" w14:textId="77777777" w:rsidR="00071B98" w:rsidRDefault="00071B98" w:rsidP="00186E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5EBA"/>
    <w:multiLevelType w:val="hybridMultilevel"/>
    <w:tmpl w:val="EB50DC4A"/>
    <w:lvl w:ilvl="0" w:tplc="ABEC1556">
      <w:start w:val="1"/>
      <w:numFmt w:val="decimal"/>
      <w:lvlText w:val="%1."/>
      <w:lvlJc w:val="left"/>
      <w:pPr>
        <w:ind w:left="360" w:hanging="360"/>
      </w:pPr>
      <w:rPr>
        <w:rFonts w:ascii="Calibri Light" w:hAnsi="Calibri Light" w:hint="default"/>
        <w:b/>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1" w15:restartNumberingAfterBreak="0">
    <w:nsid w:val="117B473B"/>
    <w:multiLevelType w:val="hybridMultilevel"/>
    <w:tmpl w:val="D3AACBB0"/>
    <w:lvl w:ilvl="0" w:tplc="E13EC6DE">
      <w:start w:val="1"/>
      <w:numFmt w:val="low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192A16B9"/>
    <w:multiLevelType w:val="hybridMultilevel"/>
    <w:tmpl w:val="D88C14E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 w15:restartNumberingAfterBreak="0">
    <w:nsid w:val="3D81334F"/>
    <w:multiLevelType w:val="hybridMultilevel"/>
    <w:tmpl w:val="66322A9C"/>
    <w:lvl w:ilvl="0" w:tplc="280A0015">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15:restartNumberingAfterBreak="0">
    <w:nsid w:val="4BBC3E3E"/>
    <w:multiLevelType w:val="hybridMultilevel"/>
    <w:tmpl w:val="2324A95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C4B"/>
    <w:rsid w:val="0000253D"/>
    <w:rsid w:val="00015F59"/>
    <w:rsid w:val="00017989"/>
    <w:rsid w:val="000213F4"/>
    <w:rsid w:val="00035E67"/>
    <w:rsid w:val="00043F97"/>
    <w:rsid w:val="00044849"/>
    <w:rsid w:val="00057AC9"/>
    <w:rsid w:val="00062163"/>
    <w:rsid w:val="000627C1"/>
    <w:rsid w:val="00067CA0"/>
    <w:rsid w:val="00071B98"/>
    <w:rsid w:val="00071F1A"/>
    <w:rsid w:val="000729CC"/>
    <w:rsid w:val="00077A71"/>
    <w:rsid w:val="000841E3"/>
    <w:rsid w:val="00086030"/>
    <w:rsid w:val="000865F8"/>
    <w:rsid w:val="00087170"/>
    <w:rsid w:val="00094934"/>
    <w:rsid w:val="000A15A5"/>
    <w:rsid w:val="000A683B"/>
    <w:rsid w:val="000B1CF8"/>
    <w:rsid w:val="000B3F9A"/>
    <w:rsid w:val="000B64FD"/>
    <w:rsid w:val="000B71E2"/>
    <w:rsid w:val="000D0C38"/>
    <w:rsid w:val="000D7096"/>
    <w:rsid w:val="000E1FE9"/>
    <w:rsid w:val="000E26E4"/>
    <w:rsid w:val="000E355B"/>
    <w:rsid w:val="000E516D"/>
    <w:rsid w:val="000E5808"/>
    <w:rsid w:val="000F3695"/>
    <w:rsid w:val="000F4740"/>
    <w:rsid w:val="000F7C36"/>
    <w:rsid w:val="001245AB"/>
    <w:rsid w:val="001329FD"/>
    <w:rsid w:val="00133626"/>
    <w:rsid w:val="00135AED"/>
    <w:rsid w:val="00136A55"/>
    <w:rsid w:val="00142364"/>
    <w:rsid w:val="00147013"/>
    <w:rsid w:val="0014741F"/>
    <w:rsid w:val="001509B7"/>
    <w:rsid w:val="001528BF"/>
    <w:rsid w:val="00152DC6"/>
    <w:rsid w:val="001541A3"/>
    <w:rsid w:val="00181E86"/>
    <w:rsid w:val="00186E66"/>
    <w:rsid w:val="00190522"/>
    <w:rsid w:val="00191CA6"/>
    <w:rsid w:val="00197193"/>
    <w:rsid w:val="001A34A7"/>
    <w:rsid w:val="001B3039"/>
    <w:rsid w:val="001B3260"/>
    <w:rsid w:val="001B357C"/>
    <w:rsid w:val="001C5430"/>
    <w:rsid w:val="001D6F29"/>
    <w:rsid w:val="001E1C31"/>
    <w:rsid w:val="001E367F"/>
    <w:rsid w:val="001E454F"/>
    <w:rsid w:val="001E47F3"/>
    <w:rsid w:val="001F139A"/>
    <w:rsid w:val="00205967"/>
    <w:rsid w:val="00205CAB"/>
    <w:rsid w:val="00212CD8"/>
    <w:rsid w:val="00227F97"/>
    <w:rsid w:val="00234645"/>
    <w:rsid w:val="00254DBF"/>
    <w:rsid w:val="00263603"/>
    <w:rsid w:val="00276A99"/>
    <w:rsid w:val="00280799"/>
    <w:rsid w:val="00285C23"/>
    <w:rsid w:val="0029611E"/>
    <w:rsid w:val="002A1260"/>
    <w:rsid w:val="002A3364"/>
    <w:rsid w:val="002B76EA"/>
    <w:rsid w:val="002C04C7"/>
    <w:rsid w:val="002C2C5D"/>
    <w:rsid w:val="002C7CF3"/>
    <w:rsid w:val="002E5D7E"/>
    <w:rsid w:val="003018BD"/>
    <w:rsid w:val="003018EE"/>
    <w:rsid w:val="00305FEC"/>
    <w:rsid w:val="00310326"/>
    <w:rsid w:val="00316859"/>
    <w:rsid w:val="00321B7F"/>
    <w:rsid w:val="00322DFF"/>
    <w:rsid w:val="003237C9"/>
    <w:rsid w:val="00326058"/>
    <w:rsid w:val="00327033"/>
    <w:rsid w:val="003329AE"/>
    <w:rsid w:val="0034529C"/>
    <w:rsid w:val="0034673C"/>
    <w:rsid w:val="00367DA9"/>
    <w:rsid w:val="003752EA"/>
    <w:rsid w:val="00376C92"/>
    <w:rsid w:val="0038379C"/>
    <w:rsid w:val="00383EE1"/>
    <w:rsid w:val="00391CB5"/>
    <w:rsid w:val="003A36B2"/>
    <w:rsid w:val="003A433C"/>
    <w:rsid w:val="003A7EC9"/>
    <w:rsid w:val="003B25A8"/>
    <w:rsid w:val="003B4DAA"/>
    <w:rsid w:val="003C789C"/>
    <w:rsid w:val="003D14F1"/>
    <w:rsid w:val="003D6A37"/>
    <w:rsid w:val="003E3107"/>
    <w:rsid w:val="003F02F4"/>
    <w:rsid w:val="004058C7"/>
    <w:rsid w:val="00407729"/>
    <w:rsid w:val="004077BB"/>
    <w:rsid w:val="00412406"/>
    <w:rsid w:val="00422266"/>
    <w:rsid w:val="00426788"/>
    <w:rsid w:val="004315D2"/>
    <w:rsid w:val="0043440A"/>
    <w:rsid w:val="00441108"/>
    <w:rsid w:val="004426DC"/>
    <w:rsid w:val="00446FDB"/>
    <w:rsid w:val="00460D02"/>
    <w:rsid w:val="00466BD1"/>
    <w:rsid w:val="00481078"/>
    <w:rsid w:val="00486C8F"/>
    <w:rsid w:val="00491365"/>
    <w:rsid w:val="00496E15"/>
    <w:rsid w:val="004A0AEC"/>
    <w:rsid w:val="004A456B"/>
    <w:rsid w:val="004D2CEF"/>
    <w:rsid w:val="004E2175"/>
    <w:rsid w:val="004E3F6B"/>
    <w:rsid w:val="004E74DF"/>
    <w:rsid w:val="00501244"/>
    <w:rsid w:val="005111B1"/>
    <w:rsid w:val="0051176C"/>
    <w:rsid w:val="00512E43"/>
    <w:rsid w:val="00516BA8"/>
    <w:rsid w:val="00524C7F"/>
    <w:rsid w:val="0052663C"/>
    <w:rsid w:val="00543F14"/>
    <w:rsid w:val="00544FE5"/>
    <w:rsid w:val="00552823"/>
    <w:rsid w:val="00557A33"/>
    <w:rsid w:val="005717AF"/>
    <w:rsid w:val="005837B9"/>
    <w:rsid w:val="00593EC5"/>
    <w:rsid w:val="005A1B89"/>
    <w:rsid w:val="005B0115"/>
    <w:rsid w:val="005C09CE"/>
    <w:rsid w:val="005C77B3"/>
    <w:rsid w:val="005E1711"/>
    <w:rsid w:val="005E41FD"/>
    <w:rsid w:val="005E4708"/>
    <w:rsid w:val="005E4AE8"/>
    <w:rsid w:val="005F2C50"/>
    <w:rsid w:val="005F4AE9"/>
    <w:rsid w:val="005F69DC"/>
    <w:rsid w:val="005F6DD2"/>
    <w:rsid w:val="00602AAB"/>
    <w:rsid w:val="00602EF6"/>
    <w:rsid w:val="00603675"/>
    <w:rsid w:val="00603CB2"/>
    <w:rsid w:val="00606B97"/>
    <w:rsid w:val="00623F17"/>
    <w:rsid w:val="00641D63"/>
    <w:rsid w:val="00662B36"/>
    <w:rsid w:val="00665124"/>
    <w:rsid w:val="006675DC"/>
    <w:rsid w:val="0067103B"/>
    <w:rsid w:val="0067234D"/>
    <w:rsid w:val="006843B1"/>
    <w:rsid w:val="00695451"/>
    <w:rsid w:val="006B25A8"/>
    <w:rsid w:val="006B42CC"/>
    <w:rsid w:val="006C0DDD"/>
    <w:rsid w:val="006C4D49"/>
    <w:rsid w:val="006C6F8C"/>
    <w:rsid w:val="006D3067"/>
    <w:rsid w:val="006D34D1"/>
    <w:rsid w:val="006D7B81"/>
    <w:rsid w:val="006E3953"/>
    <w:rsid w:val="006E7858"/>
    <w:rsid w:val="006F0CC3"/>
    <w:rsid w:val="0070446A"/>
    <w:rsid w:val="007235E6"/>
    <w:rsid w:val="00725042"/>
    <w:rsid w:val="007263FF"/>
    <w:rsid w:val="00731459"/>
    <w:rsid w:val="007346EC"/>
    <w:rsid w:val="00737195"/>
    <w:rsid w:val="00737A97"/>
    <w:rsid w:val="0074252B"/>
    <w:rsid w:val="00750C3E"/>
    <w:rsid w:val="00755E2E"/>
    <w:rsid w:val="00756DB8"/>
    <w:rsid w:val="00777B2F"/>
    <w:rsid w:val="00780AAE"/>
    <w:rsid w:val="00780BCE"/>
    <w:rsid w:val="007A512E"/>
    <w:rsid w:val="007A69EE"/>
    <w:rsid w:val="007A7920"/>
    <w:rsid w:val="007B3333"/>
    <w:rsid w:val="007C437D"/>
    <w:rsid w:val="007C4758"/>
    <w:rsid w:val="007E0A1E"/>
    <w:rsid w:val="007E1AC4"/>
    <w:rsid w:val="007E27F0"/>
    <w:rsid w:val="007E2887"/>
    <w:rsid w:val="007F3964"/>
    <w:rsid w:val="00811B46"/>
    <w:rsid w:val="00812C89"/>
    <w:rsid w:val="00825D62"/>
    <w:rsid w:val="0083510C"/>
    <w:rsid w:val="00843120"/>
    <w:rsid w:val="00846474"/>
    <w:rsid w:val="00854163"/>
    <w:rsid w:val="00877826"/>
    <w:rsid w:val="00895066"/>
    <w:rsid w:val="008963F0"/>
    <w:rsid w:val="0089751A"/>
    <w:rsid w:val="00897995"/>
    <w:rsid w:val="008A075B"/>
    <w:rsid w:val="008A5F18"/>
    <w:rsid w:val="008B4DB8"/>
    <w:rsid w:val="008C04C6"/>
    <w:rsid w:val="008D17EE"/>
    <w:rsid w:val="008D4BC2"/>
    <w:rsid w:val="008D5223"/>
    <w:rsid w:val="008F2E1B"/>
    <w:rsid w:val="008F67B7"/>
    <w:rsid w:val="009031A8"/>
    <w:rsid w:val="00903EDD"/>
    <w:rsid w:val="009151D5"/>
    <w:rsid w:val="00940343"/>
    <w:rsid w:val="009460B2"/>
    <w:rsid w:val="0095111D"/>
    <w:rsid w:val="00951F51"/>
    <w:rsid w:val="00952EEF"/>
    <w:rsid w:val="00961DAA"/>
    <w:rsid w:val="00965102"/>
    <w:rsid w:val="00984907"/>
    <w:rsid w:val="00993B46"/>
    <w:rsid w:val="0099410C"/>
    <w:rsid w:val="009A20F1"/>
    <w:rsid w:val="009C1CD3"/>
    <w:rsid w:val="009F1EAE"/>
    <w:rsid w:val="009F35AF"/>
    <w:rsid w:val="00A00416"/>
    <w:rsid w:val="00A06D00"/>
    <w:rsid w:val="00A0771E"/>
    <w:rsid w:val="00A15260"/>
    <w:rsid w:val="00A22A83"/>
    <w:rsid w:val="00A23864"/>
    <w:rsid w:val="00A2647E"/>
    <w:rsid w:val="00A30600"/>
    <w:rsid w:val="00A312AC"/>
    <w:rsid w:val="00A35B4F"/>
    <w:rsid w:val="00A3617F"/>
    <w:rsid w:val="00A45E1E"/>
    <w:rsid w:val="00A5242E"/>
    <w:rsid w:val="00A52D83"/>
    <w:rsid w:val="00A56148"/>
    <w:rsid w:val="00A616D2"/>
    <w:rsid w:val="00A645FD"/>
    <w:rsid w:val="00A66C4B"/>
    <w:rsid w:val="00A80F3A"/>
    <w:rsid w:val="00A82FA7"/>
    <w:rsid w:val="00A83AF8"/>
    <w:rsid w:val="00A87F87"/>
    <w:rsid w:val="00A9561A"/>
    <w:rsid w:val="00A978A8"/>
    <w:rsid w:val="00AA147B"/>
    <w:rsid w:val="00AB54E9"/>
    <w:rsid w:val="00AD35C2"/>
    <w:rsid w:val="00AE0673"/>
    <w:rsid w:val="00AF1781"/>
    <w:rsid w:val="00AF26CB"/>
    <w:rsid w:val="00B16D0A"/>
    <w:rsid w:val="00B178EE"/>
    <w:rsid w:val="00B26680"/>
    <w:rsid w:val="00B3330B"/>
    <w:rsid w:val="00B35D0C"/>
    <w:rsid w:val="00B422C6"/>
    <w:rsid w:val="00B42D77"/>
    <w:rsid w:val="00B4311C"/>
    <w:rsid w:val="00B43126"/>
    <w:rsid w:val="00B45412"/>
    <w:rsid w:val="00B50392"/>
    <w:rsid w:val="00B56D8B"/>
    <w:rsid w:val="00B65DE7"/>
    <w:rsid w:val="00B71821"/>
    <w:rsid w:val="00B73599"/>
    <w:rsid w:val="00B94873"/>
    <w:rsid w:val="00B97068"/>
    <w:rsid w:val="00BA7C56"/>
    <w:rsid w:val="00BB2B1C"/>
    <w:rsid w:val="00BC1B58"/>
    <w:rsid w:val="00BC2E2C"/>
    <w:rsid w:val="00BE23B7"/>
    <w:rsid w:val="00BF42C9"/>
    <w:rsid w:val="00C018F4"/>
    <w:rsid w:val="00C06B4E"/>
    <w:rsid w:val="00C1139D"/>
    <w:rsid w:val="00C21AB2"/>
    <w:rsid w:val="00C23D26"/>
    <w:rsid w:val="00C31A76"/>
    <w:rsid w:val="00C31E86"/>
    <w:rsid w:val="00C426F1"/>
    <w:rsid w:val="00C449D8"/>
    <w:rsid w:val="00C5366C"/>
    <w:rsid w:val="00C537D5"/>
    <w:rsid w:val="00C57450"/>
    <w:rsid w:val="00C61121"/>
    <w:rsid w:val="00C6128D"/>
    <w:rsid w:val="00C62149"/>
    <w:rsid w:val="00C6262F"/>
    <w:rsid w:val="00C67850"/>
    <w:rsid w:val="00C77FD7"/>
    <w:rsid w:val="00C80DE3"/>
    <w:rsid w:val="00C82BD2"/>
    <w:rsid w:val="00C84465"/>
    <w:rsid w:val="00C932AE"/>
    <w:rsid w:val="00C96336"/>
    <w:rsid w:val="00CA1B21"/>
    <w:rsid w:val="00CC2788"/>
    <w:rsid w:val="00CC2A49"/>
    <w:rsid w:val="00CD44AA"/>
    <w:rsid w:val="00CD50D8"/>
    <w:rsid w:val="00CE1B4B"/>
    <w:rsid w:val="00CE7912"/>
    <w:rsid w:val="00CF11AC"/>
    <w:rsid w:val="00D05C3E"/>
    <w:rsid w:val="00D135EC"/>
    <w:rsid w:val="00D31641"/>
    <w:rsid w:val="00D33CD7"/>
    <w:rsid w:val="00D34FA5"/>
    <w:rsid w:val="00D368DD"/>
    <w:rsid w:val="00D373FA"/>
    <w:rsid w:val="00D44464"/>
    <w:rsid w:val="00D46606"/>
    <w:rsid w:val="00D54C0C"/>
    <w:rsid w:val="00D62F02"/>
    <w:rsid w:val="00D6436D"/>
    <w:rsid w:val="00D67D43"/>
    <w:rsid w:val="00D817F7"/>
    <w:rsid w:val="00D84195"/>
    <w:rsid w:val="00D92A1B"/>
    <w:rsid w:val="00D938D5"/>
    <w:rsid w:val="00D94A96"/>
    <w:rsid w:val="00D96140"/>
    <w:rsid w:val="00D9674B"/>
    <w:rsid w:val="00D96BF6"/>
    <w:rsid w:val="00DA5517"/>
    <w:rsid w:val="00DB022C"/>
    <w:rsid w:val="00DB134C"/>
    <w:rsid w:val="00DB55C8"/>
    <w:rsid w:val="00DB79A1"/>
    <w:rsid w:val="00DC791C"/>
    <w:rsid w:val="00DD56DD"/>
    <w:rsid w:val="00DE2298"/>
    <w:rsid w:val="00DE2BF6"/>
    <w:rsid w:val="00E01BE1"/>
    <w:rsid w:val="00E06A2E"/>
    <w:rsid w:val="00E270C9"/>
    <w:rsid w:val="00E35131"/>
    <w:rsid w:val="00E571E4"/>
    <w:rsid w:val="00E6116A"/>
    <w:rsid w:val="00E64D89"/>
    <w:rsid w:val="00E71422"/>
    <w:rsid w:val="00E71F0F"/>
    <w:rsid w:val="00E77433"/>
    <w:rsid w:val="00E83D41"/>
    <w:rsid w:val="00E858F4"/>
    <w:rsid w:val="00E9030B"/>
    <w:rsid w:val="00E92176"/>
    <w:rsid w:val="00EA78B9"/>
    <w:rsid w:val="00EB2A98"/>
    <w:rsid w:val="00EB6AF8"/>
    <w:rsid w:val="00EC0BB1"/>
    <w:rsid w:val="00ED2DFB"/>
    <w:rsid w:val="00EF6627"/>
    <w:rsid w:val="00F06372"/>
    <w:rsid w:val="00F163F5"/>
    <w:rsid w:val="00F20887"/>
    <w:rsid w:val="00F23A62"/>
    <w:rsid w:val="00F26CB2"/>
    <w:rsid w:val="00F32844"/>
    <w:rsid w:val="00F41DF3"/>
    <w:rsid w:val="00F45750"/>
    <w:rsid w:val="00F547D3"/>
    <w:rsid w:val="00F6718F"/>
    <w:rsid w:val="00F7476A"/>
    <w:rsid w:val="00F80FA6"/>
    <w:rsid w:val="00FA028D"/>
    <w:rsid w:val="00FB2F72"/>
    <w:rsid w:val="00FB5C32"/>
    <w:rsid w:val="00FB7363"/>
    <w:rsid w:val="00FB7AC7"/>
    <w:rsid w:val="00FC1B07"/>
    <w:rsid w:val="00FC421E"/>
    <w:rsid w:val="00FD5090"/>
    <w:rsid w:val="00FD6C20"/>
    <w:rsid w:val="00FE0C8F"/>
    <w:rsid w:val="00FF3FB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4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4B"/>
    <w:pPr>
      <w:spacing w:after="200" w:line="276" w:lineRule="auto"/>
    </w:pPr>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C4B"/>
    <w:rPr>
      <w:color w:val="0563C1" w:themeColor="hyperlink"/>
      <w:u w:val="single"/>
    </w:rPr>
  </w:style>
  <w:style w:type="paragraph" w:styleId="Header">
    <w:name w:val="header"/>
    <w:basedOn w:val="Normal"/>
    <w:link w:val="HeaderChar"/>
    <w:uiPriority w:val="99"/>
    <w:unhideWhenUsed/>
    <w:rsid w:val="00A66C4B"/>
    <w:pPr>
      <w:tabs>
        <w:tab w:val="center" w:pos="4419"/>
        <w:tab w:val="right" w:pos="8838"/>
      </w:tabs>
      <w:spacing w:after="0" w:line="240" w:lineRule="auto"/>
    </w:pPr>
  </w:style>
  <w:style w:type="character" w:customStyle="1" w:styleId="HeaderChar">
    <w:name w:val="Header Char"/>
    <w:basedOn w:val="DefaultParagraphFont"/>
    <w:link w:val="Header"/>
    <w:uiPriority w:val="99"/>
    <w:rsid w:val="00A66C4B"/>
    <w:rPr>
      <w:rFonts w:ascii="Calibri" w:eastAsia="Calibri" w:hAnsi="Calibri" w:cs="Times New Roman"/>
      <w:lang w:val="es-MX"/>
    </w:rPr>
  </w:style>
  <w:style w:type="paragraph" w:styleId="ListParagraph">
    <w:name w:val="List Paragraph"/>
    <w:basedOn w:val="Normal"/>
    <w:uiPriority w:val="34"/>
    <w:qFormat/>
    <w:rsid w:val="00A66C4B"/>
    <w:pPr>
      <w:ind w:left="720"/>
      <w:contextualSpacing/>
    </w:pPr>
  </w:style>
  <w:style w:type="table" w:customStyle="1" w:styleId="Tabladelista2-nfasis11">
    <w:name w:val="Tabla de lista 2 - Énfasis 11"/>
    <w:basedOn w:val="TableNormal"/>
    <w:uiPriority w:val="47"/>
    <w:rsid w:val="00A66C4B"/>
    <w:pPr>
      <w:spacing w:after="0" w:line="240" w:lineRule="auto"/>
    </w:pPr>
    <w:tblPr>
      <w:tblStyleRowBandSize w:val="1"/>
      <w:tblStyleColBandSize w:val="1"/>
      <w:tblInd w:w="0" w:type="nil"/>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0E1FE9"/>
    <w:rPr>
      <w:sz w:val="16"/>
      <w:szCs w:val="16"/>
    </w:rPr>
  </w:style>
  <w:style w:type="paragraph" w:styleId="CommentText">
    <w:name w:val="annotation text"/>
    <w:basedOn w:val="Normal"/>
    <w:link w:val="CommentTextChar"/>
    <w:uiPriority w:val="99"/>
    <w:semiHidden/>
    <w:unhideWhenUsed/>
    <w:rsid w:val="000E1FE9"/>
    <w:pPr>
      <w:spacing w:line="240" w:lineRule="auto"/>
    </w:pPr>
    <w:rPr>
      <w:sz w:val="20"/>
      <w:szCs w:val="20"/>
    </w:rPr>
  </w:style>
  <w:style w:type="character" w:customStyle="1" w:styleId="CommentTextChar">
    <w:name w:val="Comment Text Char"/>
    <w:basedOn w:val="DefaultParagraphFont"/>
    <w:link w:val="CommentText"/>
    <w:uiPriority w:val="99"/>
    <w:semiHidden/>
    <w:rsid w:val="000E1FE9"/>
    <w:rPr>
      <w:rFonts w:ascii="Calibri" w:eastAsia="Calibri" w:hAnsi="Calibri" w:cs="Times New Roman"/>
      <w:sz w:val="20"/>
      <w:szCs w:val="20"/>
      <w:lang w:val="es-MX"/>
    </w:rPr>
  </w:style>
  <w:style w:type="paragraph" w:styleId="BalloonText">
    <w:name w:val="Balloon Text"/>
    <w:basedOn w:val="Normal"/>
    <w:link w:val="BalloonTextChar"/>
    <w:uiPriority w:val="99"/>
    <w:semiHidden/>
    <w:unhideWhenUsed/>
    <w:rsid w:val="000E1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FE9"/>
    <w:rPr>
      <w:rFonts w:ascii="Segoe UI" w:eastAsia="Calibri" w:hAnsi="Segoe UI" w:cs="Segoe UI"/>
      <w:sz w:val="18"/>
      <w:szCs w:val="18"/>
      <w:lang w:val="es-MX"/>
    </w:rPr>
  </w:style>
  <w:style w:type="paragraph" w:styleId="CommentSubject">
    <w:name w:val="annotation subject"/>
    <w:basedOn w:val="CommentText"/>
    <w:next w:val="CommentText"/>
    <w:link w:val="CommentSubjectChar"/>
    <w:uiPriority w:val="99"/>
    <w:semiHidden/>
    <w:unhideWhenUsed/>
    <w:rsid w:val="00603CB2"/>
    <w:rPr>
      <w:b/>
      <w:bCs/>
    </w:rPr>
  </w:style>
  <w:style w:type="character" w:customStyle="1" w:styleId="CommentSubjectChar">
    <w:name w:val="Comment Subject Char"/>
    <w:basedOn w:val="CommentTextChar"/>
    <w:link w:val="CommentSubject"/>
    <w:uiPriority w:val="99"/>
    <w:semiHidden/>
    <w:rsid w:val="00603CB2"/>
    <w:rPr>
      <w:rFonts w:ascii="Calibri" w:eastAsia="Calibri" w:hAnsi="Calibri" w:cs="Times New Roman"/>
      <w:b/>
      <w:bCs/>
      <w:sz w:val="20"/>
      <w:szCs w:val="20"/>
      <w:lang w:val="es-MX"/>
    </w:rPr>
  </w:style>
  <w:style w:type="paragraph" w:styleId="Revision">
    <w:name w:val="Revision"/>
    <w:hidden/>
    <w:uiPriority w:val="99"/>
    <w:semiHidden/>
    <w:rsid w:val="008A075B"/>
    <w:pPr>
      <w:spacing w:after="0" w:line="240" w:lineRule="auto"/>
    </w:pPr>
    <w:rPr>
      <w:rFonts w:ascii="Calibri" w:eastAsia="Calibri" w:hAnsi="Calibri" w:cs="Times New Roman"/>
      <w:lang w:val="es-MX"/>
    </w:rPr>
  </w:style>
  <w:style w:type="paragraph" w:styleId="Footer">
    <w:name w:val="footer"/>
    <w:basedOn w:val="Normal"/>
    <w:link w:val="FooterChar"/>
    <w:uiPriority w:val="99"/>
    <w:unhideWhenUsed/>
    <w:rsid w:val="00186E66"/>
    <w:pPr>
      <w:tabs>
        <w:tab w:val="center" w:pos="4419"/>
        <w:tab w:val="right" w:pos="8838"/>
      </w:tabs>
      <w:spacing w:after="0" w:line="240" w:lineRule="auto"/>
    </w:pPr>
  </w:style>
  <w:style w:type="character" w:customStyle="1" w:styleId="FooterChar">
    <w:name w:val="Footer Char"/>
    <w:basedOn w:val="DefaultParagraphFont"/>
    <w:link w:val="Footer"/>
    <w:uiPriority w:val="99"/>
    <w:rsid w:val="00186E66"/>
    <w:rPr>
      <w:rFonts w:ascii="Calibri" w:eastAsia="Calibri" w:hAnsi="Calibri" w:cs="Times New Roman"/>
      <w:lang w:val="es-MX"/>
    </w:rPr>
  </w:style>
  <w:style w:type="character" w:styleId="UnresolvedMention">
    <w:name w:val="Unresolved Mention"/>
    <w:basedOn w:val="DefaultParagraphFont"/>
    <w:uiPriority w:val="99"/>
    <w:semiHidden/>
    <w:unhideWhenUsed/>
    <w:rsid w:val="00EC0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68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rteidh.or.cr/docs/casos/articulos/seriec_407_esp.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corte/2018/12428FondoE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A7317-B5C0-475E-99D2-ED7F17C9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3691</Words>
  <Characters>21039</Characters>
  <Application>Microsoft Office Word</Application>
  <DocSecurity>0</DocSecurity>
  <Lines>175</Lines>
  <Paragraphs>49</Paragraphs>
  <ScaleCrop>false</ScaleCrop>
  <Company/>
  <LinksUpToDate>false</LinksUpToDate>
  <CharactersWithSpaces>24681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2021-02-11T09:49:00Z</dcterms:created>
  <dcterms:modified xsi:type="dcterms:W3CDTF">2021-02-11T09:49:00Z</dcterms:modified>
</cp:coreProperties>
</file>