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55C0" w14:textId="77777777" w:rsidR="005F7D9E" w:rsidRDefault="005F7D9E" w:rsidP="005F7D9E">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7F1D4DF" wp14:editId="73804208">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A7210A3" wp14:editId="24F50E10">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8295546" wp14:editId="14B959FD">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C8E28" w14:textId="77777777" w:rsidR="005F7D9E" w:rsidRPr="00411A74" w:rsidRDefault="005F7D9E" w:rsidP="005F7D9E">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6A563B1E" w14:textId="77777777" w:rsidR="005F7D9E" w:rsidRDefault="005F7D9E" w:rsidP="005F7D9E">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0926DCA5" w14:textId="77777777" w:rsidR="00A358B1" w:rsidRPr="004533E5" w:rsidRDefault="00A358B1" w:rsidP="00A358B1">
      <w:pPr>
        <w:spacing w:after="0" w:line="240" w:lineRule="auto"/>
        <w:jc w:val="center"/>
        <w:outlineLvl w:val="0"/>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A358B1" w:rsidRPr="004533E5" w14:paraId="7AC522F2" w14:textId="77777777" w:rsidTr="00AD02E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32EB6B40" w14:textId="77777777" w:rsidR="00A358B1" w:rsidRDefault="00A358B1" w:rsidP="00AD02E0">
            <w:pPr>
              <w:pStyle w:val="ListParagraph"/>
              <w:rPr>
                <w:rFonts w:ascii="Calibri Light" w:hAnsi="Calibri Light"/>
              </w:rPr>
            </w:pPr>
          </w:p>
          <w:p w14:paraId="0C7E50C4" w14:textId="77777777" w:rsidR="00A358B1" w:rsidRDefault="00A358B1" w:rsidP="00A358B1">
            <w:pPr>
              <w:pStyle w:val="ListParagraph"/>
              <w:numPr>
                <w:ilvl w:val="0"/>
                <w:numId w:val="1"/>
              </w:numPr>
              <w:jc w:val="center"/>
              <w:rPr>
                <w:rFonts w:ascii="Calibri Light" w:hAnsi="Calibri Light"/>
              </w:rPr>
            </w:pPr>
            <w:r w:rsidRPr="004533E5">
              <w:rPr>
                <w:rFonts w:ascii="Calibri Light" w:hAnsi="Calibri Light"/>
              </w:rPr>
              <w:t>Datos generales</w:t>
            </w:r>
          </w:p>
          <w:p w14:paraId="64ED32DD" w14:textId="77777777" w:rsidR="00A358B1" w:rsidRPr="00AC6F31" w:rsidRDefault="00A358B1" w:rsidP="00AD02E0">
            <w:pPr>
              <w:pStyle w:val="ListParagraph"/>
              <w:rPr>
                <w:rFonts w:ascii="Calibri Light" w:hAnsi="Calibri Light"/>
              </w:rPr>
            </w:pPr>
          </w:p>
        </w:tc>
      </w:tr>
      <w:tr w:rsidR="00A358B1" w:rsidRPr="004533E5" w14:paraId="035A3868" w14:textId="77777777" w:rsidTr="00AD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77DA95DF" w14:textId="77777777" w:rsidR="00A358B1" w:rsidRPr="004533E5" w:rsidRDefault="00A358B1" w:rsidP="00A358B1">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tcPr>
          <w:p w14:paraId="17B484E0" w14:textId="77777777" w:rsidR="00A358B1" w:rsidRPr="005A1DB6" w:rsidRDefault="00A358B1" w:rsidP="00AD02E0">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204291">
              <w:rPr>
                <w:rFonts w:ascii="Calibri Light" w:hAnsi="Calibri Light"/>
              </w:rPr>
              <w:t>Alberto Fernández Prieto y Carlos Alejandro Tumbeiro, Argentina</w:t>
            </w:r>
          </w:p>
        </w:tc>
      </w:tr>
      <w:tr w:rsidR="00A358B1" w:rsidRPr="004533E5" w14:paraId="7A576275" w14:textId="77777777" w:rsidTr="00AD02E0">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373295A5" w14:textId="77777777" w:rsidR="00A358B1" w:rsidRPr="00295E72" w:rsidRDefault="00A358B1" w:rsidP="00A358B1">
            <w:pPr>
              <w:pStyle w:val="ListParagraph"/>
              <w:numPr>
                <w:ilvl w:val="0"/>
                <w:numId w:val="2"/>
              </w:numPr>
              <w:rPr>
                <w:rFonts w:ascii="Calibri Light" w:hAnsi="Calibri Light"/>
              </w:rPr>
            </w:pPr>
            <w:r>
              <w:rPr>
                <w:rFonts w:ascii="Calibri Light" w:hAnsi="Calibri Light"/>
              </w:rPr>
              <w:t>Parte peticionaria</w:t>
            </w:r>
          </w:p>
        </w:tc>
        <w:tc>
          <w:tcPr>
            <w:tcW w:w="5043" w:type="dxa"/>
            <w:gridSpan w:val="2"/>
          </w:tcPr>
          <w:p w14:paraId="2AA3A6B2" w14:textId="77777777" w:rsidR="00A358B1" w:rsidRDefault="00A358B1" w:rsidP="00AD02E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Sandra E. Arroyo y Eleonora Devoto, abogadas de la Defensoría General de la Nación</w:t>
            </w:r>
          </w:p>
          <w:p w14:paraId="633EC6A4" w14:textId="77777777" w:rsidR="00A358B1" w:rsidRPr="00295E72" w:rsidRDefault="00A358B1" w:rsidP="00AD02E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Patricia A.G. Azzi, Defensora Pública Oficial de Mar de Plata)</w:t>
            </w:r>
          </w:p>
        </w:tc>
      </w:tr>
      <w:tr w:rsidR="00A358B1" w:rsidRPr="004533E5" w14:paraId="0C840FC1" w14:textId="77777777" w:rsidTr="00AD02E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05691D64" w14:textId="77777777" w:rsidR="00A358B1" w:rsidRPr="004533E5" w:rsidRDefault="00A358B1" w:rsidP="00A358B1">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tcPr>
          <w:p w14:paraId="2C99349C" w14:textId="77777777" w:rsidR="00A358B1" w:rsidRPr="00295E72" w:rsidRDefault="002D125F" w:rsidP="00A358B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A358B1" w:rsidRPr="00A358B1">
                <w:rPr>
                  <w:rStyle w:val="Hyperlink"/>
                  <w:rFonts w:ascii="Calibri Light" w:hAnsi="Calibri Light"/>
                </w:rPr>
                <w:t>Informe No. 129/17</w:t>
              </w:r>
            </w:hyperlink>
          </w:p>
        </w:tc>
      </w:tr>
      <w:tr w:rsidR="00A358B1" w:rsidRPr="004533E5" w14:paraId="0CD77438" w14:textId="77777777" w:rsidTr="00AD02E0">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415D12BD" w14:textId="77777777" w:rsidR="00A358B1" w:rsidRPr="00F725A5" w:rsidRDefault="00A358B1" w:rsidP="00A358B1">
            <w:pPr>
              <w:pStyle w:val="ListParagraph"/>
              <w:numPr>
                <w:ilvl w:val="0"/>
                <w:numId w:val="2"/>
              </w:numPr>
            </w:pPr>
            <w:r w:rsidRPr="004533E5">
              <w:rPr>
                <w:rFonts w:ascii="Calibri Light" w:hAnsi="Calibri Light"/>
              </w:rPr>
              <w:t xml:space="preserve">Tipo de informe </w:t>
            </w:r>
          </w:p>
        </w:tc>
        <w:tc>
          <w:tcPr>
            <w:tcW w:w="5043" w:type="dxa"/>
            <w:gridSpan w:val="2"/>
          </w:tcPr>
          <w:p w14:paraId="2AA4BC45" w14:textId="77777777" w:rsidR="00A358B1" w:rsidRPr="00295E72" w:rsidRDefault="00A358B1" w:rsidP="00AD02E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 (Caso en la Corte IDH)</w:t>
            </w:r>
          </w:p>
        </w:tc>
      </w:tr>
      <w:tr w:rsidR="00A358B1" w:rsidRPr="004533E5" w14:paraId="449B949C" w14:textId="77777777" w:rsidTr="00AD02E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78" w:type="dxa"/>
          </w:tcPr>
          <w:p w14:paraId="409230F5" w14:textId="77777777" w:rsidR="00A358B1" w:rsidRPr="004533E5" w:rsidRDefault="00A358B1" w:rsidP="00A358B1">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tcPr>
          <w:p w14:paraId="436CEBB7" w14:textId="77777777" w:rsidR="00A358B1" w:rsidRPr="005A1DB6" w:rsidRDefault="00A358B1" w:rsidP="00AD02E0">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A358B1">
              <w:rPr>
                <w:rFonts w:ascii="Calibri Light" w:hAnsi="Calibri Light"/>
              </w:rPr>
              <w:t>25 de octubre de 2017</w:t>
            </w:r>
          </w:p>
        </w:tc>
      </w:tr>
      <w:tr w:rsidR="00A358B1" w:rsidRPr="004533E5" w14:paraId="000EA970" w14:textId="77777777" w:rsidTr="00AD02E0">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1FA1094E" w14:textId="77777777" w:rsidR="00A358B1" w:rsidRPr="004533E5" w:rsidRDefault="00A358B1" w:rsidP="00A358B1">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FEEA6A3" w14:textId="77777777" w:rsidR="00A358B1" w:rsidRDefault="00A358B1" w:rsidP="00AD02E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5/12 (</w:t>
            </w:r>
            <w:hyperlink r:id="rId13" w:history="1">
              <w:r w:rsidRPr="00A358B1">
                <w:rPr>
                  <w:rStyle w:val="Hyperlink"/>
                  <w:rFonts w:ascii="Calibri Light" w:hAnsi="Calibri Light"/>
                </w:rPr>
                <w:t>Admisibilidad</w:t>
              </w:r>
            </w:hyperlink>
            <w:r>
              <w:rPr>
                <w:rFonts w:ascii="Calibri Light" w:hAnsi="Calibri Light"/>
              </w:rPr>
              <w:t xml:space="preserve">) </w:t>
            </w:r>
          </w:p>
          <w:p w14:paraId="017BA8FD" w14:textId="77777777" w:rsidR="005F7D9E" w:rsidRPr="00295E72" w:rsidRDefault="005F7D9E" w:rsidP="005F7D9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Fernández Prieto y Tumbeiro vs. Argentina (</w:t>
            </w:r>
            <w:hyperlink r:id="rId14" w:history="1">
              <w:r w:rsidRPr="005F7D9E">
                <w:rPr>
                  <w:rStyle w:val="Hyperlink"/>
                  <w:rFonts w:ascii="Calibri Light" w:hAnsi="Calibri Light"/>
                </w:rPr>
                <w:t>Sentencia de 1 de septiembre de 2020</w:t>
              </w:r>
            </w:hyperlink>
            <w:r>
              <w:rPr>
                <w:rFonts w:ascii="Calibri Light" w:hAnsi="Calibri Light"/>
              </w:rPr>
              <w:t>)</w:t>
            </w:r>
          </w:p>
        </w:tc>
      </w:tr>
      <w:tr w:rsidR="00A358B1" w:rsidRPr="004533E5" w14:paraId="7016E0C3" w14:textId="77777777" w:rsidTr="00AD02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4D86D1A7" w14:textId="77777777" w:rsidR="00A358B1" w:rsidRDefault="00A358B1" w:rsidP="00A358B1">
            <w:pPr>
              <w:pStyle w:val="ListParagraph"/>
              <w:numPr>
                <w:ilvl w:val="0"/>
                <w:numId w:val="2"/>
              </w:numPr>
              <w:rPr>
                <w:rFonts w:ascii="Calibri Light" w:hAnsi="Calibri Light"/>
              </w:rPr>
            </w:pPr>
            <w:r>
              <w:rPr>
                <w:rFonts w:ascii="Calibri Light" w:hAnsi="Calibri Light"/>
              </w:rPr>
              <w:t>Artículos analizados</w:t>
            </w:r>
          </w:p>
        </w:tc>
        <w:tc>
          <w:tcPr>
            <w:tcW w:w="5043" w:type="dxa"/>
            <w:gridSpan w:val="2"/>
          </w:tcPr>
          <w:p w14:paraId="4825E033" w14:textId="77777777" w:rsidR="00A358B1" w:rsidRPr="00295E72" w:rsidRDefault="00C65187" w:rsidP="00AD02E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A358B1" w:rsidRPr="004533E5" w14:paraId="51DF6B07" w14:textId="77777777" w:rsidTr="00AD02E0">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38B989AF" w14:textId="77777777" w:rsidR="00A358B1" w:rsidRDefault="00A358B1" w:rsidP="00A358B1">
            <w:pPr>
              <w:pStyle w:val="ListParagraph"/>
              <w:numPr>
                <w:ilvl w:val="0"/>
                <w:numId w:val="2"/>
              </w:numPr>
              <w:rPr>
                <w:rFonts w:ascii="Calibri Light" w:hAnsi="Calibri Light"/>
              </w:rPr>
            </w:pPr>
          </w:p>
        </w:tc>
        <w:tc>
          <w:tcPr>
            <w:tcW w:w="2490" w:type="dxa"/>
          </w:tcPr>
          <w:p w14:paraId="40E3C754" w14:textId="77777777" w:rsidR="00A358B1" w:rsidRPr="00295E72" w:rsidRDefault="00A358B1" w:rsidP="00AD02E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7D62C9AA" w14:textId="77777777" w:rsidR="00A358B1" w:rsidRPr="00295E72" w:rsidRDefault="00A358B1" w:rsidP="00AD02E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A358B1" w:rsidRPr="00C65187" w14:paraId="6DCC8E96" w14:textId="77777777" w:rsidTr="00AD02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0319D785" w14:textId="77777777" w:rsidR="00A358B1" w:rsidRDefault="00A358B1" w:rsidP="00A358B1">
            <w:pPr>
              <w:pStyle w:val="ListParagraph"/>
              <w:numPr>
                <w:ilvl w:val="0"/>
                <w:numId w:val="2"/>
              </w:numPr>
              <w:rPr>
                <w:rFonts w:ascii="Calibri Light" w:hAnsi="Calibri Light"/>
              </w:rPr>
            </w:pPr>
          </w:p>
        </w:tc>
        <w:tc>
          <w:tcPr>
            <w:tcW w:w="2490" w:type="dxa"/>
          </w:tcPr>
          <w:p w14:paraId="116DB2FB" w14:textId="77777777" w:rsidR="00A358B1" w:rsidRPr="009B1FAF" w:rsidRDefault="00C65187" w:rsidP="00AD02E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9B1FAF">
              <w:rPr>
                <w:rFonts w:ascii="Calibri Light" w:hAnsi="Calibri Light"/>
                <w:lang w:val="en-US"/>
              </w:rPr>
              <w:t>Art. 1, art. 2, art. 7, art. 8, art. 11, art. 25</w:t>
            </w:r>
          </w:p>
        </w:tc>
        <w:tc>
          <w:tcPr>
            <w:tcW w:w="2553" w:type="dxa"/>
            <w:vAlign w:val="center"/>
          </w:tcPr>
          <w:p w14:paraId="3877FA5D" w14:textId="77777777" w:rsidR="00A358B1" w:rsidRPr="009B1FAF" w:rsidRDefault="009B1FAF" w:rsidP="00AD02E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9B1FAF">
              <w:rPr>
                <w:rFonts w:ascii="Calibri Light" w:hAnsi="Calibri Light"/>
                <w:lang w:val="en-US"/>
              </w:rPr>
              <w:t>-</w:t>
            </w:r>
          </w:p>
        </w:tc>
      </w:tr>
      <w:tr w:rsidR="00A358B1" w:rsidRPr="004533E5" w14:paraId="59AA5A1E" w14:textId="77777777" w:rsidTr="00AD02E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86F14C" w14:textId="77777777" w:rsidR="00A358B1" w:rsidRPr="00C65187" w:rsidRDefault="00A358B1" w:rsidP="00AD02E0">
            <w:pPr>
              <w:pStyle w:val="ListParagraph"/>
              <w:rPr>
                <w:rFonts w:ascii="Calibri Light" w:hAnsi="Calibri Light"/>
                <w:lang w:val="en-US"/>
              </w:rPr>
            </w:pPr>
          </w:p>
          <w:p w14:paraId="62E3E486" w14:textId="77777777" w:rsidR="00A358B1" w:rsidRDefault="00A358B1" w:rsidP="00A358B1">
            <w:pPr>
              <w:pStyle w:val="ListParagraph"/>
              <w:numPr>
                <w:ilvl w:val="0"/>
                <w:numId w:val="1"/>
              </w:numPr>
              <w:jc w:val="center"/>
              <w:rPr>
                <w:rFonts w:ascii="Calibri Light" w:hAnsi="Calibri Light"/>
              </w:rPr>
            </w:pPr>
            <w:r w:rsidRPr="004533E5">
              <w:rPr>
                <w:rFonts w:ascii="Calibri Light" w:hAnsi="Calibri Light"/>
              </w:rPr>
              <w:t>Sumilla</w:t>
            </w:r>
          </w:p>
          <w:p w14:paraId="5BC2C271" w14:textId="77777777" w:rsidR="00A358B1" w:rsidRPr="004533E5" w:rsidRDefault="00A358B1" w:rsidP="00AD02E0">
            <w:pPr>
              <w:pStyle w:val="ListParagraph"/>
              <w:rPr>
                <w:rFonts w:ascii="Calibri Light" w:hAnsi="Calibri Light"/>
              </w:rPr>
            </w:pPr>
          </w:p>
        </w:tc>
      </w:tr>
      <w:tr w:rsidR="00A358B1" w:rsidRPr="004533E5" w14:paraId="0A86531A" w14:textId="77777777" w:rsidTr="00AD02E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77500E68" w14:textId="77777777" w:rsidR="00FC70F3" w:rsidRDefault="00FC70F3" w:rsidP="00FE67DC">
            <w:pPr>
              <w:jc w:val="both"/>
              <w:rPr>
                <w:rFonts w:ascii="Calibri Light" w:hAnsi="Calibri Light"/>
                <w:b w:val="0"/>
              </w:rPr>
            </w:pPr>
          </w:p>
          <w:p w14:paraId="55459FFE" w14:textId="77777777" w:rsidR="00B306AB" w:rsidRDefault="00B306AB" w:rsidP="00B306AB">
            <w:pPr>
              <w:jc w:val="both"/>
              <w:rPr>
                <w:rFonts w:ascii="Calibri Light" w:hAnsi="Calibri Light"/>
                <w:b w:val="0"/>
              </w:rPr>
            </w:pPr>
            <w:r>
              <w:rPr>
                <w:rFonts w:ascii="Calibri Light" w:hAnsi="Calibri Light"/>
                <w:b w:val="0"/>
              </w:rPr>
              <w:t xml:space="preserve">El caso se enmarca en un contexto en el que la policía realizaba numerosas detenciones sin orden judicial, amparándose en la normativa argentina que le daba dicha potestad cuando existiera una sospecha razonable de que </w:t>
            </w:r>
            <w:r w:rsidR="00926650">
              <w:rPr>
                <w:rFonts w:ascii="Calibri Light" w:hAnsi="Calibri Light"/>
                <w:b w:val="0"/>
              </w:rPr>
              <w:t xml:space="preserve">se había cometido o se podía cometer un delito. En estas circunstancias, </w:t>
            </w:r>
            <w:r w:rsidR="00926650" w:rsidRPr="00926650">
              <w:rPr>
                <w:rFonts w:ascii="Calibri Light" w:hAnsi="Calibri Light"/>
                <w:b w:val="0"/>
              </w:rPr>
              <w:t>Alberto Fernández Prieto</w:t>
            </w:r>
            <w:r w:rsidR="00926650" w:rsidRPr="00204291">
              <w:rPr>
                <w:rFonts w:ascii="Calibri Light" w:hAnsi="Calibri Light"/>
              </w:rPr>
              <w:t xml:space="preserve"> </w:t>
            </w:r>
            <w:r w:rsidR="00926650">
              <w:rPr>
                <w:rFonts w:ascii="Calibri Light" w:hAnsi="Calibri Light"/>
                <w:b w:val="0"/>
              </w:rPr>
              <w:t>fue detenido por “actitudes sospechosas”, mientras que se realizó una requisa contra Carlos Alberto Tu</w:t>
            </w:r>
            <w:r w:rsidR="00072A53">
              <w:rPr>
                <w:rFonts w:ascii="Calibri Light" w:hAnsi="Calibri Light"/>
                <w:b w:val="0"/>
              </w:rPr>
              <w:t>mbeiro debido a su nerviosismo,</w:t>
            </w:r>
            <w:r w:rsidR="00926650">
              <w:rPr>
                <w:rFonts w:ascii="Calibri Light" w:hAnsi="Calibri Light"/>
                <w:b w:val="0"/>
              </w:rPr>
              <w:t xml:space="preserve"> su forma de vestir</w:t>
            </w:r>
            <w:r w:rsidR="00072A53">
              <w:rPr>
                <w:rFonts w:ascii="Calibri Light" w:hAnsi="Calibri Light"/>
                <w:b w:val="0"/>
              </w:rPr>
              <w:t xml:space="preserve"> y a los objetos que llevaba consigo</w:t>
            </w:r>
            <w:r w:rsidR="00926650">
              <w:rPr>
                <w:rFonts w:ascii="Calibri Light" w:hAnsi="Calibri Light"/>
                <w:b w:val="0"/>
              </w:rPr>
              <w:t xml:space="preserve">. En estas diligencias, los agentes policiales habrían encontrado estupefacientes entre las posesiones del señor Fernández y Tumbeiro, lo cual llevó a que luego fueran condenados, respectivamente, por los delitos de transporte y tenencia de estupefacientes. </w:t>
            </w:r>
          </w:p>
          <w:p w14:paraId="6B17C8FC" w14:textId="77777777" w:rsidR="00B306AB" w:rsidRPr="004533E5" w:rsidRDefault="00B306AB" w:rsidP="00B306AB">
            <w:pPr>
              <w:jc w:val="both"/>
              <w:rPr>
                <w:rFonts w:ascii="Calibri Light" w:hAnsi="Calibri Light"/>
                <w:b w:val="0"/>
              </w:rPr>
            </w:pPr>
          </w:p>
        </w:tc>
      </w:tr>
      <w:tr w:rsidR="00A358B1" w:rsidRPr="004533E5" w14:paraId="27505E75" w14:textId="77777777" w:rsidTr="00AD02E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E2EC11E" w14:textId="77777777" w:rsidR="00A358B1" w:rsidRDefault="00A358B1" w:rsidP="00AD02E0">
            <w:pPr>
              <w:pStyle w:val="ListParagraph"/>
              <w:rPr>
                <w:rFonts w:ascii="Calibri Light" w:hAnsi="Calibri Light"/>
              </w:rPr>
            </w:pPr>
          </w:p>
          <w:p w14:paraId="42B39056" w14:textId="77777777" w:rsidR="00A358B1" w:rsidRDefault="00A358B1" w:rsidP="00A358B1">
            <w:pPr>
              <w:pStyle w:val="ListParagraph"/>
              <w:numPr>
                <w:ilvl w:val="0"/>
                <w:numId w:val="1"/>
              </w:numPr>
              <w:jc w:val="center"/>
              <w:rPr>
                <w:rFonts w:ascii="Calibri Light" w:hAnsi="Calibri Light"/>
              </w:rPr>
            </w:pPr>
            <w:r w:rsidRPr="004533E5">
              <w:rPr>
                <w:rFonts w:ascii="Calibri Light" w:hAnsi="Calibri Light"/>
              </w:rPr>
              <w:t>Palabras clave</w:t>
            </w:r>
          </w:p>
          <w:p w14:paraId="7DB5176B" w14:textId="77777777" w:rsidR="00A358B1" w:rsidRPr="004533E5" w:rsidRDefault="00A358B1" w:rsidP="00AD02E0">
            <w:pPr>
              <w:pStyle w:val="ListParagraph"/>
              <w:rPr>
                <w:rFonts w:ascii="Calibri Light" w:hAnsi="Calibri Light"/>
              </w:rPr>
            </w:pPr>
          </w:p>
        </w:tc>
      </w:tr>
      <w:tr w:rsidR="00A358B1" w:rsidRPr="004533E5" w14:paraId="73FA8E88" w14:textId="77777777" w:rsidTr="00AD02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51446846" w14:textId="77777777" w:rsidR="00A358B1" w:rsidRDefault="00A358B1" w:rsidP="00A358B1">
            <w:pPr>
              <w:jc w:val="both"/>
              <w:rPr>
                <w:rFonts w:ascii="Calibri Light" w:hAnsi="Calibri Light"/>
                <w:b w:val="0"/>
              </w:rPr>
            </w:pPr>
          </w:p>
          <w:p w14:paraId="486120FE" w14:textId="77777777" w:rsidR="009B1FAF" w:rsidRDefault="009B1FAF" w:rsidP="00A358B1">
            <w:pPr>
              <w:jc w:val="both"/>
              <w:rPr>
                <w:rFonts w:ascii="Calibri Light" w:hAnsi="Calibri Light"/>
                <w:b w:val="0"/>
              </w:rPr>
            </w:pPr>
            <w:r>
              <w:rPr>
                <w:rFonts w:ascii="Calibri Light" w:hAnsi="Calibri Light"/>
                <w:b w:val="0"/>
              </w:rPr>
              <w:t>Libertad personal, Protección judicial y garantías judiciales, Vida privada</w:t>
            </w:r>
          </w:p>
          <w:p w14:paraId="513B88C3" w14:textId="77777777" w:rsidR="0003344C" w:rsidRPr="004533E5" w:rsidRDefault="0003344C" w:rsidP="00A358B1">
            <w:pPr>
              <w:jc w:val="both"/>
              <w:rPr>
                <w:rFonts w:ascii="Calibri Light" w:hAnsi="Calibri Light"/>
                <w:b w:val="0"/>
              </w:rPr>
            </w:pPr>
          </w:p>
        </w:tc>
      </w:tr>
      <w:tr w:rsidR="00A358B1" w:rsidRPr="004533E5" w14:paraId="5EB6B34C" w14:textId="77777777" w:rsidTr="00AD02E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E3AF49C" w14:textId="77777777" w:rsidR="00A358B1" w:rsidRDefault="00A358B1" w:rsidP="00AD02E0">
            <w:pPr>
              <w:pStyle w:val="ListParagraph"/>
              <w:rPr>
                <w:rFonts w:ascii="Calibri Light" w:hAnsi="Calibri Light"/>
              </w:rPr>
            </w:pPr>
          </w:p>
          <w:p w14:paraId="66C6F297" w14:textId="77777777" w:rsidR="00A358B1" w:rsidRDefault="00A358B1" w:rsidP="00A358B1">
            <w:pPr>
              <w:pStyle w:val="ListParagraph"/>
              <w:numPr>
                <w:ilvl w:val="0"/>
                <w:numId w:val="1"/>
              </w:numPr>
              <w:jc w:val="center"/>
              <w:rPr>
                <w:rFonts w:ascii="Calibri Light" w:hAnsi="Calibri Light"/>
              </w:rPr>
            </w:pPr>
            <w:r w:rsidRPr="004533E5">
              <w:rPr>
                <w:rFonts w:ascii="Calibri Light" w:hAnsi="Calibri Light"/>
              </w:rPr>
              <w:t>Hechos</w:t>
            </w:r>
          </w:p>
          <w:p w14:paraId="795576AD" w14:textId="77777777" w:rsidR="00A358B1" w:rsidRPr="004533E5" w:rsidRDefault="00A358B1" w:rsidP="00AD02E0">
            <w:pPr>
              <w:pStyle w:val="ListParagraph"/>
              <w:rPr>
                <w:rFonts w:ascii="Calibri Light" w:hAnsi="Calibri Light"/>
              </w:rPr>
            </w:pPr>
          </w:p>
        </w:tc>
      </w:tr>
      <w:tr w:rsidR="00A358B1" w:rsidRPr="004533E5" w14:paraId="7140CA3C" w14:textId="77777777" w:rsidTr="00AD02E0">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2094C8B" w14:textId="77777777" w:rsidR="00A358B1" w:rsidRDefault="00A358B1" w:rsidP="00AD02E0">
            <w:pPr>
              <w:jc w:val="both"/>
              <w:rPr>
                <w:rFonts w:ascii="Calibri Light" w:hAnsi="Calibri Light"/>
                <w:b w:val="0"/>
              </w:rPr>
            </w:pPr>
          </w:p>
          <w:p w14:paraId="59CA337B" w14:textId="77777777" w:rsidR="00C7448F" w:rsidRDefault="00EB446A" w:rsidP="00AD02E0">
            <w:pPr>
              <w:jc w:val="both"/>
              <w:rPr>
                <w:rFonts w:ascii="Calibri Light" w:hAnsi="Calibri Light"/>
                <w:b w:val="0"/>
              </w:rPr>
            </w:pPr>
            <w:r>
              <w:rPr>
                <w:rFonts w:ascii="Calibri Light" w:hAnsi="Calibri Light"/>
                <w:b w:val="0"/>
              </w:rPr>
              <w:t xml:space="preserve">En Argentina, para el año 1992, el Código de Procedimiento en Materia Penal </w:t>
            </w:r>
            <w:r w:rsidR="00A73EDC">
              <w:rPr>
                <w:rFonts w:ascii="Calibri Light" w:hAnsi="Calibri Light"/>
                <w:b w:val="0"/>
              </w:rPr>
              <w:t>permitía</w:t>
            </w:r>
            <w:r>
              <w:rPr>
                <w:rFonts w:ascii="Calibri Light" w:hAnsi="Calibri Light"/>
                <w:b w:val="0"/>
              </w:rPr>
              <w:t xml:space="preserve"> que la policía </w:t>
            </w:r>
            <w:r w:rsidR="00A73EDC">
              <w:rPr>
                <w:rFonts w:ascii="Calibri Light" w:hAnsi="Calibri Light"/>
                <w:b w:val="0"/>
              </w:rPr>
              <w:t>detuviese sin orden judicial</w:t>
            </w:r>
            <w:r>
              <w:rPr>
                <w:rFonts w:ascii="Calibri Light" w:hAnsi="Calibri Light"/>
                <w:b w:val="0"/>
              </w:rPr>
              <w:t xml:space="preserve"> a personas contra quienes existieran “indicios vehementes o semiplena prueba de culpabilidad”. </w:t>
            </w:r>
            <w:r w:rsidR="000B3D07">
              <w:rPr>
                <w:rFonts w:ascii="Calibri Light" w:hAnsi="Calibri Light"/>
                <w:b w:val="0"/>
              </w:rPr>
              <w:t xml:space="preserve">Asimismo, la Ley No. 23.950 de 1991 señalaba que se podía detener a una persona sin orden judicial cuando existieran “circunstancias debidamente fundadas” que hiciesen presumir que hubiera o pudiera cometer un delito y no acreditara fehacientemente su identidad. </w:t>
            </w:r>
            <w:r w:rsidR="00A73EDC">
              <w:rPr>
                <w:rFonts w:ascii="Calibri Light" w:hAnsi="Calibri Light"/>
                <w:b w:val="0"/>
              </w:rPr>
              <w:t xml:space="preserve">De manera posterior a </w:t>
            </w:r>
            <w:r w:rsidR="000B3D07">
              <w:rPr>
                <w:rFonts w:ascii="Calibri Light" w:hAnsi="Calibri Light"/>
                <w:b w:val="0"/>
              </w:rPr>
              <w:t>1992</w:t>
            </w:r>
            <w:r w:rsidR="00A73EDC">
              <w:rPr>
                <w:rFonts w:ascii="Calibri Light" w:hAnsi="Calibri Light"/>
                <w:b w:val="0"/>
              </w:rPr>
              <w:t xml:space="preserve">, el Código Procesal Penal estableció que se podía detener a una persona </w:t>
            </w:r>
            <w:r w:rsidR="00FC70F3">
              <w:rPr>
                <w:rFonts w:ascii="Calibri Light" w:hAnsi="Calibri Light"/>
                <w:b w:val="0"/>
              </w:rPr>
              <w:t xml:space="preserve">sin orden judicial </w:t>
            </w:r>
            <w:r w:rsidR="00A73EDC">
              <w:rPr>
                <w:rFonts w:ascii="Calibri Light" w:hAnsi="Calibri Light"/>
                <w:b w:val="0"/>
              </w:rPr>
              <w:t xml:space="preserve">cuando hubiera </w:t>
            </w:r>
            <w:r w:rsidR="00D16D6C">
              <w:rPr>
                <w:rFonts w:ascii="Calibri Light" w:hAnsi="Calibri Light"/>
                <w:b w:val="0"/>
              </w:rPr>
              <w:t>“indicios vehementes de culpabilidad” y exist</w:t>
            </w:r>
            <w:r w:rsidR="002965F7">
              <w:rPr>
                <w:rFonts w:ascii="Calibri Light" w:hAnsi="Calibri Light"/>
                <w:b w:val="0"/>
              </w:rPr>
              <w:t>iera</w:t>
            </w:r>
            <w:r w:rsidR="00D16D6C">
              <w:rPr>
                <w:rFonts w:ascii="Calibri Light" w:hAnsi="Calibri Light"/>
                <w:b w:val="0"/>
              </w:rPr>
              <w:t xml:space="preserve"> peligro de fuga u obstaculización. </w:t>
            </w:r>
          </w:p>
          <w:p w14:paraId="3D25DE5C" w14:textId="77777777" w:rsidR="00C7448F" w:rsidRDefault="00C7448F" w:rsidP="00AD02E0">
            <w:pPr>
              <w:jc w:val="both"/>
              <w:rPr>
                <w:rFonts w:ascii="Calibri Light" w:hAnsi="Calibri Light"/>
                <w:b w:val="0"/>
              </w:rPr>
            </w:pPr>
          </w:p>
          <w:p w14:paraId="70D03FBE" w14:textId="77777777" w:rsidR="0046012B" w:rsidRDefault="00FC70F3" w:rsidP="00AD02E0">
            <w:pPr>
              <w:jc w:val="both"/>
              <w:rPr>
                <w:rFonts w:ascii="Calibri Light" w:hAnsi="Calibri Light"/>
                <w:b w:val="0"/>
              </w:rPr>
            </w:pPr>
            <w:r>
              <w:rPr>
                <w:rFonts w:ascii="Calibri Light" w:hAnsi="Calibri Light"/>
                <w:b w:val="0"/>
              </w:rPr>
              <w:t xml:space="preserve">Bajo este marco legal, se realizaron </w:t>
            </w:r>
            <w:r w:rsidR="000B3D07">
              <w:rPr>
                <w:rFonts w:ascii="Calibri Light" w:hAnsi="Calibri Light"/>
                <w:b w:val="0"/>
              </w:rPr>
              <w:t xml:space="preserve">numerosas detenciones sin orden judicial que fueron objeto de </w:t>
            </w:r>
            <w:r w:rsidR="00D560E8">
              <w:rPr>
                <w:rFonts w:ascii="Calibri Light" w:hAnsi="Calibri Light"/>
                <w:b w:val="0"/>
              </w:rPr>
              <w:t>atención</w:t>
            </w:r>
            <w:r w:rsidR="000B3D07">
              <w:rPr>
                <w:rFonts w:ascii="Calibri Light" w:hAnsi="Calibri Light"/>
                <w:b w:val="0"/>
              </w:rPr>
              <w:t xml:space="preserve"> de organismos internacionales</w:t>
            </w:r>
            <w:r w:rsidR="00D560E8">
              <w:rPr>
                <w:rFonts w:ascii="Calibri Light" w:hAnsi="Calibri Light"/>
                <w:b w:val="0"/>
              </w:rPr>
              <w:t xml:space="preserve">, </w:t>
            </w:r>
            <w:r w:rsidR="000B3D07">
              <w:rPr>
                <w:rFonts w:ascii="Calibri Light" w:hAnsi="Calibri Light"/>
                <w:b w:val="0"/>
              </w:rPr>
              <w:t xml:space="preserve">organizaciones de la sociedad civil e incluso instituciones nacionales. </w:t>
            </w:r>
            <w:r w:rsidR="001F7336">
              <w:rPr>
                <w:rFonts w:ascii="Calibri Light" w:hAnsi="Calibri Light"/>
                <w:b w:val="0"/>
              </w:rPr>
              <w:t xml:space="preserve">Estas </w:t>
            </w:r>
            <w:r w:rsidR="00D560E8">
              <w:rPr>
                <w:rFonts w:ascii="Calibri Light" w:hAnsi="Calibri Light"/>
                <w:b w:val="0"/>
              </w:rPr>
              <w:t xml:space="preserve">observaron que muchas </w:t>
            </w:r>
            <w:r w:rsidR="001F7336">
              <w:rPr>
                <w:rFonts w:ascii="Calibri Light" w:hAnsi="Calibri Light"/>
                <w:b w:val="0"/>
              </w:rPr>
              <w:t>de</w:t>
            </w:r>
            <w:r w:rsidR="00D560E8">
              <w:rPr>
                <w:rFonts w:ascii="Calibri Light" w:hAnsi="Calibri Light"/>
                <w:b w:val="0"/>
              </w:rPr>
              <w:t xml:space="preserve"> </w:t>
            </w:r>
            <w:r w:rsidR="001F7336">
              <w:rPr>
                <w:rFonts w:ascii="Calibri Light" w:hAnsi="Calibri Light"/>
                <w:b w:val="0"/>
              </w:rPr>
              <w:t xml:space="preserve">esas </w:t>
            </w:r>
            <w:r w:rsidR="00D560E8">
              <w:rPr>
                <w:rFonts w:ascii="Calibri Light" w:hAnsi="Calibri Light"/>
                <w:b w:val="0"/>
              </w:rPr>
              <w:t>detenciones se realiza</w:t>
            </w:r>
            <w:r w:rsidR="001F7336">
              <w:rPr>
                <w:rFonts w:ascii="Calibri Light" w:hAnsi="Calibri Light"/>
                <w:b w:val="0"/>
              </w:rPr>
              <w:t>ro</w:t>
            </w:r>
            <w:r w:rsidR="00D560E8">
              <w:rPr>
                <w:rFonts w:ascii="Calibri Light" w:hAnsi="Calibri Light"/>
                <w:b w:val="0"/>
              </w:rPr>
              <w:t>n sin que existiera</w:t>
            </w:r>
            <w:r w:rsidR="001F7336">
              <w:rPr>
                <w:rFonts w:ascii="Calibri Light" w:hAnsi="Calibri Light"/>
                <w:b w:val="0"/>
              </w:rPr>
              <w:t xml:space="preserve"> realmente una sospecha razonable, arrestando a personas simplemente p</w:t>
            </w:r>
            <w:r w:rsidR="00E44277">
              <w:rPr>
                <w:rFonts w:ascii="Calibri Light" w:hAnsi="Calibri Light"/>
                <w:b w:val="0"/>
              </w:rPr>
              <w:t xml:space="preserve">or merodear, </w:t>
            </w:r>
            <w:r w:rsidR="001F7336">
              <w:rPr>
                <w:rFonts w:ascii="Calibri Light" w:hAnsi="Calibri Light"/>
                <w:b w:val="0"/>
              </w:rPr>
              <w:t>no justif</w:t>
            </w:r>
            <w:r w:rsidR="00E44277">
              <w:rPr>
                <w:rFonts w:ascii="Calibri Light" w:hAnsi="Calibri Light"/>
                <w:b w:val="0"/>
              </w:rPr>
              <w:t>icar su permanencia en un lugar</w:t>
            </w:r>
            <w:r w:rsidR="001F7336">
              <w:rPr>
                <w:rFonts w:ascii="Calibri Light" w:hAnsi="Calibri Light"/>
                <w:b w:val="0"/>
              </w:rPr>
              <w:t xml:space="preserve"> o no identificarse. </w:t>
            </w:r>
          </w:p>
          <w:p w14:paraId="002A5171" w14:textId="77777777" w:rsidR="001F7336" w:rsidRDefault="001F7336" w:rsidP="00AD02E0">
            <w:pPr>
              <w:jc w:val="both"/>
              <w:rPr>
                <w:rFonts w:ascii="Calibri Light" w:hAnsi="Calibri Light"/>
                <w:b w:val="0"/>
              </w:rPr>
            </w:pPr>
          </w:p>
          <w:p w14:paraId="72830170" w14:textId="77777777" w:rsidR="00A873C9" w:rsidRDefault="001F7336" w:rsidP="00AD02E0">
            <w:pPr>
              <w:jc w:val="both"/>
              <w:rPr>
                <w:rFonts w:ascii="Calibri Light" w:hAnsi="Calibri Light"/>
                <w:b w:val="0"/>
              </w:rPr>
            </w:pPr>
            <w:r>
              <w:rPr>
                <w:rFonts w:ascii="Calibri Light" w:hAnsi="Calibri Light"/>
                <w:b w:val="0"/>
              </w:rPr>
              <w:t xml:space="preserve">En ese contexto, el 26 de mayo de 1992, </w:t>
            </w:r>
            <w:r w:rsidR="004649BC">
              <w:rPr>
                <w:rFonts w:ascii="Calibri Light" w:hAnsi="Calibri Light"/>
                <w:b w:val="0"/>
              </w:rPr>
              <w:t xml:space="preserve">Alberto Fernández Prieto y otras dos personas fueron </w:t>
            </w:r>
            <w:r w:rsidR="003825CA">
              <w:rPr>
                <w:rFonts w:ascii="Calibri Light" w:hAnsi="Calibri Light"/>
                <w:b w:val="0"/>
              </w:rPr>
              <w:t>detenid</w:t>
            </w:r>
            <w:r w:rsidR="00A873C9">
              <w:rPr>
                <w:rFonts w:ascii="Calibri Light" w:hAnsi="Calibri Light"/>
                <w:b w:val="0"/>
              </w:rPr>
              <w:t>o</w:t>
            </w:r>
            <w:r w:rsidR="003825CA">
              <w:rPr>
                <w:rFonts w:ascii="Calibri Light" w:hAnsi="Calibri Light"/>
                <w:b w:val="0"/>
              </w:rPr>
              <w:t>s</w:t>
            </w:r>
            <w:r w:rsidR="004649BC">
              <w:rPr>
                <w:rFonts w:ascii="Calibri Light" w:hAnsi="Calibri Light"/>
                <w:b w:val="0"/>
              </w:rPr>
              <w:t xml:space="preserve"> mientras se encontraban en su vehículo al encontrarse en “actitud sospechosa”</w:t>
            </w:r>
            <w:r w:rsidR="003825CA">
              <w:rPr>
                <w:rFonts w:ascii="Calibri Light" w:hAnsi="Calibri Light"/>
                <w:b w:val="0"/>
              </w:rPr>
              <w:t xml:space="preserve">. De acuerdo al acta de detención, se encontraron paquetes de marihuana sobre los cuales asumió responsabilidad el señor Fernández. </w:t>
            </w:r>
            <w:r w:rsidR="00E44277">
              <w:rPr>
                <w:rFonts w:ascii="Calibri Light" w:hAnsi="Calibri Light"/>
                <w:b w:val="0"/>
              </w:rPr>
              <w:t>En base a estos hechos se dictó ese mismo año prisión preventiva en su contra y se le acusó en 1995 por el delito de transporte de estupefacientes. Su defensa alegó que la detención y requisa efectuada en su con</w:t>
            </w:r>
            <w:r w:rsidR="0010096E">
              <w:rPr>
                <w:rFonts w:ascii="Calibri Light" w:hAnsi="Calibri Light"/>
                <w:b w:val="0"/>
              </w:rPr>
              <w:t xml:space="preserve">tra habían sido arbitrarias, pues no bastaba la “mera sospecha”. A pesar de ello, el señor Fernández fue condenado a cinco años de prisión en 1996. </w:t>
            </w:r>
          </w:p>
          <w:p w14:paraId="26DB1808" w14:textId="77777777" w:rsidR="00A873C9" w:rsidRDefault="00A873C9" w:rsidP="00AD02E0">
            <w:pPr>
              <w:jc w:val="both"/>
              <w:rPr>
                <w:rFonts w:ascii="Calibri Light" w:hAnsi="Calibri Light"/>
                <w:b w:val="0"/>
              </w:rPr>
            </w:pPr>
          </w:p>
          <w:p w14:paraId="3E35B3D0" w14:textId="77777777" w:rsidR="00E718AA" w:rsidRDefault="0010096E" w:rsidP="00AD02E0">
            <w:pPr>
              <w:jc w:val="both"/>
              <w:rPr>
                <w:rFonts w:ascii="Calibri Light" w:hAnsi="Calibri Light"/>
                <w:b w:val="0"/>
              </w:rPr>
            </w:pPr>
            <w:r>
              <w:rPr>
                <w:rFonts w:ascii="Calibri Light" w:hAnsi="Calibri Light"/>
                <w:b w:val="0"/>
              </w:rPr>
              <w:t xml:space="preserve">Contra esta decisión </w:t>
            </w:r>
            <w:r w:rsidR="0079270D">
              <w:rPr>
                <w:rFonts w:ascii="Calibri Light" w:hAnsi="Calibri Light"/>
                <w:b w:val="0"/>
              </w:rPr>
              <w:t xml:space="preserve">se </w:t>
            </w:r>
            <w:r>
              <w:rPr>
                <w:rFonts w:ascii="Calibri Light" w:hAnsi="Calibri Light"/>
                <w:b w:val="0"/>
              </w:rPr>
              <w:t>presentó un escrito de agravio, cuestionando</w:t>
            </w:r>
            <w:r w:rsidR="008B23A9">
              <w:rPr>
                <w:rFonts w:ascii="Calibri Light" w:hAnsi="Calibri Light"/>
                <w:b w:val="0"/>
              </w:rPr>
              <w:t xml:space="preserve"> nuevamente que la detención y requisa se haya</w:t>
            </w:r>
            <w:r w:rsidR="00C6017B">
              <w:rPr>
                <w:rFonts w:ascii="Calibri Light" w:hAnsi="Calibri Light"/>
                <w:b w:val="0"/>
              </w:rPr>
              <w:t>n</w:t>
            </w:r>
            <w:r w:rsidR="008B23A9">
              <w:rPr>
                <w:rFonts w:ascii="Calibri Light" w:hAnsi="Calibri Light"/>
                <w:b w:val="0"/>
              </w:rPr>
              <w:t xml:space="preserve"> efectuado solo en base a la sospecha</w:t>
            </w:r>
            <w:r w:rsidR="00C6017B">
              <w:rPr>
                <w:rFonts w:ascii="Calibri Light" w:hAnsi="Calibri Light"/>
                <w:b w:val="0"/>
              </w:rPr>
              <w:t>. No obstante, dicho recurso fue rechazado bajo el argumento de que la requisa había sido legal por el estado de sospecha</w:t>
            </w:r>
            <w:r w:rsidR="0081474B">
              <w:rPr>
                <w:rFonts w:ascii="Calibri Light" w:hAnsi="Calibri Light"/>
                <w:b w:val="0"/>
              </w:rPr>
              <w:t xml:space="preserve"> existente</w:t>
            </w:r>
            <w:r w:rsidR="00C6017B">
              <w:rPr>
                <w:rFonts w:ascii="Calibri Light" w:hAnsi="Calibri Light"/>
                <w:b w:val="0"/>
              </w:rPr>
              <w:t xml:space="preserve"> y que lo contrario supondría impedir la labor </w:t>
            </w:r>
            <w:r w:rsidR="0081474B">
              <w:rPr>
                <w:rFonts w:ascii="Calibri Light" w:hAnsi="Calibri Light"/>
                <w:b w:val="0"/>
              </w:rPr>
              <w:t>de la policía de prevención de delitos. Frente a ello, se presentaron un recurso extraordinario y una queja que fue resuelta por la Corte Suprema d</w:t>
            </w:r>
            <w:r w:rsidR="002965F7">
              <w:rPr>
                <w:rFonts w:ascii="Calibri Light" w:hAnsi="Calibri Light"/>
                <w:b w:val="0"/>
              </w:rPr>
              <w:t>e Justicia en 1998. Esta señaló</w:t>
            </w:r>
            <w:r w:rsidR="008B23A9">
              <w:rPr>
                <w:rFonts w:ascii="Calibri Light" w:hAnsi="Calibri Light"/>
                <w:b w:val="0"/>
              </w:rPr>
              <w:t xml:space="preserve"> </w:t>
            </w:r>
            <w:r w:rsidR="0081474B">
              <w:rPr>
                <w:rFonts w:ascii="Calibri Light" w:hAnsi="Calibri Light"/>
                <w:b w:val="0"/>
              </w:rPr>
              <w:t xml:space="preserve">que el vehículo del señor Fernández fue interceptado por una actitud sospechosa que </w:t>
            </w:r>
            <w:r w:rsidR="008D4399">
              <w:rPr>
                <w:rFonts w:ascii="Calibri Light" w:hAnsi="Calibri Light"/>
                <w:b w:val="0"/>
              </w:rPr>
              <w:t>luego</w:t>
            </w:r>
            <w:r w:rsidR="0081474B">
              <w:rPr>
                <w:rFonts w:ascii="Calibri Light" w:hAnsi="Calibri Light"/>
                <w:b w:val="0"/>
              </w:rPr>
              <w:t xml:space="preserve"> </w:t>
            </w:r>
            <w:r w:rsidR="008D4399">
              <w:rPr>
                <w:rFonts w:ascii="Calibri Light" w:hAnsi="Calibri Light"/>
                <w:b w:val="0"/>
              </w:rPr>
              <w:t xml:space="preserve">fue </w:t>
            </w:r>
            <w:r w:rsidR="0081474B">
              <w:rPr>
                <w:rFonts w:ascii="Calibri Light" w:hAnsi="Calibri Light"/>
                <w:b w:val="0"/>
              </w:rPr>
              <w:t>corroborada.</w:t>
            </w:r>
            <w:r>
              <w:rPr>
                <w:rFonts w:ascii="Calibri Light" w:hAnsi="Calibri Light"/>
                <w:b w:val="0"/>
              </w:rPr>
              <w:t xml:space="preserve">  </w:t>
            </w:r>
          </w:p>
          <w:p w14:paraId="2D40024A" w14:textId="77777777" w:rsidR="001F7336" w:rsidRDefault="001F7336" w:rsidP="00AD02E0">
            <w:pPr>
              <w:jc w:val="both"/>
              <w:rPr>
                <w:rFonts w:ascii="Calibri Light" w:hAnsi="Calibri Light"/>
                <w:b w:val="0"/>
              </w:rPr>
            </w:pPr>
          </w:p>
          <w:p w14:paraId="0BA48E8D" w14:textId="77777777" w:rsidR="00DD0D3B" w:rsidRDefault="008D4399" w:rsidP="00AD02E0">
            <w:pPr>
              <w:jc w:val="both"/>
              <w:rPr>
                <w:rFonts w:ascii="Calibri Light" w:hAnsi="Calibri Light"/>
                <w:b w:val="0"/>
              </w:rPr>
            </w:pPr>
            <w:r>
              <w:rPr>
                <w:rFonts w:ascii="Calibri Light" w:hAnsi="Calibri Light"/>
                <w:b w:val="0"/>
              </w:rPr>
              <w:t>De</w:t>
            </w:r>
            <w:r w:rsidR="0079270D">
              <w:rPr>
                <w:rFonts w:ascii="Calibri Light" w:hAnsi="Calibri Light"/>
                <w:b w:val="0"/>
              </w:rPr>
              <w:t xml:space="preserve"> otro lado</w:t>
            </w:r>
            <w:r w:rsidR="0081474B">
              <w:rPr>
                <w:rFonts w:ascii="Calibri Light" w:hAnsi="Calibri Light"/>
                <w:b w:val="0"/>
              </w:rPr>
              <w:t>, el 15 de enero de 1998</w:t>
            </w:r>
            <w:r w:rsidR="001F7336">
              <w:rPr>
                <w:rFonts w:ascii="Calibri Light" w:hAnsi="Calibri Light"/>
                <w:b w:val="0"/>
              </w:rPr>
              <w:t xml:space="preserve">, </w:t>
            </w:r>
            <w:r w:rsidR="0079270D">
              <w:rPr>
                <w:rFonts w:ascii="Calibri Light" w:hAnsi="Calibri Light"/>
                <w:b w:val="0"/>
              </w:rPr>
              <w:t>se realizó una requisa contra Carlos Alejandro Tumbeiro por el nerviosismo que mostró ante la presencia de la</w:t>
            </w:r>
            <w:r w:rsidR="00072A53">
              <w:rPr>
                <w:rFonts w:ascii="Calibri Light" w:hAnsi="Calibri Light"/>
                <w:b w:val="0"/>
              </w:rPr>
              <w:t xml:space="preserve"> policía, </w:t>
            </w:r>
            <w:r w:rsidR="0079270D">
              <w:rPr>
                <w:rFonts w:ascii="Calibri Light" w:hAnsi="Calibri Light"/>
                <w:b w:val="0"/>
              </w:rPr>
              <w:t>su forma de vestir</w:t>
            </w:r>
            <w:r w:rsidR="00072A53">
              <w:rPr>
                <w:rFonts w:ascii="Calibri Light" w:hAnsi="Calibri Light"/>
                <w:b w:val="0"/>
              </w:rPr>
              <w:t xml:space="preserve"> que</w:t>
            </w:r>
            <w:r w:rsidR="0079270D">
              <w:rPr>
                <w:rFonts w:ascii="Calibri Light" w:hAnsi="Calibri Light"/>
                <w:b w:val="0"/>
              </w:rPr>
              <w:t xml:space="preserve"> no coincidía con la de la gente del lugar</w:t>
            </w:r>
            <w:r w:rsidR="00072A53">
              <w:rPr>
                <w:rFonts w:ascii="Calibri Light" w:hAnsi="Calibri Light"/>
                <w:b w:val="0"/>
              </w:rPr>
              <w:t xml:space="preserve"> y debido a que señaló que se encontraba comprando productos que no</w:t>
            </w:r>
            <w:r w:rsidR="00847343">
              <w:rPr>
                <w:rFonts w:ascii="Calibri Light" w:hAnsi="Calibri Light"/>
                <w:b w:val="0"/>
              </w:rPr>
              <w:t xml:space="preserve"> se </w:t>
            </w:r>
            <w:r w:rsidR="00072A53">
              <w:rPr>
                <w:rFonts w:ascii="Calibri Light" w:hAnsi="Calibri Light"/>
                <w:b w:val="0"/>
              </w:rPr>
              <w:t xml:space="preserve"> vendían en esa zona</w:t>
            </w:r>
            <w:r w:rsidR="0079270D">
              <w:rPr>
                <w:rFonts w:ascii="Calibri Light" w:hAnsi="Calibri Light"/>
                <w:b w:val="0"/>
              </w:rPr>
              <w:t>. Según indicó el señor Tumbeiro, los agentes policiales lo condujeron a su vehículo donde le bajaron los pantalones y la rop</w:t>
            </w:r>
            <w:r w:rsidR="00DD0D3B">
              <w:rPr>
                <w:rFonts w:ascii="Calibri Light" w:hAnsi="Calibri Light"/>
                <w:b w:val="0"/>
              </w:rPr>
              <w:t xml:space="preserve">a interior, y señalaron que llevaba consigo un periódico en el que encontraron una bolsa con cocaína. No obstante, el periódico habría estado en el asiento trasero del vehículo policial. </w:t>
            </w:r>
          </w:p>
          <w:p w14:paraId="42FD7D81" w14:textId="77777777" w:rsidR="00DD0D3B" w:rsidRDefault="00DD0D3B" w:rsidP="00AD02E0">
            <w:pPr>
              <w:jc w:val="both"/>
              <w:rPr>
                <w:rFonts w:ascii="Calibri Light" w:hAnsi="Calibri Light"/>
                <w:b w:val="0"/>
              </w:rPr>
            </w:pPr>
          </w:p>
          <w:p w14:paraId="11C4A63E" w14:textId="77777777" w:rsidR="0003344C" w:rsidRDefault="00DD0D3B" w:rsidP="00AD02E0">
            <w:pPr>
              <w:jc w:val="both"/>
              <w:rPr>
                <w:rFonts w:ascii="Calibri Light" w:hAnsi="Calibri Light"/>
                <w:b w:val="0"/>
              </w:rPr>
            </w:pPr>
            <w:r w:rsidRPr="00384244">
              <w:rPr>
                <w:rFonts w:ascii="Calibri Light" w:hAnsi="Calibri Light"/>
                <w:b w:val="0"/>
              </w:rPr>
              <w:t>Por estos hechos, el señor Tumbeiro fue condenado en 1998 a un</w:t>
            </w:r>
            <w:r>
              <w:rPr>
                <w:rFonts w:ascii="Calibri Light" w:hAnsi="Calibri Light"/>
                <w:b w:val="0"/>
              </w:rPr>
              <w:t xml:space="preserve"> año de prisión por el delito de tenencia de estupefacientes.</w:t>
            </w:r>
            <w:r w:rsidR="0079270D">
              <w:rPr>
                <w:rFonts w:ascii="Calibri Light" w:hAnsi="Calibri Light"/>
                <w:b w:val="0"/>
              </w:rPr>
              <w:t xml:space="preserve"> </w:t>
            </w:r>
            <w:r>
              <w:rPr>
                <w:rFonts w:ascii="Calibri Light" w:hAnsi="Calibri Light"/>
                <w:b w:val="0"/>
              </w:rPr>
              <w:t xml:space="preserve">Contra esta decisión, se interpuso un recurso de casación señalando que ni </w:t>
            </w:r>
            <w:r w:rsidR="00AF6FF6">
              <w:rPr>
                <w:rFonts w:ascii="Calibri Light" w:hAnsi="Calibri Light"/>
                <w:b w:val="0"/>
              </w:rPr>
              <w:t xml:space="preserve">el </w:t>
            </w:r>
            <w:r>
              <w:rPr>
                <w:rFonts w:ascii="Calibri Light" w:hAnsi="Calibri Light"/>
                <w:b w:val="0"/>
              </w:rPr>
              <w:t>nerviosismo ni la forma de vestir eran motivos suficientes para requisar o detener a una persona. Como consecuencia, se emitió una sentencia absolutoria a</w:t>
            </w:r>
            <w:r w:rsidR="00AF6FF6">
              <w:rPr>
                <w:rFonts w:ascii="Calibri Light" w:hAnsi="Calibri Light"/>
                <w:b w:val="0"/>
              </w:rPr>
              <w:t xml:space="preserve"> su</w:t>
            </w:r>
            <w:r>
              <w:rPr>
                <w:rFonts w:ascii="Calibri Light" w:hAnsi="Calibri Light"/>
                <w:b w:val="0"/>
              </w:rPr>
              <w:t xml:space="preserve"> favor. No </w:t>
            </w:r>
            <w:r>
              <w:rPr>
                <w:rFonts w:ascii="Calibri Light" w:hAnsi="Calibri Light"/>
                <w:b w:val="0"/>
              </w:rPr>
              <w:lastRenderedPageBreak/>
              <w:t xml:space="preserve">obstante, </w:t>
            </w:r>
            <w:r w:rsidR="00AF6FF6">
              <w:rPr>
                <w:rFonts w:ascii="Calibri Light" w:hAnsi="Calibri Light"/>
                <w:b w:val="0"/>
              </w:rPr>
              <w:t xml:space="preserve">esta fue cuestionada </w:t>
            </w:r>
            <w:r w:rsidR="008D4399">
              <w:rPr>
                <w:rFonts w:ascii="Calibri Light" w:hAnsi="Calibri Light"/>
                <w:b w:val="0"/>
              </w:rPr>
              <w:t>y revocada</w:t>
            </w:r>
            <w:r w:rsidR="00AF6FF6">
              <w:rPr>
                <w:rFonts w:ascii="Calibri Light" w:hAnsi="Calibri Light"/>
                <w:b w:val="0"/>
              </w:rPr>
              <w:t xml:space="preserve"> en 2002 por la Corte Suprema de Justicia. Esta consideró</w:t>
            </w:r>
            <w:r w:rsidR="008D4399">
              <w:rPr>
                <w:rFonts w:ascii="Calibri Light" w:hAnsi="Calibri Light"/>
                <w:b w:val="0"/>
              </w:rPr>
              <w:t xml:space="preserve"> que</w:t>
            </w:r>
            <w:r w:rsidR="00AF6FF6">
              <w:rPr>
                <w:rFonts w:ascii="Calibri Light" w:hAnsi="Calibri Light"/>
                <w:b w:val="0"/>
              </w:rPr>
              <w:t xml:space="preserve"> los conceptos de “causa probable” y “sospecha razonable” resultaban aplicables, y que la actitud sospechosa del señor Tumbeiro </w:t>
            </w:r>
            <w:r w:rsidR="008D4399">
              <w:rPr>
                <w:rFonts w:ascii="Calibri Light" w:hAnsi="Calibri Light"/>
                <w:b w:val="0"/>
              </w:rPr>
              <w:t xml:space="preserve">había sido </w:t>
            </w:r>
            <w:r w:rsidR="00AF6FF6">
              <w:rPr>
                <w:rFonts w:ascii="Calibri Light" w:hAnsi="Calibri Light"/>
                <w:b w:val="0"/>
              </w:rPr>
              <w:t xml:space="preserve">confirmada con el hallazgo de estupefacientes. </w:t>
            </w:r>
          </w:p>
          <w:p w14:paraId="402A4CF9" w14:textId="77777777" w:rsidR="00761D17" w:rsidRDefault="00761D17" w:rsidP="00AD02E0">
            <w:pPr>
              <w:jc w:val="both"/>
              <w:rPr>
                <w:rFonts w:ascii="Calibri Light" w:hAnsi="Calibri Light"/>
                <w:b w:val="0"/>
              </w:rPr>
            </w:pPr>
          </w:p>
          <w:p w14:paraId="31D7CBFE" w14:textId="77777777" w:rsidR="00A358B1" w:rsidRDefault="00A358B1" w:rsidP="00AD02E0">
            <w:pPr>
              <w:jc w:val="both"/>
              <w:rPr>
                <w:rFonts w:ascii="Calibri Light" w:hAnsi="Calibri Light"/>
                <w:b w:val="0"/>
              </w:rPr>
            </w:pPr>
            <w:r w:rsidRPr="00481C2F">
              <w:rPr>
                <w:rFonts w:ascii="Calibri Light" w:hAnsi="Calibri Light"/>
                <w:b w:val="0"/>
              </w:rPr>
              <w:t xml:space="preserve">Frente a tales hechos, </w:t>
            </w:r>
            <w:r>
              <w:rPr>
                <w:rFonts w:ascii="Calibri Light" w:hAnsi="Calibri Light"/>
                <w:b w:val="0"/>
              </w:rPr>
              <w:t xml:space="preserve">Sandra E. Arroyo y Eleonora Devoto, abogadas de la Defensoría General de la Nación, </w:t>
            </w:r>
            <w:r w:rsidRPr="00481C2F">
              <w:rPr>
                <w:rFonts w:ascii="Calibri Light" w:hAnsi="Calibri Light"/>
                <w:b w:val="0"/>
              </w:rPr>
              <w:t>present</w:t>
            </w:r>
            <w:r>
              <w:rPr>
                <w:rFonts w:ascii="Calibri Light" w:hAnsi="Calibri Light"/>
                <w:b w:val="0"/>
              </w:rPr>
              <w:t>aron</w:t>
            </w:r>
            <w:r w:rsidRPr="00481C2F">
              <w:rPr>
                <w:rFonts w:ascii="Calibri Light" w:hAnsi="Calibri Light"/>
                <w:b w:val="0"/>
              </w:rPr>
              <w:t xml:space="preserve"> </w:t>
            </w:r>
            <w:r w:rsidR="00482C8C">
              <w:rPr>
                <w:rFonts w:ascii="Calibri Light" w:hAnsi="Calibri Light"/>
                <w:b w:val="0"/>
              </w:rPr>
              <w:t>respectivamente dos peticiones ante la CIDH a favor de los señores Fernández y Tumbeiro</w:t>
            </w:r>
            <w:r>
              <w:rPr>
                <w:rFonts w:ascii="Calibri Light" w:hAnsi="Calibri Light"/>
                <w:b w:val="0"/>
              </w:rPr>
              <w:t xml:space="preserve">, denunciando que </w:t>
            </w:r>
            <w:r w:rsidR="00482C8C">
              <w:rPr>
                <w:rFonts w:ascii="Calibri Light" w:hAnsi="Calibri Light"/>
                <w:b w:val="0"/>
              </w:rPr>
              <w:t xml:space="preserve">el Estado de </w:t>
            </w:r>
            <w:r>
              <w:rPr>
                <w:rFonts w:ascii="Calibri Light" w:hAnsi="Calibri Light"/>
                <w:b w:val="0"/>
              </w:rPr>
              <w:t>Argentina</w:t>
            </w:r>
            <w:r w:rsidRPr="00481C2F">
              <w:rPr>
                <w:rFonts w:ascii="Calibri Light" w:hAnsi="Calibri Light"/>
                <w:b w:val="0"/>
              </w:rPr>
              <w:t xml:space="preserve"> había vulnerado </w:t>
            </w:r>
            <w:r>
              <w:rPr>
                <w:rFonts w:ascii="Calibri Light" w:hAnsi="Calibri Light"/>
                <w:b w:val="0"/>
              </w:rPr>
              <w:t xml:space="preserve">los </w:t>
            </w:r>
            <w:r w:rsidR="00482C8C">
              <w:rPr>
                <w:rFonts w:ascii="Calibri Light" w:hAnsi="Calibri Light"/>
                <w:b w:val="0"/>
              </w:rPr>
              <w:t>artículos I, V, XVIII y XXV de la Declaración Americana de Derechos del Hombre</w:t>
            </w:r>
            <w:r w:rsidR="002965F7">
              <w:rPr>
                <w:rFonts w:ascii="Calibri Light" w:hAnsi="Calibri Light"/>
                <w:b w:val="0"/>
              </w:rPr>
              <w:t>,</w:t>
            </w:r>
            <w:r w:rsidR="00482C8C">
              <w:rPr>
                <w:rFonts w:ascii="Calibri Light" w:hAnsi="Calibri Light"/>
                <w:b w:val="0"/>
              </w:rPr>
              <w:t xml:space="preserve"> y los artículos 7, 8, 11 y 25 de la Convención Americana sobre Derechos Humanos</w:t>
            </w:r>
            <w:r w:rsidR="008D4399">
              <w:rPr>
                <w:rFonts w:ascii="Calibri Light" w:hAnsi="Calibri Light"/>
                <w:b w:val="0"/>
              </w:rPr>
              <w:t xml:space="preserve"> (en adelante, CADH)</w:t>
            </w:r>
            <w:r>
              <w:rPr>
                <w:rFonts w:ascii="Calibri Light" w:hAnsi="Calibri Light"/>
                <w:b w:val="0"/>
              </w:rPr>
              <w:t xml:space="preserve">. Posteriormente, </w:t>
            </w:r>
            <w:r w:rsidR="00FF6622">
              <w:rPr>
                <w:rFonts w:ascii="Calibri Light" w:hAnsi="Calibri Light"/>
                <w:b w:val="0"/>
              </w:rPr>
              <w:t>ambas denuncias fueron acumuladas y se sumó como co-</w:t>
            </w:r>
            <w:r>
              <w:rPr>
                <w:rFonts w:ascii="Calibri Light" w:hAnsi="Calibri Light"/>
                <w:b w:val="0"/>
              </w:rPr>
              <w:t>peticionaria</w:t>
            </w:r>
            <w:r w:rsidR="00204291">
              <w:rPr>
                <w:rFonts w:ascii="Calibri Light" w:hAnsi="Calibri Light"/>
                <w:b w:val="0"/>
              </w:rPr>
              <w:t xml:space="preserve"> </w:t>
            </w:r>
            <w:r w:rsidR="00FF6622">
              <w:rPr>
                <w:rFonts w:ascii="Calibri Light" w:hAnsi="Calibri Light"/>
                <w:b w:val="0"/>
              </w:rPr>
              <w:t>Patricia A.G Azzi, Defensora Pública Oficial de Mar de Plata</w:t>
            </w:r>
            <w:r>
              <w:rPr>
                <w:rFonts w:ascii="Calibri Light" w:hAnsi="Calibri Light"/>
                <w:b w:val="0"/>
              </w:rPr>
              <w:t xml:space="preserve">. </w:t>
            </w:r>
            <w:r w:rsidR="00FF6622">
              <w:rPr>
                <w:rFonts w:ascii="Calibri Light" w:hAnsi="Calibri Light"/>
                <w:b w:val="0"/>
              </w:rPr>
              <w:t>En su informe de admisibilidad, la CIDH declaró admisible el caso respecto de los artículos 7 (derecho a la libertad personal), 8 (derecho a las garantías judiciales) y 25 (derecho a la protección judicial) de la CADH.</w:t>
            </w:r>
          </w:p>
          <w:p w14:paraId="3EB99974" w14:textId="77777777" w:rsidR="00444FC0" w:rsidRPr="00204291" w:rsidRDefault="00444FC0" w:rsidP="00AD02E0">
            <w:pPr>
              <w:jc w:val="both"/>
              <w:rPr>
                <w:rFonts w:ascii="Calibri Light" w:hAnsi="Calibri Light"/>
              </w:rPr>
            </w:pPr>
          </w:p>
        </w:tc>
      </w:tr>
      <w:tr w:rsidR="00A358B1" w:rsidRPr="004533E5" w14:paraId="7AA83167" w14:textId="77777777" w:rsidTr="00AD02E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D9B4A7E" w14:textId="77777777" w:rsidR="00A358B1" w:rsidRDefault="00A358B1" w:rsidP="00AD02E0">
            <w:pPr>
              <w:pStyle w:val="ListParagraph"/>
              <w:rPr>
                <w:rFonts w:ascii="Calibri Light" w:hAnsi="Calibri Light"/>
              </w:rPr>
            </w:pPr>
          </w:p>
          <w:p w14:paraId="2985B6CA" w14:textId="77777777" w:rsidR="00A358B1" w:rsidRDefault="00A358B1" w:rsidP="00A358B1">
            <w:pPr>
              <w:pStyle w:val="ListParagraph"/>
              <w:numPr>
                <w:ilvl w:val="0"/>
                <w:numId w:val="1"/>
              </w:numPr>
              <w:jc w:val="center"/>
              <w:rPr>
                <w:rFonts w:ascii="Calibri Light" w:hAnsi="Calibri Light"/>
              </w:rPr>
            </w:pPr>
            <w:r>
              <w:rPr>
                <w:rFonts w:ascii="Calibri Light" w:hAnsi="Calibri Light"/>
              </w:rPr>
              <w:t>Análisis jurídico</w:t>
            </w:r>
          </w:p>
          <w:p w14:paraId="09C23642" w14:textId="77777777" w:rsidR="00A358B1" w:rsidRPr="004533E5" w:rsidRDefault="00A358B1" w:rsidP="00AD02E0">
            <w:pPr>
              <w:pStyle w:val="ListParagraph"/>
              <w:rPr>
                <w:rFonts w:ascii="Calibri Light" w:hAnsi="Calibri Light"/>
              </w:rPr>
            </w:pPr>
          </w:p>
        </w:tc>
      </w:tr>
      <w:tr w:rsidR="00A358B1" w:rsidRPr="004533E5" w14:paraId="603A514F" w14:textId="77777777" w:rsidTr="00AD02E0">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21" w:type="dxa"/>
            <w:gridSpan w:val="3"/>
          </w:tcPr>
          <w:p w14:paraId="217C3BCC" w14:textId="77777777" w:rsidR="00A358B1" w:rsidRDefault="00A358B1" w:rsidP="00AD02E0">
            <w:pPr>
              <w:jc w:val="both"/>
              <w:rPr>
                <w:rFonts w:ascii="Calibri Light" w:hAnsi="Calibri Light"/>
                <w:b w:val="0"/>
              </w:rPr>
            </w:pPr>
          </w:p>
          <w:p w14:paraId="360ED2DB" w14:textId="77777777" w:rsidR="00A358B1" w:rsidRDefault="00204291" w:rsidP="00A358B1">
            <w:pPr>
              <w:jc w:val="both"/>
            </w:pPr>
            <w:r>
              <w:t xml:space="preserve">Derechos a la libertad personal, a la vida privada, a las garantías judiciales y a la protección judicial (artículos 7, 8, 11 y 25 de la </w:t>
            </w:r>
            <w:r w:rsidR="00937484">
              <w:t>CADH</w:t>
            </w:r>
            <w:r>
              <w:t>)</w:t>
            </w:r>
          </w:p>
          <w:p w14:paraId="71BBFBEA" w14:textId="77777777" w:rsidR="00204291" w:rsidRDefault="00204291" w:rsidP="00A358B1">
            <w:pPr>
              <w:jc w:val="both"/>
              <w:rPr>
                <w:rFonts w:ascii="Calibri Light" w:hAnsi="Calibri Light"/>
                <w:b w:val="0"/>
              </w:rPr>
            </w:pPr>
          </w:p>
          <w:p w14:paraId="53BC3079" w14:textId="77777777" w:rsidR="00630EA5" w:rsidRDefault="00926650" w:rsidP="00A358B1">
            <w:pPr>
              <w:jc w:val="both"/>
              <w:rPr>
                <w:rFonts w:ascii="Calibri Light" w:hAnsi="Calibri Light"/>
                <w:b w:val="0"/>
              </w:rPr>
            </w:pPr>
            <w:r>
              <w:rPr>
                <w:rFonts w:ascii="Calibri Light" w:hAnsi="Calibri Light"/>
                <w:b w:val="0"/>
              </w:rPr>
              <w:t xml:space="preserve">La CIDH recordó que el derecho a no ser privado ilegalmente de la libertad, protegido por el artículo 7.2 de la CADH, implica que </w:t>
            </w:r>
            <w:r w:rsidR="001B74A2">
              <w:rPr>
                <w:rFonts w:ascii="Calibri Light" w:hAnsi="Calibri Light"/>
                <w:b w:val="0"/>
              </w:rPr>
              <w:t xml:space="preserve">la libertad personal solo pueda ser afectada mediante una ley. Esta reserva de ley debe ir acompañada del principio de tipicidad, el cual supone a su vez que se establezca de manera previa y tan concretamente como sea posible las causas y condiciones de privación de libertad. </w:t>
            </w:r>
            <w:r w:rsidR="00937484">
              <w:rPr>
                <w:rFonts w:ascii="Calibri Light" w:hAnsi="Calibri Light"/>
                <w:b w:val="0"/>
              </w:rPr>
              <w:t>De otra parte, respecto a la prohibición de detenciones arbitrarias reconocida en el artículo</w:t>
            </w:r>
            <w:r w:rsidR="00683A13">
              <w:rPr>
                <w:rFonts w:ascii="Calibri Light" w:hAnsi="Calibri Light"/>
                <w:b w:val="0"/>
              </w:rPr>
              <w:t xml:space="preserve"> </w:t>
            </w:r>
            <w:r w:rsidR="00937484">
              <w:rPr>
                <w:rFonts w:ascii="Calibri Light" w:hAnsi="Calibri Light"/>
                <w:b w:val="0"/>
              </w:rPr>
              <w:t xml:space="preserve">7.3 de la CADH, la CIDH recordó que nadie </w:t>
            </w:r>
            <w:r w:rsidR="00257F54">
              <w:rPr>
                <w:rFonts w:ascii="Calibri Light" w:hAnsi="Calibri Light"/>
                <w:b w:val="0"/>
              </w:rPr>
              <w:t>debe</w:t>
            </w:r>
            <w:r w:rsidR="00937484">
              <w:rPr>
                <w:rFonts w:ascii="Calibri Light" w:hAnsi="Calibri Light"/>
                <w:b w:val="0"/>
              </w:rPr>
              <w:t xml:space="preserve"> ser detenido por medios que incluso siendo legales resulten incompatibles con los derechos humanos, por ser irrazonables, imprevisibles o faltos de proporcionalidad.</w:t>
            </w:r>
          </w:p>
          <w:p w14:paraId="759C8485" w14:textId="77777777" w:rsidR="00630EA5" w:rsidRDefault="00630EA5" w:rsidP="00A358B1">
            <w:pPr>
              <w:jc w:val="both"/>
              <w:rPr>
                <w:rFonts w:ascii="Calibri Light" w:hAnsi="Calibri Light"/>
                <w:b w:val="0"/>
              </w:rPr>
            </w:pPr>
          </w:p>
          <w:p w14:paraId="1094D81B" w14:textId="77777777" w:rsidR="00937484" w:rsidRDefault="00257F54" w:rsidP="00A358B1">
            <w:pPr>
              <w:jc w:val="both"/>
              <w:rPr>
                <w:rFonts w:ascii="Calibri Light" w:hAnsi="Calibri Light"/>
                <w:b w:val="0"/>
              </w:rPr>
            </w:pPr>
            <w:r>
              <w:rPr>
                <w:rFonts w:ascii="Calibri Light" w:hAnsi="Calibri Light"/>
                <w:b w:val="0"/>
              </w:rPr>
              <w:t>En cuanto al terminó</w:t>
            </w:r>
            <w:r w:rsidR="00630EA5">
              <w:rPr>
                <w:rFonts w:ascii="Calibri Light" w:hAnsi="Calibri Light"/>
                <w:b w:val="0"/>
              </w:rPr>
              <w:t xml:space="preserve"> “sospecha razonable”, </w:t>
            </w:r>
            <w:r w:rsidR="00683A13">
              <w:rPr>
                <w:rFonts w:ascii="Calibri Light" w:hAnsi="Calibri Light"/>
                <w:b w:val="0"/>
              </w:rPr>
              <w:t>la CIDH se refirió a la jurisprudencia d</w:t>
            </w:r>
            <w:r w:rsidR="00630EA5">
              <w:rPr>
                <w:rFonts w:ascii="Calibri Light" w:hAnsi="Calibri Light"/>
                <w:b w:val="0"/>
              </w:rPr>
              <w:t>el T</w:t>
            </w:r>
            <w:r w:rsidR="00683A13">
              <w:rPr>
                <w:rFonts w:ascii="Calibri Light" w:hAnsi="Calibri Light"/>
                <w:b w:val="0"/>
              </w:rPr>
              <w:t xml:space="preserve">ribunal </w:t>
            </w:r>
            <w:r w:rsidR="00630EA5">
              <w:rPr>
                <w:rFonts w:ascii="Calibri Light" w:hAnsi="Calibri Light"/>
                <w:b w:val="0"/>
              </w:rPr>
              <w:t>E</w:t>
            </w:r>
            <w:r w:rsidR="00683A13">
              <w:rPr>
                <w:rFonts w:ascii="Calibri Light" w:hAnsi="Calibri Light"/>
                <w:b w:val="0"/>
              </w:rPr>
              <w:t xml:space="preserve">uropeo de </w:t>
            </w:r>
            <w:r w:rsidR="00630EA5">
              <w:rPr>
                <w:rFonts w:ascii="Calibri Light" w:hAnsi="Calibri Light"/>
                <w:b w:val="0"/>
              </w:rPr>
              <w:t>D</w:t>
            </w:r>
            <w:r w:rsidR="00683A13">
              <w:rPr>
                <w:rFonts w:ascii="Calibri Light" w:hAnsi="Calibri Light"/>
                <w:b w:val="0"/>
              </w:rPr>
              <w:t xml:space="preserve">erechos </w:t>
            </w:r>
            <w:r w:rsidR="00630EA5">
              <w:rPr>
                <w:rFonts w:ascii="Calibri Light" w:hAnsi="Calibri Light"/>
                <w:b w:val="0"/>
              </w:rPr>
              <w:t>H</w:t>
            </w:r>
            <w:r w:rsidR="00683A13">
              <w:rPr>
                <w:rFonts w:ascii="Calibri Light" w:hAnsi="Calibri Light"/>
                <w:b w:val="0"/>
              </w:rPr>
              <w:t xml:space="preserve">umanos (en adelante, TEDH), </w:t>
            </w:r>
            <w:r>
              <w:rPr>
                <w:rFonts w:ascii="Calibri Light" w:hAnsi="Calibri Light"/>
                <w:b w:val="0"/>
              </w:rPr>
              <w:t>conforme a la cual</w:t>
            </w:r>
            <w:r w:rsidR="00630EA5">
              <w:rPr>
                <w:rFonts w:ascii="Calibri Light" w:hAnsi="Calibri Light"/>
                <w:b w:val="0"/>
              </w:rPr>
              <w:t xml:space="preserve">: i) </w:t>
            </w:r>
            <w:r w:rsidR="00683A13">
              <w:rPr>
                <w:rFonts w:ascii="Calibri Light" w:hAnsi="Calibri Light"/>
                <w:b w:val="0"/>
              </w:rPr>
              <w:t>la sospecha razonable</w:t>
            </w:r>
            <w:r w:rsidR="00630EA5">
              <w:rPr>
                <w:rFonts w:ascii="Calibri Light" w:hAnsi="Calibri Light"/>
                <w:b w:val="0"/>
              </w:rPr>
              <w:t xml:space="preserve"> </w:t>
            </w:r>
            <w:r w:rsidR="00683A13">
              <w:rPr>
                <w:rFonts w:ascii="Calibri Light" w:hAnsi="Calibri Light"/>
                <w:b w:val="0"/>
              </w:rPr>
              <w:t>“</w:t>
            </w:r>
            <w:r w:rsidR="00630EA5">
              <w:rPr>
                <w:rFonts w:ascii="Calibri Light" w:hAnsi="Calibri Light"/>
                <w:b w:val="0"/>
              </w:rPr>
              <w:t xml:space="preserve">presupone la existencia de hechos o información que podría </w:t>
            </w:r>
            <w:r w:rsidR="00683A13">
              <w:rPr>
                <w:rFonts w:ascii="Calibri Light" w:hAnsi="Calibri Light"/>
                <w:b w:val="0"/>
              </w:rPr>
              <w:t>satisfacer</w:t>
            </w:r>
            <w:r w:rsidR="00630EA5">
              <w:rPr>
                <w:rFonts w:ascii="Calibri Light" w:hAnsi="Calibri Light"/>
                <w:b w:val="0"/>
              </w:rPr>
              <w:t xml:space="preserve"> a un observador razonable </w:t>
            </w:r>
            <w:r w:rsidR="00683A13">
              <w:rPr>
                <w:rFonts w:ascii="Calibri Light" w:hAnsi="Calibri Light"/>
                <w:b w:val="0"/>
              </w:rPr>
              <w:t>en cuanto a</w:t>
            </w:r>
            <w:r w:rsidR="00630EA5">
              <w:rPr>
                <w:rFonts w:ascii="Calibri Light" w:hAnsi="Calibri Light"/>
                <w:b w:val="0"/>
              </w:rPr>
              <w:t xml:space="preserve"> que la persona involucrada </w:t>
            </w:r>
            <w:r w:rsidR="00683A13">
              <w:rPr>
                <w:rFonts w:ascii="Calibri Light" w:hAnsi="Calibri Light"/>
                <w:b w:val="0"/>
              </w:rPr>
              <w:t>habría cometido</w:t>
            </w:r>
            <w:r w:rsidR="00630EA5">
              <w:rPr>
                <w:rFonts w:ascii="Calibri Light" w:hAnsi="Calibri Light"/>
                <w:b w:val="0"/>
              </w:rPr>
              <w:t xml:space="preserve"> </w:t>
            </w:r>
            <w:r w:rsidR="00683A13">
              <w:rPr>
                <w:rFonts w:ascii="Calibri Light" w:hAnsi="Calibri Light"/>
                <w:b w:val="0"/>
              </w:rPr>
              <w:t>una ofensa”;</w:t>
            </w:r>
            <w:r w:rsidR="00630EA5">
              <w:rPr>
                <w:rFonts w:ascii="Calibri Light" w:hAnsi="Calibri Light"/>
                <w:b w:val="0"/>
              </w:rPr>
              <w:t xml:space="preserve"> ii) el incumplimiento de las autoridades estatales de realizar una investigación </w:t>
            </w:r>
            <w:r w:rsidR="00683A13">
              <w:rPr>
                <w:rFonts w:ascii="Calibri Light" w:hAnsi="Calibri Light"/>
                <w:b w:val="0"/>
              </w:rPr>
              <w:t xml:space="preserve">sobre los hechos para verificar si se violó el derecho a la libertad personal compromete su responsabilidad; y iii) los fundamentos razonables </w:t>
            </w:r>
            <w:r>
              <w:rPr>
                <w:rFonts w:ascii="Calibri Light" w:hAnsi="Calibri Light"/>
                <w:b w:val="0"/>
              </w:rPr>
              <w:t>que justifiquen la</w:t>
            </w:r>
            <w:r w:rsidR="00683A13">
              <w:rPr>
                <w:rFonts w:ascii="Calibri Light" w:hAnsi="Calibri Light"/>
                <w:b w:val="0"/>
              </w:rPr>
              <w:t xml:space="preserve"> sospecha son una salvaguarda contra la detención arbitraria, por lo cual el Estado debe suministrar hechos o información </w:t>
            </w:r>
            <w:r>
              <w:rPr>
                <w:rFonts w:ascii="Calibri Light" w:hAnsi="Calibri Light"/>
                <w:b w:val="0"/>
              </w:rPr>
              <w:t>en ese sentido</w:t>
            </w:r>
            <w:r w:rsidR="00630EA5">
              <w:rPr>
                <w:rFonts w:ascii="Calibri Light" w:hAnsi="Calibri Light"/>
                <w:b w:val="0"/>
              </w:rPr>
              <w:t xml:space="preserve">. </w:t>
            </w:r>
          </w:p>
          <w:p w14:paraId="39334BF7" w14:textId="77777777" w:rsidR="00257F54" w:rsidRDefault="00257F54" w:rsidP="00A358B1">
            <w:pPr>
              <w:jc w:val="both"/>
              <w:rPr>
                <w:rFonts w:ascii="Calibri Light" w:hAnsi="Calibri Light"/>
                <w:b w:val="0"/>
              </w:rPr>
            </w:pPr>
          </w:p>
          <w:p w14:paraId="7FF6197E" w14:textId="77777777" w:rsidR="00DA07BF" w:rsidRDefault="00257F54" w:rsidP="00A358B1">
            <w:pPr>
              <w:jc w:val="both"/>
              <w:rPr>
                <w:rFonts w:ascii="Calibri Light" w:hAnsi="Calibri Light"/>
                <w:b w:val="0"/>
              </w:rPr>
            </w:pPr>
            <w:r>
              <w:rPr>
                <w:rFonts w:ascii="Calibri Light" w:hAnsi="Calibri Light"/>
                <w:b w:val="0"/>
              </w:rPr>
              <w:t xml:space="preserve">Más concretamente, </w:t>
            </w:r>
            <w:r w:rsidR="00DA07BF">
              <w:rPr>
                <w:rFonts w:ascii="Calibri Light" w:hAnsi="Calibri Light"/>
                <w:b w:val="0"/>
              </w:rPr>
              <w:t>sobre una situación análoga a la</w:t>
            </w:r>
            <w:r w:rsidR="0041260F">
              <w:rPr>
                <w:rFonts w:ascii="Calibri Light" w:hAnsi="Calibri Light"/>
                <w:b w:val="0"/>
              </w:rPr>
              <w:t xml:space="preserve"> del presente informe, se refirió el TEDH en el caso </w:t>
            </w:r>
            <w:r w:rsidR="00976197" w:rsidRPr="00683A13">
              <w:rPr>
                <w:rFonts w:ascii="Calibri Light" w:hAnsi="Calibri Light"/>
                <w:b w:val="0"/>
                <w:i/>
              </w:rPr>
              <w:t xml:space="preserve">Gillan </w:t>
            </w:r>
            <w:r w:rsidR="000D03AC">
              <w:rPr>
                <w:rFonts w:ascii="Calibri Light" w:hAnsi="Calibri Light"/>
                <w:b w:val="0"/>
                <w:i/>
              </w:rPr>
              <w:t>y Quint</w:t>
            </w:r>
            <w:r w:rsidR="00976197" w:rsidRPr="00683A13">
              <w:rPr>
                <w:rFonts w:ascii="Calibri Light" w:hAnsi="Calibri Light"/>
                <w:b w:val="0"/>
                <w:i/>
              </w:rPr>
              <w:t>on</w:t>
            </w:r>
            <w:r w:rsidR="00976197">
              <w:rPr>
                <w:rFonts w:ascii="Calibri Light" w:hAnsi="Calibri Light"/>
                <w:b w:val="0"/>
              </w:rPr>
              <w:t xml:space="preserve"> v</w:t>
            </w:r>
            <w:r>
              <w:rPr>
                <w:rFonts w:ascii="Calibri Light" w:hAnsi="Calibri Light"/>
                <w:b w:val="0"/>
              </w:rPr>
              <w:t>s</w:t>
            </w:r>
            <w:r w:rsidR="00976197">
              <w:rPr>
                <w:rFonts w:ascii="Calibri Light" w:hAnsi="Calibri Light"/>
                <w:b w:val="0"/>
              </w:rPr>
              <w:t>. Reino Unido</w:t>
            </w:r>
            <w:r w:rsidR="0041260F">
              <w:rPr>
                <w:rFonts w:ascii="Calibri Light" w:hAnsi="Calibri Light"/>
                <w:b w:val="0"/>
              </w:rPr>
              <w:t>. En este se pronunció sobre la facultad de</w:t>
            </w:r>
            <w:r w:rsidR="00976197">
              <w:rPr>
                <w:rFonts w:ascii="Calibri Light" w:hAnsi="Calibri Light"/>
                <w:b w:val="0"/>
              </w:rPr>
              <w:t xml:space="preserve"> “</w:t>
            </w:r>
            <w:r w:rsidR="00976197" w:rsidRPr="0041260F">
              <w:rPr>
                <w:rFonts w:ascii="Calibri Light" w:hAnsi="Calibri Light"/>
                <w:b w:val="0"/>
                <w:i/>
              </w:rPr>
              <w:t>stop and search</w:t>
            </w:r>
            <w:r w:rsidR="00976197">
              <w:rPr>
                <w:rFonts w:ascii="Calibri Light" w:hAnsi="Calibri Light"/>
                <w:b w:val="0"/>
              </w:rPr>
              <w:t>”</w:t>
            </w:r>
            <w:r w:rsidR="0041260F">
              <w:rPr>
                <w:rFonts w:ascii="Calibri Light" w:hAnsi="Calibri Light"/>
                <w:b w:val="0"/>
              </w:rPr>
              <w:t xml:space="preserve"> y consideró que aun cuando este procedimiento no tuviera una duración mayor de 30 minutos, sí constituía una privación de libertad pues las personas estaban privadas de su libertad de movimiento, eran obligadas a mantenerse donde estaban y eran sometidas a requisas. Asimismo, señaló que </w:t>
            </w:r>
            <w:r w:rsidR="000D03AC">
              <w:rPr>
                <w:rFonts w:ascii="Calibri Light" w:hAnsi="Calibri Light"/>
                <w:b w:val="0"/>
              </w:rPr>
              <w:t>esta potestad</w:t>
            </w:r>
            <w:r w:rsidR="0041260F">
              <w:rPr>
                <w:rFonts w:ascii="Calibri Light" w:hAnsi="Calibri Light"/>
                <w:b w:val="0"/>
              </w:rPr>
              <w:t xml:space="preserve"> </w:t>
            </w:r>
            <w:r w:rsidR="000D03AC">
              <w:rPr>
                <w:rFonts w:ascii="Calibri Light" w:hAnsi="Calibri Light"/>
                <w:b w:val="0"/>
              </w:rPr>
              <w:t>podía afectar</w:t>
            </w:r>
            <w:r w:rsidR="0041260F">
              <w:rPr>
                <w:rFonts w:ascii="Calibri Light" w:hAnsi="Calibri Light"/>
                <w:b w:val="0"/>
              </w:rPr>
              <w:t xml:space="preserve"> el derecho al respeto de la vida privada, incluso cuando la requisa tuviera lugar en público.</w:t>
            </w:r>
          </w:p>
          <w:p w14:paraId="1F3D0404" w14:textId="77777777" w:rsidR="00DA07BF" w:rsidRDefault="00DA07BF" w:rsidP="00A358B1">
            <w:pPr>
              <w:jc w:val="both"/>
              <w:rPr>
                <w:rFonts w:ascii="Calibri Light" w:hAnsi="Calibri Light"/>
                <w:b w:val="0"/>
              </w:rPr>
            </w:pPr>
          </w:p>
          <w:p w14:paraId="02CFD012" w14:textId="77777777" w:rsidR="00EB744B" w:rsidRDefault="00F35BBB" w:rsidP="00A358B1">
            <w:pPr>
              <w:jc w:val="both"/>
              <w:rPr>
                <w:rFonts w:ascii="Calibri Light" w:hAnsi="Calibri Light"/>
                <w:b w:val="0"/>
              </w:rPr>
            </w:pPr>
            <w:r>
              <w:rPr>
                <w:rFonts w:ascii="Calibri Light" w:hAnsi="Calibri Light"/>
                <w:b w:val="0"/>
              </w:rPr>
              <w:t xml:space="preserve">Específicamente, sobre la aplicación de esta facultad cuando fuera ventajoso para la prevención del terrorismo, señaló que resultaba problemático que la legislación no requiriera al funcionario demostrar la existencia de una sospecha razonable, limitándose a regular la finalidad de la medida. De igual forma, estableció que una potestad tan amplia </w:t>
            </w:r>
            <w:r w:rsidR="00A347DF">
              <w:rPr>
                <w:rFonts w:ascii="Calibri Light" w:hAnsi="Calibri Light"/>
                <w:b w:val="0"/>
              </w:rPr>
              <w:t>para la policía tenía el riesgo de ser arbitraria y discriminatoria. Finalmente, sobre el artículo 25.1 de la CADH, la CIDH recordó que esta disposición establecía la obligación de los Estados de garantizar recursos efectivos</w:t>
            </w:r>
            <w:r w:rsidR="00EB744B">
              <w:rPr>
                <w:rFonts w:ascii="Calibri Light" w:hAnsi="Calibri Light"/>
                <w:b w:val="0"/>
              </w:rPr>
              <w:t>, lo cual no solo implica su existencia formal, sino que den respuesta a las violaciones derechos humanos.</w:t>
            </w:r>
          </w:p>
          <w:p w14:paraId="796DE201" w14:textId="77777777" w:rsidR="00280CFF" w:rsidRDefault="00280CFF" w:rsidP="00A358B1">
            <w:pPr>
              <w:jc w:val="both"/>
              <w:rPr>
                <w:rFonts w:ascii="Calibri Light" w:hAnsi="Calibri Light"/>
                <w:b w:val="0"/>
              </w:rPr>
            </w:pPr>
          </w:p>
          <w:p w14:paraId="07844BA9" w14:textId="77777777" w:rsidR="00F47E3A" w:rsidRDefault="002965F7" w:rsidP="00A358B1">
            <w:pPr>
              <w:jc w:val="both"/>
              <w:rPr>
                <w:rFonts w:ascii="Calibri Light" w:hAnsi="Calibri Light"/>
                <w:b w:val="0"/>
              </w:rPr>
            </w:pPr>
            <w:r>
              <w:rPr>
                <w:rFonts w:ascii="Calibri Light" w:hAnsi="Calibri Light"/>
                <w:b w:val="0"/>
              </w:rPr>
              <w:t>En su análisis del caso en concreto, l</w:t>
            </w:r>
            <w:r w:rsidR="00280CFF">
              <w:rPr>
                <w:rFonts w:ascii="Calibri Light" w:hAnsi="Calibri Light"/>
                <w:b w:val="0"/>
              </w:rPr>
              <w:t xml:space="preserve">a CIDH </w:t>
            </w:r>
            <w:r w:rsidR="00F47E3A">
              <w:rPr>
                <w:rFonts w:ascii="Calibri Light" w:hAnsi="Calibri Light"/>
                <w:b w:val="0"/>
              </w:rPr>
              <w:t xml:space="preserve">reiteró que, conforme al artículo 7.2 de la CADH, las circunstancias y procedimientos que justifiquen una privación de libertad y la realización de requisas debían estar establecidas por la normativa del Estado de manera clara, detallada y previsible. Asimismo, </w:t>
            </w:r>
            <w:r>
              <w:rPr>
                <w:rFonts w:ascii="Calibri Light" w:hAnsi="Calibri Light"/>
                <w:b w:val="0"/>
              </w:rPr>
              <w:t>estableci</w:t>
            </w:r>
            <w:r w:rsidR="00DA07BF">
              <w:rPr>
                <w:rFonts w:ascii="Calibri Light" w:hAnsi="Calibri Light"/>
                <w:b w:val="0"/>
              </w:rPr>
              <w:t>ó que resultaba aceptable que los Estados otorguen a los funcionarios policiales facultades relacionadas con la prevenci</w:t>
            </w:r>
            <w:r w:rsidR="00050A3C">
              <w:rPr>
                <w:rFonts w:ascii="Calibri Light" w:hAnsi="Calibri Light"/>
                <w:b w:val="0"/>
              </w:rPr>
              <w:t>ón del delito. No obstante,</w:t>
            </w:r>
            <w:r w:rsidR="00DA07BF">
              <w:rPr>
                <w:rFonts w:ascii="Calibri Light" w:hAnsi="Calibri Light"/>
                <w:b w:val="0"/>
              </w:rPr>
              <w:t xml:space="preserve"> estas debían estar revestidas de salvaguardas en la legislación y de carácter institucional</w:t>
            </w:r>
            <w:r w:rsidR="00050A3C">
              <w:rPr>
                <w:rFonts w:ascii="Calibri Light" w:hAnsi="Calibri Light"/>
                <w:b w:val="0"/>
              </w:rPr>
              <w:t xml:space="preserve">, tales </w:t>
            </w:r>
            <w:r w:rsidR="00DA07BF">
              <w:rPr>
                <w:rFonts w:ascii="Calibri Light" w:hAnsi="Calibri Light"/>
                <w:b w:val="0"/>
              </w:rPr>
              <w:t xml:space="preserve"> </w:t>
            </w:r>
            <w:r w:rsidR="00050A3C">
              <w:rPr>
                <w:rFonts w:ascii="Calibri Light" w:hAnsi="Calibri Light"/>
                <w:b w:val="0"/>
              </w:rPr>
              <w:t xml:space="preserve">como </w:t>
            </w:r>
            <w:r w:rsidR="00DA07BF">
              <w:rPr>
                <w:rFonts w:ascii="Calibri Light" w:hAnsi="Calibri Light"/>
                <w:b w:val="0"/>
              </w:rPr>
              <w:t>capacitaciones adecuada</w:t>
            </w:r>
            <w:r w:rsidR="00050A3C">
              <w:rPr>
                <w:rFonts w:ascii="Calibri Light" w:hAnsi="Calibri Light"/>
                <w:b w:val="0"/>
              </w:rPr>
              <w:t>s</w:t>
            </w:r>
            <w:r w:rsidR="00DA07BF">
              <w:rPr>
                <w:rFonts w:ascii="Calibri Light" w:hAnsi="Calibri Light"/>
                <w:b w:val="0"/>
              </w:rPr>
              <w:t xml:space="preserve"> y la creación de mecanismos serios de rendición de cuentas de la actuación policial</w:t>
            </w:r>
            <w:r w:rsidR="00050A3C">
              <w:rPr>
                <w:rFonts w:ascii="Calibri Light" w:hAnsi="Calibri Light"/>
                <w:b w:val="0"/>
              </w:rPr>
              <w:t>, a fin de evitar detenciones arbitrarias</w:t>
            </w:r>
            <w:r w:rsidR="00F47E3A">
              <w:rPr>
                <w:rFonts w:ascii="Calibri Light" w:hAnsi="Calibri Light"/>
                <w:b w:val="0"/>
              </w:rPr>
              <w:t xml:space="preserve"> en los términos del artículo 7.3 de la CADH</w:t>
            </w:r>
            <w:r w:rsidR="00DA07BF">
              <w:rPr>
                <w:rFonts w:ascii="Calibri Light" w:hAnsi="Calibri Light"/>
                <w:b w:val="0"/>
              </w:rPr>
              <w:t>.</w:t>
            </w:r>
          </w:p>
          <w:p w14:paraId="79575035" w14:textId="77777777" w:rsidR="00F47E3A" w:rsidRDefault="00F47E3A" w:rsidP="00A358B1">
            <w:pPr>
              <w:jc w:val="both"/>
              <w:rPr>
                <w:rFonts w:ascii="Calibri Light" w:hAnsi="Calibri Light"/>
                <w:b w:val="0"/>
              </w:rPr>
            </w:pPr>
          </w:p>
          <w:p w14:paraId="25ACFBD7" w14:textId="77777777" w:rsidR="009078C6" w:rsidRDefault="00F47E3A" w:rsidP="00A358B1">
            <w:pPr>
              <w:jc w:val="both"/>
              <w:rPr>
                <w:rFonts w:ascii="Calibri Light" w:hAnsi="Calibri Light"/>
                <w:b w:val="0"/>
              </w:rPr>
            </w:pPr>
            <w:r>
              <w:rPr>
                <w:rFonts w:ascii="Calibri Light" w:hAnsi="Calibri Light"/>
                <w:b w:val="0"/>
              </w:rPr>
              <w:t>En aplicación de estos estándares, la CIDH observó que la regulación que otorgaba la facultad en el caso era vaga, no incluía referencias a parámetros objetivos que justifiquen la sospecha y tampoco exigía a las autoridades policiales rendir cuentas de forma escrita a sus superiores sobre estas razones. Igualmente, observó que</w:t>
            </w:r>
            <w:r w:rsidR="009078C6">
              <w:rPr>
                <w:rFonts w:ascii="Calibri Light" w:hAnsi="Calibri Light"/>
                <w:b w:val="0"/>
              </w:rPr>
              <w:t xml:space="preserve"> no se trataba de hechos aislados y que en ninguno de los dos casos se explicaron los elementos objetivos sobre los cuales se basaba la sospecha razonable de la comisión de un delito. </w:t>
            </w:r>
            <w:r w:rsidR="000553ED">
              <w:rPr>
                <w:rFonts w:ascii="Calibri Light" w:hAnsi="Calibri Light"/>
                <w:b w:val="0"/>
              </w:rPr>
              <w:t>E</w:t>
            </w:r>
            <w:r w:rsidR="009078C6">
              <w:rPr>
                <w:rFonts w:ascii="Calibri Light" w:hAnsi="Calibri Light"/>
                <w:b w:val="0"/>
              </w:rPr>
              <w:t xml:space="preserve">n el caso del señor Fernández, la falta de explicación fue absoluta pues la requisa se justificó en la “actitud sospechosa” sin precisar en qué consistía esta. Mientras tanto, en el caso del señor Tumbeiro, </w:t>
            </w:r>
            <w:r w:rsidR="000553ED">
              <w:rPr>
                <w:rFonts w:ascii="Calibri Light" w:hAnsi="Calibri Light"/>
                <w:b w:val="0"/>
              </w:rPr>
              <w:t xml:space="preserve">la explicación de la sospecha razonable consistió en su nerviosismo, su vestimenta y que señaló que estaba comprando productos que no se vendían en la zona. La CIDH consideró que esta justificación no solo era insuficiente sino que además  podía revelar cierto contenido discriminatorio. En esa medida, consideró que ambas detenciones y requisas no cumplieron con los estándares de legalidad y arbitrariedad. </w:t>
            </w:r>
          </w:p>
          <w:p w14:paraId="784620DF" w14:textId="77777777" w:rsidR="009078C6" w:rsidRDefault="009078C6" w:rsidP="00A358B1">
            <w:pPr>
              <w:jc w:val="both"/>
              <w:rPr>
                <w:rFonts w:ascii="Calibri Light" w:hAnsi="Calibri Light"/>
                <w:b w:val="0"/>
                <w:highlight w:val="yellow"/>
              </w:rPr>
            </w:pPr>
          </w:p>
          <w:p w14:paraId="35680CF0" w14:textId="77777777" w:rsidR="00384244" w:rsidRDefault="000553ED" w:rsidP="00A358B1">
            <w:pPr>
              <w:jc w:val="both"/>
              <w:rPr>
                <w:rFonts w:ascii="Calibri Light" w:hAnsi="Calibri Light"/>
                <w:b w:val="0"/>
              </w:rPr>
            </w:pPr>
            <w:r w:rsidRPr="000553ED">
              <w:rPr>
                <w:rFonts w:ascii="Calibri Light" w:hAnsi="Calibri Light"/>
                <w:b w:val="0"/>
              </w:rPr>
              <w:t xml:space="preserve">De igual forma, la CIDH consideró que no se ofrecieron recursos efectivos, pues </w:t>
            </w:r>
            <w:r w:rsidR="00B010EA">
              <w:rPr>
                <w:rFonts w:ascii="Calibri Light" w:hAnsi="Calibri Light"/>
                <w:b w:val="0"/>
              </w:rPr>
              <w:t xml:space="preserve">las autoridades judiciales </w:t>
            </w:r>
            <w:r w:rsidRPr="000553ED">
              <w:rPr>
                <w:rFonts w:ascii="Calibri Light" w:hAnsi="Calibri Light"/>
                <w:b w:val="0"/>
              </w:rPr>
              <w:t>no solo continuaron sin exigir razones objetivas para el ejercicio de la facultad de detener per</w:t>
            </w:r>
            <w:r w:rsidR="00B010EA">
              <w:rPr>
                <w:rFonts w:ascii="Calibri Light" w:hAnsi="Calibri Light"/>
                <w:b w:val="0"/>
              </w:rPr>
              <w:t>sonas basada en</w:t>
            </w:r>
            <w:r w:rsidRPr="000553ED">
              <w:rPr>
                <w:rFonts w:ascii="Calibri Light" w:hAnsi="Calibri Light"/>
                <w:b w:val="0"/>
              </w:rPr>
              <w:t xml:space="preserve"> la sospecha</w:t>
            </w:r>
            <w:r w:rsidR="00B010EA">
              <w:rPr>
                <w:rFonts w:ascii="Calibri Light" w:hAnsi="Calibri Light"/>
                <w:b w:val="0"/>
              </w:rPr>
              <w:t xml:space="preserve"> razonable</w:t>
            </w:r>
            <w:r w:rsidRPr="000553ED">
              <w:rPr>
                <w:rFonts w:ascii="Calibri Light" w:hAnsi="Calibri Light"/>
                <w:b w:val="0"/>
              </w:rPr>
              <w:t>, sino que validaron las razones dadas por los agentes policiales en base a la corroboración posterior que se había hecho de que</w:t>
            </w:r>
            <w:r w:rsidR="00B010EA">
              <w:rPr>
                <w:rFonts w:ascii="Calibri Light" w:hAnsi="Calibri Light"/>
                <w:b w:val="0"/>
              </w:rPr>
              <w:t xml:space="preserve"> se</w:t>
            </w:r>
            <w:r w:rsidRPr="000553ED">
              <w:rPr>
                <w:rFonts w:ascii="Calibri Light" w:hAnsi="Calibri Light"/>
                <w:b w:val="0"/>
              </w:rPr>
              <w:t xml:space="preserve"> había</w:t>
            </w:r>
            <w:r w:rsidR="00B010EA">
              <w:rPr>
                <w:rFonts w:ascii="Calibri Light" w:hAnsi="Calibri Light"/>
                <w:b w:val="0"/>
              </w:rPr>
              <w:t>n</w:t>
            </w:r>
            <w:r w:rsidRPr="000553ED">
              <w:rPr>
                <w:rFonts w:ascii="Calibri Light" w:hAnsi="Calibri Light"/>
                <w:b w:val="0"/>
              </w:rPr>
              <w:t xml:space="preserve"> cometido delitos. </w:t>
            </w:r>
            <w:r>
              <w:rPr>
                <w:rFonts w:ascii="Calibri Light" w:hAnsi="Calibri Light"/>
                <w:b w:val="0"/>
              </w:rPr>
              <w:t>Respecto a esto último, la CIDH señaló que la corroboración posterior de que las personas afectadas podían haber estado cometiendo un delito era irre</w:t>
            </w:r>
            <w:r w:rsidR="00384244">
              <w:rPr>
                <w:rFonts w:ascii="Calibri Light" w:hAnsi="Calibri Light"/>
                <w:b w:val="0"/>
              </w:rPr>
              <w:t>levante  a efectos de establecer las violaciones</w:t>
            </w:r>
            <w:r w:rsidR="00B010EA">
              <w:rPr>
                <w:rFonts w:ascii="Calibri Light" w:hAnsi="Calibri Light"/>
                <w:b w:val="0"/>
              </w:rPr>
              <w:t xml:space="preserve"> de derechos humanos</w:t>
            </w:r>
            <w:r w:rsidR="00384244">
              <w:rPr>
                <w:rFonts w:ascii="Calibri Light" w:hAnsi="Calibri Light"/>
                <w:b w:val="0"/>
              </w:rPr>
              <w:t xml:space="preserve"> por la retención, requisa y arresto. </w:t>
            </w:r>
          </w:p>
          <w:p w14:paraId="73C52BD3" w14:textId="77777777" w:rsidR="00384244" w:rsidRDefault="00384244" w:rsidP="00A358B1">
            <w:pPr>
              <w:jc w:val="both"/>
              <w:rPr>
                <w:rFonts w:ascii="Calibri Light" w:hAnsi="Calibri Light"/>
                <w:b w:val="0"/>
              </w:rPr>
            </w:pPr>
          </w:p>
          <w:p w14:paraId="6E2F3948" w14:textId="77777777" w:rsidR="000553ED" w:rsidRPr="000553ED" w:rsidRDefault="00384244" w:rsidP="00A358B1">
            <w:pPr>
              <w:jc w:val="both"/>
              <w:rPr>
                <w:rFonts w:ascii="Calibri Light" w:hAnsi="Calibri Light"/>
                <w:b w:val="0"/>
              </w:rPr>
            </w:pPr>
            <w:r>
              <w:rPr>
                <w:rFonts w:ascii="Calibri Light" w:hAnsi="Calibri Light"/>
                <w:b w:val="0"/>
              </w:rPr>
              <w:t>Además, determinó que, dada la inconvencionalidad de estos procedimientos, las pruebas en ellos encontradas debían ser excluidas y al no haber ocurrido ello, la detención preventiva y el proceso penal y de condena devinieron también en arbitrarios. Por último, observó que las detenciones preventivas de los señores Fernández y Tumbeiro por seis y cuatro años excedieron el plazo razonable. En base a ello, concluyó que el Estado</w:t>
            </w:r>
            <w:r w:rsidR="00B010EA">
              <w:rPr>
                <w:rFonts w:ascii="Calibri Light" w:hAnsi="Calibri Light"/>
                <w:b w:val="0"/>
              </w:rPr>
              <w:t xml:space="preserve"> argentino</w:t>
            </w:r>
            <w:r>
              <w:rPr>
                <w:rFonts w:ascii="Calibri Light" w:hAnsi="Calibri Light"/>
                <w:b w:val="0"/>
              </w:rPr>
              <w:t xml:space="preserve"> había violado los artículos 7.1, 7.2, 7.3, 7.5, 8.1, 11.2 y 25.1 de la CADH, en relación a los artículos 1.1 y 2, en perjuicio de </w:t>
            </w:r>
            <w:r>
              <w:rPr>
                <w:rFonts w:ascii="Calibri Light" w:hAnsi="Calibri Light"/>
                <w:b w:val="0"/>
              </w:rPr>
              <w:lastRenderedPageBreak/>
              <w:t xml:space="preserve">los señores Fernández y Tumbeiro.  </w:t>
            </w:r>
            <w:r w:rsidR="000553ED" w:rsidRPr="000553ED">
              <w:rPr>
                <w:rFonts w:ascii="Calibri Light" w:hAnsi="Calibri Light"/>
                <w:b w:val="0"/>
              </w:rPr>
              <w:t xml:space="preserve"> </w:t>
            </w:r>
          </w:p>
          <w:p w14:paraId="24B57445" w14:textId="77777777" w:rsidR="00A00117" w:rsidRPr="00FF34AE" w:rsidRDefault="00A00117" w:rsidP="00384244">
            <w:pPr>
              <w:jc w:val="both"/>
              <w:rPr>
                <w:rFonts w:ascii="Calibri Light" w:hAnsi="Calibri Light"/>
                <w:b w:val="0"/>
              </w:rPr>
            </w:pPr>
          </w:p>
        </w:tc>
      </w:tr>
      <w:tr w:rsidR="00A358B1" w:rsidRPr="004533E5" w14:paraId="3AF49665" w14:textId="77777777" w:rsidTr="00AD02E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84E2029" w14:textId="77777777" w:rsidR="00A358B1" w:rsidRPr="00310836" w:rsidRDefault="00A358B1" w:rsidP="00AD02E0">
            <w:pPr>
              <w:pStyle w:val="ListParagraph"/>
              <w:rPr>
                <w:rFonts w:ascii="Calibri Light" w:hAnsi="Calibri Light"/>
              </w:rPr>
            </w:pPr>
          </w:p>
          <w:p w14:paraId="2834A448" w14:textId="77777777" w:rsidR="00A358B1" w:rsidRPr="00310836" w:rsidRDefault="00A358B1" w:rsidP="00A358B1">
            <w:pPr>
              <w:pStyle w:val="ListParagraph"/>
              <w:numPr>
                <w:ilvl w:val="0"/>
                <w:numId w:val="1"/>
              </w:numPr>
              <w:jc w:val="center"/>
              <w:rPr>
                <w:rFonts w:ascii="Calibri Light" w:hAnsi="Calibri Light"/>
              </w:rPr>
            </w:pPr>
            <w:r w:rsidRPr="00310836">
              <w:rPr>
                <w:rFonts w:ascii="Calibri Light" w:hAnsi="Calibri Light"/>
              </w:rPr>
              <w:t>Recomendaciones</w:t>
            </w:r>
            <w:r>
              <w:rPr>
                <w:rFonts w:ascii="Calibri Light" w:hAnsi="Calibri Light"/>
              </w:rPr>
              <w:t xml:space="preserve"> de la CIDH al Estado</w:t>
            </w:r>
          </w:p>
          <w:p w14:paraId="068F1A67" w14:textId="77777777" w:rsidR="00A358B1" w:rsidRPr="00310836" w:rsidRDefault="00A358B1" w:rsidP="00AD02E0">
            <w:pPr>
              <w:pStyle w:val="ListParagraph"/>
              <w:rPr>
                <w:rFonts w:ascii="Calibri Light" w:hAnsi="Calibri Light"/>
              </w:rPr>
            </w:pPr>
          </w:p>
        </w:tc>
      </w:tr>
      <w:tr w:rsidR="00A358B1" w:rsidRPr="004533E5" w14:paraId="1B47A5B3" w14:textId="77777777" w:rsidTr="00AD02E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543A6447" w14:textId="77777777" w:rsidR="00A358B1" w:rsidRPr="00204291" w:rsidRDefault="00A358B1" w:rsidP="00204291">
            <w:pPr>
              <w:pStyle w:val="ListParagraph"/>
              <w:ind w:left="360"/>
              <w:jc w:val="both"/>
              <w:rPr>
                <w:rFonts w:ascii="Calibri Light" w:hAnsi="Calibri Light" w:cs="Calibri Light"/>
                <w:b w:val="0"/>
              </w:rPr>
            </w:pPr>
          </w:p>
          <w:p w14:paraId="5F25CB7C" w14:textId="77777777" w:rsidR="00204291" w:rsidRPr="00204291" w:rsidRDefault="00204291" w:rsidP="00204291">
            <w:pPr>
              <w:pStyle w:val="ListParagraph"/>
              <w:numPr>
                <w:ilvl w:val="0"/>
                <w:numId w:val="4"/>
              </w:numPr>
              <w:ind w:left="360"/>
              <w:jc w:val="both"/>
              <w:rPr>
                <w:rFonts w:ascii="Calibri Light" w:hAnsi="Calibri Light"/>
                <w:b w:val="0"/>
              </w:rPr>
            </w:pPr>
            <w:r w:rsidRPr="00204291">
              <w:rPr>
                <w:rFonts w:ascii="Calibri Light" w:hAnsi="Calibri Light"/>
                <w:b w:val="0"/>
              </w:rPr>
              <w:t xml:space="preserve">Reparar integralmente las violaciones de derechos humanos declaradas en el presente informe tanto en el aspecto material como moral en perjuicio </w:t>
            </w:r>
            <w:r>
              <w:rPr>
                <w:rFonts w:ascii="Calibri Light" w:hAnsi="Calibri Light"/>
                <w:b w:val="0"/>
              </w:rPr>
              <w:t xml:space="preserve">de los señores </w:t>
            </w:r>
            <w:r w:rsidRPr="00204291">
              <w:rPr>
                <w:rFonts w:ascii="Calibri Light" w:hAnsi="Calibri Light"/>
                <w:b w:val="0"/>
              </w:rPr>
              <w:t xml:space="preserve">Fernández y Tumbeiro. Esta reparación debe tomar en cuenta tanto la inconvencionalidad del procedimiento inicial de detención y requisa, como el proceso, detención preventiva y condena penal que tuvieron lugar con base en los hallazgos de tales diligencias iniciales, en los términos establecidos en el presente informe. </w:t>
            </w:r>
          </w:p>
          <w:p w14:paraId="47FC5021" w14:textId="77777777" w:rsidR="00204291" w:rsidRPr="00204291" w:rsidRDefault="00204291" w:rsidP="00204291">
            <w:pPr>
              <w:jc w:val="both"/>
              <w:rPr>
                <w:rFonts w:ascii="Calibri Light" w:hAnsi="Calibri Light"/>
                <w:b w:val="0"/>
              </w:rPr>
            </w:pPr>
          </w:p>
          <w:p w14:paraId="359AD409" w14:textId="77777777" w:rsidR="00A358B1" w:rsidRPr="00204291" w:rsidRDefault="00204291" w:rsidP="00204291">
            <w:pPr>
              <w:pStyle w:val="ListParagraph"/>
              <w:numPr>
                <w:ilvl w:val="0"/>
                <w:numId w:val="4"/>
              </w:numPr>
              <w:ind w:left="360"/>
              <w:jc w:val="both"/>
              <w:rPr>
                <w:rFonts w:ascii="Calibri Light" w:hAnsi="Calibri Light"/>
                <w:b w:val="0"/>
              </w:rPr>
            </w:pPr>
            <w:r w:rsidRPr="00204291">
              <w:rPr>
                <w:rFonts w:ascii="Calibri Light" w:hAnsi="Calibri Light"/>
                <w:b w:val="0"/>
              </w:rPr>
              <w:t>Disponer las medidas legislativas, administrativas o de otra índole para evitar la repetición de las violaciones de derechos humanos declaradas en el presente informe. En particular: i) el Estado deberá asegurar que la legislación que regula la facultad de detener y requisar personas en la vía pública sobre la base de una sospecha de que está cometiendo un delito, se base en razones objetivas e incluya exigencias de justificación de dichas razones en cada caso; ii) el Estado deberá adoptar medidas para capacitar debidamente al personal policial a fin de evitar los abusos en el ejercicio de la mencionada facultad, incluyendo capacitaciones en la prohibición de ejercerla de manera discriminatoria y con base en perfiles asociados a estereotipos; y iii) el Estado deberá asegurar la existencia e implementación de recursos judiciales efectivos frente a denuncias de abusos policiales en el contexto de la mencionada facultad.</w:t>
            </w:r>
          </w:p>
          <w:p w14:paraId="0FC53324" w14:textId="77777777" w:rsidR="00204291" w:rsidRPr="00204291" w:rsidRDefault="00204291" w:rsidP="00204291">
            <w:pPr>
              <w:jc w:val="both"/>
              <w:rPr>
                <w:rFonts w:ascii="Calibri Light" w:hAnsi="Calibri Light"/>
              </w:rPr>
            </w:pPr>
          </w:p>
        </w:tc>
      </w:tr>
      <w:tr w:rsidR="00A358B1" w:rsidRPr="004533E5" w14:paraId="5F44AFE2" w14:textId="77777777" w:rsidTr="00AD02E0">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91A8" w14:textId="77777777" w:rsidR="00A358B1" w:rsidRPr="00310836" w:rsidRDefault="00A358B1" w:rsidP="00AD02E0">
            <w:pPr>
              <w:pStyle w:val="ListParagraph"/>
              <w:spacing w:after="200" w:line="276" w:lineRule="auto"/>
              <w:rPr>
                <w:rFonts w:ascii="Calibri Light" w:hAnsi="Calibri Light"/>
              </w:rPr>
            </w:pPr>
          </w:p>
          <w:p w14:paraId="455C9467" w14:textId="77777777" w:rsidR="00A358B1" w:rsidRPr="00310836" w:rsidRDefault="00A358B1" w:rsidP="00A358B1">
            <w:pPr>
              <w:pStyle w:val="ListParagraph"/>
              <w:numPr>
                <w:ilvl w:val="0"/>
                <w:numId w:val="1"/>
              </w:numPr>
              <w:spacing w:after="200" w:line="276" w:lineRule="auto"/>
              <w:jc w:val="center"/>
              <w:rPr>
                <w:rFonts w:ascii="Calibri Light" w:hAnsi="Calibri Light"/>
              </w:rPr>
            </w:pPr>
            <w:r w:rsidRPr="00310836">
              <w:rPr>
                <w:rFonts w:ascii="Calibri Light" w:hAnsi="Calibri Light"/>
              </w:rPr>
              <w:t>Análisis de cumplimiento de las recomendaciones</w:t>
            </w:r>
          </w:p>
          <w:p w14:paraId="0BB5FA01" w14:textId="77777777" w:rsidR="00A358B1" w:rsidRPr="00310836" w:rsidRDefault="00A358B1" w:rsidP="00AD02E0">
            <w:pPr>
              <w:pStyle w:val="ListParagraph"/>
              <w:ind w:left="0"/>
              <w:jc w:val="center"/>
              <w:rPr>
                <w:rFonts w:ascii="Calibri Light" w:hAnsi="Calibri Light"/>
                <w:b w:val="0"/>
              </w:rPr>
            </w:pPr>
          </w:p>
        </w:tc>
      </w:tr>
      <w:tr w:rsidR="00A358B1" w:rsidRPr="004533E5" w14:paraId="7CD58826" w14:textId="77777777" w:rsidTr="00AD02E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91C61CB" w14:textId="77777777" w:rsidR="00A358B1" w:rsidRPr="00310836" w:rsidRDefault="00A358B1" w:rsidP="00AD02E0">
            <w:pPr>
              <w:pStyle w:val="ListParagraph"/>
              <w:ind w:left="0"/>
              <w:jc w:val="both"/>
              <w:rPr>
                <w:rFonts w:ascii="Calibri Light" w:hAnsi="Calibri Light"/>
                <w:b w:val="0"/>
              </w:rPr>
            </w:pPr>
          </w:p>
          <w:p w14:paraId="00E089C8" w14:textId="77777777" w:rsidR="00A358B1" w:rsidRPr="00310836" w:rsidRDefault="00A358B1" w:rsidP="00AD02E0">
            <w:pPr>
              <w:pStyle w:val="ListParagraph"/>
              <w:ind w:left="0"/>
              <w:jc w:val="center"/>
              <w:rPr>
                <w:rFonts w:ascii="Calibri Light" w:hAnsi="Calibri Light"/>
                <w:b w:val="0"/>
              </w:rPr>
            </w:pPr>
            <w:r w:rsidRPr="00310836">
              <w:rPr>
                <w:rFonts w:ascii="Calibri Light" w:hAnsi="Calibri Light"/>
                <w:b w:val="0"/>
              </w:rPr>
              <w:t>-</w:t>
            </w:r>
          </w:p>
          <w:p w14:paraId="411279C0" w14:textId="77777777" w:rsidR="00A358B1" w:rsidRPr="00310836" w:rsidRDefault="00A358B1" w:rsidP="00AD02E0">
            <w:pPr>
              <w:pStyle w:val="ListParagraph"/>
              <w:ind w:left="0"/>
              <w:jc w:val="center"/>
              <w:rPr>
                <w:rFonts w:ascii="Calibri Light" w:hAnsi="Calibri Light"/>
                <w:b w:val="0"/>
              </w:rPr>
            </w:pPr>
          </w:p>
        </w:tc>
      </w:tr>
    </w:tbl>
    <w:p w14:paraId="26D51776" w14:textId="77777777" w:rsidR="00F256C4" w:rsidRDefault="002D125F" w:rsidP="00EB744B"/>
    <w:sectPr w:rsidR="00F256C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5C7D" w14:textId="77777777" w:rsidR="00292D4C" w:rsidRDefault="00292D4C" w:rsidP="00C7448F">
      <w:pPr>
        <w:spacing w:after="0" w:line="240" w:lineRule="auto"/>
      </w:pPr>
      <w:r>
        <w:separator/>
      </w:r>
    </w:p>
  </w:endnote>
  <w:endnote w:type="continuationSeparator" w:id="0">
    <w:p w14:paraId="7C4A50D7" w14:textId="77777777" w:rsidR="00292D4C" w:rsidRDefault="00292D4C" w:rsidP="00C7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1109848967"/>
      <w:docPartObj>
        <w:docPartGallery w:val="Page Numbers (Bottom of Page)"/>
        <w:docPartUnique/>
      </w:docPartObj>
    </w:sdtPr>
    <w:sdtEndPr/>
    <w:sdtContent>
      <w:p w14:paraId="513F52E6" w14:textId="77777777" w:rsidR="00C7448F" w:rsidRPr="00C7448F" w:rsidRDefault="00C7448F">
        <w:pPr>
          <w:pStyle w:val="Footer"/>
          <w:jc w:val="right"/>
          <w:rPr>
            <w:rFonts w:ascii="Calibri Light" w:hAnsi="Calibri Light"/>
          </w:rPr>
        </w:pPr>
        <w:r w:rsidRPr="00C7448F">
          <w:rPr>
            <w:rFonts w:ascii="Calibri Light" w:hAnsi="Calibri Light"/>
          </w:rPr>
          <w:fldChar w:fldCharType="begin"/>
        </w:r>
        <w:r w:rsidRPr="00C7448F">
          <w:rPr>
            <w:rFonts w:ascii="Calibri Light" w:hAnsi="Calibri Light"/>
          </w:rPr>
          <w:instrText>PAGE   \* MERGEFORMAT</w:instrText>
        </w:r>
        <w:r w:rsidRPr="00C7448F">
          <w:rPr>
            <w:rFonts w:ascii="Calibri Light" w:hAnsi="Calibri Light"/>
          </w:rPr>
          <w:fldChar w:fldCharType="separate"/>
        </w:r>
        <w:r w:rsidR="00100350" w:rsidRPr="00100350">
          <w:rPr>
            <w:rFonts w:ascii="Calibri Light" w:hAnsi="Calibri Light"/>
            <w:noProof/>
            <w:lang w:val="es-ES"/>
          </w:rPr>
          <w:t>5</w:t>
        </w:r>
        <w:r w:rsidRPr="00C7448F">
          <w:rPr>
            <w:rFonts w:ascii="Calibri Light" w:hAnsi="Calibri Light"/>
          </w:rPr>
          <w:fldChar w:fldCharType="end"/>
        </w:r>
      </w:p>
    </w:sdtContent>
  </w:sdt>
  <w:p w14:paraId="055C3519" w14:textId="77777777" w:rsidR="00C7448F" w:rsidRPr="00C7448F" w:rsidRDefault="00C7448F">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CEDA" w14:textId="77777777" w:rsidR="00292D4C" w:rsidRDefault="00292D4C" w:rsidP="00C7448F">
      <w:pPr>
        <w:spacing w:after="0" w:line="240" w:lineRule="auto"/>
      </w:pPr>
      <w:r>
        <w:separator/>
      </w:r>
    </w:p>
  </w:footnote>
  <w:footnote w:type="continuationSeparator" w:id="0">
    <w:p w14:paraId="5B099614" w14:textId="77777777" w:rsidR="00292D4C" w:rsidRDefault="00292D4C" w:rsidP="00C74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54F263F"/>
    <w:multiLevelType w:val="hybridMultilevel"/>
    <w:tmpl w:val="FF6A3F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486478E"/>
    <w:multiLevelType w:val="hybridMultilevel"/>
    <w:tmpl w:val="92A42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8B1"/>
    <w:rsid w:val="00027011"/>
    <w:rsid w:val="0003344C"/>
    <w:rsid w:val="00050A3C"/>
    <w:rsid w:val="000535DB"/>
    <w:rsid w:val="000553ED"/>
    <w:rsid w:val="00072A53"/>
    <w:rsid w:val="000B3D07"/>
    <w:rsid w:val="000D03AC"/>
    <w:rsid w:val="00100350"/>
    <w:rsid w:val="0010096E"/>
    <w:rsid w:val="00105558"/>
    <w:rsid w:val="001B74A2"/>
    <w:rsid w:val="001F7336"/>
    <w:rsid w:val="00204291"/>
    <w:rsid w:val="002576FE"/>
    <w:rsid w:val="00257F54"/>
    <w:rsid w:val="00280CFF"/>
    <w:rsid w:val="00292D4C"/>
    <w:rsid w:val="002965F7"/>
    <w:rsid w:val="002D125F"/>
    <w:rsid w:val="003825CA"/>
    <w:rsid w:val="00384244"/>
    <w:rsid w:val="0039165D"/>
    <w:rsid w:val="0041260F"/>
    <w:rsid w:val="00444FC0"/>
    <w:rsid w:val="0046012B"/>
    <w:rsid w:val="004649BC"/>
    <w:rsid w:val="00482C8C"/>
    <w:rsid w:val="00483AD9"/>
    <w:rsid w:val="00486D79"/>
    <w:rsid w:val="00530B08"/>
    <w:rsid w:val="00533067"/>
    <w:rsid w:val="00565239"/>
    <w:rsid w:val="005872E2"/>
    <w:rsid w:val="005F7D9E"/>
    <w:rsid w:val="00630EA5"/>
    <w:rsid w:val="00683A13"/>
    <w:rsid w:val="00694103"/>
    <w:rsid w:val="006B295C"/>
    <w:rsid w:val="00761D17"/>
    <w:rsid w:val="0079270D"/>
    <w:rsid w:val="007A2033"/>
    <w:rsid w:val="00804C71"/>
    <w:rsid w:val="0081207E"/>
    <w:rsid w:val="0081474B"/>
    <w:rsid w:val="00825B64"/>
    <w:rsid w:val="00847343"/>
    <w:rsid w:val="008B23A9"/>
    <w:rsid w:val="008D4399"/>
    <w:rsid w:val="008D7825"/>
    <w:rsid w:val="009078C6"/>
    <w:rsid w:val="00926650"/>
    <w:rsid w:val="00937484"/>
    <w:rsid w:val="00976197"/>
    <w:rsid w:val="009B1FAF"/>
    <w:rsid w:val="009E5917"/>
    <w:rsid w:val="00A00117"/>
    <w:rsid w:val="00A144B3"/>
    <w:rsid w:val="00A347DF"/>
    <w:rsid w:val="00A358B1"/>
    <w:rsid w:val="00A73EDC"/>
    <w:rsid w:val="00A873C9"/>
    <w:rsid w:val="00AF6FF6"/>
    <w:rsid w:val="00B010EA"/>
    <w:rsid w:val="00B306AB"/>
    <w:rsid w:val="00B3304B"/>
    <w:rsid w:val="00C6017B"/>
    <w:rsid w:val="00C65187"/>
    <w:rsid w:val="00C7448F"/>
    <w:rsid w:val="00D16D6C"/>
    <w:rsid w:val="00D50059"/>
    <w:rsid w:val="00D560E8"/>
    <w:rsid w:val="00DA07BF"/>
    <w:rsid w:val="00DA381B"/>
    <w:rsid w:val="00DD0D3B"/>
    <w:rsid w:val="00DF53F2"/>
    <w:rsid w:val="00E44277"/>
    <w:rsid w:val="00E718AA"/>
    <w:rsid w:val="00EB446A"/>
    <w:rsid w:val="00EB744B"/>
    <w:rsid w:val="00EC7538"/>
    <w:rsid w:val="00F35BBB"/>
    <w:rsid w:val="00F47E3A"/>
    <w:rsid w:val="00FC70F3"/>
    <w:rsid w:val="00FE67DC"/>
    <w:rsid w:val="00FF66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B1"/>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8B1"/>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58B1"/>
    <w:rPr>
      <w:rFonts w:ascii="Calibri" w:eastAsia="Calibri" w:hAnsi="Calibri" w:cs="Times New Roman"/>
      <w:lang w:val="es-MX"/>
    </w:rPr>
  </w:style>
  <w:style w:type="paragraph" w:styleId="ListParagraph">
    <w:name w:val="List Paragraph"/>
    <w:basedOn w:val="Normal"/>
    <w:uiPriority w:val="34"/>
    <w:qFormat/>
    <w:rsid w:val="00A358B1"/>
    <w:pPr>
      <w:ind w:left="720"/>
      <w:contextualSpacing/>
    </w:pPr>
  </w:style>
  <w:style w:type="table" w:customStyle="1" w:styleId="Tabladelista2-nfasis11">
    <w:name w:val="Tabla de lista 2 - Énfasis 11"/>
    <w:basedOn w:val="TableNormal"/>
    <w:uiPriority w:val="47"/>
    <w:rsid w:val="00A358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A358B1"/>
    <w:rPr>
      <w:color w:val="0000FF" w:themeColor="hyperlink"/>
      <w:u w:val="single"/>
    </w:rPr>
  </w:style>
  <w:style w:type="paragraph" w:styleId="Footer">
    <w:name w:val="footer"/>
    <w:basedOn w:val="Normal"/>
    <w:link w:val="FooterChar"/>
    <w:uiPriority w:val="99"/>
    <w:unhideWhenUsed/>
    <w:rsid w:val="00C744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448F"/>
    <w:rPr>
      <w:rFonts w:ascii="Calibri" w:eastAsia="Calibri" w:hAnsi="Calibri" w:cs="Times New Roman"/>
      <w:lang w:val="es-MX"/>
    </w:rPr>
  </w:style>
  <w:style w:type="character" w:styleId="UnresolvedMention">
    <w:name w:val="Unresolved Mention"/>
    <w:basedOn w:val="DefaultParagraphFont"/>
    <w:uiPriority w:val="99"/>
    <w:semiHidden/>
    <w:unhideWhenUsed/>
    <w:rsid w:val="005F7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2/ARAD12315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315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411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3CB3-8F30-4298-AA2C-06D07689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2105</Words>
  <Characters>12001</Characters>
  <Application>Microsoft Office Word</Application>
  <DocSecurity>0</DocSecurity>
  <Lines>100</Lines>
  <Paragraphs>28</Paragraphs>
  <ScaleCrop>false</ScaleCrop>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2021-02-11T09:49:00Z</dcterms:modified>
</cp:coreProperties>
</file>