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5DC6" w14:textId="77777777" w:rsidR="00FE75E2" w:rsidRDefault="00FE75E2" w:rsidP="00FE75E2">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6C33876" wp14:editId="7A59E460">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59B2B16" wp14:editId="0CD0E0B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44940F1" wp14:editId="494D387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E1C1E" w14:textId="77777777" w:rsidR="00FE75E2" w:rsidRPr="00411A74" w:rsidRDefault="00FE75E2" w:rsidP="00FE75E2">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5FD984A9" w14:textId="77777777" w:rsidR="00FE75E2" w:rsidRDefault="00FE75E2" w:rsidP="00FE75E2">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004AE53" w14:textId="77777777" w:rsidR="00827DDC" w:rsidRPr="00757148" w:rsidRDefault="00827DDC" w:rsidP="006621EC">
      <w:pPr>
        <w:spacing w:after="0" w:line="240" w:lineRule="auto"/>
        <w:jc w:val="center"/>
        <w:outlineLvl w:val="0"/>
        <w:rPr>
          <w:rFonts w:ascii="Calibri Light" w:hAnsi="Calibri Light"/>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757148"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757148" w:rsidRDefault="00AC6F31" w:rsidP="00AC6F31">
            <w:pPr>
              <w:pStyle w:val="ListParagraph"/>
              <w:rPr>
                <w:rFonts w:ascii="Calibri Light" w:hAnsi="Calibri Light"/>
              </w:rPr>
            </w:pPr>
          </w:p>
          <w:p w14:paraId="160CE2AC" w14:textId="77777777" w:rsidR="00212F62" w:rsidRPr="00757148" w:rsidRDefault="007A6C56" w:rsidP="00AC6F31">
            <w:pPr>
              <w:pStyle w:val="ListParagraph"/>
              <w:numPr>
                <w:ilvl w:val="0"/>
                <w:numId w:val="2"/>
              </w:numPr>
              <w:jc w:val="center"/>
              <w:rPr>
                <w:rFonts w:ascii="Calibri Light" w:hAnsi="Calibri Light"/>
              </w:rPr>
            </w:pPr>
            <w:r w:rsidRPr="00757148">
              <w:rPr>
                <w:rFonts w:ascii="Calibri Light" w:hAnsi="Calibri Light"/>
              </w:rPr>
              <w:t>Datos generales</w:t>
            </w:r>
          </w:p>
          <w:p w14:paraId="6C5B323B" w14:textId="6BA3A748" w:rsidR="00AC6F31" w:rsidRPr="00757148" w:rsidRDefault="00AC6F31" w:rsidP="00AC6F31">
            <w:pPr>
              <w:pStyle w:val="ListParagraph"/>
              <w:rPr>
                <w:rFonts w:ascii="Calibri Light" w:hAnsi="Calibri Light"/>
              </w:rPr>
            </w:pPr>
          </w:p>
        </w:tc>
      </w:tr>
      <w:tr w:rsidR="004533E5" w:rsidRPr="00757148"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757148" w:rsidRDefault="007A6C56" w:rsidP="00A65231">
            <w:pPr>
              <w:pStyle w:val="ListParagraph"/>
              <w:numPr>
                <w:ilvl w:val="0"/>
                <w:numId w:val="3"/>
              </w:numPr>
              <w:rPr>
                <w:rFonts w:ascii="Calibri Light" w:hAnsi="Calibri Light"/>
              </w:rPr>
            </w:pPr>
            <w:r w:rsidRPr="00757148">
              <w:rPr>
                <w:rFonts w:ascii="Calibri Light" w:hAnsi="Calibri Light"/>
              </w:rPr>
              <w:t>Nombre del caso</w:t>
            </w:r>
          </w:p>
        </w:tc>
        <w:tc>
          <w:tcPr>
            <w:tcW w:w="5043" w:type="dxa"/>
            <w:gridSpan w:val="2"/>
          </w:tcPr>
          <w:p w14:paraId="084A5991" w14:textId="60473B7D" w:rsidR="005173CF" w:rsidRPr="00757148" w:rsidRDefault="00E12796" w:rsidP="005F0F4F">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757148">
              <w:rPr>
                <w:rFonts w:ascii="Calibri Light" w:hAnsi="Calibri Light"/>
              </w:rPr>
              <w:t>José Isabel Salas Galindo y otros, Estados Unidos</w:t>
            </w:r>
          </w:p>
        </w:tc>
      </w:tr>
      <w:tr w:rsidR="00F464EC" w:rsidRPr="00757148"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51BECC34" w:rsidR="00F464EC" w:rsidRPr="00757148" w:rsidRDefault="00813AD2" w:rsidP="00A65231">
            <w:pPr>
              <w:pStyle w:val="ListParagraph"/>
              <w:numPr>
                <w:ilvl w:val="0"/>
                <w:numId w:val="3"/>
              </w:numPr>
              <w:rPr>
                <w:rFonts w:ascii="Calibri Light" w:hAnsi="Calibri Light"/>
              </w:rPr>
            </w:pPr>
            <w:r w:rsidRPr="00757148">
              <w:rPr>
                <w:rFonts w:ascii="Calibri Light" w:hAnsi="Calibri Light"/>
              </w:rPr>
              <w:t>Parte peticionaria</w:t>
            </w:r>
          </w:p>
        </w:tc>
        <w:tc>
          <w:tcPr>
            <w:tcW w:w="5043" w:type="dxa"/>
            <w:gridSpan w:val="2"/>
          </w:tcPr>
          <w:p w14:paraId="374B2A68" w14:textId="258D35E4" w:rsidR="005F0F4F" w:rsidRPr="00757148" w:rsidRDefault="00E12796" w:rsidP="005F0F4F">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José Luis Morín y Gilma Camargo, en representación del Centro por los Derechos Constitucionales</w:t>
            </w:r>
          </w:p>
        </w:tc>
      </w:tr>
      <w:tr w:rsidR="005173CF" w:rsidRPr="00757148"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5173CF" w:rsidRPr="00757148" w:rsidRDefault="007A6C56" w:rsidP="00A65231">
            <w:pPr>
              <w:pStyle w:val="ListParagraph"/>
              <w:numPr>
                <w:ilvl w:val="0"/>
                <w:numId w:val="3"/>
              </w:numPr>
              <w:rPr>
                <w:rFonts w:ascii="Calibri Light" w:hAnsi="Calibri Light"/>
              </w:rPr>
            </w:pPr>
            <w:r w:rsidRPr="00757148">
              <w:rPr>
                <w:rFonts w:ascii="Calibri Light" w:hAnsi="Calibri Light"/>
              </w:rPr>
              <w:t xml:space="preserve">Número de Informe </w:t>
            </w:r>
          </w:p>
        </w:tc>
        <w:tc>
          <w:tcPr>
            <w:tcW w:w="5043" w:type="dxa"/>
            <w:gridSpan w:val="2"/>
          </w:tcPr>
          <w:p w14:paraId="77740DF4" w14:textId="7C17D55C" w:rsidR="005173CF" w:rsidRPr="00757148" w:rsidRDefault="00346D6A" w:rsidP="00E1279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E12796" w:rsidRPr="00757148">
                <w:rPr>
                  <w:rStyle w:val="Hyperlink"/>
                  <w:rFonts w:ascii="Calibri Light" w:hAnsi="Calibri Light"/>
                </w:rPr>
                <w:t>Informe No. 121/18</w:t>
              </w:r>
            </w:hyperlink>
          </w:p>
        </w:tc>
      </w:tr>
      <w:tr w:rsidR="004533E5" w:rsidRPr="00757148"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757148" w:rsidRDefault="00954E20" w:rsidP="00954E20">
            <w:pPr>
              <w:pStyle w:val="ListParagraph"/>
              <w:numPr>
                <w:ilvl w:val="0"/>
                <w:numId w:val="3"/>
              </w:numPr>
              <w:rPr>
                <w:rFonts w:ascii="Calibri Light" w:hAnsi="Calibri Light"/>
              </w:rPr>
            </w:pPr>
            <w:r w:rsidRPr="00757148">
              <w:rPr>
                <w:rFonts w:ascii="Calibri Light" w:hAnsi="Calibri Light"/>
              </w:rPr>
              <w:t xml:space="preserve">Tipo de informe </w:t>
            </w:r>
          </w:p>
        </w:tc>
        <w:tc>
          <w:tcPr>
            <w:tcW w:w="5043" w:type="dxa"/>
            <w:gridSpan w:val="2"/>
          </w:tcPr>
          <w:p w14:paraId="35E9A08D" w14:textId="61C19303" w:rsidR="005173CF" w:rsidRPr="00757148" w:rsidRDefault="001077C9" w:rsidP="00E12796">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Informe de Fondo</w:t>
            </w:r>
            <w:r w:rsidR="00243C42" w:rsidRPr="00757148">
              <w:rPr>
                <w:rFonts w:ascii="Calibri Light" w:hAnsi="Calibri Light"/>
              </w:rPr>
              <w:t xml:space="preserve"> </w:t>
            </w:r>
            <w:r w:rsidR="00F07CF4" w:rsidRPr="00757148">
              <w:rPr>
                <w:rFonts w:ascii="Calibri Light" w:hAnsi="Calibri Light"/>
              </w:rPr>
              <w:t>(</w:t>
            </w:r>
            <w:r w:rsidR="00E12796" w:rsidRPr="00757148">
              <w:rPr>
                <w:rFonts w:ascii="Calibri Light" w:hAnsi="Calibri Light"/>
              </w:rPr>
              <w:t>Publicación</w:t>
            </w:r>
            <w:r w:rsidR="00F07CF4" w:rsidRPr="00757148">
              <w:rPr>
                <w:rFonts w:ascii="Calibri Light" w:hAnsi="Calibri Light"/>
              </w:rPr>
              <w:t>)</w:t>
            </w:r>
          </w:p>
        </w:tc>
      </w:tr>
      <w:tr w:rsidR="005173CF" w:rsidRPr="00757148" w14:paraId="7ED5AB61" w14:textId="77777777" w:rsidTr="00606CD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757148" w:rsidRDefault="00954E20" w:rsidP="00A65231">
            <w:pPr>
              <w:pStyle w:val="ListParagraph"/>
              <w:numPr>
                <w:ilvl w:val="0"/>
                <w:numId w:val="3"/>
              </w:numPr>
              <w:rPr>
                <w:rFonts w:ascii="Calibri Light" w:hAnsi="Calibri Light"/>
              </w:rPr>
            </w:pPr>
            <w:r w:rsidRPr="00757148">
              <w:rPr>
                <w:rFonts w:ascii="Calibri Light" w:hAnsi="Calibri Light"/>
              </w:rPr>
              <w:t>Fecha</w:t>
            </w:r>
            <w:r w:rsidR="007A6C56" w:rsidRPr="00757148">
              <w:rPr>
                <w:rFonts w:ascii="Calibri Light" w:hAnsi="Calibri Light"/>
              </w:rPr>
              <w:t xml:space="preserve"> </w:t>
            </w:r>
          </w:p>
        </w:tc>
        <w:tc>
          <w:tcPr>
            <w:tcW w:w="5043" w:type="dxa"/>
            <w:gridSpan w:val="2"/>
          </w:tcPr>
          <w:p w14:paraId="1C803DF5" w14:textId="421AE8C0" w:rsidR="005173CF" w:rsidRPr="00757148" w:rsidRDefault="00E12796" w:rsidP="005F0F4F">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757148">
              <w:rPr>
                <w:rFonts w:ascii="Calibri Light" w:hAnsi="Calibri Light"/>
              </w:rPr>
              <w:t>5 de octubre de 2018</w:t>
            </w:r>
          </w:p>
        </w:tc>
      </w:tr>
      <w:tr w:rsidR="004533E5" w:rsidRPr="00757148"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757148" w:rsidRDefault="00BB61C6" w:rsidP="00A65231">
            <w:pPr>
              <w:pStyle w:val="ListParagraph"/>
              <w:numPr>
                <w:ilvl w:val="0"/>
                <w:numId w:val="3"/>
              </w:numPr>
              <w:rPr>
                <w:rFonts w:ascii="Calibri Light" w:hAnsi="Calibri Light"/>
              </w:rPr>
            </w:pPr>
            <w:r w:rsidRPr="00757148">
              <w:rPr>
                <w:rFonts w:ascii="Calibri Light" w:hAnsi="Calibri Light"/>
              </w:rPr>
              <w:t>Decisiones de la CIDH</w:t>
            </w:r>
            <w:r w:rsidR="007A6C56" w:rsidRPr="00757148">
              <w:rPr>
                <w:rFonts w:ascii="Calibri Light" w:hAnsi="Calibri Light"/>
              </w:rPr>
              <w:t xml:space="preserve"> </w:t>
            </w:r>
            <w:r w:rsidR="00DD3C7C" w:rsidRPr="00757148">
              <w:rPr>
                <w:rFonts w:ascii="Calibri Light" w:hAnsi="Calibri Light"/>
              </w:rPr>
              <w:t xml:space="preserve">y/o la Corte IDH, </w:t>
            </w:r>
            <w:r w:rsidR="007A6C56" w:rsidRPr="00757148">
              <w:rPr>
                <w:rFonts w:ascii="Calibri Light" w:hAnsi="Calibri Light"/>
              </w:rPr>
              <w:t>relacionadas</w:t>
            </w:r>
          </w:p>
        </w:tc>
        <w:tc>
          <w:tcPr>
            <w:tcW w:w="5043" w:type="dxa"/>
            <w:gridSpan w:val="2"/>
            <w:vAlign w:val="center"/>
          </w:tcPr>
          <w:p w14:paraId="3D62287D" w14:textId="66072FD6" w:rsidR="0042581C" w:rsidRPr="00757148" w:rsidRDefault="00243C42" w:rsidP="00E1279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 xml:space="preserve">Informe </w:t>
            </w:r>
            <w:r w:rsidR="00E12796" w:rsidRPr="00757148">
              <w:rPr>
                <w:rFonts w:ascii="Calibri Light" w:hAnsi="Calibri Light"/>
              </w:rPr>
              <w:t>No. 31/93</w:t>
            </w:r>
            <w:r w:rsidR="00161979" w:rsidRPr="00757148">
              <w:rPr>
                <w:rFonts w:ascii="Calibri Light" w:hAnsi="Calibri Light"/>
              </w:rPr>
              <w:t xml:space="preserve"> (Admisibilidad)</w:t>
            </w:r>
          </w:p>
          <w:p w14:paraId="27834F35" w14:textId="78295DFA" w:rsidR="00161979" w:rsidRPr="00757148" w:rsidRDefault="00161979" w:rsidP="00E1279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Informe No. 169/17 (Fondo)</w:t>
            </w:r>
          </w:p>
          <w:p w14:paraId="72EA1AA4" w14:textId="3CC313DD" w:rsidR="00161979" w:rsidRPr="00757148" w:rsidRDefault="00161979" w:rsidP="00E1279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Informe No. 70/18 (Fondo)</w:t>
            </w:r>
          </w:p>
        </w:tc>
      </w:tr>
      <w:tr w:rsidR="004C2E50" w:rsidRPr="00757148"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738273E6" w:rsidR="004C2E50" w:rsidRPr="00757148" w:rsidRDefault="004C2E50" w:rsidP="00A65231">
            <w:pPr>
              <w:pStyle w:val="ListParagraph"/>
              <w:numPr>
                <w:ilvl w:val="0"/>
                <w:numId w:val="3"/>
              </w:numPr>
              <w:rPr>
                <w:rFonts w:ascii="Calibri Light" w:hAnsi="Calibri Light"/>
              </w:rPr>
            </w:pPr>
            <w:r w:rsidRPr="00757148">
              <w:rPr>
                <w:rFonts w:ascii="Calibri Light" w:hAnsi="Calibri Light"/>
              </w:rPr>
              <w:t>Artículos analizados</w:t>
            </w:r>
          </w:p>
        </w:tc>
        <w:tc>
          <w:tcPr>
            <w:tcW w:w="5043" w:type="dxa"/>
            <w:gridSpan w:val="2"/>
          </w:tcPr>
          <w:p w14:paraId="18718B95" w14:textId="2144C693" w:rsidR="004C2E50" w:rsidRPr="00757148" w:rsidRDefault="00E12796"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757148">
              <w:rPr>
                <w:rFonts w:ascii="Calibri Light" w:hAnsi="Calibri Light"/>
              </w:rPr>
              <w:t xml:space="preserve">Declaración Americana de los Derechos y Deberes del Hombre </w:t>
            </w:r>
          </w:p>
        </w:tc>
      </w:tr>
      <w:tr w:rsidR="004C2E50" w:rsidRPr="00757148"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4C2E50" w:rsidRPr="00757148" w:rsidRDefault="004C2E50" w:rsidP="00A65231">
            <w:pPr>
              <w:pStyle w:val="ListParagraph"/>
              <w:numPr>
                <w:ilvl w:val="0"/>
                <w:numId w:val="3"/>
              </w:numPr>
              <w:rPr>
                <w:rFonts w:ascii="Calibri Light" w:hAnsi="Calibri Light"/>
              </w:rPr>
            </w:pPr>
          </w:p>
        </w:tc>
        <w:tc>
          <w:tcPr>
            <w:tcW w:w="2490" w:type="dxa"/>
          </w:tcPr>
          <w:p w14:paraId="04C377A5" w14:textId="03DDDCE4" w:rsidR="004C2E50" w:rsidRPr="00757148"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Artículos analizados declarados violados</w:t>
            </w:r>
          </w:p>
        </w:tc>
        <w:tc>
          <w:tcPr>
            <w:tcW w:w="2553" w:type="dxa"/>
          </w:tcPr>
          <w:p w14:paraId="277975FB" w14:textId="56CF35CB" w:rsidR="004C2E50" w:rsidRPr="00757148" w:rsidRDefault="004C2E50"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57148">
              <w:rPr>
                <w:rFonts w:ascii="Calibri Light" w:hAnsi="Calibri Light"/>
              </w:rPr>
              <w:t>Artículos analizados no declarados violados</w:t>
            </w:r>
          </w:p>
        </w:tc>
      </w:tr>
      <w:tr w:rsidR="004C2E50" w:rsidRPr="00757148" w14:paraId="4F41E916" w14:textId="77777777" w:rsidTr="00A94EE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1D1C3694" w14:textId="77777777" w:rsidR="004C2E50" w:rsidRPr="00757148" w:rsidRDefault="004C2E50" w:rsidP="00A65231">
            <w:pPr>
              <w:pStyle w:val="ListParagraph"/>
              <w:numPr>
                <w:ilvl w:val="0"/>
                <w:numId w:val="3"/>
              </w:numPr>
              <w:rPr>
                <w:rFonts w:ascii="Calibri Light" w:hAnsi="Calibri Light"/>
              </w:rPr>
            </w:pPr>
          </w:p>
        </w:tc>
        <w:tc>
          <w:tcPr>
            <w:tcW w:w="2490" w:type="dxa"/>
          </w:tcPr>
          <w:p w14:paraId="5E6682FC" w14:textId="71E4F9F0" w:rsidR="004C2E50" w:rsidRPr="00757148" w:rsidRDefault="00E12796" w:rsidP="00E12796">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r w:rsidRPr="00757148">
              <w:rPr>
                <w:rFonts w:ascii="Calibri Light" w:hAnsi="Calibri Light"/>
                <w:lang w:val="en-US"/>
              </w:rPr>
              <w:t xml:space="preserve">Art. I, art. VII, art. XVIII, art. XXIII </w:t>
            </w:r>
          </w:p>
        </w:tc>
        <w:tc>
          <w:tcPr>
            <w:tcW w:w="2553" w:type="dxa"/>
            <w:vAlign w:val="center"/>
          </w:tcPr>
          <w:p w14:paraId="1DBBF8BB" w14:textId="5E907A99" w:rsidR="004C2E50" w:rsidRPr="00757148" w:rsidRDefault="004C2E50" w:rsidP="00A94EE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lang w:val="en-US"/>
              </w:rPr>
            </w:pPr>
          </w:p>
        </w:tc>
      </w:tr>
      <w:tr w:rsidR="004C2E50" w:rsidRPr="00757148" w14:paraId="54B7813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3F046F3" w:rsidR="004C2E50" w:rsidRPr="00757148" w:rsidRDefault="004C2E50" w:rsidP="00AC6F31">
            <w:pPr>
              <w:pStyle w:val="ListParagraph"/>
              <w:rPr>
                <w:rFonts w:ascii="Calibri Light" w:hAnsi="Calibri Light"/>
                <w:lang w:val="en-US"/>
              </w:rPr>
            </w:pPr>
          </w:p>
          <w:p w14:paraId="1ECE5967" w14:textId="77777777" w:rsidR="004C2E50" w:rsidRPr="00757148" w:rsidRDefault="004C2E50" w:rsidP="0029671B">
            <w:pPr>
              <w:pStyle w:val="ListParagraph"/>
              <w:numPr>
                <w:ilvl w:val="0"/>
                <w:numId w:val="2"/>
              </w:numPr>
              <w:jc w:val="center"/>
              <w:rPr>
                <w:rFonts w:ascii="Calibri Light" w:hAnsi="Calibri Light"/>
              </w:rPr>
            </w:pPr>
            <w:r w:rsidRPr="00757148">
              <w:rPr>
                <w:rFonts w:ascii="Calibri Light" w:hAnsi="Calibri Light"/>
              </w:rPr>
              <w:t>Sumilla</w:t>
            </w:r>
          </w:p>
          <w:p w14:paraId="009AFBB8" w14:textId="77777777" w:rsidR="004C2E50" w:rsidRPr="00757148" w:rsidRDefault="004C2E50" w:rsidP="00AC6F31">
            <w:pPr>
              <w:pStyle w:val="ListParagraph"/>
              <w:rPr>
                <w:rFonts w:ascii="Calibri Light" w:hAnsi="Calibri Light"/>
              </w:rPr>
            </w:pPr>
          </w:p>
        </w:tc>
      </w:tr>
      <w:tr w:rsidR="004C2E50" w:rsidRPr="00757148" w14:paraId="6B670455" w14:textId="77777777" w:rsidTr="00647093">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EE5A7E7" w14:textId="2B6621E0" w:rsidR="00E12796" w:rsidRPr="00757148" w:rsidRDefault="00DA6083" w:rsidP="00647093">
            <w:pPr>
              <w:jc w:val="both"/>
              <w:rPr>
                <w:rFonts w:ascii="Calibri Light" w:hAnsi="Calibri Light"/>
                <w:b w:val="0"/>
              </w:rPr>
            </w:pPr>
            <w:r>
              <w:rPr>
                <w:rFonts w:ascii="Calibri Light" w:hAnsi="Calibri Light"/>
                <w:b w:val="0"/>
              </w:rPr>
              <w:t>El caso trata sobre las muertes, lesiones y daños sufridos por un grupo de personas como consecuencia de la Operación Justa Causa</w:t>
            </w:r>
            <w:r w:rsidR="00647093">
              <w:rPr>
                <w:rFonts w:ascii="Calibri Light" w:hAnsi="Calibri Light"/>
                <w:b w:val="0"/>
              </w:rPr>
              <w:t>, la cual fue llevada a cabo sin respetar los principios del Derecho Internacional Humanitario</w:t>
            </w:r>
            <w:r>
              <w:rPr>
                <w:rFonts w:ascii="Calibri Light" w:hAnsi="Calibri Light"/>
                <w:b w:val="0"/>
              </w:rPr>
              <w:t xml:space="preserve">. Mediante este operativo, Estados Unidos ocupó temporalmente Panamá con el objetivo de restaurar la democracia y llevar a la justicia al General Manuel Noriega. Las violaciones de derechos humanos no fueron investigadas ni reparadas adecuadamente. </w:t>
            </w:r>
          </w:p>
        </w:tc>
      </w:tr>
      <w:tr w:rsidR="004C2E50" w:rsidRPr="00757148" w14:paraId="238A2196"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4C2E50" w:rsidRPr="00757148" w:rsidRDefault="004C2E50" w:rsidP="00AC6F31">
            <w:pPr>
              <w:pStyle w:val="ListParagraph"/>
              <w:rPr>
                <w:rFonts w:ascii="Calibri Light" w:hAnsi="Calibri Light"/>
              </w:rPr>
            </w:pPr>
          </w:p>
          <w:p w14:paraId="6E7AC4B8" w14:textId="77777777" w:rsidR="004C2E50" w:rsidRPr="00757148" w:rsidRDefault="004C2E50" w:rsidP="0029671B">
            <w:pPr>
              <w:pStyle w:val="ListParagraph"/>
              <w:numPr>
                <w:ilvl w:val="0"/>
                <w:numId w:val="2"/>
              </w:numPr>
              <w:jc w:val="center"/>
              <w:rPr>
                <w:rFonts w:ascii="Calibri Light" w:hAnsi="Calibri Light"/>
              </w:rPr>
            </w:pPr>
            <w:r w:rsidRPr="00757148">
              <w:rPr>
                <w:rFonts w:ascii="Calibri Light" w:hAnsi="Calibri Light"/>
              </w:rPr>
              <w:t>Palabras clave</w:t>
            </w:r>
          </w:p>
          <w:p w14:paraId="6A1E32A7" w14:textId="77777777" w:rsidR="004C2E50" w:rsidRPr="00757148" w:rsidRDefault="004C2E50" w:rsidP="00AC6F31">
            <w:pPr>
              <w:pStyle w:val="ListParagraph"/>
              <w:rPr>
                <w:rFonts w:ascii="Calibri Light" w:hAnsi="Calibri Light"/>
              </w:rPr>
            </w:pPr>
          </w:p>
        </w:tc>
      </w:tr>
      <w:tr w:rsidR="004C2E50" w:rsidRPr="00757148" w14:paraId="34AE2D45" w14:textId="77777777" w:rsidTr="009D561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54890764" w:rsidR="007B27C9" w:rsidRPr="00757148" w:rsidRDefault="007B27C9" w:rsidP="009D5619">
            <w:pPr>
              <w:jc w:val="both"/>
              <w:rPr>
                <w:rFonts w:ascii="Calibri Light" w:hAnsi="Calibri Light"/>
                <w:b w:val="0"/>
              </w:rPr>
            </w:pPr>
            <w:r w:rsidRPr="00757148">
              <w:rPr>
                <w:rFonts w:ascii="Calibri Light" w:hAnsi="Calibri Light"/>
                <w:b w:val="0"/>
              </w:rPr>
              <w:t>DADDH, Derecho Internacional Humanitario</w:t>
            </w:r>
            <w:r w:rsidR="006A6A43" w:rsidRPr="00757148">
              <w:rPr>
                <w:rFonts w:ascii="Calibri Light" w:hAnsi="Calibri Light"/>
                <w:b w:val="0"/>
              </w:rPr>
              <w:t>, Integridad personal, Jurisdicción extraterritorial, Propiedad, Vida</w:t>
            </w:r>
          </w:p>
        </w:tc>
      </w:tr>
      <w:tr w:rsidR="004C2E50" w:rsidRPr="00757148" w14:paraId="69044E7B"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4C2E50" w:rsidRPr="00757148" w:rsidRDefault="004C2E50" w:rsidP="00AC6F31">
            <w:pPr>
              <w:pStyle w:val="ListParagraph"/>
              <w:rPr>
                <w:rFonts w:ascii="Calibri Light" w:hAnsi="Calibri Light"/>
              </w:rPr>
            </w:pPr>
          </w:p>
          <w:p w14:paraId="177FF988" w14:textId="77777777" w:rsidR="004C2E50" w:rsidRPr="00757148" w:rsidRDefault="004C2E50" w:rsidP="0029671B">
            <w:pPr>
              <w:pStyle w:val="ListParagraph"/>
              <w:numPr>
                <w:ilvl w:val="0"/>
                <w:numId w:val="2"/>
              </w:numPr>
              <w:jc w:val="center"/>
              <w:rPr>
                <w:rFonts w:ascii="Calibri Light" w:hAnsi="Calibri Light"/>
              </w:rPr>
            </w:pPr>
            <w:r w:rsidRPr="00757148">
              <w:rPr>
                <w:rFonts w:ascii="Calibri Light" w:hAnsi="Calibri Light"/>
              </w:rPr>
              <w:t>Hechos</w:t>
            </w:r>
          </w:p>
          <w:p w14:paraId="190B7E98" w14:textId="77777777" w:rsidR="004C2E50" w:rsidRPr="00757148" w:rsidRDefault="004C2E50" w:rsidP="00AC6F31">
            <w:pPr>
              <w:pStyle w:val="ListParagraph"/>
              <w:rPr>
                <w:rFonts w:ascii="Calibri Light" w:hAnsi="Calibri Light"/>
              </w:rPr>
            </w:pPr>
          </w:p>
        </w:tc>
      </w:tr>
      <w:tr w:rsidR="004C2E50" w:rsidRPr="00757148" w14:paraId="6F58DE83" w14:textId="77777777" w:rsidTr="009D5619">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6A13708A" w14:textId="77777777" w:rsidR="009D5619" w:rsidRDefault="009D5619" w:rsidP="009D5619">
            <w:pPr>
              <w:jc w:val="both"/>
              <w:rPr>
                <w:rFonts w:ascii="Calibri Light" w:hAnsi="Calibri Light"/>
                <w:b w:val="0"/>
              </w:rPr>
            </w:pPr>
          </w:p>
          <w:p w14:paraId="74C2DA34" w14:textId="1C779BE9" w:rsidR="00C62BEC" w:rsidRDefault="006C72A1" w:rsidP="009D5619">
            <w:pPr>
              <w:jc w:val="both"/>
              <w:rPr>
                <w:rFonts w:ascii="Calibri Light" w:hAnsi="Calibri Light"/>
                <w:b w:val="0"/>
              </w:rPr>
            </w:pPr>
            <w:r w:rsidRPr="00757148">
              <w:rPr>
                <w:rFonts w:ascii="Calibri Light" w:hAnsi="Calibri Light"/>
                <w:b w:val="0"/>
              </w:rPr>
              <w:t>Los</w:t>
            </w:r>
            <w:r w:rsidR="0087686C" w:rsidRPr="00757148">
              <w:rPr>
                <w:rFonts w:ascii="Calibri Light" w:hAnsi="Calibri Light"/>
                <w:b w:val="0"/>
              </w:rPr>
              <w:t xml:space="preserve"> hechos del caso se enmarcan en </w:t>
            </w:r>
            <w:r w:rsidR="00645588">
              <w:rPr>
                <w:rFonts w:ascii="Calibri Light" w:hAnsi="Calibri Light"/>
                <w:b w:val="0"/>
              </w:rPr>
              <w:t>un</w:t>
            </w:r>
            <w:r w:rsidR="0087686C" w:rsidRPr="00757148">
              <w:rPr>
                <w:rFonts w:ascii="Calibri Light" w:hAnsi="Calibri Light"/>
                <w:b w:val="0"/>
              </w:rPr>
              <w:t xml:space="preserve"> contexto de tensas relaciones entre Estados Unidos y Panamá, tras la firma de los “Tratados Torrijos-Carter”</w:t>
            </w:r>
            <w:r w:rsidR="002F70E3">
              <w:rPr>
                <w:rFonts w:ascii="Calibri Light" w:hAnsi="Calibri Light"/>
                <w:b w:val="0"/>
              </w:rPr>
              <w:t xml:space="preserve"> que establecieron</w:t>
            </w:r>
            <w:r w:rsidR="00757148" w:rsidRPr="00757148">
              <w:rPr>
                <w:rFonts w:ascii="Calibri Light" w:hAnsi="Calibri Light"/>
                <w:b w:val="0"/>
              </w:rPr>
              <w:t xml:space="preserve"> nuevos términos </w:t>
            </w:r>
            <w:r w:rsidR="00757148">
              <w:rPr>
                <w:rFonts w:ascii="Calibri Light" w:hAnsi="Calibri Light"/>
                <w:b w:val="0"/>
              </w:rPr>
              <w:t>en la administración</w:t>
            </w:r>
            <w:r w:rsidR="00757148" w:rsidRPr="00757148">
              <w:rPr>
                <w:rFonts w:ascii="Calibri Light" w:hAnsi="Calibri Light"/>
                <w:b w:val="0"/>
              </w:rPr>
              <w:t xml:space="preserve"> </w:t>
            </w:r>
            <w:r w:rsidR="00757148">
              <w:rPr>
                <w:rFonts w:ascii="Calibri Light" w:hAnsi="Calibri Light"/>
                <w:b w:val="0"/>
              </w:rPr>
              <w:t>d</w:t>
            </w:r>
            <w:r w:rsidR="00757148" w:rsidRPr="00757148">
              <w:rPr>
                <w:rFonts w:ascii="Calibri Light" w:hAnsi="Calibri Light"/>
                <w:b w:val="0"/>
              </w:rPr>
              <w:t xml:space="preserve">el canal de Panamá. </w:t>
            </w:r>
            <w:r w:rsidR="00433794">
              <w:rPr>
                <w:rFonts w:ascii="Calibri Light" w:hAnsi="Calibri Light"/>
                <w:b w:val="0"/>
              </w:rPr>
              <w:t>Estas tensiones llevaron a que</w:t>
            </w:r>
            <w:r w:rsidR="00757148">
              <w:rPr>
                <w:rFonts w:ascii="Calibri Light" w:hAnsi="Calibri Light"/>
                <w:b w:val="0"/>
              </w:rPr>
              <w:t xml:space="preserve"> el 15 de diciembre de 1</w:t>
            </w:r>
            <w:r w:rsidR="00433794">
              <w:rPr>
                <w:rFonts w:ascii="Calibri Light" w:hAnsi="Calibri Light"/>
                <w:b w:val="0"/>
              </w:rPr>
              <w:t xml:space="preserve">989, </w:t>
            </w:r>
            <w:r w:rsidR="00757148">
              <w:rPr>
                <w:rFonts w:ascii="Calibri Light" w:hAnsi="Calibri Light"/>
                <w:b w:val="0"/>
              </w:rPr>
              <w:t>la Asamblea General de Representantes de Corregimientos declar</w:t>
            </w:r>
            <w:r w:rsidR="00433794">
              <w:rPr>
                <w:rFonts w:ascii="Calibri Light" w:hAnsi="Calibri Light"/>
                <w:b w:val="0"/>
              </w:rPr>
              <w:t>ara</w:t>
            </w:r>
            <w:r w:rsidR="00757148">
              <w:rPr>
                <w:rFonts w:ascii="Calibri Light" w:hAnsi="Calibri Light"/>
                <w:b w:val="0"/>
              </w:rPr>
              <w:t xml:space="preserve"> en “estado de guerra” a Panamá por el “acoso e intervenciones”</w:t>
            </w:r>
            <w:r w:rsidR="00433794">
              <w:rPr>
                <w:rFonts w:ascii="Calibri Light" w:hAnsi="Calibri Light"/>
                <w:b w:val="0"/>
              </w:rPr>
              <w:t xml:space="preserve"> de Estados Unidos, y designara a</w:t>
            </w:r>
            <w:r w:rsidR="00154484">
              <w:rPr>
                <w:rFonts w:ascii="Calibri Light" w:hAnsi="Calibri Light"/>
                <w:b w:val="0"/>
              </w:rPr>
              <w:t>l General</w:t>
            </w:r>
            <w:r w:rsidR="00433794">
              <w:rPr>
                <w:rFonts w:ascii="Calibri Light" w:hAnsi="Calibri Light"/>
                <w:b w:val="0"/>
              </w:rPr>
              <w:t xml:space="preserve"> Manuel Noriega como jefe de gobierno.</w:t>
            </w:r>
            <w:r w:rsidR="00F138EF">
              <w:rPr>
                <w:rFonts w:ascii="Calibri Light" w:hAnsi="Calibri Light"/>
                <w:b w:val="0"/>
              </w:rPr>
              <w:t xml:space="preserve"> </w:t>
            </w:r>
            <w:r w:rsidR="00154484">
              <w:rPr>
                <w:rFonts w:ascii="Calibri Light" w:hAnsi="Calibri Light"/>
                <w:b w:val="0"/>
              </w:rPr>
              <w:t xml:space="preserve">Frente a ello, el 19 de diciembre de 1989, las fuerzas militares estadounidenses iniciaron, por órdenes del Presidente George Bush, la “Operación Justa Causa” </w:t>
            </w:r>
            <w:r w:rsidR="00154484">
              <w:rPr>
                <w:rFonts w:ascii="Calibri Light" w:hAnsi="Calibri Light"/>
                <w:b w:val="0"/>
              </w:rPr>
              <w:lastRenderedPageBreak/>
              <w:t xml:space="preserve">con el objetivo de, entre otros, restaurar la democracia en Panamá y llevar al General Noriega </w:t>
            </w:r>
            <w:r w:rsidR="00F138EF">
              <w:rPr>
                <w:rFonts w:ascii="Calibri Light" w:hAnsi="Calibri Light"/>
                <w:b w:val="0"/>
              </w:rPr>
              <w:t>ante la justicia estadounidense.</w:t>
            </w:r>
            <w:r w:rsidR="003C69B7">
              <w:rPr>
                <w:rFonts w:ascii="Calibri Light" w:hAnsi="Calibri Light"/>
                <w:b w:val="0"/>
              </w:rPr>
              <w:t xml:space="preserve"> </w:t>
            </w:r>
          </w:p>
          <w:p w14:paraId="335C4E2A" w14:textId="77777777" w:rsidR="00C62BEC" w:rsidRDefault="00C62BEC" w:rsidP="009D5619">
            <w:pPr>
              <w:jc w:val="both"/>
              <w:rPr>
                <w:rFonts w:ascii="Calibri Light" w:hAnsi="Calibri Light"/>
                <w:b w:val="0"/>
              </w:rPr>
            </w:pPr>
          </w:p>
          <w:p w14:paraId="7B4DB070" w14:textId="2780AB08" w:rsidR="00A00212" w:rsidRDefault="003C69B7" w:rsidP="009D5619">
            <w:pPr>
              <w:jc w:val="both"/>
              <w:rPr>
                <w:rFonts w:ascii="Calibri Light" w:hAnsi="Calibri Light"/>
                <w:b w:val="0"/>
              </w:rPr>
            </w:pPr>
            <w:r>
              <w:rPr>
                <w:rFonts w:ascii="Calibri Light" w:hAnsi="Calibri Light"/>
                <w:b w:val="0"/>
              </w:rPr>
              <w:t xml:space="preserve">Se desplegaron aproximadamente 24.000 soldados, </w:t>
            </w:r>
            <w:r w:rsidR="008B016E">
              <w:rPr>
                <w:rFonts w:ascii="Calibri Light" w:hAnsi="Calibri Light"/>
                <w:b w:val="0"/>
              </w:rPr>
              <w:t>entre</w:t>
            </w:r>
            <w:r>
              <w:rPr>
                <w:rFonts w:ascii="Calibri Light" w:hAnsi="Calibri Light"/>
                <w:b w:val="0"/>
              </w:rPr>
              <w:t xml:space="preserve"> tropas estadounidenses que se encontraban en el territorio panameño por el canal de Panamá y tropas adicionales que fueron enviadas. </w:t>
            </w:r>
            <w:r w:rsidR="0001128C">
              <w:rPr>
                <w:rFonts w:ascii="Calibri Light" w:hAnsi="Calibri Light"/>
                <w:b w:val="0"/>
              </w:rPr>
              <w:t>El 20 de diciembre, en una base estadounidense en la zona del canal, Guillermo Endera juramentó como nuevo Presidente de Panamá</w:t>
            </w:r>
            <w:r w:rsidR="008B016E">
              <w:rPr>
                <w:rFonts w:ascii="Calibri Light" w:hAnsi="Calibri Light"/>
                <w:b w:val="0"/>
              </w:rPr>
              <w:t xml:space="preserve"> y, r</w:t>
            </w:r>
            <w:r w:rsidR="0001128C">
              <w:rPr>
                <w:rFonts w:ascii="Calibri Light" w:hAnsi="Calibri Light"/>
                <w:b w:val="0"/>
              </w:rPr>
              <w:t>ápidamente, con el apoyo de las fuerzas armad</w:t>
            </w:r>
            <w:r w:rsidR="008B016E">
              <w:rPr>
                <w:rFonts w:ascii="Calibri Light" w:hAnsi="Calibri Light"/>
                <w:b w:val="0"/>
              </w:rPr>
              <w:t>as de E</w:t>
            </w:r>
            <w:r w:rsidR="0001128C">
              <w:rPr>
                <w:rFonts w:ascii="Calibri Light" w:hAnsi="Calibri Light"/>
                <w:b w:val="0"/>
              </w:rPr>
              <w:t xml:space="preserve">stados Unidos, asumió el control del país. Así, </w:t>
            </w:r>
            <w:r w:rsidR="00CF675C">
              <w:rPr>
                <w:rFonts w:ascii="Calibri Light" w:hAnsi="Calibri Light"/>
                <w:b w:val="0"/>
              </w:rPr>
              <w:t>para</w:t>
            </w:r>
            <w:r w:rsidR="0001128C">
              <w:rPr>
                <w:rFonts w:ascii="Calibri Light" w:hAnsi="Calibri Light"/>
                <w:b w:val="0"/>
              </w:rPr>
              <w:t xml:space="preserve"> el 31 de enero</w:t>
            </w:r>
            <w:r w:rsidR="00CF675C">
              <w:rPr>
                <w:rFonts w:ascii="Calibri Light" w:hAnsi="Calibri Light"/>
                <w:b w:val="0"/>
              </w:rPr>
              <w:t xml:space="preserve"> de 2019</w:t>
            </w:r>
            <w:r w:rsidR="0001128C">
              <w:rPr>
                <w:rFonts w:ascii="Calibri Light" w:hAnsi="Calibri Light"/>
                <w:b w:val="0"/>
              </w:rPr>
              <w:t>, las hostilidades habían cesado; y el 13 de febrero, el último contingente de tropas adicionales de Estados Unidos había partido.</w:t>
            </w:r>
            <w:r w:rsidR="00CF675C">
              <w:rPr>
                <w:rFonts w:ascii="Calibri Light" w:hAnsi="Calibri Light"/>
                <w:b w:val="0"/>
              </w:rPr>
              <w:t xml:space="preserve"> </w:t>
            </w:r>
            <w:r w:rsidR="00D660E3">
              <w:rPr>
                <w:rFonts w:ascii="Calibri Light" w:hAnsi="Calibri Light"/>
                <w:b w:val="0"/>
              </w:rPr>
              <w:t>A raíz</w:t>
            </w:r>
            <w:r w:rsidR="00645588">
              <w:rPr>
                <w:rFonts w:ascii="Calibri Light" w:hAnsi="Calibri Light"/>
                <w:b w:val="0"/>
              </w:rPr>
              <w:t xml:space="preserve"> de </w:t>
            </w:r>
            <w:r w:rsidR="00A00212">
              <w:rPr>
                <w:rFonts w:ascii="Calibri Light" w:hAnsi="Calibri Light"/>
                <w:b w:val="0"/>
              </w:rPr>
              <w:t>estos hechos</w:t>
            </w:r>
            <w:r w:rsidR="00645588">
              <w:rPr>
                <w:rFonts w:ascii="Calibri Light" w:hAnsi="Calibri Light"/>
                <w:b w:val="0"/>
              </w:rPr>
              <w:t>, murieron – aunque existe controversia sobre la cifra exacta - al menos 202 civiles</w:t>
            </w:r>
            <w:r w:rsidR="005B7826">
              <w:rPr>
                <w:rFonts w:ascii="Calibri Light" w:hAnsi="Calibri Light"/>
                <w:b w:val="0"/>
              </w:rPr>
              <w:t>,</w:t>
            </w:r>
            <w:r w:rsidR="00645588">
              <w:rPr>
                <w:rFonts w:ascii="Calibri Light" w:hAnsi="Calibri Light"/>
                <w:b w:val="0"/>
              </w:rPr>
              <w:t xml:space="preserve"> varias personas resultaron heridas</w:t>
            </w:r>
            <w:r w:rsidR="005B7826">
              <w:rPr>
                <w:rFonts w:ascii="Calibri Light" w:hAnsi="Calibri Light"/>
                <w:b w:val="0"/>
              </w:rPr>
              <w:t>, se</w:t>
            </w:r>
            <w:r w:rsidR="00645588">
              <w:rPr>
                <w:rFonts w:ascii="Calibri Light" w:hAnsi="Calibri Light"/>
                <w:b w:val="0"/>
              </w:rPr>
              <w:t xml:space="preserve"> produjeron daños y saqueos a viviendas y comercio</w:t>
            </w:r>
            <w:r w:rsidR="0089628A">
              <w:rPr>
                <w:rFonts w:ascii="Calibri Light" w:hAnsi="Calibri Light"/>
                <w:b w:val="0"/>
              </w:rPr>
              <w:t>s</w:t>
            </w:r>
            <w:r w:rsidR="00645588">
              <w:rPr>
                <w:rFonts w:ascii="Calibri Light" w:hAnsi="Calibri Light"/>
                <w:b w:val="0"/>
              </w:rPr>
              <w:t xml:space="preserve">, se desplazaron personas, y se realizó un alto número de </w:t>
            </w:r>
            <w:r w:rsidR="005B7826">
              <w:rPr>
                <w:rFonts w:ascii="Calibri Light" w:hAnsi="Calibri Light"/>
                <w:b w:val="0"/>
              </w:rPr>
              <w:t>arrestos.</w:t>
            </w:r>
          </w:p>
          <w:p w14:paraId="468F8516" w14:textId="77777777" w:rsidR="00C62BEC" w:rsidRDefault="00C62BEC" w:rsidP="009D5619">
            <w:pPr>
              <w:jc w:val="both"/>
              <w:rPr>
                <w:rFonts w:ascii="Calibri Light" w:hAnsi="Calibri Light"/>
                <w:b w:val="0"/>
              </w:rPr>
            </w:pPr>
          </w:p>
          <w:p w14:paraId="0AF17ABB" w14:textId="37251701" w:rsidR="00C62BEC" w:rsidRDefault="00C62BEC" w:rsidP="009D5619">
            <w:pPr>
              <w:jc w:val="both"/>
              <w:rPr>
                <w:rFonts w:ascii="Calibri Light" w:hAnsi="Calibri Light"/>
                <w:b w:val="0"/>
              </w:rPr>
            </w:pPr>
            <w:r>
              <w:rPr>
                <w:rFonts w:ascii="Calibri Light" w:hAnsi="Calibri Light"/>
                <w:b w:val="0"/>
              </w:rPr>
              <w:t>En es</w:t>
            </w:r>
            <w:r w:rsidR="00D37565">
              <w:rPr>
                <w:rFonts w:ascii="Calibri Light" w:hAnsi="Calibri Light"/>
                <w:b w:val="0"/>
              </w:rPr>
              <w:t>e</w:t>
            </w:r>
            <w:r>
              <w:rPr>
                <w:rFonts w:ascii="Calibri Light" w:hAnsi="Calibri Light"/>
                <w:b w:val="0"/>
              </w:rPr>
              <w:t xml:space="preserve"> </w:t>
            </w:r>
            <w:r w:rsidR="007C4FB5">
              <w:rPr>
                <w:rFonts w:ascii="Calibri Light" w:hAnsi="Calibri Light"/>
                <w:b w:val="0"/>
              </w:rPr>
              <w:t>marco</w:t>
            </w:r>
            <w:r>
              <w:rPr>
                <w:rFonts w:ascii="Calibri Light" w:hAnsi="Calibri Light"/>
                <w:b w:val="0"/>
              </w:rPr>
              <w:t xml:space="preserve">, se presentaron </w:t>
            </w:r>
            <w:r w:rsidR="00D37565">
              <w:rPr>
                <w:rFonts w:ascii="Calibri Light" w:hAnsi="Calibri Light"/>
                <w:b w:val="0"/>
              </w:rPr>
              <w:t xml:space="preserve">ante la CIDH </w:t>
            </w:r>
            <w:r>
              <w:rPr>
                <w:rFonts w:ascii="Calibri Light" w:hAnsi="Calibri Light"/>
                <w:b w:val="0"/>
              </w:rPr>
              <w:t xml:space="preserve">272 peticiones, alegando </w:t>
            </w:r>
            <w:r w:rsidR="004A65D5">
              <w:rPr>
                <w:rFonts w:ascii="Calibri Light" w:hAnsi="Calibri Light"/>
                <w:b w:val="0"/>
              </w:rPr>
              <w:t xml:space="preserve">que agentes estadounidenses eran responsables de </w:t>
            </w:r>
            <w:r w:rsidR="00D660E3">
              <w:rPr>
                <w:rFonts w:ascii="Calibri Light" w:hAnsi="Calibri Light"/>
                <w:b w:val="0"/>
              </w:rPr>
              <w:t xml:space="preserve">distintas </w:t>
            </w:r>
            <w:r>
              <w:rPr>
                <w:rFonts w:ascii="Calibri Light" w:hAnsi="Calibri Light"/>
                <w:b w:val="0"/>
              </w:rPr>
              <w:t>vulneraciones a derechos humanos</w:t>
            </w:r>
            <w:r w:rsidR="00DB3A98">
              <w:rPr>
                <w:rFonts w:ascii="Calibri Light" w:hAnsi="Calibri Light"/>
                <w:b w:val="0"/>
              </w:rPr>
              <w:t xml:space="preserve"> reconocidos en la </w:t>
            </w:r>
            <w:r w:rsidR="00DB3A98" w:rsidRPr="00DB3A98">
              <w:rPr>
                <w:rFonts w:ascii="Calibri Light" w:hAnsi="Calibri Light"/>
                <w:b w:val="0"/>
              </w:rPr>
              <w:t>Declaración Americana de los Derechos y Deberes del Hombre (en adelante, DADDH)</w:t>
            </w:r>
            <w:r w:rsidR="007C4FB5">
              <w:rPr>
                <w:rFonts w:ascii="Calibri Light" w:hAnsi="Calibri Light"/>
                <w:b w:val="0"/>
              </w:rPr>
              <w:t>, que ocurrieron</w:t>
            </w:r>
            <w:r>
              <w:rPr>
                <w:rFonts w:ascii="Calibri Light" w:hAnsi="Calibri Light"/>
                <w:b w:val="0"/>
              </w:rPr>
              <w:t xml:space="preserve"> </w:t>
            </w:r>
            <w:r w:rsidR="007C4FB5">
              <w:rPr>
                <w:rFonts w:ascii="Calibri Light" w:hAnsi="Calibri Light"/>
                <w:b w:val="0"/>
              </w:rPr>
              <w:t>particularmente</w:t>
            </w:r>
            <w:r>
              <w:rPr>
                <w:rFonts w:ascii="Calibri Light" w:hAnsi="Calibri Light"/>
                <w:b w:val="0"/>
              </w:rPr>
              <w:t xml:space="preserve"> entre el 20 y 25 de diciembre de 1989 </w:t>
            </w:r>
            <w:r w:rsidR="007C4FB5">
              <w:rPr>
                <w:rFonts w:ascii="Calibri Light" w:hAnsi="Calibri Light"/>
                <w:b w:val="0"/>
              </w:rPr>
              <w:t xml:space="preserve">en áreas con puestos militares estratégicos, tales como El Chorrillo, Panamá viejo, San Miguelito y la ciudad de Colón. Así, </w:t>
            </w:r>
            <w:r w:rsidR="00D660E3">
              <w:rPr>
                <w:rFonts w:ascii="Calibri Light" w:hAnsi="Calibri Light"/>
                <w:b w:val="0"/>
              </w:rPr>
              <w:t>50 de las peticiones recibidas hacían referencia</w:t>
            </w:r>
            <w:r w:rsidR="007C4FB5">
              <w:rPr>
                <w:rFonts w:ascii="Calibri Light" w:hAnsi="Calibri Light"/>
                <w:b w:val="0"/>
              </w:rPr>
              <w:t xml:space="preserve"> a personas que murieron </w:t>
            </w:r>
            <w:r w:rsidR="00D660E3">
              <w:rPr>
                <w:rFonts w:ascii="Calibri Light" w:hAnsi="Calibri Light"/>
                <w:b w:val="0"/>
              </w:rPr>
              <w:t>como consecuencia d</w:t>
            </w:r>
            <w:r w:rsidR="007C4FB5">
              <w:rPr>
                <w:rFonts w:ascii="Calibri Light" w:hAnsi="Calibri Light"/>
                <w:b w:val="0"/>
              </w:rPr>
              <w:t xml:space="preserve">el uso de armas de fuego, </w:t>
            </w:r>
            <w:r w:rsidR="00D660E3">
              <w:rPr>
                <w:rFonts w:ascii="Calibri Light" w:hAnsi="Calibri Light"/>
                <w:b w:val="0"/>
              </w:rPr>
              <w:t>hechos relacionados a</w:t>
            </w:r>
            <w:r w:rsidR="007C4FB5">
              <w:rPr>
                <w:rFonts w:ascii="Calibri Light" w:hAnsi="Calibri Light"/>
                <w:b w:val="0"/>
              </w:rPr>
              <w:t xml:space="preserve"> presuntos enfrentamientos entre las Fuerzas de Defensa de Panamá (en adelante, FF.DD.) y los soldados estadounidenses, hechos ante un pues</w:t>
            </w:r>
            <w:r w:rsidR="00D660E3">
              <w:rPr>
                <w:rFonts w:ascii="Calibri Light" w:hAnsi="Calibri Light"/>
                <w:b w:val="0"/>
              </w:rPr>
              <w:t>to control</w:t>
            </w:r>
            <w:r w:rsidR="00201971">
              <w:rPr>
                <w:rFonts w:ascii="Calibri Light" w:hAnsi="Calibri Light"/>
                <w:b w:val="0"/>
              </w:rPr>
              <w:t xml:space="preserve">, entre </w:t>
            </w:r>
            <w:r w:rsidR="00D660E3">
              <w:rPr>
                <w:rFonts w:ascii="Calibri Light" w:hAnsi="Calibri Light"/>
                <w:b w:val="0"/>
              </w:rPr>
              <w:t xml:space="preserve">otras circunstancias. Cabe señalar que solo en un caso ante un puesto de control los disparos contra un vehículo fueron justificados, indicando que presuntamente uno de sus pasajeros portaba una granada. </w:t>
            </w:r>
          </w:p>
          <w:p w14:paraId="2D83C6BA" w14:textId="77777777" w:rsidR="0089628A" w:rsidRDefault="0089628A" w:rsidP="009D5619">
            <w:pPr>
              <w:jc w:val="both"/>
              <w:rPr>
                <w:rFonts w:ascii="Calibri Light" w:hAnsi="Calibri Light"/>
                <w:b w:val="0"/>
              </w:rPr>
            </w:pPr>
          </w:p>
          <w:p w14:paraId="2873FD3A" w14:textId="77777777" w:rsidR="00DB3A98" w:rsidRDefault="00D660E3" w:rsidP="009D5619">
            <w:pPr>
              <w:jc w:val="both"/>
              <w:rPr>
                <w:rFonts w:ascii="Calibri Light" w:hAnsi="Calibri Light"/>
                <w:b w:val="0"/>
              </w:rPr>
            </w:pPr>
            <w:r>
              <w:rPr>
                <w:rFonts w:ascii="Calibri Light" w:hAnsi="Calibri Light"/>
                <w:b w:val="0"/>
              </w:rPr>
              <w:t xml:space="preserve">Igualmente, </w:t>
            </w:r>
            <w:r w:rsidR="00201971">
              <w:rPr>
                <w:rFonts w:ascii="Calibri Light" w:hAnsi="Calibri Light"/>
                <w:b w:val="0"/>
              </w:rPr>
              <w:t xml:space="preserve">se presentaron </w:t>
            </w:r>
            <w:r>
              <w:rPr>
                <w:rFonts w:ascii="Calibri Light" w:hAnsi="Calibri Light"/>
                <w:b w:val="0"/>
              </w:rPr>
              <w:t>4 peticiones relacionadas a la desaparición de personas, cuyo parad</w:t>
            </w:r>
            <w:r w:rsidR="00201971">
              <w:rPr>
                <w:rFonts w:ascii="Calibri Light" w:hAnsi="Calibri Light"/>
                <w:b w:val="0"/>
              </w:rPr>
              <w:t>ero o situación resulta</w:t>
            </w:r>
            <w:r>
              <w:rPr>
                <w:rFonts w:ascii="Calibri Light" w:hAnsi="Calibri Light"/>
                <w:b w:val="0"/>
              </w:rPr>
              <w:t xml:space="preserve"> incierto hasta la fecha</w:t>
            </w:r>
            <w:r w:rsidR="00955548">
              <w:rPr>
                <w:rFonts w:ascii="Calibri Light" w:hAnsi="Calibri Light"/>
                <w:b w:val="0"/>
              </w:rPr>
              <w:t>,</w:t>
            </w:r>
            <w:r w:rsidR="00671161">
              <w:rPr>
                <w:rFonts w:ascii="Calibri Light" w:hAnsi="Calibri Light"/>
                <w:b w:val="0"/>
              </w:rPr>
              <w:t xml:space="preserve"> y diversas peticiones relacionadas a la vulneración del derecho a la integridad</w:t>
            </w:r>
            <w:r w:rsidR="00955548">
              <w:rPr>
                <w:rFonts w:ascii="Calibri Light" w:hAnsi="Calibri Light"/>
                <w:b w:val="0"/>
              </w:rPr>
              <w:t>. De estas últimas, 24</w:t>
            </w:r>
            <w:r w:rsidR="00201971">
              <w:rPr>
                <w:rFonts w:ascii="Calibri Light" w:hAnsi="Calibri Light"/>
                <w:b w:val="0"/>
              </w:rPr>
              <w:t xml:space="preserve"> </w:t>
            </w:r>
            <w:r w:rsidR="00E54485">
              <w:rPr>
                <w:rFonts w:ascii="Calibri Light" w:hAnsi="Calibri Light"/>
                <w:b w:val="0"/>
              </w:rPr>
              <w:t xml:space="preserve">peticiones </w:t>
            </w:r>
            <w:r w:rsidR="00671161">
              <w:rPr>
                <w:rFonts w:ascii="Calibri Light" w:hAnsi="Calibri Light"/>
                <w:b w:val="0"/>
              </w:rPr>
              <w:t>estaban vinculadas</w:t>
            </w:r>
            <w:r w:rsidR="00201971">
              <w:rPr>
                <w:rFonts w:ascii="Calibri Light" w:hAnsi="Calibri Light"/>
                <w:b w:val="0"/>
              </w:rPr>
              <w:t xml:space="preserve"> con personas que sufrieron lesiones f</w:t>
            </w:r>
            <w:r w:rsidR="00955548">
              <w:rPr>
                <w:rFonts w:ascii="Calibri Light" w:hAnsi="Calibri Light"/>
                <w:b w:val="0"/>
              </w:rPr>
              <w:t>ísicas</w:t>
            </w:r>
            <w:r w:rsidR="00CA726D">
              <w:rPr>
                <w:rFonts w:ascii="Calibri Light" w:hAnsi="Calibri Light"/>
                <w:b w:val="0"/>
              </w:rPr>
              <w:t xml:space="preserve"> por armas explosivas, armas de </w:t>
            </w:r>
            <w:r w:rsidR="00E54485">
              <w:rPr>
                <w:rFonts w:ascii="Calibri Light" w:hAnsi="Calibri Light"/>
                <w:b w:val="0"/>
              </w:rPr>
              <w:t>fuego u</w:t>
            </w:r>
            <w:r w:rsidR="00CA726D">
              <w:rPr>
                <w:rFonts w:ascii="Calibri Light" w:hAnsi="Calibri Light"/>
                <w:b w:val="0"/>
              </w:rPr>
              <w:t xml:space="preserve"> otras circunstancias</w:t>
            </w:r>
            <w:r w:rsidR="00955548">
              <w:rPr>
                <w:rFonts w:ascii="Calibri Light" w:hAnsi="Calibri Light"/>
                <w:b w:val="0"/>
              </w:rPr>
              <w:t>;</w:t>
            </w:r>
            <w:r w:rsidR="00201971">
              <w:rPr>
                <w:rFonts w:ascii="Calibri Light" w:hAnsi="Calibri Light"/>
                <w:b w:val="0"/>
              </w:rPr>
              <w:t xml:space="preserve"> 78 con personas que sufrieron lesiones psíquicas o emocionales; y 7 con personas que reporta</w:t>
            </w:r>
            <w:r w:rsidR="00955548">
              <w:rPr>
                <w:rFonts w:ascii="Calibri Light" w:hAnsi="Calibri Light"/>
                <w:b w:val="0"/>
              </w:rPr>
              <w:t>ro</w:t>
            </w:r>
            <w:r w:rsidR="00201971">
              <w:rPr>
                <w:rFonts w:ascii="Calibri Light" w:hAnsi="Calibri Light"/>
                <w:b w:val="0"/>
              </w:rPr>
              <w:t>n otras formas de intimidación.</w:t>
            </w:r>
            <w:r w:rsidR="001E06D4">
              <w:rPr>
                <w:rFonts w:ascii="Calibri Light" w:hAnsi="Calibri Light"/>
                <w:b w:val="0"/>
              </w:rPr>
              <w:t xml:space="preserve"> De igual forma, se presentó una petición </w:t>
            </w:r>
            <w:r w:rsidR="00DB3A98">
              <w:rPr>
                <w:rFonts w:ascii="Calibri Light" w:hAnsi="Calibri Light"/>
                <w:b w:val="0"/>
              </w:rPr>
              <w:t>vinculada</w:t>
            </w:r>
            <w:r w:rsidR="001E06D4">
              <w:rPr>
                <w:rFonts w:ascii="Calibri Light" w:hAnsi="Calibri Light"/>
                <w:b w:val="0"/>
              </w:rPr>
              <w:t xml:space="preserve"> al caso de la detención de una persona y 152 que involucraban a personas que alegaban haber sufrido una vulneración a su derecho a la propiedad</w:t>
            </w:r>
            <w:r w:rsidR="00D37565">
              <w:rPr>
                <w:rFonts w:ascii="Calibri Light" w:hAnsi="Calibri Light"/>
                <w:b w:val="0"/>
              </w:rPr>
              <w:t>.</w:t>
            </w:r>
          </w:p>
          <w:p w14:paraId="4A3A3BC2" w14:textId="77777777" w:rsidR="00DB3A98" w:rsidRDefault="00DB3A98" w:rsidP="009D5619">
            <w:pPr>
              <w:jc w:val="both"/>
              <w:rPr>
                <w:rFonts w:ascii="Calibri Light" w:hAnsi="Calibri Light"/>
                <w:b w:val="0"/>
              </w:rPr>
            </w:pPr>
          </w:p>
          <w:p w14:paraId="1D8A9F71" w14:textId="77777777" w:rsidR="004F4491" w:rsidRDefault="00DB3A98" w:rsidP="009D5619">
            <w:pPr>
              <w:jc w:val="both"/>
              <w:rPr>
                <w:rFonts w:ascii="Calibri Light" w:hAnsi="Calibri Light"/>
                <w:b w:val="0"/>
              </w:rPr>
            </w:pPr>
            <w:r>
              <w:rPr>
                <w:rFonts w:ascii="Calibri Light" w:hAnsi="Calibri Light"/>
                <w:b w:val="0"/>
              </w:rPr>
              <w:t xml:space="preserve">En ese sentido, se registraron daños a bienes como consecuencia del uso de armas, bombardeos, incendios y saqueos. Así, por ejemplo, en El Chorrillo, zona residencial y de comercio aledaña al Cuartel Central de la Comandancia, se produjeron daños en las viviendas del Complejo de Edificios Patio Pinel producto de impactos de bala o bombardeos y en un caso se reportó la pérdida de bienes por saqueos ocurridos en el edificio. En esa zona también se afectaron negocios y específicamente, en el Mercado Periférico, hubo saqueos y un incendio. Asimismo, </w:t>
            </w:r>
            <w:r w:rsidR="003F0429">
              <w:rPr>
                <w:rFonts w:ascii="Calibri Light" w:hAnsi="Calibri Light"/>
                <w:b w:val="0"/>
              </w:rPr>
              <w:t xml:space="preserve">se reportó la pérdida total de vehículos relacionados a negocios y en tres casos de vehículos de uso personal a causa de los disparos de los soldados e incendios. Mientras tanto, en ciudad de Colón, bienes civiles sufrieron daños como consecuencia del uso de materiales explosivos e incendios. Particularmente, el Edificio Residencial “15 Piso” sufrió daños estructurales, luego de que las fuerzas estadounidenses respondieran con armas explosivas un ataque hacia uno de sus helicópteros que fue realizado desde dicho inmueble. </w:t>
            </w:r>
          </w:p>
          <w:p w14:paraId="6543A68A" w14:textId="3A314D87" w:rsidR="009D5619" w:rsidRPr="00757148" w:rsidRDefault="009D5619" w:rsidP="009D5619">
            <w:pPr>
              <w:jc w:val="both"/>
              <w:rPr>
                <w:rFonts w:ascii="Calibri Light" w:hAnsi="Calibri Light"/>
                <w:b w:val="0"/>
              </w:rPr>
            </w:pPr>
          </w:p>
        </w:tc>
      </w:tr>
      <w:tr w:rsidR="004C2E50" w:rsidRPr="00757148" w14:paraId="7B81A2F3"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4C2E50" w:rsidRPr="00757148" w:rsidRDefault="004C2E50" w:rsidP="00AC6F31">
            <w:pPr>
              <w:pStyle w:val="ListParagraph"/>
              <w:rPr>
                <w:rFonts w:ascii="Calibri Light" w:hAnsi="Calibri Light"/>
              </w:rPr>
            </w:pPr>
          </w:p>
          <w:p w14:paraId="1FB8AB09" w14:textId="77777777" w:rsidR="004C2E50" w:rsidRPr="00757148" w:rsidRDefault="004C2E50" w:rsidP="003E6AB8">
            <w:pPr>
              <w:pStyle w:val="ListParagraph"/>
              <w:numPr>
                <w:ilvl w:val="0"/>
                <w:numId w:val="2"/>
              </w:numPr>
              <w:jc w:val="center"/>
              <w:rPr>
                <w:rFonts w:ascii="Calibri Light" w:hAnsi="Calibri Light"/>
              </w:rPr>
            </w:pPr>
            <w:r w:rsidRPr="00757148">
              <w:rPr>
                <w:rFonts w:ascii="Calibri Light" w:hAnsi="Calibri Light"/>
              </w:rPr>
              <w:t>Análisis jurídico</w:t>
            </w:r>
          </w:p>
          <w:p w14:paraId="158A739A" w14:textId="77777777" w:rsidR="004C2E50" w:rsidRPr="00757148" w:rsidRDefault="004C2E50" w:rsidP="00AC6F31">
            <w:pPr>
              <w:pStyle w:val="ListParagraph"/>
              <w:rPr>
                <w:rFonts w:ascii="Calibri Light" w:hAnsi="Calibri Light"/>
              </w:rPr>
            </w:pPr>
          </w:p>
        </w:tc>
      </w:tr>
      <w:tr w:rsidR="004C2E50" w:rsidRPr="00757148" w14:paraId="71AB3B44" w14:textId="77777777" w:rsidTr="001A2DF7">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721" w:type="dxa"/>
            <w:gridSpan w:val="3"/>
          </w:tcPr>
          <w:p w14:paraId="4C3AFF68" w14:textId="5EAB7D65" w:rsidR="00FF34AE" w:rsidRPr="00757148" w:rsidRDefault="00FF34AE" w:rsidP="00FF34AE">
            <w:pPr>
              <w:jc w:val="both"/>
              <w:rPr>
                <w:rFonts w:ascii="Calibri Light" w:hAnsi="Calibri Light"/>
                <w:b w:val="0"/>
              </w:rPr>
            </w:pPr>
          </w:p>
          <w:p w14:paraId="0B44150C" w14:textId="06E6A72C" w:rsidR="00FF34AE" w:rsidRPr="00757148" w:rsidRDefault="00161979" w:rsidP="00FF34AE">
            <w:pPr>
              <w:jc w:val="both"/>
              <w:rPr>
                <w:rFonts w:ascii="Calibri Light" w:hAnsi="Calibri Light"/>
              </w:rPr>
            </w:pPr>
            <w:r w:rsidRPr="00757148">
              <w:rPr>
                <w:rFonts w:ascii="Calibri Light" w:hAnsi="Calibri Light"/>
              </w:rPr>
              <w:t>Responsabilidad internacional extraterritorial y control efectivo</w:t>
            </w:r>
          </w:p>
          <w:p w14:paraId="4C1AC36F" w14:textId="5819822D" w:rsidR="00C65E2E" w:rsidRDefault="00C65E2E" w:rsidP="00FF34AE">
            <w:pPr>
              <w:jc w:val="both"/>
              <w:rPr>
                <w:rFonts w:ascii="Calibri Light" w:hAnsi="Calibri Light"/>
              </w:rPr>
            </w:pPr>
          </w:p>
          <w:p w14:paraId="6F817E3A" w14:textId="5F2B31DE" w:rsidR="00C65E2E" w:rsidRDefault="0084717E" w:rsidP="00FF34AE">
            <w:pPr>
              <w:jc w:val="both"/>
              <w:rPr>
                <w:rFonts w:ascii="Calibri Light" w:hAnsi="Calibri Light"/>
                <w:b w:val="0"/>
              </w:rPr>
            </w:pPr>
            <w:r>
              <w:rPr>
                <w:rFonts w:ascii="Calibri Light" w:hAnsi="Calibri Light"/>
                <w:b w:val="0"/>
              </w:rPr>
              <w:t>La CIDH reiteró – refiriéndose a sus propios pronunciamientos, así como los del Tribunal Europeo de Derechos Humanos</w:t>
            </w:r>
            <w:r w:rsidR="00052375">
              <w:rPr>
                <w:rFonts w:ascii="Calibri Light" w:hAnsi="Calibri Light"/>
                <w:b w:val="0"/>
              </w:rPr>
              <w:t xml:space="preserve"> (TEDH)</w:t>
            </w:r>
            <w:r>
              <w:rPr>
                <w:rFonts w:ascii="Calibri Light" w:hAnsi="Calibri Light"/>
                <w:b w:val="0"/>
              </w:rPr>
              <w:t xml:space="preserve">, la Corte Internacional de Justicia y el Comité de Derechos Humanos – </w:t>
            </w:r>
            <w:r w:rsidR="002179D0">
              <w:rPr>
                <w:rFonts w:ascii="Calibri Light" w:hAnsi="Calibri Light"/>
                <w:b w:val="0"/>
              </w:rPr>
              <w:t xml:space="preserve">que si bien la jurisdicción es ejercida comúnmente de manera territorial, también puede ser extraterritorial, cuando un Estado ejerce </w:t>
            </w:r>
            <w:r w:rsidR="001C5568">
              <w:rPr>
                <w:rFonts w:ascii="Calibri Light" w:hAnsi="Calibri Light"/>
                <w:b w:val="0"/>
              </w:rPr>
              <w:t xml:space="preserve">autoridad o </w:t>
            </w:r>
            <w:r w:rsidR="002179D0">
              <w:rPr>
                <w:rFonts w:ascii="Calibri Light" w:hAnsi="Calibri Light"/>
                <w:b w:val="0"/>
              </w:rPr>
              <w:t xml:space="preserve">control </w:t>
            </w:r>
            <w:r w:rsidR="001C5568">
              <w:rPr>
                <w:rFonts w:ascii="Calibri Light" w:hAnsi="Calibri Light"/>
                <w:b w:val="0"/>
              </w:rPr>
              <w:t>efectivo</w:t>
            </w:r>
            <w:r w:rsidR="002179D0">
              <w:rPr>
                <w:rFonts w:ascii="Calibri Light" w:hAnsi="Calibri Light"/>
                <w:b w:val="0"/>
              </w:rPr>
              <w:t xml:space="preserve"> sobre el territorio de otro Estado. </w:t>
            </w:r>
            <w:r w:rsidR="001C5568">
              <w:rPr>
                <w:rFonts w:ascii="Calibri Light" w:hAnsi="Calibri Light"/>
                <w:b w:val="0"/>
              </w:rPr>
              <w:t xml:space="preserve">Esto ocurre, por ejemplo, en casos de ocupación militar, en los que según el artículo 42 del Reglamento de La Haya de 1907 un territorio “se encuentra de hecho bajo la autoridad del ejército enemigo”. En </w:t>
            </w:r>
            <w:r w:rsidR="004F4D54">
              <w:rPr>
                <w:rFonts w:ascii="Calibri Light" w:hAnsi="Calibri Light"/>
                <w:b w:val="0"/>
              </w:rPr>
              <w:t>dichas circunstancias, resultan de aplicación los Convenios de Ginebra</w:t>
            </w:r>
            <w:r w:rsidR="00CD3B3B">
              <w:rPr>
                <w:rFonts w:ascii="Calibri Light" w:hAnsi="Calibri Light"/>
                <w:b w:val="0"/>
              </w:rPr>
              <w:t xml:space="preserve"> conforme a su artículo 2 común</w:t>
            </w:r>
            <w:r w:rsidR="004F4D54">
              <w:rPr>
                <w:rFonts w:ascii="Calibri Light" w:hAnsi="Calibri Light"/>
                <w:b w:val="0"/>
              </w:rPr>
              <w:t xml:space="preserve">. Además, la CIDH señaló que, incluso cuando la ocupación no haya sido lícita o no haya existido resistencia armada, resulta aplicable el derecho de ocupación. </w:t>
            </w:r>
          </w:p>
          <w:p w14:paraId="33C914F8" w14:textId="77777777" w:rsidR="0084717E" w:rsidRDefault="0084717E" w:rsidP="00FF34AE">
            <w:pPr>
              <w:jc w:val="both"/>
              <w:rPr>
                <w:rFonts w:ascii="Calibri Light" w:hAnsi="Calibri Light"/>
                <w:b w:val="0"/>
              </w:rPr>
            </w:pPr>
          </w:p>
          <w:p w14:paraId="527E2443" w14:textId="620ACD30" w:rsidR="00161979" w:rsidRPr="00757148" w:rsidRDefault="00161979" w:rsidP="00FF34AE">
            <w:pPr>
              <w:jc w:val="both"/>
              <w:rPr>
                <w:rFonts w:ascii="Calibri Light" w:hAnsi="Calibri Light"/>
                <w:i/>
              </w:rPr>
            </w:pPr>
            <w:r w:rsidRPr="00757148">
              <w:rPr>
                <w:rFonts w:ascii="Calibri Light" w:hAnsi="Calibri Light"/>
              </w:rPr>
              <w:t xml:space="preserve">Aplicabilidad del Derecho Internacional Humanitario como </w:t>
            </w:r>
            <w:r w:rsidRPr="00757148">
              <w:rPr>
                <w:rFonts w:ascii="Calibri Light" w:hAnsi="Calibri Light"/>
                <w:i/>
              </w:rPr>
              <w:t>lex specialis</w:t>
            </w:r>
          </w:p>
          <w:p w14:paraId="2AA3EB35" w14:textId="77777777" w:rsidR="004F4D54" w:rsidRDefault="004F4D54" w:rsidP="00FF34AE">
            <w:pPr>
              <w:jc w:val="both"/>
              <w:rPr>
                <w:rFonts w:ascii="Calibri Light" w:hAnsi="Calibri Light"/>
                <w:b w:val="0"/>
              </w:rPr>
            </w:pPr>
          </w:p>
          <w:p w14:paraId="7FCD632F" w14:textId="0C6748C9" w:rsidR="00A34281" w:rsidRDefault="00D543C1" w:rsidP="00FF34AE">
            <w:pPr>
              <w:jc w:val="both"/>
              <w:rPr>
                <w:rFonts w:ascii="Calibri Light" w:hAnsi="Calibri Light"/>
                <w:b w:val="0"/>
              </w:rPr>
            </w:pPr>
            <w:r>
              <w:rPr>
                <w:rFonts w:ascii="Calibri Light" w:hAnsi="Calibri Light"/>
                <w:b w:val="0"/>
              </w:rPr>
              <w:t>La CIDH señaló que si bien los instrumentos de derechos humanos, como la DADDH, son aplicables tanto en tiempos de paz como de conflicto armado, estos no han sido diseñados para regular situaciones de guerra</w:t>
            </w:r>
            <w:r w:rsidR="003A2977">
              <w:rPr>
                <w:rFonts w:ascii="Calibri Light" w:hAnsi="Calibri Light"/>
                <w:b w:val="0"/>
              </w:rPr>
              <w:t>. En esa medida,</w:t>
            </w:r>
            <w:r>
              <w:rPr>
                <w:rFonts w:ascii="Calibri Light" w:hAnsi="Calibri Light"/>
                <w:b w:val="0"/>
              </w:rPr>
              <w:t xml:space="preserve"> resulta indispensable acudir al Derecho Internacional Humanitario (en adelante, DIH)</w:t>
            </w:r>
            <w:r w:rsidR="003A2977">
              <w:rPr>
                <w:rFonts w:ascii="Calibri Light" w:hAnsi="Calibri Light"/>
                <w:b w:val="0"/>
              </w:rPr>
              <w:t xml:space="preserve">, la </w:t>
            </w:r>
            <w:r w:rsidR="003A2977" w:rsidRPr="003A2977">
              <w:rPr>
                <w:rFonts w:ascii="Calibri Light" w:hAnsi="Calibri Light"/>
                <w:b w:val="0"/>
                <w:i/>
              </w:rPr>
              <w:t>lex specialis</w:t>
            </w:r>
            <w:r w:rsidR="003A2977">
              <w:rPr>
                <w:rFonts w:ascii="Calibri Light" w:hAnsi="Calibri Light"/>
                <w:b w:val="0"/>
              </w:rPr>
              <w:t xml:space="preserve"> en contextos de conflicto armado,</w:t>
            </w:r>
            <w:r>
              <w:rPr>
                <w:rFonts w:ascii="Calibri Light" w:hAnsi="Calibri Light"/>
                <w:b w:val="0"/>
              </w:rPr>
              <w:t xml:space="preserve"> para su interpretación. </w:t>
            </w:r>
            <w:r w:rsidR="003A2977">
              <w:rPr>
                <w:rFonts w:ascii="Calibri Light" w:hAnsi="Calibri Light"/>
                <w:b w:val="0"/>
              </w:rPr>
              <w:t xml:space="preserve">En el caso en concreto, </w:t>
            </w:r>
            <w:r w:rsidR="00B136F3">
              <w:rPr>
                <w:rFonts w:ascii="Calibri Light" w:hAnsi="Calibri Light"/>
                <w:b w:val="0"/>
              </w:rPr>
              <w:t>la CIDH observó que las partes no disputaron la existencia de un conflicto armado internacional de conformidad con</w:t>
            </w:r>
            <w:r w:rsidR="00373E2F">
              <w:rPr>
                <w:rFonts w:ascii="Calibri Light" w:hAnsi="Calibri Light"/>
                <w:b w:val="0"/>
              </w:rPr>
              <w:t xml:space="preserve"> el artículo 2 común de los Convenios de Ginebra, y remarcó el control efectivo que ejerció Estados Unidos sobre Panamá durante su ocupación</w:t>
            </w:r>
            <w:r w:rsidR="004B2A7D">
              <w:rPr>
                <w:rFonts w:ascii="Calibri Light" w:hAnsi="Calibri Light"/>
                <w:b w:val="0"/>
              </w:rPr>
              <w:t xml:space="preserve">. En consecuencia, señaló que realizaría su análisis respecto de las obligaciones consagradas en la DADDH. </w:t>
            </w:r>
            <w:r w:rsidR="00373E2F">
              <w:rPr>
                <w:rFonts w:ascii="Calibri Light" w:hAnsi="Calibri Light"/>
                <w:b w:val="0"/>
              </w:rPr>
              <w:t xml:space="preserve"> </w:t>
            </w:r>
          </w:p>
          <w:p w14:paraId="6FFE09DD" w14:textId="77777777" w:rsidR="00A34281" w:rsidRPr="004F4D54" w:rsidRDefault="00A34281" w:rsidP="00FF34AE">
            <w:pPr>
              <w:jc w:val="both"/>
              <w:rPr>
                <w:rFonts w:ascii="Calibri Light" w:hAnsi="Calibri Light"/>
                <w:b w:val="0"/>
              </w:rPr>
            </w:pPr>
          </w:p>
          <w:p w14:paraId="536E858D" w14:textId="1B0F9690" w:rsidR="00161979" w:rsidRPr="00757148" w:rsidRDefault="00161979" w:rsidP="00FF34AE">
            <w:pPr>
              <w:jc w:val="both"/>
              <w:rPr>
                <w:rFonts w:ascii="Calibri Light" w:hAnsi="Calibri Light"/>
              </w:rPr>
            </w:pPr>
            <w:r w:rsidRPr="00757148">
              <w:rPr>
                <w:rFonts w:ascii="Calibri Light" w:hAnsi="Calibri Light"/>
              </w:rPr>
              <w:t>Derecho a la vida, integridad personal y protección a la infancia (artículos I y VII de la DADDH)</w:t>
            </w:r>
          </w:p>
          <w:p w14:paraId="1AC68A7F" w14:textId="77777777" w:rsidR="00161979" w:rsidRDefault="00161979" w:rsidP="00FF34AE">
            <w:pPr>
              <w:jc w:val="both"/>
              <w:rPr>
                <w:rFonts w:ascii="Calibri Light" w:hAnsi="Calibri Light"/>
              </w:rPr>
            </w:pPr>
          </w:p>
          <w:p w14:paraId="20F274A5" w14:textId="5AB3A8CC" w:rsidR="00142528" w:rsidRDefault="00122C72" w:rsidP="00FF34AE">
            <w:pPr>
              <w:jc w:val="both"/>
              <w:rPr>
                <w:rFonts w:ascii="Calibri Light" w:hAnsi="Calibri Light"/>
                <w:b w:val="0"/>
              </w:rPr>
            </w:pPr>
            <w:r>
              <w:rPr>
                <w:rFonts w:ascii="Calibri Light" w:hAnsi="Calibri Light"/>
                <w:b w:val="0"/>
              </w:rPr>
              <w:t>L</w:t>
            </w:r>
            <w:r w:rsidR="00142528">
              <w:rPr>
                <w:rFonts w:ascii="Calibri Light" w:hAnsi="Calibri Light"/>
                <w:b w:val="0"/>
              </w:rPr>
              <w:t xml:space="preserve">a prohibición de la privación arbitraria de la vida y la protección del derecho a un trato humano son absolutas incluso en casos de conflicto armado. No obstante en </w:t>
            </w:r>
            <w:r w:rsidR="008E52C0">
              <w:rPr>
                <w:rFonts w:ascii="Calibri Light" w:hAnsi="Calibri Light"/>
                <w:b w:val="0"/>
              </w:rPr>
              <w:t>dichas</w:t>
            </w:r>
            <w:r w:rsidR="00142528">
              <w:rPr>
                <w:rFonts w:ascii="Calibri Light" w:hAnsi="Calibri Light"/>
                <w:b w:val="0"/>
              </w:rPr>
              <w:t xml:space="preserve"> circunstancias, tienen un</w:t>
            </w:r>
            <w:r w:rsidR="008E52C0">
              <w:rPr>
                <w:rFonts w:ascii="Calibri Light" w:hAnsi="Calibri Light"/>
                <w:b w:val="0"/>
              </w:rPr>
              <w:t>a interpretación y</w:t>
            </w:r>
            <w:r w:rsidR="00142528">
              <w:rPr>
                <w:rFonts w:ascii="Calibri Light" w:hAnsi="Calibri Light"/>
                <w:b w:val="0"/>
              </w:rPr>
              <w:t xml:space="preserve"> alcance distinto</w:t>
            </w:r>
            <w:r w:rsidR="008E52C0">
              <w:rPr>
                <w:rFonts w:ascii="Calibri Light" w:hAnsi="Calibri Light"/>
                <w:b w:val="0"/>
              </w:rPr>
              <w:t>s</w:t>
            </w:r>
            <w:r w:rsidR="00142528">
              <w:rPr>
                <w:rFonts w:ascii="Calibri Light" w:hAnsi="Calibri Light"/>
                <w:b w:val="0"/>
              </w:rPr>
              <w:t xml:space="preserve">. En efecto, </w:t>
            </w:r>
            <w:r>
              <w:rPr>
                <w:rFonts w:ascii="Calibri Light" w:hAnsi="Calibri Light"/>
                <w:b w:val="0"/>
              </w:rPr>
              <w:t xml:space="preserve">la CIDH </w:t>
            </w:r>
            <w:r w:rsidR="00257F7B">
              <w:rPr>
                <w:rFonts w:ascii="Calibri Light" w:hAnsi="Calibri Light"/>
                <w:b w:val="0"/>
              </w:rPr>
              <w:t>indic</w:t>
            </w:r>
            <w:r>
              <w:rPr>
                <w:rFonts w:ascii="Calibri Light" w:hAnsi="Calibri Light"/>
                <w:b w:val="0"/>
              </w:rPr>
              <w:t xml:space="preserve">ó que, </w:t>
            </w:r>
            <w:r w:rsidR="008E52C0">
              <w:rPr>
                <w:rFonts w:ascii="Calibri Light" w:hAnsi="Calibri Light"/>
                <w:b w:val="0"/>
              </w:rPr>
              <w:t>solo cuando no responda a los principios de distinción, proporcionalidad, necesidad y precaución del DIH</w:t>
            </w:r>
            <w:r w:rsidR="00142528">
              <w:rPr>
                <w:rFonts w:ascii="Calibri Light" w:hAnsi="Calibri Light"/>
                <w:b w:val="0"/>
              </w:rPr>
              <w:t>, el uso de la fuerza en conflictos armados p</w:t>
            </w:r>
            <w:r w:rsidR="008E52C0">
              <w:rPr>
                <w:rFonts w:ascii="Calibri Light" w:hAnsi="Calibri Light"/>
                <w:b w:val="0"/>
              </w:rPr>
              <w:t xml:space="preserve">odrá </w:t>
            </w:r>
            <w:r w:rsidR="00142528">
              <w:rPr>
                <w:rFonts w:ascii="Calibri Light" w:hAnsi="Calibri Light"/>
                <w:b w:val="0"/>
              </w:rPr>
              <w:t>constituir</w:t>
            </w:r>
            <w:r w:rsidR="008E52C0">
              <w:rPr>
                <w:rFonts w:ascii="Calibri Light" w:hAnsi="Calibri Light"/>
                <w:b w:val="0"/>
              </w:rPr>
              <w:t xml:space="preserve"> </w:t>
            </w:r>
            <w:r w:rsidR="00142528">
              <w:rPr>
                <w:rFonts w:ascii="Calibri Light" w:hAnsi="Calibri Light"/>
                <w:b w:val="0"/>
              </w:rPr>
              <w:t xml:space="preserve">una privación arbitraria de la vida o una violación a la integridad personal.  </w:t>
            </w:r>
          </w:p>
          <w:p w14:paraId="238D4625" w14:textId="77777777" w:rsidR="00142528" w:rsidRPr="00142528" w:rsidRDefault="00142528" w:rsidP="00FF34AE">
            <w:pPr>
              <w:jc w:val="both"/>
              <w:rPr>
                <w:rFonts w:ascii="Calibri Light" w:hAnsi="Calibri Light"/>
                <w:b w:val="0"/>
              </w:rPr>
            </w:pPr>
          </w:p>
          <w:p w14:paraId="715FF28D" w14:textId="5F907A5A" w:rsidR="004B2A7D" w:rsidRDefault="004B2A7D" w:rsidP="004B2A7D">
            <w:pPr>
              <w:pStyle w:val="ListParagraph"/>
              <w:numPr>
                <w:ilvl w:val="0"/>
                <w:numId w:val="13"/>
              </w:numPr>
              <w:jc w:val="both"/>
              <w:rPr>
                <w:rFonts w:ascii="Calibri Light" w:hAnsi="Calibri Light"/>
              </w:rPr>
            </w:pPr>
            <w:r>
              <w:rPr>
                <w:rFonts w:ascii="Calibri Light" w:hAnsi="Calibri Light"/>
              </w:rPr>
              <w:t>Principios de distinción, proporcionalidad</w:t>
            </w:r>
            <w:r w:rsidR="00142528">
              <w:rPr>
                <w:rFonts w:ascii="Calibri Light" w:hAnsi="Calibri Light"/>
              </w:rPr>
              <w:t>, necesidad</w:t>
            </w:r>
            <w:r>
              <w:rPr>
                <w:rFonts w:ascii="Calibri Light" w:hAnsi="Calibri Light"/>
              </w:rPr>
              <w:t xml:space="preserve"> y precaución</w:t>
            </w:r>
          </w:p>
          <w:p w14:paraId="3620F86C" w14:textId="77777777" w:rsidR="00A76604" w:rsidRDefault="00A76604" w:rsidP="00142528">
            <w:pPr>
              <w:jc w:val="both"/>
              <w:rPr>
                <w:rFonts w:ascii="Calibri Light" w:hAnsi="Calibri Light"/>
                <w:b w:val="0"/>
              </w:rPr>
            </w:pPr>
          </w:p>
          <w:p w14:paraId="3880906C" w14:textId="77777777" w:rsidR="00A76604" w:rsidRDefault="00A76604" w:rsidP="00142528">
            <w:pPr>
              <w:jc w:val="both"/>
              <w:rPr>
                <w:rFonts w:ascii="Calibri Light" w:hAnsi="Calibri Light"/>
                <w:b w:val="0"/>
                <w:u w:val="single"/>
              </w:rPr>
            </w:pPr>
            <w:r>
              <w:rPr>
                <w:rFonts w:ascii="Calibri Light" w:hAnsi="Calibri Light"/>
                <w:b w:val="0"/>
                <w:u w:val="single"/>
              </w:rPr>
              <w:t xml:space="preserve">Distinción </w:t>
            </w:r>
          </w:p>
          <w:p w14:paraId="0B17747A" w14:textId="77777777" w:rsidR="00663F28" w:rsidRDefault="00663F28" w:rsidP="00142528">
            <w:pPr>
              <w:jc w:val="both"/>
              <w:rPr>
                <w:rFonts w:ascii="Calibri Light" w:hAnsi="Calibri Light"/>
                <w:b w:val="0"/>
              </w:rPr>
            </w:pPr>
          </w:p>
          <w:p w14:paraId="75A201AD" w14:textId="5C78A710" w:rsidR="00A8497D" w:rsidRDefault="00A8497D" w:rsidP="00142528">
            <w:pPr>
              <w:jc w:val="both"/>
              <w:rPr>
                <w:rFonts w:ascii="Calibri Light" w:hAnsi="Calibri Light"/>
                <w:b w:val="0"/>
              </w:rPr>
            </w:pPr>
            <w:r>
              <w:rPr>
                <w:rFonts w:ascii="Calibri Light" w:hAnsi="Calibri Light"/>
                <w:b w:val="0"/>
              </w:rPr>
              <w:t xml:space="preserve">La CIDH señaló que el principio de distinción, reconocido por </w:t>
            </w:r>
            <w:r w:rsidR="00052375">
              <w:rPr>
                <w:rFonts w:ascii="Calibri Light" w:hAnsi="Calibri Light"/>
                <w:b w:val="0"/>
              </w:rPr>
              <w:t xml:space="preserve">distintos </w:t>
            </w:r>
            <w:r>
              <w:rPr>
                <w:rFonts w:ascii="Calibri Light" w:hAnsi="Calibri Light"/>
                <w:b w:val="0"/>
              </w:rPr>
              <w:t>tratados, e</w:t>
            </w:r>
            <w:r w:rsidR="006B7B8C">
              <w:rPr>
                <w:rFonts w:ascii="Calibri Light" w:hAnsi="Calibri Light"/>
                <w:b w:val="0"/>
              </w:rPr>
              <w:t>s</w:t>
            </w:r>
            <w:r>
              <w:rPr>
                <w:rFonts w:ascii="Calibri Light" w:hAnsi="Calibri Light"/>
                <w:b w:val="0"/>
              </w:rPr>
              <w:t xml:space="preserve"> una norma consuetudinaria</w:t>
            </w:r>
            <w:r w:rsidR="00AB185A">
              <w:rPr>
                <w:rFonts w:ascii="Calibri Light" w:hAnsi="Calibri Light"/>
                <w:b w:val="0"/>
              </w:rPr>
              <w:t>, que</w:t>
            </w:r>
            <w:r w:rsidR="006B7B8C">
              <w:rPr>
                <w:rFonts w:ascii="Calibri Light" w:hAnsi="Calibri Light"/>
                <w:b w:val="0"/>
              </w:rPr>
              <w:t xml:space="preserve"> </w:t>
            </w:r>
            <w:r>
              <w:rPr>
                <w:rFonts w:ascii="Calibri Light" w:hAnsi="Calibri Light"/>
                <w:b w:val="0"/>
              </w:rPr>
              <w:t xml:space="preserve">implica que las partes del conflicto deben distinguir </w:t>
            </w:r>
            <w:r w:rsidR="00AB185A">
              <w:rPr>
                <w:rFonts w:ascii="Calibri Light" w:hAnsi="Calibri Light"/>
                <w:b w:val="0"/>
              </w:rPr>
              <w:t xml:space="preserve">en todo momento </w:t>
            </w:r>
            <w:r>
              <w:rPr>
                <w:rFonts w:ascii="Calibri Light" w:hAnsi="Calibri Light"/>
                <w:b w:val="0"/>
              </w:rPr>
              <w:t xml:space="preserve">entre civiles y combatientes. Consecuentemente, </w:t>
            </w:r>
            <w:r w:rsidR="00AB185A">
              <w:rPr>
                <w:rFonts w:ascii="Calibri Light" w:hAnsi="Calibri Light"/>
                <w:b w:val="0"/>
              </w:rPr>
              <w:t xml:space="preserve">este principio </w:t>
            </w:r>
            <w:r>
              <w:rPr>
                <w:rFonts w:ascii="Calibri Light" w:hAnsi="Calibri Light"/>
                <w:b w:val="0"/>
              </w:rPr>
              <w:t>abarca, entre otros, la pro</w:t>
            </w:r>
            <w:r w:rsidR="003E795C">
              <w:rPr>
                <w:rFonts w:ascii="Calibri Light" w:hAnsi="Calibri Light"/>
                <w:b w:val="0"/>
              </w:rPr>
              <w:t xml:space="preserve">tección de civiles contra ataques, la distinción entre bienes civiles y militares, y la prohibición de ataques indiscriminados. </w:t>
            </w:r>
            <w:r w:rsidR="00AB185A">
              <w:rPr>
                <w:rFonts w:ascii="Calibri Light" w:hAnsi="Calibri Light"/>
                <w:b w:val="0"/>
              </w:rPr>
              <w:t xml:space="preserve">Los ataques indiscriminados son aquellos que no están dirigidos contra un objetivo militar concreto, emplean métodos o medios de combate que no pueden dirigirse contra un objetivo militar concreto, utilizan métodos o medios de combate cuyos efectos no es posible limitar o los que pueden alcanzar indistintamente tanto a objetivos militares como a personas civiles y a sus bienes. En esa línea, se encuentran prohibidos los ataques por bombardeo que traten como objetivo militar único varios objetivos militares precisos y claramente separados, situados en una zona en la que se concentren personas o bienes de carácter civil.  </w:t>
            </w:r>
          </w:p>
          <w:p w14:paraId="09E0F384" w14:textId="77777777" w:rsidR="00A8497D" w:rsidRPr="00663F28" w:rsidRDefault="00A8497D" w:rsidP="00142528">
            <w:pPr>
              <w:jc w:val="both"/>
              <w:rPr>
                <w:rFonts w:ascii="Calibri Light" w:hAnsi="Calibri Light"/>
                <w:b w:val="0"/>
              </w:rPr>
            </w:pPr>
          </w:p>
          <w:p w14:paraId="1C14B5DE" w14:textId="77777777" w:rsidR="00A76604" w:rsidRDefault="00A76604" w:rsidP="00142528">
            <w:pPr>
              <w:jc w:val="both"/>
              <w:rPr>
                <w:rFonts w:ascii="Calibri Light" w:hAnsi="Calibri Light"/>
                <w:b w:val="0"/>
                <w:u w:val="single"/>
              </w:rPr>
            </w:pPr>
            <w:r>
              <w:rPr>
                <w:rFonts w:ascii="Calibri Light" w:hAnsi="Calibri Light"/>
                <w:b w:val="0"/>
                <w:u w:val="single"/>
              </w:rPr>
              <w:lastRenderedPageBreak/>
              <w:t>Proporcionalidad</w:t>
            </w:r>
          </w:p>
          <w:p w14:paraId="2FF900F8" w14:textId="77777777" w:rsidR="00A76604" w:rsidRDefault="00A76604" w:rsidP="00142528">
            <w:pPr>
              <w:jc w:val="both"/>
              <w:rPr>
                <w:rFonts w:ascii="Calibri Light" w:hAnsi="Calibri Light"/>
                <w:b w:val="0"/>
                <w:u w:val="single"/>
              </w:rPr>
            </w:pPr>
          </w:p>
          <w:p w14:paraId="6BD01B14" w14:textId="33E84D13" w:rsidR="004367E1" w:rsidRPr="00DC7BF2" w:rsidRDefault="00DC7BF2" w:rsidP="00142528">
            <w:pPr>
              <w:jc w:val="both"/>
              <w:rPr>
                <w:rFonts w:ascii="Calibri Light" w:hAnsi="Calibri Light"/>
                <w:b w:val="0"/>
              </w:rPr>
            </w:pPr>
            <w:r w:rsidRPr="00DC7BF2">
              <w:rPr>
                <w:rFonts w:ascii="Calibri Light" w:hAnsi="Calibri Light"/>
                <w:b w:val="0"/>
              </w:rPr>
              <w:t xml:space="preserve">El principio de proporcionalidad se encuentra igualmente reconocido en </w:t>
            </w:r>
            <w:r w:rsidR="00052375">
              <w:rPr>
                <w:rFonts w:ascii="Calibri Light" w:hAnsi="Calibri Light"/>
                <w:b w:val="0"/>
              </w:rPr>
              <w:t xml:space="preserve">distintos </w:t>
            </w:r>
            <w:r w:rsidRPr="00DC7BF2">
              <w:rPr>
                <w:rFonts w:ascii="Calibri Light" w:hAnsi="Calibri Light"/>
                <w:b w:val="0"/>
              </w:rPr>
              <w:t xml:space="preserve">tratados y constituye una norma consuetudinaria. </w:t>
            </w:r>
            <w:r>
              <w:rPr>
                <w:rFonts w:ascii="Calibri Light" w:hAnsi="Calibri Light"/>
                <w:b w:val="0"/>
              </w:rPr>
              <w:t xml:space="preserve">Este principio prohíbe realizar un ataque cuando “sea de prever que cause incidentalmente muertos y heridos entre la población civil, los daños a bienes de carácter civil o ambas cosas, que sean excesivos” en relación con la ventaja militar perseguida.  </w:t>
            </w:r>
          </w:p>
          <w:p w14:paraId="503A6467" w14:textId="77777777" w:rsidR="00DC7BF2" w:rsidRDefault="00DC7BF2" w:rsidP="00142528">
            <w:pPr>
              <w:jc w:val="both"/>
              <w:rPr>
                <w:rFonts w:ascii="Calibri Light" w:hAnsi="Calibri Light"/>
                <w:b w:val="0"/>
                <w:u w:val="single"/>
              </w:rPr>
            </w:pPr>
          </w:p>
          <w:p w14:paraId="7EA6F458" w14:textId="77777777" w:rsidR="00A76604" w:rsidRDefault="00A76604" w:rsidP="00142528">
            <w:pPr>
              <w:jc w:val="both"/>
              <w:rPr>
                <w:rFonts w:ascii="Calibri Light" w:hAnsi="Calibri Light"/>
                <w:b w:val="0"/>
                <w:u w:val="single"/>
              </w:rPr>
            </w:pPr>
            <w:r>
              <w:rPr>
                <w:rFonts w:ascii="Calibri Light" w:hAnsi="Calibri Light"/>
                <w:b w:val="0"/>
                <w:u w:val="single"/>
              </w:rPr>
              <w:t>Necesidad</w:t>
            </w:r>
          </w:p>
          <w:p w14:paraId="422ABB56" w14:textId="013E4912" w:rsidR="00DC7BF2" w:rsidRDefault="00DC7BF2" w:rsidP="00142528">
            <w:pPr>
              <w:jc w:val="both"/>
              <w:rPr>
                <w:rFonts w:ascii="Calibri Light" w:hAnsi="Calibri Light"/>
                <w:b w:val="0"/>
                <w:u w:val="single"/>
              </w:rPr>
            </w:pPr>
          </w:p>
          <w:p w14:paraId="4D85FA26" w14:textId="24A28277" w:rsidR="00462FF6" w:rsidRDefault="00462FF6" w:rsidP="00142528">
            <w:pPr>
              <w:jc w:val="both"/>
              <w:rPr>
                <w:rFonts w:ascii="Calibri Light" w:hAnsi="Calibri Light"/>
                <w:b w:val="0"/>
              </w:rPr>
            </w:pPr>
            <w:r>
              <w:rPr>
                <w:rFonts w:ascii="Calibri Light" w:hAnsi="Calibri Light"/>
                <w:b w:val="0"/>
              </w:rPr>
              <w:t xml:space="preserve">La CIDH señaló que </w:t>
            </w:r>
            <w:r w:rsidR="00052375">
              <w:rPr>
                <w:rFonts w:ascii="Calibri Light" w:hAnsi="Calibri Light"/>
                <w:b w:val="0"/>
              </w:rPr>
              <w:t>el</w:t>
            </w:r>
            <w:r>
              <w:rPr>
                <w:rFonts w:ascii="Calibri Light" w:hAnsi="Calibri Light"/>
                <w:b w:val="0"/>
              </w:rPr>
              <w:t xml:space="preserve"> principio </w:t>
            </w:r>
            <w:r w:rsidR="00052375">
              <w:rPr>
                <w:rFonts w:ascii="Calibri Light" w:hAnsi="Calibri Light"/>
                <w:b w:val="0"/>
              </w:rPr>
              <w:t xml:space="preserve">de necesidad </w:t>
            </w:r>
            <w:r>
              <w:rPr>
                <w:rFonts w:ascii="Calibri Light" w:hAnsi="Calibri Light"/>
                <w:b w:val="0"/>
              </w:rPr>
              <w:t>implica que la fuerza armada pueda utilizarse cuando sea necesaria y lícita, esto es cuando no esté prohibida por el DIH, y se requiera y justifique operacionalmente para debilitar la capacidad de la otra parte. Respecto a la diferencia entre este principio y los principios de proporcionalidad y precaución, la CIDH señaló que mientras que el primero miraba hacia los objetivos militares, los segundos miraban hacia la protección humanitaria de civiles y no combatientes.</w:t>
            </w:r>
          </w:p>
          <w:p w14:paraId="1CB431CE" w14:textId="77777777" w:rsidR="00462FF6" w:rsidRPr="00462FF6" w:rsidRDefault="00462FF6" w:rsidP="00142528">
            <w:pPr>
              <w:jc w:val="both"/>
              <w:rPr>
                <w:rFonts w:ascii="Calibri Light" w:hAnsi="Calibri Light"/>
                <w:b w:val="0"/>
              </w:rPr>
            </w:pPr>
          </w:p>
          <w:p w14:paraId="3E3718A9" w14:textId="33F4B112" w:rsidR="008E52C0" w:rsidRDefault="00A76604" w:rsidP="00142528">
            <w:pPr>
              <w:jc w:val="both"/>
              <w:rPr>
                <w:rFonts w:ascii="Calibri Light" w:hAnsi="Calibri Light"/>
                <w:b w:val="0"/>
              </w:rPr>
            </w:pPr>
            <w:r>
              <w:rPr>
                <w:rFonts w:ascii="Calibri Light" w:hAnsi="Calibri Light"/>
                <w:b w:val="0"/>
                <w:u w:val="single"/>
              </w:rPr>
              <w:t>Precaución</w:t>
            </w:r>
            <w:r>
              <w:rPr>
                <w:rFonts w:ascii="Calibri Light" w:hAnsi="Calibri Light"/>
                <w:b w:val="0"/>
              </w:rPr>
              <w:t xml:space="preserve"> </w:t>
            </w:r>
          </w:p>
          <w:p w14:paraId="115A0A4A" w14:textId="60F34C9F" w:rsidR="00462FF6" w:rsidRDefault="00462FF6" w:rsidP="00462FF6">
            <w:pPr>
              <w:tabs>
                <w:tab w:val="left" w:pos="4971"/>
              </w:tabs>
              <w:jc w:val="both"/>
              <w:rPr>
                <w:rFonts w:ascii="Calibri Light" w:hAnsi="Calibri Light"/>
                <w:b w:val="0"/>
              </w:rPr>
            </w:pPr>
            <w:r>
              <w:rPr>
                <w:rFonts w:ascii="Calibri Light" w:hAnsi="Calibri Light"/>
                <w:b w:val="0"/>
              </w:rPr>
              <w:tab/>
            </w:r>
          </w:p>
          <w:p w14:paraId="464973DA" w14:textId="30443946" w:rsidR="00462FF6" w:rsidRDefault="00462FF6" w:rsidP="00142528">
            <w:pPr>
              <w:jc w:val="both"/>
              <w:rPr>
                <w:rFonts w:ascii="Calibri Light" w:hAnsi="Calibri Light"/>
                <w:b w:val="0"/>
              </w:rPr>
            </w:pPr>
            <w:r>
              <w:rPr>
                <w:rFonts w:ascii="Calibri Light" w:hAnsi="Calibri Light"/>
                <w:b w:val="0"/>
              </w:rPr>
              <w:t xml:space="preserve">Finalmente, respecto del principio de precaución, la CIDH </w:t>
            </w:r>
            <w:r w:rsidR="00280D33">
              <w:rPr>
                <w:rFonts w:ascii="Calibri Light" w:hAnsi="Calibri Light"/>
                <w:b w:val="0"/>
              </w:rPr>
              <w:t xml:space="preserve">observó que este también está recogido en </w:t>
            </w:r>
            <w:r w:rsidR="00052375">
              <w:rPr>
                <w:rFonts w:ascii="Calibri Light" w:hAnsi="Calibri Light"/>
                <w:b w:val="0"/>
              </w:rPr>
              <w:t xml:space="preserve">diversos </w:t>
            </w:r>
            <w:r w:rsidR="00280D33">
              <w:rPr>
                <w:rFonts w:ascii="Calibri Light" w:hAnsi="Calibri Light"/>
                <w:b w:val="0"/>
              </w:rPr>
              <w:t xml:space="preserve">tratados y es una norma consuetudinaria. </w:t>
            </w:r>
            <w:r w:rsidR="00052375">
              <w:rPr>
                <w:rFonts w:ascii="Calibri Light" w:hAnsi="Calibri Light"/>
                <w:b w:val="0"/>
              </w:rPr>
              <w:t>D</w:t>
            </w:r>
            <w:r w:rsidR="00280D33">
              <w:rPr>
                <w:rFonts w:ascii="Calibri Light" w:hAnsi="Calibri Light"/>
                <w:b w:val="0"/>
              </w:rPr>
              <w:t xml:space="preserve">estacó que este principio implica que las partes deben tomar todas las “precauciones factibles” para evitar o reducir </w:t>
            </w:r>
            <w:r w:rsidR="00992FD7">
              <w:rPr>
                <w:rFonts w:ascii="Calibri Light" w:hAnsi="Calibri Light"/>
                <w:b w:val="0"/>
              </w:rPr>
              <w:t xml:space="preserve">al mínimo el número de muertos y heridos entre la población civil, así como los daños a sus bienes, que puedan ser causados incidentalmente. En aplicación de este principio, las partes en conflicto deben tomar en cuenta el momento de perpetrar los ataques, evitar los combates en zonas pobladas, elegir medios de guerra adecuados con el objetivo previsto, emplear armas de precisión, y seleccionar objetivos. Asimismo, </w:t>
            </w:r>
            <w:r w:rsidR="002A3477">
              <w:rPr>
                <w:rFonts w:ascii="Calibri Light" w:hAnsi="Calibri Light"/>
                <w:b w:val="0"/>
              </w:rPr>
              <w:t xml:space="preserve">deben dar aviso a la población civil de los ataques que la puedan afectar con la debida anticipación y por medios adecuados, salvo si las circunstancias lo impiden. </w:t>
            </w:r>
          </w:p>
          <w:p w14:paraId="1ABD59BC" w14:textId="77777777" w:rsidR="002A3477" w:rsidRDefault="002A3477" w:rsidP="00142528">
            <w:pPr>
              <w:jc w:val="both"/>
              <w:rPr>
                <w:rFonts w:ascii="Calibri Light" w:hAnsi="Calibri Light"/>
                <w:b w:val="0"/>
              </w:rPr>
            </w:pPr>
          </w:p>
          <w:p w14:paraId="6D283645" w14:textId="2B783EA2" w:rsidR="002A3477" w:rsidRPr="00257F7B" w:rsidRDefault="002A3477" w:rsidP="00142528">
            <w:pPr>
              <w:jc w:val="both"/>
              <w:rPr>
                <w:rFonts w:ascii="Calibri Light" w:hAnsi="Calibri Light"/>
                <w:b w:val="0"/>
              </w:rPr>
            </w:pPr>
            <w:r>
              <w:rPr>
                <w:rFonts w:ascii="Calibri Light" w:hAnsi="Calibri Light"/>
                <w:b w:val="0"/>
              </w:rPr>
              <w:t xml:space="preserve">De otra parte, la CIDH se refirió a la prohibición de utilizar escudos humanos contra operaciones militares. Señaló que incluso cuando una de las partes haga uso de ellos, violando el DIH, la otra parte se encuentra obligada a tomar las precauciones pertinentes en su ataque y respetar el principio de proporcionalidad. De igual forma, se refirió a los casos en que, debido a los cambios en las condiciones demográficas, las bases militares se ubiquen dentro o cerca de localidad, aunque no hubiera sido así inicialmente. Indicó que en tales circunstancias, las partes en conflicto deberán alejar, en la medida de lo factible, a las personas civiles y sus bienes de los objetivos militares. </w:t>
            </w:r>
          </w:p>
          <w:p w14:paraId="2B755B07" w14:textId="77777777" w:rsidR="00142528" w:rsidRPr="00142528" w:rsidRDefault="00142528" w:rsidP="00142528">
            <w:pPr>
              <w:jc w:val="both"/>
              <w:rPr>
                <w:rFonts w:ascii="Calibri Light" w:hAnsi="Calibri Light"/>
              </w:rPr>
            </w:pPr>
          </w:p>
          <w:p w14:paraId="62C4E0AD" w14:textId="39820EF5" w:rsidR="004B2A7D" w:rsidRPr="004B2A7D" w:rsidRDefault="004B2A7D" w:rsidP="004B2A7D">
            <w:pPr>
              <w:pStyle w:val="ListParagraph"/>
              <w:numPr>
                <w:ilvl w:val="0"/>
                <w:numId w:val="13"/>
              </w:numPr>
              <w:jc w:val="both"/>
              <w:rPr>
                <w:rFonts w:ascii="Calibri Light" w:hAnsi="Calibri Light"/>
              </w:rPr>
            </w:pPr>
            <w:r>
              <w:rPr>
                <w:rFonts w:ascii="Calibri Light" w:hAnsi="Calibri Light"/>
              </w:rPr>
              <w:t>Análisis del caso</w:t>
            </w:r>
          </w:p>
          <w:p w14:paraId="08E8F985" w14:textId="77777777" w:rsidR="004B2A7D" w:rsidRDefault="004B2A7D" w:rsidP="00FF34AE">
            <w:pPr>
              <w:jc w:val="both"/>
              <w:rPr>
                <w:rFonts w:ascii="Calibri Light" w:hAnsi="Calibri Light"/>
              </w:rPr>
            </w:pPr>
          </w:p>
          <w:p w14:paraId="14888832" w14:textId="10E33617" w:rsidR="0078058C" w:rsidRDefault="0078058C" w:rsidP="00FF34AE">
            <w:pPr>
              <w:jc w:val="both"/>
              <w:rPr>
                <w:rFonts w:ascii="Calibri Light" w:hAnsi="Calibri Light"/>
                <w:b w:val="0"/>
              </w:rPr>
            </w:pPr>
            <w:r>
              <w:rPr>
                <w:rFonts w:ascii="Calibri Light" w:hAnsi="Calibri Light"/>
                <w:b w:val="0"/>
              </w:rPr>
              <w:t>La CIDH recordó que en casos en los que el Estado haya utilizado fuerza letal contra civiles la carga de la prueba se invierte</w:t>
            </w:r>
            <w:r w:rsidR="00212834">
              <w:rPr>
                <w:rFonts w:ascii="Calibri Light" w:hAnsi="Calibri Light"/>
                <w:b w:val="0"/>
              </w:rPr>
              <w:t>;</w:t>
            </w:r>
            <w:r>
              <w:rPr>
                <w:rFonts w:ascii="Calibri Light" w:hAnsi="Calibri Light"/>
                <w:b w:val="0"/>
              </w:rPr>
              <w:t xml:space="preserve"> correspondiendo al Estado </w:t>
            </w:r>
            <w:r w:rsidR="00212834">
              <w:rPr>
                <w:rFonts w:ascii="Calibri Light" w:hAnsi="Calibri Light"/>
                <w:b w:val="0"/>
              </w:rPr>
              <w:t xml:space="preserve">aportar una explicación satisfactoria y convincente de lo sucedido para desvirtuar los alegatos en su contra. Esta inversión de la carga de la prueba se sostiene en su deber de investigar de oficio estos hechos. En casos de conflicto armado, este deber no se limita y el contenido de la explicación debe asociarse a los principios del DIH. En esa medida, la CIDH consideró que para que la explicación del Estado en este caso pudiera considerase satisfactoria y convincente en este debía: i) ser resultado de una investigación diligente, ii) referirse a las acciones de naturaleza preventiva, así como a aquellas concomitantes y posteriores al uso de la fuerza letal, y iii)  referirse a los principios de distinción, proporcionalidad, necesidad y precaución. </w:t>
            </w:r>
          </w:p>
          <w:p w14:paraId="372CC432" w14:textId="77777777" w:rsidR="00212834" w:rsidRDefault="00212834" w:rsidP="00FF34AE">
            <w:pPr>
              <w:jc w:val="both"/>
              <w:rPr>
                <w:rFonts w:ascii="Calibri Light" w:hAnsi="Calibri Light"/>
                <w:b w:val="0"/>
              </w:rPr>
            </w:pPr>
          </w:p>
          <w:p w14:paraId="38B78963" w14:textId="0ED8379C" w:rsidR="00262D92" w:rsidRDefault="00AE3B18" w:rsidP="00FF34AE">
            <w:pPr>
              <w:jc w:val="both"/>
              <w:rPr>
                <w:rFonts w:ascii="Calibri Light" w:hAnsi="Calibri Light"/>
                <w:b w:val="0"/>
                <w:bCs w:val="0"/>
              </w:rPr>
            </w:pPr>
            <w:r>
              <w:rPr>
                <w:rFonts w:ascii="Calibri Light" w:hAnsi="Calibri Light"/>
                <w:b w:val="0"/>
              </w:rPr>
              <w:lastRenderedPageBreak/>
              <w:t>L</w:t>
            </w:r>
            <w:r w:rsidR="00212834">
              <w:rPr>
                <w:rFonts w:ascii="Calibri Light" w:hAnsi="Calibri Light"/>
                <w:b w:val="0"/>
              </w:rPr>
              <w:t>a CIDH consideró que el Estado no brindó una explicación con tales característica</w:t>
            </w:r>
            <w:r w:rsidR="00AE6CAB">
              <w:rPr>
                <w:rFonts w:ascii="Calibri Light" w:hAnsi="Calibri Light"/>
                <w:b w:val="0"/>
              </w:rPr>
              <w:t>s</w:t>
            </w:r>
            <w:r w:rsidR="00212834">
              <w:rPr>
                <w:rFonts w:ascii="Calibri Light" w:hAnsi="Calibri Light"/>
                <w:b w:val="0"/>
              </w:rPr>
              <w:t xml:space="preserve">, pues no </w:t>
            </w:r>
            <w:r w:rsidR="00AE6CAB">
              <w:rPr>
                <w:rFonts w:ascii="Calibri Light" w:hAnsi="Calibri Light"/>
                <w:b w:val="0"/>
              </w:rPr>
              <w:t>presentó información adecuada para esclarecer la actuación de sus agentes en el marco de la Operación</w:t>
            </w:r>
            <w:r>
              <w:rPr>
                <w:rFonts w:ascii="Calibri Light" w:hAnsi="Calibri Light"/>
                <w:b w:val="0"/>
              </w:rPr>
              <w:t>, y</w:t>
            </w:r>
            <w:r w:rsidR="00AE6CAB">
              <w:rPr>
                <w:rFonts w:ascii="Calibri Light" w:hAnsi="Calibri Light"/>
                <w:b w:val="0"/>
              </w:rPr>
              <w:t xml:space="preserve"> se limitó a brindar explicaciones genéricas sin la especificidad necesaria para determinar si se </w:t>
            </w:r>
            <w:r>
              <w:rPr>
                <w:rFonts w:ascii="Calibri Light" w:hAnsi="Calibri Light"/>
                <w:b w:val="0"/>
              </w:rPr>
              <w:t xml:space="preserve">habían </w:t>
            </w:r>
            <w:r w:rsidR="00AE6CAB">
              <w:rPr>
                <w:rFonts w:ascii="Calibri Light" w:hAnsi="Calibri Light"/>
                <w:b w:val="0"/>
              </w:rPr>
              <w:t>adopta</w:t>
            </w:r>
            <w:r>
              <w:rPr>
                <w:rFonts w:ascii="Calibri Light" w:hAnsi="Calibri Light"/>
                <w:b w:val="0"/>
              </w:rPr>
              <w:t>do</w:t>
            </w:r>
            <w:r w:rsidR="00AE6CAB">
              <w:rPr>
                <w:rFonts w:ascii="Calibri Light" w:hAnsi="Calibri Light"/>
                <w:b w:val="0"/>
              </w:rPr>
              <w:t xml:space="preserve"> las medidas preventivas, concomitantes y posteriores </w:t>
            </w:r>
            <w:r w:rsidR="00262D92">
              <w:rPr>
                <w:rFonts w:ascii="Calibri Light" w:hAnsi="Calibri Light"/>
                <w:b w:val="0"/>
              </w:rPr>
              <w:t>requerida</w:t>
            </w:r>
            <w:r w:rsidR="00AE6CAB">
              <w:rPr>
                <w:rFonts w:ascii="Calibri Light" w:hAnsi="Calibri Light"/>
                <w:b w:val="0"/>
              </w:rPr>
              <w:t>s de acuerdo a los principios del DIH. En esa medida, la CIDH otorgó peso probatorio a las descripciones de las presuntas víctimas y sus familiares sobre la participación de agentes estadounidenses y las circunstancias en que ocurrieron los hechos.</w:t>
            </w:r>
            <w:r w:rsidR="00262D92">
              <w:rPr>
                <w:rFonts w:ascii="Calibri Light" w:hAnsi="Calibri Light"/>
              </w:rPr>
              <w:t xml:space="preserve"> </w:t>
            </w:r>
          </w:p>
          <w:p w14:paraId="4F8DB358" w14:textId="77777777" w:rsidR="00262D92" w:rsidRDefault="00262D92" w:rsidP="00FF34AE">
            <w:pPr>
              <w:jc w:val="both"/>
              <w:rPr>
                <w:rFonts w:ascii="Calibri Light" w:hAnsi="Calibri Light"/>
                <w:bCs w:val="0"/>
              </w:rPr>
            </w:pPr>
          </w:p>
          <w:p w14:paraId="63961181" w14:textId="5C126A7A" w:rsidR="00262D92" w:rsidRDefault="00262D92" w:rsidP="00FF34AE">
            <w:pPr>
              <w:jc w:val="both"/>
              <w:rPr>
                <w:rFonts w:ascii="Calibri Light" w:hAnsi="Calibri Light"/>
                <w:bCs w:val="0"/>
              </w:rPr>
            </w:pPr>
            <w:r>
              <w:rPr>
                <w:rFonts w:ascii="Calibri Light" w:hAnsi="Calibri Light"/>
                <w:b w:val="0"/>
              </w:rPr>
              <w:t xml:space="preserve">Así, observó que de acuerdo a estas descripciones, las muertes y lesiones alegadas se produjeron en el marco de acciones armadas de las fuerzas estadounidenses. Más específicamente, como consecuencia de bombardeos o armas de diverso tipo lanzadas desde medios de transporte aéreo o tanquetas por vía terrestres, 9 personas perdieron la vida y 20 resultaron heridas; mientras que como consecuencia del incendio o de encontrarse en las cercanías a un aparente enfrentamiento, 21 personas perdieron la vida y 3 resultaron heridas. En todos los casos, se trataba de personas sobre quienes no existía indicio alguno de participación en las hostilidades, por lo cual se encontraban protegidas por el principio de distinción. En esa línea, la CIDH también observó que se utilizaron bombas y otras armas que podían causar efectos indiscriminados sobre la población civil. </w:t>
            </w:r>
          </w:p>
          <w:p w14:paraId="1DCA5FD6" w14:textId="77777777" w:rsidR="00AF72B6" w:rsidRDefault="00AF72B6" w:rsidP="00FF34AE">
            <w:pPr>
              <w:jc w:val="both"/>
              <w:rPr>
                <w:rFonts w:ascii="Calibri Light" w:hAnsi="Calibri Light"/>
                <w:bCs w:val="0"/>
              </w:rPr>
            </w:pPr>
          </w:p>
          <w:p w14:paraId="62BD30F7" w14:textId="6A19AFD8" w:rsidR="00AF72B6" w:rsidRDefault="00AF72B6" w:rsidP="00FF34AE">
            <w:pPr>
              <w:jc w:val="both"/>
              <w:rPr>
                <w:rFonts w:ascii="Calibri Light" w:hAnsi="Calibri Light"/>
                <w:bCs w:val="0"/>
              </w:rPr>
            </w:pPr>
            <w:r>
              <w:rPr>
                <w:rFonts w:ascii="Calibri Light" w:hAnsi="Calibri Light"/>
                <w:b w:val="0"/>
              </w:rPr>
              <w:t xml:space="preserve">De otro lado, el Estado no aportó información sobre las medidas que adoptó para dar aviso previo a los ataques. </w:t>
            </w:r>
            <w:r w:rsidR="00AE3B18">
              <w:rPr>
                <w:rFonts w:ascii="Calibri Light" w:hAnsi="Calibri Light"/>
                <w:b w:val="0"/>
              </w:rPr>
              <w:t>D</w:t>
            </w:r>
            <w:r>
              <w:rPr>
                <w:rFonts w:ascii="Calibri Light" w:hAnsi="Calibri Light"/>
                <w:b w:val="0"/>
              </w:rPr>
              <w:t>e acuerdo a algunas declaraciones de las presuntas víctimas se emitieron anuncios en estacio</w:t>
            </w:r>
            <w:r w:rsidR="00AE3B18">
              <w:rPr>
                <w:rFonts w:ascii="Calibri Light" w:hAnsi="Calibri Light"/>
                <w:b w:val="0"/>
              </w:rPr>
              <w:t>ne</w:t>
            </w:r>
            <w:r>
              <w:rPr>
                <w:rFonts w:ascii="Calibri Light" w:hAnsi="Calibri Light"/>
                <w:b w:val="0"/>
              </w:rPr>
              <w:t>s de radio y canales de televisión</w:t>
            </w:r>
            <w:r w:rsidR="00AE3B18">
              <w:rPr>
                <w:rFonts w:ascii="Calibri Light" w:hAnsi="Calibri Light"/>
                <w:b w:val="0"/>
              </w:rPr>
              <w:t xml:space="preserve">; sin embargo, </w:t>
            </w:r>
            <w:r>
              <w:rPr>
                <w:rFonts w:ascii="Calibri Light" w:hAnsi="Calibri Light"/>
                <w:b w:val="0"/>
              </w:rPr>
              <w:t xml:space="preserve">fueron transmitios en inglés y a altas horas de la noche de la operación. </w:t>
            </w:r>
            <w:r w:rsidR="00AE3B18">
              <w:rPr>
                <w:rFonts w:ascii="Calibri Light" w:hAnsi="Calibri Light"/>
                <w:b w:val="0"/>
              </w:rPr>
              <w:t xml:space="preserve">Igualmente, </w:t>
            </w:r>
            <w:r>
              <w:rPr>
                <w:rFonts w:ascii="Calibri Light" w:hAnsi="Calibri Light"/>
                <w:b w:val="0"/>
              </w:rPr>
              <w:t xml:space="preserve">los avisos que se habrían </w:t>
            </w:r>
            <w:r w:rsidR="00E74ACD">
              <w:rPr>
                <w:rFonts w:ascii="Calibri Light" w:hAnsi="Calibri Light"/>
                <w:b w:val="0"/>
              </w:rPr>
              <w:t xml:space="preserve">hecho </w:t>
            </w:r>
            <w:r>
              <w:rPr>
                <w:rFonts w:ascii="Calibri Light" w:hAnsi="Calibri Light"/>
                <w:b w:val="0"/>
              </w:rPr>
              <w:t>por altavoz minutos antes del ataque</w:t>
            </w:r>
            <w:r w:rsidR="00AE3B18">
              <w:rPr>
                <w:rFonts w:ascii="Calibri Light" w:hAnsi="Calibri Light"/>
                <w:b w:val="0"/>
              </w:rPr>
              <w:t xml:space="preserve"> fueron</w:t>
            </w:r>
            <w:r>
              <w:rPr>
                <w:rFonts w:ascii="Calibri Light" w:hAnsi="Calibri Light"/>
                <w:b w:val="0"/>
              </w:rPr>
              <w:t xml:space="preserve"> inadecuados </w:t>
            </w:r>
            <w:r w:rsidR="00AE3B18">
              <w:rPr>
                <w:rFonts w:ascii="Calibri Light" w:hAnsi="Calibri Light"/>
                <w:b w:val="0"/>
              </w:rPr>
              <w:t>al haber sido</w:t>
            </w:r>
            <w:r>
              <w:rPr>
                <w:rFonts w:ascii="Calibri Light" w:hAnsi="Calibri Light"/>
                <w:b w:val="0"/>
              </w:rPr>
              <w:t xml:space="preserve"> realizados en altas horas de la noche, en muchos casos no habrían sido escuchados y no </w:t>
            </w:r>
            <w:r w:rsidR="00E74ACD">
              <w:rPr>
                <w:rFonts w:ascii="Calibri Light" w:hAnsi="Calibri Light"/>
                <w:b w:val="0"/>
              </w:rPr>
              <w:t xml:space="preserve">haber </w:t>
            </w:r>
            <w:r>
              <w:rPr>
                <w:rFonts w:ascii="Calibri Light" w:hAnsi="Calibri Light"/>
                <w:b w:val="0"/>
              </w:rPr>
              <w:t xml:space="preserve">brindado suficiente tiempo a las personas para escapar o buscar refugio. Además, incluso cuando </w:t>
            </w:r>
            <w:r w:rsidR="00AE3B18">
              <w:rPr>
                <w:rFonts w:ascii="Calibri Light" w:hAnsi="Calibri Light"/>
                <w:b w:val="0"/>
              </w:rPr>
              <w:t xml:space="preserve">estos avisos </w:t>
            </w:r>
            <w:r>
              <w:rPr>
                <w:rFonts w:ascii="Calibri Light" w:hAnsi="Calibri Light"/>
                <w:b w:val="0"/>
              </w:rPr>
              <w:t xml:space="preserve">hubieran sido escuchados, </w:t>
            </w:r>
            <w:r w:rsidR="00AE3B18">
              <w:rPr>
                <w:rFonts w:ascii="Calibri Light" w:hAnsi="Calibri Light"/>
                <w:b w:val="0"/>
              </w:rPr>
              <w:t xml:space="preserve">el Estado </w:t>
            </w:r>
            <w:r>
              <w:rPr>
                <w:rFonts w:ascii="Calibri Light" w:hAnsi="Calibri Light"/>
                <w:b w:val="0"/>
              </w:rPr>
              <w:t xml:space="preserve">no adoptó medidas para garantizar una efectiva evacuación. </w:t>
            </w:r>
            <w:r w:rsidR="00E74ACD">
              <w:rPr>
                <w:rFonts w:ascii="Calibri Light" w:hAnsi="Calibri Light"/>
                <w:b w:val="0"/>
              </w:rPr>
              <w:t>T</w:t>
            </w:r>
            <w:r>
              <w:rPr>
                <w:rFonts w:ascii="Calibri Light" w:hAnsi="Calibri Light"/>
                <w:b w:val="0"/>
              </w:rPr>
              <w:t>ampoco brindo información sobre las medidas concretas planificadas que permitiera analizar si fuer</w:t>
            </w:r>
            <w:r w:rsidR="00AE3B18">
              <w:rPr>
                <w:rFonts w:ascii="Calibri Light" w:hAnsi="Calibri Light"/>
                <w:b w:val="0"/>
              </w:rPr>
              <w:t>o</w:t>
            </w:r>
            <w:r>
              <w:rPr>
                <w:rFonts w:ascii="Calibri Light" w:hAnsi="Calibri Light"/>
                <w:b w:val="0"/>
              </w:rPr>
              <w:t xml:space="preserve">n adecuadas y suficientes para prevenir muertes y lesiones. </w:t>
            </w:r>
          </w:p>
          <w:p w14:paraId="6B1071C5" w14:textId="77777777" w:rsidR="00AF72B6" w:rsidRDefault="00AF72B6" w:rsidP="00FF34AE">
            <w:pPr>
              <w:jc w:val="both"/>
              <w:rPr>
                <w:rFonts w:ascii="Calibri Light" w:hAnsi="Calibri Light"/>
                <w:bCs w:val="0"/>
              </w:rPr>
            </w:pPr>
          </w:p>
          <w:p w14:paraId="331466BF" w14:textId="408BB04F" w:rsidR="007C24E9" w:rsidRDefault="00E74ACD" w:rsidP="00FF34AE">
            <w:pPr>
              <w:jc w:val="both"/>
              <w:rPr>
                <w:rFonts w:ascii="Calibri Light" w:hAnsi="Calibri Light"/>
                <w:bCs w:val="0"/>
              </w:rPr>
            </w:pPr>
            <w:r>
              <w:rPr>
                <w:rFonts w:ascii="Calibri Light" w:hAnsi="Calibri Light"/>
                <w:b w:val="0"/>
              </w:rPr>
              <w:t>En cuanto</w:t>
            </w:r>
            <w:r w:rsidR="007C24E9">
              <w:rPr>
                <w:rFonts w:ascii="Calibri Light" w:hAnsi="Calibri Light"/>
                <w:b w:val="0"/>
              </w:rPr>
              <w:t xml:space="preserve"> al argumento del Estado según el cual los impactos de sus acciones en personas y lugares tuvieron lugar por la decisión del régimen militar panameño de ubicar sus centros militares en zonas aledañas a la población civil, la CIDH señaló que la obligación de respetar y hacer respetar el DIH no dependía de la reciprocidad. Más aún, cuando en este caso las tropas estadounidenses tenían conocimiento de algunos puntos estratégicos </w:t>
            </w:r>
            <w:r>
              <w:rPr>
                <w:rFonts w:ascii="Calibri Light" w:hAnsi="Calibri Light"/>
                <w:b w:val="0"/>
              </w:rPr>
              <w:t>debido a que estuvieron</w:t>
            </w:r>
            <w:r w:rsidR="007C24E9">
              <w:rPr>
                <w:rFonts w:ascii="Calibri Light" w:hAnsi="Calibri Light"/>
                <w:b w:val="0"/>
              </w:rPr>
              <w:t xml:space="preserve"> en el territorio panameño de manera previa, </w:t>
            </w:r>
            <w:r>
              <w:rPr>
                <w:rFonts w:ascii="Calibri Light" w:hAnsi="Calibri Light"/>
                <w:b w:val="0"/>
              </w:rPr>
              <w:t xml:space="preserve">con </w:t>
            </w:r>
            <w:r w:rsidR="007C24E9">
              <w:rPr>
                <w:rFonts w:ascii="Calibri Light" w:hAnsi="Calibri Light"/>
                <w:b w:val="0"/>
              </w:rPr>
              <w:t xml:space="preserve">lo cual podían adecuar sus medios y métodos de guerra en la planificación y ejecución de la operación. </w:t>
            </w:r>
            <w:r w:rsidR="00E3445B">
              <w:rPr>
                <w:rFonts w:ascii="Calibri Light" w:hAnsi="Calibri Light"/>
                <w:b w:val="0"/>
              </w:rPr>
              <w:t>Además</w:t>
            </w:r>
            <w:r w:rsidR="007C24E9">
              <w:rPr>
                <w:rFonts w:ascii="Calibri Light" w:hAnsi="Calibri Light"/>
                <w:b w:val="0"/>
              </w:rPr>
              <w:t>, el Estado no presentó información que demostrara que cumplió en la ejecución y métodos de la operación con los principios</w:t>
            </w:r>
            <w:r w:rsidR="00E3445B">
              <w:rPr>
                <w:rFonts w:ascii="Calibri Light" w:hAnsi="Calibri Light"/>
                <w:b w:val="0"/>
              </w:rPr>
              <w:t xml:space="preserve"> del DIH</w:t>
            </w:r>
            <w:r w:rsidR="007C24E9">
              <w:rPr>
                <w:rFonts w:ascii="Calibri Light" w:hAnsi="Calibri Light"/>
                <w:b w:val="0"/>
              </w:rPr>
              <w:t>. En vista de todo ello, la CIDH concluyó que la operación no cumplió con los principios de distinción, necesidad, proporcionalidad y precaución.</w:t>
            </w:r>
          </w:p>
          <w:p w14:paraId="65C7A9BB" w14:textId="77777777" w:rsidR="007C24E9" w:rsidRDefault="007C24E9" w:rsidP="00FF34AE">
            <w:pPr>
              <w:jc w:val="both"/>
              <w:rPr>
                <w:rFonts w:ascii="Calibri Light" w:hAnsi="Calibri Light"/>
                <w:bCs w:val="0"/>
              </w:rPr>
            </w:pPr>
          </w:p>
          <w:p w14:paraId="5613789F" w14:textId="42B60A9C" w:rsidR="003F7C3E" w:rsidRDefault="007C24E9" w:rsidP="00FF34AE">
            <w:pPr>
              <w:jc w:val="both"/>
              <w:rPr>
                <w:rFonts w:ascii="Calibri Light" w:hAnsi="Calibri Light"/>
                <w:bCs w:val="0"/>
              </w:rPr>
            </w:pPr>
            <w:r>
              <w:rPr>
                <w:rFonts w:ascii="Calibri Light" w:hAnsi="Calibri Light"/>
                <w:b w:val="0"/>
              </w:rPr>
              <w:t>Este incumplimiento devinó en la muerte de 9 personas y 18 situaciones de lesiones física</w:t>
            </w:r>
            <w:r w:rsidR="003F7C3E">
              <w:rPr>
                <w:rFonts w:ascii="Calibri Light" w:hAnsi="Calibri Light"/>
                <w:b w:val="0"/>
              </w:rPr>
              <w:t>s</w:t>
            </w:r>
            <w:r>
              <w:rPr>
                <w:rFonts w:ascii="Calibri Light" w:hAnsi="Calibri Light"/>
                <w:b w:val="0"/>
              </w:rPr>
              <w:t xml:space="preserve"> como consecuencia del uso de bombas y otras armas que tuvieron un impacto indiscriminado en personas civiles. En cuanto a l</w:t>
            </w:r>
            <w:r w:rsidR="003F7C3E">
              <w:rPr>
                <w:rFonts w:ascii="Calibri Light" w:hAnsi="Calibri Light"/>
                <w:b w:val="0"/>
              </w:rPr>
              <w:t>os casos en los que la información sobre las circunstancias del uso de la fuerza no es clara, la CIDH observó que</w:t>
            </w:r>
            <w:r w:rsidR="00E3445B">
              <w:rPr>
                <w:rFonts w:ascii="Calibri Light" w:hAnsi="Calibri Light"/>
                <w:b w:val="0"/>
              </w:rPr>
              <w:t>,</w:t>
            </w:r>
            <w:r w:rsidR="003F7C3E">
              <w:rPr>
                <w:rFonts w:ascii="Calibri Light" w:hAnsi="Calibri Light"/>
                <w:b w:val="0"/>
              </w:rPr>
              <w:t xml:space="preserve"> dada la desproporción del ataque por parte de las fuerzas armadas </w:t>
            </w:r>
            <w:r w:rsidR="00E3445B">
              <w:rPr>
                <w:rFonts w:ascii="Calibri Light" w:hAnsi="Calibri Light"/>
                <w:b w:val="0"/>
              </w:rPr>
              <w:t>estadounidenses</w:t>
            </w:r>
            <w:r w:rsidR="003F7C3E">
              <w:rPr>
                <w:rFonts w:ascii="Calibri Light" w:hAnsi="Calibri Light"/>
                <w:b w:val="0"/>
              </w:rPr>
              <w:t xml:space="preserve">, la falta de investigación y la inversión de la carga de la prueba, era posible concluir que los agentes estadoudinidenses estuvieron involucrados en los hechos ya sea por acción u omisión. </w:t>
            </w:r>
          </w:p>
          <w:p w14:paraId="67F4605F" w14:textId="77777777" w:rsidR="003F7C3E" w:rsidRDefault="003F7C3E" w:rsidP="00FF34AE">
            <w:pPr>
              <w:jc w:val="both"/>
              <w:rPr>
                <w:rFonts w:ascii="Calibri Light" w:hAnsi="Calibri Light"/>
                <w:bCs w:val="0"/>
              </w:rPr>
            </w:pPr>
          </w:p>
          <w:p w14:paraId="71B0E16F" w14:textId="12FEED3B" w:rsidR="002262B7" w:rsidRDefault="00965EB2" w:rsidP="00FF34AE">
            <w:pPr>
              <w:jc w:val="both"/>
              <w:rPr>
                <w:rFonts w:ascii="Calibri Light" w:hAnsi="Calibri Light"/>
                <w:bCs w:val="0"/>
              </w:rPr>
            </w:pPr>
            <w:r>
              <w:rPr>
                <w:rFonts w:ascii="Calibri Light" w:hAnsi="Calibri Light"/>
                <w:b w:val="0"/>
              </w:rPr>
              <w:t>En</w:t>
            </w:r>
            <w:r w:rsidR="003F7C3E">
              <w:rPr>
                <w:rFonts w:ascii="Calibri Light" w:hAnsi="Calibri Light"/>
                <w:b w:val="0"/>
              </w:rPr>
              <w:t xml:space="preserve"> relación a las 20 personas que murieron y las 4 personas que resultaron heridas en el contexto de un paso o cercanía a puestos de conctrol, la CIDH </w:t>
            </w:r>
            <w:r>
              <w:rPr>
                <w:rFonts w:ascii="Calibri Light" w:hAnsi="Calibri Light"/>
                <w:b w:val="0"/>
              </w:rPr>
              <w:t>observó que: i) el Estado no controvirtió  la existencia de los puestos de control ni que estuvieran bajo su contro</w:t>
            </w:r>
            <w:r w:rsidR="00E3445B">
              <w:rPr>
                <w:rFonts w:ascii="Calibri Light" w:hAnsi="Calibri Light"/>
                <w:b w:val="0"/>
              </w:rPr>
              <w:t>l</w:t>
            </w:r>
            <w:r>
              <w:rPr>
                <w:rFonts w:ascii="Calibri Light" w:hAnsi="Calibri Light"/>
                <w:b w:val="0"/>
              </w:rPr>
              <w:t xml:space="preserve">, ii) no </w:t>
            </w:r>
            <w:r>
              <w:rPr>
                <w:rFonts w:ascii="Calibri Light" w:hAnsi="Calibri Light"/>
                <w:b w:val="0"/>
              </w:rPr>
              <w:lastRenderedPageBreak/>
              <w:t>investigó las muertes y lesiones producidas en este contexto, y iii) de la información provista por los peticionarios, no se desprendía que las víctimas hubieran sido combatientes, participando de las hostilidades o representado un peligro inminente. En consecuencia, estimó que el uso de la fuerza en tales casos fue violatorio a los principios de distinción, necesidad, proporcionalidad y precaución. Solo en un caso se hizo referencia a la existencia de una granada. Sin embargo, debido a las contradicciones en las versiones</w:t>
            </w:r>
            <w:r w:rsidR="00E3445B">
              <w:rPr>
                <w:rFonts w:ascii="Calibri Light" w:hAnsi="Calibri Light"/>
                <w:b w:val="0"/>
              </w:rPr>
              <w:t xml:space="preserve"> sobre los hechos</w:t>
            </w:r>
            <w:r>
              <w:rPr>
                <w:rFonts w:ascii="Calibri Light" w:hAnsi="Calibri Light"/>
                <w:b w:val="0"/>
              </w:rPr>
              <w:t>, la CIDH consideró que la información presentada era insuficiente para determinar si el uso de la fuerza era necesario y proporcional al riesgo que representaban las personas; y que en todo caso, los hechos ameritaban una investigación de oficio.</w:t>
            </w:r>
          </w:p>
          <w:p w14:paraId="1333B846" w14:textId="77777777" w:rsidR="002262B7" w:rsidRDefault="002262B7" w:rsidP="00FF34AE">
            <w:pPr>
              <w:jc w:val="both"/>
              <w:rPr>
                <w:rFonts w:ascii="Calibri Light" w:hAnsi="Calibri Light"/>
                <w:bCs w:val="0"/>
              </w:rPr>
            </w:pPr>
          </w:p>
          <w:p w14:paraId="5B127013" w14:textId="1A040C43" w:rsidR="002262B7" w:rsidRDefault="002262B7" w:rsidP="00FF34AE">
            <w:pPr>
              <w:jc w:val="both"/>
              <w:rPr>
                <w:rFonts w:ascii="Calibri Light" w:hAnsi="Calibri Light"/>
                <w:bCs w:val="0"/>
              </w:rPr>
            </w:pPr>
            <w:r>
              <w:rPr>
                <w:rFonts w:ascii="Calibri Light" w:hAnsi="Calibri Light"/>
                <w:b w:val="0"/>
              </w:rPr>
              <w:t>Por último, respecto de estos hechos</w:t>
            </w:r>
            <w:r w:rsidR="00E3445B">
              <w:rPr>
                <w:rFonts w:ascii="Calibri Light" w:hAnsi="Calibri Light"/>
                <w:b w:val="0"/>
              </w:rPr>
              <w:t>,</w:t>
            </w:r>
            <w:r>
              <w:rPr>
                <w:rFonts w:ascii="Calibri Light" w:hAnsi="Calibri Light"/>
                <w:b w:val="0"/>
              </w:rPr>
              <w:t xml:space="preserve"> hizo referencia al caso </w:t>
            </w:r>
            <w:r>
              <w:rPr>
                <w:rFonts w:ascii="Calibri Light" w:hAnsi="Calibri Light"/>
                <w:b w:val="0"/>
                <w:i/>
              </w:rPr>
              <w:t xml:space="preserve">Pisari vs. La República de Moldova y Rusia </w:t>
            </w:r>
            <w:r>
              <w:rPr>
                <w:rFonts w:ascii="Calibri Light" w:hAnsi="Calibri Light"/>
                <w:b w:val="0"/>
              </w:rPr>
              <w:t xml:space="preserve">del TEDH, que justamente </w:t>
            </w:r>
            <w:r w:rsidR="00E3445B">
              <w:rPr>
                <w:rFonts w:ascii="Calibri Light" w:hAnsi="Calibri Light"/>
                <w:b w:val="0"/>
              </w:rPr>
              <w:t xml:space="preserve">trataba sobre </w:t>
            </w:r>
            <w:r>
              <w:rPr>
                <w:rFonts w:ascii="Calibri Light" w:hAnsi="Calibri Light"/>
                <w:b w:val="0"/>
              </w:rPr>
              <w:t xml:space="preserve">el uso de la fuerza letal en un puesto de control en Moldova controlado por Rusia. En base a esta sentencia, consideró que Estados Unidos no había presentado elementos que demostraran una justificiación sobre la necesidad de emplear fuerza letal, ni información que permitiera concluir que adoptó medidas suficientes de prevención y planificación,  tales como capacitar a sus soldados en la valoración de la existencia del peligro, o adecuar sus puntos de control y  soldados a medios alternativos a la fuerza letal. </w:t>
            </w:r>
          </w:p>
          <w:p w14:paraId="744A4F7C" w14:textId="77777777" w:rsidR="002262B7" w:rsidRDefault="002262B7" w:rsidP="00FF34AE">
            <w:pPr>
              <w:jc w:val="both"/>
              <w:rPr>
                <w:rFonts w:ascii="Calibri Light" w:hAnsi="Calibri Light"/>
                <w:bCs w:val="0"/>
              </w:rPr>
            </w:pPr>
          </w:p>
          <w:p w14:paraId="4B6F7C58" w14:textId="28572ECC" w:rsidR="00212834" w:rsidRDefault="002262B7" w:rsidP="00FF34AE">
            <w:pPr>
              <w:jc w:val="both"/>
              <w:rPr>
                <w:rFonts w:ascii="Calibri Light" w:hAnsi="Calibri Light"/>
                <w:bCs w:val="0"/>
              </w:rPr>
            </w:pPr>
            <w:r>
              <w:rPr>
                <w:rFonts w:ascii="Calibri Light" w:hAnsi="Calibri Light"/>
                <w:b w:val="0"/>
              </w:rPr>
              <w:t>En base a estas consideraciones, la CIDH conluyó que Estados Unidos había violado el artículo I de la DADDH</w:t>
            </w:r>
            <w:r w:rsidR="00041347">
              <w:rPr>
                <w:rFonts w:ascii="Calibri Light" w:hAnsi="Calibri Light"/>
                <w:b w:val="0"/>
              </w:rPr>
              <w:t>. Asimismo, consideró que era responsable de la vulneración d</w:t>
            </w:r>
            <w:r>
              <w:rPr>
                <w:rFonts w:ascii="Calibri Light" w:hAnsi="Calibri Light"/>
                <w:b w:val="0"/>
              </w:rPr>
              <w:t xml:space="preserve">el artículo VII, </w:t>
            </w:r>
            <w:r w:rsidR="00965EB2">
              <w:rPr>
                <w:rFonts w:ascii="Calibri Light" w:hAnsi="Calibri Light"/>
                <w:b w:val="0"/>
              </w:rPr>
              <w:t xml:space="preserve"> </w:t>
            </w:r>
            <w:r>
              <w:rPr>
                <w:rFonts w:ascii="Calibri Light" w:hAnsi="Calibri Light"/>
                <w:b w:val="0"/>
              </w:rPr>
              <w:t>respecto de las víctimas que eran niños y niñas. En relación a las tres personas desaparecidas, señaló que por el contexto y circunstancias</w:t>
            </w:r>
            <w:r w:rsidR="00041347">
              <w:rPr>
                <w:rFonts w:ascii="Calibri Light" w:hAnsi="Calibri Light"/>
                <w:b w:val="0"/>
              </w:rPr>
              <w:t xml:space="preserve"> de los hechos</w:t>
            </w:r>
            <w:r>
              <w:rPr>
                <w:rFonts w:ascii="Calibri Light" w:hAnsi="Calibri Light"/>
                <w:b w:val="0"/>
              </w:rPr>
              <w:t xml:space="preserve">, deberían incluirse en las consideraciones aplicables sobre la violación del derecho a la vida. </w:t>
            </w:r>
          </w:p>
          <w:p w14:paraId="2A6FE5E7" w14:textId="77777777" w:rsidR="0078058C" w:rsidRDefault="0078058C" w:rsidP="00FF34AE">
            <w:pPr>
              <w:jc w:val="both"/>
              <w:rPr>
                <w:rFonts w:ascii="Calibri Light" w:hAnsi="Calibri Light"/>
                <w:b w:val="0"/>
              </w:rPr>
            </w:pPr>
          </w:p>
          <w:p w14:paraId="2E51EF4B" w14:textId="318FACA4" w:rsidR="00161979" w:rsidRPr="00757148" w:rsidRDefault="00161979" w:rsidP="00FF34AE">
            <w:pPr>
              <w:jc w:val="both"/>
              <w:rPr>
                <w:rFonts w:ascii="Calibri Light" w:hAnsi="Calibri Light"/>
              </w:rPr>
            </w:pPr>
            <w:r w:rsidRPr="00757148">
              <w:rPr>
                <w:rFonts w:ascii="Calibri Light" w:hAnsi="Calibri Light"/>
              </w:rPr>
              <w:t>Derecho a la propiedad (artículo XXIII de la DADDH)</w:t>
            </w:r>
          </w:p>
          <w:p w14:paraId="33CB569D" w14:textId="77777777" w:rsidR="00161979" w:rsidRDefault="00161979" w:rsidP="00FF34AE">
            <w:pPr>
              <w:jc w:val="both"/>
              <w:rPr>
                <w:rFonts w:ascii="Calibri Light" w:hAnsi="Calibri Light"/>
              </w:rPr>
            </w:pPr>
          </w:p>
          <w:p w14:paraId="27078A29" w14:textId="33AB1463" w:rsidR="001C5100" w:rsidRDefault="00041347" w:rsidP="00FF34AE">
            <w:pPr>
              <w:jc w:val="both"/>
              <w:rPr>
                <w:rFonts w:ascii="Calibri Light" w:hAnsi="Calibri Light"/>
                <w:b w:val="0"/>
              </w:rPr>
            </w:pPr>
            <w:r>
              <w:rPr>
                <w:rFonts w:ascii="Calibri Light" w:hAnsi="Calibri Light"/>
                <w:b w:val="0"/>
              </w:rPr>
              <w:t>E</w:t>
            </w:r>
            <w:r w:rsidR="001C5100">
              <w:rPr>
                <w:rFonts w:ascii="Calibri Light" w:hAnsi="Calibri Light"/>
                <w:b w:val="0"/>
              </w:rPr>
              <w:t>l contenido de propiedad personal protegido por la DADDH es amplio, pues abarca, entre otros, el uso y goce de bienes, así como todo derecho que pueda formar parte del patrimonio de una persona. Además, protege bienes pecuniarios, como los emanados de la ejecución de negocios. En casos de conflicto armado, como este, este derecho debe ser interpretado a la luz del DIH.</w:t>
            </w:r>
          </w:p>
          <w:p w14:paraId="09D8D10C" w14:textId="77777777" w:rsidR="00551544" w:rsidRDefault="00551544" w:rsidP="00FF34AE">
            <w:pPr>
              <w:jc w:val="both"/>
              <w:rPr>
                <w:rFonts w:ascii="Calibri Light" w:hAnsi="Calibri Light"/>
                <w:b w:val="0"/>
              </w:rPr>
            </w:pPr>
          </w:p>
          <w:p w14:paraId="76B9A759" w14:textId="7A7F1F8A" w:rsidR="00332FF0" w:rsidRDefault="00551544" w:rsidP="00FF34AE">
            <w:pPr>
              <w:jc w:val="both"/>
              <w:rPr>
                <w:rFonts w:ascii="Calibri Light" w:hAnsi="Calibri Light"/>
                <w:b w:val="0"/>
              </w:rPr>
            </w:pPr>
            <w:r>
              <w:rPr>
                <w:rFonts w:ascii="Calibri Light" w:hAnsi="Calibri Light"/>
                <w:b w:val="0"/>
              </w:rPr>
              <w:t xml:space="preserve">Para determinar si se había violado el derecho a la propiedad, la CIDH analizó la naturaleza de los bienes presuntamente afectados, el uso para el cual estaban siendo empleados y los medios empleados por el Estado para evitar la afectación. Al respecto, observó que los bienes presuntamente afectados eran residencias, edificios, carros y bienes muebles e inmuebles relacionados al trabajo, y que no constaba que hubieran sido utilizados con fines militares; por lo cual eran bienes civiles que no debían ser atacados. </w:t>
            </w:r>
          </w:p>
          <w:p w14:paraId="3D23FAEA" w14:textId="77777777" w:rsidR="00332FF0" w:rsidRDefault="00332FF0" w:rsidP="00FF34AE">
            <w:pPr>
              <w:jc w:val="both"/>
              <w:rPr>
                <w:rFonts w:ascii="Calibri Light" w:hAnsi="Calibri Light"/>
                <w:b w:val="0"/>
              </w:rPr>
            </w:pPr>
          </w:p>
          <w:p w14:paraId="4ED14123" w14:textId="5AC6BD75" w:rsidR="00EC6FD2" w:rsidRDefault="00332FF0" w:rsidP="00FF34AE">
            <w:pPr>
              <w:jc w:val="both"/>
              <w:rPr>
                <w:rFonts w:ascii="Calibri Light" w:hAnsi="Calibri Light"/>
                <w:b w:val="0"/>
              </w:rPr>
            </w:pPr>
            <w:r>
              <w:rPr>
                <w:rFonts w:ascii="Calibri Light" w:hAnsi="Calibri Light"/>
                <w:b w:val="0"/>
              </w:rPr>
              <w:t>En cuanto al principio de precaución, la CIDH resaltó que</w:t>
            </w:r>
            <w:r w:rsidR="00385C92">
              <w:rPr>
                <w:rFonts w:ascii="Calibri Light" w:hAnsi="Calibri Light"/>
                <w:b w:val="0"/>
              </w:rPr>
              <w:t>,</w:t>
            </w:r>
            <w:r>
              <w:rPr>
                <w:rFonts w:ascii="Calibri Light" w:hAnsi="Calibri Light"/>
                <w:b w:val="0"/>
              </w:rPr>
              <w:t xml:space="preserve"> dada la previsibilidad de que un incendio se produjera en las casas y edificios de madera</w:t>
            </w:r>
            <w:r w:rsidR="00E10A8E">
              <w:rPr>
                <w:rFonts w:ascii="Calibri Light" w:hAnsi="Calibri Light"/>
                <w:b w:val="0"/>
              </w:rPr>
              <w:t xml:space="preserve"> en la zona de El Chorrillo</w:t>
            </w:r>
            <w:r>
              <w:rPr>
                <w:rFonts w:ascii="Calibri Light" w:hAnsi="Calibri Light"/>
                <w:b w:val="0"/>
              </w:rPr>
              <w:t xml:space="preserve">, </w:t>
            </w:r>
            <w:r w:rsidR="00385C92">
              <w:rPr>
                <w:rFonts w:ascii="Calibri Light" w:hAnsi="Calibri Light"/>
                <w:b w:val="0"/>
              </w:rPr>
              <w:t>existía una</w:t>
            </w:r>
            <w:r>
              <w:rPr>
                <w:rFonts w:ascii="Calibri Light" w:hAnsi="Calibri Light"/>
                <w:b w:val="0"/>
              </w:rPr>
              <w:t xml:space="preserve"> obligación de adoptar tácticas y medios de guerra para prevenir daños desproporcionales en la propiedad de los civiles en la zona de El Chorri</w:t>
            </w:r>
            <w:r w:rsidR="00385C92">
              <w:rPr>
                <w:rFonts w:ascii="Calibri Light" w:hAnsi="Calibri Light"/>
                <w:b w:val="0"/>
              </w:rPr>
              <w:t>llo</w:t>
            </w:r>
            <w:r w:rsidR="00667052">
              <w:rPr>
                <w:rFonts w:ascii="Calibri Light" w:hAnsi="Calibri Light"/>
                <w:b w:val="0"/>
              </w:rPr>
              <w:t>.</w:t>
            </w:r>
            <w:r w:rsidR="00385C92">
              <w:rPr>
                <w:rFonts w:ascii="Calibri Light" w:hAnsi="Calibri Light"/>
                <w:b w:val="0"/>
              </w:rPr>
              <w:t xml:space="preserve"> No obstante, este principio no fue respetado por Estados Unidos al usar armas explosivas en una zona altamente poblada por civiles que tenía construcciones de madera que </w:t>
            </w:r>
            <w:r w:rsidR="00E10A8E">
              <w:rPr>
                <w:rFonts w:ascii="Calibri Light" w:hAnsi="Calibri Light"/>
                <w:b w:val="0"/>
              </w:rPr>
              <w:t>facilitaron la propagación d</w:t>
            </w:r>
            <w:r w:rsidR="00385C92">
              <w:rPr>
                <w:rFonts w:ascii="Calibri Light" w:hAnsi="Calibri Light"/>
                <w:b w:val="0"/>
              </w:rPr>
              <w:t>el incendio.</w:t>
            </w:r>
            <w:r w:rsidR="00D43408">
              <w:rPr>
                <w:rFonts w:ascii="Calibri Light" w:hAnsi="Calibri Light"/>
                <w:b w:val="0"/>
              </w:rPr>
              <w:t xml:space="preserve"> Asimismo, tampoco se tomaron precauciones para garantizar que los bienes civiles no fueran alcanzados por las técnicas de bombar</w:t>
            </w:r>
            <w:r w:rsidR="00DA66A7">
              <w:rPr>
                <w:rFonts w:ascii="Calibri Light" w:hAnsi="Calibri Light"/>
                <w:b w:val="0"/>
              </w:rPr>
              <w:t>deo indiscriminado. Igualmente, c</w:t>
            </w:r>
            <w:r w:rsidR="00D43408">
              <w:rPr>
                <w:rFonts w:ascii="Calibri Light" w:hAnsi="Calibri Light"/>
                <w:b w:val="0"/>
              </w:rPr>
              <w:t>onsideró que al no responder a objetivos militares</w:t>
            </w:r>
            <w:r w:rsidR="00385C92">
              <w:rPr>
                <w:rFonts w:ascii="Calibri Light" w:hAnsi="Calibri Light"/>
                <w:b w:val="0"/>
              </w:rPr>
              <w:t xml:space="preserve"> </w:t>
            </w:r>
            <w:r w:rsidR="00DA66A7">
              <w:rPr>
                <w:rFonts w:ascii="Calibri Light" w:hAnsi="Calibri Light"/>
                <w:b w:val="0"/>
              </w:rPr>
              <w:t>y/o una ventaja militar concreta, se afectó desproporcionadamente a los bienes atacados.</w:t>
            </w:r>
          </w:p>
          <w:p w14:paraId="018797FE" w14:textId="77777777" w:rsidR="00EC6FD2" w:rsidRDefault="00EC6FD2" w:rsidP="00FF34AE">
            <w:pPr>
              <w:jc w:val="both"/>
              <w:rPr>
                <w:rFonts w:ascii="Calibri Light" w:hAnsi="Calibri Light"/>
                <w:b w:val="0"/>
              </w:rPr>
            </w:pPr>
          </w:p>
          <w:p w14:paraId="20F03B53" w14:textId="2515863B" w:rsidR="00422DE5" w:rsidRDefault="00EC6FD2" w:rsidP="00FF34AE">
            <w:pPr>
              <w:jc w:val="both"/>
              <w:rPr>
                <w:rFonts w:ascii="Calibri Light" w:hAnsi="Calibri Light"/>
                <w:b w:val="0"/>
              </w:rPr>
            </w:pPr>
            <w:r>
              <w:rPr>
                <w:rFonts w:ascii="Calibri Light" w:hAnsi="Calibri Light"/>
                <w:b w:val="0"/>
              </w:rPr>
              <w:t xml:space="preserve">Por último, la CIDH observó que producto de los ataques, las personas que tenían titularidad sobre los bienes afectados, vieron afectados en el tiempo su derecho de uso y goce </w:t>
            </w:r>
            <w:r w:rsidR="00422DE5">
              <w:rPr>
                <w:rFonts w:ascii="Calibri Light" w:hAnsi="Calibri Light"/>
                <w:b w:val="0"/>
              </w:rPr>
              <w:t xml:space="preserve">sobre los </w:t>
            </w:r>
            <w:r w:rsidR="00422DE5">
              <w:rPr>
                <w:rFonts w:ascii="Calibri Light" w:hAnsi="Calibri Light"/>
                <w:b w:val="0"/>
              </w:rPr>
              <w:lastRenderedPageBreak/>
              <w:t>mismos</w:t>
            </w:r>
            <w:r>
              <w:rPr>
                <w:rFonts w:ascii="Calibri Light" w:hAnsi="Calibri Light"/>
                <w:b w:val="0"/>
              </w:rPr>
              <w:t xml:space="preserve">. </w:t>
            </w:r>
            <w:r w:rsidR="00422DE5">
              <w:rPr>
                <w:rFonts w:ascii="Calibri Light" w:hAnsi="Calibri Light"/>
                <w:b w:val="0"/>
              </w:rPr>
              <w:t xml:space="preserve">En el caso de bienes relacionados al oficio de las víctimas, se afectó también su subsistencia. </w:t>
            </w:r>
            <w:r>
              <w:rPr>
                <w:rFonts w:ascii="Calibri Light" w:hAnsi="Calibri Light"/>
                <w:b w:val="0"/>
              </w:rPr>
              <w:t xml:space="preserve"> </w:t>
            </w:r>
            <w:r w:rsidR="00422DE5">
              <w:rPr>
                <w:rFonts w:ascii="Calibri Light" w:hAnsi="Calibri Light"/>
                <w:b w:val="0"/>
              </w:rPr>
              <w:t>Además, debido a la situación de vulnerabilidad en la que se encontraron algunas víctimas por el tiempo en que se quedaron sin vivienda propia y en condiciones precarias, la CIDH determinó que los daños causados a su propiedad tenían un efecto</w:t>
            </w:r>
            <w:r w:rsidR="00DA66A7">
              <w:rPr>
                <w:rFonts w:ascii="Calibri Light" w:hAnsi="Calibri Light"/>
                <w:b w:val="0"/>
              </w:rPr>
              <w:t xml:space="preserve"> </w:t>
            </w:r>
            <w:r w:rsidR="00422DE5">
              <w:rPr>
                <w:rFonts w:ascii="Calibri Light" w:hAnsi="Calibri Light"/>
                <w:b w:val="0"/>
              </w:rPr>
              <w:t>de mayor magnitud. Por todo ello, la CIDH consideró que Estados Unidos había violado el artículo XXIII de la DADDH.</w:t>
            </w:r>
          </w:p>
          <w:p w14:paraId="4AE87195" w14:textId="653574DD" w:rsidR="00F43555" w:rsidRPr="00EC6FD2" w:rsidRDefault="00D43408" w:rsidP="00FF34AE">
            <w:pPr>
              <w:jc w:val="both"/>
              <w:rPr>
                <w:rFonts w:ascii="Calibri Light" w:hAnsi="Calibri Light"/>
                <w:b w:val="0"/>
              </w:rPr>
            </w:pPr>
            <w:r>
              <w:rPr>
                <w:rFonts w:ascii="Calibri Light" w:hAnsi="Calibri Light"/>
                <w:b w:val="0"/>
              </w:rPr>
              <w:t xml:space="preserve"> </w:t>
            </w:r>
          </w:p>
          <w:p w14:paraId="66FAB3CB" w14:textId="692AF949" w:rsidR="00161979" w:rsidRPr="00757148" w:rsidRDefault="00161979" w:rsidP="00FF34AE">
            <w:pPr>
              <w:jc w:val="both"/>
              <w:rPr>
                <w:rFonts w:ascii="Calibri Light" w:hAnsi="Calibri Light"/>
              </w:rPr>
            </w:pPr>
            <w:r w:rsidRPr="00757148">
              <w:rPr>
                <w:rFonts w:ascii="Calibri Light" w:hAnsi="Calibri Light"/>
              </w:rPr>
              <w:t>Derecho a la justicia, verdad y reparación (artículo XVIII de la DADDH)</w:t>
            </w:r>
          </w:p>
          <w:p w14:paraId="6CF7F007" w14:textId="77777777" w:rsidR="00161979" w:rsidRPr="00757148" w:rsidRDefault="00161979" w:rsidP="00FF34AE">
            <w:pPr>
              <w:jc w:val="both"/>
              <w:rPr>
                <w:rFonts w:ascii="Calibri Light" w:hAnsi="Calibri Light"/>
              </w:rPr>
            </w:pPr>
          </w:p>
          <w:p w14:paraId="7A6C7047" w14:textId="77777777" w:rsidR="00422DE5" w:rsidRDefault="00422DE5" w:rsidP="00422DE5">
            <w:pPr>
              <w:pStyle w:val="ListParagraph"/>
              <w:numPr>
                <w:ilvl w:val="0"/>
                <w:numId w:val="14"/>
              </w:numPr>
              <w:jc w:val="both"/>
              <w:rPr>
                <w:rFonts w:ascii="Calibri Light" w:hAnsi="Calibri Light"/>
              </w:rPr>
            </w:pPr>
            <w:r>
              <w:rPr>
                <w:rFonts w:ascii="Calibri Light" w:hAnsi="Calibri Light"/>
              </w:rPr>
              <w:t>Consideraciones generales</w:t>
            </w:r>
          </w:p>
          <w:p w14:paraId="49B1E911" w14:textId="77777777" w:rsidR="00422DE5" w:rsidRDefault="00422DE5" w:rsidP="00422DE5">
            <w:pPr>
              <w:jc w:val="both"/>
              <w:rPr>
                <w:rFonts w:ascii="Calibri Light" w:hAnsi="Calibri Light"/>
              </w:rPr>
            </w:pPr>
          </w:p>
          <w:p w14:paraId="23DA6CA3" w14:textId="79DB854B" w:rsidR="00422DE5" w:rsidRDefault="00C76CDB" w:rsidP="00422DE5">
            <w:pPr>
              <w:jc w:val="both"/>
              <w:rPr>
                <w:rFonts w:ascii="Calibri Light" w:hAnsi="Calibri Light"/>
                <w:b w:val="0"/>
              </w:rPr>
            </w:pPr>
            <w:r>
              <w:rPr>
                <w:rFonts w:ascii="Calibri Light" w:hAnsi="Calibri Light"/>
                <w:b w:val="0"/>
              </w:rPr>
              <w:t xml:space="preserve">La CIDH señaló que en casos como este, para satisfacer el derecho a la justicia, los Estados deben demostrar haber realizado una investigación, inmediata, exhaustiva, seria e imparcial con el objetivo de determinar la verdad, y perseguir, capturar, enjuiciar y de ser el caso, sancionar a los responsables de los hechos. Además, </w:t>
            </w:r>
            <w:r w:rsidR="00380599">
              <w:rPr>
                <w:rFonts w:ascii="Calibri Light" w:hAnsi="Calibri Light"/>
                <w:b w:val="0"/>
              </w:rPr>
              <w:t xml:space="preserve">reconoció que a pesar de no estar recogido en los instrumentos interamericanos, el derecho a la verdad </w:t>
            </w:r>
            <w:r w:rsidR="00BE63DB">
              <w:rPr>
                <w:rFonts w:ascii="Calibri Light" w:hAnsi="Calibri Light"/>
                <w:b w:val="0"/>
              </w:rPr>
              <w:t xml:space="preserve">está </w:t>
            </w:r>
            <w:r w:rsidR="00380599">
              <w:rPr>
                <w:rFonts w:ascii="Calibri Light" w:hAnsi="Calibri Light"/>
                <w:b w:val="0"/>
              </w:rPr>
              <w:t xml:space="preserve">protegido por </w:t>
            </w:r>
            <w:r w:rsidR="00FF22FE">
              <w:rPr>
                <w:rFonts w:ascii="Calibri Light" w:hAnsi="Calibri Light"/>
                <w:b w:val="0"/>
              </w:rPr>
              <w:t>la DADDH</w:t>
            </w:r>
            <w:r w:rsidR="00BE63DB">
              <w:rPr>
                <w:rFonts w:ascii="Calibri Light" w:hAnsi="Calibri Light"/>
                <w:b w:val="0"/>
              </w:rPr>
              <w:t xml:space="preserve"> y</w:t>
            </w:r>
            <w:r w:rsidR="00FF22FE">
              <w:rPr>
                <w:rFonts w:ascii="Calibri Light" w:hAnsi="Calibri Light"/>
                <w:b w:val="0"/>
              </w:rPr>
              <w:t xml:space="preserve"> acarrea la obligación de los Estados de esclarecer, investigar, juzgar y sancionar a los responsables de graves violaciones de derechos humanos para que las víctimas y sus familiares conozcan la verdad sobre estos hechos y la identidad de quienes participaron en ellos. </w:t>
            </w:r>
            <w:r w:rsidR="00FF22FE" w:rsidRPr="00A26CED">
              <w:rPr>
                <w:rFonts w:ascii="Calibri Light" w:hAnsi="Calibri Light"/>
                <w:b w:val="0"/>
              </w:rPr>
              <w:t>Finalmente, sobre la reparación,</w:t>
            </w:r>
            <w:r w:rsidR="00FF22FE">
              <w:rPr>
                <w:rFonts w:ascii="Calibri Light" w:hAnsi="Calibri Light"/>
                <w:b w:val="0"/>
              </w:rPr>
              <w:t xml:space="preserve"> </w:t>
            </w:r>
            <w:r w:rsidR="00BE63DB">
              <w:rPr>
                <w:rFonts w:ascii="Calibri Light" w:hAnsi="Calibri Light"/>
                <w:b w:val="0"/>
              </w:rPr>
              <w:t xml:space="preserve">se refirió a la Resolución No. 60/147 de Naciones Unidas, conforme a la cual las víctimas de violaciones de derechos humanos y del DIH  tienen derecho a: i) acceso igual y efectivo a la justicia, ii) una reparación adecuada, efectiva y rápida, y iii) </w:t>
            </w:r>
            <w:r w:rsidR="00A26CED">
              <w:rPr>
                <w:rFonts w:ascii="Calibri Light" w:hAnsi="Calibri Light"/>
                <w:b w:val="0"/>
              </w:rPr>
              <w:t>acceso a información pertinente sobre las violaciones y los mecanismos de reparación</w:t>
            </w:r>
          </w:p>
          <w:p w14:paraId="66AA1C8E" w14:textId="77777777" w:rsidR="00C76CDB" w:rsidRPr="00C76CDB" w:rsidRDefault="00C76CDB" w:rsidP="00422DE5">
            <w:pPr>
              <w:jc w:val="both"/>
              <w:rPr>
                <w:rFonts w:ascii="Calibri Light" w:hAnsi="Calibri Light"/>
                <w:b w:val="0"/>
              </w:rPr>
            </w:pPr>
          </w:p>
          <w:p w14:paraId="4D8BDAD5" w14:textId="77777777" w:rsidR="00422DE5" w:rsidRDefault="00422DE5" w:rsidP="00422DE5">
            <w:pPr>
              <w:pStyle w:val="ListParagraph"/>
              <w:numPr>
                <w:ilvl w:val="0"/>
                <w:numId w:val="14"/>
              </w:numPr>
              <w:jc w:val="both"/>
              <w:rPr>
                <w:rFonts w:ascii="Calibri Light" w:hAnsi="Calibri Light"/>
              </w:rPr>
            </w:pPr>
            <w:r>
              <w:rPr>
                <w:rFonts w:ascii="Calibri Light" w:hAnsi="Calibri Light"/>
              </w:rPr>
              <w:t>Análisis del caso</w:t>
            </w:r>
          </w:p>
          <w:p w14:paraId="5DC0D4D5" w14:textId="77777777" w:rsidR="00422DE5" w:rsidRDefault="00422DE5" w:rsidP="00422DE5">
            <w:pPr>
              <w:jc w:val="both"/>
              <w:rPr>
                <w:rFonts w:ascii="Calibri Light" w:hAnsi="Calibri Light"/>
              </w:rPr>
            </w:pPr>
          </w:p>
          <w:p w14:paraId="44776D39" w14:textId="59D53B90" w:rsidR="00793D91" w:rsidRDefault="00403A79" w:rsidP="00422DE5">
            <w:pPr>
              <w:jc w:val="both"/>
              <w:rPr>
                <w:rFonts w:ascii="Calibri Light" w:hAnsi="Calibri Light"/>
                <w:b w:val="0"/>
              </w:rPr>
            </w:pPr>
            <w:r w:rsidRPr="00403A79">
              <w:rPr>
                <w:rFonts w:ascii="Calibri Light" w:hAnsi="Calibri Light"/>
                <w:b w:val="0"/>
              </w:rPr>
              <w:t xml:space="preserve">La CIDH dividió su análisis en tres aspectos: i) la falta de una investigación inmediata, seria y efectiva sobre las denuncias de presuntos actos violatorios de derechos humanos y del DIH por agentes del Estado, ii) la inexistencia de mecanismos efectivos para conocer la verdad, y iii) la inexistencia de mecanismos o recursos efectivos para obtener una reparación adecuada. </w:t>
            </w:r>
          </w:p>
          <w:p w14:paraId="645AD701" w14:textId="77777777" w:rsidR="00403A79" w:rsidRDefault="00403A79" w:rsidP="00422DE5">
            <w:pPr>
              <w:jc w:val="both"/>
              <w:rPr>
                <w:rFonts w:ascii="Calibri Light" w:hAnsi="Calibri Light"/>
                <w:b w:val="0"/>
              </w:rPr>
            </w:pPr>
          </w:p>
          <w:p w14:paraId="608606CC" w14:textId="5B9D6097" w:rsidR="00DC19A2" w:rsidRDefault="00403A79" w:rsidP="00422DE5">
            <w:pPr>
              <w:jc w:val="both"/>
              <w:rPr>
                <w:rFonts w:ascii="Calibri Light" w:hAnsi="Calibri Light"/>
                <w:b w:val="0"/>
              </w:rPr>
            </w:pPr>
            <w:r>
              <w:rPr>
                <w:rFonts w:ascii="Calibri Light" w:hAnsi="Calibri Light"/>
                <w:b w:val="0"/>
              </w:rPr>
              <w:t xml:space="preserve">En cuanto a lo primero, </w:t>
            </w:r>
            <w:r w:rsidR="00906ADC">
              <w:rPr>
                <w:rFonts w:ascii="Calibri Light" w:hAnsi="Calibri Light"/>
                <w:b w:val="0"/>
              </w:rPr>
              <w:t xml:space="preserve">consideró que el Estado no había realizado las diligencias esenciales para llevar a cabo una investigación seria y efectiva por las siguientes razones: i) </w:t>
            </w:r>
            <w:r w:rsidR="00713CA2">
              <w:rPr>
                <w:rFonts w:ascii="Calibri Light" w:hAnsi="Calibri Light"/>
                <w:b w:val="0"/>
              </w:rPr>
              <w:t xml:space="preserve">a pesar de que los cuestionamientos sobre las cifras de civiles fallecidos o heridos hacían </w:t>
            </w:r>
            <w:r w:rsidR="00906ADC">
              <w:rPr>
                <w:rFonts w:ascii="Calibri Light" w:hAnsi="Calibri Light"/>
                <w:b w:val="0"/>
              </w:rPr>
              <w:t xml:space="preserve">necesaria una investigación de oficio sobre la compatibilidad de la Operación Justa Causa con los principios del DIH, no </w:t>
            </w:r>
            <w:r w:rsidR="00A26CED">
              <w:rPr>
                <w:rFonts w:ascii="Calibri Light" w:hAnsi="Calibri Light"/>
                <w:b w:val="0"/>
              </w:rPr>
              <w:t>existían</w:t>
            </w:r>
            <w:r w:rsidR="00906ADC">
              <w:rPr>
                <w:rFonts w:ascii="Calibri Light" w:hAnsi="Calibri Light"/>
                <w:b w:val="0"/>
              </w:rPr>
              <w:t xml:space="preserve"> indicios que </w:t>
            </w:r>
            <w:r w:rsidR="00A26CED">
              <w:rPr>
                <w:rFonts w:ascii="Calibri Light" w:hAnsi="Calibri Light"/>
                <w:b w:val="0"/>
              </w:rPr>
              <w:t xml:space="preserve">indicaran que </w:t>
            </w:r>
            <w:r w:rsidR="00906ADC">
              <w:rPr>
                <w:rFonts w:ascii="Calibri Light" w:hAnsi="Calibri Light"/>
                <w:b w:val="0"/>
              </w:rPr>
              <w:t xml:space="preserve">el Estado </w:t>
            </w:r>
            <w:r w:rsidR="00A26CED">
              <w:rPr>
                <w:rFonts w:ascii="Calibri Light" w:hAnsi="Calibri Light"/>
                <w:b w:val="0"/>
              </w:rPr>
              <w:t>emprendió</w:t>
            </w:r>
            <w:r w:rsidR="00906ADC">
              <w:rPr>
                <w:rFonts w:ascii="Calibri Light" w:hAnsi="Calibri Light"/>
                <w:b w:val="0"/>
              </w:rPr>
              <w:t xml:space="preserve"> acciones concretas y suficientes para llevar a cabo una investigación; ii) el Estado tampoco </w:t>
            </w:r>
            <w:r w:rsidR="00A26CED">
              <w:rPr>
                <w:rFonts w:ascii="Calibri Light" w:hAnsi="Calibri Light"/>
                <w:b w:val="0"/>
              </w:rPr>
              <w:t>tom</w:t>
            </w:r>
            <w:r w:rsidR="00906ADC">
              <w:rPr>
                <w:rFonts w:ascii="Calibri Light" w:hAnsi="Calibri Light"/>
                <w:b w:val="0"/>
              </w:rPr>
              <w:t xml:space="preserve">ó acciones para investigar las denuncias individualizadas; iii) hasta el momento, no es claro el rol que tuvo respecto de fosas comunes, </w:t>
            </w:r>
            <w:r w:rsidR="00A26CED">
              <w:rPr>
                <w:rFonts w:ascii="Calibri Light" w:hAnsi="Calibri Light"/>
                <w:b w:val="0"/>
              </w:rPr>
              <w:t xml:space="preserve">las cuales </w:t>
            </w:r>
            <w:r w:rsidR="00906ADC">
              <w:rPr>
                <w:rFonts w:ascii="Calibri Light" w:hAnsi="Calibri Light"/>
                <w:b w:val="0"/>
              </w:rPr>
              <w:t xml:space="preserve">dificultan el establecimiento de violaciones a los derechos humanos y al DIH, y la identificación de las víctimas; y iv) </w:t>
            </w:r>
            <w:r w:rsidR="00DC19A2">
              <w:rPr>
                <w:rFonts w:ascii="Calibri Light" w:hAnsi="Calibri Light"/>
                <w:b w:val="0"/>
              </w:rPr>
              <w:t>el Estado tomó demolió las ruinas de El Chorrillo, sin adoptar medidas de investigación y documentación que permitieran posteriormente esclarecer los hechos que generaron el incendio que afectó la zona.</w:t>
            </w:r>
          </w:p>
          <w:p w14:paraId="23A9B81F" w14:textId="77777777" w:rsidR="00DC19A2" w:rsidRDefault="00DC19A2" w:rsidP="00422DE5">
            <w:pPr>
              <w:jc w:val="both"/>
              <w:rPr>
                <w:rFonts w:ascii="Calibri Light" w:hAnsi="Calibri Light"/>
                <w:b w:val="0"/>
              </w:rPr>
            </w:pPr>
          </w:p>
          <w:p w14:paraId="0BF73D73" w14:textId="6DF7B0A2" w:rsidR="00403A79" w:rsidRDefault="00DC19A2" w:rsidP="00422DE5">
            <w:pPr>
              <w:jc w:val="both"/>
              <w:rPr>
                <w:rFonts w:ascii="Calibri Light" w:hAnsi="Calibri Light"/>
                <w:b w:val="0"/>
              </w:rPr>
            </w:pPr>
            <w:r>
              <w:rPr>
                <w:rFonts w:ascii="Calibri Light" w:hAnsi="Calibri Light"/>
                <w:b w:val="0"/>
              </w:rPr>
              <w:t>Respecto del segundo punto, la CIDH observó que el Estado no adoptó las medidas legales y administrativas necesarias para recibir denuncias sobre posibles violaciones a derechos humanos, y las presuntas víctimas no tuvieron acceso a las investigaciones y procesos judiciales que el Estado señaló haber realizado. Asimismo, consideró que la intención de Estados Unidos de colaborar con la Comisión 20 de diciembre de 1989</w:t>
            </w:r>
            <w:r w:rsidR="00647093">
              <w:rPr>
                <w:rFonts w:ascii="Calibri Light" w:hAnsi="Calibri Light"/>
                <w:b w:val="0"/>
              </w:rPr>
              <w:t>, creada por Panamá en 2016 para esclarecer la verdad,</w:t>
            </w:r>
            <w:r>
              <w:rPr>
                <w:rFonts w:ascii="Calibri Light" w:hAnsi="Calibri Light"/>
                <w:b w:val="0"/>
              </w:rPr>
              <w:t xml:space="preserve"> no podía considerarse equivalente al cumplimiento de sus obligaciones. </w:t>
            </w:r>
          </w:p>
          <w:p w14:paraId="51F60C58" w14:textId="77777777" w:rsidR="00DC19A2" w:rsidRDefault="00DC19A2" w:rsidP="00422DE5">
            <w:pPr>
              <w:jc w:val="both"/>
              <w:rPr>
                <w:rFonts w:ascii="Calibri Light" w:hAnsi="Calibri Light"/>
                <w:b w:val="0"/>
              </w:rPr>
            </w:pPr>
          </w:p>
          <w:p w14:paraId="67447F82" w14:textId="3FE30DD5" w:rsidR="00DC19A2" w:rsidRPr="00403A79" w:rsidRDefault="00D50407" w:rsidP="00422DE5">
            <w:pPr>
              <w:jc w:val="both"/>
              <w:rPr>
                <w:rFonts w:ascii="Calibri Light" w:hAnsi="Calibri Light"/>
                <w:b w:val="0"/>
              </w:rPr>
            </w:pPr>
            <w:r>
              <w:rPr>
                <w:rFonts w:ascii="Calibri Light" w:hAnsi="Calibri Light"/>
                <w:b w:val="0"/>
              </w:rPr>
              <w:t>E</w:t>
            </w:r>
            <w:r w:rsidR="00DC19A2">
              <w:rPr>
                <w:rFonts w:ascii="Calibri Light" w:hAnsi="Calibri Light"/>
                <w:b w:val="0"/>
              </w:rPr>
              <w:t xml:space="preserve">n relación al tercer aspecto, </w:t>
            </w:r>
            <w:r>
              <w:rPr>
                <w:rFonts w:ascii="Calibri Light" w:hAnsi="Calibri Light"/>
                <w:b w:val="0"/>
              </w:rPr>
              <w:t>reiteró como señaló en su Informe de Admisibilidad que las estructuras establecidas por el Comando Sur para la obtención de indemnizaciones no era</w:t>
            </w:r>
            <w:r w:rsidR="00A26CED">
              <w:rPr>
                <w:rFonts w:ascii="Calibri Light" w:hAnsi="Calibri Light"/>
                <w:b w:val="0"/>
              </w:rPr>
              <w:t>n</w:t>
            </w:r>
            <w:r>
              <w:rPr>
                <w:rFonts w:ascii="Calibri Light" w:hAnsi="Calibri Light"/>
                <w:b w:val="0"/>
              </w:rPr>
              <w:t xml:space="preserve"> un recurso adecuado y efectivo. Asimismo, observó que el Estado mantenía su posición respecto a </w:t>
            </w:r>
            <w:r>
              <w:rPr>
                <w:rFonts w:ascii="Calibri Light" w:hAnsi="Calibri Light"/>
                <w:b w:val="0"/>
              </w:rPr>
              <w:lastRenderedPageBreak/>
              <w:t xml:space="preserve">la inexistencia de una obligación de reparar en contextos de conflicto armado. Por último, indicó que los programas de asistencia económica no eran una reparación suficiente y adecuada, al no responder a los daños específicos sufridos por cada víctima. En base a todo ello, concluyó que Estados Unidos había violado el derecho a la justicia, verdad y reparación en perjuicio de las víctimas y, en el caso de aquellas que perdieron la vida, de sus familiares. </w:t>
            </w:r>
          </w:p>
          <w:p w14:paraId="1ADE568F" w14:textId="77777777" w:rsidR="00403A79" w:rsidRDefault="00403A79" w:rsidP="00422DE5">
            <w:pPr>
              <w:jc w:val="both"/>
              <w:rPr>
                <w:rFonts w:ascii="Calibri Light" w:hAnsi="Calibri Light"/>
              </w:rPr>
            </w:pPr>
          </w:p>
          <w:p w14:paraId="691CBDA6" w14:textId="320038B2" w:rsidR="00161979" w:rsidRPr="00422DE5" w:rsidRDefault="00161979" w:rsidP="00422DE5">
            <w:pPr>
              <w:jc w:val="both"/>
              <w:rPr>
                <w:rFonts w:ascii="Calibri Light" w:hAnsi="Calibri Light"/>
              </w:rPr>
            </w:pPr>
            <w:r w:rsidRPr="00422DE5">
              <w:rPr>
                <w:rFonts w:ascii="Calibri Light" w:hAnsi="Calibri Light"/>
              </w:rPr>
              <w:t>Derecho a la integridad personal (artículo I de la DADDH)</w:t>
            </w:r>
          </w:p>
          <w:p w14:paraId="34A60BDC" w14:textId="77777777" w:rsidR="001A2DF7" w:rsidRDefault="001A2DF7" w:rsidP="00E12796">
            <w:pPr>
              <w:jc w:val="both"/>
              <w:rPr>
                <w:rFonts w:ascii="Calibri Light" w:hAnsi="Calibri Light"/>
                <w:b w:val="0"/>
              </w:rPr>
            </w:pPr>
          </w:p>
          <w:p w14:paraId="20068716" w14:textId="51BAEA3D" w:rsidR="00793D91" w:rsidRDefault="00DA6083" w:rsidP="00E12796">
            <w:pPr>
              <w:jc w:val="both"/>
              <w:rPr>
                <w:rFonts w:ascii="Calibri Light" w:hAnsi="Calibri Light"/>
                <w:b w:val="0"/>
              </w:rPr>
            </w:pPr>
            <w:r w:rsidRPr="00A26CED">
              <w:rPr>
                <w:rFonts w:ascii="Calibri Light" w:hAnsi="Calibri Light"/>
                <w:b w:val="0"/>
              </w:rPr>
              <w:t>La CIDH observó que el diseño y ejecución de la invasión militar y los días posteriores provocaron un alto nivel de incertidumbre. En ese sentido, 104 personas denunciaron violaciones a su integridad psicológica</w:t>
            </w:r>
            <w:r w:rsidR="00645001">
              <w:rPr>
                <w:rFonts w:ascii="Calibri Light" w:hAnsi="Calibri Light"/>
                <w:b w:val="0"/>
              </w:rPr>
              <w:t xml:space="preserve"> por hechos similares a los analizados en este informe</w:t>
            </w:r>
            <w:r w:rsidRPr="00A26CED">
              <w:rPr>
                <w:rFonts w:ascii="Calibri Light" w:hAnsi="Calibri Light"/>
                <w:b w:val="0"/>
              </w:rPr>
              <w:t>. Como consecuencia, declaró que se había violado en perjuicio suyo el artículo I de la DADDH.</w:t>
            </w:r>
            <w:r>
              <w:rPr>
                <w:rFonts w:ascii="Calibri Light" w:hAnsi="Calibri Light"/>
                <w:b w:val="0"/>
              </w:rPr>
              <w:t xml:space="preserve"> </w:t>
            </w:r>
          </w:p>
          <w:p w14:paraId="5AA471B6" w14:textId="071E28B2" w:rsidR="00D50407" w:rsidRPr="00757148" w:rsidRDefault="00D50407" w:rsidP="00E12796">
            <w:pPr>
              <w:jc w:val="both"/>
              <w:rPr>
                <w:rFonts w:ascii="Calibri Light" w:hAnsi="Calibri Light"/>
                <w:b w:val="0"/>
              </w:rPr>
            </w:pPr>
          </w:p>
        </w:tc>
      </w:tr>
      <w:tr w:rsidR="004C2E50" w:rsidRPr="00757148" w14:paraId="0FBFBB6F" w14:textId="77777777" w:rsidTr="00A94EE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4C2E50" w:rsidRPr="00757148" w:rsidRDefault="004C2E50" w:rsidP="00AC6F31">
            <w:pPr>
              <w:pStyle w:val="ListParagraph"/>
              <w:rPr>
                <w:rFonts w:ascii="Calibri Light" w:hAnsi="Calibri Light"/>
              </w:rPr>
            </w:pPr>
          </w:p>
          <w:p w14:paraId="5CF7BA21" w14:textId="072CDB28" w:rsidR="004C2E50" w:rsidRPr="00757148" w:rsidRDefault="004C2E50" w:rsidP="0029671B">
            <w:pPr>
              <w:pStyle w:val="ListParagraph"/>
              <w:numPr>
                <w:ilvl w:val="0"/>
                <w:numId w:val="2"/>
              </w:numPr>
              <w:jc w:val="center"/>
              <w:rPr>
                <w:rFonts w:ascii="Calibri Light" w:hAnsi="Calibri Light"/>
              </w:rPr>
            </w:pPr>
            <w:r w:rsidRPr="00757148">
              <w:rPr>
                <w:rFonts w:ascii="Calibri Light" w:hAnsi="Calibri Light"/>
              </w:rPr>
              <w:t>Recomendaciones</w:t>
            </w:r>
            <w:r w:rsidR="00C6011B" w:rsidRPr="00757148">
              <w:rPr>
                <w:rFonts w:ascii="Calibri Light" w:hAnsi="Calibri Light"/>
              </w:rPr>
              <w:t xml:space="preserve"> de la CIDH al Estado</w:t>
            </w:r>
          </w:p>
          <w:p w14:paraId="510D8BF9" w14:textId="77777777" w:rsidR="004C2E50" w:rsidRPr="00757148" w:rsidRDefault="004C2E50" w:rsidP="00AC6F31">
            <w:pPr>
              <w:pStyle w:val="ListParagraph"/>
              <w:rPr>
                <w:rFonts w:ascii="Calibri Light" w:hAnsi="Calibri Light"/>
              </w:rPr>
            </w:pPr>
          </w:p>
        </w:tc>
      </w:tr>
      <w:tr w:rsidR="004C2E50" w:rsidRPr="00757148" w14:paraId="3D91AF16" w14:textId="77777777" w:rsidTr="00A94EE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F086D22" w14:textId="77777777" w:rsidR="004C2E50" w:rsidRPr="00757148" w:rsidRDefault="004C2E50" w:rsidP="004B1311">
            <w:pPr>
              <w:pStyle w:val="ListParagraph"/>
              <w:ind w:left="0"/>
              <w:jc w:val="both"/>
              <w:rPr>
                <w:rFonts w:ascii="Calibri Light" w:hAnsi="Calibri Light" w:cs="Calibri Light"/>
                <w:b w:val="0"/>
              </w:rPr>
            </w:pPr>
          </w:p>
          <w:p w14:paraId="5A16ED7E" w14:textId="77777777" w:rsidR="00185B82" w:rsidRPr="00757148" w:rsidRDefault="00161979" w:rsidP="00161979">
            <w:pPr>
              <w:pStyle w:val="ListParagraph"/>
              <w:numPr>
                <w:ilvl w:val="0"/>
                <w:numId w:val="12"/>
              </w:numPr>
              <w:ind w:left="360"/>
              <w:jc w:val="both"/>
              <w:rPr>
                <w:rFonts w:ascii="Calibri Light" w:hAnsi="Calibri Light"/>
                <w:b w:val="0"/>
              </w:rPr>
            </w:pPr>
            <w:r w:rsidRPr="00757148">
              <w:rPr>
                <w:rFonts w:ascii="Calibri Light" w:hAnsi="Calibri Light"/>
                <w:b w:val="0"/>
              </w:rPr>
              <w:t xml:space="preserve">Reparar integralmente las violaciones de derechos humanos establecidas en el presente informe tanto en el aspecto material como inmaterial. El Estado deberá adoptar las medidas de compensación económica y satisfacción. </w:t>
            </w:r>
          </w:p>
          <w:p w14:paraId="2A4BFB58" w14:textId="77777777" w:rsidR="00185B82" w:rsidRPr="00757148" w:rsidRDefault="00185B82" w:rsidP="00185B82">
            <w:pPr>
              <w:pStyle w:val="ListParagraph"/>
              <w:ind w:left="360"/>
              <w:jc w:val="both"/>
              <w:rPr>
                <w:rFonts w:ascii="Calibri Light" w:hAnsi="Calibri Light"/>
                <w:b w:val="0"/>
              </w:rPr>
            </w:pPr>
          </w:p>
          <w:p w14:paraId="0ED29C90" w14:textId="30DB036E" w:rsidR="00161979" w:rsidRPr="00757148" w:rsidRDefault="00161979" w:rsidP="00185B82">
            <w:pPr>
              <w:pStyle w:val="ListParagraph"/>
              <w:ind w:left="360"/>
              <w:jc w:val="both"/>
              <w:rPr>
                <w:rFonts w:ascii="Calibri Light" w:hAnsi="Calibri Light"/>
                <w:b w:val="0"/>
              </w:rPr>
            </w:pPr>
            <w:r w:rsidRPr="00757148">
              <w:rPr>
                <w:rFonts w:ascii="Calibri Light" w:hAnsi="Calibri Light"/>
                <w:b w:val="0"/>
              </w:rPr>
              <w:t>La C</w:t>
            </w:r>
            <w:r w:rsidR="00185B82" w:rsidRPr="00757148">
              <w:rPr>
                <w:rFonts w:ascii="Calibri Light" w:hAnsi="Calibri Light"/>
                <w:b w:val="0"/>
              </w:rPr>
              <w:t>IDH</w:t>
            </w:r>
            <w:r w:rsidRPr="00757148">
              <w:rPr>
                <w:rFonts w:ascii="Calibri Light" w:hAnsi="Calibri Light"/>
                <w:b w:val="0"/>
              </w:rPr>
              <w:t xml:space="preserve"> considera que a efectos de cumplir con esta recomendación el Estado debe crear, a la brevedad, un mecanismo especial, por iniciativa propia e independiente de las iniciativas que pudiese tomar el Estado panameño, a fin de que se materialicen las reparaciones aplicables a cada grupo de víctimas, considerando la naturaleza de las violaciones declaradas. Tomando en cuenta que las víctimas no se encuentran en la jurisdicción territorial de los Estados Unidos, la </w:t>
            </w:r>
            <w:r w:rsidR="00185B82" w:rsidRPr="00757148">
              <w:rPr>
                <w:rFonts w:ascii="Calibri Light" w:hAnsi="Calibri Light"/>
                <w:b w:val="0"/>
              </w:rPr>
              <w:t>CIDH</w:t>
            </w:r>
            <w:r w:rsidRPr="00757148">
              <w:rPr>
                <w:rFonts w:ascii="Calibri Light" w:hAnsi="Calibri Light"/>
                <w:b w:val="0"/>
              </w:rPr>
              <w:t xml:space="preserve">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 </w:t>
            </w:r>
          </w:p>
          <w:p w14:paraId="1288F45C" w14:textId="77777777" w:rsidR="00161979" w:rsidRPr="00757148" w:rsidRDefault="00161979" w:rsidP="00161979">
            <w:pPr>
              <w:jc w:val="both"/>
              <w:rPr>
                <w:rFonts w:ascii="Calibri Light" w:hAnsi="Calibri Light"/>
                <w:b w:val="0"/>
              </w:rPr>
            </w:pPr>
          </w:p>
          <w:p w14:paraId="7713D94C" w14:textId="77777777" w:rsidR="00161979" w:rsidRPr="00757148" w:rsidRDefault="00161979" w:rsidP="00161979">
            <w:pPr>
              <w:pStyle w:val="ListParagraph"/>
              <w:numPr>
                <w:ilvl w:val="0"/>
                <w:numId w:val="12"/>
              </w:numPr>
              <w:ind w:left="360"/>
              <w:jc w:val="both"/>
              <w:rPr>
                <w:rFonts w:ascii="Calibri Light" w:hAnsi="Calibri Light"/>
                <w:b w:val="0"/>
              </w:rPr>
            </w:pPr>
            <w:r w:rsidRPr="00757148">
              <w:rPr>
                <w:rFonts w:ascii="Calibri Light" w:hAnsi="Calibri Light"/>
                <w:b w:val="0"/>
              </w:rPr>
              <w:t xml:space="preserve">Disponer las medidas de atención en salud física y mental necesarias para la rehabilitación de las víctimas que así lo requieran, de ser su voluntad. Tomando en cuenta que las víctimas no se encuentran bajo la jurisdicción territorial de los Estados Unidos, corresponde pagarles un monto específico para cubrir los servicios médicos que deban sufragar en el país donde se encuentran. </w:t>
            </w:r>
          </w:p>
          <w:p w14:paraId="1E171A3A" w14:textId="77777777" w:rsidR="00161979" w:rsidRPr="00757148" w:rsidRDefault="00161979" w:rsidP="00161979">
            <w:pPr>
              <w:jc w:val="both"/>
              <w:rPr>
                <w:rFonts w:ascii="Calibri Light" w:hAnsi="Calibri Light"/>
                <w:b w:val="0"/>
              </w:rPr>
            </w:pPr>
          </w:p>
          <w:p w14:paraId="7755E035" w14:textId="77777777" w:rsidR="00CD7158" w:rsidRPr="00757148" w:rsidRDefault="00161979" w:rsidP="00161979">
            <w:pPr>
              <w:pStyle w:val="ListParagraph"/>
              <w:numPr>
                <w:ilvl w:val="0"/>
                <w:numId w:val="12"/>
              </w:numPr>
              <w:ind w:left="360"/>
              <w:jc w:val="both"/>
              <w:rPr>
                <w:rFonts w:ascii="Calibri Light" w:hAnsi="Calibri Light"/>
                <w:b w:val="0"/>
              </w:rPr>
            </w:pPr>
            <w:r w:rsidRPr="00757148">
              <w:rPr>
                <w:rFonts w:ascii="Calibri Light" w:hAnsi="Calibri Light"/>
                <w:b w:val="0"/>
              </w:rPr>
              <w:t>Realizar una investigación de manera diligente, efectiva y dentro de un plazo razonable con el objeto de esclarecer plenamente los hechos en forma completa, identificar todas las posibles responsabilidades e imponer las formas correspondientes de sanción respecto de las violaciones de derechos humanos declaradas en el presente informe.</w:t>
            </w:r>
          </w:p>
          <w:p w14:paraId="49863AFC" w14:textId="4F8435F7" w:rsidR="00161979" w:rsidRPr="00757148" w:rsidRDefault="00161979" w:rsidP="00161979">
            <w:pPr>
              <w:jc w:val="both"/>
              <w:rPr>
                <w:rFonts w:ascii="Calibri Light" w:hAnsi="Calibri Light"/>
              </w:rPr>
            </w:pPr>
          </w:p>
        </w:tc>
      </w:tr>
      <w:tr w:rsidR="004C2E50" w:rsidRPr="00757148" w14:paraId="0B7CC98E" w14:textId="77777777" w:rsidTr="00A94EE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4C2E50" w:rsidRPr="00757148" w:rsidRDefault="004C2E50" w:rsidP="00F464EC">
            <w:pPr>
              <w:pStyle w:val="ListParagraph"/>
              <w:spacing w:after="200" w:line="276" w:lineRule="auto"/>
              <w:rPr>
                <w:rFonts w:ascii="Calibri Light" w:hAnsi="Calibri Light"/>
              </w:rPr>
            </w:pPr>
          </w:p>
          <w:p w14:paraId="7B045F14" w14:textId="2270E615" w:rsidR="004C2E50" w:rsidRPr="00757148" w:rsidRDefault="004C2E50" w:rsidP="00F464EC">
            <w:pPr>
              <w:pStyle w:val="ListParagraph"/>
              <w:numPr>
                <w:ilvl w:val="0"/>
                <w:numId w:val="2"/>
              </w:numPr>
              <w:spacing w:after="200" w:line="276" w:lineRule="auto"/>
              <w:jc w:val="center"/>
              <w:rPr>
                <w:rFonts w:ascii="Calibri Light" w:hAnsi="Calibri Light"/>
              </w:rPr>
            </w:pPr>
            <w:r w:rsidRPr="00757148">
              <w:rPr>
                <w:rFonts w:ascii="Calibri Light" w:hAnsi="Calibri Light"/>
              </w:rPr>
              <w:t>Análisis de cumplimiento de las recomendaciones</w:t>
            </w:r>
          </w:p>
          <w:p w14:paraId="3C93C1C0" w14:textId="77777777" w:rsidR="004C2E50" w:rsidRPr="00757148" w:rsidRDefault="004C2E50" w:rsidP="00F464EC">
            <w:pPr>
              <w:pStyle w:val="ListParagraph"/>
              <w:ind w:left="0"/>
              <w:jc w:val="center"/>
              <w:rPr>
                <w:rFonts w:ascii="Calibri Light" w:hAnsi="Calibri Light"/>
                <w:b w:val="0"/>
              </w:rPr>
            </w:pPr>
          </w:p>
        </w:tc>
      </w:tr>
      <w:tr w:rsidR="004C2E50" w:rsidRPr="00757148" w14:paraId="41FA15A1" w14:textId="77777777" w:rsidTr="00A26CE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F3EA985" w14:textId="7C2E9760" w:rsidR="004C2E50" w:rsidRPr="00757148" w:rsidRDefault="004C2E50" w:rsidP="00A26CED">
            <w:pPr>
              <w:pStyle w:val="ListParagraph"/>
              <w:ind w:left="0"/>
              <w:jc w:val="center"/>
              <w:rPr>
                <w:rFonts w:ascii="Calibri Light" w:hAnsi="Calibri Light"/>
                <w:b w:val="0"/>
              </w:rPr>
            </w:pPr>
            <w:r w:rsidRPr="00757148">
              <w:rPr>
                <w:rFonts w:ascii="Calibri Light" w:hAnsi="Calibri Light"/>
                <w:b w:val="0"/>
              </w:rPr>
              <w:t>-</w:t>
            </w:r>
          </w:p>
        </w:tc>
      </w:tr>
    </w:tbl>
    <w:p w14:paraId="23A9A3C3" w14:textId="77777777" w:rsidR="00714E42" w:rsidRPr="00757148" w:rsidRDefault="00714E42" w:rsidP="00A65231">
      <w:pPr>
        <w:rPr>
          <w:rFonts w:ascii="Calibri Light" w:hAnsi="Calibri Light"/>
        </w:rPr>
      </w:pPr>
    </w:p>
    <w:sectPr w:rsidR="00714E42" w:rsidRPr="00757148"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A15C6" w14:textId="77777777" w:rsidR="00396131" w:rsidRDefault="00396131" w:rsidP="00A65231">
      <w:pPr>
        <w:spacing w:after="0" w:line="240" w:lineRule="auto"/>
      </w:pPr>
      <w:r>
        <w:separator/>
      </w:r>
    </w:p>
  </w:endnote>
  <w:endnote w:type="continuationSeparator" w:id="0">
    <w:p w14:paraId="065E0202" w14:textId="77777777" w:rsidR="00396131" w:rsidRDefault="00396131"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0CCE046E" w:rsidR="00D6000C" w:rsidRDefault="00D6000C">
        <w:pPr>
          <w:pStyle w:val="Footer"/>
          <w:jc w:val="right"/>
        </w:pPr>
        <w:r>
          <w:fldChar w:fldCharType="begin"/>
        </w:r>
        <w:r>
          <w:instrText>PAGE   \* MERGEFORMAT</w:instrText>
        </w:r>
        <w:r>
          <w:fldChar w:fldCharType="separate"/>
        </w:r>
        <w:r w:rsidR="001E2CF3" w:rsidRPr="001E2CF3">
          <w:rPr>
            <w:noProof/>
            <w:lang w:val="es-ES"/>
          </w:rPr>
          <w:t>8</w:t>
        </w:r>
        <w:r>
          <w:fldChar w:fldCharType="end"/>
        </w:r>
      </w:p>
    </w:sdtContent>
  </w:sdt>
  <w:p w14:paraId="6353BB13" w14:textId="77777777" w:rsidR="00D6000C" w:rsidRDefault="00D6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590D" w14:textId="77777777" w:rsidR="00396131" w:rsidRDefault="00396131" w:rsidP="00A65231">
      <w:pPr>
        <w:spacing w:after="0" w:line="240" w:lineRule="auto"/>
      </w:pPr>
      <w:r>
        <w:separator/>
      </w:r>
    </w:p>
  </w:footnote>
  <w:footnote w:type="continuationSeparator" w:id="0">
    <w:p w14:paraId="790342E9" w14:textId="77777777" w:rsidR="00396131" w:rsidRDefault="00396131"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625"/>
    <w:multiLevelType w:val="hybridMultilevel"/>
    <w:tmpl w:val="2EE42ED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FA91BE2"/>
    <w:multiLevelType w:val="hybridMultilevel"/>
    <w:tmpl w:val="4FE6B39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3486478E"/>
    <w:multiLevelType w:val="hybridMultilevel"/>
    <w:tmpl w:val="92A42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7"/>
  </w:num>
  <w:num w:numId="6">
    <w:abstractNumId w:val="12"/>
  </w:num>
  <w:num w:numId="7">
    <w:abstractNumId w:val="9"/>
  </w:num>
  <w:num w:numId="8">
    <w:abstractNumId w:val="13"/>
  </w:num>
  <w:num w:numId="9">
    <w:abstractNumId w:val="2"/>
  </w:num>
  <w:num w:numId="10">
    <w:abstractNumId w:val="8"/>
  </w:num>
  <w:num w:numId="11">
    <w:abstractNumId w:val="11"/>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128C"/>
    <w:rsid w:val="000132F1"/>
    <w:rsid w:val="00026219"/>
    <w:rsid w:val="00027257"/>
    <w:rsid w:val="00041347"/>
    <w:rsid w:val="0004567D"/>
    <w:rsid w:val="00050512"/>
    <w:rsid w:val="00052375"/>
    <w:rsid w:val="00061E2D"/>
    <w:rsid w:val="0008203A"/>
    <w:rsid w:val="00091F39"/>
    <w:rsid w:val="000A0C5C"/>
    <w:rsid w:val="000A4896"/>
    <w:rsid w:val="000A5F9D"/>
    <w:rsid w:val="000C2623"/>
    <w:rsid w:val="000C2ED1"/>
    <w:rsid w:val="000C5A72"/>
    <w:rsid w:val="000D3CF2"/>
    <w:rsid w:val="000E62FB"/>
    <w:rsid w:val="000F12DB"/>
    <w:rsid w:val="000F2C70"/>
    <w:rsid w:val="000F3AF6"/>
    <w:rsid w:val="001026DE"/>
    <w:rsid w:val="00103C4C"/>
    <w:rsid w:val="001077C9"/>
    <w:rsid w:val="00111A5A"/>
    <w:rsid w:val="00117B5F"/>
    <w:rsid w:val="00122C72"/>
    <w:rsid w:val="00142528"/>
    <w:rsid w:val="0014285D"/>
    <w:rsid w:val="00142A41"/>
    <w:rsid w:val="00152901"/>
    <w:rsid w:val="00154484"/>
    <w:rsid w:val="00161979"/>
    <w:rsid w:val="001754B7"/>
    <w:rsid w:val="00185B82"/>
    <w:rsid w:val="001A14F7"/>
    <w:rsid w:val="001A2DF7"/>
    <w:rsid w:val="001C28EC"/>
    <w:rsid w:val="001C5100"/>
    <w:rsid w:val="001C5568"/>
    <w:rsid w:val="001C5F86"/>
    <w:rsid w:val="001D066F"/>
    <w:rsid w:val="001E06D4"/>
    <w:rsid w:val="001E2CF3"/>
    <w:rsid w:val="00201971"/>
    <w:rsid w:val="00212834"/>
    <w:rsid w:val="00212F62"/>
    <w:rsid w:val="00213757"/>
    <w:rsid w:val="00216A2A"/>
    <w:rsid w:val="002179D0"/>
    <w:rsid w:val="00220B75"/>
    <w:rsid w:val="0022426F"/>
    <w:rsid w:val="002262B7"/>
    <w:rsid w:val="00226BE9"/>
    <w:rsid w:val="00237E09"/>
    <w:rsid w:val="00243C42"/>
    <w:rsid w:val="00252E50"/>
    <w:rsid w:val="00257F7B"/>
    <w:rsid w:val="00262D92"/>
    <w:rsid w:val="002720DA"/>
    <w:rsid w:val="00273EA6"/>
    <w:rsid w:val="00280835"/>
    <w:rsid w:val="00280D33"/>
    <w:rsid w:val="00287BBC"/>
    <w:rsid w:val="0029049D"/>
    <w:rsid w:val="002938AF"/>
    <w:rsid w:val="00295E72"/>
    <w:rsid w:val="0029671B"/>
    <w:rsid w:val="002A0D60"/>
    <w:rsid w:val="002A3477"/>
    <w:rsid w:val="002B5637"/>
    <w:rsid w:val="002C4CED"/>
    <w:rsid w:val="002C67E8"/>
    <w:rsid w:val="002D1D2F"/>
    <w:rsid w:val="002D4A90"/>
    <w:rsid w:val="002D5158"/>
    <w:rsid w:val="002D7F8F"/>
    <w:rsid w:val="002E18A5"/>
    <w:rsid w:val="002E4FA0"/>
    <w:rsid w:val="002F4E35"/>
    <w:rsid w:val="002F70E3"/>
    <w:rsid w:val="002F7136"/>
    <w:rsid w:val="00310250"/>
    <w:rsid w:val="00310836"/>
    <w:rsid w:val="003111DB"/>
    <w:rsid w:val="00317EE5"/>
    <w:rsid w:val="00332FF0"/>
    <w:rsid w:val="00346D6A"/>
    <w:rsid w:val="003501C8"/>
    <w:rsid w:val="003529D0"/>
    <w:rsid w:val="0035567D"/>
    <w:rsid w:val="003570F3"/>
    <w:rsid w:val="00365121"/>
    <w:rsid w:val="00373E2F"/>
    <w:rsid w:val="003748E6"/>
    <w:rsid w:val="00380599"/>
    <w:rsid w:val="00382199"/>
    <w:rsid w:val="00385C92"/>
    <w:rsid w:val="003920AF"/>
    <w:rsid w:val="00393029"/>
    <w:rsid w:val="00394D84"/>
    <w:rsid w:val="00396131"/>
    <w:rsid w:val="003A0CC7"/>
    <w:rsid w:val="003A2977"/>
    <w:rsid w:val="003B0A2C"/>
    <w:rsid w:val="003C69B7"/>
    <w:rsid w:val="003C7680"/>
    <w:rsid w:val="003E2B29"/>
    <w:rsid w:val="003E6AB8"/>
    <w:rsid w:val="003E795C"/>
    <w:rsid w:val="003F0429"/>
    <w:rsid w:val="003F7C3E"/>
    <w:rsid w:val="00403A79"/>
    <w:rsid w:val="00411A74"/>
    <w:rsid w:val="00412DD0"/>
    <w:rsid w:val="00414F2C"/>
    <w:rsid w:val="00416AE6"/>
    <w:rsid w:val="0041739A"/>
    <w:rsid w:val="00421D6C"/>
    <w:rsid w:val="00422DE5"/>
    <w:rsid w:val="00423B23"/>
    <w:rsid w:val="0042581C"/>
    <w:rsid w:val="00433794"/>
    <w:rsid w:val="004367E1"/>
    <w:rsid w:val="00441ADC"/>
    <w:rsid w:val="00443B9A"/>
    <w:rsid w:val="00450046"/>
    <w:rsid w:val="00451809"/>
    <w:rsid w:val="00452AA6"/>
    <w:rsid w:val="004533E5"/>
    <w:rsid w:val="00456CB2"/>
    <w:rsid w:val="00462FF6"/>
    <w:rsid w:val="00464CAC"/>
    <w:rsid w:val="0047572E"/>
    <w:rsid w:val="00481C2F"/>
    <w:rsid w:val="004858A8"/>
    <w:rsid w:val="004861D8"/>
    <w:rsid w:val="0049298F"/>
    <w:rsid w:val="00494031"/>
    <w:rsid w:val="00497487"/>
    <w:rsid w:val="004A65D5"/>
    <w:rsid w:val="004B1311"/>
    <w:rsid w:val="004B2686"/>
    <w:rsid w:val="004B2A7D"/>
    <w:rsid w:val="004C0481"/>
    <w:rsid w:val="004C2246"/>
    <w:rsid w:val="004C2E50"/>
    <w:rsid w:val="004C5130"/>
    <w:rsid w:val="004E58DE"/>
    <w:rsid w:val="004E678F"/>
    <w:rsid w:val="004F061A"/>
    <w:rsid w:val="004F2E56"/>
    <w:rsid w:val="004F4491"/>
    <w:rsid w:val="004F4D54"/>
    <w:rsid w:val="004F67FF"/>
    <w:rsid w:val="005000F5"/>
    <w:rsid w:val="00510447"/>
    <w:rsid w:val="0051197B"/>
    <w:rsid w:val="005173CF"/>
    <w:rsid w:val="00517885"/>
    <w:rsid w:val="00547279"/>
    <w:rsid w:val="00551544"/>
    <w:rsid w:val="00557C90"/>
    <w:rsid w:val="00561359"/>
    <w:rsid w:val="005631C8"/>
    <w:rsid w:val="005679D2"/>
    <w:rsid w:val="00580A2E"/>
    <w:rsid w:val="005810A4"/>
    <w:rsid w:val="005A1DB6"/>
    <w:rsid w:val="005A24C8"/>
    <w:rsid w:val="005A46E0"/>
    <w:rsid w:val="005B7826"/>
    <w:rsid w:val="005C3229"/>
    <w:rsid w:val="005C7F1E"/>
    <w:rsid w:val="005D2F3F"/>
    <w:rsid w:val="005D4FDF"/>
    <w:rsid w:val="005F0F4F"/>
    <w:rsid w:val="005F442D"/>
    <w:rsid w:val="005F7B1B"/>
    <w:rsid w:val="006007A4"/>
    <w:rsid w:val="006051D5"/>
    <w:rsid w:val="00606CDB"/>
    <w:rsid w:val="00613D24"/>
    <w:rsid w:val="00613F1D"/>
    <w:rsid w:val="00620BB4"/>
    <w:rsid w:val="00635D6E"/>
    <w:rsid w:val="00640787"/>
    <w:rsid w:val="006407DD"/>
    <w:rsid w:val="00640B92"/>
    <w:rsid w:val="00645001"/>
    <w:rsid w:val="00645588"/>
    <w:rsid w:val="00647093"/>
    <w:rsid w:val="006621EC"/>
    <w:rsid w:val="00662334"/>
    <w:rsid w:val="00663F28"/>
    <w:rsid w:val="006640B8"/>
    <w:rsid w:val="00667052"/>
    <w:rsid w:val="00671161"/>
    <w:rsid w:val="0067160A"/>
    <w:rsid w:val="00676230"/>
    <w:rsid w:val="0068228A"/>
    <w:rsid w:val="006853B3"/>
    <w:rsid w:val="00685F04"/>
    <w:rsid w:val="006A3F5E"/>
    <w:rsid w:val="006A4E40"/>
    <w:rsid w:val="006A6517"/>
    <w:rsid w:val="006A6A43"/>
    <w:rsid w:val="006B4F38"/>
    <w:rsid w:val="006B5FE5"/>
    <w:rsid w:val="006B7B8C"/>
    <w:rsid w:val="006C478C"/>
    <w:rsid w:val="006C72A1"/>
    <w:rsid w:val="006D488A"/>
    <w:rsid w:val="006F0396"/>
    <w:rsid w:val="00700883"/>
    <w:rsid w:val="0070524A"/>
    <w:rsid w:val="00711561"/>
    <w:rsid w:val="00713CA2"/>
    <w:rsid w:val="00714E42"/>
    <w:rsid w:val="00721A4E"/>
    <w:rsid w:val="0073272E"/>
    <w:rsid w:val="00732BC0"/>
    <w:rsid w:val="00732EDB"/>
    <w:rsid w:val="00733E0F"/>
    <w:rsid w:val="00745A34"/>
    <w:rsid w:val="00747E22"/>
    <w:rsid w:val="007518FD"/>
    <w:rsid w:val="007532FD"/>
    <w:rsid w:val="00757148"/>
    <w:rsid w:val="007572E9"/>
    <w:rsid w:val="00762060"/>
    <w:rsid w:val="0078058C"/>
    <w:rsid w:val="00790783"/>
    <w:rsid w:val="00791CA1"/>
    <w:rsid w:val="00792D6B"/>
    <w:rsid w:val="00793D91"/>
    <w:rsid w:val="00794463"/>
    <w:rsid w:val="0079477F"/>
    <w:rsid w:val="007A6C56"/>
    <w:rsid w:val="007B1131"/>
    <w:rsid w:val="007B27C9"/>
    <w:rsid w:val="007B2A0D"/>
    <w:rsid w:val="007B39E9"/>
    <w:rsid w:val="007B7ED8"/>
    <w:rsid w:val="007C24E9"/>
    <w:rsid w:val="007C4FB5"/>
    <w:rsid w:val="007C597B"/>
    <w:rsid w:val="007D1E30"/>
    <w:rsid w:val="007E382B"/>
    <w:rsid w:val="007F6B85"/>
    <w:rsid w:val="00802D6A"/>
    <w:rsid w:val="008036E7"/>
    <w:rsid w:val="00803879"/>
    <w:rsid w:val="00804F45"/>
    <w:rsid w:val="00807ABC"/>
    <w:rsid w:val="00813AD2"/>
    <w:rsid w:val="00826869"/>
    <w:rsid w:val="00827DDC"/>
    <w:rsid w:val="00841B0E"/>
    <w:rsid w:val="008446B0"/>
    <w:rsid w:val="0084717E"/>
    <w:rsid w:val="00850A45"/>
    <w:rsid w:val="00865E7D"/>
    <w:rsid w:val="00866A4D"/>
    <w:rsid w:val="008704B9"/>
    <w:rsid w:val="00871226"/>
    <w:rsid w:val="00871530"/>
    <w:rsid w:val="008742D2"/>
    <w:rsid w:val="0087686C"/>
    <w:rsid w:val="0089628A"/>
    <w:rsid w:val="008A0F6C"/>
    <w:rsid w:val="008B016E"/>
    <w:rsid w:val="008C6A12"/>
    <w:rsid w:val="008D1B19"/>
    <w:rsid w:val="008E52C0"/>
    <w:rsid w:val="008E6CC6"/>
    <w:rsid w:val="008F0C5B"/>
    <w:rsid w:val="0090367F"/>
    <w:rsid w:val="00906ADC"/>
    <w:rsid w:val="00921D52"/>
    <w:rsid w:val="009261E2"/>
    <w:rsid w:val="00931244"/>
    <w:rsid w:val="009363AD"/>
    <w:rsid w:val="00947225"/>
    <w:rsid w:val="00954E20"/>
    <w:rsid w:val="00955548"/>
    <w:rsid w:val="00965EB2"/>
    <w:rsid w:val="00970941"/>
    <w:rsid w:val="00975D0F"/>
    <w:rsid w:val="00984BBF"/>
    <w:rsid w:val="00987DF7"/>
    <w:rsid w:val="00992FD7"/>
    <w:rsid w:val="00996958"/>
    <w:rsid w:val="009978DE"/>
    <w:rsid w:val="009B0A86"/>
    <w:rsid w:val="009C2C05"/>
    <w:rsid w:val="009D24D2"/>
    <w:rsid w:val="009D3630"/>
    <w:rsid w:val="009D4CF6"/>
    <w:rsid w:val="009D4E29"/>
    <w:rsid w:val="009D5619"/>
    <w:rsid w:val="009E6228"/>
    <w:rsid w:val="009F568B"/>
    <w:rsid w:val="009F6931"/>
    <w:rsid w:val="00A00212"/>
    <w:rsid w:val="00A01C9E"/>
    <w:rsid w:val="00A052BA"/>
    <w:rsid w:val="00A06C40"/>
    <w:rsid w:val="00A06F98"/>
    <w:rsid w:val="00A125A9"/>
    <w:rsid w:val="00A133CC"/>
    <w:rsid w:val="00A208BC"/>
    <w:rsid w:val="00A26CED"/>
    <w:rsid w:val="00A271BF"/>
    <w:rsid w:val="00A3105E"/>
    <w:rsid w:val="00A34281"/>
    <w:rsid w:val="00A3430D"/>
    <w:rsid w:val="00A344C0"/>
    <w:rsid w:val="00A423CC"/>
    <w:rsid w:val="00A4435A"/>
    <w:rsid w:val="00A5581A"/>
    <w:rsid w:val="00A5781A"/>
    <w:rsid w:val="00A60087"/>
    <w:rsid w:val="00A65231"/>
    <w:rsid w:val="00A73FF0"/>
    <w:rsid w:val="00A76604"/>
    <w:rsid w:val="00A8497D"/>
    <w:rsid w:val="00A85413"/>
    <w:rsid w:val="00A85DC9"/>
    <w:rsid w:val="00A91B24"/>
    <w:rsid w:val="00A94EE7"/>
    <w:rsid w:val="00A97934"/>
    <w:rsid w:val="00AA2DD1"/>
    <w:rsid w:val="00AB185A"/>
    <w:rsid w:val="00AC345E"/>
    <w:rsid w:val="00AC5A6A"/>
    <w:rsid w:val="00AC6F31"/>
    <w:rsid w:val="00AD36B4"/>
    <w:rsid w:val="00AE14ED"/>
    <w:rsid w:val="00AE31D9"/>
    <w:rsid w:val="00AE3B18"/>
    <w:rsid w:val="00AE6CAB"/>
    <w:rsid w:val="00AF0F2A"/>
    <w:rsid w:val="00AF2E49"/>
    <w:rsid w:val="00AF72B6"/>
    <w:rsid w:val="00B01938"/>
    <w:rsid w:val="00B07E72"/>
    <w:rsid w:val="00B1060B"/>
    <w:rsid w:val="00B1308C"/>
    <w:rsid w:val="00B136F3"/>
    <w:rsid w:val="00B15F5E"/>
    <w:rsid w:val="00B44EA1"/>
    <w:rsid w:val="00B52D20"/>
    <w:rsid w:val="00B535C2"/>
    <w:rsid w:val="00B55B40"/>
    <w:rsid w:val="00B6265F"/>
    <w:rsid w:val="00B71B8C"/>
    <w:rsid w:val="00B74514"/>
    <w:rsid w:val="00B771B5"/>
    <w:rsid w:val="00B86573"/>
    <w:rsid w:val="00B90050"/>
    <w:rsid w:val="00B93CB9"/>
    <w:rsid w:val="00BA0B2B"/>
    <w:rsid w:val="00BA2B50"/>
    <w:rsid w:val="00BA694D"/>
    <w:rsid w:val="00BA7DB9"/>
    <w:rsid w:val="00BB61C6"/>
    <w:rsid w:val="00BC543C"/>
    <w:rsid w:val="00BC6AC9"/>
    <w:rsid w:val="00BD3AC9"/>
    <w:rsid w:val="00BD48E5"/>
    <w:rsid w:val="00BD7173"/>
    <w:rsid w:val="00BE4AFD"/>
    <w:rsid w:val="00BE63DB"/>
    <w:rsid w:val="00BE6FA1"/>
    <w:rsid w:val="00BF2A00"/>
    <w:rsid w:val="00C00160"/>
    <w:rsid w:val="00C03A78"/>
    <w:rsid w:val="00C10BC5"/>
    <w:rsid w:val="00C1422F"/>
    <w:rsid w:val="00C20AC7"/>
    <w:rsid w:val="00C31DFF"/>
    <w:rsid w:val="00C37586"/>
    <w:rsid w:val="00C45799"/>
    <w:rsid w:val="00C47FFC"/>
    <w:rsid w:val="00C5264E"/>
    <w:rsid w:val="00C542EC"/>
    <w:rsid w:val="00C56B11"/>
    <w:rsid w:val="00C6011B"/>
    <w:rsid w:val="00C61809"/>
    <w:rsid w:val="00C627BB"/>
    <w:rsid w:val="00C62BEC"/>
    <w:rsid w:val="00C6385F"/>
    <w:rsid w:val="00C63B25"/>
    <w:rsid w:val="00C65E2E"/>
    <w:rsid w:val="00C72CF5"/>
    <w:rsid w:val="00C76CDB"/>
    <w:rsid w:val="00C81C09"/>
    <w:rsid w:val="00C86F65"/>
    <w:rsid w:val="00C9455E"/>
    <w:rsid w:val="00CA726D"/>
    <w:rsid w:val="00CB180B"/>
    <w:rsid w:val="00CC717F"/>
    <w:rsid w:val="00CD3B3B"/>
    <w:rsid w:val="00CD7158"/>
    <w:rsid w:val="00CE1873"/>
    <w:rsid w:val="00CF2D40"/>
    <w:rsid w:val="00CF5D58"/>
    <w:rsid w:val="00CF675C"/>
    <w:rsid w:val="00D012DC"/>
    <w:rsid w:val="00D0696E"/>
    <w:rsid w:val="00D10449"/>
    <w:rsid w:val="00D37565"/>
    <w:rsid w:val="00D43408"/>
    <w:rsid w:val="00D50407"/>
    <w:rsid w:val="00D51658"/>
    <w:rsid w:val="00D543C1"/>
    <w:rsid w:val="00D6000C"/>
    <w:rsid w:val="00D660E3"/>
    <w:rsid w:val="00D74DC7"/>
    <w:rsid w:val="00DA6083"/>
    <w:rsid w:val="00DA66A7"/>
    <w:rsid w:val="00DB3A98"/>
    <w:rsid w:val="00DC19A2"/>
    <w:rsid w:val="00DC299D"/>
    <w:rsid w:val="00DC7BF2"/>
    <w:rsid w:val="00DD3C7C"/>
    <w:rsid w:val="00DD4004"/>
    <w:rsid w:val="00DD4037"/>
    <w:rsid w:val="00DE2F05"/>
    <w:rsid w:val="00DE3223"/>
    <w:rsid w:val="00DF2AFB"/>
    <w:rsid w:val="00E003DC"/>
    <w:rsid w:val="00E10A8E"/>
    <w:rsid w:val="00E12796"/>
    <w:rsid w:val="00E13FCE"/>
    <w:rsid w:val="00E255EC"/>
    <w:rsid w:val="00E3445B"/>
    <w:rsid w:val="00E35FF7"/>
    <w:rsid w:val="00E374E5"/>
    <w:rsid w:val="00E525D1"/>
    <w:rsid w:val="00E54485"/>
    <w:rsid w:val="00E6558E"/>
    <w:rsid w:val="00E70716"/>
    <w:rsid w:val="00E74ACD"/>
    <w:rsid w:val="00E81F1D"/>
    <w:rsid w:val="00E82999"/>
    <w:rsid w:val="00E8797F"/>
    <w:rsid w:val="00E968E7"/>
    <w:rsid w:val="00EB47E0"/>
    <w:rsid w:val="00EB6F26"/>
    <w:rsid w:val="00EC207D"/>
    <w:rsid w:val="00EC4E9F"/>
    <w:rsid w:val="00EC6FD2"/>
    <w:rsid w:val="00ED1B65"/>
    <w:rsid w:val="00EE6130"/>
    <w:rsid w:val="00EF5026"/>
    <w:rsid w:val="00F029AA"/>
    <w:rsid w:val="00F06184"/>
    <w:rsid w:val="00F07CF4"/>
    <w:rsid w:val="00F138EF"/>
    <w:rsid w:val="00F152BA"/>
    <w:rsid w:val="00F30F76"/>
    <w:rsid w:val="00F35633"/>
    <w:rsid w:val="00F43555"/>
    <w:rsid w:val="00F43F80"/>
    <w:rsid w:val="00F464EC"/>
    <w:rsid w:val="00F505FB"/>
    <w:rsid w:val="00F53444"/>
    <w:rsid w:val="00F55CD0"/>
    <w:rsid w:val="00F61401"/>
    <w:rsid w:val="00F64973"/>
    <w:rsid w:val="00F654E4"/>
    <w:rsid w:val="00F66302"/>
    <w:rsid w:val="00F725A5"/>
    <w:rsid w:val="00F758B5"/>
    <w:rsid w:val="00F83405"/>
    <w:rsid w:val="00F845A6"/>
    <w:rsid w:val="00FB0F60"/>
    <w:rsid w:val="00FB1A15"/>
    <w:rsid w:val="00FB1D17"/>
    <w:rsid w:val="00FE0200"/>
    <w:rsid w:val="00FE2BA4"/>
    <w:rsid w:val="00FE3FFE"/>
    <w:rsid w:val="00FE4E18"/>
    <w:rsid w:val="00FE56E3"/>
    <w:rsid w:val="00FE75E2"/>
    <w:rsid w:val="00FF0EB7"/>
    <w:rsid w:val="00FF22FE"/>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USPU10573-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5DBD-C274-4C38-9361-F073E9CA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4094</Words>
  <Characters>23336</Characters>
  <Application>Microsoft Office Word</Application>
  <DocSecurity>0</DocSecurity>
  <Lines>194</Lines>
  <Paragraphs>54</Paragraphs>
  <ScaleCrop>false</ScaleCrop>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