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F8" w:rsidRPr="00E57D5F" w:rsidRDefault="007A61F8" w:rsidP="007A61F8">
      <w:pPr>
        <w:ind w:firstLine="567"/>
        <w:jc w:val="both"/>
        <w:rPr>
          <w:rFonts w:ascii="Cambria" w:hAnsi="Cambria" w:cs="Univers"/>
          <w:b/>
          <w:bCs/>
          <w:sz w:val="22"/>
          <w:szCs w:val="22"/>
          <w:lang w:val="es-ES_tradnl"/>
        </w:rPr>
      </w:pPr>
      <w:r w:rsidRPr="00E57D5F">
        <w:rPr>
          <w:noProof/>
          <w:lang w:val="es-ES" w:eastAsia="es-ES"/>
        </w:rPr>
        <mc:AlternateContent>
          <mc:Choice Requires="wps">
            <w:drawing>
              <wp:anchor distT="0" distB="0" distL="114300" distR="114300" simplePos="0" relativeHeight="251659264" behindDoc="0" locked="0" layoutInCell="1" allowOverlap="1" wp14:anchorId="68234618" wp14:editId="2C450247">
                <wp:simplePos x="0" y="0"/>
                <wp:positionH relativeFrom="column">
                  <wp:posOffset>-415925</wp:posOffset>
                </wp:positionH>
                <wp:positionV relativeFrom="paragraph">
                  <wp:posOffset>-439420</wp:posOffset>
                </wp:positionV>
                <wp:extent cx="1543050" cy="9096375"/>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" fillcolor="#4a7194" stroked="f" strokeweight="2pt">
                <v:path arrowok="t"/>
              </v:rect>
            </w:pict>
          </mc:Fallback>
        </mc:AlternateContent>
      </w:r>
      <w:r w:rsidRPr="00E57D5F">
        <w:rPr>
          <w:noProof/>
          <w:lang w:val="es-ES" w:eastAsia="es-ES"/>
        </w:rPr>
        <mc:AlternateContent>
          <mc:Choice Requires="wps">
            <w:drawing>
              <wp:anchor distT="0" distB="0" distL="114300" distR="114300" simplePos="0" relativeHeight="251663360" behindDoc="0" locked="0" layoutInCell="1" allowOverlap="1" wp14:anchorId="6E75256C" wp14:editId="1F2992F4">
                <wp:simplePos x="0" y="0"/>
                <wp:positionH relativeFrom="column">
                  <wp:posOffset>1282065</wp:posOffset>
                </wp:positionH>
                <wp:positionV relativeFrom="paragraph">
                  <wp:posOffset>-424180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5E3CCE" w:rsidRDefault="005E3CCE" w:rsidP="007A61F8">
                            <w:r w:rsidRPr="00DB43BD">
                              <w:rPr>
                                <w:noProof/>
                                <w:lang w:val="es-ES" w:eastAsia="es-ES"/>
                              </w:rPr>
                              <w:drawing>
                                <wp:inline distT="0" distB="0" distL="0" distR="0" wp14:anchorId="739B36D0" wp14:editId="2492CE1D">
                                  <wp:extent cx="2650490" cy="509270"/>
                                  <wp:effectExtent l="0" t="0" r="0" b="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0490" cy="50927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5E3CCE" w:rsidRDefault="005E3CCE" w:rsidP="007A61F8">
                      <w:r w:rsidRPr="00DB43BD">
                        <w:rPr>
                          <w:noProof/>
                          <w:lang w:val="es-ES" w:eastAsia="es-ES"/>
                        </w:rPr>
                        <w:drawing>
                          <wp:inline distT="0" distB="0" distL="0" distR="0" wp14:anchorId="739B36D0" wp14:editId="2492CE1D">
                            <wp:extent cx="2650490" cy="509270"/>
                            <wp:effectExtent l="0" t="0" r="0" b="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0490" cy="509270"/>
                                    </a:xfrm>
                                    <a:prstGeom prst="rect">
                                      <a:avLst/>
                                    </a:prstGeom>
                                    <a:noFill/>
                                    <a:ln>
                                      <a:noFill/>
                                    </a:ln>
                                  </pic:spPr>
                                </pic:pic>
                              </a:graphicData>
                            </a:graphic>
                          </wp:inline>
                        </w:drawing>
                      </w:r>
                      <w:r>
                        <w:tab/>
                        <w:t xml:space="preserve">                              </w:t>
                      </w:r>
                    </w:p>
                  </w:txbxContent>
                </v:textbox>
              </v:shape>
            </w:pict>
          </mc:Fallback>
        </mc:AlternateContent>
      </w:r>
    </w:p>
    <w:p w:rsidR="007A61F8" w:rsidRPr="00E57D5F" w:rsidRDefault="007A61F8" w:rsidP="007A61F8">
      <w:pPr>
        <w:tabs>
          <w:tab w:val="center" w:pos="5400"/>
        </w:tabs>
        <w:suppressAutoHyphens/>
        <w:ind w:firstLine="567"/>
        <w:jc w:val="both"/>
        <w:rPr>
          <w:rFonts w:ascii="Cambria" w:hAnsi="Cambria"/>
          <w:sz w:val="22"/>
          <w:szCs w:val="22"/>
          <w:lang w:val="es-ES"/>
        </w:rPr>
      </w:pPr>
    </w:p>
    <w:p w:rsidR="007A61F8" w:rsidRPr="00E57D5F" w:rsidRDefault="007A61F8" w:rsidP="007A61F8">
      <w:pPr>
        <w:tabs>
          <w:tab w:val="center" w:pos="5400"/>
        </w:tabs>
        <w:suppressAutoHyphens/>
        <w:ind w:firstLine="567"/>
        <w:jc w:val="both"/>
        <w:rPr>
          <w:rFonts w:ascii="Cambria" w:hAnsi="Cambria"/>
          <w:sz w:val="22"/>
          <w:szCs w:val="22"/>
          <w:lang w:val="es-ES"/>
        </w:rPr>
      </w:pPr>
    </w:p>
    <w:p w:rsidR="007A61F8" w:rsidRPr="00E57D5F" w:rsidRDefault="007A61F8" w:rsidP="007A61F8">
      <w:pPr>
        <w:tabs>
          <w:tab w:val="center" w:pos="5400"/>
        </w:tabs>
        <w:suppressAutoHyphens/>
        <w:ind w:firstLine="567"/>
        <w:rPr>
          <w:rFonts w:ascii="Cambria" w:hAnsi="Cambria"/>
          <w:sz w:val="22"/>
          <w:szCs w:val="22"/>
          <w:lang w:val="es-ES_tradnl"/>
        </w:rPr>
      </w:pPr>
    </w:p>
    <w:p w:rsidR="007A61F8" w:rsidRPr="00E57D5F" w:rsidRDefault="007A61F8" w:rsidP="007A61F8">
      <w:pPr>
        <w:tabs>
          <w:tab w:val="center" w:pos="5400"/>
        </w:tabs>
        <w:suppressAutoHyphens/>
        <w:ind w:firstLine="567"/>
        <w:rPr>
          <w:rFonts w:ascii="Cambria" w:hAnsi="Cambria"/>
          <w:sz w:val="22"/>
          <w:szCs w:val="22"/>
          <w:lang w:val="es-ES_tradnl"/>
        </w:rPr>
      </w:pPr>
    </w:p>
    <w:p w:rsidR="007A61F8" w:rsidRPr="00E57D5F" w:rsidRDefault="007A61F8" w:rsidP="007A61F8">
      <w:pPr>
        <w:tabs>
          <w:tab w:val="center" w:pos="5400"/>
        </w:tabs>
        <w:suppressAutoHyphens/>
        <w:ind w:firstLine="567"/>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r w:rsidRPr="00E57D5F">
        <w:rPr>
          <w:noProof/>
          <w:lang w:val="es-ES" w:eastAsia="es-ES"/>
        </w:rPr>
        <mc:AlternateContent>
          <mc:Choice Requires="wps">
            <w:drawing>
              <wp:anchor distT="0" distB="0" distL="114300" distR="114300" simplePos="0" relativeHeight="251660288" behindDoc="0" locked="0" layoutInCell="1" allowOverlap="1" wp14:anchorId="18F751B7" wp14:editId="6306A05C">
                <wp:simplePos x="0" y="0"/>
                <wp:positionH relativeFrom="column">
                  <wp:posOffset>1352550</wp:posOffset>
                </wp:positionH>
                <wp:positionV relativeFrom="paragraph">
                  <wp:posOffset>107315</wp:posOffset>
                </wp:positionV>
                <wp:extent cx="4441190"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5E3CCE" w:rsidRPr="00EE3118" w:rsidRDefault="005E3CCE" w:rsidP="007A61F8">
                            <w:pPr>
                              <w:spacing w:line="276" w:lineRule="auto"/>
                              <w:rPr>
                                <w:rFonts w:ascii="Cambria" w:hAnsi="Cambria" w:cs="Arial"/>
                                <w:b/>
                                <w:bCs/>
                                <w:color w:val="0D0D0D"/>
                                <w:sz w:val="36"/>
                                <w:szCs w:val="22"/>
                                <w:lang w:val="es-ES"/>
                              </w:rPr>
                            </w:pPr>
                            <w:r w:rsidRPr="00EE3118">
                              <w:rPr>
                                <w:rFonts w:ascii="Cambria" w:hAnsi="Cambria" w:cs="Arial"/>
                                <w:b/>
                                <w:bCs/>
                                <w:color w:val="0D0D0D"/>
                                <w:sz w:val="36"/>
                                <w:szCs w:val="22"/>
                                <w:lang w:val="es-ES"/>
                              </w:rPr>
                              <w:t xml:space="preserve">INFORME </w:t>
                            </w:r>
                            <w:r w:rsidRPr="00EE3118">
                              <w:rPr>
                                <w:rFonts w:ascii="Cambria" w:hAnsi="Cambria" w:cs="Arial"/>
                                <w:b/>
                                <w:bCs/>
                                <w:color w:val="0D0D0D"/>
                                <w:sz w:val="36"/>
                                <w:szCs w:val="40"/>
                                <w:lang w:val="es-ES"/>
                              </w:rPr>
                              <w:t>No.</w:t>
                            </w:r>
                            <w:r w:rsidRPr="00EE3118">
                              <w:rPr>
                                <w:rFonts w:ascii="Cambria" w:hAnsi="Cambria" w:cs="Arial"/>
                                <w:b/>
                                <w:bCs/>
                                <w:color w:val="0D0D0D"/>
                                <w:sz w:val="36"/>
                                <w:szCs w:val="22"/>
                                <w:lang w:val="es-ES"/>
                              </w:rPr>
                              <w:t xml:space="preserve"> </w:t>
                            </w:r>
                            <w:r>
                              <w:rPr>
                                <w:rFonts w:ascii="Cambria" w:hAnsi="Cambria" w:cs="Arial"/>
                                <w:b/>
                                <w:bCs/>
                                <w:color w:val="0D0D0D"/>
                                <w:sz w:val="36"/>
                                <w:szCs w:val="22"/>
                                <w:lang w:val="es-ES"/>
                              </w:rPr>
                              <w:t>21/17</w:t>
                            </w:r>
                          </w:p>
                          <w:p w:rsidR="005E3CCE" w:rsidRPr="00D21B8F" w:rsidRDefault="005E3CCE" w:rsidP="007A61F8">
                            <w:pPr>
                              <w:spacing w:line="276" w:lineRule="auto"/>
                              <w:rPr>
                                <w:rFonts w:ascii="Cambria" w:hAnsi="Cambria" w:cs="Arial"/>
                                <w:b/>
                                <w:color w:val="0D0D0D"/>
                                <w:sz w:val="36"/>
                                <w:szCs w:val="22"/>
                                <w:lang w:val="es-ES"/>
                              </w:rPr>
                            </w:pPr>
                            <w:r w:rsidRPr="00D21B8F">
                              <w:rPr>
                                <w:rFonts w:ascii="Cambria" w:hAnsi="Cambria" w:cs="Arial"/>
                                <w:b/>
                                <w:color w:val="0D0D0D"/>
                                <w:sz w:val="36"/>
                                <w:szCs w:val="22"/>
                                <w:lang w:val="es-ES"/>
                              </w:rPr>
                              <w:t xml:space="preserve">CASO </w:t>
                            </w:r>
                            <w:r>
                              <w:rPr>
                                <w:rFonts w:ascii="Cambria" w:hAnsi="Cambria" w:cs="Arial"/>
                                <w:b/>
                                <w:color w:val="0D0D0D"/>
                                <w:sz w:val="36"/>
                                <w:szCs w:val="22"/>
                                <w:lang w:val="es-ES"/>
                              </w:rPr>
                              <w:t>11.738</w:t>
                            </w:r>
                          </w:p>
                          <w:p w:rsidR="005E3CCE" w:rsidRPr="00DB43BD" w:rsidRDefault="005E3CCE" w:rsidP="007A61F8">
                            <w:pPr>
                              <w:spacing w:line="276" w:lineRule="auto"/>
                              <w:rPr>
                                <w:rFonts w:ascii="Cambria" w:hAnsi="Cambria" w:cs="Arial"/>
                                <w:color w:val="0D0D0D"/>
                                <w:szCs w:val="22"/>
                                <w:lang w:val="es-ES_tradnl"/>
                              </w:rPr>
                            </w:pPr>
                            <w:r w:rsidRPr="00DB43BD">
                              <w:rPr>
                                <w:rFonts w:ascii="Cambria" w:hAnsi="Cambria" w:cs="Arial"/>
                                <w:color w:val="0D0D0D"/>
                                <w:szCs w:val="22"/>
                                <w:lang w:val="es-ES_tradnl"/>
                              </w:rPr>
                              <w:t xml:space="preserve">INFORME DE </w:t>
                            </w:r>
                            <w:r>
                              <w:rPr>
                                <w:rFonts w:ascii="Cambria" w:hAnsi="Cambria" w:cs="Arial"/>
                                <w:color w:val="0D0D0D"/>
                                <w:szCs w:val="22"/>
                                <w:lang w:val="es-ES_tradnl"/>
                              </w:rPr>
                              <w:t>FONDO</w:t>
                            </w:r>
                          </w:p>
                          <w:p w:rsidR="005E3CCE" w:rsidRPr="00DB43BD" w:rsidRDefault="005E3CCE" w:rsidP="007A61F8">
                            <w:pPr>
                              <w:spacing w:line="276" w:lineRule="auto"/>
                              <w:rPr>
                                <w:rFonts w:ascii="Cambria" w:hAnsi="Cambria" w:cs="Arial"/>
                                <w:color w:val="0D0D0D"/>
                                <w:szCs w:val="22"/>
                                <w:lang w:val="es-ES_tradnl"/>
                              </w:rPr>
                            </w:pPr>
                          </w:p>
                          <w:p w:rsidR="005E3CCE" w:rsidRPr="00DB43BD" w:rsidRDefault="005E3CCE" w:rsidP="007A61F8">
                            <w:pPr>
                              <w:spacing w:line="276" w:lineRule="auto"/>
                              <w:rPr>
                                <w:rFonts w:ascii="Cambria" w:hAnsi="Cambria" w:cs="Arial"/>
                                <w:color w:val="0D0D0D"/>
                                <w:szCs w:val="22"/>
                                <w:lang w:val="es-ES_tradnl"/>
                              </w:rPr>
                            </w:pPr>
                            <w:bookmarkStart w:id="0" w:name="_ftnref1"/>
                          </w:p>
                          <w:p w:rsidR="005E3CCE" w:rsidRPr="00DB43BD" w:rsidRDefault="005E3CCE" w:rsidP="007A61F8">
                            <w:pPr>
                              <w:spacing w:line="276" w:lineRule="auto"/>
                              <w:rPr>
                                <w:rFonts w:ascii="Cambria" w:hAnsi="Cambria" w:cs="Arial"/>
                                <w:color w:val="0D0D0D"/>
                                <w:szCs w:val="22"/>
                                <w:lang w:val="es-ES_tradnl"/>
                              </w:rPr>
                            </w:pPr>
                            <w:r>
                              <w:rPr>
                                <w:rFonts w:ascii="Cambria" w:hAnsi="Cambria" w:cs="Arial"/>
                                <w:color w:val="0D0D0D"/>
                                <w:szCs w:val="22"/>
                                <w:lang w:val="es-ES_tradnl"/>
                              </w:rPr>
                              <w:t>ELBA CLOTILDE PERRONE Y JUAN JOSE PRECKEL</w:t>
                            </w:r>
                          </w:p>
                          <w:bookmarkEnd w:id="0"/>
                          <w:p w:rsidR="005E3CCE" w:rsidRPr="00DB43BD" w:rsidRDefault="005E3CCE" w:rsidP="007A61F8">
                            <w:pPr>
                              <w:spacing w:line="276" w:lineRule="auto"/>
                              <w:rPr>
                                <w:rFonts w:ascii="Cambria" w:hAnsi="Cambria" w:cs="Arial"/>
                                <w:color w:val="0D0D0D"/>
                                <w:szCs w:val="22"/>
                                <w:lang w:val="es-ES"/>
                              </w:rPr>
                            </w:pPr>
                            <w:r>
                              <w:rPr>
                                <w:rFonts w:ascii="Cambria" w:hAnsi="Cambria" w:cs="Arial"/>
                                <w:color w:val="0D0D0D"/>
                                <w:szCs w:val="22"/>
                                <w:lang w:val="es-ES_tradnl"/>
                              </w:rPr>
                              <w:t>ARGENTINA</w:t>
                            </w:r>
                          </w:p>
                          <w:p w:rsidR="005E3CCE" w:rsidRPr="00DB43BD" w:rsidRDefault="005E3CCE" w:rsidP="007A61F8">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lfQA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FZbqV9AAgAAgAQA&#10;AA4AAAAAAAAAAAAAAAAALgIAAGRycy9lMm9Eb2MueG1sUEsBAi0AFAAGAAgAAAAhAPVEdxfgAAAA&#10;CgEAAA8AAAAAAAAAAAAAAAAAmgQAAGRycy9kb3ducmV2LnhtbFBLBQYAAAAABAAEAPMAAACnBQAA&#10;AAA=&#10;" filled="f" stroked="f" strokeweight=".5pt">
                <v:path arrowok="t"/>
                <v:textbox>
                  <w:txbxContent>
                    <w:p w:rsidR="005E3CCE" w:rsidRPr="00EE3118" w:rsidRDefault="005E3CCE" w:rsidP="007A61F8">
                      <w:pPr>
                        <w:spacing w:line="276" w:lineRule="auto"/>
                        <w:rPr>
                          <w:rFonts w:ascii="Cambria" w:hAnsi="Cambria" w:cs="Arial"/>
                          <w:b/>
                          <w:bCs/>
                          <w:color w:val="0D0D0D"/>
                          <w:sz w:val="36"/>
                          <w:szCs w:val="22"/>
                          <w:lang w:val="es-ES"/>
                        </w:rPr>
                      </w:pPr>
                      <w:r w:rsidRPr="00EE3118">
                        <w:rPr>
                          <w:rFonts w:ascii="Cambria" w:hAnsi="Cambria" w:cs="Arial"/>
                          <w:b/>
                          <w:bCs/>
                          <w:color w:val="0D0D0D"/>
                          <w:sz w:val="36"/>
                          <w:szCs w:val="22"/>
                          <w:lang w:val="es-ES"/>
                        </w:rPr>
                        <w:t xml:space="preserve">INFORME </w:t>
                      </w:r>
                      <w:r w:rsidRPr="00EE3118">
                        <w:rPr>
                          <w:rFonts w:ascii="Cambria" w:hAnsi="Cambria" w:cs="Arial"/>
                          <w:b/>
                          <w:bCs/>
                          <w:color w:val="0D0D0D"/>
                          <w:sz w:val="36"/>
                          <w:szCs w:val="40"/>
                          <w:lang w:val="es-ES"/>
                        </w:rPr>
                        <w:t>No.</w:t>
                      </w:r>
                      <w:r w:rsidRPr="00EE3118">
                        <w:rPr>
                          <w:rFonts w:ascii="Cambria" w:hAnsi="Cambria" w:cs="Arial"/>
                          <w:b/>
                          <w:bCs/>
                          <w:color w:val="0D0D0D"/>
                          <w:sz w:val="36"/>
                          <w:szCs w:val="22"/>
                          <w:lang w:val="es-ES"/>
                        </w:rPr>
                        <w:t xml:space="preserve"> </w:t>
                      </w:r>
                      <w:r>
                        <w:rPr>
                          <w:rFonts w:ascii="Cambria" w:hAnsi="Cambria" w:cs="Arial"/>
                          <w:b/>
                          <w:bCs/>
                          <w:color w:val="0D0D0D"/>
                          <w:sz w:val="36"/>
                          <w:szCs w:val="22"/>
                          <w:lang w:val="es-ES"/>
                        </w:rPr>
                        <w:t>21/17</w:t>
                      </w:r>
                    </w:p>
                    <w:p w:rsidR="005E3CCE" w:rsidRPr="00D21B8F" w:rsidRDefault="005E3CCE" w:rsidP="007A61F8">
                      <w:pPr>
                        <w:spacing w:line="276" w:lineRule="auto"/>
                        <w:rPr>
                          <w:rFonts w:ascii="Cambria" w:hAnsi="Cambria" w:cs="Arial"/>
                          <w:b/>
                          <w:color w:val="0D0D0D"/>
                          <w:sz w:val="36"/>
                          <w:szCs w:val="22"/>
                          <w:lang w:val="es-ES"/>
                        </w:rPr>
                      </w:pPr>
                      <w:r w:rsidRPr="00D21B8F">
                        <w:rPr>
                          <w:rFonts w:ascii="Cambria" w:hAnsi="Cambria" w:cs="Arial"/>
                          <w:b/>
                          <w:color w:val="0D0D0D"/>
                          <w:sz w:val="36"/>
                          <w:szCs w:val="22"/>
                          <w:lang w:val="es-ES"/>
                        </w:rPr>
                        <w:t xml:space="preserve">CASO </w:t>
                      </w:r>
                      <w:r>
                        <w:rPr>
                          <w:rFonts w:ascii="Cambria" w:hAnsi="Cambria" w:cs="Arial"/>
                          <w:b/>
                          <w:color w:val="0D0D0D"/>
                          <w:sz w:val="36"/>
                          <w:szCs w:val="22"/>
                          <w:lang w:val="es-ES"/>
                        </w:rPr>
                        <w:t>11.738</w:t>
                      </w:r>
                    </w:p>
                    <w:p w:rsidR="005E3CCE" w:rsidRPr="00DB43BD" w:rsidRDefault="005E3CCE" w:rsidP="007A61F8">
                      <w:pPr>
                        <w:spacing w:line="276" w:lineRule="auto"/>
                        <w:rPr>
                          <w:rFonts w:ascii="Cambria" w:hAnsi="Cambria" w:cs="Arial"/>
                          <w:color w:val="0D0D0D"/>
                          <w:szCs w:val="22"/>
                          <w:lang w:val="es-ES_tradnl"/>
                        </w:rPr>
                      </w:pPr>
                      <w:r w:rsidRPr="00DB43BD">
                        <w:rPr>
                          <w:rFonts w:ascii="Cambria" w:hAnsi="Cambria" w:cs="Arial"/>
                          <w:color w:val="0D0D0D"/>
                          <w:szCs w:val="22"/>
                          <w:lang w:val="es-ES_tradnl"/>
                        </w:rPr>
                        <w:t xml:space="preserve">INFORME DE </w:t>
                      </w:r>
                      <w:r>
                        <w:rPr>
                          <w:rFonts w:ascii="Cambria" w:hAnsi="Cambria" w:cs="Arial"/>
                          <w:color w:val="0D0D0D"/>
                          <w:szCs w:val="22"/>
                          <w:lang w:val="es-ES_tradnl"/>
                        </w:rPr>
                        <w:t>FONDO</w:t>
                      </w:r>
                    </w:p>
                    <w:p w:rsidR="005E3CCE" w:rsidRPr="00DB43BD" w:rsidRDefault="005E3CCE" w:rsidP="007A61F8">
                      <w:pPr>
                        <w:spacing w:line="276" w:lineRule="auto"/>
                        <w:rPr>
                          <w:rFonts w:ascii="Cambria" w:hAnsi="Cambria" w:cs="Arial"/>
                          <w:color w:val="0D0D0D"/>
                          <w:szCs w:val="22"/>
                          <w:lang w:val="es-ES_tradnl"/>
                        </w:rPr>
                      </w:pPr>
                    </w:p>
                    <w:p w:rsidR="005E3CCE" w:rsidRPr="00DB43BD" w:rsidRDefault="005E3CCE" w:rsidP="007A61F8">
                      <w:pPr>
                        <w:spacing w:line="276" w:lineRule="auto"/>
                        <w:rPr>
                          <w:rFonts w:ascii="Cambria" w:hAnsi="Cambria" w:cs="Arial"/>
                          <w:color w:val="0D0D0D"/>
                          <w:szCs w:val="22"/>
                          <w:lang w:val="es-ES_tradnl"/>
                        </w:rPr>
                      </w:pPr>
                      <w:bookmarkStart w:id="1" w:name="_ftnref1"/>
                    </w:p>
                    <w:p w:rsidR="005E3CCE" w:rsidRPr="00DB43BD" w:rsidRDefault="005E3CCE" w:rsidP="007A61F8">
                      <w:pPr>
                        <w:spacing w:line="276" w:lineRule="auto"/>
                        <w:rPr>
                          <w:rFonts w:ascii="Cambria" w:hAnsi="Cambria" w:cs="Arial"/>
                          <w:color w:val="0D0D0D"/>
                          <w:szCs w:val="22"/>
                          <w:lang w:val="es-ES_tradnl"/>
                        </w:rPr>
                      </w:pPr>
                      <w:r>
                        <w:rPr>
                          <w:rFonts w:ascii="Cambria" w:hAnsi="Cambria" w:cs="Arial"/>
                          <w:color w:val="0D0D0D"/>
                          <w:szCs w:val="22"/>
                          <w:lang w:val="es-ES_tradnl"/>
                        </w:rPr>
                        <w:t>ELBA CLOTILDE PERRONE Y JUAN JOSE PRECKEL</w:t>
                      </w:r>
                    </w:p>
                    <w:bookmarkEnd w:id="1"/>
                    <w:p w:rsidR="005E3CCE" w:rsidRPr="00DB43BD" w:rsidRDefault="005E3CCE" w:rsidP="007A61F8">
                      <w:pPr>
                        <w:spacing w:line="276" w:lineRule="auto"/>
                        <w:rPr>
                          <w:rFonts w:ascii="Cambria" w:hAnsi="Cambria" w:cs="Arial"/>
                          <w:color w:val="0D0D0D"/>
                          <w:szCs w:val="22"/>
                          <w:lang w:val="es-ES"/>
                        </w:rPr>
                      </w:pPr>
                      <w:r>
                        <w:rPr>
                          <w:rFonts w:ascii="Cambria" w:hAnsi="Cambria" w:cs="Arial"/>
                          <w:color w:val="0D0D0D"/>
                          <w:szCs w:val="22"/>
                          <w:lang w:val="es-ES_tradnl"/>
                        </w:rPr>
                        <w:t>ARGENTINA</w:t>
                      </w:r>
                    </w:p>
                    <w:p w:rsidR="005E3CCE" w:rsidRPr="00DB43BD" w:rsidRDefault="005E3CCE" w:rsidP="007A61F8">
                      <w:pPr>
                        <w:rPr>
                          <w:color w:val="0D0D0D"/>
                          <w:lang w:val="es-ES_tradnl"/>
                        </w:rPr>
                      </w:pPr>
                    </w:p>
                  </w:txbxContent>
                </v:textbox>
              </v:shape>
            </w:pict>
          </mc:Fallback>
        </mc:AlternateContent>
      </w:r>
      <w:r w:rsidRPr="00E57D5F">
        <w:rPr>
          <w:noProof/>
          <w:lang w:val="es-ES" w:eastAsia="es-ES"/>
        </w:rPr>
        <mc:AlternateContent>
          <mc:Choice Requires="wps">
            <w:drawing>
              <wp:anchor distT="0" distB="0" distL="114300" distR="114300" simplePos="0" relativeHeight="251662336" behindDoc="0" locked="0" layoutInCell="1" allowOverlap="1" wp14:anchorId="1042E32F" wp14:editId="71123BE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5E3CCE" w:rsidRPr="00EE3118" w:rsidRDefault="005E3CCE" w:rsidP="007A61F8">
                            <w:pPr>
                              <w:spacing w:line="276" w:lineRule="auto"/>
                              <w:jc w:val="right"/>
                              <w:rPr>
                                <w:rFonts w:ascii="Calibri" w:hAnsi="Calibri"/>
                                <w:color w:val="FFFFFF"/>
                                <w:sz w:val="22"/>
                                <w:lang w:val="pt-BR"/>
                              </w:rPr>
                            </w:pPr>
                            <w:r w:rsidRPr="00EE3118">
                              <w:rPr>
                                <w:rFonts w:ascii="Calibri" w:hAnsi="Calibri"/>
                                <w:color w:val="FFFFFF"/>
                                <w:sz w:val="22"/>
                                <w:lang w:val="pt-BR"/>
                              </w:rPr>
                              <w:t>OEA/Ser.L/V/II.</w:t>
                            </w:r>
                            <w:r>
                              <w:rPr>
                                <w:rFonts w:ascii="Calibri" w:hAnsi="Calibri"/>
                                <w:color w:val="FFFFFF"/>
                                <w:sz w:val="22"/>
                                <w:lang w:val="pt-BR"/>
                              </w:rPr>
                              <w:t>161</w:t>
                            </w:r>
                          </w:p>
                          <w:p w:rsidR="005E3CCE" w:rsidRPr="005E3CCE" w:rsidRDefault="005E3CCE" w:rsidP="007A61F8">
                            <w:pPr>
                              <w:spacing w:line="276" w:lineRule="auto"/>
                              <w:jc w:val="right"/>
                              <w:rPr>
                                <w:rFonts w:ascii="Calibri" w:hAnsi="Calibri"/>
                                <w:color w:val="FFFFFF"/>
                                <w:sz w:val="22"/>
                                <w:lang w:val="es-ES"/>
                              </w:rPr>
                            </w:pPr>
                            <w:r w:rsidRPr="005E3CCE">
                              <w:rPr>
                                <w:rFonts w:ascii="Calibri" w:hAnsi="Calibri"/>
                                <w:color w:val="FFFFFF"/>
                                <w:sz w:val="22"/>
                                <w:lang w:val="es-ES"/>
                              </w:rPr>
                              <w:t>Doc. 28</w:t>
                            </w:r>
                          </w:p>
                          <w:p w:rsidR="005E3CCE" w:rsidRPr="00C85041" w:rsidRDefault="005E3CCE" w:rsidP="007A61F8">
                            <w:pPr>
                              <w:spacing w:line="276" w:lineRule="auto"/>
                              <w:jc w:val="right"/>
                              <w:rPr>
                                <w:rFonts w:ascii="Calibri" w:hAnsi="Calibri"/>
                                <w:color w:val="FFFFFF"/>
                                <w:sz w:val="22"/>
                                <w:lang w:val="es-ES"/>
                              </w:rPr>
                            </w:pPr>
                            <w:r>
                              <w:rPr>
                                <w:rFonts w:ascii="Calibri" w:hAnsi="Calibri"/>
                                <w:color w:val="FFFFFF"/>
                                <w:sz w:val="22"/>
                                <w:lang w:val="es-ES"/>
                              </w:rPr>
                              <w:t>18 de marzo de</w:t>
                            </w:r>
                            <w:r w:rsidRPr="00C85041">
                              <w:rPr>
                                <w:rFonts w:ascii="Calibri" w:hAnsi="Calibri"/>
                                <w:color w:val="FFFFFF"/>
                                <w:sz w:val="22"/>
                                <w:lang w:val="es-ES"/>
                              </w:rPr>
                              <w:t xml:space="preserve"> 201</w:t>
                            </w:r>
                            <w:r>
                              <w:rPr>
                                <w:rFonts w:ascii="Calibri" w:hAnsi="Calibri"/>
                                <w:color w:val="FFFFFF"/>
                                <w:sz w:val="22"/>
                                <w:lang w:val="es-ES"/>
                              </w:rPr>
                              <w:t>7</w:t>
                            </w:r>
                          </w:p>
                          <w:p w:rsidR="005E3CCE" w:rsidRPr="00C85041" w:rsidRDefault="005E3CCE" w:rsidP="007A61F8">
                            <w:pPr>
                              <w:spacing w:line="276" w:lineRule="auto"/>
                              <w:jc w:val="right"/>
                              <w:rPr>
                                <w:rFonts w:ascii="Calibri" w:hAnsi="Calibri"/>
                                <w:color w:val="FFFFFF"/>
                                <w:sz w:val="22"/>
                                <w:lang w:val="es-ES"/>
                              </w:rPr>
                            </w:pPr>
                            <w:r w:rsidRPr="00C85041">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H7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7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Anh+z8CAACABAAA&#10;DgAAAAAAAAAAAAAAAAAuAgAAZHJzL2Uyb0RvYy54bWxQSwECLQAUAAYACAAAACEA3IHMV+AAAAAK&#10;AQAADwAAAAAAAAAAAAAAAACZBAAAZHJzL2Rvd25yZXYueG1sUEsFBgAAAAAEAAQA8wAAAKYFAAAA&#10;AA==&#10;" filled="f" stroked="f" strokeweight=".5pt">
                <v:path arrowok="t"/>
                <v:textbox>
                  <w:txbxContent>
                    <w:p w:rsidR="005E3CCE" w:rsidRPr="00EE3118" w:rsidRDefault="005E3CCE" w:rsidP="007A61F8">
                      <w:pPr>
                        <w:spacing w:line="276" w:lineRule="auto"/>
                        <w:jc w:val="right"/>
                        <w:rPr>
                          <w:rFonts w:ascii="Calibri" w:hAnsi="Calibri"/>
                          <w:color w:val="FFFFFF"/>
                          <w:sz w:val="22"/>
                          <w:lang w:val="pt-BR"/>
                        </w:rPr>
                      </w:pPr>
                      <w:r w:rsidRPr="00EE3118">
                        <w:rPr>
                          <w:rFonts w:ascii="Calibri" w:hAnsi="Calibri"/>
                          <w:color w:val="FFFFFF"/>
                          <w:sz w:val="22"/>
                          <w:lang w:val="pt-BR"/>
                        </w:rPr>
                        <w:t>OEA/Ser.L/V/II.</w:t>
                      </w:r>
                      <w:r>
                        <w:rPr>
                          <w:rFonts w:ascii="Calibri" w:hAnsi="Calibri"/>
                          <w:color w:val="FFFFFF"/>
                          <w:sz w:val="22"/>
                          <w:lang w:val="pt-BR"/>
                        </w:rPr>
                        <w:t>161</w:t>
                      </w:r>
                    </w:p>
                    <w:p w:rsidR="005E3CCE" w:rsidRPr="005E3CCE" w:rsidRDefault="005E3CCE" w:rsidP="007A61F8">
                      <w:pPr>
                        <w:spacing w:line="276" w:lineRule="auto"/>
                        <w:jc w:val="right"/>
                        <w:rPr>
                          <w:rFonts w:ascii="Calibri" w:hAnsi="Calibri"/>
                          <w:color w:val="FFFFFF"/>
                          <w:sz w:val="22"/>
                          <w:lang w:val="es-ES"/>
                        </w:rPr>
                      </w:pPr>
                      <w:r w:rsidRPr="005E3CCE">
                        <w:rPr>
                          <w:rFonts w:ascii="Calibri" w:hAnsi="Calibri"/>
                          <w:color w:val="FFFFFF"/>
                          <w:sz w:val="22"/>
                          <w:lang w:val="es-ES"/>
                        </w:rPr>
                        <w:t>Doc. 28</w:t>
                      </w:r>
                    </w:p>
                    <w:p w:rsidR="005E3CCE" w:rsidRPr="00C85041" w:rsidRDefault="005E3CCE" w:rsidP="007A61F8">
                      <w:pPr>
                        <w:spacing w:line="276" w:lineRule="auto"/>
                        <w:jc w:val="right"/>
                        <w:rPr>
                          <w:rFonts w:ascii="Calibri" w:hAnsi="Calibri"/>
                          <w:color w:val="FFFFFF"/>
                          <w:sz w:val="22"/>
                          <w:lang w:val="es-ES"/>
                        </w:rPr>
                      </w:pPr>
                      <w:r>
                        <w:rPr>
                          <w:rFonts w:ascii="Calibri" w:hAnsi="Calibri"/>
                          <w:color w:val="FFFFFF"/>
                          <w:sz w:val="22"/>
                          <w:lang w:val="es-ES"/>
                        </w:rPr>
                        <w:t>18 de marzo de</w:t>
                      </w:r>
                      <w:r w:rsidRPr="00C85041">
                        <w:rPr>
                          <w:rFonts w:ascii="Calibri" w:hAnsi="Calibri"/>
                          <w:color w:val="FFFFFF"/>
                          <w:sz w:val="22"/>
                          <w:lang w:val="es-ES"/>
                        </w:rPr>
                        <w:t xml:space="preserve"> 201</w:t>
                      </w:r>
                      <w:r>
                        <w:rPr>
                          <w:rFonts w:ascii="Calibri" w:hAnsi="Calibri"/>
                          <w:color w:val="FFFFFF"/>
                          <w:sz w:val="22"/>
                          <w:lang w:val="es-ES"/>
                        </w:rPr>
                        <w:t>7</w:t>
                      </w:r>
                    </w:p>
                    <w:p w:rsidR="005E3CCE" w:rsidRPr="00C85041" w:rsidRDefault="005E3CCE" w:rsidP="007A61F8">
                      <w:pPr>
                        <w:spacing w:line="276" w:lineRule="auto"/>
                        <w:jc w:val="right"/>
                        <w:rPr>
                          <w:rFonts w:ascii="Calibri" w:hAnsi="Calibri"/>
                          <w:color w:val="FFFFFF"/>
                          <w:sz w:val="22"/>
                          <w:lang w:val="es-ES"/>
                        </w:rPr>
                      </w:pPr>
                      <w:r w:rsidRPr="00C85041">
                        <w:rPr>
                          <w:rFonts w:ascii="Calibri" w:hAnsi="Calibri"/>
                          <w:color w:val="FFFFFF"/>
                          <w:sz w:val="22"/>
                          <w:lang w:val="es-ES"/>
                        </w:rPr>
                        <w:t>Original: español</w:t>
                      </w:r>
                    </w:p>
                  </w:txbxContent>
                </v:textbox>
              </v:shape>
            </w:pict>
          </mc:Fallback>
        </mc:AlternateContent>
      </w: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cs="Arial"/>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22"/>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r w:rsidRPr="00E57D5F">
        <w:rPr>
          <w:noProof/>
          <w:lang w:val="es-ES" w:eastAsia="es-ES"/>
        </w:rPr>
        <mc:AlternateContent>
          <mc:Choice Requires="wps">
            <w:drawing>
              <wp:anchor distT="0" distB="0" distL="114300" distR="114300" simplePos="0" relativeHeight="251661312" behindDoc="0" locked="0" layoutInCell="1" allowOverlap="1" wp14:anchorId="639188E6" wp14:editId="613DDA5C">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5E3CCE" w:rsidRPr="00DB43BD" w:rsidRDefault="005E3CCE" w:rsidP="007A61F8">
                            <w:pPr>
                              <w:tabs>
                                <w:tab w:val="center" w:pos="5400"/>
                              </w:tabs>
                              <w:suppressAutoHyphens/>
                              <w:spacing w:before="60"/>
                              <w:jc w:val="both"/>
                              <w:rPr>
                                <w:rFonts w:ascii="Cambria" w:hAnsi="Cambria" w:cs="Univers"/>
                                <w:color w:val="0D0D0D"/>
                                <w:sz w:val="18"/>
                                <w:szCs w:val="20"/>
                                <w:lang w:val="es-ES_tradnl"/>
                              </w:rPr>
                            </w:pPr>
                            <w:r w:rsidRPr="00DB43BD">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2077</w:t>
                            </w:r>
                            <w:r w:rsidRPr="00DB43BD">
                              <w:rPr>
                                <w:rFonts w:ascii="Cambria" w:hAnsi="Cambria"/>
                                <w:color w:val="0D0D0D"/>
                                <w:sz w:val="18"/>
                                <w:szCs w:val="20"/>
                                <w:lang w:val="es-ES"/>
                              </w:rPr>
                              <w:t xml:space="preserve"> celebrada el </w:t>
                            </w:r>
                            <w:r>
                              <w:rPr>
                                <w:rFonts w:ascii="Cambria" w:hAnsi="Cambria"/>
                                <w:color w:val="0D0D0D"/>
                                <w:sz w:val="18"/>
                                <w:szCs w:val="20"/>
                                <w:lang w:val="es-ES"/>
                              </w:rPr>
                              <w:t>18 de marzo de 2017</w:t>
                            </w:r>
                            <w:r w:rsidRPr="00DB43BD">
                              <w:rPr>
                                <w:rFonts w:ascii="Cambria" w:hAnsi="Cambria"/>
                                <w:color w:val="0D0D0D"/>
                                <w:sz w:val="18"/>
                                <w:szCs w:val="20"/>
                                <w:lang w:val="es-ES"/>
                              </w:rPr>
                              <w:br/>
                            </w:r>
                            <w:r>
                              <w:rPr>
                                <w:rFonts w:ascii="Cambria" w:hAnsi="Cambria" w:cs="Univers"/>
                                <w:color w:val="0D0D0D"/>
                                <w:sz w:val="18"/>
                                <w:szCs w:val="20"/>
                                <w:lang w:val="es-ES_tradnl"/>
                              </w:rPr>
                              <w:t>161º</w:t>
                            </w:r>
                            <w:r w:rsidRPr="00DB43BD">
                              <w:rPr>
                                <w:rFonts w:ascii="Cambria" w:hAnsi="Cambria" w:cs="Univers"/>
                                <w:color w:val="0D0D0D"/>
                                <w:sz w:val="18"/>
                                <w:szCs w:val="20"/>
                                <w:lang w:val="es-ES_tradnl"/>
                              </w:rPr>
                              <w:t xml:space="preserve"> período ordinario de sesiones</w:t>
                            </w:r>
                          </w:p>
                          <w:p w:rsidR="005E3CCE" w:rsidRPr="00DB43BD" w:rsidRDefault="005E3CCE" w:rsidP="007A61F8">
                            <w:pPr>
                              <w:tabs>
                                <w:tab w:val="center" w:pos="5400"/>
                              </w:tabs>
                              <w:suppressAutoHyphens/>
                              <w:spacing w:before="60"/>
                              <w:rPr>
                                <w:rFonts w:ascii="Calibri" w:hAnsi="Calibri" w:cs="Univers"/>
                                <w:color w:val="0D0D0D"/>
                                <w:sz w:val="20"/>
                                <w:szCs w:val="20"/>
                                <w:lang w:val="es-ES"/>
                              </w:rPr>
                            </w:pPr>
                          </w:p>
                          <w:p w:rsidR="005E3CCE" w:rsidRPr="00DB43BD" w:rsidRDefault="005E3CCE" w:rsidP="007A61F8">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o7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xH0bDpBdsAsG2imymm9KzGjLrHthBscGi8BVcM945BVgZOgkSgow&#10;P/+m93hkE62U1DiGKbU/TswISqqvCnlejOLYz224xNP5GC/m1nK4taiTfACc9BEuneZB9HhX9WJu&#10;QL7ixqx9VDQxxTF2Sl0vPrh2OXDjuFivAwgnVTO3VTvNe/J9v/fNKzO6I8UhnU/QDyxL3nHTYlsO&#10;1icHeRmI831uu9pNEU55oL7bSL9Gt/eAevtvrH4B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gud6Oz4CAAB/BAAADgAA&#10;AAAAAAAAAAAAAAAuAgAAZHJzL2Uyb0RvYy54bWxQSwECLQAUAAYACAAAACEAQZkOC94AAAAJAQAA&#10;DwAAAAAAAAAAAAAAAACYBAAAZHJzL2Rvd25yZXYueG1sUEsFBgAAAAAEAAQA8wAAAKMFAAAAAA==&#10;" filled="f" stroked="f" strokeweight=".5pt">
                <v:path arrowok="t"/>
                <v:textbox>
                  <w:txbxContent>
                    <w:p w:rsidR="005E3CCE" w:rsidRPr="00DB43BD" w:rsidRDefault="005E3CCE" w:rsidP="007A61F8">
                      <w:pPr>
                        <w:tabs>
                          <w:tab w:val="center" w:pos="5400"/>
                        </w:tabs>
                        <w:suppressAutoHyphens/>
                        <w:spacing w:before="60"/>
                        <w:jc w:val="both"/>
                        <w:rPr>
                          <w:rFonts w:ascii="Cambria" w:hAnsi="Cambria" w:cs="Univers"/>
                          <w:color w:val="0D0D0D"/>
                          <w:sz w:val="18"/>
                          <w:szCs w:val="20"/>
                          <w:lang w:val="es-ES_tradnl"/>
                        </w:rPr>
                      </w:pPr>
                      <w:r w:rsidRPr="00DB43BD">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2077</w:t>
                      </w:r>
                      <w:r w:rsidRPr="00DB43BD">
                        <w:rPr>
                          <w:rFonts w:ascii="Cambria" w:hAnsi="Cambria"/>
                          <w:color w:val="0D0D0D"/>
                          <w:sz w:val="18"/>
                          <w:szCs w:val="20"/>
                          <w:lang w:val="es-ES"/>
                        </w:rPr>
                        <w:t xml:space="preserve"> celebrada el </w:t>
                      </w:r>
                      <w:r>
                        <w:rPr>
                          <w:rFonts w:ascii="Cambria" w:hAnsi="Cambria"/>
                          <w:color w:val="0D0D0D"/>
                          <w:sz w:val="18"/>
                          <w:szCs w:val="20"/>
                          <w:lang w:val="es-ES"/>
                        </w:rPr>
                        <w:t>18 de marzo de 2017</w:t>
                      </w:r>
                      <w:r w:rsidRPr="00DB43BD">
                        <w:rPr>
                          <w:rFonts w:ascii="Cambria" w:hAnsi="Cambria"/>
                          <w:color w:val="0D0D0D"/>
                          <w:sz w:val="18"/>
                          <w:szCs w:val="20"/>
                          <w:lang w:val="es-ES"/>
                        </w:rPr>
                        <w:br/>
                      </w:r>
                      <w:r>
                        <w:rPr>
                          <w:rFonts w:ascii="Cambria" w:hAnsi="Cambria" w:cs="Univers"/>
                          <w:color w:val="0D0D0D"/>
                          <w:sz w:val="18"/>
                          <w:szCs w:val="20"/>
                          <w:lang w:val="es-ES_tradnl"/>
                        </w:rPr>
                        <w:t>161º</w:t>
                      </w:r>
                      <w:r w:rsidRPr="00DB43BD">
                        <w:rPr>
                          <w:rFonts w:ascii="Cambria" w:hAnsi="Cambria" w:cs="Univers"/>
                          <w:color w:val="0D0D0D"/>
                          <w:sz w:val="18"/>
                          <w:szCs w:val="20"/>
                          <w:lang w:val="es-ES_tradnl"/>
                        </w:rPr>
                        <w:t xml:space="preserve"> período ordinario de sesiones</w:t>
                      </w:r>
                    </w:p>
                    <w:p w:rsidR="005E3CCE" w:rsidRPr="00DB43BD" w:rsidRDefault="005E3CCE" w:rsidP="007A61F8">
                      <w:pPr>
                        <w:tabs>
                          <w:tab w:val="center" w:pos="5400"/>
                        </w:tabs>
                        <w:suppressAutoHyphens/>
                        <w:spacing w:before="60"/>
                        <w:rPr>
                          <w:rFonts w:ascii="Calibri" w:hAnsi="Calibri" w:cs="Univers"/>
                          <w:color w:val="0D0D0D"/>
                          <w:sz w:val="20"/>
                          <w:szCs w:val="20"/>
                          <w:lang w:val="es-ES"/>
                        </w:rPr>
                      </w:pPr>
                    </w:p>
                    <w:p w:rsidR="005E3CCE" w:rsidRPr="00DB43BD" w:rsidRDefault="005E3CCE" w:rsidP="007A61F8">
                      <w:pPr>
                        <w:tabs>
                          <w:tab w:val="center" w:pos="5400"/>
                        </w:tabs>
                        <w:suppressAutoHyphens/>
                        <w:spacing w:before="60"/>
                        <w:rPr>
                          <w:rFonts w:ascii="Calibri" w:hAnsi="Calibri"/>
                          <w:color w:val="FFFFFF"/>
                          <w:spacing w:val="-2"/>
                          <w:sz w:val="16"/>
                          <w:lang w:val="es-ES"/>
                        </w:rPr>
                      </w:pPr>
                    </w:p>
                  </w:txbxContent>
                </v:textbox>
              </v:shape>
            </w:pict>
          </mc:Fallback>
        </mc:AlternateContent>
      </w: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sz w:val="18"/>
          <w:szCs w:val="22"/>
          <w:lang w:val="es-ES_tradnl"/>
        </w:rPr>
      </w:pPr>
      <w:r w:rsidRPr="00E57D5F">
        <w:rPr>
          <w:noProof/>
          <w:lang w:val="es-ES" w:eastAsia="es-ES"/>
        </w:rPr>
        <mc:AlternateContent>
          <mc:Choice Requires="wps">
            <w:drawing>
              <wp:anchor distT="0" distB="0" distL="114300" distR="114300" simplePos="0" relativeHeight="251664384" behindDoc="0" locked="0" layoutInCell="1" allowOverlap="1" wp14:anchorId="1CEEF076" wp14:editId="158BAE12">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5E3CCE" w:rsidRPr="00D21B8F" w:rsidRDefault="005E3CCE" w:rsidP="007A61F8">
                            <w:pPr>
                              <w:spacing w:line="276" w:lineRule="auto"/>
                              <w:jc w:val="both"/>
                              <w:rPr>
                                <w:rFonts w:ascii="Cambria" w:hAnsi="Cambria"/>
                                <w:color w:val="595959"/>
                                <w:sz w:val="18"/>
                                <w:szCs w:val="18"/>
                                <w:lang w:val="es-ES"/>
                              </w:rPr>
                            </w:pPr>
                            <w:r w:rsidRPr="00AB1D64">
                              <w:rPr>
                                <w:rFonts w:ascii="Cambria" w:hAnsi="Cambria"/>
                                <w:b/>
                                <w:color w:val="595959"/>
                                <w:sz w:val="18"/>
                                <w:szCs w:val="18"/>
                                <w:lang w:val="es-ES"/>
                              </w:rPr>
                              <w:t>Citar como:</w:t>
                            </w:r>
                            <w:r w:rsidRPr="00AB1D64">
                              <w:rPr>
                                <w:rFonts w:ascii="Cambria" w:hAnsi="Cambria"/>
                                <w:color w:val="595959"/>
                                <w:sz w:val="18"/>
                                <w:szCs w:val="18"/>
                                <w:lang w:val="es-ES"/>
                              </w:rPr>
                              <w:t xml:space="preserve"> CIDH, Informe No. </w:t>
                            </w:r>
                            <w:r>
                              <w:rPr>
                                <w:rFonts w:ascii="Cambria" w:hAnsi="Cambria"/>
                                <w:color w:val="595959"/>
                                <w:sz w:val="18"/>
                                <w:szCs w:val="18"/>
                                <w:lang w:val="es-ES"/>
                              </w:rPr>
                              <w:t>21</w:t>
                            </w:r>
                            <w:r w:rsidRPr="00AB1D64">
                              <w:rPr>
                                <w:rFonts w:ascii="Cambria" w:hAnsi="Cambria"/>
                                <w:color w:val="595959"/>
                                <w:sz w:val="18"/>
                                <w:szCs w:val="18"/>
                                <w:lang w:val="es-ES"/>
                              </w:rPr>
                              <w:t>/</w:t>
                            </w:r>
                            <w:r>
                              <w:rPr>
                                <w:rFonts w:ascii="Cambria" w:hAnsi="Cambria"/>
                                <w:color w:val="595959"/>
                                <w:sz w:val="18"/>
                                <w:szCs w:val="18"/>
                                <w:lang w:val="es-ES"/>
                              </w:rPr>
                              <w:t>17</w:t>
                            </w:r>
                            <w:r w:rsidRPr="00AB1D64">
                              <w:rPr>
                                <w:rFonts w:ascii="Cambria" w:hAnsi="Cambria"/>
                                <w:color w:val="595959"/>
                                <w:sz w:val="18"/>
                                <w:szCs w:val="18"/>
                                <w:lang w:val="es-ES"/>
                              </w:rPr>
                              <w:t xml:space="preserve">, Caso </w:t>
                            </w:r>
                            <w:r>
                              <w:rPr>
                                <w:rFonts w:ascii="Cambria" w:hAnsi="Cambria"/>
                                <w:color w:val="595959"/>
                                <w:sz w:val="18"/>
                                <w:szCs w:val="18"/>
                                <w:lang w:val="es-ES"/>
                              </w:rPr>
                              <w:t>11.738</w:t>
                            </w:r>
                            <w:r w:rsidRPr="00AB1D64">
                              <w:rPr>
                                <w:rFonts w:ascii="Cambria" w:hAnsi="Cambria"/>
                                <w:color w:val="595959"/>
                                <w:sz w:val="18"/>
                                <w:szCs w:val="18"/>
                                <w:lang w:val="es-ES"/>
                              </w:rPr>
                              <w:t>, Fondo,</w:t>
                            </w:r>
                            <w:r>
                              <w:rPr>
                                <w:rFonts w:ascii="Cambria" w:hAnsi="Cambria"/>
                                <w:color w:val="595959"/>
                                <w:sz w:val="18"/>
                                <w:szCs w:val="18"/>
                                <w:lang w:val="es-ES"/>
                              </w:rPr>
                              <w:t xml:space="preserve"> Elba Clotilde </w:t>
                            </w:r>
                            <w:proofErr w:type="spellStart"/>
                            <w:r>
                              <w:rPr>
                                <w:rFonts w:ascii="Cambria" w:hAnsi="Cambria"/>
                                <w:color w:val="595959"/>
                                <w:sz w:val="18"/>
                                <w:szCs w:val="18"/>
                                <w:lang w:val="es-ES"/>
                              </w:rPr>
                              <w:t>Perrone</w:t>
                            </w:r>
                            <w:proofErr w:type="spellEnd"/>
                            <w:r>
                              <w:rPr>
                                <w:rFonts w:ascii="Cambria" w:hAnsi="Cambria"/>
                                <w:color w:val="595959"/>
                                <w:sz w:val="18"/>
                                <w:szCs w:val="18"/>
                                <w:lang w:val="es-ES"/>
                              </w:rPr>
                              <w:t xml:space="preserve"> y Juan José </w:t>
                            </w:r>
                            <w:proofErr w:type="spellStart"/>
                            <w:r>
                              <w:rPr>
                                <w:rFonts w:ascii="Cambria" w:hAnsi="Cambria"/>
                                <w:color w:val="595959"/>
                                <w:sz w:val="18"/>
                                <w:szCs w:val="18"/>
                                <w:lang w:val="es-ES"/>
                              </w:rPr>
                              <w:t>Preckel</w:t>
                            </w:r>
                            <w:proofErr w:type="spellEnd"/>
                            <w:r>
                              <w:rPr>
                                <w:rFonts w:ascii="Cambria" w:hAnsi="Cambria"/>
                                <w:color w:val="595959"/>
                                <w:sz w:val="18"/>
                                <w:szCs w:val="18"/>
                                <w:lang w:val="es-ES"/>
                              </w:rPr>
                              <w:t xml:space="preserve">, Argentina, 18 de marzo </w:t>
                            </w:r>
                            <w:proofErr w:type="spellStart"/>
                            <w:r>
                              <w:rPr>
                                <w:rFonts w:ascii="Cambria" w:hAnsi="Cambria"/>
                                <w:color w:val="595959"/>
                                <w:sz w:val="18"/>
                                <w:szCs w:val="18"/>
                                <w:lang w:val="es-ES"/>
                              </w:rPr>
                              <w:t>de</w:t>
                            </w:r>
                            <w:proofErr w:type="spellEnd"/>
                            <w:r>
                              <w:rPr>
                                <w:rFonts w:ascii="Cambria" w:hAnsi="Cambria"/>
                                <w:color w:val="595959"/>
                                <w:sz w:val="18"/>
                                <w:szCs w:val="18"/>
                                <w:lang w:val="es-ES"/>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" filled="f" stroked="f" strokeweight=".5pt">
                <v:path arrowok="t"/>
                <v:textbox>
                  <w:txbxContent>
                    <w:p w:rsidR="005E3CCE" w:rsidRPr="00D21B8F" w:rsidRDefault="005E3CCE" w:rsidP="007A61F8">
                      <w:pPr>
                        <w:spacing w:line="276" w:lineRule="auto"/>
                        <w:jc w:val="both"/>
                        <w:rPr>
                          <w:rFonts w:ascii="Cambria" w:hAnsi="Cambria"/>
                          <w:color w:val="595959"/>
                          <w:sz w:val="18"/>
                          <w:szCs w:val="18"/>
                          <w:lang w:val="es-ES"/>
                        </w:rPr>
                      </w:pPr>
                      <w:r w:rsidRPr="00AB1D64">
                        <w:rPr>
                          <w:rFonts w:ascii="Cambria" w:hAnsi="Cambria"/>
                          <w:b/>
                          <w:color w:val="595959"/>
                          <w:sz w:val="18"/>
                          <w:szCs w:val="18"/>
                          <w:lang w:val="es-ES"/>
                        </w:rPr>
                        <w:t>Citar como:</w:t>
                      </w:r>
                      <w:r w:rsidRPr="00AB1D64">
                        <w:rPr>
                          <w:rFonts w:ascii="Cambria" w:hAnsi="Cambria"/>
                          <w:color w:val="595959"/>
                          <w:sz w:val="18"/>
                          <w:szCs w:val="18"/>
                          <w:lang w:val="es-ES"/>
                        </w:rPr>
                        <w:t xml:space="preserve"> CIDH, Informe No. </w:t>
                      </w:r>
                      <w:r>
                        <w:rPr>
                          <w:rFonts w:ascii="Cambria" w:hAnsi="Cambria"/>
                          <w:color w:val="595959"/>
                          <w:sz w:val="18"/>
                          <w:szCs w:val="18"/>
                          <w:lang w:val="es-ES"/>
                        </w:rPr>
                        <w:t>21</w:t>
                      </w:r>
                      <w:r w:rsidRPr="00AB1D64">
                        <w:rPr>
                          <w:rFonts w:ascii="Cambria" w:hAnsi="Cambria"/>
                          <w:color w:val="595959"/>
                          <w:sz w:val="18"/>
                          <w:szCs w:val="18"/>
                          <w:lang w:val="es-ES"/>
                        </w:rPr>
                        <w:t>/</w:t>
                      </w:r>
                      <w:r>
                        <w:rPr>
                          <w:rFonts w:ascii="Cambria" w:hAnsi="Cambria"/>
                          <w:color w:val="595959"/>
                          <w:sz w:val="18"/>
                          <w:szCs w:val="18"/>
                          <w:lang w:val="es-ES"/>
                        </w:rPr>
                        <w:t>17</w:t>
                      </w:r>
                      <w:r w:rsidRPr="00AB1D64">
                        <w:rPr>
                          <w:rFonts w:ascii="Cambria" w:hAnsi="Cambria"/>
                          <w:color w:val="595959"/>
                          <w:sz w:val="18"/>
                          <w:szCs w:val="18"/>
                          <w:lang w:val="es-ES"/>
                        </w:rPr>
                        <w:t xml:space="preserve">, Caso </w:t>
                      </w:r>
                      <w:r>
                        <w:rPr>
                          <w:rFonts w:ascii="Cambria" w:hAnsi="Cambria"/>
                          <w:color w:val="595959"/>
                          <w:sz w:val="18"/>
                          <w:szCs w:val="18"/>
                          <w:lang w:val="es-ES"/>
                        </w:rPr>
                        <w:t>11.738</w:t>
                      </w:r>
                      <w:r w:rsidRPr="00AB1D64">
                        <w:rPr>
                          <w:rFonts w:ascii="Cambria" w:hAnsi="Cambria"/>
                          <w:color w:val="595959"/>
                          <w:sz w:val="18"/>
                          <w:szCs w:val="18"/>
                          <w:lang w:val="es-ES"/>
                        </w:rPr>
                        <w:t>, Fondo,</w:t>
                      </w:r>
                      <w:r>
                        <w:rPr>
                          <w:rFonts w:ascii="Cambria" w:hAnsi="Cambria"/>
                          <w:color w:val="595959"/>
                          <w:sz w:val="18"/>
                          <w:szCs w:val="18"/>
                          <w:lang w:val="es-ES"/>
                        </w:rPr>
                        <w:t xml:space="preserve"> Elba Clotilde </w:t>
                      </w:r>
                      <w:proofErr w:type="spellStart"/>
                      <w:r>
                        <w:rPr>
                          <w:rFonts w:ascii="Cambria" w:hAnsi="Cambria"/>
                          <w:color w:val="595959"/>
                          <w:sz w:val="18"/>
                          <w:szCs w:val="18"/>
                          <w:lang w:val="es-ES"/>
                        </w:rPr>
                        <w:t>Perrone</w:t>
                      </w:r>
                      <w:proofErr w:type="spellEnd"/>
                      <w:r>
                        <w:rPr>
                          <w:rFonts w:ascii="Cambria" w:hAnsi="Cambria"/>
                          <w:color w:val="595959"/>
                          <w:sz w:val="18"/>
                          <w:szCs w:val="18"/>
                          <w:lang w:val="es-ES"/>
                        </w:rPr>
                        <w:t xml:space="preserve"> y Juan José </w:t>
                      </w:r>
                      <w:proofErr w:type="spellStart"/>
                      <w:r>
                        <w:rPr>
                          <w:rFonts w:ascii="Cambria" w:hAnsi="Cambria"/>
                          <w:color w:val="595959"/>
                          <w:sz w:val="18"/>
                          <w:szCs w:val="18"/>
                          <w:lang w:val="es-ES"/>
                        </w:rPr>
                        <w:t>Preckel</w:t>
                      </w:r>
                      <w:proofErr w:type="spellEnd"/>
                      <w:r>
                        <w:rPr>
                          <w:rFonts w:ascii="Cambria" w:hAnsi="Cambria"/>
                          <w:color w:val="595959"/>
                          <w:sz w:val="18"/>
                          <w:szCs w:val="18"/>
                          <w:lang w:val="es-ES"/>
                        </w:rPr>
                        <w:t xml:space="preserve">, Argentina, 18 de marzo </w:t>
                      </w:r>
                      <w:proofErr w:type="spellStart"/>
                      <w:r>
                        <w:rPr>
                          <w:rFonts w:ascii="Cambria" w:hAnsi="Cambria"/>
                          <w:color w:val="595959"/>
                          <w:sz w:val="18"/>
                          <w:szCs w:val="18"/>
                          <w:lang w:val="es-ES"/>
                        </w:rPr>
                        <w:t>de</w:t>
                      </w:r>
                      <w:proofErr w:type="spellEnd"/>
                      <w:r>
                        <w:rPr>
                          <w:rFonts w:ascii="Cambria" w:hAnsi="Cambria"/>
                          <w:color w:val="595959"/>
                          <w:sz w:val="18"/>
                          <w:szCs w:val="18"/>
                          <w:lang w:val="es-ES"/>
                        </w:rPr>
                        <w:t xml:space="preserve"> 2017.</w:t>
                      </w:r>
                    </w:p>
                  </w:txbxContent>
                </v:textbox>
              </v:shape>
            </w:pict>
          </mc:Fallback>
        </mc:AlternateContent>
      </w:r>
    </w:p>
    <w:p w:rsidR="007A61F8" w:rsidRPr="00E57D5F" w:rsidRDefault="007A61F8" w:rsidP="007A61F8">
      <w:pPr>
        <w:tabs>
          <w:tab w:val="center" w:pos="5400"/>
        </w:tabs>
        <w:suppressAutoHyphens/>
        <w:ind w:firstLine="567"/>
        <w:jc w:val="center"/>
        <w:rPr>
          <w:rFonts w:ascii="Cambria" w:hAnsi="Cambria"/>
          <w:sz w:val="18"/>
          <w:szCs w:val="22"/>
          <w:lang w:val="es-ES_tradnl"/>
        </w:rPr>
      </w:pPr>
    </w:p>
    <w:p w:rsidR="007A61F8" w:rsidRPr="00E57D5F" w:rsidRDefault="007A61F8" w:rsidP="007A61F8">
      <w:pPr>
        <w:tabs>
          <w:tab w:val="center" w:pos="5400"/>
        </w:tabs>
        <w:suppressAutoHyphens/>
        <w:ind w:firstLine="567"/>
        <w:jc w:val="center"/>
        <w:rPr>
          <w:rFonts w:ascii="Cambria" w:hAnsi="Cambria"/>
          <w:b/>
          <w:sz w:val="20"/>
          <w:lang w:val="es-ES_tradnl"/>
        </w:rPr>
      </w:pPr>
      <w:r w:rsidRPr="00E57D5F">
        <w:rPr>
          <w:noProof/>
          <w:lang w:val="es-ES" w:eastAsia="es-ES"/>
        </w:rPr>
        <mc:AlternateContent>
          <mc:Choice Requires="wps">
            <w:drawing>
              <wp:anchor distT="0" distB="0" distL="114300" distR="114300" simplePos="0" relativeHeight="251665408" behindDoc="0" locked="0" layoutInCell="1" allowOverlap="1" wp14:anchorId="2AA19BCB" wp14:editId="14E27784">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5E3CCE" w:rsidRPr="00DB43BD" w:rsidRDefault="005E3CCE" w:rsidP="007A61F8">
                            <w:pPr>
                              <w:rPr>
                                <w:color w:val="FFFFFF"/>
                              </w:rPr>
                            </w:pPr>
                            <w:r w:rsidRPr="00DB43BD">
                              <w:rPr>
                                <w:noProof/>
                                <w:color w:val="FFFFFF"/>
                                <w:lang w:val="es-ES" w:eastAsia="es-ES"/>
                              </w:rPr>
                              <w:drawing>
                                <wp:inline distT="0" distB="0" distL="0" distR="0" wp14:anchorId="2EF9EE73" wp14:editId="453D894B">
                                  <wp:extent cx="1342390" cy="387985"/>
                                  <wp:effectExtent l="0" t="0" r="3810" b="0"/>
                                  <wp:docPr id="1" name="Picture 1"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239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" fillcolor="window" stroked="f" strokeweight=".5pt">
                <v:path arrowok="t"/>
                <v:textbox>
                  <w:txbxContent>
                    <w:p w:rsidR="005E3CCE" w:rsidRPr="00DB43BD" w:rsidRDefault="005E3CCE" w:rsidP="007A61F8">
                      <w:pPr>
                        <w:rPr>
                          <w:color w:val="FFFFFF"/>
                        </w:rPr>
                      </w:pPr>
                      <w:r w:rsidRPr="00DB43BD">
                        <w:rPr>
                          <w:noProof/>
                          <w:color w:val="FFFFFF"/>
                          <w:lang w:val="es-ES" w:eastAsia="es-ES"/>
                        </w:rPr>
                        <w:drawing>
                          <wp:inline distT="0" distB="0" distL="0" distR="0" wp14:anchorId="2EF9EE73" wp14:editId="453D894B">
                            <wp:extent cx="1342390" cy="387985"/>
                            <wp:effectExtent l="0" t="0" r="3810" b="0"/>
                            <wp:docPr id="1" name="Picture 1"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2390" cy="387985"/>
                                    </a:xfrm>
                                    <a:prstGeom prst="rect">
                                      <a:avLst/>
                                    </a:prstGeom>
                                    <a:noFill/>
                                    <a:ln>
                                      <a:noFill/>
                                    </a:ln>
                                  </pic:spPr>
                                </pic:pic>
                              </a:graphicData>
                            </a:graphic>
                          </wp:inline>
                        </w:drawing>
                      </w:r>
                    </w:p>
                  </w:txbxContent>
                </v:textbox>
              </v:shape>
            </w:pict>
          </mc:Fallback>
        </mc:AlternateContent>
      </w:r>
      <w:r w:rsidRPr="00E57D5F">
        <w:rPr>
          <w:noProof/>
          <w:lang w:val="es-ES" w:eastAsia="es-ES"/>
        </w:rPr>
        <mc:AlternateContent>
          <mc:Choice Requires="wps">
            <w:drawing>
              <wp:anchor distT="0" distB="0" distL="114300" distR="114300" simplePos="0" relativeHeight="251666432" behindDoc="0" locked="0" layoutInCell="1" allowOverlap="1" wp14:anchorId="4F0FC258" wp14:editId="2A9F7712">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5E3CCE" w:rsidRPr="00DB43BD" w:rsidRDefault="005E3CCE" w:rsidP="007A61F8">
                            <w:pPr>
                              <w:jc w:val="center"/>
                              <w:rPr>
                                <w:rFonts w:ascii="Calibri" w:hAnsi="Calibri"/>
                                <w:b/>
                                <w:color w:val="FFFFFF"/>
                              </w:rPr>
                            </w:pPr>
                            <w:r w:rsidRPr="00DB43BD">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" filled="f" stroked="f" strokeweight=".5pt">
                <v:path arrowok="t"/>
                <v:textbox>
                  <w:txbxContent>
                    <w:p w:rsidR="005E3CCE" w:rsidRPr="00DB43BD" w:rsidRDefault="005E3CCE" w:rsidP="007A61F8">
                      <w:pPr>
                        <w:jc w:val="center"/>
                        <w:rPr>
                          <w:rFonts w:ascii="Calibri" w:hAnsi="Calibri"/>
                          <w:b/>
                          <w:color w:val="FFFFFF"/>
                        </w:rPr>
                      </w:pPr>
                      <w:r w:rsidRPr="00DB43BD">
                        <w:rPr>
                          <w:rFonts w:ascii="Calibri" w:hAnsi="Calibri"/>
                          <w:b/>
                          <w:color w:val="FFFFFF"/>
                          <w:lang w:val="pt-BR"/>
                        </w:rPr>
                        <w:t>www.cidh.org</w:t>
                      </w:r>
                    </w:p>
                  </w:txbxContent>
                </v:textbox>
              </v:shape>
            </w:pict>
          </mc:Fallback>
        </mc:AlternateContent>
      </w:r>
    </w:p>
    <w:p w:rsidR="007A61F8" w:rsidRPr="00E57D5F" w:rsidRDefault="007A61F8" w:rsidP="007A61F8">
      <w:pPr>
        <w:tabs>
          <w:tab w:val="center" w:pos="5400"/>
        </w:tabs>
        <w:suppressAutoHyphens/>
        <w:ind w:firstLine="567"/>
        <w:jc w:val="center"/>
        <w:rPr>
          <w:rFonts w:ascii="Cambria" w:hAnsi="Cambria"/>
          <w:b/>
          <w:sz w:val="20"/>
          <w:lang w:val="es-ES_tradnl"/>
        </w:rPr>
        <w:sectPr w:rsidR="007A61F8" w:rsidRPr="00E57D5F" w:rsidSect="007A61F8">
          <w:headerReference w:type="even" r:id="rId11"/>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26"/>
        </w:sectPr>
      </w:pPr>
    </w:p>
    <w:p w:rsidR="007A61F8" w:rsidRPr="005E3CCE" w:rsidRDefault="007A61F8" w:rsidP="007A61F8">
      <w:pPr>
        <w:pStyle w:val="Title"/>
        <w:ind w:firstLine="567"/>
        <w:rPr>
          <w:rFonts w:ascii="Cambria" w:hAnsi="Cambria"/>
          <w:sz w:val="18"/>
          <w:szCs w:val="18"/>
        </w:rPr>
      </w:pPr>
      <w:r w:rsidRPr="005E3CCE">
        <w:rPr>
          <w:rFonts w:ascii="Cambria" w:hAnsi="Cambria"/>
          <w:sz w:val="18"/>
          <w:szCs w:val="18"/>
        </w:rPr>
        <w:lastRenderedPageBreak/>
        <w:t xml:space="preserve">INFORME No. </w:t>
      </w:r>
      <w:r w:rsidR="005E3CCE" w:rsidRPr="005E3CCE">
        <w:rPr>
          <w:rFonts w:ascii="Cambria" w:hAnsi="Cambria"/>
          <w:sz w:val="18"/>
          <w:szCs w:val="18"/>
        </w:rPr>
        <w:t>21</w:t>
      </w:r>
      <w:r w:rsidR="0091158C" w:rsidRPr="005E3CCE">
        <w:rPr>
          <w:rFonts w:ascii="Cambria" w:hAnsi="Cambria"/>
          <w:sz w:val="18"/>
          <w:szCs w:val="18"/>
        </w:rPr>
        <w:t>/17</w:t>
      </w:r>
    </w:p>
    <w:p w:rsidR="007A61F8" w:rsidRPr="005E3CCE" w:rsidRDefault="007A61F8" w:rsidP="007A61F8">
      <w:pPr>
        <w:ind w:firstLine="567"/>
        <w:jc w:val="center"/>
        <w:rPr>
          <w:rFonts w:ascii="Cambria" w:hAnsi="Cambria"/>
          <w:b/>
          <w:bCs/>
          <w:sz w:val="18"/>
          <w:szCs w:val="18"/>
          <w:lang w:val="es-AR"/>
        </w:rPr>
      </w:pPr>
      <w:r w:rsidRPr="005E3CCE">
        <w:rPr>
          <w:rFonts w:ascii="Cambria" w:hAnsi="Cambria"/>
          <w:b/>
          <w:bCs/>
          <w:sz w:val="18"/>
          <w:szCs w:val="18"/>
          <w:lang w:val="es-AR"/>
        </w:rPr>
        <w:t>CASO 11.738</w:t>
      </w:r>
    </w:p>
    <w:p w:rsidR="007A61F8" w:rsidRPr="005E3CCE" w:rsidRDefault="007A61F8" w:rsidP="007A61F8">
      <w:pPr>
        <w:ind w:firstLine="567"/>
        <w:jc w:val="center"/>
        <w:rPr>
          <w:rFonts w:ascii="Cambria" w:hAnsi="Cambria" w:cs="Arial"/>
          <w:bCs/>
          <w:sz w:val="18"/>
          <w:szCs w:val="18"/>
          <w:lang w:val="es-AR"/>
        </w:rPr>
      </w:pPr>
      <w:r w:rsidRPr="005E3CCE">
        <w:rPr>
          <w:rFonts w:ascii="Cambria" w:hAnsi="Cambria" w:cs="Arial"/>
          <w:bCs/>
          <w:sz w:val="18"/>
          <w:szCs w:val="18"/>
          <w:lang w:val="es-AR"/>
        </w:rPr>
        <w:t>FONDO</w:t>
      </w:r>
    </w:p>
    <w:p w:rsidR="007A61F8" w:rsidRPr="005E3CCE" w:rsidRDefault="007A61F8" w:rsidP="007A61F8">
      <w:pPr>
        <w:ind w:firstLine="567"/>
        <w:jc w:val="center"/>
        <w:rPr>
          <w:rFonts w:ascii="Cambria" w:hAnsi="Cambria" w:cs="Arial"/>
          <w:bCs/>
          <w:sz w:val="18"/>
          <w:szCs w:val="18"/>
          <w:lang w:val="es-AR"/>
        </w:rPr>
      </w:pPr>
      <w:r w:rsidRPr="005E3CCE">
        <w:rPr>
          <w:rFonts w:ascii="Cambria" w:hAnsi="Cambria" w:cs="Arial"/>
          <w:bCs/>
          <w:sz w:val="18"/>
          <w:szCs w:val="18"/>
          <w:lang w:val="es-AR"/>
        </w:rPr>
        <w:t>ELBA CLOTILDE PERRONE Y JUAN JOSE PRECKEL</w:t>
      </w:r>
    </w:p>
    <w:p w:rsidR="007A61F8" w:rsidRPr="005E3CCE" w:rsidRDefault="007A61F8" w:rsidP="007A61F8">
      <w:pPr>
        <w:ind w:firstLine="567"/>
        <w:jc w:val="center"/>
        <w:rPr>
          <w:rFonts w:ascii="Cambria" w:hAnsi="Cambria" w:cs="Arial"/>
          <w:bCs/>
          <w:sz w:val="18"/>
          <w:szCs w:val="18"/>
          <w:lang w:val="es-AR"/>
        </w:rPr>
      </w:pPr>
      <w:r w:rsidRPr="005E3CCE">
        <w:rPr>
          <w:rFonts w:ascii="Cambria" w:hAnsi="Cambria" w:cs="Arial"/>
          <w:bCs/>
          <w:sz w:val="18"/>
          <w:szCs w:val="18"/>
          <w:lang w:val="es-AR"/>
        </w:rPr>
        <w:t>ARGENTINA</w:t>
      </w:r>
    </w:p>
    <w:p w:rsidR="007A61F8" w:rsidRPr="005E3CCE" w:rsidRDefault="005E3CCE" w:rsidP="007A61F8">
      <w:pPr>
        <w:ind w:firstLine="567"/>
        <w:jc w:val="center"/>
        <w:rPr>
          <w:rFonts w:ascii="Cambria" w:hAnsi="Cambria" w:cs="Arial"/>
          <w:bCs/>
          <w:sz w:val="18"/>
          <w:szCs w:val="18"/>
          <w:lang w:val="es-AR"/>
        </w:rPr>
      </w:pPr>
      <w:r w:rsidRPr="005E3CCE">
        <w:rPr>
          <w:rFonts w:ascii="Cambria" w:hAnsi="Cambria" w:cs="Arial"/>
          <w:bCs/>
          <w:sz w:val="18"/>
          <w:szCs w:val="18"/>
          <w:lang w:val="es-AR"/>
        </w:rPr>
        <w:t>18 DE MARZO DE 2017</w:t>
      </w:r>
    </w:p>
    <w:p w:rsidR="007A61F8" w:rsidRPr="00E57D5F" w:rsidRDefault="007A61F8" w:rsidP="007A61F8">
      <w:pPr>
        <w:tabs>
          <w:tab w:val="center" w:pos="5400"/>
        </w:tabs>
        <w:suppressAutoHyphens/>
        <w:spacing w:line="276" w:lineRule="auto"/>
        <w:ind w:firstLine="567"/>
        <w:jc w:val="center"/>
        <w:rPr>
          <w:rFonts w:ascii="Cambria" w:hAnsi="Cambria"/>
          <w:sz w:val="18"/>
          <w:szCs w:val="20"/>
          <w:lang w:val="es-AR"/>
        </w:rPr>
      </w:pPr>
    </w:p>
    <w:p w:rsidR="007A61F8" w:rsidRPr="00E57D5F" w:rsidRDefault="007A61F8" w:rsidP="007A61F8">
      <w:pPr>
        <w:tabs>
          <w:tab w:val="center" w:pos="5400"/>
        </w:tabs>
        <w:suppressAutoHyphens/>
        <w:spacing w:line="276" w:lineRule="auto"/>
        <w:ind w:firstLine="567"/>
        <w:jc w:val="center"/>
        <w:rPr>
          <w:rFonts w:ascii="Cambria" w:hAnsi="Cambria"/>
          <w:b/>
          <w:sz w:val="20"/>
          <w:szCs w:val="20"/>
          <w:lang w:val="es-ES_tradnl"/>
        </w:rPr>
      </w:pPr>
      <w:r w:rsidRPr="00E57D5F">
        <w:rPr>
          <w:rFonts w:ascii="Cambria" w:hAnsi="Cambria"/>
          <w:b/>
          <w:sz w:val="20"/>
          <w:szCs w:val="20"/>
          <w:lang w:val="es-ES_tradnl"/>
        </w:rPr>
        <w:t>ÍNDICE</w:t>
      </w:r>
    </w:p>
    <w:p w:rsidR="007A61F8" w:rsidRDefault="007A61F8" w:rsidP="007A61F8">
      <w:pPr>
        <w:tabs>
          <w:tab w:val="center" w:pos="5400"/>
        </w:tabs>
        <w:suppressAutoHyphens/>
        <w:spacing w:line="276" w:lineRule="auto"/>
        <w:ind w:firstLine="567"/>
        <w:rPr>
          <w:rFonts w:ascii="Cambria" w:hAnsi="Cambria"/>
          <w:sz w:val="20"/>
          <w:szCs w:val="20"/>
          <w:lang w:val="es-ES_tradnl"/>
        </w:rPr>
      </w:pPr>
    </w:p>
    <w:p w:rsidR="00991A78" w:rsidRPr="005E3CCE" w:rsidRDefault="00991A78">
      <w:pPr>
        <w:pStyle w:val="TOC1"/>
        <w:rPr>
          <w:rFonts w:ascii="Cambria" w:eastAsiaTheme="minorEastAsia" w:hAnsi="Cambria" w:cstheme="minorBidi"/>
          <w:noProof/>
          <w:sz w:val="20"/>
          <w:szCs w:val="20"/>
          <w:bdr w:val="none" w:sz="0" w:space="0" w:color="auto"/>
        </w:rPr>
      </w:pPr>
      <w:r w:rsidRPr="005E3CCE">
        <w:rPr>
          <w:rFonts w:ascii="Cambria" w:hAnsi="Cambria"/>
          <w:sz w:val="20"/>
          <w:szCs w:val="20"/>
          <w:lang w:val="es-ES_tradnl"/>
        </w:rPr>
        <w:fldChar w:fldCharType="begin"/>
      </w:r>
      <w:r w:rsidRPr="005E3CCE">
        <w:rPr>
          <w:rFonts w:ascii="Cambria" w:hAnsi="Cambria"/>
          <w:sz w:val="20"/>
          <w:szCs w:val="20"/>
          <w:lang w:val="es-ES_tradnl"/>
        </w:rPr>
        <w:instrText xml:space="preserve"> TOC \o "1-3" \h \z \u </w:instrText>
      </w:r>
      <w:r w:rsidRPr="005E3CCE">
        <w:rPr>
          <w:rFonts w:ascii="Cambria" w:hAnsi="Cambria"/>
          <w:sz w:val="20"/>
          <w:szCs w:val="20"/>
          <w:lang w:val="es-ES_tradnl"/>
        </w:rPr>
        <w:fldChar w:fldCharType="separate"/>
      </w:r>
      <w:hyperlink w:anchor="_Toc476667871" w:history="1">
        <w:r w:rsidRPr="005E3CCE">
          <w:rPr>
            <w:rStyle w:val="Hyperlink"/>
            <w:rFonts w:ascii="Cambria" w:hAnsi="Cambria"/>
            <w:noProof/>
            <w:sz w:val="20"/>
            <w:szCs w:val="20"/>
          </w:rPr>
          <w:t>I.</w:t>
        </w:r>
        <w:r w:rsidRPr="005E3CCE">
          <w:rPr>
            <w:rFonts w:ascii="Cambria" w:eastAsiaTheme="minorEastAsia" w:hAnsi="Cambria" w:cstheme="minorBidi"/>
            <w:noProof/>
            <w:sz w:val="20"/>
            <w:szCs w:val="20"/>
            <w:bdr w:val="none" w:sz="0" w:space="0" w:color="auto"/>
          </w:rPr>
          <w:tab/>
        </w:r>
        <w:r w:rsidRPr="005E3CCE">
          <w:rPr>
            <w:rStyle w:val="Hyperlink"/>
            <w:rFonts w:ascii="Cambria" w:hAnsi="Cambria"/>
            <w:noProof/>
            <w:sz w:val="20"/>
            <w:szCs w:val="20"/>
          </w:rPr>
          <w:t>RESU</w:t>
        </w:r>
        <w:r w:rsidRPr="005E3CCE">
          <w:rPr>
            <w:rStyle w:val="Hyperlink"/>
            <w:rFonts w:ascii="Cambria" w:hAnsi="Cambria"/>
            <w:noProof/>
            <w:sz w:val="20"/>
            <w:szCs w:val="20"/>
          </w:rPr>
          <w:t>M</w:t>
        </w:r>
        <w:r w:rsidRPr="005E3CCE">
          <w:rPr>
            <w:rStyle w:val="Hyperlink"/>
            <w:rFonts w:ascii="Cambria" w:hAnsi="Cambria"/>
            <w:noProof/>
            <w:sz w:val="20"/>
            <w:szCs w:val="20"/>
          </w:rPr>
          <w:t>EN</w:t>
        </w:r>
        <w:r w:rsidRPr="005E3CCE">
          <w:rPr>
            <w:rFonts w:ascii="Cambria" w:hAnsi="Cambria"/>
            <w:noProof/>
            <w:webHidden/>
            <w:sz w:val="20"/>
            <w:szCs w:val="20"/>
          </w:rPr>
          <w:tab/>
        </w:r>
        <w:r w:rsidRPr="005E3CCE">
          <w:rPr>
            <w:rFonts w:ascii="Cambria" w:hAnsi="Cambria"/>
            <w:noProof/>
            <w:webHidden/>
            <w:sz w:val="20"/>
            <w:szCs w:val="20"/>
          </w:rPr>
          <w:fldChar w:fldCharType="begin"/>
        </w:r>
        <w:r w:rsidRPr="005E3CCE">
          <w:rPr>
            <w:rFonts w:ascii="Cambria" w:hAnsi="Cambria"/>
            <w:noProof/>
            <w:webHidden/>
            <w:sz w:val="20"/>
            <w:szCs w:val="20"/>
          </w:rPr>
          <w:instrText xml:space="preserve"> PAGEREF _Toc476667871 \h </w:instrText>
        </w:r>
        <w:r w:rsidRPr="005E3CCE">
          <w:rPr>
            <w:rFonts w:ascii="Cambria" w:hAnsi="Cambria"/>
            <w:noProof/>
            <w:webHidden/>
            <w:sz w:val="20"/>
            <w:szCs w:val="20"/>
          </w:rPr>
        </w:r>
        <w:r w:rsidRPr="005E3CCE">
          <w:rPr>
            <w:rFonts w:ascii="Cambria" w:hAnsi="Cambria"/>
            <w:noProof/>
            <w:webHidden/>
            <w:sz w:val="20"/>
            <w:szCs w:val="20"/>
          </w:rPr>
          <w:fldChar w:fldCharType="separate"/>
        </w:r>
        <w:r w:rsidRPr="005E3CCE">
          <w:rPr>
            <w:rFonts w:ascii="Cambria" w:hAnsi="Cambria"/>
            <w:noProof/>
            <w:webHidden/>
            <w:sz w:val="20"/>
            <w:szCs w:val="20"/>
          </w:rPr>
          <w:t>2</w:t>
        </w:r>
        <w:r w:rsidRPr="005E3CCE">
          <w:rPr>
            <w:rFonts w:ascii="Cambria" w:hAnsi="Cambria"/>
            <w:noProof/>
            <w:webHidden/>
            <w:sz w:val="20"/>
            <w:szCs w:val="20"/>
          </w:rPr>
          <w:fldChar w:fldCharType="end"/>
        </w:r>
      </w:hyperlink>
    </w:p>
    <w:p w:rsidR="005E3CCE" w:rsidRDefault="005E3CCE">
      <w:pPr>
        <w:pStyle w:val="TOC1"/>
        <w:rPr>
          <w:rFonts w:ascii="Cambria" w:hAnsi="Cambria"/>
          <w:sz w:val="20"/>
          <w:szCs w:val="20"/>
        </w:rPr>
      </w:pPr>
    </w:p>
    <w:p w:rsidR="00991A78" w:rsidRPr="005E3CCE" w:rsidRDefault="005E3CCE">
      <w:pPr>
        <w:pStyle w:val="TOC1"/>
        <w:rPr>
          <w:rFonts w:ascii="Cambria" w:eastAsiaTheme="minorEastAsia" w:hAnsi="Cambria" w:cstheme="minorBidi"/>
          <w:noProof/>
          <w:sz w:val="20"/>
          <w:szCs w:val="20"/>
          <w:bdr w:val="none" w:sz="0" w:space="0" w:color="auto"/>
        </w:rPr>
      </w:pPr>
      <w:hyperlink w:anchor="_Toc476667872" w:history="1">
        <w:r w:rsidR="00991A78" w:rsidRPr="005E3CCE">
          <w:rPr>
            <w:rStyle w:val="Hyperlink"/>
            <w:rFonts w:ascii="Cambria" w:hAnsi="Cambria"/>
            <w:noProof/>
            <w:sz w:val="20"/>
            <w:szCs w:val="20"/>
          </w:rPr>
          <w:t>II.</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TRÁMITE ANTE LA COMISIÓN</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_Toc476667872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2</w:t>
        </w:r>
        <w:r w:rsidR="00991A78" w:rsidRPr="005E3CCE">
          <w:rPr>
            <w:rFonts w:ascii="Cambria" w:hAnsi="Cambria"/>
            <w:noProof/>
            <w:webHidden/>
            <w:sz w:val="20"/>
            <w:szCs w:val="20"/>
          </w:rPr>
          <w:fldChar w:fldCharType="end"/>
        </w:r>
      </w:hyperlink>
    </w:p>
    <w:p w:rsidR="005E3CCE" w:rsidRDefault="005E3CCE">
      <w:pPr>
        <w:pStyle w:val="TOC1"/>
        <w:rPr>
          <w:rFonts w:ascii="Cambria" w:hAnsi="Cambria"/>
          <w:sz w:val="20"/>
          <w:szCs w:val="20"/>
        </w:rPr>
      </w:pPr>
    </w:p>
    <w:p w:rsidR="00991A78" w:rsidRPr="005E3CCE" w:rsidRDefault="005E3CCE">
      <w:pPr>
        <w:pStyle w:val="TOC1"/>
        <w:rPr>
          <w:rFonts w:ascii="Cambria" w:eastAsiaTheme="minorEastAsia" w:hAnsi="Cambria" w:cstheme="minorBidi"/>
          <w:noProof/>
          <w:sz w:val="20"/>
          <w:szCs w:val="20"/>
          <w:bdr w:val="none" w:sz="0" w:space="0" w:color="auto"/>
        </w:rPr>
      </w:pPr>
      <w:hyperlink w:anchor="_Toc476667873" w:history="1">
        <w:r w:rsidR="00991A78" w:rsidRPr="005E3CCE">
          <w:rPr>
            <w:rStyle w:val="Hyperlink"/>
            <w:rFonts w:ascii="Cambria" w:hAnsi="Cambria"/>
            <w:noProof/>
            <w:sz w:val="20"/>
            <w:szCs w:val="20"/>
          </w:rPr>
          <w:t>III.</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POSICIÓN DE LAS PARTES</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_Toc476667873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3</w:t>
        </w:r>
        <w:r w:rsidR="00991A78" w:rsidRPr="005E3CCE">
          <w:rPr>
            <w:rFonts w:ascii="Cambria" w:hAnsi="Cambria"/>
            <w:noProof/>
            <w:webHidden/>
            <w:sz w:val="20"/>
            <w:szCs w:val="20"/>
          </w:rPr>
          <w:fldChar w:fldCharType="end"/>
        </w:r>
      </w:hyperlink>
    </w:p>
    <w:p w:rsidR="00991A78" w:rsidRPr="005E3CCE" w:rsidRDefault="005E3CCE">
      <w:pPr>
        <w:pStyle w:val="TOC2"/>
        <w:rPr>
          <w:rFonts w:ascii="Cambria" w:eastAsiaTheme="minorEastAsia" w:hAnsi="Cambria" w:cstheme="minorBidi"/>
          <w:noProof/>
          <w:sz w:val="20"/>
          <w:szCs w:val="20"/>
          <w:bdr w:val="none" w:sz="0" w:space="0" w:color="auto"/>
        </w:rPr>
      </w:pPr>
      <w:hyperlink w:anchor="_Toc476667874" w:history="1">
        <w:r w:rsidR="00991A78" w:rsidRPr="005E3CCE">
          <w:rPr>
            <w:rStyle w:val="Hyperlink"/>
            <w:rFonts w:ascii="Cambria" w:hAnsi="Cambria"/>
            <w:noProof/>
            <w:sz w:val="20"/>
            <w:szCs w:val="20"/>
          </w:rPr>
          <w:t>A.</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Posición de los peticionarios</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_Toc476667874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3</w:t>
        </w:r>
        <w:r w:rsidR="00991A78" w:rsidRPr="005E3CCE">
          <w:rPr>
            <w:rFonts w:ascii="Cambria" w:hAnsi="Cambria"/>
            <w:noProof/>
            <w:webHidden/>
            <w:sz w:val="20"/>
            <w:szCs w:val="20"/>
          </w:rPr>
          <w:fldChar w:fldCharType="end"/>
        </w:r>
      </w:hyperlink>
    </w:p>
    <w:p w:rsidR="00991A78" w:rsidRPr="005E3CCE" w:rsidRDefault="005E3CCE">
      <w:pPr>
        <w:pStyle w:val="TOC2"/>
        <w:rPr>
          <w:rFonts w:ascii="Cambria" w:eastAsiaTheme="minorEastAsia" w:hAnsi="Cambria" w:cstheme="minorBidi"/>
          <w:noProof/>
          <w:sz w:val="20"/>
          <w:szCs w:val="20"/>
          <w:bdr w:val="none" w:sz="0" w:space="0" w:color="auto"/>
        </w:rPr>
      </w:pPr>
      <w:hyperlink w:anchor="_Toc476667875" w:history="1">
        <w:r w:rsidR="00991A78" w:rsidRPr="005E3CCE">
          <w:rPr>
            <w:rStyle w:val="Hyperlink"/>
            <w:rFonts w:ascii="Cambria" w:hAnsi="Cambria"/>
            <w:noProof/>
            <w:sz w:val="20"/>
            <w:szCs w:val="20"/>
          </w:rPr>
          <w:t>B.</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Posición del Estado</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_Toc476667875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3</w:t>
        </w:r>
        <w:r w:rsidR="00991A78" w:rsidRPr="005E3CCE">
          <w:rPr>
            <w:rFonts w:ascii="Cambria" w:hAnsi="Cambria"/>
            <w:noProof/>
            <w:webHidden/>
            <w:sz w:val="20"/>
            <w:szCs w:val="20"/>
          </w:rPr>
          <w:fldChar w:fldCharType="end"/>
        </w:r>
      </w:hyperlink>
    </w:p>
    <w:p w:rsidR="005E3CCE" w:rsidRDefault="005E3CCE">
      <w:pPr>
        <w:pStyle w:val="TOC1"/>
        <w:rPr>
          <w:rFonts w:ascii="Cambria" w:hAnsi="Cambria"/>
          <w:sz w:val="20"/>
          <w:szCs w:val="20"/>
        </w:rPr>
      </w:pPr>
    </w:p>
    <w:p w:rsidR="00991A78" w:rsidRPr="005E3CCE" w:rsidRDefault="005E3CCE">
      <w:pPr>
        <w:pStyle w:val="TOC1"/>
        <w:rPr>
          <w:rFonts w:ascii="Cambria" w:eastAsiaTheme="minorEastAsia" w:hAnsi="Cambria" w:cstheme="minorBidi"/>
          <w:noProof/>
          <w:sz w:val="20"/>
          <w:szCs w:val="20"/>
          <w:bdr w:val="none" w:sz="0" w:space="0" w:color="auto"/>
        </w:rPr>
      </w:pPr>
      <w:hyperlink w:anchor="_Toc476667876" w:history="1">
        <w:r w:rsidR="00991A78" w:rsidRPr="005E3CCE">
          <w:rPr>
            <w:rStyle w:val="Hyperlink"/>
            <w:rFonts w:ascii="Cambria" w:hAnsi="Cambria"/>
            <w:noProof/>
            <w:sz w:val="20"/>
            <w:szCs w:val="20"/>
            <w:lang w:val="es-ES_tradnl"/>
          </w:rPr>
          <w:t>IV.</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HECHOS PROBADOS</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_Toc476667876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4</w:t>
        </w:r>
        <w:r w:rsidR="00991A78" w:rsidRPr="005E3CCE">
          <w:rPr>
            <w:rFonts w:ascii="Cambria" w:hAnsi="Cambria"/>
            <w:noProof/>
            <w:webHidden/>
            <w:sz w:val="20"/>
            <w:szCs w:val="20"/>
          </w:rPr>
          <w:fldChar w:fldCharType="end"/>
        </w:r>
      </w:hyperlink>
    </w:p>
    <w:p w:rsidR="00991A78" w:rsidRPr="005E3CCE" w:rsidRDefault="005E3CCE">
      <w:pPr>
        <w:pStyle w:val="TOC2"/>
        <w:rPr>
          <w:rFonts w:ascii="Cambria" w:eastAsiaTheme="minorEastAsia" w:hAnsi="Cambria" w:cstheme="minorBidi"/>
          <w:noProof/>
          <w:sz w:val="20"/>
          <w:szCs w:val="20"/>
          <w:bdr w:val="none" w:sz="0" w:space="0" w:color="auto"/>
        </w:rPr>
      </w:pPr>
      <w:hyperlink w:anchor="_Toc476667877" w:history="1">
        <w:r w:rsidR="00991A78" w:rsidRPr="005E3CCE">
          <w:rPr>
            <w:rStyle w:val="Hyperlink"/>
            <w:rFonts w:ascii="Cambria" w:hAnsi="Cambria"/>
            <w:noProof/>
            <w:sz w:val="20"/>
            <w:szCs w:val="20"/>
          </w:rPr>
          <w:t>A.</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Sobre la detención de Elba Clotilde Perrone y Juan José Preckel en 1976</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_Toc476667877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4</w:t>
        </w:r>
        <w:r w:rsidR="00991A78" w:rsidRPr="005E3CCE">
          <w:rPr>
            <w:rFonts w:ascii="Cambria" w:hAnsi="Cambria"/>
            <w:noProof/>
            <w:webHidden/>
            <w:sz w:val="20"/>
            <w:szCs w:val="20"/>
          </w:rPr>
          <w:fldChar w:fldCharType="end"/>
        </w:r>
      </w:hyperlink>
    </w:p>
    <w:p w:rsidR="00991A78" w:rsidRPr="005E3CCE" w:rsidRDefault="005E3CCE">
      <w:pPr>
        <w:pStyle w:val="TOC2"/>
        <w:rPr>
          <w:rFonts w:ascii="Cambria" w:eastAsiaTheme="minorEastAsia" w:hAnsi="Cambria" w:cstheme="minorBidi"/>
          <w:noProof/>
          <w:sz w:val="20"/>
          <w:szCs w:val="20"/>
          <w:bdr w:val="none" w:sz="0" w:space="0" w:color="auto"/>
        </w:rPr>
      </w:pPr>
      <w:hyperlink w:anchor="_Toc476667878" w:history="1">
        <w:r w:rsidR="00991A78" w:rsidRPr="005E3CCE">
          <w:rPr>
            <w:rStyle w:val="Hyperlink"/>
            <w:rFonts w:ascii="Cambria" w:hAnsi="Cambria"/>
            <w:noProof/>
            <w:sz w:val="20"/>
            <w:szCs w:val="20"/>
          </w:rPr>
          <w:t>B.</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Sobre la situación laboral de la señora Perrone y el señor Preckel</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_Toc476667878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6</w:t>
        </w:r>
        <w:r w:rsidR="00991A78" w:rsidRPr="005E3CCE">
          <w:rPr>
            <w:rFonts w:ascii="Cambria" w:hAnsi="Cambria"/>
            <w:noProof/>
            <w:webHidden/>
            <w:sz w:val="20"/>
            <w:szCs w:val="20"/>
          </w:rPr>
          <w:fldChar w:fldCharType="end"/>
        </w:r>
      </w:hyperlink>
    </w:p>
    <w:p w:rsidR="00991A78" w:rsidRPr="005E3CCE" w:rsidRDefault="005E3CCE">
      <w:pPr>
        <w:pStyle w:val="TOC2"/>
        <w:rPr>
          <w:rFonts w:ascii="Cambria" w:eastAsiaTheme="minorEastAsia" w:hAnsi="Cambria" w:cstheme="minorBidi"/>
          <w:noProof/>
          <w:sz w:val="20"/>
          <w:szCs w:val="20"/>
          <w:bdr w:val="none" w:sz="0" w:space="0" w:color="auto"/>
        </w:rPr>
      </w:pPr>
      <w:hyperlink w:anchor="_Toc476667879" w:history="1">
        <w:r w:rsidR="00991A78" w:rsidRPr="005E3CCE">
          <w:rPr>
            <w:rStyle w:val="Hyperlink"/>
            <w:rFonts w:ascii="Cambria" w:hAnsi="Cambria"/>
            <w:noProof/>
            <w:sz w:val="20"/>
            <w:szCs w:val="20"/>
          </w:rPr>
          <w:t>C.</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Recursos presentados</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_Toc476667879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8</w:t>
        </w:r>
        <w:r w:rsidR="00991A78" w:rsidRPr="005E3CCE">
          <w:rPr>
            <w:rFonts w:ascii="Cambria" w:hAnsi="Cambria"/>
            <w:noProof/>
            <w:webHidden/>
            <w:sz w:val="20"/>
            <w:szCs w:val="20"/>
          </w:rPr>
          <w:fldChar w:fldCharType="end"/>
        </w:r>
      </w:hyperlink>
    </w:p>
    <w:p w:rsidR="00991A78" w:rsidRPr="005E3CCE" w:rsidRDefault="005E3CCE">
      <w:pPr>
        <w:pStyle w:val="TOC3"/>
        <w:tabs>
          <w:tab w:val="left" w:pos="2160"/>
        </w:tabs>
        <w:rPr>
          <w:rFonts w:ascii="Cambria" w:eastAsiaTheme="minorEastAsia" w:hAnsi="Cambria" w:cstheme="minorBidi"/>
          <w:noProof/>
          <w:sz w:val="20"/>
          <w:szCs w:val="20"/>
          <w:bdr w:val="none" w:sz="0" w:space="0" w:color="auto"/>
        </w:rPr>
      </w:pPr>
      <w:hyperlink w:anchor="_Toc476667880" w:history="1">
        <w:r w:rsidR="00991A78" w:rsidRPr="005E3CCE">
          <w:rPr>
            <w:rStyle w:val="Hyperlink"/>
            <w:rFonts w:ascii="Cambria" w:hAnsi="Cambria"/>
            <w:noProof/>
            <w:sz w:val="20"/>
            <w:szCs w:val="20"/>
          </w:rPr>
          <w:t>1.</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Procedimiento administrativo</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_Toc476667880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8</w:t>
        </w:r>
        <w:r w:rsidR="00991A78" w:rsidRPr="005E3CCE">
          <w:rPr>
            <w:rFonts w:ascii="Cambria" w:hAnsi="Cambria"/>
            <w:noProof/>
            <w:webHidden/>
            <w:sz w:val="20"/>
            <w:szCs w:val="20"/>
          </w:rPr>
          <w:fldChar w:fldCharType="end"/>
        </w:r>
      </w:hyperlink>
    </w:p>
    <w:p w:rsidR="00991A78" w:rsidRPr="005E3CCE" w:rsidRDefault="005E3CCE">
      <w:pPr>
        <w:pStyle w:val="TOC3"/>
        <w:tabs>
          <w:tab w:val="left" w:pos="2160"/>
        </w:tabs>
        <w:rPr>
          <w:rFonts w:ascii="Cambria" w:eastAsiaTheme="minorEastAsia" w:hAnsi="Cambria" w:cstheme="minorBidi"/>
          <w:noProof/>
          <w:sz w:val="20"/>
          <w:szCs w:val="20"/>
          <w:bdr w:val="none" w:sz="0" w:space="0" w:color="auto"/>
        </w:rPr>
      </w:pPr>
      <w:hyperlink w:anchor="_Toc476667881" w:history="1">
        <w:r w:rsidR="00991A78" w:rsidRPr="005E3CCE">
          <w:rPr>
            <w:rStyle w:val="Hyperlink"/>
            <w:rFonts w:ascii="Cambria" w:hAnsi="Cambria"/>
            <w:iCs/>
            <w:noProof/>
            <w:sz w:val="20"/>
            <w:szCs w:val="20"/>
          </w:rPr>
          <w:t>2.</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iCs/>
            <w:noProof/>
            <w:sz w:val="20"/>
            <w:szCs w:val="20"/>
          </w:rPr>
          <w:t>Procedimiento judicial</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_Toc476667881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10</w:t>
        </w:r>
        <w:r w:rsidR="00991A78" w:rsidRPr="005E3CCE">
          <w:rPr>
            <w:rFonts w:ascii="Cambria" w:hAnsi="Cambria"/>
            <w:noProof/>
            <w:webHidden/>
            <w:sz w:val="20"/>
            <w:szCs w:val="20"/>
          </w:rPr>
          <w:fldChar w:fldCharType="end"/>
        </w:r>
      </w:hyperlink>
    </w:p>
    <w:p w:rsidR="005E3CCE" w:rsidRDefault="005E3CCE">
      <w:pPr>
        <w:pStyle w:val="TOC1"/>
        <w:rPr>
          <w:rFonts w:ascii="Cambria" w:hAnsi="Cambria"/>
          <w:sz w:val="20"/>
          <w:szCs w:val="20"/>
        </w:rPr>
      </w:pPr>
    </w:p>
    <w:p w:rsidR="00991A78" w:rsidRPr="005E3CCE" w:rsidRDefault="005E3CCE">
      <w:pPr>
        <w:pStyle w:val="TOC1"/>
        <w:rPr>
          <w:rFonts w:ascii="Cambria" w:eastAsiaTheme="minorEastAsia" w:hAnsi="Cambria" w:cstheme="minorBidi"/>
          <w:noProof/>
          <w:sz w:val="20"/>
          <w:szCs w:val="20"/>
          <w:bdr w:val="none" w:sz="0" w:space="0" w:color="auto"/>
        </w:rPr>
      </w:pPr>
      <w:hyperlink w:anchor="_Toc476667882" w:history="1">
        <w:r w:rsidR="00991A78" w:rsidRPr="005E3CCE">
          <w:rPr>
            <w:rStyle w:val="Hyperlink"/>
            <w:rFonts w:ascii="Cambria" w:hAnsi="Cambria"/>
            <w:noProof/>
            <w:sz w:val="20"/>
            <w:szCs w:val="20"/>
            <w:lang w:val="es-ES_tradnl"/>
          </w:rPr>
          <w:t>V.</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ANÁLISIS DE FONDO</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_Toc476667882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15</w:t>
        </w:r>
        <w:r w:rsidR="00991A78" w:rsidRPr="005E3CCE">
          <w:rPr>
            <w:rFonts w:ascii="Cambria" w:hAnsi="Cambria"/>
            <w:noProof/>
            <w:webHidden/>
            <w:sz w:val="20"/>
            <w:szCs w:val="20"/>
          </w:rPr>
          <w:fldChar w:fldCharType="end"/>
        </w:r>
      </w:hyperlink>
    </w:p>
    <w:p w:rsidR="00991A78" w:rsidRPr="005E3CCE" w:rsidRDefault="005E3CCE">
      <w:pPr>
        <w:pStyle w:val="TOC2"/>
        <w:rPr>
          <w:rFonts w:ascii="Cambria" w:eastAsiaTheme="minorEastAsia" w:hAnsi="Cambria" w:cstheme="minorBidi"/>
          <w:noProof/>
          <w:sz w:val="20"/>
          <w:szCs w:val="20"/>
          <w:bdr w:val="none" w:sz="0" w:space="0" w:color="auto"/>
        </w:rPr>
      </w:pPr>
      <w:hyperlink w:anchor="_Toc476667883" w:history="1">
        <w:r w:rsidR="00991A78" w:rsidRPr="005E3CCE">
          <w:rPr>
            <w:rStyle w:val="Hyperlink"/>
            <w:rFonts w:ascii="Cambria" w:hAnsi="Cambria"/>
            <w:noProof/>
            <w:sz w:val="20"/>
            <w:szCs w:val="20"/>
            <w:lang w:val="es-ES"/>
          </w:rPr>
          <w:t>A.</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lang w:val="es-ES"/>
          </w:rPr>
          <w:t>Cuestiones previas</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_Toc476667883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15</w:t>
        </w:r>
        <w:r w:rsidR="00991A78" w:rsidRPr="005E3CCE">
          <w:rPr>
            <w:rFonts w:ascii="Cambria" w:hAnsi="Cambria"/>
            <w:noProof/>
            <w:webHidden/>
            <w:sz w:val="20"/>
            <w:szCs w:val="20"/>
          </w:rPr>
          <w:fldChar w:fldCharType="end"/>
        </w:r>
      </w:hyperlink>
    </w:p>
    <w:p w:rsidR="00991A78" w:rsidRPr="005E3CCE" w:rsidRDefault="005E3CCE">
      <w:pPr>
        <w:pStyle w:val="TOC2"/>
        <w:rPr>
          <w:rFonts w:ascii="Cambria" w:eastAsiaTheme="minorEastAsia" w:hAnsi="Cambria" w:cstheme="minorBidi"/>
          <w:noProof/>
          <w:sz w:val="20"/>
          <w:szCs w:val="20"/>
          <w:bdr w:val="none" w:sz="0" w:space="0" w:color="auto"/>
        </w:rPr>
      </w:pPr>
      <w:hyperlink w:anchor="_Toc476667884" w:history="1">
        <w:r w:rsidR="00991A78" w:rsidRPr="005E3CCE">
          <w:rPr>
            <w:rStyle w:val="Hyperlink"/>
            <w:rFonts w:ascii="Cambria" w:hAnsi="Cambria"/>
            <w:noProof/>
            <w:sz w:val="20"/>
            <w:szCs w:val="20"/>
            <w:lang w:val="es-ES"/>
          </w:rPr>
          <w:t>B.</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lang w:val="es-ES"/>
          </w:rPr>
          <w:t>Derecho a las garantías judiciales y protección judicial (artículos 8.1 y 25.1 de la Convención Americana) en relación con el artículo 1.1 del mismo instrumento</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_Toc476667884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16</w:t>
        </w:r>
        <w:r w:rsidR="00991A78" w:rsidRPr="005E3CCE">
          <w:rPr>
            <w:rFonts w:ascii="Cambria" w:hAnsi="Cambria"/>
            <w:noProof/>
            <w:webHidden/>
            <w:sz w:val="20"/>
            <w:szCs w:val="20"/>
          </w:rPr>
          <w:fldChar w:fldCharType="end"/>
        </w:r>
      </w:hyperlink>
    </w:p>
    <w:p w:rsidR="00991A78" w:rsidRPr="005E3CCE" w:rsidRDefault="005E3CCE">
      <w:pPr>
        <w:pStyle w:val="TOC3"/>
        <w:tabs>
          <w:tab w:val="left" w:pos="2160"/>
        </w:tabs>
        <w:rPr>
          <w:rFonts w:ascii="Cambria" w:eastAsiaTheme="minorEastAsia" w:hAnsi="Cambria" w:cstheme="minorBidi"/>
          <w:noProof/>
          <w:sz w:val="20"/>
          <w:szCs w:val="20"/>
          <w:bdr w:val="none" w:sz="0" w:space="0" w:color="auto"/>
        </w:rPr>
      </w:pPr>
      <w:hyperlink w:anchor="_Toc476667885" w:history="1">
        <w:r w:rsidR="00991A78" w:rsidRPr="005E3CCE">
          <w:rPr>
            <w:rStyle w:val="Hyperlink"/>
            <w:rFonts w:ascii="Cambria" w:hAnsi="Cambria"/>
            <w:noProof/>
            <w:sz w:val="20"/>
            <w:szCs w:val="20"/>
          </w:rPr>
          <w:t>1.</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Sobre la garantía del plazo razonable</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_Toc476667885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17</w:t>
        </w:r>
        <w:r w:rsidR="00991A78" w:rsidRPr="005E3CCE">
          <w:rPr>
            <w:rFonts w:ascii="Cambria" w:hAnsi="Cambria"/>
            <w:noProof/>
            <w:webHidden/>
            <w:sz w:val="20"/>
            <w:szCs w:val="20"/>
          </w:rPr>
          <w:fldChar w:fldCharType="end"/>
        </w:r>
      </w:hyperlink>
    </w:p>
    <w:p w:rsidR="00991A78" w:rsidRPr="005E3CCE" w:rsidRDefault="005E3CCE">
      <w:pPr>
        <w:pStyle w:val="TOC3"/>
        <w:tabs>
          <w:tab w:val="left" w:pos="2160"/>
        </w:tabs>
        <w:rPr>
          <w:rFonts w:ascii="Cambria" w:eastAsiaTheme="minorEastAsia" w:hAnsi="Cambria" w:cstheme="minorBidi"/>
          <w:noProof/>
          <w:sz w:val="20"/>
          <w:szCs w:val="20"/>
          <w:bdr w:val="none" w:sz="0" w:space="0" w:color="auto"/>
        </w:rPr>
      </w:pPr>
      <w:hyperlink w:anchor="_Toc476667886" w:history="1">
        <w:r w:rsidR="00991A78" w:rsidRPr="005E3CCE">
          <w:rPr>
            <w:rStyle w:val="Hyperlink"/>
            <w:rFonts w:ascii="Cambria" w:hAnsi="Cambria"/>
            <w:noProof/>
            <w:sz w:val="20"/>
            <w:szCs w:val="20"/>
          </w:rPr>
          <w:t xml:space="preserve">2. </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Sobre el deber de motivación como garantía del debido proceso</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_Toc476667886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18</w:t>
        </w:r>
        <w:r w:rsidR="00991A78" w:rsidRPr="005E3CCE">
          <w:rPr>
            <w:rFonts w:ascii="Cambria" w:hAnsi="Cambria"/>
            <w:noProof/>
            <w:webHidden/>
            <w:sz w:val="20"/>
            <w:szCs w:val="20"/>
          </w:rPr>
          <w:fldChar w:fldCharType="end"/>
        </w:r>
      </w:hyperlink>
    </w:p>
    <w:p w:rsidR="005E3CCE" w:rsidRDefault="005E3CCE">
      <w:pPr>
        <w:pStyle w:val="TOC1"/>
        <w:rPr>
          <w:rFonts w:ascii="Cambria" w:hAnsi="Cambria"/>
          <w:sz w:val="20"/>
          <w:szCs w:val="20"/>
        </w:rPr>
      </w:pPr>
    </w:p>
    <w:p w:rsidR="00991A78" w:rsidRPr="005E3CCE" w:rsidRDefault="005E3CCE">
      <w:pPr>
        <w:pStyle w:val="TOC1"/>
        <w:rPr>
          <w:rFonts w:ascii="Cambria" w:eastAsiaTheme="minorEastAsia" w:hAnsi="Cambria" w:cstheme="minorBidi"/>
          <w:noProof/>
          <w:sz w:val="20"/>
          <w:szCs w:val="20"/>
          <w:bdr w:val="none" w:sz="0" w:space="0" w:color="auto"/>
        </w:rPr>
      </w:pPr>
      <w:hyperlink w:anchor="_Toc476667887" w:history="1">
        <w:r w:rsidR="00991A78" w:rsidRPr="005E3CCE">
          <w:rPr>
            <w:rStyle w:val="Hyperlink"/>
            <w:rFonts w:ascii="Cambria" w:hAnsi="Cambria"/>
            <w:noProof/>
            <w:sz w:val="20"/>
            <w:szCs w:val="20"/>
          </w:rPr>
          <w:t>VI.</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CONCLUSIONES</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_Toc476667887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20</w:t>
        </w:r>
        <w:r w:rsidR="00991A78" w:rsidRPr="005E3CCE">
          <w:rPr>
            <w:rFonts w:ascii="Cambria" w:hAnsi="Cambria"/>
            <w:noProof/>
            <w:webHidden/>
            <w:sz w:val="20"/>
            <w:szCs w:val="20"/>
          </w:rPr>
          <w:fldChar w:fldCharType="end"/>
        </w:r>
      </w:hyperlink>
    </w:p>
    <w:p w:rsidR="005E3CCE" w:rsidRDefault="005E3CCE">
      <w:pPr>
        <w:pStyle w:val="TOC1"/>
        <w:rPr>
          <w:rFonts w:ascii="Cambria" w:hAnsi="Cambria"/>
          <w:sz w:val="20"/>
          <w:szCs w:val="20"/>
        </w:rPr>
      </w:pPr>
    </w:p>
    <w:p w:rsidR="00991A78" w:rsidRPr="005E3CCE" w:rsidRDefault="005E3CCE">
      <w:pPr>
        <w:pStyle w:val="TOC1"/>
        <w:rPr>
          <w:rFonts w:ascii="Cambria" w:eastAsiaTheme="minorEastAsia" w:hAnsi="Cambria" w:cstheme="minorBidi"/>
          <w:noProof/>
          <w:sz w:val="20"/>
          <w:szCs w:val="20"/>
          <w:bdr w:val="none" w:sz="0" w:space="0" w:color="auto"/>
        </w:rPr>
      </w:pPr>
      <w:hyperlink w:anchor="_Toc476667888" w:history="1">
        <w:r w:rsidR="00991A78" w:rsidRPr="005E3CCE">
          <w:rPr>
            <w:rStyle w:val="Hyperlink"/>
            <w:rFonts w:ascii="Cambria" w:hAnsi="Cambria"/>
            <w:noProof/>
            <w:sz w:val="20"/>
            <w:szCs w:val="20"/>
          </w:rPr>
          <w:t>VII.</w:t>
        </w:r>
        <w:r w:rsidR="00991A78" w:rsidRPr="005E3CCE">
          <w:rPr>
            <w:rFonts w:ascii="Cambria" w:eastAsiaTheme="minorEastAsia" w:hAnsi="Cambria" w:cstheme="minorBidi"/>
            <w:noProof/>
            <w:sz w:val="20"/>
            <w:szCs w:val="20"/>
            <w:bdr w:val="none" w:sz="0" w:space="0" w:color="auto"/>
          </w:rPr>
          <w:tab/>
        </w:r>
        <w:r w:rsidR="00991A78" w:rsidRPr="005E3CCE">
          <w:rPr>
            <w:rStyle w:val="Hyperlink"/>
            <w:rFonts w:ascii="Cambria" w:hAnsi="Cambria"/>
            <w:noProof/>
            <w:sz w:val="20"/>
            <w:szCs w:val="20"/>
          </w:rPr>
          <w:t>RECO</w:t>
        </w:r>
        <w:r w:rsidR="00991A78" w:rsidRPr="005E3CCE">
          <w:rPr>
            <w:rStyle w:val="Hyperlink"/>
            <w:rFonts w:ascii="Cambria" w:hAnsi="Cambria"/>
            <w:noProof/>
            <w:sz w:val="20"/>
            <w:szCs w:val="20"/>
          </w:rPr>
          <w:t>M</w:t>
        </w:r>
        <w:r w:rsidR="00991A78" w:rsidRPr="005E3CCE">
          <w:rPr>
            <w:rStyle w:val="Hyperlink"/>
            <w:rFonts w:ascii="Cambria" w:hAnsi="Cambria"/>
            <w:noProof/>
            <w:sz w:val="20"/>
            <w:szCs w:val="20"/>
          </w:rPr>
          <w:t>ENDACIONES</w:t>
        </w:r>
        <w:r w:rsidR="00991A78" w:rsidRPr="005E3CCE">
          <w:rPr>
            <w:rFonts w:ascii="Cambria" w:hAnsi="Cambria"/>
            <w:noProof/>
            <w:webHidden/>
            <w:sz w:val="20"/>
            <w:szCs w:val="20"/>
          </w:rPr>
          <w:tab/>
        </w:r>
        <w:r w:rsidR="00991A78" w:rsidRPr="005E3CCE">
          <w:rPr>
            <w:rFonts w:ascii="Cambria" w:hAnsi="Cambria"/>
            <w:noProof/>
            <w:webHidden/>
            <w:sz w:val="20"/>
            <w:szCs w:val="20"/>
          </w:rPr>
          <w:fldChar w:fldCharType="begin"/>
        </w:r>
        <w:r w:rsidR="00991A78" w:rsidRPr="005E3CCE">
          <w:rPr>
            <w:rFonts w:ascii="Cambria" w:hAnsi="Cambria"/>
            <w:noProof/>
            <w:webHidden/>
            <w:sz w:val="20"/>
            <w:szCs w:val="20"/>
          </w:rPr>
          <w:instrText xml:space="preserve"> PAGEREF _Toc476667888 \h </w:instrText>
        </w:r>
        <w:r w:rsidR="00991A78" w:rsidRPr="005E3CCE">
          <w:rPr>
            <w:rFonts w:ascii="Cambria" w:hAnsi="Cambria"/>
            <w:noProof/>
            <w:webHidden/>
            <w:sz w:val="20"/>
            <w:szCs w:val="20"/>
          </w:rPr>
        </w:r>
        <w:r w:rsidR="00991A78" w:rsidRPr="005E3CCE">
          <w:rPr>
            <w:rFonts w:ascii="Cambria" w:hAnsi="Cambria"/>
            <w:noProof/>
            <w:webHidden/>
            <w:sz w:val="20"/>
            <w:szCs w:val="20"/>
          </w:rPr>
          <w:fldChar w:fldCharType="separate"/>
        </w:r>
        <w:r w:rsidR="00991A78" w:rsidRPr="005E3CCE">
          <w:rPr>
            <w:rFonts w:ascii="Cambria" w:hAnsi="Cambria"/>
            <w:noProof/>
            <w:webHidden/>
            <w:sz w:val="20"/>
            <w:szCs w:val="20"/>
          </w:rPr>
          <w:t>21</w:t>
        </w:r>
        <w:r w:rsidR="00991A78" w:rsidRPr="005E3CCE">
          <w:rPr>
            <w:rFonts w:ascii="Cambria" w:hAnsi="Cambria"/>
            <w:noProof/>
            <w:webHidden/>
            <w:sz w:val="20"/>
            <w:szCs w:val="20"/>
          </w:rPr>
          <w:fldChar w:fldCharType="end"/>
        </w:r>
      </w:hyperlink>
    </w:p>
    <w:p w:rsidR="00991A78" w:rsidRDefault="00991A78" w:rsidP="005E3CCE">
      <w:pPr>
        <w:tabs>
          <w:tab w:val="center" w:pos="5400"/>
        </w:tabs>
        <w:suppressAutoHyphens/>
        <w:spacing w:line="276" w:lineRule="auto"/>
        <w:ind w:firstLine="567"/>
        <w:rPr>
          <w:rFonts w:ascii="Cambria" w:hAnsi="Cambria"/>
          <w:sz w:val="20"/>
          <w:szCs w:val="20"/>
          <w:lang w:val="es-ES_tradnl"/>
        </w:rPr>
      </w:pPr>
      <w:r w:rsidRPr="005E3CCE">
        <w:rPr>
          <w:rFonts w:ascii="Cambria" w:hAnsi="Cambria"/>
          <w:sz w:val="20"/>
          <w:szCs w:val="20"/>
          <w:lang w:val="es-ES_tradnl"/>
        </w:rPr>
        <w:fldChar w:fldCharType="end"/>
      </w:r>
    </w:p>
    <w:p w:rsidR="00991A78" w:rsidRDefault="00991A78" w:rsidP="007A61F8">
      <w:pPr>
        <w:tabs>
          <w:tab w:val="center" w:pos="5400"/>
        </w:tabs>
        <w:suppressAutoHyphens/>
        <w:spacing w:line="276" w:lineRule="auto"/>
        <w:ind w:firstLine="567"/>
        <w:rPr>
          <w:rFonts w:ascii="Cambria" w:hAnsi="Cambria"/>
          <w:sz w:val="20"/>
          <w:szCs w:val="20"/>
          <w:lang w:val="es-ES_tradnl"/>
        </w:rPr>
      </w:pPr>
    </w:p>
    <w:p w:rsidR="00991A78" w:rsidRPr="00E57D5F" w:rsidRDefault="00991A78" w:rsidP="007A61F8">
      <w:pPr>
        <w:tabs>
          <w:tab w:val="center" w:pos="5400"/>
        </w:tabs>
        <w:suppressAutoHyphens/>
        <w:spacing w:line="276" w:lineRule="auto"/>
        <w:ind w:firstLine="567"/>
        <w:rPr>
          <w:rFonts w:ascii="Cambria" w:hAnsi="Cambria"/>
          <w:sz w:val="20"/>
          <w:szCs w:val="20"/>
          <w:lang w:val="es-ES_tradnl"/>
        </w:rPr>
      </w:pPr>
    </w:p>
    <w:p w:rsidR="007A61F8" w:rsidRPr="00E57D5F" w:rsidRDefault="007A61F8" w:rsidP="007A61F8">
      <w:pPr>
        <w:ind w:firstLine="567"/>
        <w:rPr>
          <w:rFonts w:ascii="Cambria" w:hAnsi="Cambria" w:cs="Calibri"/>
          <w:sz w:val="20"/>
          <w:szCs w:val="20"/>
          <w:lang w:val="es-ES"/>
        </w:rPr>
      </w:pPr>
      <w:r w:rsidRPr="00E57D5F">
        <w:rPr>
          <w:rFonts w:ascii="Cambria" w:hAnsi="Cambria" w:cs="Calibri"/>
          <w:sz w:val="20"/>
          <w:szCs w:val="20"/>
          <w:lang w:val="es-ES"/>
        </w:rPr>
        <w:br w:type="page"/>
      </w:r>
    </w:p>
    <w:p w:rsidR="005E3CCE" w:rsidRPr="005E3CCE" w:rsidRDefault="005E3CCE" w:rsidP="005E3CCE">
      <w:pPr>
        <w:pStyle w:val="Title"/>
        <w:rPr>
          <w:rFonts w:ascii="Cambria" w:hAnsi="Cambria"/>
          <w:sz w:val="18"/>
          <w:szCs w:val="18"/>
        </w:rPr>
      </w:pPr>
      <w:r w:rsidRPr="005E3CCE">
        <w:rPr>
          <w:rFonts w:ascii="Cambria" w:hAnsi="Cambria"/>
          <w:sz w:val="18"/>
          <w:szCs w:val="18"/>
        </w:rPr>
        <w:lastRenderedPageBreak/>
        <w:t>INFORME No. 21/17</w:t>
      </w:r>
    </w:p>
    <w:p w:rsidR="005E3CCE" w:rsidRPr="005E3CCE" w:rsidRDefault="005E3CCE" w:rsidP="005E3CCE">
      <w:pPr>
        <w:jc w:val="center"/>
        <w:rPr>
          <w:rFonts w:ascii="Cambria" w:hAnsi="Cambria"/>
          <w:b/>
          <w:bCs/>
          <w:sz w:val="18"/>
          <w:szCs w:val="18"/>
          <w:lang w:val="es-AR"/>
        </w:rPr>
      </w:pPr>
      <w:r w:rsidRPr="005E3CCE">
        <w:rPr>
          <w:rFonts w:ascii="Cambria" w:hAnsi="Cambria"/>
          <w:b/>
          <w:bCs/>
          <w:sz w:val="18"/>
          <w:szCs w:val="18"/>
          <w:lang w:val="es-AR"/>
        </w:rPr>
        <w:t>CASO 11.738</w:t>
      </w:r>
    </w:p>
    <w:p w:rsidR="005E3CCE" w:rsidRPr="005E3CCE" w:rsidRDefault="005E3CCE" w:rsidP="005E3CCE">
      <w:pPr>
        <w:jc w:val="center"/>
        <w:rPr>
          <w:rFonts w:ascii="Cambria" w:hAnsi="Cambria" w:cs="Arial"/>
          <w:bCs/>
          <w:sz w:val="18"/>
          <w:szCs w:val="18"/>
          <w:lang w:val="es-AR"/>
        </w:rPr>
      </w:pPr>
      <w:r w:rsidRPr="005E3CCE">
        <w:rPr>
          <w:rFonts w:ascii="Cambria" w:hAnsi="Cambria" w:cs="Arial"/>
          <w:bCs/>
          <w:sz w:val="18"/>
          <w:szCs w:val="18"/>
          <w:lang w:val="es-AR"/>
        </w:rPr>
        <w:t>FONDO</w:t>
      </w:r>
    </w:p>
    <w:p w:rsidR="005E3CCE" w:rsidRPr="005E3CCE" w:rsidRDefault="005E3CCE" w:rsidP="005E3CCE">
      <w:pPr>
        <w:jc w:val="center"/>
        <w:rPr>
          <w:rFonts w:ascii="Cambria" w:hAnsi="Cambria" w:cs="Arial"/>
          <w:bCs/>
          <w:sz w:val="18"/>
          <w:szCs w:val="18"/>
          <w:lang w:val="es-AR"/>
        </w:rPr>
      </w:pPr>
      <w:r w:rsidRPr="005E3CCE">
        <w:rPr>
          <w:rFonts w:ascii="Cambria" w:hAnsi="Cambria" w:cs="Arial"/>
          <w:bCs/>
          <w:sz w:val="18"/>
          <w:szCs w:val="18"/>
          <w:lang w:val="es-AR"/>
        </w:rPr>
        <w:t>ELBA CLOTILDE PERRONE Y JUAN JOSE PRECKEL</w:t>
      </w:r>
    </w:p>
    <w:p w:rsidR="005E3CCE" w:rsidRPr="005E3CCE" w:rsidRDefault="005E3CCE" w:rsidP="005E3CCE">
      <w:pPr>
        <w:jc w:val="center"/>
        <w:rPr>
          <w:rFonts w:ascii="Cambria" w:hAnsi="Cambria" w:cs="Arial"/>
          <w:bCs/>
          <w:sz w:val="18"/>
          <w:szCs w:val="18"/>
          <w:lang w:val="es-AR"/>
        </w:rPr>
      </w:pPr>
      <w:r w:rsidRPr="005E3CCE">
        <w:rPr>
          <w:rFonts w:ascii="Cambria" w:hAnsi="Cambria" w:cs="Arial"/>
          <w:bCs/>
          <w:sz w:val="18"/>
          <w:szCs w:val="18"/>
          <w:lang w:val="es-AR"/>
        </w:rPr>
        <w:t>ARGENTINA</w:t>
      </w:r>
    </w:p>
    <w:p w:rsidR="005E3CCE" w:rsidRPr="005E3CCE" w:rsidRDefault="005E3CCE" w:rsidP="005E3CCE">
      <w:pPr>
        <w:jc w:val="center"/>
        <w:rPr>
          <w:rFonts w:ascii="Cambria" w:hAnsi="Cambria" w:cs="Arial"/>
          <w:bCs/>
          <w:sz w:val="18"/>
          <w:szCs w:val="18"/>
          <w:lang w:val="es-AR"/>
        </w:rPr>
      </w:pPr>
      <w:r w:rsidRPr="005E3CCE">
        <w:rPr>
          <w:rFonts w:ascii="Cambria" w:hAnsi="Cambria" w:cs="Arial"/>
          <w:bCs/>
          <w:sz w:val="18"/>
          <w:szCs w:val="18"/>
          <w:lang w:val="es-AR"/>
        </w:rPr>
        <w:t>18 DE MARZO DE 2017</w:t>
      </w:r>
    </w:p>
    <w:p w:rsidR="007A61F8" w:rsidRPr="00E57D5F" w:rsidRDefault="007A61F8" w:rsidP="007A61F8">
      <w:pPr>
        <w:ind w:firstLine="567"/>
        <w:jc w:val="both"/>
        <w:rPr>
          <w:rFonts w:ascii="Cambria" w:hAnsi="Cambria" w:cs="Arial"/>
          <w:sz w:val="20"/>
          <w:szCs w:val="20"/>
          <w:lang w:val="es-AR"/>
        </w:rPr>
      </w:pPr>
    </w:p>
    <w:p w:rsidR="007A61F8" w:rsidRPr="00E57D5F" w:rsidRDefault="007A61F8" w:rsidP="007A61F8">
      <w:pPr>
        <w:ind w:firstLine="567"/>
        <w:jc w:val="both"/>
        <w:rPr>
          <w:rFonts w:ascii="Cambria" w:hAnsi="Cambria" w:cs="Arial"/>
          <w:sz w:val="20"/>
          <w:szCs w:val="20"/>
          <w:lang w:val="es-AR"/>
        </w:rPr>
      </w:pPr>
    </w:p>
    <w:p w:rsidR="007A61F8" w:rsidRPr="008F1889" w:rsidRDefault="007A61F8" w:rsidP="00ED46A1">
      <w:pPr>
        <w:pStyle w:val="Heading1"/>
      </w:pPr>
      <w:bookmarkStart w:id="2" w:name="_Toc370830569"/>
      <w:bookmarkStart w:id="3" w:name="_Toc370831280"/>
      <w:bookmarkStart w:id="4" w:name="_Toc412635569"/>
      <w:bookmarkStart w:id="5" w:name="_Toc416685625"/>
      <w:bookmarkStart w:id="6" w:name="_Toc476667871"/>
      <w:r w:rsidRPr="008F1889">
        <w:t>RESUMEN</w:t>
      </w:r>
      <w:bookmarkEnd w:id="2"/>
      <w:bookmarkEnd w:id="3"/>
      <w:bookmarkEnd w:id="4"/>
      <w:bookmarkEnd w:id="5"/>
      <w:bookmarkEnd w:id="6"/>
    </w:p>
    <w:p w:rsidR="007A61F8" w:rsidRPr="00E57D5F" w:rsidRDefault="007A61F8" w:rsidP="007A61F8">
      <w:pPr>
        <w:ind w:firstLine="567"/>
        <w:jc w:val="both"/>
        <w:rPr>
          <w:rFonts w:ascii="Cambria" w:hAnsi="Cambria" w:cs="Arial"/>
          <w:sz w:val="20"/>
          <w:szCs w:val="20"/>
          <w:lang w:val="es-AR"/>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El 23 de diciembre de 1996 y el 13 de enero de 1997 la Comisión Interamericana de Derechos Humanos (en adelante “la Comisión”, “la Comisión Interamericana” o “la CIDH”) recibió dos peticiones presentadas por la Asamblea Permanente por los Derechos Humanos</w:t>
      </w:r>
      <w:r w:rsidRPr="00E57D5F">
        <w:rPr>
          <w:rStyle w:val="FootnoteReference"/>
          <w:rFonts w:ascii="Cambria" w:hAnsi="Cambria"/>
          <w:sz w:val="20"/>
          <w:szCs w:val="20"/>
        </w:rPr>
        <w:footnoteReference w:id="1"/>
      </w:r>
      <w:r w:rsidRPr="00E57D5F">
        <w:rPr>
          <w:rFonts w:ascii="Cambria" w:hAnsi="Cambria"/>
          <w:sz w:val="20"/>
          <w:szCs w:val="20"/>
        </w:rPr>
        <w:t xml:space="preserve"> (en adelante “los peticionarios”), en la cual se alegó la responsabilidad internacional de la República de Argentina (en adelante “el Estado”, “el Estado argentino” o “Argentina”) por no haber otorgado a Elba Clotilde </w:t>
      </w:r>
      <w:proofErr w:type="spellStart"/>
      <w:r w:rsidRPr="00E57D5F">
        <w:rPr>
          <w:rFonts w:ascii="Cambria" w:hAnsi="Cambria"/>
          <w:sz w:val="20"/>
          <w:szCs w:val="20"/>
        </w:rPr>
        <w:t>Perrone</w:t>
      </w:r>
      <w:proofErr w:type="spellEnd"/>
      <w:r w:rsidRPr="00E57D5F">
        <w:rPr>
          <w:rFonts w:ascii="Cambria" w:hAnsi="Cambria"/>
          <w:sz w:val="20"/>
          <w:szCs w:val="20"/>
        </w:rPr>
        <w:t xml:space="preserve"> y Juan José </w:t>
      </w:r>
      <w:proofErr w:type="spellStart"/>
      <w:r w:rsidRPr="00E57D5F">
        <w:rPr>
          <w:rFonts w:ascii="Cambria" w:hAnsi="Cambria"/>
          <w:sz w:val="20"/>
          <w:szCs w:val="20"/>
        </w:rPr>
        <w:t>Preckel</w:t>
      </w:r>
      <w:proofErr w:type="spellEnd"/>
      <w:r w:rsidRPr="00E57D5F">
        <w:rPr>
          <w:rFonts w:ascii="Cambria" w:hAnsi="Cambria"/>
          <w:sz w:val="20"/>
          <w:szCs w:val="20"/>
        </w:rPr>
        <w:t xml:space="preserve"> el pago de sus haberes laborales durante el tiempo que estuvieron detenidos y en el exilio.</w:t>
      </w:r>
    </w:p>
    <w:p w:rsidR="007A61F8" w:rsidRPr="00E57D5F" w:rsidRDefault="007A61F8" w:rsidP="007A61F8">
      <w:pPr>
        <w:pStyle w:val="BodyTextIndent"/>
        <w:ind w:left="0" w:firstLine="567"/>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Según los peticionarios, durante la época de la dictadura militar argentina, la señora </w:t>
      </w:r>
      <w:proofErr w:type="spellStart"/>
      <w:r w:rsidRPr="00E57D5F">
        <w:rPr>
          <w:rFonts w:ascii="Cambria" w:hAnsi="Cambria"/>
          <w:sz w:val="20"/>
          <w:szCs w:val="20"/>
        </w:rPr>
        <w:t>Perrone</w:t>
      </w:r>
      <w:proofErr w:type="spellEnd"/>
      <w:r w:rsidRPr="00E57D5F">
        <w:rPr>
          <w:rFonts w:ascii="Cambria" w:hAnsi="Cambria"/>
          <w:sz w:val="20"/>
          <w:szCs w:val="20"/>
        </w:rPr>
        <w:t xml:space="preserve"> y el señor </w:t>
      </w:r>
      <w:proofErr w:type="spellStart"/>
      <w:r w:rsidRPr="00E57D5F">
        <w:rPr>
          <w:rFonts w:ascii="Cambria" w:hAnsi="Cambria"/>
          <w:sz w:val="20"/>
          <w:szCs w:val="20"/>
        </w:rPr>
        <w:t>Preckel</w:t>
      </w:r>
      <w:proofErr w:type="spellEnd"/>
      <w:r w:rsidRPr="00E57D5F">
        <w:rPr>
          <w:rFonts w:ascii="Cambria" w:hAnsi="Cambria"/>
          <w:sz w:val="20"/>
          <w:szCs w:val="20"/>
        </w:rPr>
        <w:t xml:space="preserve"> trabajaban en el sector público en la Dirección General Impositiva. Señalaron que fueron detenidos, torturados y, tras su liberación, exiliados. Los peticionarios alegaron que la señora </w:t>
      </w:r>
      <w:proofErr w:type="spellStart"/>
      <w:r w:rsidRPr="00E57D5F">
        <w:rPr>
          <w:rFonts w:ascii="Cambria" w:hAnsi="Cambria"/>
          <w:sz w:val="20"/>
          <w:szCs w:val="20"/>
        </w:rPr>
        <w:t>Perrone</w:t>
      </w:r>
      <w:proofErr w:type="spellEnd"/>
      <w:r w:rsidRPr="00E57D5F">
        <w:rPr>
          <w:rFonts w:ascii="Cambria" w:hAnsi="Cambria"/>
          <w:sz w:val="20"/>
          <w:szCs w:val="20"/>
        </w:rPr>
        <w:t xml:space="preserve"> y el señor </w:t>
      </w:r>
      <w:proofErr w:type="spellStart"/>
      <w:r w:rsidRPr="00E57D5F">
        <w:rPr>
          <w:rFonts w:ascii="Cambria" w:hAnsi="Cambria"/>
          <w:sz w:val="20"/>
          <w:szCs w:val="20"/>
        </w:rPr>
        <w:t>Preckel</w:t>
      </w:r>
      <w:proofErr w:type="spellEnd"/>
      <w:r w:rsidRPr="00E57D5F">
        <w:rPr>
          <w:rFonts w:ascii="Cambria" w:hAnsi="Cambria"/>
          <w:sz w:val="20"/>
          <w:szCs w:val="20"/>
        </w:rPr>
        <w:t xml:space="preserve"> interpusieron distintos recursos a nivel interno a fin de recibir las remuneraciones y demás beneficios laborales que dejaron de percibir durante dicho tiempo. Indicaron que las </w:t>
      </w:r>
      <w:r w:rsidR="00D869B9" w:rsidRPr="00E57D5F">
        <w:rPr>
          <w:rFonts w:ascii="Cambria" w:hAnsi="Cambria"/>
          <w:sz w:val="20"/>
          <w:szCs w:val="20"/>
        </w:rPr>
        <w:t xml:space="preserve">instancias </w:t>
      </w:r>
      <w:r w:rsidRPr="00E57D5F">
        <w:rPr>
          <w:rFonts w:ascii="Cambria" w:hAnsi="Cambria"/>
          <w:sz w:val="20"/>
          <w:szCs w:val="20"/>
        </w:rPr>
        <w:t>administrativas y judiciales no aceptaron sus reclamos, lo que generó una situación de denegación de justicia. Explicaron que dichas decisiones no tuvieron una adecuada motivación y no siguieron las reglas del debido proceso.</w:t>
      </w:r>
    </w:p>
    <w:p w:rsidR="007A61F8" w:rsidRPr="00E57D5F" w:rsidRDefault="007A61F8" w:rsidP="007A61F8">
      <w:pPr>
        <w:pStyle w:val="BodyTextIndent"/>
        <w:ind w:left="0" w:firstLine="567"/>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El Estado alegó que conforme a la Ley No. 24.043 se pagó una indemnización a ambas presuntas víctimas por las distintas afectaciones que sufrieron durante su privación de libertad, incluyendo las lesiones que les fueron causadas. Señaló que dicho pago satisfizo la reclamación de ambas personas en materia de reparación por la violación de sus derechos humanos. Indicó que las decisiones administrativas y judiciales relativas a su reclamo de los haberes dejados de percibir, fueron emitidas respetando el debido proceso y el contenido de las mismas se basó en la normativa interna. </w:t>
      </w:r>
    </w:p>
    <w:p w:rsidR="007A61F8" w:rsidRPr="00E57D5F" w:rsidRDefault="007A61F8" w:rsidP="007A61F8">
      <w:pPr>
        <w:pStyle w:val="BodyTextIndent"/>
        <w:ind w:left="0" w:firstLine="567"/>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Tras analizar la información disponible, la Comisión concluyó que el Estado de Argentina es responsable por la violación de los derechos a las garantías judiciales y protección judicial, establecidos en los artículos 8.1 y 25.1 de la Convención Americana sobre Derechos Humanos (en adelante “la Convención Americana” o “la Convención”) en relación con las obligaciones establecidas en el artículo 1.1 del mismo instrumento, en perjuicio de Elba Clotilde </w:t>
      </w:r>
      <w:proofErr w:type="spellStart"/>
      <w:r w:rsidRPr="00E57D5F">
        <w:rPr>
          <w:rFonts w:ascii="Cambria" w:hAnsi="Cambria"/>
          <w:sz w:val="20"/>
          <w:szCs w:val="20"/>
        </w:rPr>
        <w:t>Perrone</w:t>
      </w:r>
      <w:proofErr w:type="spellEnd"/>
      <w:r w:rsidRPr="00E57D5F">
        <w:rPr>
          <w:rFonts w:ascii="Cambria" w:hAnsi="Cambria"/>
          <w:sz w:val="20"/>
          <w:szCs w:val="20"/>
        </w:rPr>
        <w:t xml:space="preserve"> y Juan José </w:t>
      </w:r>
      <w:proofErr w:type="spellStart"/>
      <w:r w:rsidRPr="00E57D5F">
        <w:rPr>
          <w:rFonts w:ascii="Cambria" w:hAnsi="Cambria"/>
          <w:sz w:val="20"/>
          <w:szCs w:val="20"/>
        </w:rPr>
        <w:t>Preckel</w:t>
      </w:r>
      <w:proofErr w:type="spellEnd"/>
      <w:r w:rsidRPr="00E57D5F">
        <w:rPr>
          <w:rFonts w:ascii="Cambria" w:hAnsi="Cambria"/>
          <w:sz w:val="20"/>
          <w:szCs w:val="20"/>
        </w:rPr>
        <w:t xml:space="preserve">.  </w:t>
      </w:r>
    </w:p>
    <w:p w:rsidR="007A61F8" w:rsidRPr="00E57D5F" w:rsidRDefault="007A61F8" w:rsidP="007A61F8">
      <w:pPr>
        <w:pStyle w:val="NormalWeb"/>
        <w:spacing w:before="0" w:beforeAutospacing="0" w:after="0" w:afterAutospacing="0"/>
        <w:ind w:firstLine="567"/>
        <w:jc w:val="both"/>
        <w:rPr>
          <w:rFonts w:ascii="Cambria" w:hAnsi="Cambria" w:cs="Arial"/>
          <w:sz w:val="20"/>
          <w:szCs w:val="20"/>
          <w:lang w:val="es-AR"/>
        </w:rPr>
      </w:pPr>
    </w:p>
    <w:p w:rsidR="007A61F8" w:rsidRPr="008F1889" w:rsidRDefault="007A61F8" w:rsidP="00ED46A1">
      <w:pPr>
        <w:pStyle w:val="Heading1"/>
      </w:pPr>
      <w:bookmarkStart w:id="7" w:name="_Toc370830570"/>
      <w:bookmarkStart w:id="8" w:name="_Toc370831281"/>
      <w:bookmarkStart w:id="9" w:name="_Toc412635570"/>
      <w:bookmarkStart w:id="10" w:name="_Toc416685626"/>
      <w:bookmarkStart w:id="11" w:name="_Toc476667872"/>
      <w:r w:rsidRPr="008F1889">
        <w:t>TRÁMITE ANTE LA COMISIÓN</w:t>
      </w:r>
      <w:bookmarkEnd w:id="7"/>
      <w:bookmarkEnd w:id="8"/>
      <w:bookmarkEnd w:id="9"/>
      <w:bookmarkEnd w:id="10"/>
      <w:bookmarkEnd w:id="11"/>
      <w:r w:rsidRPr="008F1889">
        <w:t xml:space="preserve"> </w:t>
      </w:r>
    </w:p>
    <w:p w:rsidR="007A61F8" w:rsidRPr="00E57D5F" w:rsidRDefault="007A61F8" w:rsidP="007A61F8">
      <w:pPr>
        <w:ind w:firstLine="567"/>
        <w:jc w:val="both"/>
        <w:rPr>
          <w:rFonts w:ascii="Cambria" w:hAnsi="Cambria" w:cs="Arial"/>
          <w:sz w:val="20"/>
          <w:szCs w:val="20"/>
          <w:lang w:val="es-AR"/>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s-AR"/>
        </w:rPr>
      </w:pPr>
      <w:r w:rsidRPr="00E57D5F">
        <w:rPr>
          <w:rFonts w:ascii="Cambria" w:hAnsi="Cambria"/>
          <w:sz w:val="20"/>
          <w:szCs w:val="20"/>
        </w:rPr>
        <w:t>Mediante comunicaciones recibidas el 23 de diciembre de 1996 y el 13 de enero de 1997, la Asamblea Permanente por los Derechos Humanos denunció los hechos del presente caso. El trámite del caso durante la etapa de admisibilidad se encuentra descrito en el informe No. 67/99 de 4 de mayo de 1999</w:t>
      </w:r>
      <w:r w:rsidRPr="00E57D5F">
        <w:rPr>
          <w:rStyle w:val="FootnoteReference"/>
          <w:rFonts w:ascii="Cambria" w:hAnsi="Cambria"/>
          <w:sz w:val="20"/>
          <w:szCs w:val="20"/>
        </w:rPr>
        <w:footnoteReference w:id="2"/>
      </w:r>
      <w:r w:rsidRPr="00E57D5F">
        <w:rPr>
          <w:rFonts w:ascii="Cambria" w:hAnsi="Cambria"/>
          <w:sz w:val="20"/>
          <w:szCs w:val="20"/>
        </w:rPr>
        <w:t>. La CIDH declaró la petición admisible respecto de los derechos establecidos en los artículos 3, 8, 21, 24 y 25 de la Convención Americana, y en el artículo XIV de la Declaración Americana sobre Derechos y Deberes del Hombre.</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sz w:val="20"/>
          <w:szCs w:val="20"/>
          <w:lang w:val="es-AR"/>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s-AR"/>
        </w:rPr>
      </w:pPr>
      <w:r w:rsidRPr="00E57D5F">
        <w:rPr>
          <w:rFonts w:ascii="Cambria" w:hAnsi="Cambria"/>
          <w:sz w:val="20"/>
          <w:szCs w:val="20"/>
        </w:rPr>
        <w:t xml:space="preserve">El 13 de mayo de 1999 la Comisión notificó a las partes el informe de admisibilidad. Asimismo, la CIDH se puso a disposición de las partes para una eventual solución amistosa. El 14 de abril de </w:t>
      </w:r>
      <w:r w:rsidRPr="00E57D5F">
        <w:rPr>
          <w:rFonts w:ascii="Cambria" w:hAnsi="Cambria"/>
          <w:sz w:val="20"/>
          <w:szCs w:val="20"/>
        </w:rPr>
        <w:lastRenderedPageBreak/>
        <w:t>2000 los peticionarios enviaron una comunicación a la CIDH indicando su disposición para alcanzar un acuerdo de solución amistosa. El 31 de mayo de 2000 la Comisión envió la comunicación de los peticionarios al Estado y le solicitó que en el plazo de 60 días presentara las observaciones correspondientes. El 8 de febrero de 2001 el Estado presentó una comunicación indicando que no aceptaba entrar a un proceso de solución amistosa. En la misma comunicación el Estado presentó sus observaciones sobre el fondo. El 15 de junio de 2001 los peticionarios presentaron sus observaciones de fondo y solicitaron a la CIDH que continúe con la etapa de fondo. Posteriormente, la Comisión recibió comunicaciones de fondo de las dos partes, las cuales fueron debidamente trasladadas.</w:t>
      </w:r>
    </w:p>
    <w:p w:rsidR="007A61F8" w:rsidRPr="00E57D5F" w:rsidRDefault="007A61F8" w:rsidP="007A61F8">
      <w:pPr>
        <w:ind w:firstLine="567"/>
        <w:rPr>
          <w:rFonts w:ascii="Cambria" w:hAnsi="Cambria"/>
          <w:sz w:val="20"/>
          <w:szCs w:val="20"/>
          <w:lang w:val="es-ES"/>
        </w:rPr>
      </w:pPr>
      <w:bookmarkStart w:id="12" w:name="_Toc370830571"/>
      <w:bookmarkStart w:id="13" w:name="_Toc370831282"/>
    </w:p>
    <w:p w:rsidR="007A61F8" w:rsidRPr="008F1889" w:rsidRDefault="007A61F8" w:rsidP="00ED46A1">
      <w:pPr>
        <w:pStyle w:val="Heading1"/>
      </w:pPr>
      <w:bookmarkStart w:id="14" w:name="_Toc412635571"/>
      <w:bookmarkStart w:id="15" w:name="_Toc416685627"/>
      <w:bookmarkStart w:id="16" w:name="_Toc476667873"/>
      <w:r w:rsidRPr="008F1889">
        <w:t>POSICIÓN DE LAS PARTES</w:t>
      </w:r>
      <w:bookmarkEnd w:id="12"/>
      <w:bookmarkEnd w:id="13"/>
      <w:bookmarkEnd w:id="14"/>
      <w:bookmarkEnd w:id="15"/>
      <w:bookmarkEnd w:id="16"/>
    </w:p>
    <w:p w:rsidR="007A61F8" w:rsidRPr="00E57D5F" w:rsidRDefault="007A61F8" w:rsidP="007A61F8">
      <w:pPr>
        <w:ind w:firstLine="567"/>
        <w:rPr>
          <w:rFonts w:ascii="Cambria" w:hAnsi="Cambria"/>
          <w:sz w:val="20"/>
          <w:szCs w:val="20"/>
          <w:lang w:val="es-AR"/>
        </w:rPr>
      </w:pPr>
    </w:p>
    <w:p w:rsidR="007A61F8" w:rsidRPr="00E57D5F" w:rsidRDefault="007A61F8" w:rsidP="007A61F8">
      <w:pPr>
        <w:pStyle w:val="Heading2"/>
      </w:pPr>
      <w:bookmarkStart w:id="17" w:name="_Toc370831283"/>
      <w:bookmarkStart w:id="18" w:name="_Toc412635572"/>
      <w:bookmarkStart w:id="19" w:name="_Toc416685628"/>
      <w:bookmarkStart w:id="20" w:name="_Toc476667874"/>
      <w:r w:rsidRPr="00E57D5F">
        <w:t>Posición de los peticionarios</w:t>
      </w:r>
      <w:bookmarkEnd w:id="17"/>
      <w:bookmarkEnd w:id="18"/>
      <w:bookmarkEnd w:id="19"/>
      <w:bookmarkEnd w:id="20"/>
    </w:p>
    <w:p w:rsidR="007A61F8" w:rsidRPr="00E57D5F" w:rsidRDefault="007A61F8" w:rsidP="007A61F8">
      <w:pPr>
        <w:ind w:firstLine="567"/>
        <w:rPr>
          <w:rFonts w:ascii="Cambria" w:hAnsi="Cambria"/>
          <w:sz w:val="20"/>
          <w:szCs w:val="20"/>
          <w:lang w:val="es-AR"/>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lang w:val="es-CO"/>
        </w:rPr>
        <w:t xml:space="preserve">Los peticionarios precisaron que el objeto de su petición no es que la CIDH determine la responsabilidad de Estado por la detención, torturas y exilio, sino por no </w:t>
      </w:r>
      <w:r w:rsidRPr="00E57D5F">
        <w:rPr>
          <w:rFonts w:ascii="Cambria" w:hAnsi="Cambria"/>
          <w:sz w:val="20"/>
          <w:szCs w:val="20"/>
        </w:rPr>
        <w:t xml:space="preserve">haber permitido que Elba Clotilde </w:t>
      </w:r>
      <w:proofErr w:type="spellStart"/>
      <w:r w:rsidRPr="00E57D5F">
        <w:rPr>
          <w:rFonts w:ascii="Cambria" w:hAnsi="Cambria"/>
          <w:sz w:val="20"/>
          <w:szCs w:val="20"/>
        </w:rPr>
        <w:t>Perrone</w:t>
      </w:r>
      <w:proofErr w:type="spellEnd"/>
      <w:r w:rsidRPr="00E57D5F">
        <w:rPr>
          <w:rFonts w:ascii="Cambria" w:hAnsi="Cambria"/>
          <w:sz w:val="20"/>
          <w:szCs w:val="20"/>
        </w:rPr>
        <w:t xml:space="preserve"> y Juan José </w:t>
      </w:r>
      <w:proofErr w:type="spellStart"/>
      <w:r w:rsidRPr="00E57D5F">
        <w:rPr>
          <w:rFonts w:ascii="Cambria" w:hAnsi="Cambria"/>
          <w:sz w:val="20"/>
          <w:szCs w:val="20"/>
        </w:rPr>
        <w:t>Preckel</w:t>
      </w:r>
      <w:proofErr w:type="spellEnd"/>
      <w:r w:rsidRPr="00E57D5F">
        <w:rPr>
          <w:rFonts w:ascii="Cambria" w:hAnsi="Cambria"/>
          <w:sz w:val="20"/>
          <w:szCs w:val="20"/>
        </w:rPr>
        <w:t xml:space="preserve"> percibieran sus haberes laborales durante el tiempo que estuvieron detenidos y en exilio. De esta forma quedó delimitado el objeto del presente caso en el informe de admisibilidad.</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Los peticionarios señalaron, a manera de antecedentes, que la señora </w:t>
      </w:r>
      <w:proofErr w:type="spellStart"/>
      <w:r w:rsidRPr="00E57D5F">
        <w:rPr>
          <w:rFonts w:ascii="Cambria" w:hAnsi="Cambria"/>
          <w:sz w:val="20"/>
          <w:szCs w:val="20"/>
        </w:rPr>
        <w:t>Perrone</w:t>
      </w:r>
      <w:proofErr w:type="spellEnd"/>
      <w:r w:rsidRPr="00E57D5F">
        <w:rPr>
          <w:rFonts w:ascii="Cambria" w:hAnsi="Cambria"/>
          <w:sz w:val="20"/>
          <w:szCs w:val="20"/>
        </w:rPr>
        <w:t xml:space="preserve"> y el señor </w:t>
      </w:r>
      <w:proofErr w:type="spellStart"/>
      <w:r w:rsidRPr="00E57D5F">
        <w:rPr>
          <w:rFonts w:ascii="Cambria" w:hAnsi="Cambria"/>
          <w:sz w:val="20"/>
          <w:szCs w:val="20"/>
        </w:rPr>
        <w:t>Preckel</w:t>
      </w:r>
      <w:proofErr w:type="spellEnd"/>
      <w:r w:rsidRPr="00E57D5F">
        <w:rPr>
          <w:rFonts w:ascii="Cambria" w:hAnsi="Cambria"/>
          <w:sz w:val="20"/>
          <w:szCs w:val="20"/>
        </w:rPr>
        <w:t xml:space="preserve"> trabajaban en 1976 en la Dirección General Impositiva, entonces dependiente de la Secretaría de Hacienda. Indicaron que en julio de dicho año, en el marco del régimen militar, ambas personas fueron detenidas arbitrariamente y sometidas a actos de tortura en su contra. Informaron que la señora </w:t>
      </w:r>
      <w:proofErr w:type="spellStart"/>
      <w:r w:rsidRPr="00E57D5F">
        <w:rPr>
          <w:rFonts w:ascii="Cambria" w:hAnsi="Cambria"/>
          <w:sz w:val="20"/>
          <w:szCs w:val="20"/>
        </w:rPr>
        <w:t>Perrone</w:t>
      </w:r>
      <w:proofErr w:type="spellEnd"/>
      <w:r w:rsidRPr="00E57D5F">
        <w:rPr>
          <w:rFonts w:ascii="Cambria" w:hAnsi="Cambria"/>
          <w:sz w:val="20"/>
          <w:szCs w:val="20"/>
        </w:rPr>
        <w:t xml:space="preserve"> fue liberada en octubre de 1982. Señalaron que el señor </w:t>
      </w:r>
      <w:proofErr w:type="spellStart"/>
      <w:r w:rsidRPr="00E57D5F">
        <w:rPr>
          <w:rFonts w:ascii="Cambria" w:hAnsi="Cambria"/>
          <w:sz w:val="20"/>
          <w:szCs w:val="20"/>
        </w:rPr>
        <w:t>Preckel</w:t>
      </w:r>
      <w:proofErr w:type="spellEnd"/>
      <w:r w:rsidRPr="00E57D5F">
        <w:rPr>
          <w:rFonts w:ascii="Cambria" w:hAnsi="Cambria"/>
          <w:sz w:val="20"/>
          <w:szCs w:val="20"/>
        </w:rPr>
        <w:t xml:space="preserve"> </w:t>
      </w:r>
      <w:r w:rsidR="00D869B9" w:rsidRPr="00E57D5F">
        <w:rPr>
          <w:rFonts w:ascii="Cambria" w:hAnsi="Cambria"/>
          <w:sz w:val="20"/>
          <w:szCs w:val="20"/>
        </w:rPr>
        <w:t xml:space="preserve">fue liberado a mediados de 1979 y </w:t>
      </w:r>
      <w:r w:rsidRPr="00E57D5F">
        <w:rPr>
          <w:rFonts w:ascii="Cambria" w:hAnsi="Cambria"/>
          <w:sz w:val="20"/>
          <w:szCs w:val="20"/>
        </w:rPr>
        <w:t>estuvo exiliado en Alemania entre septiembre de 1979 y diciembre de 1984. Los peticionarios señalaron que ambas personas fueron indemnizadas por tales hechos a través de la Ley No. 24.043 – Indemnización para ex Detenidos. Indicaron que dicha norma otorgó beneficios a las personas que fueron detenidas arbitrariamente durante la época de la dictadura militar.</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7A61F8" w:rsidRPr="00ED46A1" w:rsidRDefault="007A61F8" w:rsidP="00D869B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s-AR"/>
        </w:rPr>
      </w:pPr>
      <w:r w:rsidRPr="00ED46A1">
        <w:rPr>
          <w:rFonts w:ascii="Cambria" w:hAnsi="Cambria"/>
          <w:sz w:val="20"/>
          <w:szCs w:val="20"/>
          <w:lang w:val="es-AR"/>
        </w:rPr>
        <w:t xml:space="preserve">Los peticionarios alegaron que el Estado vulneró los derechos a las garantías judiciales y protección judicial de </w:t>
      </w:r>
      <w:r w:rsidRPr="00ED46A1">
        <w:rPr>
          <w:rFonts w:ascii="Cambria" w:hAnsi="Cambria"/>
          <w:sz w:val="20"/>
          <w:szCs w:val="20"/>
        </w:rPr>
        <w:t xml:space="preserve">la señora </w:t>
      </w:r>
      <w:proofErr w:type="spellStart"/>
      <w:r w:rsidRPr="00ED46A1">
        <w:rPr>
          <w:rFonts w:ascii="Cambria" w:hAnsi="Cambria"/>
          <w:sz w:val="20"/>
          <w:szCs w:val="20"/>
        </w:rPr>
        <w:t>Perrone</w:t>
      </w:r>
      <w:proofErr w:type="spellEnd"/>
      <w:r w:rsidRPr="00ED46A1">
        <w:rPr>
          <w:rFonts w:ascii="Cambria" w:hAnsi="Cambria"/>
          <w:sz w:val="20"/>
          <w:szCs w:val="20"/>
        </w:rPr>
        <w:t xml:space="preserve"> y el señor </w:t>
      </w:r>
      <w:proofErr w:type="spellStart"/>
      <w:r w:rsidRPr="00ED46A1">
        <w:rPr>
          <w:rFonts w:ascii="Cambria" w:hAnsi="Cambria"/>
          <w:sz w:val="20"/>
          <w:szCs w:val="20"/>
        </w:rPr>
        <w:t>Preckel</w:t>
      </w:r>
      <w:proofErr w:type="spellEnd"/>
      <w:r w:rsidRPr="00ED46A1">
        <w:rPr>
          <w:rFonts w:ascii="Cambria" w:hAnsi="Cambria"/>
          <w:sz w:val="20"/>
          <w:szCs w:val="20"/>
          <w:lang w:val="es-AR"/>
        </w:rPr>
        <w:t xml:space="preserve">. Señalaron que ambas personas iniciaron en junio de 1988 un procedimiento administrativo solicitando el pago de los haberes laborales y que, tras distintas instancias, la Corte Suprema de Justicia de la </w:t>
      </w:r>
      <w:r w:rsidR="00D869B9" w:rsidRPr="00ED46A1">
        <w:rPr>
          <w:rFonts w:ascii="Cambria" w:hAnsi="Cambria"/>
          <w:sz w:val="20"/>
          <w:szCs w:val="20"/>
          <w:lang w:val="es-AR"/>
        </w:rPr>
        <w:t xml:space="preserve">Nación denegó sus pretensiones. </w:t>
      </w:r>
      <w:r w:rsidRPr="00ED46A1">
        <w:rPr>
          <w:rFonts w:ascii="Cambria" w:hAnsi="Cambria" w:cs="Arial"/>
          <w:sz w:val="20"/>
          <w:szCs w:val="20"/>
          <w:lang w:val="es-AR"/>
        </w:rPr>
        <w:t xml:space="preserve">Indicaron que </w:t>
      </w:r>
      <w:r w:rsidRPr="00ED46A1">
        <w:rPr>
          <w:rFonts w:ascii="Cambria" w:hAnsi="Cambria"/>
          <w:sz w:val="20"/>
        </w:rPr>
        <w:t xml:space="preserve">el juez no resolvió sobre los fundamentos de hecho y de derecho expuestos en la demanda presentada y que el juez incorporó una defensa no esgrimida por la entidad demandada en el momento procesal oportuno, lo que constituyó una acción arbitraria por parte de la autoridad judicial. En consideración de los peticionarios, esto afectó su derecho de defensa. </w:t>
      </w:r>
    </w:p>
    <w:p w:rsidR="00D869B9" w:rsidRPr="00ED46A1" w:rsidRDefault="00D869B9" w:rsidP="00D869B9">
      <w:pPr>
        <w:pStyle w:val="ListParagraph"/>
        <w:rPr>
          <w:rFonts w:ascii="Cambria" w:hAnsi="Cambria" w:cs="Arial"/>
          <w:sz w:val="20"/>
          <w:szCs w:val="20"/>
          <w:lang w:val="es-AR"/>
        </w:rPr>
      </w:pPr>
    </w:p>
    <w:p w:rsidR="007A61F8" w:rsidRPr="00ED46A1"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s-AR"/>
        </w:rPr>
      </w:pPr>
      <w:r w:rsidRPr="00ED46A1">
        <w:rPr>
          <w:rFonts w:ascii="Cambria" w:hAnsi="Cambria" w:cs="Arial"/>
          <w:sz w:val="20"/>
          <w:szCs w:val="20"/>
          <w:lang w:val="es-AR"/>
        </w:rPr>
        <w:t xml:space="preserve">Los peticionarios alegaron que también se vulneró el derecho a la propiedad y a la justa redistribución por el trabajo de la </w:t>
      </w:r>
      <w:r w:rsidRPr="00ED46A1">
        <w:rPr>
          <w:rFonts w:ascii="Cambria" w:hAnsi="Cambria"/>
          <w:sz w:val="20"/>
          <w:szCs w:val="20"/>
        </w:rPr>
        <w:t xml:space="preserve">señora </w:t>
      </w:r>
      <w:proofErr w:type="spellStart"/>
      <w:r w:rsidRPr="00ED46A1">
        <w:rPr>
          <w:rFonts w:ascii="Cambria" w:hAnsi="Cambria"/>
          <w:sz w:val="20"/>
          <w:szCs w:val="20"/>
        </w:rPr>
        <w:t>Perrone</w:t>
      </w:r>
      <w:proofErr w:type="spellEnd"/>
      <w:r w:rsidRPr="00ED46A1">
        <w:rPr>
          <w:rFonts w:ascii="Cambria" w:hAnsi="Cambria"/>
          <w:sz w:val="20"/>
          <w:szCs w:val="20"/>
        </w:rPr>
        <w:t xml:space="preserve"> y el señor </w:t>
      </w:r>
      <w:proofErr w:type="spellStart"/>
      <w:r w:rsidRPr="00ED46A1">
        <w:rPr>
          <w:rFonts w:ascii="Cambria" w:hAnsi="Cambria"/>
          <w:sz w:val="20"/>
          <w:szCs w:val="20"/>
        </w:rPr>
        <w:t>Preckel</w:t>
      </w:r>
      <w:proofErr w:type="spellEnd"/>
      <w:r w:rsidRPr="00ED46A1">
        <w:rPr>
          <w:rFonts w:ascii="Cambria" w:hAnsi="Cambria"/>
          <w:sz w:val="20"/>
          <w:szCs w:val="20"/>
          <w:lang w:val="es-AR"/>
        </w:rPr>
        <w:t xml:space="preserve"> debido a las remuneraciones que dejaron de percibir, así como de otros beneficios laborales que no recibieron mientras estuvieron detenidos y posteriormente en exilio. </w:t>
      </w:r>
      <w:r w:rsidRPr="00ED46A1">
        <w:rPr>
          <w:rFonts w:ascii="Cambria" w:hAnsi="Cambria"/>
          <w:sz w:val="20"/>
          <w:lang w:val="es-ES"/>
        </w:rPr>
        <w:t>Señalaron que la indemnización recibida en el marco de la Ley 24.043 no incluyó el pago por concepto de la relación laboral sostenida con la Dirección General Impositiva.</w:t>
      </w:r>
    </w:p>
    <w:p w:rsidR="007A61F8" w:rsidRPr="00ED46A1"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sz w:val="20"/>
          <w:szCs w:val="20"/>
          <w:lang w:val="es-AR"/>
        </w:rPr>
      </w:pPr>
    </w:p>
    <w:p w:rsidR="007A61F8" w:rsidRPr="00ED46A1"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rPr>
      </w:pPr>
      <w:r w:rsidRPr="00ED46A1">
        <w:rPr>
          <w:rFonts w:ascii="Cambria" w:hAnsi="Cambria"/>
          <w:sz w:val="20"/>
        </w:rPr>
        <w:t xml:space="preserve">También señalaron que se violó el derecho a la igualdad ante la ley pues los agentes de la administración pública que continuaron prestando servicios y aquellos que no los prestaron por causas de fuerza mayor, sí percibieron su salario. Los peticionarios alegaron que la condición de "detenidos" </w:t>
      </w:r>
      <w:r w:rsidRPr="00ED46A1">
        <w:rPr>
          <w:rFonts w:ascii="Cambria" w:hAnsi="Cambria" w:cs="Arial"/>
          <w:sz w:val="20"/>
          <w:szCs w:val="20"/>
          <w:lang w:val="es-AR"/>
        </w:rPr>
        <w:t xml:space="preserve">de la </w:t>
      </w:r>
      <w:r w:rsidRPr="00ED46A1">
        <w:rPr>
          <w:rFonts w:ascii="Cambria" w:hAnsi="Cambria"/>
          <w:sz w:val="20"/>
          <w:szCs w:val="20"/>
        </w:rPr>
        <w:t xml:space="preserve">señora </w:t>
      </w:r>
      <w:proofErr w:type="spellStart"/>
      <w:r w:rsidRPr="00ED46A1">
        <w:rPr>
          <w:rFonts w:ascii="Cambria" w:hAnsi="Cambria"/>
          <w:sz w:val="20"/>
          <w:szCs w:val="20"/>
        </w:rPr>
        <w:t>Perrone</w:t>
      </w:r>
      <w:proofErr w:type="spellEnd"/>
      <w:r w:rsidRPr="00ED46A1">
        <w:rPr>
          <w:rFonts w:ascii="Cambria" w:hAnsi="Cambria"/>
          <w:sz w:val="20"/>
          <w:szCs w:val="20"/>
        </w:rPr>
        <w:t xml:space="preserve"> y el señor </w:t>
      </w:r>
      <w:proofErr w:type="spellStart"/>
      <w:r w:rsidRPr="00ED46A1">
        <w:rPr>
          <w:rFonts w:ascii="Cambria" w:hAnsi="Cambria"/>
          <w:sz w:val="20"/>
          <w:szCs w:val="20"/>
        </w:rPr>
        <w:t>Preckel</w:t>
      </w:r>
      <w:proofErr w:type="spellEnd"/>
      <w:r w:rsidRPr="00ED46A1">
        <w:rPr>
          <w:rFonts w:ascii="Cambria" w:hAnsi="Cambria"/>
          <w:sz w:val="20"/>
        </w:rPr>
        <w:t xml:space="preserve"> debió considerarse un caso de fuerza mayor y por lo tanto, encuadrar dentro del supuesto del artículo 14.c del Régimen de Licencias, Justificaciones y Franquicias de la Administración Pública Nacional - Decreto No. 3413 de 1979. Indicaron que dicha norma se refiere al régimen de licencias y justificaciones del personal de administración pública. </w:t>
      </w:r>
    </w:p>
    <w:p w:rsidR="007A61F8" w:rsidRPr="00E57D5F" w:rsidRDefault="007A61F8" w:rsidP="007A61F8">
      <w:pPr>
        <w:rPr>
          <w:rFonts w:ascii="Cambria" w:hAnsi="Cambria"/>
          <w:sz w:val="20"/>
          <w:szCs w:val="20"/>
          <w:lang w:val="es-ES_tradnl"/>
        </w:rPr>
      </w:pPr>
    </w:p>
    <w:p w:rsidR="007A61F8" w:rsidRPr="00E57D5F" w:rsidRDefault="007A61F8" w:rsidP="007A61F8">
      <w:pPr>
        <w:pStyle w:val="Heading2"/>
      </w:pPr>
      <w:bookmarkStart w:id="21" w:name="_Toc370831284"/>
      <w:bookmarkStart w:id="22" w:name="_Toc412635573"/>
      <w:bookmarkStart w:id="23" w:name="_Toc416685629"/>
      <w:bookmarkStart w:id="24" w:name="_Toc476667875"/>
      <w:r w:rsidRPr="00E57D5F">
        <w:t>Posición del Estado</w:t>
      </w:r>
      <w:bookmarkEnd w:id="21"/>
      <w:bookmarkEnd w:id="22"/>
      <w:bookmarkEnd w:id="23"/>
      <w:bookmarkEnd w:id="24"/>
    </w:p>
    <w:p w:rsidR="007A61F8" w:rsidRPr="00E57D5F" w:rsidRDefault="007A61F8" w:rsidP="007A61F8">
      <w:pPr>
        <w:ind w:firstLine="567"/>
        <w:rPr>
          <w:rFonts w:ascii="Cambria" w:hAnsi="Cambria"/>
          <w:sz w:val="20"/>
          <w:szCs w:val="20"/>
          <w:lang w:val="es-AR"/>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El Estado reconoció la ocurrencia de los hechos </w:t>
      </w:r>
      <w:r w:rsidR="00D869B9" w:rsidRPr="00E57D5F">
        <w:rPr>
          <w:rFonts w:ascii="Cambria" w:hAnsi="Cambria"/>
          <w:sz w:val="20"/>
          <w:szCs w:val="20"/>
        </w:rPr>
        <w:t>alegados</w:t>
      </w:r>
      <w:r w:rsidRPr="00E57D5F">
        <w:rPr>
          <w:rFonts w:ascii="Cambria" w:hAnsi="Cambria"/>
          <w:sz w:val="20"/>
          <w:szCs w:val="20"/>
        </w:rPr>
        <w:t xml:space="preserve"> por los </w:t>
      </w:r>
      <w:r w:rsidR="00974718" w:rsidRPr="00E57D5F">
        <w:rPr>
          <w:rFonts w:ascii="Cambria" w:hAnsi="Cambria"/>
          <w:sz w:val="20"/>
          <w:szCs w:val="20"/>
        </w:rPr>
        <w:t>peticionarios</w:t>
      </w:r>
      <w:r w:rsidRPr="00E57D5F">
        <w:rPr>
          <w:rFonts w:ascii="Cambria" w:hAnsi="Cambria"/>
          <w:sz w:val="20"/>
          <w:szCs w:val="20"/>
        </w:rPr>
        <w:t xml:space="preserve"> </w:t>
      </w:r>
      <w:r w:rsidR="00D869B9" w:rsidRPr="00E57D5F">
        <w:rPr>
          <w:rFonts w:ascii="Cambria" w:hAnsi="Cambria"/>
          <w:sz w:val="20"/>
          <w:szCs w:val="20"/>
        </w:rPr>
        <w:t>relacionados con</w:t>
      </w:r>
      <w:r w:rsidRPr="00E57D5F">
        <w:rPr>
          <w:rFonts w:ascii="Cambria" w:hAnsi="Cambria"/>
          <w:sz w:val="20"/>
          <w:szCs w:val="20"/>
        </w:rPr>
        <w:t xml:space="preserve"> la detención y las lesiones generadas en perjuicio de </w:t>
      </w:r>
      <w:r w:rsidRPr="00E57D5F">
        <w:rPr>
          <w:rFonts w:ascii="Cambria" w:hAnsi="Cambria" w:cs="Arial"/>
          <w:sz w:val="20"/>
          <w:szCs w:val="20"/>
          <w:lang w:val="es-AR"/>
        </w:rPr>
        <w:t xml:space="preserve">la </w:t>
      </w:r>
      <w:r w:rsidRPr="00E57D5F">
        <w:rPr>
          <w:rFonts w:ascii="Cambria" w:hAnsi="Cambria"/>
          <w:sz w:val="20"/>
          <w:szCs w:val="20"/>
        </w:rPr>
        <w:t xml:space="preserve">señora </w:t>
      </w:r>
      <w:proofErr w:type="spellStart"/>
      <w:r w:rsidRPr="00E57D5F">
        <w:rPr>
          <w:rFonts w:ascii="Cambria" w:hAnsi="Cambria"/>
          <w:sz w:val="20"/>
          <w:szCs w:val="20"/>
        </w:rPr>
        <w:t>Perrone</w:t>
      </w:r>
      <w:proofErr w:type="spellEnd"/>
      <w:r w:rsidRPr="00E57D5F">
        <w:rPr>
          <w:rFonts w:ascii="Cambria" w:hAnsi="Cambria"/>
          <w:sz w:val="20"/>
          <w:szCs w:val="20"/>
        </w:rPr>
        <w:t xml:space="preserve"> y el señor </w:t>
      </w:r>
      <w:proofErr w:type="spellStart"/>
      <w:r w:rsidRPr="00E57D5F">
        <w:rPr>
          <w:rFonts w:ascii="Cambria" w:hAnsi="Cambria"/>
          <w:sz w:val="20"/>
          <w:szCs w:val="20"/>
        </w:rPr>
        <w:t>Preckel</w:t>
      </w:r>
      <w:proofErr w:type="spellEnd"/>
      <w:r w:rsidRPr="00E57D5F">
        <w:rPr>
          <w:rFonts w:ascii="Cambria" w:hAnsi="Cambria"/>
          <w:sz w:val="20"/>
          <w:szCs w:val="20"/>
        </w:rPr>
        <w:t xml:space="preserve">. Alegó que </w:t>
      </w:r>
      <w:r w:rsidRPr="00E57D5F">
        <w:rPr>
          <w:rFonts w:ascii="Cambria" w:hAnsi="Cambria"/>
          <w:sz w:val="20"/>
          <w:szCs w:val="20"/>
        </w:rPr>
        <w:lastRenderedPageBreak/>
        <w:t xml:space="preserve">conforme a la Ley No. 24.043 - </w:t>
      </w:r>
      <w:r w:rsidRPr="00E57D5F">
        <w:rPr>
          <w:rFonts w:ascii="Cambria" w:hAnsi="Cambria"/>
          <w:sz w:val="20"/>
          <w:szCs w:val="20"/>
          <w:lang w:val="es-ES"/>
        </w:rPr>
        <w:t>Indemnización para ex Detenidos,</w:t>
      </w:r>
      <w:r w:rsidRPr="00E57D5F">
        <w:rPr>
          <w:rFonts w:ascii="Cambria" w:hAnsi="Cambria"/>
          <w:sz w:val="20"/>
          <w:szCs w:val="20"/>
        </w:rPr>
        <w:t xml:space="preserve"> se pagó una indemnización a ambas presuntas víctimas por las afectaciones ya reconocidas, pago que debe entenderse en el sentido de que satisfizo sus reclamos. </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
        </w:rPr>
      </w:pPr>
      <w:r w:rsidRPr="00E57D5F">
        <w:rPr>
          <w:rFonts w:ascii="Cambria" w:eastAsia="Times New Roman" w:hAnsi="Cambria"/>
          <w:color w:val="000000"/>
          <w:sz w:val="20"/>
          <w:szCs w:val="20"/>
          <w:bdr w:val="none" w:sz="0" w:space="0" w:color="auto"/>
          <w:lang w:val="es-ES"/>
        </w:rPr>
        <w:t xml:space="preserve">El Estado sostuvo que </w:t>
      </w:r>
      <w:r w:rsidR="00D869B9" w:rsidRPr="00E57D5F">
        <w:rPr>
          <w:rFonts w:ascii="Cambria" w:eastAsia="Times New Roman" w:hAnsi="Cambria"/>
          <w:color w:val="000000"/>
          <w:sz w:val="20"/>
          <w:szCs w:val="20"/>
          <w:bdr w:val="none" w:sz="0" w:space="0" w:color="auto"/>
          <w:lang w:val="es-ES"/>
        </w:rPr>
        <w:t xml:space="preserve">el </w:t>
      </w:r>
      <w:r w:rsidRPr="00E57D5F">
        <w:rPr>
          <w:rFonts w:ascii="Cambria" w:eastAsia="Times New Roman" w:hAnsi="Cambria"/>
          <w:color w:val="000000"/>
          <w:sz w:val="20"/>
          <w:szCs w:val="20"/>
          <w:bdr w:val="none" w:sz="0" w:space="0" w:color="auto"/>
          <w:lang w:val="es-ES"/>
        </w:rPr>
        <w:t>artículo 9 de la ley 24.043 establece que "el pago del beneficio importa la renuncia a todo derecho por indemnización de daños y perjuicios en razón de la privación de libertad, arresto, puesta a disposición del Poder Ejecutivo, muerte o lesiones y será excluyente de todo otro beneficio o indemnización por el mismo concepto". Indicó que los peticionarios no pueden reclamar pagos adicionales pues todas las personas a quienes se ha indemnizado bajo la norma citada se han visto imposibilitadas de trabajar, ejercer comercio, industria, profesión y, como consecuencia, de percibir una retribución por la misma causa.</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En relación con la falta de pago de los haberes laborales de </w:t>
      </w:r>
      <w:r w:rsidRPr="00E57D5F">
        <w:rPr>
          <w:rFonts w:ascii="Cambria" w:hAnsi="Cambria" w:cs="Arial"/>
          <w:sz w:val="20"/>
          <w:szCs w:val="20"/>
          <w:lang w:val="es-AR"/>
        </w:rPr>
        <w:t xml:space="preserve">la </w:t>
      </w:r>
      <w:r w:rsidRPr="00E57D5F">
        <w:rPr>
          <w:rFonts w:ascii="Cambria" w:hAnsi="Cambria"/>
          <w:sz w:val="20"/>
          <w:szCs w:val="20"/>
        </w:rPr>
        <w:t xml:space="preserve">señora </w:t>
      </w:r>
      <w:proofErr w:type="spellStart"/>
      <w:r w:rsidRPr="00E57D5F">
        <w:rPr>
          <w:rFonts w:ascii="Cambria" w:hAnsi="Cambria"/>
          <w:sz w:val="20"/>
          <w:szCs w:val="20"/>
        </w:rPr>
        <w:t>Perrone</w:t>
      </w:r>
      <w:proofErr w:type="spellEnd"/>
      <w:r w:rsidRPr="00E57D5F">
        <w:rPr>
          <w:rFonts w:ascii="Cambria" w:hAnsi="Cambria"/>
          <w:sz w:val="20"/>
          <w:szCs w:val="20"/>
        </w:rPr>
        <w:t xml:space="preserve"> y el señor </w:t>
      </w:r>
      <w:proofErr w:type="spellStart"/>
      <w:r w:rsidRPr="00E57D5F">
        <w:rPr>
          <w:rFonts w:ascii="Cambria" w:hAnsi="Cambria"/>
          <w:sz w:val="20"/>
          <w:szCs w:val="20"/>
        </w:rPr>
        <w:t>Preckel</w:t>
      </w:r>
      <w:proofErr w:type="spellEnd"/>
      <w:r w:rsidRPr="00E57D5F">
        <w:rPr>
          <w:rFonts w:ascii="Cambria" w:hAnsi="Cambria"/>
          <w:sz w:val="20"/>
          <w:szCs w:val="20"/>
        </w:rPr>
        <w:t xml:space="preserve">, el Estado señaló que las decisiones administrativas y judiciales emitidas respetaron el debido proceso y se basaron en la aplicación de la normativa interna. Explicó que </w:t>
      </w:r>
      <w:r w:rsidRPr="00E57D5F">
        <w:rPr>
          <w:rFonts w:ascii="Cambria" w:hAnsi="Cambria"/>
          <w:sz w:val="20"/>
          <w:szCs w:val="20"/>
          <w:bdr w:val="none" w:sz="0" w:space="0" w:color="auto"/>
        </w:rPr>
        <w:t>el procedimiento iniciado se basó en el Reglamento de Investigaciones de la Función Pública - Decreto No. 1798/80. Señaló que el artículo 39 de dicho Reglamento dispone que no cabe el pago de haberes cuando la suspensión se originare en actos ajenos al servicio. Señaló que, en consecuencia, las decisiones emitidas siguieron el derecho entonces vigente y la jurisprudencia de los tribunales argentinos que afirma que "no cabe retribución cuando no existe contraprestación". </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bdr w:val="none" w:sz="0" w:space="0" w:color="auto"/>
        </w:rPr>
        <w:t xml:space="preserve">El Estado añadió, al igual que en la etapa de admisibilidad, que la señora </w:t>
      </w:r>
      <w:proofErr w:type="spellStart"/>
      <w:r w:rsidRPr="00E57D5F">
        <w:rPr>
          <w:rFonts w:ascii="Cambria" w:hAnsi="Cambria"/>
          <w:sz w:val="20"/>
          <w:szCs w:val="20"/>
          <w:bdr w:val="none" w:sz="0" w:space="0" w:color="auto"/>
        </w:rPr>
        <w:t>Perrone</w:t>
      </w:r>
      <w:proofErr w:type="spellEnd"/>
      <w:r w:rsidRPr="00E57D5F">
        <w:rPr>
          <w:rFonts w:ascii="Cambria" w:hAnsi="Cambria"/>
          <w:sz w:val="20"/>
          <w:szCs w:val="20"/>
          <w:bdr w:val="none" w:sz="0" w:space="0" w:color="auto"/>
        </w:rPr>
        <w:t xml:space="preserve"> y el señor </w:t>
      </w:r>
      <w:proofErr w:type="spellStart"/>
      <w:r w:rsidRPr="00E57D5F">
        <w:rPr>
          <w:rFonts w:ascii="Cambria" w:hAnsi="Cambria"/>
          <w:sz w:val="20"/>
          <w:szCs w:val="20"/>
          <w:bdr w:val="none" w:sz="0" w:space="0" w:color="auto"/>
        </w:rPr>
        <w:t>Preckel</w:t>
      </w:r>
      <w:proofErr w:type="spellEnd"/>
      <w:r w:rsidRPr="00E57D5F">
        <w:rPr>
          <w:rFonts w:ascii="Cambria" w:hAnsi="Cambria"/>
          <w:sz w:val="20"/>
          <w:szCs w:val="20"/>
          <w:bdr w:val="none" w:sz="0" w:space="0" w:color="auto"/>
        </w:rPr>
        <w:t xml:space="preserve"> debieron haber presentado una demanda por daños y perjuicios resultantes de la detención y la subsecuente separación de sus cargos de trabajo. Señaló que a través de dicho recurso se podrían haber  incluido los rubros que se recla</w:t>
      </w:r>
      <w:bookmarkStart w:id="25" w:name="_GoBack"/>
      <w:bookmarkEnd w:id="25"/>
      <w:r w:rsidRPr="00E57D5F">
        <w:rPr>
          <w:rFonts w:ascii="Cambria" w:hAnsi="Cambria"/>
          <w:sz w:val="20"/>
          <w:szCs w:val="20"/>
          <w:bdr w:val="none" w:sz="0" w:space="0" w:color="auto"/>
        </w:rPr>
        <w:t>man en este caso.</w:t>
      </w:r>
    </w:p>
    <w:p w:rsidR="007A61F8" w:rsidRPr="00E57D5F" w:rsidRDefault="007A61F8" w:rsidP="007A61F8">
      <w:pPr>
        <w:ind w:firstLine="567"/>
        <w:jc w:val="both"/>
        <w:rPr>
          <w:rFonts w:ascii="Cambria" w:hAnsi="Cambria"/>
          <w:sz w:val="20"/>
          <w:szCs w:val="20"/>
          <w:lang w:val="es-AR"/>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bdr w:val="none" w:sz="0" w:space="0" w:color="auto"/>
        </w:rPr>
        <w:t xml:space="preserve">Adicionalmente, el Estado alegó que la señora </w:t>
      </w:r>
      <w:proofErr w:type="spellStart"/>
      <w:r w:rsidRPr="00E57D5F">
        <w:rPr>
          <w:rFonts w:ascii="Cambria" w:hAnsi="Cambria"/>
          <w:sz w:val="20"/>
          <w:szCs w:val="20"/>
          <w:bdr w:val="none" w:sz="0" w:space="0" w:color="auto"/>
        </w:rPr>
        <w:t>Perrone</w:t>
      </w:r>
      <w:proofErr w:type="spellEnd"/>
      <w:r w:rsidRPr="00E57D5F">
        <w:rPr>
          <w:rFonts w:ascii="Cambria" w:hAnsi="Cambria"/>
          <w:sz w:val="20"/>
          <w:szCs w:val="20"/>
          <w:bdr w:val="none" w:sz="0" w:space="0" w:color="auto"/>
        </w:rPr>
        <w:t xml:space="preserve"> y el señor </w:t>
      </w:r>
      <w:proofErr w:type="spellStart"/>
      <w:r w:rsidRPr="00E57D5F">
        <w:rPr>
          <w:rFonts w:ascii="Cambria" w:hAnsi="Cambria"/>
          <w:sz w:val="20"/>
          <w:szCs w:val="20"/>
          <w:bdr w:val="none" w:sz="0" w:space="0" w:color="auto"/>
        </w:rPr>
        <w:t>Preckel</w:t>
      </w:r>
      <w:proofErr w:type="spellEnd"/>
      <w:r w:rsidRPr="00E57D5F">
        <w:rPr>
          <w:rFonts w:ascii="Cambria" w:hAnsi="Cambria"/>
          <w:sz w:val="20"/>
          <w:szCs w:val="20"/>
          <w:bdr w:val="none" w:sz="0" w:space="0" w:color="auto"/>
        </w:rPr>
        <w:t xml:space="preserve"> tienen derecho a solicitar, sin plazo de prescripción, el reconocimiento del periodo de inactividad a efectos de pensión por jubilación. Sostuvo que ello no abarca el pago de salarios debido a la ausencia de contraprestación.</w:t>
      </w:r>
    </w:p>
    <w:p w:rsidR="007A61F8" w:rsidRPr="00E57D5F" w:rsidRDefault="007A61F8" w:rsidP="007A61F8">
      <w:pPr>
        <w:jc w:val="both"/>
        <w:rPr>
          <w:rFonts w:ascii="Cambria" w:hAnsi="Cambria"/>
          <w:sz w:val="20"/>
          <w:szCs w:val="20"/>
          <w:lang w:val="es-AR"/>
        </w:rPr>
      </w:pPr>
    </w:p>
    <w:p w:rsidR="007A61F8" w:rsidRPr="00ED46A1" w:rsidRDefault="007A61F8" w:rsidP="00ED46A1">
      <w:pPr>
        <w:pStyle w:val="Heading1"/>
      </w:pPr>
      <w:bookmarkStart w:id="26" w:name="_Toc476667876"/>
      <w:r w:rsidRPr="00ED46A1">
        <w:t>HECHOS PROBADOS</w:t>
      </w:r>
      <w:bookmarkEnd w:id="26"/>
    </w:p>
    <w:p w:rsidR="007A61F8" w:rsidRPr="00E57D5F" w:rsidRDefault="007A61F8" w:rsidP="007A61F8">
      <w:pPr>
        <w:ind w:firstLine="567"/>
        <w:rPr>
          <w:rFonts w:ascii="Cambria" w:hAnsi="Cambria"/>
          <w:sz w:val="20"/>
          <w:szCs w:val="20"/>
          <w:lang w:val="es-ES_tradnl"/>
        </w:rPr>
      </w:pPr>
      <w:r w:rsidRPr="00E57D5F">
        <w:rPr>
          <w:rFonts w:ascii="Cambria" w:hAnsi="Cambria"/>
          <w:sz w:val="20"/>
          <w:szCs w:val="20"/>
          <w:lang w:val="es-ES_tradnl"/>
        </w:rPr>
        <w:t xml:space="preserve"> </w:t>
      </w:r>
    </w:p>
    <w:p w:rsidR="007A61F8" w:rsidRPr="00E57D5F" w:rsidRDefault="007A61F8" w:rsidP="00C13E9E">
      <w:pPr>
        <w:pStyle w:val="Heading2"/>
        <w:numPr>
          <w:ilvl w:val="0"/>
          <w:numId w:val="0"/>
        </w:numPr>
        <w:ind w:left="1440" w:hanging="720"/>
        <w:jc w:val="both"/>
      </w:pPr>
      <w:bookmarkStart w:id="27" w:name="_Toc370830573"/>
      <w:bookmarkStart w:id="28" w:name="_Toc370831286"/>
      <w:bookmarkStart w:id="29" w:name="_Toc412635575"/>
      <w:bookmarkStart w:id="30" w:name="_Toc416685631"/>
      <w:bookmarkStart w:id="31" w:name="_Toc476667877"/>
      <w:r w:rsidRPr="00E57D5F">
        <w:t>A.</w:t>
      </w:r>
      <w:r w:rsidRPr="00E57D5F">
        <w:tab/>
      </w:r>
      <w:bookmarkEnd w:id="27"/>
      <w:bookmarkEnd w:id="28"/>
      <w:bookmarkEnd w:id="29"/>
      <w:bookmarkEnd w:id="30"/>
      <w:r w:rsidRPr="00E57D5F">
        <w:t xml:space="preserve">Sobre la detención de </w:t>
      </w:r>
      <w:r w:rsidRPr="00E57D5F">
        <w:rPr>
          <w:szCs w:val="20"/>
        </w:rPr>
        <w:t xml:space="preserve">Elba Clotilde </w:t>
      </w:r>
      <w:proofErr w:type="spellStart"/>
      <w:r w:rsidRPr="00E57D5F">
        <w:rPr>
          <w:szCs w:val="20"/>
        </w:rPr>
        <w:t>Perrone</w:t>
      </w:r>
      <w:proofErr w:type="spellEnd"/>
      <w:r w:rsidRPr="00E57D5F">
        <w:rPr>
          <w:szCs w:val="20"/>
        </w:rPr>
        <w:t xml:space="preserve"> y Juan José </w:t>
      </w:r>
      <w:proofErr w:type="spellStart"/>
      <w:r w:rsidRPr="00E57D5F">
        <w:rPr>
          <w:szCs w:val="20"/>
        </w:rPr>
        <w:t>Preckel</w:t>
      </w:r>
      <w:proofErr w:type="spellEnd"/>
      <w:r w:rsidRPr="00E57D5F">
        <w:rPr>
          <w:szCs w:val="20"/>
        </w:rPr>
        <w:t xml:space="preserve"> en 1976</w:t>
      </w:r>
      <w:bookmarkEnd w:id="31"/>
    </w:p>
    <w:p w:rsidR="007A61F8" w:rsidRPr="00E57D5F" w:rsidRDefault="007A61F8" w:rsidP="007A61F8">
      <w:pPr>
        <w:ind w:firstLine="567"/>
        <w:rPr>
          <w:rFonts w:ascii="Cambria" w:hAnsi="Cambria" w:cs="Arial"/>
          <w:iCs/>
          <w:sz w:val="20"/>
          <w:szCs w:val="20"/>
          <w:lang w:val="es-ES_tradnl"/>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bookmarkStart w:id="32" w:name="_Toc370830574"/>
      <w:bookmarkStart w:id="33" w:name="_Toc370831287"/>
      <w:r w:rsidRPr="00E57D5F">
        <w:rPr>
          <w:rFonts w:ascii="Cambria" w:hAnsi="Cambria"/>
          <w:sz w:val="20"/>
          <w:szCs w:val="20"/>
        </w:rPr>
        <w:t xml:space="preserve">Los hechos que se describen en esta sección fueron reconocidos por el Estado de Argentina. A inicios de julio de 1976, Elba Clotilde </w:t>
      </w:r>
      <w:proofErr w:type="spellStart"/>
      <w:r w:rsidRPr="00E57D5F">
        <w:rPr>
          <w:rFonts w:ascii="Cambria" w:hAnsi="Cambria"/>
          <w:sz w:val="20"/>
          <w:szCs w:val="20"/>
        </w:rPr>
        <w:t>Perrone</w:t>
      </w:r>
      <w:proofErr w:type="spellEnd"/>
      <w:r w:rsidRPr="00E57D5F">
        <w:rPr>
          <w:rFonts w:ascii="Cambria" w:hAnsi="Cambria"/>
          <w:sz w:val="20"/>
          <w:szCs w:val="20"/>
        </w:rPr>
        <w:t xml:space="preserve"> y Juan José </w:t>
      </w:r>
      <w:proofErr w:type="spellStart"/>
      <w:r w:rsidRPr="00E57D5F">
        <w:rPr>
          <w:rFonts w:ascii="Cambria" w:hAnsi="Cambria"/>
          <w:sz w:val="20"/>
          <w:szCs w:val="20"/>
        </w:rPr>
        <w:t>Preckel</w:t>
      </w:r>
      <w:proofErr w:type="spellEnd"/>
      <w:r w:rsidRPr="00E57D5F">
        <w:rPr>
          <w:rFonts w:ascii="Cambria" w:hAnsi="Cambria"/>
          <w:sz w:val="20"/>
          <w:szCs w:val="20"/>
        </w:rPr>
        <w:t xml:space="preserve"> trabajaban en la Dirección General Impositiva (DGI), entonces dependiente de la Secretaria de Hacienda</w:t>
      </w:r>
      <w:r w:rsidRPr="00E57D5F">
        <w:rPr>
          <w:rStyle w:val="FootnoteReference"/>
          <w:rFonts w:ascii="Cambria" w:hAnsi="Cambria"/>
          <w:sz w:val="20"/>
          <w:szCs w:val="20"/>
        </w:rPr>
        <w:footnoteReference w:id="3"/>
      </w:r>
      <w:r w:rsidRPr="00E57D5F">
        <w:rPr>
          <w:rFonts w:ascii="Cambria" w:hAnsi="Cambria"/>
          <w:sz w:val="20"/>
          <w:szCs w:val="20"/>
        </w:rPr>
        <w:t xml:space="preserve">. La Dirección General Impositiva es el ente a cargo de la </w:t>
      </w:r>
      <w:r w:rsidRPr="00E57D5F">
        <w:rPr>
          <w:rFonts w:ascii="Cambria" w:hAnsi="Cambria" w:cs="Arial"/>
          <w:sz w:val="20"/>
          <w:szCs w:val="20"/>
          <w:shd w:val="clear" w:color="auto" w:fill="FFFFFF"/>
        </w:rPr>
        <w:t>aplicación, percepción, recaudación y fiscalización de</w:t>
      </w:r>
      <w:r w:rsidRPr="00E57D5F">
        <w:rPr>
          <w:rFonts w:ascii="Cambria" w:hAnsi="Cambria"/>
          <w:sz w:val="20"/>
          <w:szCs w:val="20"/>
        </w:rPr>
        <w:t xml:space="preserve"> impuestos del Estado argentino</w:t>
      </w:r>
      <w:r w:rsidRPr="00E57D5F">
        <w:rPr>
          <w:rStyle w:val="FootnoteReference"/>
          <w:rFonts w:ascii="Cambria" w:hAnsi="Cambria"/>
          <w:sz w:val="20"/>
          <w:szCs w:val="20"/>
        </w:rPr>
        <w:footnoteReference w:id="4"/>
      </w:r>
      <w:r w:rsidRPr="00E57D5F">
        <w:rPr>
          <w:rFonts w:ascii="Cambria" w:hAnsi="Cambria"/>
          <w:sz w:val="20"/>
          <w:szCs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El 6 de julio de 1976 un grupo de personas vestidas de civil ingresaron a los domicilios de la señora </w:t>
      </w:r>
      <w:proofErr w:type="spellStart"/>
      <w:r w:rsidRPr="00E57D5F">
        <w:rPr>
          <w:rFonts w:ascii="Cambria" w:hAnsi="Cambria"/>
          <w:sz w:val="20"/>
          <w:szCs w:val="20"/>
        </w:rPr>
        <w:t>Perrone</w:t>
      </w:r>
      <w:proofErr w:type="spellEnd"/>
      <w:r w:rsidRPr="00E57D5F">
        <w:rPr>
          <w:rFonts w:ascii="Cambria" w:hAnsi="Cambria"/>
          <w:sz w:val="20"/>
          <w:szCs w:val="20"/>
        </w:rPr>
        <w:t xml:space="preserve"> y el señor </w:t>
      </w:r>
      <w:proofErr w:type="spellStart"/>
      <w:r w:rsidRPr="00E57D5F">
        <w:rPr>
          <w:rFonts w:ascii="Cambria" w:hAnsi="Cambria"/>
          <w:sz w:val="20"/>
          <w:szCs w:val="20"/>
        </w:rPr>
        <w:t>Preckel</w:t>
      </w:r>
      <w:proofErr w:type="spellEnd"/>
      <w:r w:rsidRPr="00E57D5F">
        <w:rPr>
          <w:rFonts w:ascii="Cambria" w:hAnsi="Cambria"/>
          <w:sz w:val="20"/>
          <w:szCs w:val="20"/>
        </w:rPr>
        <w:t>, en la ciudad de Mar del Plata, Provincia de Buenos Aires</w:t>
      </w:r>
      <w:r w:rsidRPr="00E57D5F">
        <w:rPr>
          <w:rStyle w:val="FootnoteReference"/>
          <w:rFonts w:ascii="Cambria" w:hAnsi="Cambria"/>
          <w:sz w:val="20"/>
          <w:szCs w:val="20"/>
        </w:rPr>
        <w:footnoteReference w:id="5"/>
      </w:r>
      <w:r w:rsidRPr="00E57D5F">
        <w:rPr>
          <w:rFonts w:ascii="Cambria" w:hAnsi="Cambria"/>
          <w:sz w:val="20"/>
          <w:szCs w:val="20"/>
        </w:rPr>
        <w:t xml:space="preserve">. De acuerdo a las declaraciones de la señora </w:t>
      </w:r>
      <w:proofErr w:type="spellStart"/>
      <w:r w:rsidRPr="00E57D5F">
        <w:rPr>
          <w:rFonts w:ascii="Cambria" w:hAnsi="Cambria"/>
          <w:sz w:val="20"/>
          <w:szCs w:val="20"/>
        </w:rPr>
        <w:t>Perrone</w:t>
      </w:r>
      <w:proofErr w:type="spellEnd"/>
      <w:r w:rsidRPr="00E57D5F">
        <w:rPr>
          <w:rFonts w:ascii="Cambria" w:hAnsi="Cambria"/>
          <w:sz w:val="20"/>
          <w:szCs w:val="20"/>
        </w:rPr>
        <w:t xml:space="preserve"> y el señor </w:t>
      </w:r>
      <w:proofErr w:type="spellStart"/>
      <w:r w:rsidRPr="00E57D5F">
        <w:rPr>
          <w:rFonts w:ascii="Cambria" w:hAnsi="Cambria"/>
          <w:sz w:val="20"/>
          <w:szCs w:val="20"/>
        </w:rPr>
        <w:t>Preckel</w:t>
      </w:r>
      <w:proofErr w:type="spellEnd"/>
      <w:r w:rsidRPr="00E57D5F">
        <w:rPr>
          <w:rFonts w:ascii="Cambria" w:hAnsi="Cambria"/>
          <w:sz w:val="20"/>
          <w:szCs w:val="20"/>
        </w:rPr>
        <w:t>, fueron golpeados por dichas personas y acusados de ser “subversivos” y de “atentar contra la seguridad nacional”</w:t>
      </w:r>
      <w:r w:rsidRPr="00E57D5F">
        <w:rPr>
          <w:rStyle w:val="FootnoteReference"/>
          <w:rFonts w:ascii="Cambria" w:hAnsi="Cambria"/>
          <w:sz w:val="20"/>
          <w:szCs w:val="20"/>
        </w:rPr>
        <w:footnoteReference w:id="6"/>
      </w:r>
      <w:r w:rsidRPr="00E57D5F">
        <w:rPr>
          <w:rFonts w:ascii="Cambria" w:hAnsi="Cambria"/>
          <w:sz w:val="20"/>
          <w:szCs w:val="20"/>
        </w:rPr>
        <w:t>.</w:t>
      </w:r>
    </w:p>
    <w:p w:rsidR="007A61F8" w:rsidRPr="00E57D5F" w:rsidRDefault="007A61F8" w:rsidP="007A61F8">
      <w:pPr>
        <w:pStyle w:val="ListParagraph"/>
        <w:ind w:left="0"/>
        <w:rPr>
          <w:rFonts w:ascii="Cambria" w:hAnsi="Cambria"/>
          <w:sz w:val="20"/>
          <w:szCs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Ambas personas permanecieron detenidas en distintas dependencias policiales y militares hasta el 18 de marzo de 1977</w:t>
      </w:r>
      <w:r w:rsidRPr="00E57D5F">
        <w:rPr>
          <w:rStyle w:val="FootnoteReference"/>
          <w:rFonts w:ascii="Cambria" w:hAnsi="Cambria"/>
          <w:sz w:val="20"/>
          <w:szCs w:val="20"/>
        </w:rPr>
        <w:footnoteReference w:id="7"/>
      </w:r>
      <w:r w:rsidRPr="00E57D5F">
        <w:rPr>
          <w:rFonts w:ascii="Cambria" w:hAnsi="Cambria"/>
          <w:sz w:val="20"/>
          <w:szCs w:val="20"/>
        </w:rPr>
        <w:t xml:space="preserve">. Conforme a sus declaraciones, fueron sometidos a diversas formas de tortura </w:t>
      </w:r>
      <w:r w:rsidRPr="00E57D5F">
        <w:rPr>
          <w:rFonts w:ascii="Cambria" w:hAnsi="Cambria"/>
          <w:sz w:val="20"/>
          <w:szCs w:val="20"/>
        </w:rPr>
        <w:lastRenderedPageBreak/>
        <w:t>como el traspaso de electricidad en los genitales, boca y pecho; golpizas; amenazas de muerte por simulacro de fusilamiento; así como falta de alimentación y atención médica</w:t>
      </w:r>
      <w:r w:rsidRPr="00E57D5F">
        <w:rPr>
          <w:rStyle w:val="FootnoteReference"/>
          <w:rFonts w:ascii="Cambria" w:hAnsi="Cambria"/>
          <w:sz w:val="20"/>
          <w:szCs w:val="20"/>
        </w:rPr>
        <w:footnoteReference w:id="8"/>
      </w:r>
      <w:r w:rsidRPr="00E57D5F">
        <w:rPr>
          <w:rFonts w:ascii="Cambria" w:hAnsi="Cambria"/>
          <w:sz w:val="20"/>
          <w:szCs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E</w:t>
      </w:r>
      <w:r w:rsidRPr="00E57D5F">
        <w:rPr>
          <w:rFonts w:ascii="Cambria" w:hAnsi="Cambria"/>
          <w:sz w:val="20"/>
        </w:rPr>
        <w:t xml:space="preserve">l 18 de marzo de 1977 ambas personas fueron informadas de que estaban detenidas con base en el </w:t>
      </w:r>
      <w:r w:rsidRPr="00E57D5F">
        <w:rPr>
          <w:rFonts w:ascii="Cambria" w:hAnsi="Cambria"/>
          <w:sz w:val="20"/>
          <w:szCs w:val="20"/>
        </w:rPr>
        <w:t>Decreto No. 484, emitido el 23 de febrero del mismo año</w:t>
      </w:r>
      <w:r w:rsidRPr="00E57D5F">
        <w:rPr>
          <w:rStyle w:val="FootnoteReference"/>
          <w:rFonts w:ascii="Cambria" w:hAnsi="Cambria"/>
          <w:sz w:val="20"/>
          <w:szCs w:val="20"/>
        </w:rPr>
        <w:footnoteReference w:id="9"/>
      </w:r>
      <w:r w:rsidRPr="00E57D5F">
        <w:rPr>
          <w:rFonts w:ascii="Cambria" w:hAnsi="Cambria"/>
          <w:sz w:val="20"/>
          <w:szCs w:val="20"/>
        </w:rPr>
        <w:t xml:space="preserve">. La señora </w:t>
      </w:r>
      <w:proofErr w:type="spellStart"/>
      <w:r w:rsidRPr="00E57D5F">
        <w:rPr>
          <w:rFonts w:ascii="Cambria" w:hAnsi="Cambria"/>
          <w:sz w:val="20"/>
          <w:szCs w:val="20"/>
        </w:rPr>
        <w:t>Perrone</w:t>
      </w:r>
      <w:proofErr w:type="spellEnd"/>
      <w:r w:rsidRPr="00E57D5F">
        <w:rPr>
          <w:rFonts w:ascii="Cambria" w:hAnsi="Cambria"/>
          <w:sz w:val="20"/>
          <w:szCs w:val="20"/>
        </w:rPr>
        <w:t xml:space="preserve"> declaró que continuó arrestada y que fue puesta a la orden del Poder Ejecutivo Nacional</w:t>
      </w:r>
      <w:r w:rsidRPr="00E57D5F">
        <w:rPr>
          <w:rStyle w:val="FootnoteReference"/>
          <w:rFonts w:ascii="Cambria" w:hAnsi="Cambria"/>
          <w:sz w:val="20"/>
          <w:szCs w:val="20"/>
        </w:rPr>
        <w:footnoteReference w:id="10"/>
      </w:r>
      <w:r w:rsidRPr="00E57D5F">
        <w:rPr>
          <w:rFonts w:ascii="Cambria" w:hAnsi="Cambria"/>
          <w:sz w:val="20"/>
          <w:szCs w:val="20"/>
        </w:rPr>
        <w:t xml:space="preserve">. </w:t>
      </w:r>
    </w:p>
    <w:p w:rsidR="007A61F8" w:rsidRPr="00E57D5F" w:rsidRDefault="007A61F8" w:rsidP="007A61F8">
      <w:pPr>
        <w:pStyle w:val="ListParagraph"/>
        <w:rPr>
          <w:rFonts w:ascii="Cambria" w:hAnsi="Cambria"/>
          <w:sz w:val="20"/>
          <w:szCs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La señora </w:t>
      </w:r>
      <w:proofErr w:type="spellStart"/>
      <w:r w:rsidRPr="00E57D5F">
        <w:rPr>
          <w:rFonts w:ascii="Cambria" w:hAnsi="Cambria"/>
          <w:sz w:val="20"/>
          <w:szCs w:val="20"/>
        </w:rPr>
        <w:t>Perrone</w:t>
      </w:r>
      <w:proofErr w:type="spellEnd"/>
      <w:r w:rsidRPr="00E57D5F">
        <w:rPr>
          <w:rFonts w:ascii="Cambria" w:hAnsi="Cambria"/>
          <w:sz w:val="20"/>
          <w:szCs w:val="20"/>
        </w:rPr>
        <w:t xml:space="preserve"> manifestó que </w:t>
      </w:r>
      <w:r w:rsidRPr="00E57D5F">
        <w:rPr>
          <w:rFonts w:ascii="Cambria" w:hAnsi="Cambria"/>
          <w:sz w:val="20"/>
          <w:lang w:val="es-ES"/>
        </w:rPr>
        <w:t>e</w:t>
      </w:r>
      <w:r w:rsidRPr="00E57D5F">
        <w:rPr>
          <w:rFonts w:ascii="Cambria" w:hAnsi="Cambria"/>
          <w:sz w:val="20"/>
        </w:rPr>
        <w:t>l 16 de octubre de 1982 fue puesta en libertad</w:t>
      </w:r>
      <w:r w:rsidRPr="00E57D5F">
        <w:rPr>
          <w:rStyle w:val="FootnoteReference"/>
          <w:rFonts w:ascii="Cambria" w:hAnsi="Cambria"/>
          <w:sz w:val="20"/>
          <w:szCs w:val="20"/>
        </w:rPr>
        <w:footnoteReference w:id="11"/>
      </w:r>
      <w:r w:rsidRPr="00E57D5F">
        <w:rPr>
          <w:rFonts w:ascii="Cambria" w:hAnsi="Cambria"/>
          <w:sz w:val="20"/>
        </w:rPr>
        <w:t>. De acuerdo a un acta judicial, se dispuso la modificación del arresto por el régimen de libertad vigilada</w:t>
      </w:r>
      <w:r w:rsidRPr="00E57D5F">
        <w:rPr>
          <w:rStyle w:val="FootnoteReference"/>
          <w:rFonts w:ascii="Cambria" w:hAnsi="Cambria"/>
          <w:sz w:val="20"/>
          <w:szCs w:val="20"/>
        </w:rPr>
        <w:footnoteReference w:id="12"/>
      </w:r>
      <w:r w:rsidRPr="00E57D5F">
        <w:rPr>
          <w:rFonts w:ascii="Cambria" w:hAnsi="Cambria"/>
          <w:sz w:val="20"/>
        </w:rPr>
        <w:t>. Agregó que intentó hacer uso de su derecho de opción de salida del país pero que su solicitud fue denegada en diversas ocasiones</w:t>
      </w:r>
      <w:r w:rsidRPr="00E57D5F">
        <w:rPr>
          <w:rStyle w:val="FootnoteReference"/>
          <w:rFonts w:ascii="Cambria" w:hAnsi="Cambria"/>
          <w:sz w:val="20"/>
          <w:szCs w:val="20"/>
        </w:rPr>
        <w:footnoteReference w:id="13"/>
      </w:r>
      <w:r w:rsidRPr="00E57D5F">
        <w:rPr>
          <w:rFonts w:ascii="Cambria" w:hAnsi="Cambria"/>
          <w:sz w:val="20"/>
        </w:rPr>
        <w:t xml:space="preserve">. </w:t>
      </w:r>
    </w:p>
    <w:p w:rsidR="007A61F8" w:rsidRPr="00E57D5F" w:rsidRDefault="007A61F8" w:rsidP="007A61F8">
      <w:pPr>
        <w:rPr>
          <w:sz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rPr>
      </w:pPr>
      <w:r w:rsidRPr="00E57D5F">
        <w:rPr>
          <w:rFonts w:ascii="Cambria" w:hAnsi="Cambria"/>
          <w:sz w:val="20"/>
        </w:rPr>
        <w:t xml:space="preserve">Por su parte, el 7 de agosto de 1979 el señor </w:t>
      </w:r>
      <w:proofErr w:type="spellStart"/>
      <w:r w:rsidRPr="00E57D5F">
        <w:rPr>
          <w:rFonts w:ascii="Cambria" w:hAnsi="Cambria"/>
          <w:sz w:val="20"/>
        </w:rPr>
        <w:t>Preckel</w:t>
      </w:r>
      <w:proofErr w:type="spellEnd"/>
      <w:r w:rsidRPr="00E57D5F">
        <w:rPr>
          <w:rFonts w:ascii="Cambria" w:hAnsi="Cambria"/>
          <w:sz w:val="20"/>
        </w:rPr>
        <w:t xml:space="preserve"> fue trasladado al Departamento de Asuntos Extranjeros de la Policía Federal a efectos de gestionar su salida del país conforme al Decreto No. 2664</w:t>
      </w:r>
      <w:r w:rsidRPr="00E57D5F">
        <w:rPr>
          <w:rStyle w:val="FootnoteReference"/>
          <w:rFonts w:ascii="Cambria" w:hAnsi="Cambria"/>
          <w:sz w:val="20"/>
        </w:rPr>
        <w:footnoteReference w:id="14"/>
      </w:r>
      <w:r w:rsidRPr="00E57D5F">
        <w:rPr>
          <w:rFonts w:ascii="Cambria" w:hAnsi="Cambria"/>
          <w:sz w:val="20"/>
        </w:rPr>
        <w:t xml:space="preserve">. El señor </w:t>
      </w:r>
      <w:proofErr w:type="spellStart"/>
      <w:r w:rsidRPr="00E57D5F">
        <w:rPr>
          <w:rFonts w:ascii="Cambria" w:hAnsi="Cambria"/>
          <w:sz w:val="20"/>
        </w:rPr>
        <w:t>Preckel</w:t>
      </w:r>
      <w:proofErr w:type="spellEnd"/>
      <w:r w:rsidRPr="00E57D5F">
        <w:rPr>
          <w:rFonts w:ascii="Cambria" w:hAnsi="Cambria"/>
          <w:sz w:val="20"/>
        </w:rPr>
        <w:t xml:space="preserve"> sostuvo que, a través de gestiones realizadas por la Embajada de Alemania y por Amnistía Internacional, logró una visa que le permitió hacer uso de la opción de salir del país</w:t>
      </w:r>
      <w:r w:rsidRPr="00E57D5F">
        <w:rPr>
          <w:rStyle w:val="FootnoteReference"/>
          <w:rFonts w:ascii="Cambria" w:hAnsi="Cambria"/>
          <w:sz w:val="20"/>
          <w:szCs w:val="20"/>
        </w:rPr>
        <w:footnoteReference w:id="15"/>
      </w:r>
      <w:r w:rsidRPr="00E57D5F">
        <w:rPr>
          <w:rFonts w:ascii="Cambria" w:hAnsi="Cambria"/>
          <w:sz w:val="20"/>
        </w:rPr>
        <w:t>. El 7 de septiembre de 1979 viajó a Alemania donde tramitó su asilo político y en diciembre de 1984 regresó a Argentina</w:t>
      </w:r>
      <w:r w:rsidRPr="00E57D5F">
        <w:rPr>
          <w:rStyle w:val="FootnoteReference"/>
          <w:rFonts w:ascii="Cambria" w:hAnsi="Cambria"/>
          <w:sz w:val="20"/>
          <w:szCs w:val="20"/>
        </w:rPr>
        <w:footnoteReference w:id="16"/>
      </w:r>
      <w:r w:rsidRPr="00E57D5F">
        <w:rPr>
          <w:rFonts w:ascii="Cambria" w:hAnsi="Cambria"/>
          <w:sz w:val="20"/>
        </w:rPr>
        <w:t>.</w:t>
      </w:r>
    </w:p>
    <w:p w:rsidR="007A61F8" w:rsidRPr="00E57D5F" w:rsidRDefault="007A61F8" w:rsidP="007A61F8">
      <w:pPr>
        <w:rPr>
          <w:sz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rPr>
        <w:t xml:space="preserve">La señora </w:t>
      </w:r>
      <w:proofErr w:type="spellStart"/>
      <w:r w:rsidRPr="00E57D5F">
        <w:rPr>
          <w:rFonts w:ascii="Cambria" w:hAnsi="Cambria"/>
          <w:sz w:val="20"/>
        </w:rPr>
        <w:t>Perrone</w:t>
      </w:r>
      <w:proofErr w:type="spellEnd"/>
      <w:r w:rsidRPr="00E57D5F">
        <w:rPr>
          <w:rFonts w:ascii="Cambria" w:hAnsi="Cambria"/>
          <w:sz w:val="20"/>
        </w:rPr>
        <w:t xml:space="preserve"> y el señor </w:t>
      </w:r>
      <w:proofErr w:type="spellStart"/>
      <w:r w:rsidRPr="00E57D5F">
        <w:rPr>
          <w:rFonts w:ascii="Cambria" w:hAnsi="Cambria"/>
          <w:sz w:val="20"/>
        </w:rPr>
        <w:t>Preckel</w:t>
      </w:r>
      <w:proofErr w:type="spellEnd"/>
      <w:r w:rsidRPr="00E57D5F">
        <w:rPr>
          <w:rFonts w:ascii="Cambria" w:hAnsi="Cambria"/>
          <w:sz w:val="20"/>
        </w:rPr>
        <w:t xml:space="preserve"> recibieron una indemnización de conformidad con la L</w:t>
      </w:r>
      <w:r w:rsidR="005E3CCE">
        <w:rPr>
          <w:rFonts w:ascii="Cambria" w:hAnsi="Cambria"/>
          <w:sz w:val="20"/>
        </w:rPr>
        <w:t xml:space="preserve">ey No. 24.043 - </w:t>
      </w:r>
      <w:r w:rsidRPr="00E57D5F">
        <w:rPr>
          <w:rFonts w:ascii="Cambria" w:hAnsi="Cambria"/>
          <w:sz w:val="20"/>
        </w:rPr>
        <w:t>Indemnización para ex Detenidos</w:t>
      </w:r>
      <w:r w:rsidRPr="00E57D5F">
        <w:rPr>
          <w:rStyle w:val="FootnoteReference"/>
          <w:rFonts w:ascii="Cambria" w:hAnsi="Cambria"/>
          <w:sz w:val="20"/>
          <w:szCs w:val="20"/>
        </w:rPr>
        <w:footnoteReference w:id="17"/>
      </w:r>
      <w:r w:rsidRPr="00E57D5F">
        <w:rPr>
          <w:rFonts w:ascii="Cambria" w:hAnsi="Cambria"/>
          <w:sz w:val="20"/>
        </w:rPr>
        <w:t>.</w:t>
      </w:r>
      <w:r w:rsidRPr="00E57D5F">
        <w:rPr>
          <w:rFonts w:ascii="Cambria" w:hAnsi="Cambria"/>
          <w:sz w:val="20"/>
          <w:szCs w:val="20"/>
        </w:rPr>
        <w:t xml:space="preserve"> Dicha norma establece lo siguiente:</w:t>
      </w:r>
    </w:p>
    <w:p w:rsidR="007A61F8" w:rsidRPr="00E57D5F" w:rsidRDefault="007A61F8" w:rsidP="007A61F8">
      <w:pPr>
        <w:pStyle w:val="ListParagraph"/>
        <w:ind w:left="1440" w:right="720"/>
        <w:jc w:val="both"/>
        <w:rPr>
          <w:rFonts w:ascii="Cambria" w:hAnsi="Cambria"/>
          <w:sz w:val="20"/>
          <w:szCs w:val="20"/>
          <w:lang w:val="es-ES"/>
        </w:rPr>
      </w:pPr>
    </w:p>
    <w:p w:rsidR="007A61F8" w:rsidRPr="00E57D5F" w:rsidRDefault="007A61F8" w:rsidP="007A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lang w:val="es-ES"/>
        </w:rPr>
      </w:pPr>
      <w:r w:rsidRPr="00E57D5F">
        <w:rPr>
          <w:rFonts w:ascii="Cambria" w:eastAsia="Times New Roman" w:hAnsi="Cambria" w:cs="Arial"/>
          <w:color w:val="222222"/>
          <w:sz w:val="20"/>
          <w:szCs w:val="20"/>
          <w:bdr w:val="none" w:sz="0" w:space="0" w:color="auto"/>
          <w:lang w:val="es-ES"/>
        </w:rPr>
        <w:t>ARTICULO 1 - Las personas que durante la vigencia del estado de sitio hubieran sido puestas a disposición del Poder Ejecutivo Nacional, por decisión de éste, o que siendo civiles hubiesen sufrido detención en virtud de actos emanados de tribunales militares, hayan o no iniciado juicio por daños y perjuicios, podrán acogerse a los beneficios de esta ley, siempre que no hubiesen percibido indemnización alguna en virtud de sentencia judicial, con motivo de los hechos contemplados en la presente.</w:t>
      </w:r>
    </w:p>
    <w:p w:rsidR="002051A2" w:rsidRDefault="002051A2" w:rsidP="007A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lang w:val="es-ES"/>
        </w:rPr>
      </w:pPr>
    </w:p>
    <w:p w:rsidR="007A61F8" w:rsidRPr="00E57D5F" w:rsidRDefault="007A61F8" w:rsidP="007A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lang w:val="es-ES"/>
        </w:rPr>
      </w:pPr>
      <w:r w:rsidRPr="00E57D5F">
        <w:rPr>
          <w:rFonts w:ascii="Cambria" w:eastAsia="Times New Roman" w:hAnsi="Cambria" w:cs="Arial"/>
          <w:color w:val="222222"/>
          <w:sz w:val="20"/>
          <w:szCs w:val="20"/>
          <w:bdr w:val="none" w:sz="0" w:space="0" w:color="auto"/>
          <w:lang w:val="es-ES"/>
        </w:rPr>
        <w:t>ARTICULO 2 - Para acogerse a los beneficios de esta ley, las personas mencionadas en el artículo anterior deberán reunir alguno de los siguientes requisitos:</w:t>
      </w:r>
    </w:p>
    <w:p w:rsidR="002051A2" w:rsidRDefault="002051A2" w:rsidP="007A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lang w:val="es-ES"/>
        </w:rPr>
      </w:pPr>
    </w:p>
    <w:p w:rsidR="007A61F8" w:rsidRPr="00E57D5F" w:rsidRDefault="007A61F8" w:rsidP="007A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lang w:val="es-ES"/>
        </w:rPr>
      </w:pPr>
      <w:r w:rsidRPr="00E57D5F">
        <w:rPr>
          <w:rFonts w:ascii="Cambria" w:eastAsia="Times New Roman" w:hAnsi="Cambria" w:cs="Arial"/>
          <w:color w:val="222222"/>
          <w:sz w:val="20"/>
          <w:szCs w:val="20"/>
          <w:bdr w:val="none" w:sz="0" w:space="0" w:color="auto"/>
          <w:lang w:val="es-ES"/>
        </w:rPr>
        <w:t>a) Haber sido puestas a disposición del Poder Ejecutivo Nacional antes del 10 de diciembre de 1983.</w:t>
      </w:r>
    </w:p>
    <w:p w:rsidR="002051A2" w:rsidRDefault="002051A2" w:rsidP="007A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lang w:val="es-ES"/>
        </w:rPr>
      </w:pPr>
    </w:p>
    <w:p w:rsidR="007A61F8" w:rsidRPr="00E57D5F" w:rsidRDefault="007A61F8" w:rsidP="007A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lang w:val="es-ES"/>
        </w:rPr>
      </w:pPr>
      <w:r w:rsidRPr="00E57D5F">
        <w:rPr>
          <w:rFonts w:ascii="Cambria" w:eastAsia="Times New Roman" w:hAnsi="Cambria" w:cs="Arial"/>
          <w:color w:val="222222"/>
          <w:sz w:val="20"/>
          <w:szCs w:val="20"/>
          <w:bdr w:val="none" w:sz="0" w:space="0" w:color="auto"/>
          <w:lang w:val="es-ES"/>
        </w:rPr>
        <w:t>b) En condición de civiles, haber sido privadas de su libertad por actos emanados de tribunales militares, haya habido o no sentencia condenatoria en este fuero</w:t>
      </w:r>
      <w:r w:rsidRPr="00E57D5F">
        <w:rPr>
          <w:rStyle w:val="FootnoteReference"/>
          <w:rFonts w:ascii="Cambria" w:eastAsia="Times New Roman" w:hAnsi="Cambria" w:cs="Arial"/>
          <w:color w:val="222222"/>
          <w:sz w:val="20"/>
          <w:szCs w:val="20"/>
          <w:bdr w:val="none" w:sz="0" w:space="0" w:color="auto"/>
          <w:lang w:val="es-ES"/>
        </w:rPr>
        <w:footnoteReference w:id="18"/>
      </w:r>
      <w:r w:rsidRPr="00E57D5F">
        <w:rPr>
          <w:rFonts w:ascii="Cambria" w:eastAsia="Times New Roman" w:hAnsi="Cambria" w:cs="Arial"/>
          <w:color w:val="222222"/>
          <w:sz w:val="20"/>
          <w:szCs w:val="20"/>
          <w:bdr w:val="none" w:sz="0" w:space="0" w:color="auto"/>
          <w:lang w:val="es-ES"/>
        </w:rPr>
        <w:t>.</w:t>
      </w:r>
    </w:p>
    <w:p w:rsidR="007A61F8" w:rsidRPr="00E57D5F" w:rsidRDefault="007A61F8" w:rsidP="007A61F8">
      <w:pPr>
        <w:pStyle w:val="ListParagraph"/>
        <w:ind w:left="0"/>
        <w:rPr>
          <w:rFonts w:ascii="Cambria" w:hAnsi="Cambria"/>
          <w:sz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rPr>
        <w:lastRenderedPageBreak/>
        <w:t xml:space="preserve">De acuerdo con lo señalado por el Estado, el 25 de julio de 1995 se emitió la Resolución no. 203 en donde se otorgó a la señora </w:t>
      </w:r>
      <w:proofErr w:type="spellStart"/>
      <w:r w:rsidRPr="00E57D5F">
        <w:rPr>
          <w:rFonts w:ascii="Cambria" w:hAnsi="Cambria"/>
          <w:sz w:val="20"/>
        </w:rPr>
        <w:t>Perrone</w:t>
      </w:r>
      <w:proofErr w:type="spellEnd"/>
      <w:r w:rsidRPr="00E57D5F">
        <w:rPr>
          <w:rFonts w:ascii="Cambria" w:hAnsi="Cambria"/>
          <w:sz w:val="20"/>
        </w:rPr>
        <w:t xml:space="preserve"> un beneficio correspondiente al valor de 2534 días referido al lapso comprendido entre el 17 de agosto de 1976 y el 25 de julio de 1983</w:t>
      </w:r>
      <w:r w:rsidRPr="00E57D5F">
        <w:rPr>
          <w:rStyle w:val="FootnoteReference"/>
          <w:rFonts w:ascii="Cambria" w:hAnsi="Cambria"/>
          <w:sz w:val="20"/>
          <w:szCs w:val="20"/>
        </w:rPr>
        <w:footnoteReference w:id="19"/>
      </w:r>
      <w:r w:rsidRPr="00E57D5F">
        <w:rPr>
          <w:rFonts w:ascii="Cambria" w:hAnsi="Cambria"/>
          <w:sz w:val="20"/>
        </w:rPr>
        <w:t>. El monto fue de $144,875</w:t>
      </w:r>
      <w:r w:rsidR="00D869B9" w:rsidRPr="00E57D5F">
        <w:rPr>
          <w:rFonts w:ascii="Cambria" w:hAnsi="Cambria"/>
          <w:sz w:val="20"/>
        </w:rPr>
        <w:t xml:space="preserve"> (pesos argentinos)</w:t>
      </w:r>
      <w:r w:rsidRPr="00E57D5F">
        <w:rPr>
          <w:rStyle w:val="FootnoteReference"/>
          <w:rFonts w:ascii="Cambria" w:hAnsi="Cambria"/>
          <w:sz w:val="20"/>
          <w:szCs w:val="20"/>
        </w:rPr>
        <w:footnoteReference w:id="20"/>
      </w:r>
      <w:r w:rsidRPr="00E57D5F">
        <w:rPr>
          <w:rFonts w:ascii="Cambria" w:hAnsi="Cambria"/>
          <w:sz w:val="20"/>
        </w:rPr>
        <w:t>.</w:t>
      </w:r>
    </w:p>
    <w:p w:rsidR="007A61F8" w:rsidRPr="00E57D5F" w:rsidRDefault="007A61F8" w:rsidP="007A61F8">
      <w:pPr>
        <w:pStyle w:val="ListParagraph"/>
        <w:rPr>
          <w:rFonts w:ascii="Cambria" w:hAnsi="Cambria"/>
          <w:sz w:val="20"/>
          <w:szCs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El Estado agregó que el 15 de julio de 1994 se emitió la Resolución no. 2294 en donde se otorgó al señor </w:t>
      </w:r>
      <w:proofErr w:type="spellStart"/>
      <w:r w:rsidRPr="00E57D5F">
        <w:rPr>
          <w:rFonts w:ascii="Cambria" w:hAnsi="Cambria"/>
          <w:sz w:val="20"/>
          <w:szCs w:val="20"/>
        </w:rPr>
        <w:t>Preckel</w:t>
      </w:r>
      <w:proofErr w:type="spellEnd"/>
      <w:r w:rsidRPr="00E57D5F">
        <w:rPr>
          <w:rFonts w:ascii="Cambria" w:hAnsi="Cambria"/>
          <w:sz w:val="20"/>
          <w:szCs w:val="20"/>
        </w:rPr>
        <w:t xml:space="preserve"> un beneficio correspondiente al valor de 2647 días referidos al lapso comprendido entre el 30 de julio de 1976 y 28 de octubre de 1983</w:t>
      </w:r>
      <w:r w:rsidRPr="00E57D5F">
        <w:rPr>
          <w:rStyle w:val="FootnoteReference"/>
          <w:rFonts w:ascii="Cambria" w:hAnsi="Cambria"/>
          <w:sz w:val="20"/>
          <w:szCs w:val="20"/>
        </w:rPr>
        <w:footnoteReference w:id="21"/>
      </w:r>
      <w:r w:rsidRPr="00E57D5F">
        <w:rPr>
          <w:rFonts w:ascii="Cambria" w:hAnsi="Cambria"/>
          <w:sz w:val="20"/>
          <w:szCs w:val="20"/>
        </w:rPr>
        <w:t>. El monto fue de $172,952</w:t>
      </w:r>
      <w:r w:rsidR="00D869B9" w:rsidRPr="00E57D5F">
        <w:rPr>
          <w:rFonts w:ascii="Cambria" w:hAnsi="Cambria"/>
          <w:sz w:val="20"/>
          <w:szCs w:val="20"/>
        </w:rPr>
        <w:t xml:space="preserve"> (pesos argentinos)</w:t>
      </w:r>
      <w:r w:rsidRPr="00E57D5F">
        <w:rPr>
          <w:rStyle w:val="FootnoteReference"/>
          <w:rFonts w:ascii="Cambria" w:hAnsi="Cambria"/>
          <w:sz w:val="20"/>
          <w:szCs w:val="20"/>
        </w:rPr>
        <w:footnoteReference w:id="22"/>
      </w:r>
      <w:r w:rsidRPr="00E57D5F">
        <w:rPr>
          <w:rFonts w:ascii="Cambria" w:hAnsi="Cambria"/>
          <w:sz w:val="20"/>
          <w:szCs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rPr>
      </w:pPr>
    </w:p>
    <w:p w:rsidR="007A61F8" w:rsidRPr="00E57D5F" w:rsidRDefault="007A61F8" w:rsidP="00773021">
      <w:pPr>
        <w:pStyle w:val="Heading2"/>
        <w:numPr>
          <w:ilvl w:val="0"/>
          <w:numId w:val="0"/>
        </w:numPr>
        <w:ind w:left="1440" w:hanging="720"/>
      </w:pPr>
      <w:bookmarkStart w:id="34" w:name="_Toc412635576"/>
      <w:bookmarkStart w:id="35" w:name="_Toc416685632"/>
      <w:bookmarkStart w:id="36" w:name="_Toc476667878"/>
      <w:r w:rsidRPr="00E57D5F">
        <w:t>B.</w:t>
      </w:r>
      <w:r w:rsidRPr="00E57D5F">
        <w:tab/>
      </w:r>
      <w:bookmarkEnd w:id="32"/>
      <w:bookmarkEnd w:id="33"/>
      <w:bookmarkEnd w:id="34"/>
      <w:bookmarkEnd w:id="35"/>
      <w:r w:rsidRPr="00E57D5F">
        <w:t xml:space="preserve">Sobre la situación laboral de la señora </w:t>
      </w:r>
      <w:proofErr w:type="spellStart"/>
      <w:r w:rsidRPr="00E57D5F">
        <w:t>Perrone</w:t>
      </w:r>
      <w:proofErr w:type="spellEnd"/>
      <w:r w:rsidRPr="00E57D5F">
        <w:t xml:space="preserve"> y el señor </w:t>
      </w:r>
      <w:proofErr w:type="spellStart"/>
      <w:r w:rsidRPr="00E57D5F">
        <w:t>Preckel</w:t>
      </w:r>
      <w:bookmarkEnd w:id="36"/>
      <w:proofErr w:type="spellEnd"/>
    </w:p>
    <w:p w:rsidR="007A61F8" w:rsidRPr="00E57D5F" w:rsidRDefault="007A61F8" w:rsidP="007A61F8">
      <w:pPr>
        <w:ind w:firstLine="567"/>
        <w:rPr>
          <w:rFonts w:ascii="Cambria" w:hAnsi="Cambria" w:cs="Arial"/>
          <w:iCs/>
          <w:sz w:val="20"/>
          <w:szCs w:val="20"/>
          <w:lang w:val="es-ES_tradnl"/>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rPr>
        <w:t xml:space="preserve">Dos días después de la detención de la señora </w:t>
      </w:r>
      <w:proofErr w:type="spellStart"/>
      <w:r w:rsidRPr="00E57D5F">
        <w:rPr>
          <w:rFonts w:ascii="Cambria" w:hAnsi="Cambria"/>
          <w:sz w:val="20"/>
        </w:rPr>
        <w:t>Perrone</w:t>
      </w:r>
      <w:proofErr w:type="spellEnd"/>
      <w:r w:rsidRPr="00E57D5F">
        <w:rPr>
          <w:rFonts w:ascii="Cambria" w:hAnsi="Cambria"/>
          <w:sz w:val="20"/>
        </w:rPr>
        <w:t xml:space="preserve"> y el señor </w:t>
      </w:r>
      <w:proofErr w:type="spellStart"/>
      <w:r w:rsidRPr="00E57D5F">
        <w:rPr>
          <w:rFonts w:ascii="Cambria" w:hAnsi="Cambria"/>
          <w:sz w:val="20"/>
        </w:rPr>
        <w:t>Preckel</w:t>
      </w:r>
      <w:proofErr w:type="spellEnd"/>
      <w:r w:rsidRPr="00E57D5F">
        <w:rPr>
          <w:rFonts w:ascii="Cambria" w:hAnsi="Cambria"/>
          <w:sz w:val="20"/>
        </w:rPr>
        <w:t xml:space="preserve">, </w:t>
      </w:r>
      <w:r w:rsidRPr="00E57D5F">
        <w:rPr>
          <w:rFonts w:ascii="Cambria" w:hAnsi="Cambria"/>
          <w:sz w:val="20"/>
          <w:szCs w:val="20"/>
        </w:rPr>
        <w:t>la Dirección General Impositiva</w:t>
      </w:r>
      <w:r w:rsidRPr="00E57D5F">
        <w:rPr>
          <w:rFonts w:ascii="Cambria" w:hAnsi="Cambria"/>
          <w:sz w:val="20"/>
        </w:rPr>
        <w:t xml:space="preserve"> inició un procedimiento administrativo estipulado en el artículo 36 del Reglamento de Investigaciones de la Función Pública - </w:t>
      </w:r>
      <w:r w:rsidRPr="00E57D5F">
        <w:rPr>
          <w:rFonts w:ascii="Cambria" w:hAnsi="Cambria"/>
          <w:sz w:val="20"/>
          <w:szCs w:val="20"/>
          <w:bdr w:val="none" w:sz="0" w:space="0" w:color="auto"/>
          <w:lang w:val="es-ES"/>
        </w:rPr>
        <w:t xml:space="preserve">Decreto No. 1798/80 </w:t>
      </w:r>
      <w:r w:rsidRPr="00E57D5F">
        <w:rPr>
          <w:rFonts w:ascii="Cambria" w:hAnsi="Cambria"/>
          <w:sz w:val="20"/>
        </w:rPr>
        <w:t>con motivo de sus faltas a su centro de labores</w:t>
      </w:r>
      <w:r w:rsidRPr="00E57D5F">
        <w:rPr>
          <w:rStyle w:val="FootnoteReference"/>
          <w:rFonts w:ascii="Cambria" w:hAnsi="Cambria"/>
          <w:sz w:val="20"/>
          <w:szCs w:val="20"/>
        </w:rPr>
        <w:footnoteReference w:id="23"/>
      </w:r>
      <w:r w:rsidRPr="00E57D5F">
        <w:rPr>
          <w:rFonts w:ascii="Cambria" w:hAnsi="Cambria"/>
          <w:sz w:val="20"/>
        </w:rPr>
        <w:t>. Dicho decreto indica que se aplica al personal comprendido en el régimen jurídico básico de la función pública y establece, en lo pertinente, las siguientes disposiciones</w:t>
      </w:r>
      <w:r w:rsidRPr="00E57D5F">
        <w:rPr>
          <w:rStyle w:val="FootnoteReference"/>
          <w:rFonts w:ascii="Cambria" w:hAnsi="Cambria"/>
          <w:sz w:val="20"/>
        </w:rPr>
        <w:footnoteReference w:id="24"/>
      </w:r>
      <w:r w:rsidRPr="00E57D5F">
        <w:rPr>
          <w:rFonts w:ascii="Cambria" w:hAnsi="Cambria"/>
          <w:sz w:val="20"/>
        </w:rPr>
        <w:t xml:space="preserve">: </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r w:rsidRPr="00E57D5F">
        <w:rPr>
          <w:rFonts w:ascii="Cambria" w:hAnsi="Cambria"/>
          <w:sz w:val="20"/>
        </w:rPr>
        <w:t>Art. 36. Cuando el agente se encontrare privado de libertad, será suspendido preventivamente, instruyéndose el sumario pertinente, debiendo reintegrarse al servicio dentro de los dos (2) días de recobrada la libertad.</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r w:rsidRPr="00E57D5F">
        <w:rPr>
          <w:rFonts w:ascii="Cambria" w:hAnsi="Cambria"/>
          <w:sz w:val="20"/>
        </w:rPr>
        <w:t>Art. 37. Cuando el agente esté sometido a proceso por hecho ajeno al servicio y la naturaleza del delito que se le imputa fuera incompatible con su desempeño en la función, en el caso que no fuera posible asignarle otra, podrá disponerse la suspensión preventiva del mismo hasta tanto recaiga pronunciamiento en la causa penal a su respecto.</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r w:rsidRPr="00E57D5F">
        <w:rPr>
          <w:rFonts w:ascii="Cambria" w:hAnsi="Cambria"/>
          <w:sz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r w:rsidRPr="00E57D5F">
        <w:rPr>
          <w:rFonts w:ascii="Cambria" w:hAnsi="Cambria"/>
          <w:sz w:val="20"/>
        </w:rPr>
        <w:t>Art. 39. El pago de haberes por el lapso de la suspensión se ajustará a los siguientes recaudos:</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r w:rsidRPr="00E57D5F">
        <w:rPr>
          <w:rFonts w:ascii="Cambria" w:hAnsi="Cambria"/>
          <w:sz w:val="20"/>
        </w:rPr>
        <w:t>a) Cuando se originare en hechos ajenos al servicio, el agente no tendrá derecho a pago alguno de haberes, excepto en el caso del art. 37, cuando fuere absuelto o sobreseído definitivamente en sede penal y sólo por el tiempo que hubiere permanecido en libertad y no se hubiere autorizado su reintegro.</w:t>
      </w:r>
    </w:p>
    <w:p w:rsidR="002051A2" w:rsidRDefault="002051A2"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r w:rsidRPr="00E57D5F">
        <w:rPr>
          <w:rFonts w:ascii="Cambria" w:hAnsi="Cambria"/>
          <w:sz w:val="20"/>
        </w:rPr>
        <w:t xml:space="preserve">b) Cuando se originare en hechos del servicio o vinculados a él, el agente tendrá derecho a la percepción de los haberes devengados durante el lapso de la suspensión, sólo si en la respectiva causa administrativa no resultara sancionado. </w:t>
      </w:r>
    </w:p>
    <w:p w:rsidR="002051A2" w:rsidRDefault="002051A2"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E57D5F">
        <w:rPr>
          <w:rFonts w:ascii="Cambria" w:hAnsi="Cambria"/>
          <w:sz w:val="20"/>
        </w:rPr>
        <w:t>Si en esta última se aplicará una sanción menor, no expulsiva, los haberes le serán abonados en la proporción correspondiente y si la sanción fuera expulsiva (cesantía, exoneración) no le serán abonados</w:t>
      </w:r>
      <w:r w:rsidRPr="00E57D5F">
        <w:rPr>
          <w:rStyle w:val="FootnoteReference"/>
          <w:rFonts w:ascii="Cambria" w:hAnsi="Cambria"/>
          <w:sz w:val="20"/>
        </w:rPr>
        <w:footnoteReference w:id="25"/>
      </w:r>
      <w:r w:rsidRPr="00E57D5F">
        <w:rPr>
          <w:rFonts w:ascii="Cambria" w:hAnsi="Cambria"/>
          <w:sz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rPr>
        <w:lastRenderedPageBreak/>
        <w:t xml:space="preserve">El 27 de julio de 1976 la DGI envió una comunicación a la Agrupación de Artillería de Defensa Aérea indicando que la señora </w:t>
      </w:r>
      <w:proofErr w:type="spellStart"/>
      <w:r w:rsidRPr="00E57D5F">
        <w:rPr>
          <w:rFonts w:ascii="Cambria" w:hAnsi="Cambria"/>
          <w:sz w:val="20"/>
        </w:rPr>
        <w:t>Perrone</w:t>
      </w:r>
      <w:proofErr w:type="spellEnd"/>
      <w:r w:rsidRPr="00E57D5F">
        <w:rPr>
          <w:rFonts w:ascii="Cambria" w:hAnsi="Cambria"/>
          <w:sz w:val="20"/>
        </w:rPr>
        <w:t xml:space="preserve"> y el señor </w:t>
      </w:r>
      <w:proofErr w:type="spellStart"/>
      <w:r w:rsidRPr="00E57D5F">
        <w:rPr>
          <w:rFonts w:ascii="Cambria" w:hAnsi="Cambria"/>
          <w:sz w:val="20"/>
        </w:rPr>
        <w:t>Preckel</w:t>
      </w:r>
      <w:proofErr w:type="spellEnd"/>
      <w:r w:rsidRPr="00E57D5F">
        <w:rPr>
          <w:rFonts w:ascii="Cambria" w:hAnsi="Cambria"/>
          <w:sz w:val="20"/>
        </w:rPr>
        <w:t xml:space="preserve"> “faltan a sus tareas desde hace un tiempo y sus familiares han manifestado que fueron detenidos”</w:t>
      </w:r>
      <w:r w:rsidRPr="00E57D5F">
        <w:rPr>
          <w:rStyle w:val="FootnoteReference"/>
          <w:rFonts w:ascii="Cambria" w:hAnsi="Cambria"/>
          <w:sz w:val="20"/>
        </w:rPr>
        <w:footnoteReference w:id="26"/>
      </w:r>
      <w:r w:rsidRPr="00E57D5F">
        <w:rPr>
          <w:rFonts w:ascii="Cambria" w:hAnsi="Cambria"/>
          <w:sz w:val="20"/>
        </w:rPr>
        <w:t>. La DGI sostuvo que “al no existir constancia de tal detención (…) debe darle a dichas ausencias el carácter de injustificadas provocándoles la pérdida de su fuente de trabajo”</w:t>
      </w:r>
      <w:r w:rsidRPr="00E57D5F">
        <w:rPr>
          <w:rStyle w:val="FootnoteReference"/>
          <w:rFonts w:ascii="Cambria" w:hAnsi="Cambria"/>
          <w:sz w:val="20"/>
        </w:rPr>
        <w:footnoteReference w:id="27"/>
      </w:r>
      <w:r w:rsidRPr="00E57D5F">
        <w:rPr>
          <w:rFonts w:ascii="Cambria" w:hAnsi="Cambria"/>
          <w:sz w:val="20"/>
        </w:rPr>
        <w:t xml:space="preserve">. </w:t>
      </w:r>
      <w:r w:rsidRPr="00E57D5F">
        <w:rPr>
          <w:rFonts w:ascii="Cambria" w:hAnsi="Cambria"/>
          <w:sz w:val="20"/>
          <w:szCs w:val="20"/>
        </w:rPr>
        <w:t xml:space="preserve">El mismo día el Coronel de la </w:t>
      </w:r>
      <w:r w:rsidRPr="00E57D5F">
        <w:rPr>
          <w:rFonts w:ascii="Cambria" w:hAnsi="Cambria"/>
          <w:sz w:val="20"/>
        </w:rPr>
        <w:t xml:space="preserve">Agrupación de Artillería de Defensa Aérea indicó que la señora </w:t>
      </w:r>
      <w:proofErr w:type="spellStart"/>
      <w:r w:rsidRPr="00E57D5F">
        <w:rPr>
          <w:rFonts w:ascii="Cambria" w:hAnsi="Cambria"/>
          <w:sz w:val="20"/>
        </w:rPr>
        <w:t>Perrone</w:t>
      </w:r>
      <w:proofErr w:type="spellEnd"/>
      <w:r w:rsidRPr="00E57D5F">
        <w:rPr>
          <w:rFonts w:ascii="Cambria" w:hAnsi="Cambria"/>
          <w:sz w:val="20"/>
        </w:rPr>
        <w:t xml:space="preserve"> y el señor </w:t>
      </w:r>
      <w:proofErr w:type="spellStart"/>
      <w:r w:rsidRPr="00E57D5F">
        <w:rPr>
          <w:rFonts w:ascii="Cambria" w:hAnsi="Cambria"/>
          <w:sz w:val="20"/>
        </w:rPr>
        <w:t>Preckel</w:t>
      </w:r>
      <w:proofErr w:type="spellEnd"/>
      <w:r w:rsidRPr="00E57D5F">
        <w:rPr>
          <w:rFonts w:ascii="Cambria" w:hAnsi="Cambria"/>
          <w:sz w:val="20"/>
        </w:rPr>
        <w:t xml:space="preserve"> estaban a disposición de las autoridades militares</w:t>
      </w:r>
      <w:r w:rsidRPr="00E57D5F">
        <w:rPr>
          <w:rStyle w:val="FootnoteReference"/>
          <w:rFonts w:ascii="Cambria" w:hAnsi="Cambria"/>
          <w:sz w:val="20"/>
        </w:rPr>
        <w:footnoteReference w:id="28"/>
      </w:r>
      <w:r w:rsidRPr="00E57D5F">
        <w:rPr>
          <w:rFonts w:ascii="Cambria" w:hAnsi="Cambria"/>
          <w:sz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El 10 de agosto de 1976 la DGI decidió suspender preventivamente a </w:t>
      </w:r>
      <w:r w:rsidRPr="00E57D5F">
        <w:rPr>
          <w:rFonts w:ascii="Cambria" w:hAnsi="Cambria"/>
          <w:sz w:val="20"/>
        </w:rPr>
        <w:t xml:space="preserve">la señora </w:t>
      </w:r>
      <w:proofErr w:type="spellStart"/>
      <w:r w:rsidRPr="00E57D5F">
        <w:rPr>
          <w:rFonts w:ascii="Cambria" w:hAnsi="Cambria"/>
          <w:sz w:val="20"/>
        </w:rPr>
        <w:t>Perrone</w:t>
      </w:r>
      <w:proofErr w:type="spellEnd"/>
      <w:r w:rsidRPr="00E57D5F">
        <w:rPr>
          <w:rFonts w:ascii="Cambria" w:hAnsi="Cambria"/>
          <w:sz w:val="20"/>
        </w:rPr>
        <w:t xml:space="preserve"> y al señor </w:t>
      </w:r>
      <w:proofErr w:type="spellStart"/>
      <w:r w:rsidRPr="00E57D5F">
        <w:rPr>
          <w:rFonts w:ascii="Cambria" w:hAnsi="Cambria"/>
          <w:sz w:val="20"/>
        </w:rPr>
        <w:t>Preckel</w:t>
      </w:r>
      <w:proofErr w:type="spellEnd"/>
      <w:r w:rsidRPr="00E57D5F">
        <w:rPr>
          <w:rStyle w:val="FootnoteReference"/>
          <w:rFonts w:ascii="Cambria" w:hAnsi="Cambria"/>
          <w:sz w:val="20"/>
        </w:rPr>
        <w:footnoteReference w:id="29"/>
      </w:r>
      <w:r w:rsidRPr="00E57D5F">
        <w:rPr>
          <w:rFonts w:ascii="Cambria" w:hAnsi="Cambria"/>
          <w:sz w:val="20"/>
        </w:rPr>
        <w:t>. La DGI tomó nota de que ambas personas se encontraban detenidas e indicó que la suspensión procede “sin perjuicio de la instrucción del pertinente sumario administrativo”</w:t>
      </w:r>
      <w:r w:rsidRPr="00E57D5F">
        <w:rPr>
          <w:rStyle w:val="FootnoteReference"/>
          <w:rFonts w:ascii="Cambria" w:hAnsi="Cambria"/>
          <w:sz w:val="20"/>
        </w:rPr>
        <w:footnoteReference w:id="30"/>
      </w:r>
      <w:r w:rsidRPr="00E57D5F">
        <w:rPr>
          <w:rFonts w:ascii="Cambria" w:hAnsi="Cambria"/>
          <w:sz w:val="20"/>
        </w:rPr>
        <w:t>.</w:t>
      </w:r>
    </w:p>
    <w:p w:rsidR="007A61F8" w:rsidRPr="00E57D5F" w:rsidRDefault="007A61F8" w:rsidP="007A61F8">
      <w:pPr>
        <w:pStyle w:val="ListParagraph"/>
        <w:rPr>
          <w:rFonts w:ascii="Cambria" w:hAnsi="Cambria"/>
          <w:sz w:val="20"/>
          <w:szCs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El 26 de agosto de 1976 la DGI decidió instruir un sumario administrativo a efectos de determinar la situación de </w:t>
      </w:r>
      <w:r w:rsidRPr="00E57D5F">
        <w:rPr>
          <w:rFonts w:ascii="Cambria" w:hAnsi="Cambria"/>
          <w:sz w:val="20"/>
        </w:rPr>
        <w:t xml:space="preserve">la señora </w:t>
      </w:r>
      <w:proofErr w:type="spellStart"/>
      <w:r w:rsidRPr="00E57D5F">
        <w:rPr>
          <w:rFonts w:ascii="Cambria" w:hAnsi="Cambria"/>
          <w:sz w:val="20"/>
        </w:rPr>
        <w:t>Perrone</w:t>
      </w:r>
      <w:proofErr w:type="spellEnd"/>
      <w:r w:rsidRPr="00E57D5F">
        <w:rPr>
          <w:rFonts w:ascii="Cambria" w:hAnsi="Cambria"/>
          <w:sz w:val="20"/>
        </w:rPr>
        <w:t xml:space="preserve"> y el señor </w:t>
      </w:r>
      <w:proofErr w:type="spellStart"/>
      <w:r w:rsidRPr="00E57D5F">
        <w:rPr>
          <w:rFonts w:ascii="Cambria" w:hAnsi="Cambria"/>
          <w:sz w:val="20"/>
        </w:rPr>
        <w:t>Preckel</w:t>
      </w:r>
      <w:proofErr w:type="spellEnd"/>
      <w:r w:rsidRPr="00E57D5F">
        <w:rPr>
          <w:rStyle w:val="FootnoteReference"/>
          <w:rFonts w:ascii="Cambria" w:hAnsi="Cambria"/>
          <w:sz w:val="20"/>
        </w:rPr>
        <w:footnoteReference w:id="31"/>
      </w:r>
      <w:r w:rsidRPr="00E57D5F">
        <w:rPr>
          <w:rFonts w:ascii="Cambria" w:hAnsi="Cambria"/>
          <w:sz w:val="20"/>
        </w:rPr>
        <w:t xml:space="preserve">. El 21 de octubre del mismo año el </w:t>
      </w:r>
      <w:r w:rsidRPr="00E57D5F">
        <w:rPr>
          <w:rFonts w:ascii="Cambria" w:hAnsi="Cambria"/>
          <w:sz w:val="20"/>
          <w:szCs w:val="20"/>
        </w:rPr>
        <w:t xml:space="preserve">Coronel de la </w:t>
      </w:r>
      <w:r w:rsidRPr="00E57D5F">
        <w:rPr>
          <w:rFonts w:ascii="Cambria" w:hAnsi="Cambria"/>
          <w:sz w:val="20"/>
        </w:rPr>
        <w:t xml:space="preserve">Agrupación de Artillería de Defensa Aérea envió una comunicación a la DGI indicando que ambas personas fueron detenidas </w:t>
      </w:r>
      <w:r w:rsidR="00D869B9" w:rsidRPr="00E57D5F">
        <w:rPr>
          <w:rFonts w:ascii="Cambria" w:hAnsi="Cambria"/>
          <w:sz w:val="20"/>
        </w:rPr>
        <w:t>bajo sospecha de</w:t>
      </w:r>
      <w:r w:rsidRPr="00E57D5F">
        <w:rPr>
          <w:rFonts w:ascii="Cambria" w:hAnsi="Cambria"/>
          <w:sz w:val="20"/>
        </w:rPr>
        <w:t xml:space="preserve"> “pertenecer a una organización paramilitar”</w:t>
      </w:r>
      <w:r w:rsidRPr="00E57D5F">
        <w:rPr>
          <w:rStyle w:val="FootnoteReference"/>
          <w:rFonts w:ascii="Cambria" w:hAnsi="Cambria"/>
          <w:sz w:val="20"/>
        </w:rPr>
        <w:footnoteReference w:id="32"/>
      </w:r>
      <w:r w:rsidRPr="00E57D5F">
        <w:rPr>
          <w:rFonts w:ascii="Cambria" w:hAnsi="Cambria"/>
          <w:sz w:val="20"/>
        </w:rPr>
        <w:t>.</w:t>
      </w:r>
    </w:p>
    <w:p w:rsidR="007A61F8" w:rsidRPr="00E57D5F" w:rsidRDefault="007A61F8" w:rsidP="007A61F8">
      <w:pPr>
        <w:pStyle w:val="ListParagraph"/>
        <w:rPr>
          <w:rFonts w:ascii="Cambria" w:hAnsi="Cambria"/>
          <w:sz w:val="20"/>
          <w:szCs w:val="20"/>
          <w:lang w:val="es-ES_tradnl"/>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El 10 de abril de 1979 la Junta de Disciplina de la DGI emitió un dictamen en el que aconsejó el cierre del sumario</w:t>
      </w:r>
      <w:r w:rsidRPr="00E57D5F">
        <w:rPr>
          <w:rStyle w:val="FootnoteReference"/>
          <w:rFonts w:ascii="Cambria" w:hAnsi="Cambria"/>
          <w:sz w:val="20"/>
          <w:szCs w:val="20"/>
        </w:rPr>
        <w:footnoteReference w:id="33"/>
      </w:r>
      <w:r w:rsidRPr="00E57D5F">
        <w:rPr>
          <w:rFonts w:ascii="Cambria" w:hAnsi="Cambria"/>
          <w:sz w:val="20"/>
          <w:szCs w:val="20"/>
        </w:rPr>
        <w:t xml:space="preserve">. Indicó que se evidenció que no se siguió un proceso judicial militar o judicial en contra de </w:t>
      </w:r>
      <w:r w:rsidRPr="00E57D5F">
        <w:rPr>
          <w:rFonts w:ascii="Cambria" w:hAnsi="Cambria"/>
          <w:sz w:val="20"/>
        </w:rPr>
        <w:t xml:space="preserve">la señora </w:t>
      </w:r>
      <w:proofErr w:type="spellStart"/>
      <w:r w:rsidRPr="00E57D5F">
        <w:rPr>
          <w:rFonts w:ascii="Cambria" w:hAnsi="Cambria"/>
          <w:sz w:val="20"/>
        </w:rPr>
        <w:t>Perrone</w:t>
      </w:r>
      <w:proofErr w:type="spellEnd"/>
      <w:r w:rsidRPr="00E57D5F">
        <w:rPr>
          <w:rFonts w:ascii="Cambria" w:hAnsi="Cambria"/>
          <w:sz w:val="20"/>
        </w:rPr>
        <w:t xml:space="preserve"> y el señor </w:t>
      </w:r>
      <w:proofErr w:type="spellStart"/>
      <w:r w:rsidRPr="00E57D5F">
        <w:rPr>
          <w:rFonts w:ascii="Cambria" w:hAnsi="Cambria"/>
          <w:sz w:val="20"/>
        </w:rPr>
        <w:t>Preckel</w:t>
      </w:r>
      <w:proofErr w:type="spellEnd"/>
      <w:r w:rsidRPr="00E57D5F">
        <w:rPr>
          <w:rStyle w:val="FootnoteReference"/>
          <w:rFonts w:ascii="Cambria" w:hAnsi="Cambria"/>
          <w:sz w:val="20"/>
          <w:szCs w:val="20"/>
        </w:rPr>
        <w:footnoteReference w:id="34"/>
      </w:r>
      <w:r w:rsidRPr="00E57D5F">
        <w:rPr>
          <w:rFonts w:ascii="Cambria" w:hAnsi="Cambria"/>
          <w:sz w:val="20"/>
        </w:rPr>
        <w:t xml:space="preserve">. </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rPr>
        <w:t>La Dirección de Asuntos Técnicos y Jurídicos decidió que el procedimiento seguido a ambas personas se mantenga suspendido hasta que pudieran prestar su declaración</w:t>
      </w:r>
      <w:r w:rsidRPr="00E57D5F">
        <w:rPr>
          <w:rStyle w:val="FootnoteReference"/>
          <w:rFonts w:ascii="Cambria" w:hAnsi="Cambria"/>
          <w:sz w:val="20"/>
        </w:rPr>
        <w:footnoteReference w:id="35"/>
      </w:r>
      <w:r w:rsidRPr="00E57D5F">
        <w:rPr>
          <w:rFonts w:ascii="Cambria" w:hAnsi="Cambria"/>
          <w:sz w:val="20"/>
        </w:rPr>
        <w:t xml:space="preserve">. </w:t>
      </w:r>
    </w:p>
    <w:p w:rsidR="007A61F8" w:rsidRPr="00E57D5F" w:rsidRDefault="007A61F8" w:rsidP="007A61F8">
      <w:pPr>
        <w:pStyle w:val="ListParagraph"/>
        <w:rPr>
          <w:rFonts w:ascii="Cambria" w:hAnsi="Cambria"/>
          <w:sz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rPr>
        <w:t xml:space="preserve">En relación con </w:t>
      </w:r>
      <w:r w:rsidRPr="00E57D5F">
        <w:rPr>
          <w:rFonts w:ascii="Cambria" w:hAnsi="Cambria"/>
          <w:sz w:val="20"/>
          <w:szCs w:val="20"/>
          <w:lang w:val="es-ES"/>
        </w:rPr>
        <w:t>l</w:t>
      </w:r>
      <w:r w:rsidRPr="00E57D5F">
        <w:rPr>
          <w:rFonts w:ascii="Cambria" w:hAnsi="Cambria"/>
          <w:sz w:val="20"/>
          <w:szCs w:val="20"/>
        </w:rPr>
        <w:t xml:space="preserve">a señora </w:t>
      </w:r>
      <w:proofErr w:type="spellStart"/>
      <w:r w:rsidRPr="00E57D5F">
        <w:rPr>
          <w:rFonts w:ascii="Cambria" w:hAnsi="Cambria"/>
          <w:sz w:val="20"/>
          <w:szCs w:val="20"/>
        </w:rPr>
        <w:t>Perrone</w:t>
      </w:r>
      <w:proofErr w:type="spellEnd"/>
      <w:r w:rsidR="00D869B9" w:rsidRPr="00E57D5F">
        <w:rPr>
          <w:rFonts w:ascii="Cambria" w:hAnsi="Cambria"/>
          <w:sz w:val="20"/>
          <w:szCs w:val="20"/>
        </w:rPr>
        <w:t>, ella regresó a sus labores en</w:t>
      </w:r>
      <w:r w:rsidRPr="00E57D5F">
        <w:rPr>
          <w:rFonts w:ascii="Cambria" w:hAnsi="Cambria"/>
          <w:sz w:val="20"/>
          <w:szCs w:val="20"/>
        </w:rPr>
        <w:t xml:space="preserve"> la DGI el 20 de octubre de 1982</w:t>
      </w:r>
      <w:r w:rsidRPr="00E57D5F">
        <w:rPr>
          <w:rStyle w:val="FootnoteReference"/>
          <w:rFonts w:ascii="Cambria" w:hAnsi="Cambria"/>
          <w:sz w:val="20"/>
        </w:rPr>
        <w:footnoteReference w:id="36"/>
      </w:r>
      <w:r w:rsidRPr="00E57D5F">
        <w:rPr>
          <w:rFonts w:ascii="Cambria" w:hAnsi="Cambria"/>
          <w:sz w:val="20"/>
          <w:szCs w:val="20"/>
        </w:rPr>
        <w:t xml:space="preserve">. El 27 de abril de 1983 </w:t>
      </w:r>
      <w:r w:rsidRPr="00E57D5F">
        <w:rPr>
          <w:rFonts w:ascii="Cambria" w:hAnsi="Cambria"/>
          <w:sz w:val="20"/>
        </w:rPr>
        <w:t xml:space="preserve">la señora </w:t>
      </w:r>
      <w:proofErr w:type="spellStart"/>
      <w:r w:rsidRPr="00E57D5F">
        <w:rPr>
          <w:rFonts w:ascii="Cambria" w:hAnsi="Cambria"/>
          <w:sz w:val="20"/>
        </w:rPr>
        <w:t>Perrone</w:t>
      </w:r>
      <w:proofErr w:type="spellEnd"/>
      <w:r w:rsidRPr="00E57D5F">
        <w:rPr>
          <w:rFonts w:ascii="Cambria" w:hAnsi="Cambria"/>
          <w:sz w:val="20"/>
        </w:rPr>
        <w:t xml:space="preserve"> presentó un escrito a la DGI donde señaló que no fue notificada del sumario administrativo que se le seguía</w:t>
      </w:r>
      <w:r w:rsidRPr="00E57D5F">
        <w:rPr>
          <w:rStyle w:val="FootnoteReference"/>
          <w:rFonts w:ascii="Cambria" w:hAnsi="Cambria"/>
          <w:sz w:val="20"/>
        </w:rPr>
        <w:footnoteReference w:id="37"/>
      </w:r>
      <w:r w:rsidRPr="00E57D5F">
        <w:rPr>
          <w:rFonts w:ascii="Cambria" w:hAnsi="Cambria"/>
          <w:sz w:val="20"/>
        </w:rPr>
        <w:t xml:space="preserve">. Por orden del Instructor </w:t>
      </w:r>
      <w:proofErr w:type="spellStart"/>
      <w:r w:rsidRPr="00E57D5F">
        <w:rPr>
          <w:rFonts w:ascii="Cambria" w:hAnsi="Cambria"/>
          <w:sz w:val="20"/>
        </w:rPr>
        <w:t>Sumariente</w:t>
      </w:r>
      <w:proofErr w:type="spellEnd"/>
      <w:r w:rsidRPr="00E57D5F">
        <w:rPr>
          <w:rFonts w:ascii="Cambria" w:hAnsi="Cambria"/>
          <w:sz w:val="20"/>
        </w:rPr>
        <w:t xml:space="preserve">, la DGI tomó la declaración de la señora </w:t>
      </w:r>
      <w:proofErr w:type="spellStart"/>
      <w:r w:rsidRPr="00E57D5F">
        <w:rPr>
          <w:rFonts w:ascii="Cambria" w:hAnsi="Cambria"/>
          <w:sz w:val="20"/>
        </w:rPr>
        <w:t>Perrone</w:t>
      </w:r>
      <w:proofErr w:type="spellEnd"/>
      <w:r w:rsidRPr="00E57D5F">
        <w:rPr>
          <w:rFonts w:ascii="Cambria" w:hAnsi="Cambria"/>
          <w:sz w:val="20"/>
        </w:rPr>
        <w:t xml:space="preserve"> el 23 de agosto de 1983</w:t>
      </w:r>
      <w:r w:rsidRPr="00E57D5F">
        <w:rPr>
          <w:rStyle w:val="FootnoteReference"/>
          <w:rFonts w:ascii="Cambria" w:hAnsi="Cambria"/>
          <w:sz w:val="20"/>
        </w:rPr>
        <w:footnoteReference w:id="38"/>
      </w:r>
      <w:r w:rsidRPr="00E57D5F">
        <w:rPr>
          <w:rFonts w:ascii="Cambria" w:hAnsi="Cambria"/>
          <w:sz w:val="20"/>
        </w:rPr>
        <w:t xml:space="preserve">. </w:t>
      </w:r>
    </w:p>
    <w:p w:rsidR="007A61F8" w:rsidRPr="00E57D5F" w:rsidRDefault="007A61F8" w:rsidP="007A61F8">
      <w:pPr>
        <w:pStyle w:val="ListParagraph"/>
        <w:rPr>
          <w:rFonts w:ascii="Cambria" w:hAnsi="Cambria"/>
          <w:sz w:val="20"/>
          <w:szCs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lastRenderedPageBreak/>
        <w:t xml:space="preserve">Respecto del señor </w:t>
      </w:r>
      <w:proofErr w:type="spellStart"/>
      <w:r w:rsidRPr="00E57D5F">
        <w:rPr>
          <w:rFonts w:ascii="Cambria" w:hAnsi="Cambria"/>
          <w:sz w:val="20"/>
          <w:szCs w:val="20"/>
        </w:rPr>
        <w:t>Preckel</w:t>
      </w:r>
      <w:proofErr w:type="spellEnd"/>
      <w:r w:rsidRPr="00E57D5F">
        <w:rPr>
          <w:rFonts w:ascii="Cambria" w:hAnsi="Cambria"/>
          <w:sz w:val="20"/>
          <w:szCs w:val="20"/>
        </w:rPr>
        <w:t>, el 20 de febrero de 1984 envió una comunicación a la DGI solicitando la reincorporación a su centro de trabajo</w:t>
      </w:r>
      <w:r w:rsidRPr="00E57D5F">
        <w:rPr>
          <w:rStyle w:val="FootnoteReference"/>
          <w:rFonts w:ascii="Cambria" w:hAnsi="Cambria"/>
          <w:sz w:val="20"/>
          <w:szCs w:val="20"/>
        </w:rPr>
        <w:footnoteReference w:id="39"/>
      </w:r>
      <w:r w:rsidRPr="00E57D5F">
        <w:rPr>
          <w:rFonts w:ascii="Cambria" w:hAnsi="Cambria"/>
          <w:sz w:val="20"/>
          <w:szCs w:val="20"/>
        </w:rPr>
        <w:t xml:space="preserve">. El 7 de septiembre del mismo año el Jefe de Departamento de Recursos Humanos de la DGI sostuvo que procedía que el señor </w:t>
      </w:r>
      <w:proofErr w:type="spellStart"/>
      <w:r w:rsidRPr="00E57D5F">
        <w:rPr>
          <w:rFonts w:ascii="Cambria" w:hAnsi="Cambria"/>
          <w:sz w:val="20"/>
          <w:szCs w:val="20"/>
        </w:rPr>
        <w:t>Preckel</w:t>
      </w:r>
      <w:proofErr w:type="spellEnd"/>
      <w:r w:rsidRPr="00E57D5F">
        <w:rPr>
          <w:rFonts w:ascii="Cambria" w:hAnsi="Cambria"/>
          <w:sz w:val="20"/>
          <w:szCs w:val="20"/>
        </w:rPr>
        <w:t xml:space="preserve"> pueda volver a prestar sus servicios debido a que “no surgen de las actuaciones sumariales incoadas cargos que formular </w:t>
      </w:r>
      <w:r w:rsidRPr="00E57D5F">
        <w:rPr>
          <w:rFonts w:ascii="Cambria" w:hAnsi="Cambria" w:cs="Arial"/>
          <w:sz w:val="20"/>
          <w:szCs w:val="20"/>
        </w:rPr>
        <w:t>[en su contra]</w:t>
      </w:r>
      <w:r w:rsidRPr="00E57D5F">
        <w:rPr>
          <w:rFonts w:ascii="Cambria" w:hAnsi="Cambria"/>
          <w:sz w:val="20"/>
          <w:szCs w:val="20"/>
        </w:rPr>
        <w:t>”</w:t>
      </w:r>
      <w:r w:rsidRPr="00E57D5F">
        <w:rPr>
          <w:rStyle w:val="FootnoteReference"/>
          <w:rFonts w:ascii="Cambria" w:hAnsi="Cambria"/>
          <w:sz w:val="20"/>
          <w:szCs w:val="20"/>
        </w:rPr>
        <w:footnoteReference w:id="40"/>
      </w:r>
      <w:r w:rsidRPr="00E57D5F">
        <w:rPr>
          <w:rFonts w:ascii="Cambria" w:hAnsi="Cambria"/>
          <w:sz w:val="20"/>
          <w:szCs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rPr>
        <w:t xml:space="preserve">El 16 de octubre de 1984 el Director General de la DGI emitió una resolución en la que declaró la exención de responsabilidad de la señora </w:t>
      </w:r>
      <w:proofErr w:type="spellStart"/>
      <w:r w:rsidRPr="00E57D5F">
        <w:rPr>
          <w:rFonts w:ascii="Cambria" w:hAnsi="Cambria"/>
          <w:sz w:val="20"/>
        </w:rPr>
        <w:t>Perrone</w:t>
      </w:r>
      <w:proofErr w:type="spellEnd"/>
      <w:r w:rsidRPr="00E57D5F">
        <w:rPr>
          <w:rFonts w:ascii="Cambria" w:hAnsi="Cambria"/>
          <w:sz w:val="20"/>
        </w:rPr>
        <w:t xml:space="preserve"> y el señor </w:t>
      </w:r>
      <w:proofErr w:type="spellStart"/>
      <w:r w:rsidRPr="00E57D5F">
        <w:rPr>
          <w:rFonts w:ascii="Cambria" w:hAnsi="Cambria"/>
          <w:sz w:val="20"/>
        </w:rPr>
        <w:t>Preckel</w:t>
      </w:r>
      <w:proofErr w:type="spellEnd"/>
      <w:r w:rsidRPr="00E57D5F">
        <w:rPr>
          <w:rStyle w:val="FootnoteReference"/>
          <w:rFonts w:ascii="Cambria" w:hAnsi="Cambria"/>
          <w:sz w:val="20"/>
        </w:rPr>
        <w:footnoteReference w:id="41"/>
      </w:r>
      <w:r w:rsidRPr="00E57D5F">
        <w:rPr>
          <w:rFonts w:ascii="Cambria" w:hAnsi="Cambria"/>
          <w:sz w:val="20"/>
        </w:rPr>
        <w:t>.  En consecuencia, se determinó el archivo del procedimiento seguido a ambas personas</w:t>
      </w:r>
      <w:r w:rsidRPr="00E57D5F">
        <w:rPr>
          <w:rStyle w:val="FootnoteReference"/>
          <w:rFonts w:ascii="Cambria" w:hAnsi="Cambria"/>
          <w:sz w:val="20"/>
        </w:rPr>
        <w:footnoteReference w:id="42"/>
      </w:r>
      <w:r w:rsidRPr="00E57D5F">
        <w:rPr>
          <w:rFonts w:ascii="Cambria" w:hAnsi="Cambria"/>
          <w:sz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El 4 de febrero de 1985 el señor </w:t>
      </w:r>
      <w:proofErr w:type="spellStart"/>
      <w:r w:rsidRPr="00E57D5F">
        <w:rPr>
          <w:rFonts w:ascii="Cambria" w:hAnsi="Cambria"/>
          <w:sz w:val="20"/>
          <w:szCs w:val="20"/>
        </w:rPr>
        <w:t>Preckel</w:t>
      </w:r>
      <w:proofErr w:type="spellEnd"/>
      <w:r w:rsidRPr="00E57D5F">
        <w:rPr>
          <w:rFonts w:ascii="Cambria" w:hAnsi="Cambria"/>
          <w:sz w:val="20"/>
          <w:szCs w:val="20"/>
        </w:rPr>
        <w:t xml:space="preserve"> reinició su relación laboral con la DGI, luego de su regreso a Argentina</w:t>
      </w:r>
      <w:r w:rsidRPr="00E57D5F">
        <w:rPr>
          <w:rStyle w:val="FootnoteReference"/>
          <w:rFonts w:ascii="Cambria" w:hAnsi="Cambria"/>
          <w:sz w:val="20"/>
          <w:szCs w:val="20"/>
        </w:rPr>
        <w:footnoteReference w:id="43"/>
      </w:r>
      <w:r w:rsidRPr="00E57D5F">
        <w:rPr>
          <w:rFonts w:ascii="Cambria" w:hAnsi="Cambria"/>
          <w:sz w:val="20"/>
          <w:szCs w:val="20"/>
        </w:rPr>
        <w:t>.</w:t>
      </w:r>
    </w:p>
    <w:p w:rsidR="007A61F8" w:rsidRPr="00E57D5F" w:rsidRDefault="007A61F8" w:rsidP="007A61F8">
      <w:pPr>
        <w:rPr>
          <w:rFonts w:ascii="Cambria" w:hAnsi="Cambria" w:cs="Arial"/>
          <w:iCs/>
          <w:sz w:val="20"/>
          <w:szCs w:val="20"/>
          <w:lang w:val="es-ES_tradnl"/>
        </w:rPr>
      </w:pPr>
    </w:p>
    <w:p w:rsidR="007A61F8" w:rsidRPr="00E57D5F" w:rsidRDefault="007A61F8" w:rsidP="00773021">
      <w:pPr>
        <w:pStyle w:val="Heading2"/>
        <w:numPr>
          <w:ilvl w:val="0"/>
          <w:numId w:val="0"/>
        </w:numPr>
        <w:ind w:left="1440" w:hanging="720"/>
      </w:pPr>
      <w:bookmarkStart w:id="37" w:name="_Toc476667879"/>
      <w:r w:rsidRPr="00E57D5F">
        <w:t>C.</w:t>
      </w:r>
      <w:r w:rsidRPr="00E57D5F">
        <w:tab/>
        <w:t>Recursos presentados</w:t>
      </w:r>
      <w:bookmarkEnd w:id="37"/>
    </w:p>
    <w:p w:rsidR="007A61F8" w:rsidRPr="00E57D5F" w:rsidRDefault="007A61F8" w:rsidP="007A61F8">
      <w:pPr>
        <w:rPr>
          <w:rFonts w:ascii="Cambria" w:hAnsi="Cambria" w:cs="Arial"/>
          <w:iCs/>
          <w:sz w:val="20"/>
          <w:szCs w:val="20"/>
          <w:lang w:val="es-ES_tradnl"/>
        </w:rPr>
      </w:pPr>
    </w:p>
    <w:p w:rsidR="007A61F8" w:rsidRPr="00E57D5F" w:rsidRDefault="007A61F8" w:rsidP="007A61F8">
      <w:pPr>
        <w:pStyle w:val="Heading3"/>
        <w:numPr>
          <w:ilvl w:val="3"/>
          <w:numId w:val="51"/>
        </w:numPr>
        <w:tabs>
          <w:tab w:val="clear" w:pos="2880"/>
          <w:tab w:val="num" w:pos="1440"/>
        </w:tabs>
        <w:ind w:hanging="2160"/>
      </w:pPr>
      <w:bookmarkStart w:id="38" w:name="_Toc476667880"/>
      <w:r w:rsidRPr="00E57D5F">
        <w:t>Procedimiento administrativo</w:t>
      </w:r>
      <w:bookmarkEnd w:id="38"/>
    </w:p>
    <w:p w:rsidR="007A61F8" w:rsidRPr="00E57D5F" w:rsidRDefault="007A61F8" w:rsidP="007A61F8">
      <w:pPr>
        <w:rPr>
          <w:rFonts w:ascii="Cambria" w:hAnsi="Cambria" w:cs="Arial"/>
          <w:iCs/>
          <w:sz w:val="20"/>
          <w:szCs w:val="20"/>
          <w:lang w:val="es-ES_tradnl"/>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El 27 de abril de 1983 </w:t>
      </w:r>
      <w:r w:rsidRPr="00E57D5F">
        <w:rPr>
          <w:rFonts w:ascii="Cambria" w:hAnsi="Cambria"/>
          <w:sz w:val="20"/>
        </w:rPr>
        <w:t xml:space="preserve">la señora </w:t>
      </w:r>
      <w:proofErr w:type="spellStart"/>
      <w:r w:rsidRPr="00E57D5F">
        <w:rPr>
          <w:rFonts w:ascii="Cambria" w:hAnsi="Cambria"/>
          <w:sz w:val="20"/>
        </w:rPr>
        <w:t>Perrone</w:t>
      </w:r>
      <w:proofErr w:type="spellEnd"/>
      <w:r w:rsidRPr="00E57D5F">
        <w:rPr>
          <w:rFonts w:ascii="Cambria" w:hAnsi="Cambria"/>
          <w:sz w:val="20"/>
        </w:rPr>
        <w:t xml:space="preserve"> presentó un escrito a la DGI solicitando el trámite de los haberes dejados de percibir durante su detención y hasta que se reintegró al centro de labores</w:t>
      </w:r>
      <w:r w:rsidRPr="00E57D5F">
        <w:rPr>
          <w:rStyle w:val="FootnoteReference"/>
          <w:rFonts w:ascii="Cambria" w:hAnsi="Cambria"/>
          <w:sz w:val="20"/>
        </w:rPr>
        <w:footnoteReference w:id="44"/>
      </w:r>
      <w:r w:rsidRPr="00E57D5F">
        <w:rPr>
          <w:rFonts w:ascii="Cambria" w:hAnsi="Cambria"/>
          <w:sz w:val="20"/>
        </w:rPr>
        <w:t xml:space="preserve">. Agregó que la razón de sus inasistencias “no se debió a </w:t>
      </w:r>
      <w:r w:rsidRPr="00E57D5F">
        <w:rPr>
          <w:rFonts w:ascii="Cambria" w:hAnsi="Cambria" w:cs="Arial"/>
          <w:sz w:val="20"/>
        </w:rPr>
        <w:t>[su] voluntad sino que fu[e] impedida de trabajar [al haber sido detenida]</w:t>
      </w:r>
      <w:r w:rsidRPr="00E57D5F">
        <w:rPr>
          <w:rFonts w:ascii="Cambria" w:hAnsi="Cambria"/>
          <w:sz w:val="20"/>
        </w:rPr>
        <w:t>”</w:t>
      </w:r>
      <w:r w:rsidRPr="00E57D5F">
        <w:rPr>
          <w:rStyle w:val="FootnoteReference"/>
          <w:rFonts w:ascii="Cambria" w:hAnsi="Cambria"/>
          <w:sz w:val="20"/>
        </w:rPr>
        <w:footnoteReference w:id="45"/>
      </w:r>
      <w:r w:rsidRPr="00E57D5F">
        <w:rPr>
          <w:rFonts w:ascii="Cambria" w:hAnsi="Cambria"/>
          <w:sz w:val="20"/>
        </w:rPr>
        <w:t xml:space="preserve">. </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En mayo de 1984 el Departamento de Asesoría Legal</w:t>
      </w:r>
      <w:r w:rsidRPr="00E57D5F">
        <w:rPr>
          <w:rFonts w:ascii="Cambria" w:hAnsi="Cambria"/>
          <w:sz w:val="20"/>
        </w:rPr>
        <w:t xml:space="preserve"> de la DGI emitió un dictamen en el cual consider</w:t>
      </w:r>
      <w:r w:rsidRPr="00E57D5F">
        <w:rPr>
          <w:rFonts w:ascii="Cambria" w:hAnsi="Cambria"/>
          <w:sz w:val="20"/>
          <w:szCs w:val="20"/>
        </w:rPr>
        <w:t xml:space="preserve">ó viable el reintegro de los haberes dejados de percibir durante la detención de la señora </w:t>
      </w:r>
      <w:proofErr w:type="spellStart"/>
      <w:r w:rsidRPr="00E57D5F">
        <w:rPr>
          <w:rFonts w:ascii="Cambria" w:hAnsi="Cambria"/>
          <w:sz w:val="20"/>
          <w:szCs w:val="20"/>
        </w:rPr>
        <w:t>Perrone</w:t>
      </w:r>
      <w:proofErr w:type="spellEnd"/>
      <w:r w:rsidRPr="00E57D5F">
        <w:rPr>
          <w:rStyle w:val="FootnoteReference"/>
          <w:rFonts w:ascii="Cambria" w:hAnsi="Cambria"/>
          <w:sz w:val="20"/>
          <w:szCs w:val="20"/>
        </w:rPr>
        <w:footnoteReference w:id="46"/>
      </w:r>
      <w:r w:rsidRPr="00E57D5F">
        <w:rPr>
          <w:rFonts w:ascii="Cambria" w:hAnsi="Cambria"/>
          <w:sz w:val="20"/>
          <w:szCs w:val="20"/>
        </w:rPr>
        <w:t>. El Departamento sostuvo lo siguiente:</w:t>
      </w:r>
    </w:p>
    <w:p w:rsidR="007A61F8" w:rsidRPr="00E57D5F" w:rsidRDefault="007A61F8" w:rsidP="007A61F8">
      <w:pPr>
        <w:pStyle w:val="ListParagraph"/>
        <w:rPr>
          <w:rFonts w:ascii="Cambria" w:hAnsi="Cambria"/>
          <w:sz w:val="20"/>
          <w:szCs w:val="20"/>
          <w:lang w:val="es-ES"/>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E57D5F">
        <w:rPr>
          <w:rFonts w:ascii="Cambria" w:hAnsi="Cambria"/>
          <w:sz w:val="20"/>
          <w:szCs w:val="20"/>
        </w:rPr>
        <w:t>Resulta una solución justa (…) que si en definitiva la Justicia establece que el agente ha sido ajeno al delito, la Administración le abone los salarios caídos durante el tiempo de</w:t>
      </w:r>
      <w:r w:rsidR="00D869B9" w:rsidRPr="00E57D5F">
        <w:rPr>
          <w:rFonts w:ascii="Cambria" w:hAnsi="Cambria"/>
          <w:sz w:val="20"/>
          <w:szCs w:val="20"/>
        </w:rPr>
        <w:t xml:space="preserve"> la suspensión preventiva. (…)[E]</w:t>
      </w:r>
      <w:r w:rsidRPr="00E57D5F">
        <w:rPr>
          <w:rFonts w:ascii="Cambria" w:hAnsi="Cambria"/>
          <w:sz w:val="20"/>
          <w:szCs w:val="20"/>
        </w:rPr>
        <w:t xml:space="preserve">l arresto sufrido por </w:t>
      </w:r>
      <w:proofErr w:type="spellStart"/>
      <w:r w:rsidRPr="00E57D5F">
        <w:rPr>
          <w:rFonts w:ascii="Cambria" w:hAnsi="Cambria"/>
          <w:sz w:val="20"/>
          <w:szCs w:val="20"/>
        </w:rPr>
        <w:t>Perrone</w:t>
      </w:r>
      <w:proofErr w:type="spellEnd"/>
      <w:r w:rsidRPr="00E57D5F">
        <w:rPr>
          <w:rFonts w:ascii="Cambria" w:hAnsi="Cambria"/>
          <w:sz w:val="20"/>
          <w:szCs w:val="20"/>
        </w:rPr>
        <w:t xml:space="preserve"> puede fácilmente vincularse siguiendo el razonamiento adoptado a una detención en causa criminal, no tanto por sus orígenes como por sus efectos</w:t>
      </w:r>
      <w:r w:rsidRPr="00E57D5F">
        <w:rPr>
          <w:rStyle w:val="FootnoteReference"/>
          <w:rFonts w:ascii="Cambria" w:hAnsi="Cambria"/>
          <w:sz w:val="20"/>
          <w:szCs w:val="20"/>
        </w:rPr>
        <w:footnoteReference w:id="47"/>
      </w:r>
      <w:r w:rsidRPr="00E57D5F">
        <w:rPr>
          <w:rFonts w:ascii="Cambria" w:hAnsi="Cambria"/>
          <w:sz w:val="20"/>
          <w:szCs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lastRenderedPageBreak/>
        <w:t>Asimismo, el Departamento consideró que la resolución de este caso implica “la fijación de un precedente de interés general para toda la Administración”</w:t>
      </w:r>
      <w:r w:rsidRPr="00E57D5F">
        <w:rPr>
          <w:rStyle w:val="FootnoteReference"/>
          <w:rFonts w:ascii="Cambria" w:hAnsi="Cambria"/>
          <w:sz w:val="20"/>
          <w:szCs w:val="20"/>
        </w:rPr>
        <w:footnoteReference w:id="48"/>
      </w:r>
      <w:r w:rsidRPr="00E57D5F">
        <w:rPr>
          <w:rFonts w:ascii="Cambria" w:hAnsi="Cambria"/>
          <w:sz w:val="20"/>
          <w:szCs w:val="20"/>
        </w:rPr>
        <w:t>. En consecuencia, consideró que la causa debía ser conocida por la Procuración del Tesoro de la Nación</w:t>
      </w:r>
      <w:r w:rsidRPr="00E57D5F">
        <w:rPr>
          <w:rStyle w:val="FootnoteReference"/>
          <w:rFonts w:ascii="Cambria" w:hAnsi="Cambria"/>
          <w:sz w:val="20"/>
          <w:szCs w:val="20"/>
        </w:rPr>
        <w:footnoteReference w:id="49"/>
      </w:r>
      <w:r w:rsidRPr="00E57D5F">
        <w:rPr>
          <w:rFonts w:ascii="Cambria" w:hAnsi="Cambria"/>
          <w:sz w:val="20"/>
          <w:szCs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El 28 de mayo de 1985 la </w:t>
      </w:r>
      <w:r w:rsidRPr="00E57D5F">
        <w:rPr>
          <w:rFonts w:ascii="Cambria" w:hAnsi="Cambria"/>
          <w:sz w:val="20"/>
        </w:rPr>
        <w:t>Dirección de Asuntos Técnicos y Jurídicos de la DGI emitió un dictamen en donde también consider</w:t>
      </w:r>
      <w:r w:rsidRPr="00E57D5F">
        <w:rPr>
          <w:rFonts w:ascii="Cambria" w:hAnsi="Cambria"/>
          <w:sz w:val="20"/>
          <w:szCs w:val="20"/>
        </w:rPr>
        <w:t xml:space="preserve">ó viable el reintegro de los haberes dejados de percibir durante la detención de la señora </w:t>
      </w:r>
      <w:proofErr w:type="spellStart"/>
      <w:r w:rsidRPr="00E57D5F">
        <w:rPr>
          <w:rFonts w:ascii="Cambria" w:hAnsi="Cambria"/>
          <w:sz w:val="20"/>
          <w:szCs w:val="20"/>
        </w:rPr>
        <w:t>Perrone</w:t>
      </w:r>
      <w:proofErr w:type="spellEnd"/>
      <w:r w:rsidRPr="00E57D5F">
        <w:rPr>
          <w:rStyle w:val="FootnoteReference"/>
          <w:rFonts w:ascii="Cambria" w:hAnsi="Cambria"/>
          <w:sz w:val="20"/>
          <w:szCs w:val="20"/>
        </w:rPr>
        <w:footnoteReference w:id="50"/>
      </w:r>
      <w:r w:rsidRPr="00E57D5F">
        <w:rPr>
          <w:rFonts w:ascii="Cambria" w:hAnsi="Cambria"/>
          <w:sz w:val="20"/>
          <w:szCs w:val="20"/>
        </w:rPr>
        <w:t>. La Dirección sostuvo lo siguiente:</w:t>
      </w:r>
    </w:p>
    <w:p w:rsidR="007A61F8" w:rsidRPr="00E57D5F" w:rsidRDefault="007A61F8" w:rsidP="007A61F8">
      <w:pPr>
        <w:pStyle w:val="ListParagraph"/>
        <w:rPr>
          <w:rFonts w:ascii="Cambria" w:hAnsi="Cambria"/>
          <w:sz w:val="20"/>
          <w:szCs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E57D5F">
        <w:rPr>
          <w:rFonts w:ascii="Cambria" w:hAnsi="Cambria"/>
          <w:sz w:val="20"/>
          <w:szCs w:val="20"/>
        </w:rPr>
        <w:t xml:space="preserve">Partiendo de la base de que la agente </w:t>
      </w:r>
      <w:proofErr w:type="spellStart"/>
      <w:r w:rsidRPr="00E57D5F">
        <w:rPr>
          <w:rFonts w:ascii="Cambria" w:hAnsi="Cambria"/>
          <w:sz w:val="20"/>
          <w:szCs w:val="20"/>
        </w:rPr>
        <w:t>Perrone</w:t>
      </w:r>
      <w:proofErr w:type="spellEnd"/>
      <w:r w:rsidRPr="00E57D5F">
        <w:rPr>
          <w:rFonts w:ascii="Cambria" w:hAnsi="Cambria"/>
          <w:sz w:val="20"/>
          <w:szCs w:val="20"/>
        </w:rPr>
        <w:t xml:space="preserve"> sufrió una pena en el sentido atribuido por nuestro más alto tribunal, que deviene injusta al no haber estado sometida a proceso alguno (…) no se encuentra inconveniente en reconocer a la presentante los salarios correspondientes al tiempo de su detención</w:t>
      </w:r>
      <w:r w:rsidRPr="00E57D5F">
        <w:rPr>
          <w:rStyle w:val="FootnoteReference"/>
          <w:rFonts w:ascii="Cambria" w:hAnsi="Cambria"/>
          <w:sz w:val="20"/>
          <w:szCs w:val="20"/>
        </w:rPr>
        <w:footnoteReference w:id="51"/>
      </w:r>
      <w:r w:rsidRPr="00E57D5F">
        <w:rPr>
          <w:rFonts w:ascii="Cambria" w:hAnsi="Cambria"/>
          <w:sz w:val="20"/>
          <w:szCs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La Dirección consideró que debido a la singularidad del caso planteado, su trascendencia y la carencia de precedentes específicos sobre la cuestión, correspondería que la causa fuera conocida por la Procuración del Tesoro de la Nación</w:t>
      </w:r>
      <w:r w:rsidRPr="00E57D5F">
        <w:rPr>
          <w:rStyle w:val="FootnoteReference"/>
          <w:rFonts w:ascii="Cambria" w:hAnsi="Cambria"/>
          <w:sz w:val="20"/>
          <w:szCs w:val="20"/>
        </w:rPr>
        <w:footnoteReference w:id="52"/>
      </w:r>
      <w:r w:rsidRPr="00E57D5F">
        <w:rPr>
          <w:rFonts w:ascii="Cambria" w:hAnsi="Cambria"/>
          <w:sz w:val="20"/>
          <w:szCs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El 24 de julio de 1985 la Dirección</w:t>
      </w:r>
      <w:r w:rsidRPr="00E57D5F">
        <w:rPr>
          <w:rFonts w:ascii="Cambria" w:hAnsi="Cambria"/>
          <w:sz w:val="20"/>
        </w:rPr>
        <w:t xml:space="preserve"> General de Asuntos Jurídicos del Ministerio de Economía emitió un dictamen mediante el cual también consider</w:t>
      </w:r>
      <w:r w:rsidRPr="00E57D5F">
        <w:rPr>
          <w:rFonts w:ascii="Cambria" w:hAnsi="Cambria"/>
          <w:sz w:val="20"/>
          <w:szCs w:val="20"/>
        </w:rPr>
        <w:t xml:space="preserve">ó viable el reintegro de los haberes dejados de percibir durante la detención de la señora </w:t>
      </w:r>
      <w:proofErr w:type="spellStart"/>
      <w:r w:rsidRPr="00E57D5F">
        <w:rPr>
          <w:rFonts w:ascii="Cambria" w:hAnsi="Cambria"/>
          <w:sz w:val="20"/>
          <w:szCs w:val="20"/>
        </w:rPr>
        <w:t>Perrone</w:t>
      </w:r>
      <w:proofErr w:type="spellEnd"/>
      <w:r w:rsidRPr="00E57D5F">
        <w:rPr>
          <w:rStyle w:val="FootnoteReference"/>
          <w:rFonts w:ascii="Cambria" w:hAnsi="Cambria"/>
          <w:sz w:val="20"/>
          <w:szCs w:val="20"/>
        </w:rPr>
        <w:footnoteReference w:id="53"/>
      </w:r>
      <w:r w:rsidRPr="00E57D5F">
        <w:rPr>
          <w:rFonts w:ascii="Cambria" w:hAnsi="Cambria"/>
          <w:sz w:val="20"/>
          <w:szCs w:val="20"/>
        </w:rPr>
        <w:t>. La Dirección sostuvo lo siguiente:</w:t>
      </w:r>
    </w:p>
    <w:p w:rsidR="007A61F8" w:rsidRPr="00E57D5F" w:rsidRDefault="007A61F8" w:rsidP="007A61F8">
      <w:pPr>
        <w:pStyle w:val="ListParagraph"/>
        <w:rPr>
          <w:rFonts w:ascii="Cambria" w:hAnsi="Cambria"/>
          <w:sz w:val="20"/>
          <w:szCs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r w:rsidRPr="00E57D5F">
        <w:rPr>
          <w:rFonts w:ascii="Cambria" w:hAnsi="Cambria"/>
          <w:sz w:val="20"/>
          <w:szCs w:val="20"/>
        </w:rPr>
        <w:t xml:space="preserve">(…) si bien la Circular No. 5/77 </w:t>
      </w:r>
      <w:r w:rsidRPr="00E57D5F">
        <w:rPr>
          <w:rFonts w:ascii="Cambria" w:hAnsi="Cambria"/>
          <w:sz w:val="20"/>
        </w:rPr>
        <w:t>de la Secretaría General de la Presidencia de la Nación establece que no corresponde el pago de salarios por servicios no prestados (…) es evidente que en la especie la recurrente se vio imposibilitada de asistir en virtud de actos de autoridad</w:t>
      </w:r>
      <w:r w:rsidRPr="00E57D5F">
        <w:rPr>
          <w:rStyle w:val="FootnoteReference"/>
          <w:rFonts w:ascii="Cambria" w:hAnsi="Cambria"/>
          <w:sz w:val="20"/>
          <w:szCs w:val="20"/>
        </w:rPr>
        <w:footnoteReference w:id="54"/>
      </w:r>
      <w:r w:rsidRPr="00E57D5F">
        <w:rPr>
          <w:rFonts w:ascii="Cambria" w:hAnsi="Cambria"/>
          <w:sz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rPr>
      </w:pPr>
      <w:r w:rsidRPr="00E57D5F">
        <w:rPr>
          <w:rFonts w:ascii="Cambria" w:hAnsi="Cambria"/>
          <w:color w:val="auto"/>
          <w:sz w:val="20"/>
          <w:szCs w:val="20"/>
        </w:rPr>
        <w:t xml:space="preserve">La Comisión observa que no cuenta con una copia de la Circular No. 5/77. Sin perjuicio de ello, la CIDH nota que ambas partes han reconocido que dicho documento señala que </w:t>
      </w:r>
      <w:r w:rsidRPr="00E57D5F">
        <w:rPr>
          <w:rFonts w:ascii="Cambria" w:hAnsi="Cambria" w:cs="Arial"/>
          <w:color w:val="auto"/>
          <w:sz w:val="20"/>
          <w:szCs w:val="20"/>
          <w:shd w:val="clear" w:color="auto" w:fill="FFFFFF"/>
        </w:rPr>
        <w:t>no corresponde reconocer el pago de haberes por períodos en que el agente público no ha prestado efectivamente servicios, salvo que una norma expresa lo autorice</w:t>
      </w:r>
      <w:r w:rsidRPr="00E57D5F">
        <w:rPr>
          <w:rStyle w:val="FootnoteReference"/>
          <w:rFonts w:ascii="Cambria" w:hAnsi="Cambria" w:cs="Arial"/>
          <w:color w:val="auto"/>
          <w:sz w:val="20"/>
          <w:szCs w:val="20"/>
          <w:shd w:val="clear" w:color="auto" w:fill="FFFFFF"/>
        </w:rPr>
        <w:footnoteReference w:id="55"/>
      </w:r>
      <w:r w:rsidRPr="00E57D5F">
        <w:rPr>
          <w:rFonts w:ascii="Cambria" w:hAnsi="Cambria" w:cs="Arial"/>
          <w:color w:val="auto"/>
          <w:sz w:val="20"/>
          <w:szCs w:val="20"/>
          <w:shd w:val="clear" w:color="auto" w:fill="FFFFFF"/>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La Dirección sostuvo que tomando en cuenta el interés económico comprometido y a fin de establecer jurisprudencia administrativa al respecto, corresponde requerir la intervención de la Procuración del Tesoro de la Nación</w:t>
      </w:r>
      <w:r w:rsidRPr="00E57D5F">
        <w:rPr>
          <w:rStyle w:val="FootnoteReference"/>
          <w:rFonts w:ascii="Cambria" w:hAnsi="Cambria"/>
          <w:sz w:val="20"/>
          <w:szCs w:val="20"/>
        </w:rPr>
        <w:footnoteReference w:id="56"/>
      </w:r>
      <w:r w:rsidRPr="00E57D5F">
        <w:rPr>
          <w:rFonts w:ascii="Cambria" w:hAnsi="Cambria"/>
          <w:sz w:val="20"/>
          <w:szCs w:val="20"/>
        </w:rPr>
        <w:t>.</w:t>
      </w:r>
    </w:p>
    <w:p w:rsidR="007A61F8" w:rsidRPr="00E57D5F" w:rsidRDefault="007A61F8" w:rsidP="007A61F8">
      <w:pPr>
        <w:pStyle w:val="ListParagraph"/>
        <w:rPr>
          <w:rFonts w:ascii="Cambria" w:hAnsi="Cambria"/>
          <w:sz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rPr>
        <w:lastRenderedPageBreak/>
        <w:t xml:space="preserve">El 2 julio de 1985 el señor </w:t>
      </w:r>
      <w:proofErr w:type="spellStart"/>
      <w:r w:rsidRPr="00E57D5F">
        <w:rPr>
          <w:rFonts w:ascii="Cambria" w:hAnsi="Cambria"/>
          <w:sz w:val="20"/>
        </w:rPr>
        <w:t>Preckel</w:t>
      </w:r>
      <w:proofErr w:type="spellEnd"/>
      <w:r w:rsidRPr="00E57D5F">
        <w:rPr>
          <w:rFonts w:ascii="Cambria" w:hAnsi="Cambria"/>
          <w:sz w:val="20"/>
        </w:rPr>
        <w:t xml:space="preserve"> presentó un reclamo administrativo ante la DGI solicitando el reconocimiento de sus derechos laborales y provisionales durante el lapso comprendido entre el 6 de julio de 1976 y el día que empezó nuevamente a laborar en dicho centro</w:t>
      </w:r>
      <w:r w:rsidRPr="00E57D5F">
        <w:rPr>
          <w:rStyle w:val="FootnoteReference"/>
          <w:rFonts w:ascii="Cambria" w:hAnsi="Cambria"/>
          <w:sz w:val="20"/>
        </w:rPr>
        <w:footnoteReference w:id="57"/>
      </w:r>
      <w:r w:rsidRPr="00E57D5F">
        <w:rPr>
          <w:rFonts w:ascii="Cambria" w:hAnsi="Cambria"/>
          <w:sz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rPr>
        <w:t>El 19 de septiembre de 1986 la Procuración del Tesoro de la Nación emitió un dictamen en el cual consideró que las reclamaciones debían rechazarse</w:t>
      </w:r>
      <w:r w:rsidRPr="00E57D5F">
        <w:rPr>
          <w:rStyle w:val="FootnoteReference"/>
          <w:rFonts w:ascii="Cambria" w:hAnsi="Cambria"/>
          <w:sz w:val="20"/>
        </w:rPr>
        <w:footnoteReference w:id="58"/>
      </w:r>
      <w:r w:rsidRPr="00E57D5F">
        <w:rPr>
          <w:rFonts w:ascii="Cambria" w:hAnsi="Cambria"/>
          <w:sz w:val="20"/>
        </w:rPr>
        <w:t>. La Procuración alegó lo siguiente:</w:t>
      </w:r>
    </w:p>
    <w:p w:rsidR="007A61F8" w:rsidRPr="00E57D5F" w:rsidRDefault="007A61F8" w:rsidP="007A61F8">
      <w:pPr>
        <w:pStyle w:val="ListParagraph"/>
        <w:rPr>
          <w:rFonts w:ascii="Cambria" w:hAnsi="Cambria"/>
          <w:sz w:val="20"/>
          <w:szCs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E57D5F">
        <w:rPr>
          <w:rFonts w:ascii="Cambria" w:hAnsi="Cambria"/>
          <w:sz w:val="20"/>
          <w:szCs w:val="20"/>
        </w:rPr>
        <w:t>(…) la circunstancia de que la Circular 5/77 de la Secretaría General (…) haya determinado un criterio restrictivo en materia de reconocimiento de haberes sin prestación de servicios, impone limitar éste, a los supuestos en que exista norma expresa</w:t>
      </w:r>
      <w:r w:rsidRPr="00E57D5F">
        <w:rPr>
          <w:rStyle w:val="FootnoteReference"/>
          <w:rFonts w:ascii="Cambria" w:hAnsi="Cambria"/>
          <w:sz w:val="20"/>
        </w:rPr>
        <w:footnoteReference w:id="59"/>
      </w:r>
      <w:r w:rsidRPr="00E57D5F">
        <w:rPr>
          <w:rFonts w:ascii="Cambria" w:hAnsi="Cambria"/>
          <w:sz w:val="20"/>
          <w:szCs w:val="20"/>
        </w:rPr>
        <w:t xml:space="preserve">. </w:t>
      </w:r>
    </w:p>
    <w:p w:rsidR="007A61F8" w:rsidRPr="00E57D5F" w:rsidRDefault="007A61F8" w:rsidP="007A61F8">
      <w:pPr>
        <w:pStyle w:val="ListParagraph"/>
        <w:rPr>
          <w:rFonts w:ascii="Cambria" w:hAnsi="Cambria"/>
          <w:sz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El 19 de marzo de 1987 el Director General de la DGI emitió la resolución No. 75/87 en la que desestimó la solicitud de la </w:t>
      </w:r>
      <w:r w:rsidRPr="00E57D5F">
        <w:rPr>
          <w:rFonts w:ascii="Cambria" w:hAnsi="Cambria"/>
          <w:sz w:val="20"/>
        </w:rPr>
        <w:t xml:space="preserve">señora </w:t>
      </w:r>
      <w:proofErr w:type="spellStart"/>
      <w:r w:rsidRPr="00E57D5F">
        <w:rPr>
          <w:rFonts w:ascii="Cambria" w:hAnsi="Cambria"/>
          <w:sz w:val="20"/>
        </w:rPr>
        <w:t>Perrone</w:t>
      </w:r>
      <w:proofErr w:type="spellEnd"/>
      <w:r w:rsidRPr="00E57D5F">
        <w:rPr>
          <w:rFonts w:ascii="Cambria" w:hAnsi="Cambria"/>
          <w:sz w:val="20"/>
        </w:rPr>
        <w:t xml:space="preserve"> presentada en abril de 1983</w:t>
      </w:r>
      <w:r w:rsidRPr="00E57D5F">
        <w:rPr>
          <w:rStyle w:val="FootnoteReference"/>
          <w:rFonts w:ascii="Cambria" w:hAnsi="Cambria"/>
          <w:sz w:val="20"/>
        </w:rPr>
        <w:footnoteReference w:id="60"/>
      </w:r>
      <w:r w:rsidRPr="00E57D5F">
        <w:rPr>
          <w:rFonts w:ascii="Cambria" w:hAnsi="Cambria"/>
          <w:sz w:val="20"/>
        </w:rPr>
        <w:t>. En dicha resolución se indicó que únicamente podían reconocerse sus derechos previsionales, para lo cual debía realizar una solución ante la Caja de Previsión</w:t>
      </w:r>
      <w:r w:rsidRPr="00E57D5F">
        <w:rPr>
          <w:rStyle w:val="FootnoteReference"/>
          <w:rFonts w:ascii="Cambria" w:hAnsi="Cambria"/>
          <w:sz w:val="20"/>
        </w:rPr>
        <w:footnoteReference w:id="61"/>
      </w:r>
      <w:r w:rsidRPr="00E57D5F">
        <w:rPr>
          <w:rFonts w:ascii="Cambria" w:hAnsi="Cambria"/>
          <w:sz w:val="20"/>
        </w:rPr>
        <w:t>.</w:t>
      </w:r>
    </w:p>
    <w:p w:rsidR="007A61F8" w:rsidRPr="00E57D5F" w:rsidRDefault="007A61F8" w:rsidP="007A61F8">
      <w:pPr>
        <w:rPr>
          <w:sz w:val="20"/>
          <w:szCs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lang w:val="es-ES"/>
        </w:rPr>
        <w:t xml:space="preserve">Por su parte, el 17 de diciembre de 1987 </w:t>
      </w:r>
      <w:r w:rsidRPr="00E57D5F">
        <w:rPr>
          <w:rFonts w:ascii="Cambria" w:hAnsi="Cambria"/>
          <w:sz w:val="20"/>
          <w:szCs w:val="20"/>
        </w:rPr>
        <w:t xml:space="preserve">el Ministerio Economía emitió la resolución No. 1217 en la que rechazó la solicitud del </w:t>
      </w:r>
      <w:r w:rsidRPr="00E57D5F">
        <w:rPr>
          <w:rFonts w:ascii="Cambria" w:hAnsi="Cambria"/>
          <w:sz w:val="20"/>
        </w:rPr>
        <w:t xml:space="preserve">señor </w:t>
      </w:r>
      <w:proofErr w:type="spellStart"/>
      <w:r w:rsidRPr="00E57D5F">
        <w:rPr>
          <w:rFonts w:ascii="Cambria" w:hAnsi="Cambria"/>
          <w:sz w:val="20"/>
        </w:rPr>
        <w:t>Preckel</w:t>
      </w:r>
      <w:proofErr w:type="spellEnd"/>
      <w:r w:rsidRPr="00E57D5F">
        <w:rPr>
          <w:rStyle w:val="FootnoteReference"/>
          <w:rFonts w:ascii="Cambria" w:hAnsi="Cambria"/>
          <w:sz w:val="20"/>
        </w:rPr>
        <w:footnoteReference w:id="62"/>
      </w:r>
      <w:r w:rsidRPr="00E57D5F">
        <w:rPr>
          <w:rFonts w:ascii="Cambria" w:hAnsi="Cambria"/>
          <w:sz w:val="20"/>
        </w:rPr>
        <w:t>. El Ministerio notó que la Dirección General de Asuntos Jurídicos del Ministerio consideró que el reclamo era procedente</w:t>
      </w:r>
      <w:r w:rsidRPr="00E57D5F">
        <w:rPr>
          <w:rStyle w:val="FootnoteReference"/>
          <w:rFonts w:ascii="Cambria" w:hAnsi="Cambria"/>
          <w:sz w:val="20"/>
        </w:rPr>
        <w:footnoteReference w:id="63"/>
      </w:r>
      <w:r w:rsidRPr="00E57D5F">
        <w:rPr>
          <w:rFonts w:ascii="Cambria" w:hAnsi="Cambria"/>
          <w:sz w:val="20"/>
        </w:rPr>
        <w:t xml:space="preserve">. Señaló que, no obstante, la Procuración del Tesoro de la Nación emitió un dictamen en un caso análogo al presente – en referencia al caso de la señora </w:t>
      </w:r>
      <w:proofErr w:type="spellStart"/>
      <w:r w:rsidRPr="00E57D5F">
        <w:rPr>
          <w:rFonts w:ascii="Cambria" w:hAnsi="Cambria"/>
          <w:sz w:val="20"/>
        </w:rPr>
        <w:t>Perrone</w:t>
      </w:r>
      <w:proofErr w:type="spellEnd"/>
      <w:r w:rsidRPr="00E57D5F">
        <w:rPr>
          <w:rFonts w:ascii="Cambria" w:hAnsi="Cambria"/>
          <w:sz w:val="20"/>
        </w:rPr>
        <w:t xml:space="preserve"> – en el cual consideró que no era viable pagar los haberes laborales dejados de percibir durante el tiempo que no asistieron a su centro de labores</w:t>
      </w:r>
      <w:r w:rsidRPr="00E57D5F">
        <w:rPr>
          <w:rStyle w:val="FootnoteReference"/>
          <w:rFonts w:ascii="Cambria" w:hAnsi="Cambria"/>
          <w:sz w:val="20"/>
        </w:rPr>
        <w:footnoteReference w:id="64"/>
      </w:r>
      <w:r w:rsidRPr="00E57D5F">
        <w:rPr>
          <w:rFonts w:ascii="Cambria" w:hAnsi="Cambria"/>
          <w:sz w:val="20"/>
        </w:rPr>
        <w:t xml:space="preserve">. </w:t>
      </w:r>
    </w:p>
    <w:p w:rsidR="007A61F8" w:rsidRPr="00E57D5F" w:rsidRDefault="007A61F8" w:rsidP="007A61F8">
      <w:pPr>
        <w:pStyle w:val="Heading3"/>
        <w:rPr>
          <w:b w:val="0"/>
          <w:iCs/>
        </w:rPr>
      </w:pPr>
    </w:p>
    <w:p w:rsidR="007A61F8" w:rsidRPr="00E57D5F" w:rsidRDefault="007A61F8" w:rsidP="00D869B9">
      <w:pPr>
        <w:pStyle w:val="Heading3"/>
        <w:numPr>
          <w:ilvl w:val="0"/>
          <w:numId w:val="56"/>
        </w:numPr>
        <w:ind w:left="1440" w:hanging="720"/>
        <w:rPr>
          <w:iCs/>
        </w:rPr>
      </w:pPr>
      <w:bookmarkStart w:id="39" w:name="_Toc476667881"/>
      <w:r w:rsidRPr="00E57D5F">
        <w:rPr>
          <w:iCs/>
        </w:rPr>
        <w:t>Procedimiento judicial</w:t>
      </w:r>
      <w:bookmarkEnd w:id="39"/>
    </w:p>
    <w:p w:rsidR="007A61F8" w:rsidRPr="00E57D5F" w:rsidRDefault="007A61F8" w:rsidP="007A61F8">
      <w:pPr>
        <w:rPr>
          <w:sz w:val="20"/>
          <w:szCs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El 24 de junio de 1988 la </w:t>
      </w:r>
      <w:r w:rsidRPr="00E57D5F">
        <w:rPr>
          <w:rFonts w:ascii="Cambria" w:hAnsi="Cambria"/>
          <w:sz w:val="20"/>
        </w:rPr>
        <w:t xml:space="preserve">señora </w:t>
      </w:r>
      <w:proofErr w:type="spellStart"/>
      <w:r w:rsidRPr="00E57D5F">
        <w:rPr>
          <w:rFonts w:ascii="Cambria" w:hAnsi="Cambria"/>
          <w:sz w:val="20"/>
        </w:rPr>
        <w:t>Perrone</w:t>
      </w:r>
      <w:proofErr w:type="spellEnd"/>
      <w:r w:rsidRPr="00E57D5F">
        <w:rPr>
          <w:rFonts w:ascii="Cambria" w:hAnsi="Cambria"/>
          <w:sz w:val="20"/>
        </w:rPr>
        <w:t xml:space="preserve"> y el señor </w:t>
      </w:r>
      <w:proofErr w:type="spellStart"/>
      <w:r w:rsidRPr="00E57D5F">
        <w:rPr>
          <w:rFonts w:ascii="Cambria" w:hAnsi="Cambria"/>
          <w:sz w:val="20"/>
        </w:rPr>
        <w:t>Preckel</w:t>
      </w:r>
      <w:proofErr w:type="spellEnd"/>
      <w:r w:rsidRPr="00E57D5F">
        <w:rPr>
          <w:rFonts w:ascii="Cambria" w:hAnsi="Cambria"/>
          <w:sz w:val="20"/>
        </w:rPr>
        <w:t xml:space="preserve"> presentaron demanda</w:t>
      </w:r>
      <w:r w:rsidR="00BB5F8D" w:rsidRPr="00E57D5F">
        <w:rPr>
          <w:rFonts w:ascii="Cambria" w:hAnsi="Cambria"/>
          <w:sz w:val="20"/>
        </w:rPr>
        <w:t>s</w:t>
      </w:r>
      <w:r w:rsidRPr="00E57D5F">
        <w:rPr>
          <w:rFonts w:ascii="Cambria" w:hAnsi="Cambria"/>
          <w:sz w:val="20"/>
        </w:rPr>
        <w:t>, respectivamente, ante el juez federal en contra del Estado Nacional – Dirección General Impositiva</w:t>
      </w:r>
      <w:r w:rsidRPr="00E57D5F">
        <w:rPr>
          <w:rStyle w:val="FootnoteReference"/>
          <w:rFonts w:ascii="Cambria" w:hAnsi="Cambria"/>
          <w:sz w:val="20"/>
        </w:rPr>
        <w:footnoteReference w:id="65"/>
      </w:r>
      <w:r w:rsidRPr="00E57D5F">
        <w:rPr>
          <w:rFonts w:ascii="Cambria" w:hAnsi="Cambria"/>
          <w:sz w:val="20"/>
        </w:rPr>
        <w:t xml:space="preserve">. </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rPr>
        <w:t xml:space="preserve">Las demandas se fundamentaron en el artículo 14.c del </w:t>
      </w:r>
      <w:r w:rsidRPr="00E57D5F">
        <w:rPr>
          <w:rFonts w:ascii="Cambria" w:hAnsi="Cambria"/>
          <w:sz w:val="20"/>
          <w:lang w:val="es-ES"/>
        </w:rPr>
        <w:t xml:space="preserve">Régimen de Licencias, Justificaciones y Franquicias de la Administración Pública Nacional - </w:t>
      </w:r>
      <w:r w:rsidRPr="00E57D5F">
        <w:rPr>
          <w:rFonts w:ascii="Cambria" w:hAnsi="Cambria"/>
          <w:sz w:val="20"/>
        </w:rPr>
        <w:t>Decreto 3413 de 1979</w:t>
      </w:r>
      <w:r w:rsidRPr="00E57D5F">
        <w:rPr>
          <w:rStyle w:val="FootnoteReference"/>
          <w:rFonts w:ascii="Cambria" w:hAnsi="Cambria"/>
          <w:sz w:val="20"/>
        </w:rPr>
        <w:footnoteReference w:id="66"/>
      </w:r>
      <w:r w:rsidRPr="00E57D5F">
        <w:rPr>
          <w:rFonts w:ascii="Cambria" w:hAnsi="Cambria"/>
          <w:sz w:val="20"/>
        </w:rPr>
        <w:t>. Dicha disposición señala lo siguiente:</w:t>
      </w:r>
    </w:p>
    <w:p w:rsidR="007A61F8" w:rsidRPr="00E57D5F" w:rsidRDefault="007A61F8" w:rsidP="007A61F8">
      <w:pPr>
        <w:pStyle w:val="ListParagraph"/>
        <w:rPr>
          <w:rFonts w:ascii="Cambria" w:hAnsi="Cambria"/>
          <w:sz w:val="20"/>
          <w:lang w:val="es-ES_tradnl"/>
        </w:rPr>
      </w:pPr>
    </w:p>
    <w:p w:rsidR="007A61F8" w:rsidRPr="00E57D5F" w:rsidRDefault="007A61F8" w:rsidP="007A61F8">
      <w:pPr>
        <w:pStyle w:val="ListParagraph"/>
        <w:ind w:right="720"/>
        <w:jc w:val="both"/>
        <w:rPr>
          <w:rFonts w:ascii="Cambria" w:hAnsi="Cambria"/>
          <w:sz w:val="20"/>
          <w:lang w:val="es-ES_tradnl"/>
        </w:rPr>
      </w:pPr>
      <w:r w:rsidRPr="00E57D5F">
        <w:rPr>
          <w:rFonts w:ascii="Cambria" w:hAnsi="Cambria"/>
          <w:sz w:val="20"/>
          <w:lang w:val="es-ES_tradnl"/>
        </w:rPr>
        <w:lastRenderedPageBreak/>
        <w:t>Art. 14. Los agentes tienen derecho a la justificación con goce de haberes de las inasistencias en que incurran por las siguientes causas, y con las limitaciones que en cada caso se establecen:</w:t>
      </w:r>
    </w:p>
    <w:p w:rsidR="002477FD" w:rsidRDefault="002477FD" w:rsidP="007A61F8">
      <w:pPr>
        <w:pStyle w:val="ListParagraph"/>
        <w:ind w:right="720"/>
        <w:jc w:val="both"/>
        <w:rPr>
          <w:rFonts w:ascii="Cambria" w:hAnsi="Cambria"/>
          <w:sz w:val="20"/>
          <w:lang w:val="es-ES_tradnl"/>
        </w:rPr>
      </w:pPr>
    </w:p>
    <w:p w:rsidR="007A61F8" w:rsidRPr="00E57D5F" w:rsidRDefault="007A61F8" w:rsidP="007A61F8">
      <w:pPr>
        <w:pStyle w:val="ListParagraph"/>
        <w:ind w:right="720"/>
        <w:jc w:val="both"/>
        <w:rPr>
          <w:rFonts w:ascii="Cambria" w:hAnsi="Cambria"/>
          <w:sz w:val="20"/>
          <w:lang w:val="es-ES"/>
        </w:rPr>
      </w:pPr>
      <w:r w:rsidRPr="00E57D5F">
        <w:rPr>
          <w:rFonts w:ascii="Cambria" w:hAnsi="Cambria"/>
          <w:sz w:val="20"/>
          <w:lang w:val="es-ES_tradnl"/>
        </w:rPr>
        <w:t>c) Razones especiales. Inasistencias motivadas por fenómenos meteorológicos y casos de fuerza mayor, debidamente comprobados</w:t>
      </w:r>
      <w:r w:rsidRPr="00E57D5F">
        <w:rPr>
          <w:rStyle w:val="FootnoteReference"/>
          <w:rFonts w:ascii="Cambria" w:hAnsi="Cambria"/>
          <w:sz w:val="20"/>
          <w:lang w:val="es-ES_tradnl"/>
        </w:rPr>
        <w:footnoteReference w:id="67"/>
      </w:r>
      <w:r w:rsidRPr="00E57D5F">
        <w:rPr>
          <w:rFonts w:ascii="Cambria" w:hAnsi="Cambria"/>
          <w:sz w:val="20"/>
          <w:lang w:val="es-ES_tradnl"/>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lang w:val="es-ES"/>
        </w:rPr>
        <w:t xml:space="preserve">En las demandas </w:t>
      </w:r>
      <w:r w:rsidR="00BB5F8D" w:rsidRPr="00E57D5F">
        <w:rPr>
          <w:rFonts w:ascii="Cambria" w:hAnsi="Cambria"/>
          <w:sz w:val="20"/>
          <w:lang w:val="es-ES"/>
        </w:rPr>
        <w:t>s</w:t>
      </w:r>
      <w:r w:rsidRPr="00E57D5F">
        <w:rPr>
          <w:rFonts w:ascii="Cambria" w:hAnsi="Cambria"/>
          <w:sz w:val="20"/>
          <w:lang w:val="es-ES"/>
        </w:rPr>
        <w:t xml:space="preserve">e indicó que dicha disposición </w:t>
      </w:r>
      <w:r w:rsidRPr="00E57D5F">
        <w:rPr>
          <w:rFonts w:ascii="Cambria" w:hAnsi="Cambria"/>
          <w:sz w:val="20"/>
        </w:rPr>
        <w:t>justificaba el pago de haberes cuando las inasistencias de los agentes de la Dirección General Impositiva estuvieran motivadas por fenómenos meteorológicos y en casos de fuerza mayor debidamente comprobados</w:t>
      </w:r>
      <w:r w:rsidRPr="00E57D5F">
        <w:rPr>
          <w:rStyle w:val="FootnoteReference"/>
          <w:rFonts w:ascii="Cambria" w:hAnsi="Cambria"/>
          <w:sz w:val="20"/>
        </w:rPr>
        <w:footnoteReference w:id="68"/>
      </w:r>
      <w:r w:rsidRPr="00E57D5F">
        <w:rPr>
          <w:rFonts w:ascii="Cambria" w:hAnsi="Cambria"/>
          <w:sz w:val="20"/>
        </w:rPr>
        <w:t>. Señalaron que la existencia, vigencia y aplicación de la Circular No. 5/77 citada por las autoridades administrativas para rechazar su reclamo, no obstaba el reconocimiento demandado, debido a que dicha circular señala que no corresponde el pago de salarios dejados de percibir por inasistencia, salvo la existencia de una norma que exprese lo contrario</w:t>
      </w:r>
      <w:r w:rsidRPr="00E57D5F">
        <w:rPr>
          <w:rStyle w:val="FootnoteReference"/>
          <w:rFonts w:ascii="Cambria" w:hAnsi="Cambria"/>
          <w:sz w:val="20"/>
        </w:rPr>
        <w:footnoteReference w:id="69"/>
      </w:r>
      <w:r w:rsidRPr="00E57D5F">
        <w:rPr>
          <w:rFonts w:ascii="Cambria" w:hAnsi="Cambria"/>
          <w:sz w:val="20"/>
        </w:rPr>
        <w:t xml:space="preserve">. Indicaron que precisamente el artículo 14.c del </w:t>
      </w:r>
      <w:r w:rsidRPr="00E57D5F">
        <w:rPr>
          <w:rFonts w:ascii="Cambria" w:hAnsi="Cambria"/>
          <w:sz w:val="20"/>
          <w:lang w:val="es-ES"/>
        </w:rPr>
        <w:t>Régimen de Licencias, Justificaciones y Franquicias de la Administración Pública Nacional permite dicha excepción bajo la figura de fuerza mayor</w:t>
      </w:r>
      <w:r w:rsidRPr="00E57D5F">
        <w:rPr>
          <w:rStyle w:val="FootnoteReference"/>
          <w:rFonts w:ascii="Cambria" w:hAnsi="Cambria"/>
          <w:sz w:val="20"/>
        </w:rPr>
        <w:footnoteReference w:id="70"/>
      </w:r>
      <w:r w:rsidRPr="00E57D5F">
        <w:rPr>
          <w:rFonts w:ascii="Cambria" w:hAnsi="Cambria"/>
          <w:sz w:val="20"/>
          <w:lang w:val="es-ES"/>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rPr>
        <w:t xml:space="preserve">En consecuencia, la demanda de la señora </w:t>
      </w:r>
      <w:proofErr w:type="spellStart"/>
      <w:r w:rsidRPr="00E57D5F">
        <w:rPr>
          <w:rFonts w:ascii="Cambria" w:hAnsi="Cambria"/>
          <w:sz w:val="20"/>
        </w:rPr>
        <w:t>Perrone</w:t>
      </w:r>
      <w:proofErr w:type="spellEnd"/>
      <w:r w:rsidRPr="00E57D5F">
        <w:rPr>
          <w:rFonts w:ascii="Cambria" w:hAnsi="Cambria"/>
          <w:sz w:val="20"/>
        </w:rPr>
        <w:t xml:space="preserve"> tuvo como objeto reclamar el pago de los haberes no percibidos entre el 6 de julio de 1976 y el 19 de octubre de 1982, de las licencias que se generaron y no fueron ni gozadas ni abonadas, así como el reconocimiento de la ubicación </w:t>
      </w:r>
      <w:proofErr w:type="spellStart"/>
      <w:r w:rsidRPr="00E57D5F">
        <w:rPr>
          <w:rFonts w:ascii="Cambria" w:hAnsi="Cambria"/>
          <w:sz w:val="20"/>
        </w:rPr>
        <w:t>escalafonaria</w:t>
      </w:r>
      <w:proofErr w:type="spellEnd"/>
      <w:r w:rsidRPr="00E57D5F">
        <w:rPr>
          <w:rFonts w:ascii="Cambria" w:hAnsi="Cambria"/>
          <w:sz w:val="20"/>
        </w:rPr>
        <w:t xml:space="preserve"> a los fines previsionales y no previsionales</w:t>
      </w:r>
      <w:r w:rsidRPr="00E57D5F">
        <w:rPr>
          <w:rStyle w:val="FootnoteReference"/>
          <w:rFonts w:ascii="Cambria" w:hAnsi="Cambria"/>
          <w:sz w:val="20"/>
        </w:rPr>
        <w:footnoteReference w:id="71"/>
      </w:r>
      <w:r w:rsidRPr="00E57D5F">
        <w:rPr>
          <w:rFonts w:ascii="Cambria" w:hAnsi="Cambria"/>
          <w:sz w:val="20"/>
        </w:rPr>
        <w:t xml:space="preserve">. Por su parte, la demanda del señor </w:t>
      </w:r>
      <w:proofErr w:type="spellStart"/>
      <w:r w:rsidRPr="00E57D5F">
        <w:rPr>
          <w:rFonts w:ascii="Cambria" w:hAnsi="Cambria"/>
          <w:sz w:val="20"/>
        </w:rPr>
        <w:t>Preckel</w:t>
      </w:r>
      <w:proofErr w:type="spellEnd"/>
      <w:r w:rsidRPr="00E57D5F">
        <w:rPr>
          <w:rFonts w:ascii="Cambria" w:hAnsi="Cambria"/>
          <w:sz w:val="20"/>
        </w:rPr>
        <w:t xml:space="preserve"> tuvo como objeto reclamar el cobro de los haberes no percibidos entre el 6 de julio de 1976 y el 4 de febrero de 1985, la participación en el Fondo de Estímulo, las licencias que no fueron gozadas y el reconocimiento de la antigüedad a los fines previsionales y no previsionales</w:t>
      </w:r>
      <w:r w:rsidRPr="00E57D5F">
        <w:rPr>
          <w:rStyle w:val="FootnoteReference"/>
          <w:rFonts w:ascii="Cambria" w:hAnsi="Cambria"/>
          <w:sz w:val="20"/>
        </w:rPr>
        <w:footnoteReference w:id="72"/>
      </w:r>
      <w:r w:rsidRPr="00E57D5F">
        <w:rPr>
          <w:rFonts w:ascii="Cambria" w:hAnsi="Cambria"/>
          <w:sz w:val="20"/>
        </w:rPr>
        <w:t>.</w:t>
      </w:r>
    </w:p>
    <w:p w:rsidR="007A61F8" w:rsidRPr="00E57D5F" w:rsidRDefault="007A61F8" w:rsidP="007A61F8">
      <w:pPr>
        <w:rPr>
          <w:sz w:val="20"/>
          <w:szCs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El 6 y 12 de febrero de 1992 el Juez Federal denegó las reclamaciones de la señora </w:t>
      </w:r>
      <w:proofErr w:type="spellStart"/>
      <w:r w:rsidRPr="00E57D5F">
        <w:rPr>
          <w:rFonts w:ascii="Cambria" w:hAnsi="Cambria"/>
          <w:sz w:val="20"/>
          <w:szCs w:val="20"/>
        </w:rPr>
        <w:t>Perrone</w:t>
      </w:r>
      <w:proofErr w:type="spellEnd"/>
      <w:r w:rsidRPr="00E57D5F">
        <w:rPr>
          <w:rFonts w:ascii="Cambria" w:hAnsi="Cambria"/>
          <w:sz w:val="20"/>
          <w:szCs w:val="20"/>
        </w:rPr>
        <w:t xml:space="preserve"> y el señor </w:t>
      </w:r>
      <w:proofErr w:type="spellStart"/>
      <w:r w:rsidRPr="00E57D5F">
        <w:rPr>
          <w:rFonts w:ascii="Cambria" w:hAnsi="Cambria"/>
          <w:sz w:val="20"/>
          <w:szCs w:val="20"/>
        </w:rPr>
        <w:t>Preckel</w:t>
      </w:r>
      <w:proofErr w:type="spellEnd"/>
      <w:r w:rsidRPr="00E57D5F">
        <w:rPr>
          <w:rFonts w:ascii="Cambria" w:hAnsi="Cambria"/>
          <w:sz w:val="20"/>
          <w:szCs w:val="20"/>
        </w:rPr>
        <w:t>, respectivamente</w:t>
      </w:r>
      <w:r w:rsidRPr="00E57D5F">
        <w:rPr>
          <w:rStyle w:val="FootnoteReference"/>
          <w:rFonts w:ascii="Cambria" w:hAnsi="Cambria"/>
          <w:sz w:val="20"/>
          <w:szCs w:val="20"/>
        </w:rPr>
        <w:footnoteReference w:id="73"/>
      </w:r>
      <w:r w:rsidRPr="00E57D5F">
        <w:rPr>
          <w:rFonts w:ascii="Cambria" w:hAnsi="Cambria"/>
          <w:sz w:val="20"/>
          <w:szCs w:val="20"/>
        </w:rPr>
        <w:t>. El Juez consideró lo siguiente:</w:t>
      </w:r>
    </w:p>
    <w:p w:rsidR="007A61F8" w:rsidRPr="00E57D5F" w:rsidRDefault="007A61F8" w:rsidP="007A61F8">
      <w:pPr>
        <w:pStyle w:val="ListParagraph"/>
        <w:rPr>
          <w:rFonts w:ascii="Cambria" w:hAnsi="Cambria"/>
          <w:sz w:val="20"/>
          <w:szCs w:val="20"/>
          <w:lang w:val="es-ES"/>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E57D5F">
        <w:rPr>
          <w:rFonts w:ascii="Cambria" w:hAnsi="Cambria"/>
          <w:sz w:val="20"/>
          <w:szCs w:val="20"/>
        </w:rPr>
        <w:t>En verdad debe admitirse que no fue la D.G.I. la que dispuso el arresto, luego considerado injustificado, y que fue el mismo P.E.N. a través del Ministerio del Interior, el que realizó y provocó el estado de cosas que perjudicó a la actora. (…)</w:t>
      </w:r>
    </w:p>
    <w:p w:rsidR="002477FD" w:rsidRDefault="002477FD"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E57D5F">
        <w:rPr>
          <w:rFonts w:ascii="Cambria" w:hAnsi="Cambria"/>
          <w:sz w:val="20"/>
          <w:szCs w:val="20"/>
        </w:rPr>
        <w:t>La circular 5/77 y el Reglamento de Investigaciones Administrativas (art. 39a) establecieron que, a la no prestación de trabajo le habrá de corresponder el no abono de los mismos. (…)</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E57D5F">
        <w:rPr>
          <w:rFonts w:ascii="Cambria" w:hAnsi="Cambria"/>
          <w:sz w:val="20"/>
          <w:szCs w:val="20"/>
        </w:rPr>
        <w:t>Es doctrina de la Corte Suprema que, salvo disposición expresa y específica para el caso, no procede el pago de sueldos por funciones no desempeñadas. (…)</w:t>
      </w:r>
    </w:p>
    <w:p w:rsidR="002477FD" w:rsidRDefault="002477FD"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E57D5F">
        <w:rPr>
          <w:rFonts w:ascii="Cambria" w:hAnsi="Cambria"/>
          <w:sz w:val="20"/>
          <w:szCs w:val="20"/>
        </w:rPr>
        <w:t xml:space="preserve">(…) es evidente que el sumario llevado a cabo en sede administrativa en nada influyó para que se concretara el perjuicio del demandante y es también claro que las normas de la circular 5/77 y el art. 39 inc. A de la Reglamentación ya referida, impedían la recuperación o </w:t>
      </w:r>
      <w:r w:rsidRPr="00E57D5F">
        <w:rPr>
          <w:rFonts w:ascii="Cambria" w:hAnsi="Cambria"/>
          <w:sz w:val="20"/>
          <w:szCs w:val="20"/>
        </w:rPr>
        <w:lastRenderedPageBreak/>
        <w:t>abono de los salarios caídos; estos preceptos no fueron impugnados por la accionante quien, por otra parte, no pidió indemnización por las pérdidas sufridas en razón de su injustificada detención (…).</w:t>
      </w:r>
    </w:p>
    <w:p w:rsidR="002477FD" w:rsidRDefault="002477FD"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E57D5F">
        <w:rPr>
          <w:rFonts w:ascii="Cambria" w:hAnsi="Cambria"/>
          <w:sz w:val="20"/>
          <w:szCs w:val="20"/>
        </w:rPr>
        <w:t>Por otra parte se hace difícil aceptar, aun perteneciendo a la D.G.I. al Estado Nacional, que el reclamo, que pudo interponerse, en virtud del principio de “</w:t>
      </w:r>
      <w:proofErr w:type="spellStart"/>
      <w:r w:rsidRPr="00E57D5F">
        <w:rPr>
          <w:rFonts w:ascii="Cambria" w:hAnsi="Cambria"/>
          <w:sz w:val="20"/>
          <w:szCs w:val="20"/>
        </w:rPr>
        <w:t>iura</w:t>
      </w:r>
      <w:proofErr w:type="spellEnd"/>
      <w:r w:rsidRPr="00E57D5F">
        <w:rPr>
          <w:rFonts w:ascii="Cambria" w:hAnsi="Cambria"/>
          <w:sz w:val="20"/>
          <w:szCs w:val="20"/>
        </w:rPr>
        <w:t xml:space="preserve"> </w:t>
      </w:r>
      <w:proofErr w:type="spellStart"/>
      <w:r w:rsidRPr="00E57D5F">
        <w:rPr>
          <w:rFonts w:ascii="Cambria" w:hAnsi="Cambria"/>
          <w:sz w:val="20"/>
          <w:szCs w:val="20"/>
        </w:rPr>
        <w:t>novit</w:t>
      </w:r>
      <w:proofErr w:type="spellEnd"/>
      <w:r w:rsidRPr="00E57D5F">
        <w:rPr>
          <w:rFonts w:ascii="Cambria" w:hAnsi="Cambria"/>
          <w:sz w:val="20"/>
          <w:szCs w:val="20"/>
        </w:rPr>
        <w:t xml:space="preserve"> curia” como una acción por daños y perjuicios (…) comprendía “in </w:t>
      </w:r>
      <w:proofErr w:type="spellStart"/>
      <w:r w:rsidRPr="00E57D5F">
        <w:rPr>
          <w:rFonts w:ascii="Cambria" w:hAnsi="Cambria"/>
          <w:sz w:val="20"/>
          <w:szCs w:val="20"/>
        </w:rPr>
        <w:t>integrum</w:t>
      </w:r>
      <w:proofErr w:type="spellEnd"/>
      <w:r w:rsidRPr="00E57D5F">
        <w:rPr>
          <w:rFonts w:ascii="Cambria" w:hAnsi="Cambria"/>
          <w:sz w:val="20"/>
          <w:szCs w:val="20"/>
        </w:rPr>
        <w:t>” al Estado Nacional en su función de gobernante; es decir; sería como admitir que la D.G.I. tuviera que responder por actos eminentemente políticos del propio Poder Ejecutivo</w:t>
      </w:r>
      <w:r w:rsidRPr="00E57D5F">
        <w:rPr>
          <w:rStyle w:val="FootnoteReference"/>
          <w:rFonts w:ascii="Cambria" w:hAnsi="Cambria"/>
          <w:sz w:val="20"/>
          <w:szCs w:val="20"/>
        </w:rPr>
        <w:footnoteReference w:id="74"/>
      </w:r>
      <w:r w:rsidRPr="00E57D5F">
        <w:rPr>
          <w:rFonts w:ascii="Cambria" w:hAnsi="Cambria"/>
          <w:sz w:val="20"/>
          <w:szCs w:val="20"/>
        </w:rPr>
        <w:t>.</w:t>
      </w:r>
    </w:p>
    <w:p w:rsidR="007A61F8" w:rsidRPr="00E57D5F" w:rsidRDefault="007A61F8" w:rsidP="007A61F8">
      <w:pPr>
        <w:pStyle w:val="ListParagraph"/>
        <w:rPr>
          <w:rFonts w:ascii="Cambria" w:hAnsi="Cambria"/>
          <w:sz w:val="20"/>
          <w:szCs w:val="20"/>
          <w:lang w:val="es-ES"/>
        </w:rPr>
      </w:pPr>
    </w:p>
    <w:p w:rsidR="007A61F8" w:rsidRPr="00E57D5F" w:rsidRDefault="007A61F8" w:rsidP="0091158C">
      <w:pPr>
        <w:pStyle w:val="ListParagraph"/>
        <w:numPr>
          <w:ilvl w:val="1"/>
          <w:numId w:val="53"/>
        </w:numPr>
        <w:ind w:left="1440" w:hanging="720"/>
        <w:rPr>
          <w:rFonts w:ascii="Cambria" w:hAnsi="Cambria"/>
          <w:b/>
          <w:sz w:val="20"/>
          <w:szCs w:val="20"/>
          <w:lang w:val="es-ES"/>
        </w:rPr>
      </w:pPr>
      <w:r w:rsidRPr="00E57D5F">
        <w:rPr>
          <w:rFonts w:ascii="Cambria" w:hAnsi="Cambria"/>
          <w:b/>
          <w:sz w:val="20"/>
          <w:szCs w:val="20"/>
          <w:lang w:val="es-ES"/>
        </w:rPr>
        <w:t xml:space="preserve">Recursos en la causa seguida por Juan José </w:t>
      </w:r>
      <w:proofErr w:type="spellStart"/>
      <w:r w:rsidRPr="00E57D5F">
        <w:rPr>
          <w:rFonts w:ascii="Cambria" w:hAnsi="Cambria"/>
          <w:b/>
          <w:sz w:val="20"/>
          <w:szCs w:val="20"/>
          <w:lang w:val="es-ES"/>
        </w:rPr>
        <w:t>Preckel</w:t>
      </w:r>
      <w:proofErr w:type="spellEnd"/>
    </w:p>
    <w:p w:rsidR="007A61F8" w:rsidRPr="00E57D5F" w:rsidRDefault="007A61F8" w:rsidP="007A61F8">
      <w:pPr>
        <w:pStyle w:val="ListParagraph"/>
        <w:rPr>
          <w:rFonts w:ascii="Cambria" w:hAnsi="Cambria"/>
          <w:sz w:val="20"/>
          <w:szCs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rPr>
        <w:t xml:space="preserve">En la causa seguida por el señor </w:t>
      </w:r>
      <w:proofErr w:type="spellStart"/>
      <w:r w:rsidRPr="00E57D5F">
        <w:rPr>
          <w:rFonts w:ascii="Cambria" w:hAnsi="Cambria"/>
          <w:sz w:val="20"/>
        </w:rPr>
        <w:t>Preckel</w:t>
      </w:r>
      <w:proofErr w:type="spellEnd"/>
      <w:r w:rsidRPr="00E57D5F">
        <w:rPr>
          <w:rFonts w:ascii="Cambria" w:hAnsi="Cambria"/>
          <w:sz w:val="20"/>
        </w:rPr>
        <w:t>, éste apeló la decisión del Juez Federal, argumentando que, al margen de la Circular 5/77, existen “causas particularísimas que habilitaría el abono por servicios no prestados”, tal como lo sería la detención por parte de agentes estatales sin haberse iniciado un proceso en su contra</w:t>
      </w:r>
      <w:r w:rsidRPr="00E57D5F">
        <w:rPr>
          <w:rStyle w:val="FootnoteReference"/>
          <w:rFonts w:ascii="Cambria" w:hAnsi="Cambria"/>
          <w:sz w:val="20"/>
        </w:rPr>
        <w:footnoteReference w:id="75"/>
      </w:r>
      <w:r w:rsidRPr="00E57D5F">
        <w:rPr>
          <w:rFonts w:ascii="Cambria" w:hAnsi="Cambria"/>
          <w:sz w:val="20"/>
        </w:rPr>
        <w:t>. Indicó que, además de ello, dicha circular sí permitiría el abono de los salarios no percibidos por inasistencia cuando exista una norma que así lo permita</w:t>
      </w:r>
      <w:r w:rsidRPr="00E57D5F">
        <w:rPr>
          <w:rStyle w:val="FootnoteReference"/>
          <w:rFonts w:ascii="Cambria" w:hAnsi="Cambria"/>
          <w:sz w:val="20"/>
        </w:rPr>
        <w:footnoteReference w:id="76"/>
      </w:r>
      <w:r w:rsidRPr="00E57D5F">
        <w:rPr>
          <w:rFonts w:ascii="Cambria" w:hAnsi="Cambria"/>
          <w:sz w:val="20"/>
        </w:rPr>
        <w:t xml:space="preserve">. Agregó que precisamente el </w:t>
      </w:r>
      <w:r w:rsidRPr="00E57D5F">
        <w:rPr>
          <w:rFonts w:ascii="Cambria" w:hAnsi="Cambria"/>
          <w:sz w:val="20"/>
          <w:lang w:val="es-ES"/>
        </w:rPr>
        <w:t>Régimen de Licencias, Justificaciones y Franquicias de la Administración Pública Nacional permite el pago de dichos haberes por razones de fuerza mayor, como lo sería la detención arbitraria que sufrió</w:t>
      </w:r>
      <w:r w:rsidRPr="00E57D5F">
        <w:rPr>
          <w:rStyle w:val="FootnoteReference"/>
          <w:rFonts w:ascii="Cambria" w:hAnsi="Cambria"/>
          <w:sz w:val="20"/>
        </w:rPr>
        <w:footnoteReference w:id="77"/>
      </w:r>
      <w:r w:rsidRPr="00E57D5F">
        <w:rPr>
          <w:rFonts w:ascii="Cambria" w:hAnsi="Cambria"/>
          <w:sz w:val="20"/>
          <w:lang w:val="es-ES"/>
        </w:rPr>
        <w:t>.</w:t>
      </w:r>
    </w:p>
    <w:p w:rsidR="007A61F8" w:rsidRPr="00E57D5F" w:rsidRDefault="007A61F8" w:rsidP="007A61F8">
      <w:pPr>
        <w:rPr>
          <w:sz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rPr>
      </w:pPr>
      <w:r w:rsidRPr="00E57D5F">
        <w:rPr>
          <w:rFonts w:ascii="Cambria" w:hAnsi="Cambria"/>
          <w:sz w:val="20"/>
          <w:lang w:val="es-ES"/>
        </w:rPr>
        <w:t>E</w:t>
      </w:r>
      <w:r w:rsidRPr="00E57D5F">
        <w:rPr>
          <w:rFonts w:ascii="Cambria" w:hAnsi="Cambria"/>
          <w:sz w:val="20"/>
        </w:rPr>
        <w:t>l 24 de noviembre de 1992 la Cámara de Apelaciones confirmó el fallo de primera instancia, indicando que "no procede el pago de sueldos por servicios no prestados" y que las normas citadas por los reclamantes correspondían al régimen de licencias y justificaciones, supuestos evidentemente distintos al de autos</w:t>
      </w:r>
      <w:r w:rsidRPr="00E57D5F">
        <w:rPr>
          <w:rStyle w:val="FootnoteReference"/>
          <w:rFonts w:ascii="Cambria" w:hAnsi="Cambria"/>
          <w:sz w:val="20"/>
        </w:rPr>
        <w:footnoteReference w:id="78"/>
      </w:r>
      <w:r w:rsidRPr="00E57D5F">
        <w:rPr>
          <w:rFonts w:ascii="Cambria" w:hAnsi="Cambria"/>
          <w:sz w:val="20"/>
        </w:rPr>
        <w:t>. Asimismo, concluyó que no correspondía a la Dirección General Impositiva, entidad autárquica del Estado, soportar la carga del resarcimiento por los daños derivados del eventual comportamiento ilegítimo del Poder Ejecutivo Nacional</w:t>
      </w:r>
      <w:r w:rsidRPr="00E57D5F">
        <w:rPr>
          <w:rStyle w:val="FootnoteReference"/>
          <w:rFonts w:ascii="Cambria" w:hAnsi="Cambria"/>
          <w:sz w:val="20"/>
        </w:rPr>
        <w:footnoteReference w:id="79"/>
      </w:r>
      <w:r w:rsidRPr="00E57D5F">
        <w:rPr>
          <w:rFonts w:ascii="Cambria" w:hAnsi="Cambria"/>
          <w:sz w:val="20"/>
        </w:rPr>
        <w:t xml:space="preserve">. </w:t>
      </w:r>
    </w:p>
    <w:p w:rsidR="007A61F8" w:rsidRPr="00E57D5F" w:rsidRDefault="007A61F8" w:rsidP="007A61F8">
      <w:pPr>
        <w:pStyle w:val="ListParagraph"/>
        <w:rPr>
          <w:rFonts w:ascii="Cambria" w:hAnsi="Cambria"/>
          <w:sz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rPr>
      </w:pPr>
      <w:r w:rsidRPr="00E57D5F">
        <w:rPr>
          <w:rFonts w:ascii="Cambria" w:hAnsi="Cambria"/>
          <w:sz w:val="20"/>
        </w:rPr>
        <w:t xml:space="preserve">El mismo día el señor </w:t>
      </w:r>
      <w:proofErr w:type="spellStart"/>
      <w:r w:rsidRPr="00E57D5F">
        <w:rPr>
          <w:rFonts w:ascii="Cambria" w:hAnsi="Cambria"/>
          <w:sz w:val="20"/>
        </w:rPr>
        <w:t>Preckel</w:t>
      </w:r>
      <w:proofErr w:type="spellEnd"/>
      <w:r w:rsidRPr="00E57D5F">
        <w:rPr>
          <w:rFonts w:ascii="Cambria" w:hAnsi="Cambria"/>
          <w:sz w:val="20"/>
        </w:rPr>
        <w:t xml:space="preserve"> presentó un recurso extraordinario de apelación ante la Corte Suprema</w:t>
      </w:r>
      <w:r w:rsidRPr="00E57D5F">
        <w:rPr>
          <w:rStyle w:val="FootnoteReference"/>
          <w:rFonts w:ascii="Cambria" w:hAnsi="Cambria"/>
          <w:sz w:val="20"/>
        </w:rPr>
        <w:footnoteReference w:id="80"/>
      </w:r>
      <w:r w:rsidRPr="00E57D5F">
        <w:rPr>
          <w:rFonts w:ascii="Cambria" w:hAnsi="Cambria"/>
          <w:sz w:val="20"/>
        </w:rPr>
        <w:t xml:space="preserve">. El señor </w:t>
      </w:r>
      <w:proofErr w:type="spellStart"/>
      <w:r w:rsidRPr="00E57D5F">
        <w:rPr>
          <w:rFonts w:ascii="Cambria" w:hAnsi="Cambria"/>
          <w:sz w:val="20"/>
        </w:rPr>
        <w:t>Preckel</w:t>
      </w:r>
      <w:proofErr w:type="spellEnd"/>
      <w:r w:rsidRPr="00E57D5F">
        <w:rPr>
          <w:rFonts w:ascii="Cambria" w:hAnsi="Cambria"/>
          <w:sz w:val="20"/>
        </w:rPr>
        <w:t xml:space="preserve"> alegó que el artículo 14.c del </w:t>
      </w:r>
      <w:r w:rsidRPr="00E57D5F">
        <w:rPr>
          <w:rFonts w:ascii="Cambria" w:hAnsi="Cambria"/>
          <w:sz w:val="20"/>
          <w:lang w:val="es-ES"/>
        </w:rPr>
        <w:t>Régimen de Licencias, Justificaciones y Franquicias de la Administración Pública Nacional</w:t>
      </w:r>
      <w:r w:rsidRPr="00E57D5F">
        <w:rPr>
          <w:rFonts w:ascii="Cambria" w:hAnsi="Cambria"/>
          <w:sz w:val="20"/>
        </w:rPr>
        <w:t xml:space="preserve"> y el artículo 192.a de la Convención Colectiva de Trabajo No. 46/75E declaran “el derecho de los agentes a la justificación y la percepción de haberes por las inasistencias en que incurrieran en casos de fuerza mayor debidamente comprobados”</w:t>
      </w:r>
      <w:r w:rsidRPr="00E57D5F">
        <w:rPr>
          <w:rStyle w:val="FootnoteReference"/>
          <w:rFonts w:ascii="Cambria" w:hAnsi="Cambria"/>
          <w:sz w:val="20"/>
        </w:rPr>
        <w:footnoteReference w:id="81"/>
      </w:r>
      <w:r w:rsidRPr="00E57D5F">
        <w:rPr>
          <w:rFonts w:ascii="Cambria" w:hAnsi="Cambria"/>
          <w:sz w:val="20"/>
        </w:rPr>
        <w:t>. Sostuvo que la normativa citada constituye una excepción a la Circular 5/77 y debía ser aplicada al presente asunto</w:t>
      </w:r>
      <w:r w:rsidRPr="00E57D5F">
        <w:rPr>
          <w:rStyle w:val="FootnoteReference"/>
          <w:rFonts w:ascii="Cambria" w:hAnsi="Cambria"/>
          <w:sz w:val="20"/>
        </w:rPr>
        <w:footnoteReference w:id="82"/>
      </w:r>
      <w:r w:rsidRPr="00E57D5F">
        <w:rPr>
          <w:rFonts w:ascii="Cambria" w:hAnsi="Cambria"/>
          <w:sz w:val="20"/>
        </w:rPr>
        <w:t>.</w:t>
      </w:r>
    </w:p>
    <w:p w:rsidR="007A61F8" w:rsidRPr="00E57D5F" w:rsidRDefault="007A61F8" w:rsidP="007A61F8">
      <w:pPr>
        <w:pStyle w:val="ListParagraph"/>
        <w:rPr>
          <w:rFonts w:ascii="Cambria" w:hAnsi="Cambria"/>
          <w:sz w:val="20"/>
          <w:lang w:val="es-CO"/>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rPr>
      </w:pPr>
      <w:r w:rsidRPr="00E57D5F">
        <w:rPr>
          <w:rFonts w:ascii="Cambria" w:hAnsi="Cambria"/>
          <w:sz w:val="20"/>
        </w:rPr>
        <w:lastRenderedPageBreak/>
        <w:t xml:space="preserve">El 4 de marzo de 1993 la Sala Contencioso Administrativo declaró sin lugar el recurso presentado por el señor </w:t>
      </w:r>
      <w:proofErr w:type="spellStart"/>
      <w:r w:rsidRPr="00E57D5F">
        <w:rPr>
          <w:rFonts w:ascii="Cambria" w:hAnsi="Cambria"/>
          <w:sz w:val="20"/>
        </w:rPr>
        <w:t>Preckel</w:t>
      </w:r>
      <w:proofErr w:type="spellEnd"/>
      <w:r w:rsidRPr="00E57D5F">
        <w:rPr>
          <w:rStyle w:val="FootnoteReference"/>
          <w:rFonts w:ascii="Cambria" w:hAnsi="Cambria"/>
          <w:sz w:val="20"/>
        </w:rPr>
        <w:footnoteReference w:id="83"/>
      </w:r>
      <w:r w:rsidRPr="00E57D5F">
        <w:rPr>
          <w:rFonts w:ascii="Cambria" w:hAnsi="Cambria"/>
          <w:sz w:val="20"/>
        </w:rPr>
        <w:t xml:space="preserve">. La Sala sostuvo que el señor </w:t>
      </w:r>
      <w:proofErr w:type="spellStart"/>
      <w:r w:rsidRPr="00E57D5F">
        <w:rPr>
          <w:rFonts w:ascii="Cambria" w:hAnsi="Cambria"/>
          <w:sz w:val="20"/>
        </w:rPr>
        <w:t>Preckel</w:t>
      </w:r>
      <w:proofErr w:type="spellEnd"/>
      <w:r w:rsidRPr="00E57D5F">
        <w:rPr>
          <w:rFonts w:ascii="Cambria" w:hAnsi="Cambria"/>
          <w:sz w:val="20"/>
        </w:rPr>
        <w:t xml:space="preserve"> se limitó “a discrepar con la valoración de </w:t>
      </w:r>
      <w:r w:rsidRPr="00E57D5F">
        <w:rPr>
          <w:rFonts w:ascii="Cambria" w:hAnsi="Cambria" w:cs="Arial"/>
          <w:sz w:val="20"/>
        </w:rPr>
        <w:t xml:space="preserve">[la decisión recurrida], sin que se advierta que </w:t>
      </w:r>
      <w:proofErr w:type="spellStart"/>
      <w:r w:rsidRPr="00E57D5F">
        <w:rPr>
          <w:rFonts w:ascii="Cambria" w:hAnsi="Cambria" w:cs="Arial"/>
          <w:sz w:val="20"/>
        </w:rPr>
        <w:t>ést</w:t>
      </w:r>
      <w:proofErr w:type="spellEnd"/>
      <w:r w:rsidRPr="00E57D5F">
        <w:rPr>
          <w:rFonts w:ascii="Cambria" w:hAnsi="Cambria" w:cs="Arial"/>
          <w:sz w:val="20"/>
        </w:rPr>
        <w:t xml:space="preserve">[a] resulte prima </w:t>
      </w:r>
      <w:proofErr w:type="spellStart"/>
      <w:r w:rsidRPr="00E57D5F">
        <w:rPr>
          <w:rFonts w:ascii="Cambria" w:hAnsi="Cambria" w:cs="Arial"/>
          <w:sz w:val="20"/>
        </w:rPr>
        <w:t>facia</w:t>
      </w:r>
      <w:proofErr w:type="spellEnd"/>
      <w:r w:rsidRPr="00E57D5F">
        <w:rPr>
          <w:rFonts w:ascii="Cambria" w:hAnsi="Cambria" w:cs="Arial"/>
          <w:sz w:val="20"/>
        </w:rPr>
        <w:t xml:space="preserve"> suficiente para descalificar el fallo recurrido como acto jurisdiccional por la gravedad de los desaciertos que se le imputa</w:t>
      </w:r>
      <w:r w:rsidRPr="00E57D5F">
        <w:rPr>
          <w:rFonts w:ascii="Cambria" w:hAnsi="Cambria"/>
          <w:sz w:val="20"/>
        </w:rPr>
        <w:t>”</w:t>
      </w:r>
      <w:r w:rsidRPr="00E57D5F">
        <w:rPr>
          <w:rStyle w:val="FootnoteReference"/>
          <w:rFonts w:ascii="Cambria" w:hAnsi="Cambria"/>
          <w:sz w:val="20"/>
        </w:rPr>
        <w:footnoteReference w:id="84"/>
      </w:r>
      <w:r w:rsidRPr="00E57D5F">
        <w:rPr>
          <w:rFonts w:ascii="Cambria" w:hAnsi="Cambria"/>
          <w:sz w:val="20"/>
        </w:rPr>
        <w:t>.</w:t>
      </w:r>
    </w:p>
    <w:p w:rsidR="007A61F8" w:rsidRPr="00E57D5F" w:rsidRDefault="007A61F8" w:rsidP="007A61F8">
      <w:pPr>
        <w:pStyle w:val="ListParagraph"/>
        <w:rPr>
          <w:rFonts w:ascii="Cambria" w:hAnsi="Cambria"/>
          <w:sz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rPr>
      </w:pPr>
      <w:r w:rsidRPr="00E57D5F">
        <w:rPr>
          <w:rFonts w:ascii="Cambria" w:hAnsi="Cambria"/>
          <w:sz w:val="20"/>
        </w:rPr>
        <w:t xml:space="preserve">El señor </w:t>
      </w:r>
      <w:proofErr w:type="spellStart"/>
      <w:r w:rsidRPr="00E57D5F">
        <w:rPr>
          <w:rFonts w:ascii="Cambria" w:hAnsi="Cambria"/>
          <w:sz w:val="20"/>
        </w:rPr>
        <w:t>Preckel</w:t>
      </w:r>
      <w:proofErr w:type="spellEnd"/>
      <w:r w:rsidRPr="00E57D5F">
        <w:rPr>
          <w:rFonts w:ascii="Cambria" w:hAnsi="Cambria"/>
          <w:sz w:val="20"/>
        </w:rPr>
        <w:t xml:space="preserve"> interpuso un recurso de queja por la denegación del recurso extraordinario</w:t>
      </w:r>
      <w:r w:rsidRPr="00E57D5F">
        <w:rPr>
          <w:rStyle w:val="FootnoteReference"/>
          <w:rFonts w:ascii="Cambria" w:hAnsi="Cambria"/>
          <w:sz w:val="20"/>
        </w:rPr>
        <w:footnoteReference w:id="85"/>
      </w:r>
      <w:r w:rsidRPr="00E57D5F">
        <w:rPr>
          <w:rFonts w:ascii="Cambria" w:hAnsi="Cambria"/>
          <w:sz w:val="20"/>
        </w:rPr>
        <w:t>. El 21 de mayo de 1996 la Corte Suprema de Justicia de la Nación indicó que el recurso presentado es inadmisible por lo que desestimó la queja</w:t>
      </w:r>
      <w:r w:rsidRPr="00E57D5F">
        <w:rPr>
          <w:rStyle w:val="FootnoteReference"/>
          <w:rFonts w:ascii="Cambria" w:hAnsi="Cambria"/>
          <w:sz w:val="20"/>
        </w:rPr>
        <w:footnoteReference w:id="86"/>
      </w:r>
      <w:r w:rsidRPr="00E57D5F">
        <w:rPr>
          <w:rFonts w:ascii="Cambria" w:hAnsi="Cambria"/>
          <w:sz w:val="20"/>
        </w:rPr>
        <w:t>. La Corte Suprema se limitó a indicar que su decisión se basaba en el artículo 280 del Código Procesal Civil y Comercial de la Nación</w:t>
      </w:r>
      <w:r w:rsidRPr="00E57D5F">
        <w:rPr>
          <w:rStyle w:val="FootnoteReference"/>
          <w:rFonts w:ascii="Cambria" w:hAnsi="Cambria"/>
          <w:sz w:val="20"/>
        </w:rPr>
        <w:footnoteReference w:id="87"/>
      </w:r>
      <w:r w:rsidRPr="00E57D5F">
        <w:rPr>
          <w:rFonts w:ascii="Cambria" w:hAnsi="Cambria"/>
          <w:sz w:val="20"/>
        </w:rPr>
        <w:t xml:space="preserve">. La sentencia de la Corte Suprema tuvo un voto disidente de su Vicepresidente, Eduardo </w:t>
      </w:r>
      <w:proofErr w:type="spellStart"/>
      <w:r w:rsidRPr="00E57D5F">
        <w:rPr>
          <w:rFonts w:ascii="Cambria" w:hAnsi="Cambria"/>
          <w:sz w:val="20"/>
        </w:rPr>
        <w:t>Moline</w:t>
      </w:r>
      <w:proofErr w:type="spellEnd"/>
      <w:r w:rsidRPr="00E57D5F">
        <w:rPr>
          <w:rFonts w:ascii="Cambria" w:hAnsi="Cambria"/>
          <w:sz w:val="20"/>
        </w:rPr>
        <w:t xml:space="preserve"> </w:t>
      </w:r>
      <w:proofErr w:type="spellStart"/>
      <w:r w:rsidRPr="00E57D5F">
        <w:rPr>
          <w:rFonts w:ascii="Cambria" w:hAnsi="Cambria"/>
          <w:sz w:val="20"/>
        </w:rPr>
        <w:t>O’Connor</w:t>
      </w:r>
      <w:proofErr w:type="spellEnd"/>
      <w:r w:rsidRPr="00E57D5F">
        <w:rPr>
          <w:rFonts w:ascii="Cambria" w:hAnsi="Cambria"/>
          <w:sz w:val="20"/>
        </w:rPr>
        <w:t>, quien indicó lo siguiente:</w:t>
      </w:r>
    </w:p>
    <w:p w:rsidR="007A61F8" w:rsidRPr="00E57D5F" w:rsidRDefault="007A61F8" w:rsidP="007A61F8">
      <w:pPr>
        <w:pStyle w:val="ListParagraph"/>
        <w:rPr>
          <w:rFonts w:ascii="Cambria" w:hAnsi="Cambria"/>
          <w:sz w:val="20"/>
          <w:lang w:val="es-ES"/>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r w:rsidRPr="00E57D5F">
        <w:rPr>
          <w:rFonts w:ascii="Cambria" w:hAnsi="Cambria"/>
          <w:sz w:val="20"/>
        </w:rPr>
        <w:t>(…) asiste razón al recurrente cuando señala que el fallo –en cuanto resuelve que no corresponde que la DGI atienda una pretensión que encontraría su causa en el accionar ilegítimo del Poder Ejecutivo Nacional– ha hecho mérito de una defensa no invocada oportunamente. Es que, de conformidad con la doctrina de este Tribunal, resulta inadmisible la incorporación al litigio de una defensa no alegada o introducida en una oportunidad impropia para posibilitar la adecuada discusión de su admisibilidad y procedencia; en tanto, un criterio opuesto, importaría una afectación de la garantía constitucional del debido proceso</w:t>
      </w:r>
      <w:r w:rsidRPr="00E57D5F">
        <w:rPr>
          <w:rStyle w:val="FootnoteReference"/>
          <w:rFonts w:ascii="Cambria" w:hAnsi="Cambria"/>
          <w:sz w:val="20"/>
        </w:rPr>
        <w:footnoteReference w:id="88"/>
      </w:r>
      <w:r w:rsidRPr="00E57D5F">
        <w:rPr>
          <w:rFonts w:ascii="Cambria" w:hAnsi="Cambria"/>
          <w:sz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rPr>
      </w:pPr>
    </w:p>
    <w:p w:rsidR="007A61F8" w:rsidRPr="00E57D5F" w:rsidRDefault="007A61F8" w:rsidP="002477FD">
      <w:pPr>
        <w:pStyle w:val="ListParagraph"/>
        <w:numPr>
          <w:ilvl w:val="1"/>
          <w:numId w:val="53"/>
        </w:numPr>
        <w:ind w:left="1350" w:hanging="630"/>
        <w:rPr>
          <w:rFonts w:ascii="Cambria" w:hAnsi="Cambria"/>
          <w:b/>
          <w:sz w:val="20"/>
          <w:szCs w:val="20"/>
          <w:lang w:val="es-ES"/>
        </w:rPr>
      </w:pPr>
      <w:r w:rsidRPr="00E57D5F">
        <w:rPr>
          <w:rFonts w:ascii="Cambria" w:hAnsi="Cambria"/>
          <w:b/>
          <w:sz w:val="20"/>
          <w:szCs w:val="20"/>
          <w:lang w:val="es-ES"/>
        </w:rPr>
        <w:t xml:space="preserve">Recursos en la causa seguida por Elba Clotilde </w:t>
      </w:r>
      <w:proofErr w:type="spellStart"/>
      <w:r w:rsidRPr="00E57D5F">
        <w:rPr>
          <w:rFonts w:ascii="Cambria" w:hAnsi="Cambria"/>
          <w:b/>
          <w:sz w:val="20"/>
          <w:szCs w:val="20"/>
          <w:lang w:val="es-ES"/>
        </w:rPr>
        <w:t>Perrone</w:t>
      </w:r>
      <w:proofErr w:type="spellEnd"/>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rPr>
      </w:pPr>
      <w:r w:rsidRPr="00E57D5F">
        <w:rPr>
          <w:rFonts w:ascii="Cambria" w:hAnsi="Cambria"/>
          <w:sz w:val="20"/>
        </w:rPr>
        <w:t xml:space="preserve">Respecto de la causa seguida por la señora </w:t>
      </w:r>
      <w:proofErr w:type="spellStart"/>
      <w:r w:rsidRPr="00E57D5F">
        <w:rPr>
          <w:rFonts w:ascii="Cambria" w:hAnsi="Cambria"/>
          <w:sz w:val="20"/>
        </w:rPr>
        <w:t>Perrone</w:t>
      </w:r>
      <w:proofErr w:type="spellEnd"/>
      <w:r w:rsidRPr="00E57D5F">
        <w:rPr>
          <w:rFonts w:ascii="Cambria" w:hAnsi="Cambria"/>
          <w:sz w:val="20"/>
        </w:rPr>
        <w:t xml:space="preserve">, </w:t>
      </w:r>
      <w:r w:rsidRPr="00E57D5F">
        <w:rPr>
          <w:rFonts w:ascii="Cambria" w:hAnsi="Cambria"/>
          <w:sz w:val="20"/>
          <w:szCs w:val="20"/>
        </w:rPr>
        <w:t xml:space="preserve">el 6 de mayo de 1992 </w:t>
      </w:r>
      <w:r w:rsidRPr="00E57D5F">
        <w:rPr>
          <w:rFonts w:ascii="Cambria" w:hAnsi="Cambria"/>
          <w:sz w:val="20"/>
        </w:rPr>
        <w:t>presentó un recurso de apelación frente a la sentencia del Juez Federal</w:t>
      </w:r>
      <w:r w:rsidRPr="00E57D5F">
        <w:rPr>
          <w:rStyle w:val="FootnoteReference"/>
          <w:rFonts w:ascii="Cambria" w:hAnsi="Cambria"/>
          <w:sz w:val="20"/>
        </w:rPr>
        <w:footnoteReference w:id="89"/>
      </w:r>
      <w:r w:rsidRPr="00E57D5F">
        <w:rPr>
          <w:rFonts w:ascii="Cambria" w:hAnsi="Cambria"/>
          <w:sz w:val="20"/>
        </w:rPr>
        <w:t xml:space="preserve">. Indicó que conforme a la legislación vigente, en particular al </w:t>
      </w:r>
      <w:r w:rsidRPr="00E57D5F">
        <w:rPr>
          <w:rFonts w:ascii="Cambria" w:hAnsi="Cambria"/>
          <w:sz w:val="20"/>
          <w:lang w:val="es-ES"/>
        </w:rPr>
        <w:t xml:space="preserve">Régimen de Licencias, Justificaciones y Franquicias de la Administración Pública Nacional, </w:t>
      </w:r>
      <w:r w:rsidRPr="00E57D5F">
        <w:rPr>
          <w:rFonts w:ascii="Cambria" w:hAnsi="Cambria"/>
          <w:sz w:val="20"/>
        </w:rPr>
        <w:t>es posible reclamar el pago de salarios cuando las inasistencias ocurridas se dan “por casos especiales de fuerza mayor”</w:t>
      </w:r>
      <w:r w:rsidRPr="00E57D5F">
        <w:rPr>
          <w:rStyle w:val="FootnoteReference"/>
          <w:rFonts w:ascii="Cambria" w:hAnsi="Cambria"/>
          <w:sz w:val="20"/>
        </w:rPr>
        <w:footnoteReference w:id="90"/>
      </w:r>
      <w:r w:rsidRPr="00E57D5F">
        <w:rPr>
          <w:rFonts w:ascii="Cambria" w:hAnsi="Cambria"/>
          <w:sz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rPr>
      </w:pPr>
      <w:r w:rsidRPr="00E57D5F">
        <w:rPr>
          <w:rFonts w:ascii="Cambria" w:hAnsi="Cambria"/>
          <w:sz w:val="20"/>
        </w:rPr>
        <w:t>El 21 de septiembre de 1993 la Cámara de Apelaciones revocó el fallo de primera instancia declarando con lugar la demanda en lo sustancial</w:t>
      </w:r>
      <w:r w:rsidRPr="00E57D5F">
        <w:rPr>
          <w:rStyle w:val="FootnoteReference"/>
          <w:rFonts w:ascii="Cambria" w:hAnsi="Cambria"/>
          <w:sz w:val="20"/>
        </w:rPr>
        <w:footnoteReference w:id="91"/>
      </w:r>
      <w:r w:rsidRPr="00E57D5F">
        <w:rPr>
          <w:rFonts w:ascii="Cambria" w:hAnsi="Cambria"/>
          <w:sz w:val="20"/>
        </w:rPr>
        <w:t>. La Cámara sostuvo lo siguiente:</w:t>
      </w:r>
    </w:p>
    <w:p w:rsidR="007A61F8" w:rsidRPr="00E57D5F" w:rsidRDefault="007A61F8" w:rsidP="007A61F8">
      <w:pPr>
        <w:pStyle w:val="ListParagraph"/>
        <w:rPr>
          <w:rFonts w:ascii="Cambria" w:hAnsi="Cambria"/>
          <w:sz w:val="20"/>
          <w:lang w:val="es-ES"/>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r w:rsidRPr="00E57D5F">
        <w:rPr>
          <w:rFonts w:ascii="Cambria" w:hAnsi="Cambria"/>
          <w:sz w:val="20"/>
        </w:rPr>
        <w:lastRenderedPageBreak/>
        <w:t>(…) la solución equitativa (…) puede alcanzarse atendiendo a normas en las que se previó la justificación con goce de haberes de inasistencias en que incurrieran los agentes en casos de fuerza mayor debidamente comprobados. Son ejemplos de lo expuesto la Convención Colectiva D.G.I. 46/75 (artículo 192.a) vigente al momento de la detención de la demandante, y el decreto 3.413/79 (artículo 14c) con vigencia a la fecha de su reincorporación</w:t>
      </w:r>
      <w:r w:rsidRPr="00E57D5F">
        <w:rPr>
          <w:rStyle w:val="FootnoteReference"/>
          <w:rFonts w:ascii="Cambria" w:hAnsi="Cambria"/>
          <w:sz w:val="20"/>
        </w:rPr>
        <w:footnoteReference w:id="92"/>
      </w:r>
      <w:r w:rsidRPr="00E57D5F">
        <w:rPr>
          <w:rFonts w:ascii="Cambria" w:hAnsi="Cambria"/>
          <w:sz w:val="20"/>
        </w:rPr>
        <w:t>.</w:t>
      </w:r>
    </w:p>
    <w:p w:rsidR="007A61F8" w:rsidRPr="00E57D5F" w:rsidRDefault="007A61F8" w:rsidP="007A61F8">
      <w:pPr>
        <w:rPr>
          <w:sz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s-ES"/>
        </w:rPr>
      </w:pPr>
      <w:r w:rsidRPr="00E57D5F">
        <w:rPr>
          <w:rFonts w:ascii="Cambria" w:hAnsi="Cambria"/>
          <w:sz w:val="20"/>
          <w:lang w:val="es-ES"/>
        </w:rPr>
        <w:t>La Cámara concluyó lo siguiente:</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lang w:val="es-ES"/>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s-ES"/>
        </w:rPr>
      </w:pPr>
      <w:r w:rsidRPr="00E57D5F">
        <w:rPr>
          <w:rFonts w:ascii="Cambria" w:hAnsi="Cambria"/>
          <w:sz w:val="20"/>
          <w:lang w:val="es-ES"/>
        </w:rPr>
        <w:t>No parece irrazonable considerar que la referida detención de la actora, y su ilegítima prolongación (…) sin ser sometida a juicio, y sin probársele responsabilidad disciplinaria alguna, constituyen un caso de fuerza mayor que justifica su falta de prestación de servicios y el pago de los haberes no percibidos; (…) y aquellas circunstancias (…) llevan a tener por configurada (…) la situación de excepción contemplada en la resolución 5/77 y en la doctrina de la Corte Suprema de Justicia invocadas en la sentencia apelada.  (…) La solución propuesta es congruente con los principios y garantías constitucionales (…) teniendo en cuenta que una estricta y objetiva aplicación de las normas conduciría a resultados inequitativos</w:t>
      </w:r>
      <w:r w:rsidRPr="00E57D5F">
        <w:rPr>
          <w:rStyle w:val="FootnoteReference"/>
          <w:rFonts w:ascii="Cambria" w:hAnsi="Cambria"/>
          <w:sz w:val="20"/>
        </w:rPr>
        <w:footnoteReference w:id="93"/>
      </w:r>
      <w:r w:rsidRPr="00E57D5F">
        <w:rPr>
          <w:rFonts w:ascii="Cambria" w:hAnsi="Cambria"/>
          <w:sz w:val="20"/>
          <w:lang w:val="es-ES"/>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sz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s-ES"/>
        </w:rPr>
      </w:pPr>
      <w:r w:rsidRPr="00E57D5F">
        <w:rPr>
          <w:rFonts w:ascii="Cambria" w:hAnsi="Cambria"/>
          <w:sz w:val="20"/>
          <w:lang w:val="es-ES"/>
        </w:rPr>
        <w:t xml:space="preserve">En consecuencia, la Cámara reconoció el derecho de la señora </w:t>
      </w:r>
      <w:proofErr w:type="spellStart"/>
      <w:r w:rsidRPr="00E57D5F">
        <w:rPr>
          <w:rFonts w:ascii="Cambria" w:hAnsi="Cambria"/>
          <w:sz w:val="20"/>
          <w:lang w:val="es-ES"/>
        </w:rPr>
        <w:t>Perrone</w:t>
      </w:r>
      <w:proofErr w:type="spellEnd"/>
      <w:r w:rsidRPr="00E57D5F">
        <w:rPr>
          <w:rFonts w:ascii="Cambria" w:hAnsi="Cambria"/>
          <w:sz w:val="20"/>
          <w:lang w:val="es-ES"/>
        </w:rPr>
        <w:t xml:space="preserve"> al cobro de sus haberes laborales</w:t>
      </w:r>
      <w:r w:rsidRPr="00E57D5F">
        <w:rPr>
          <w:rStyle w:val="FootnoteReference"/>
          <w:rFonts w:ascii="Cambria" w:hAnsi="Cambria"/>
          <w:sz w:val="20"/>
        </w:rPr>
        <w:footnoteReference w:id="94"/>
      </w:r>
      <w:r w:rsidRPr="00E57D5F">
        <w:rPr>
          <w:rFonts w:ascii="Cambria" w:hAnsi="Cambria"/>
          <w:sz w:val="20"/>
          <w:lang w:val="es-ES"/>
        </w:rPr>
        <w:t xml:space="preserve">. La Cámara sostuvo que, sin perjuicio de ello, no era procedente su reubicación </w:t>
      </w:r>
      <w:proofErr w:type="spellStart"/>
      <w:r w:rsidRPr="00E57D5F">
        <w:rPr>
          <w:rFonts w:ascii="Cambria" w:hAnsi="Cambria"/>
          <w:sz w:val="20"/>
          <w:lang w:val="es-ES"/>
        </w:rPr>
        <w:t>escalafonaria</w:t>
      </w:r>
      <w:proofErr w:type="spellEnd"/>
      <w:r w:rsidRPr="00E57D5F">
        <w:rPr>
          <w:rFonts w:ascii="Cambria" w:hAnsi="Cambria"/>
          <w:sz w:val="20"/>
          <w:lang w:val="es-ES"/>
        </w:rPr>
        <w:t xml:space="preserve"> o los beneficios de períodos de licencia ordinaria no gozados</w:t>
      </w:r>
      <w:r w:rsidRPr="00E57D5F">
        <w:rPr>
          <w:rStyle w:val="FootnoteReference"/>
          <w:rFonts w:ascii="Cambria" w:hAnsi="Cambria"/>
          <w:sz w:val="20"/>
        </w:rPr>
        <w:footnoteReference w:id="95"/>
      </w:r>
      <w:r w:rsidRPr="00E57D5F">
        <w:rPr>
          <w:rFonts w:ascii="Cambria" w:hAnsi="Cambria"/>
          <w:sz w:val="20"/>
          <w:lang w:val="es-ES"/>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s-ES"/>
        </w:rPr>
      </w:pPr>
      <w:r w:rsidRPr="00E57D5F">
        <w:rPr>
          <w:rFonts w:ascii="Cambria" w:hAnsi="Cambria"/>
          <w:sz w:val="20"/>
          <w:lang w:val="es-ES"/>
        </w:rPr>
        <w:t>El 15 de octubre de 1993 la DGI presentó un recurso extraordinario ante la Corte Suprema en contra de la sentencia emitida por la Cámara de Apelaciones</w:t>
      </w:r>
      <w:r w:rsidRPr="00E57D5F">
        <w:rPr>
          <w:rStyle w:val="FootnoteReference"/>
          <w:rFonts w:ascii="Cambria" w:hAnsi="Cambria"/>
          <w:sz w:val="20"/>
          <w:lang w:val="es-ES"/>
        </w:rPr>
        <w:footnoteReference w:id="96"/>
      </w:r>
      <w:r w:rsidRPr="00E57D5F">
        <w:rPr>
          <w:rFonts w:ascii="Cambria" w:hAnsi="Cambria"/>
          <w:sz w:val="20"/>
          <w:lang w:val="es-ES"/>
        </w:rPr>
        <w:t>. La DGI alegó que el criterio de la fuerza mayor no debe aplicarse en el presente caso</w:t>
      </w:r>
      <w:r w:rsidRPr="00E57D5F">
        <w:rPr>
          <w:rStyle w:val="FootnoteReference"/>
          <w:rFonts w:ascii="Cambria" w:hAnsi="Cambria"/>
          <w:sz w:val="20"/>
          <w:lang w:val="es-ES"/>
        </w:rPr>
        <w:footnoteReference w:id="97"/>
      </w:r>
      <w:r w:rsidRPr="00E57D5F">
        <w:rPr>
          <w:rFonts w:ascii="Cambria" w:hAnsi="Cambria"/>
          <w:sz w:val="20"/>
          <w:lang w:val="es-ES"/>
        </w:rPr>
        <w:t>. Sostuvo que “la actora no concurrió a su trabajo por estar arrestada a disposición del Poder Ejecutivo Nacional, circunstancia totalmente ajena al organismo”</w:t>
      </w:r>
      <w:r w:rsidRPr="00E57D5F">
        <w:rPr>
          <w:rStyle w:val="FootnoteReference"/>
          <w:rFonts w:ascii="Cambria" w:hAnsi="Cambria"/>
          <w:sz w:val="20"/>
          <w:lang w:val="es-ES"/>
        </w:rPr>
        <w:footnoteReference w:id="98"/>
      </w:r>
      <w:r w:rsidRPr="00E57D5F">
        <w:rPr>
          <w:rFonts w:ascii="Cambria" w:hAnsi="Cambria"/>
          <w:sz w:val="20"/>
          <w:lang w:val="es-ES"/>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rPr>
      </w:pPr>
      <w:r w:rsidRPr="00E57D5F">
        <w:rPr>
          <w:rFonts w:ascii="Cambria" w:hAnsi="Cambria"/>
          <w:sz w:val="20"/>
        </w:rPr>
        <w:t>El 21 de mayo de 1996 la Corte Suprema de Justicia de la Nación emitió una sentencia en la que declaró procedente el recurso extraordinario interpuesto por la DGI y revocó la sentencia de la Cámara de Apelaciones</w:t>
      </w:r>
      <w:r w:rsidRPr="00E57D5F">
        <w:rPr>
          <w:rStyle w:val="FootnoteReference"/>
          <w:rFonts w:ascii="Cambria" w:hAnsi="Cambria"/>
          <w:sz w:val="20"/>
        </w:rPr>
        <w:footnoteReference w:id="99"/>
      </w:r>
      <w:r w:rsidRPr="00E57D5F">
        <w:rPr>
          <w:rFonts w:ascii="Cambria" w:hAnsi="Cambria"/>
          <w:sz w:val="20"/>
        </w:rPr>
        <w:t>. La Corte Suprema sostuvo lo siguiente:</w:t>
      </w:r>
    </w:p>
    <w:p w:rsidR="007A61F8" w:rsidRPr="00E57D5F" w:rsidRDefault="007A61F8" w:rsidP="007A61F8">
      <w:pPr>
        <w:pStyle w:val="ListParagraph"/>
        <w:rPr>
          <w:rFonts w:ascii="Cambria" w:hAnsi="Cambria"/>
          <w:sz w:val="20"/>
          <w:lang w:val="es-ES"/>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r w:rsidRPr="00E57D5F">
        <w:rPr>
          <w:rFonts w:ascii="Cambria" w:hAnsi="Cambria"/>
          <w:sz w:val="20"/>
        </w:rPr>
        <w:t>4. (…) la actora no asistió a su trabajo por razones ajenas a su voluntad durante casi seis años; en ese lapso, la empleadora no dispuso el cese de la relación de empleo público, que se mantuvo vigente sin goce de haberes.</w:t>
      </w:r>
    </w:p>
    <w:p w:rsidR="002477FD" w:rsidRDefault="002477FD"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r w:rsidRPr="00E57D5F">
        <w:rPr>
          <w:rFonts w:ascii="Cambria" w:hAnsi="Cambria"/>
          <w:sz w:val="20"/>
        </w:rPr>
        <w:t xml:space="preserve">5. Que las particularidades del caso no permiten asimilar la situación –de suspensión del agente sin percepción de haberes con motivo de la privación de la libertad dispuesta por hechos ajenos a la función pública- con el régimen de incumplimiento de la relación de </w:t>
      </w:r>
      <w:r w:rsidRPr="00E57D5F">
        <w:rPr>
          <w:rFonts w:ascii="Cambria" w:hAnsi="Cambria"/>
          <w:sz w:val="20"/>
        </w:rPr>
        <w:lastRenderedPageBreak/>
        <w:t>empleo público por inasistencias justificables. Tanto el marco jurídico dado por la convención colectiva 46/75E (…) distinguen claramente el procedimiento de investigación para determinar la responsabilidad disciplinaria, del régimen de licencias y del propio a las inasistencias, sin perjuicio de que la transgresión de los dos últimos de lugar al funcionamiento del primero.</w:t>
      </w:r>
    </w:p>
    <w:p w:rsidR="002477FD" w:rsidRDefault="002477FD"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r w:rsidRPr="00E57D5F">
        <w:rPr>
          <w:rFonts w:ascii="Cambria" w:hAnsi="Cambria"/>
          <w:sz w:val="20"/>
        </w:rPr>
        <w:t xml:space="preserve">6. Que no cabe pues, formular analogías a partir del régimen de franquicias y licencias, sino aplicar las normas atinentes al procedimiento disciplinario o, en su caso, integrar las lagunas con sus principios. </w:t>
      </w:r>
    </w:p>
    <w:p w:rsidR="002477FD" w:rsidRDefault="002477FD"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rPr>
      </w:pPr>
      <w:r w:rsidRPr="00E57D5F">
        <w:rPr>
          <w:rFonts w:ascii="Cambria" w:hAnsi="Cambria"/>
          <w:sz w:val="20"/>
        </w:rPr>
        <w:t>8. (…) no ha existido disposición expresa que permita hacer excepción al principio esencial en materia de salarios, cual es, que no procede el pago de sueldos por funciones no prestadas. Ello no comporta negar las consecuencias del acto ilegítimo del gobierno de facto desde la óptica de la responsabilidad del Estado Nacional, cuestión que, procesal y sustancialmente, no se discutió en autos</w:t>
      </w:r>
      <w:r w:rsidRPr="00E57D5F">
        <w:rPr>
          <w:rStyle w:val="FootnoteReference"/>
          <w:rFonts w:ascii="Cambria" w:hAnsi="Cambria"/>
          <w:sz w:val="20"/>
        </w:rPr>
        <w:footnoteReference w:id="100"/>
      </w:r>
      <w:r w:rsidRPr="00E57D5F">
        <w:rPr>
          <w:rFonts w:ascii="Cambria" w:hAnsi="Cambria"/>
          <w:sz w:val="20"/>
        </w:rPr>
        <w:t>.</w:t>
      </w:r>
    </w:p>
    <w:p w:rsidR="007A61F8" w:rsidRPr="00E57D5F" w:rsidRDefault="007A61F8" w:rsidP="007A61F8">
      <w:pPr>
        <w:pStyle w:val="ListParagraph"/>
        <w:rPr>
          <w:rFonts w:ascii="Cambria" w:hAnsi="Cambria"/>
          <w:sz w:val="20"/>
          <w:lang w:val="es-ES"/>
        </w:rPr>
      </w:pPr>
    </w:p>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rPr>
      </w:pPr>
      <w:r w:rsidRPr="00E57D5F">
        <w:rPr>
          <w:rFonts w:ascii="Cambria" w:hAnsi="Cambria"/>
          <w:sz w:val="20"/>
          <w:lang w:val="es-ES"/>
        </w:rPr>
        <w:t xml:space="preserve">Los peticionarios informaron que </w:t>
      </w:r>
      <w:r w:rsidRPr="00E57D5F">
        <w:rPr>
          <w:rFonts w:ascii="Cambria" w:hAnsi="Cambria"/>
          <w:sz w:val="20"/>
        </w:rPr>
        <w:t xml:space="preserve">la Secretaría de Derechos Humanos de la Nación emitió un dictamen en </w:t>
      </w:r>
      <w:r w:rsidR="0081795F" w:rsidRPr="00E57D5F">
        <w:rPr>
          <w:rFonts w:ascii="Cambria" w:hAnsi="Cambria"/>
          <w:sz w:val="20"/>
        </w:rPr>
        <w:t>el</w:t>
      </w:r>
      <w:r w:rsidRPr="00E57D5F">
        <w:rPr>
          <w:rFonts w:ascii="Cambria" w:hAnsi="Cambria"/>
          <w:sz w:val="20"/>
        </w:rPr>
        <w:t xml:space="preserve"> cual consideró que “se han violado los artículos 1, 2, 8, 21, 24 (de la Convención) y los artículos XIV, XVII, XVIII y XXIII de la Declaración Americana”</w:t>
      </w:r>
      <w:r w:rsidRPr="00E57D5F">
        <w:rPr>
          <w:rStyle w:val="FootnoteReference"/>
          <w:rFonts w:ascii="Cambria" w:hAnsi="Cambria"/>
          <w:sz w:val="20"/>
        </w:rPr>
        <w:footnoteReference w:id="101"/>
      </w:r>
      <w:r w:rsidRPr="00E57D5F">
        <w:rPr>
          <w:rFonts w:ascii="Cambria" w:hAnsi="Cambria"/>
          <w:sz w:val="20"/>
        </w:rPr>
        <w:t>. Sostuvieron que el 3 de abril de 2005 la Secretaría ratificó su dictamen anterior</w:t>
      </w:r>
      <w:r w:rsidRPr="00E57D5F">
        <w:rPr>
          <w:rStyle w:val="FootnoteReference"/>
          <w:rFonts w:ascii="Cambria" w:hAnsi="Cambria"/>
          <w:sz w:val="20"/>
        </w:rPr>
        <w:footnoteReference w:id="102"/>
      </w:r>
      <w:r w:rsidRPr="00E57D5F">
        <w:rPr>
          <w:rFonts w:ascii="Cambria" w:hAnsi="Cambria"/>
          <w:sz w:val="20"/>
        </w:rPr>
        <w:t>. Agregaron que el 3 de abril de 2009 el Subsecretario de Protección de Derechos Humanos ratificó los dictámenes previos</w:t>
      </w:r>
      <w:r w:rsidRPr="00E57D5F">
        <w:rPr>
          <w:rStyle w:val="FootnoteReference"/>
          <w:rFonts w:ascii="Cambria" w:hAnsi="Cambria"/>
          <w:sz w:val="20"/>
        </w:rPr>
        <w:footnoteReference w:id="103"/>
      </w:r>
      <w:r w:rsidRPr="00E57D5F">
        <w:rPr>
          <w:rFonts w:ascii="Cambria" w:hAnsi="Cambria"/>
          <w:sz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rPr>
      </w:pPr>
    </w:p>
    <w:p w:rsidR="007A61F8" w:rsidRPr="00E57D5F" w:rsidRDefault="007A61F8" w:rsidP="00ED46A1">
      <w:pPr>
        <w:pStyle w:val="Heading1"/>
        <w:rPr>
          <w:lang w:val="es-ES_tradnl"/>
        </w:rPr>
      </w:pPr>
      <w:bookmarkStart w:id="40" w:name="_Toc476667882"/>
      <w:r w:rsidRPr="008F1889">
        <w:t>ANÁLISIS DE FONDO</w:t>
      </w:r>
      <w:bookmarkEnd w:id="40"/>
    </w:p>
    <w:p w:rsidR="007A61F8" w:rsidRPr="00E57D5F" w:rsidRDefault="007A61F8" w:rsidP="007A61F8">
      <w:pPr>
        <w:rPr>
          <w:lang w:val="es-ES"/>
        </w:rPr>
      </w:pPr>
      <w:bookmarkStart w:id="41" w:name="_Toc413687836"/>
    </w:p>
    <w:p w:rsidR="007A61F8" w:rsidRPr="00E57D5F" w:rsidRDefault="007A61F8" w:rsidP="008D5D00">
      <w:pPr>
        <w:pStyle w:val="Heading2"/>
        <w:numPr>
          <w:ilvl w:val="0"/>
          <w:numId w:val="58"/>
        </w:numPr>
        <w:ind w:left="1440" w:hanging="720"/>
        <w:rPr>
          <w:szCs w:val="20"/>
          <w:lang w:val="es-ES"/>
        </w:rPr>
      </w:pPr>
      <w:bookmarkStart w:id="42" w:name="_Toc476667883"/>
      <w:r w:rsidRPr="00E57D5F">
        <w:rPr>
          <w:szCs w:val="20"/>
          <w:lang w:val="es-ES"/>
        </w:rPr>
        <w:t>Cuestiones previas</w:t>
      </w:r>
      <w:bookmarkEnd w:id="42"/>
    </w:p>
    <w:p w:rsidR="007A61F8" w:rsidRPr="00E57D5F" w:rsidRDefault="007A61F8" w:rsidP="007A61F8"/>
    <w:p w:rsidR="007A61F8"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En primer lugar, la Comisión observa que en la etapa de fondo el Estado de Argentina continuó formulando alegatos relacionados con el requisito del agotamiento de los recursos internos, específicamente respecto de la acción civil de daños y perjuicios en contra del Estado Nacional. Al respecto, la Comisión recuerda que el momento procesal oportuno para formular alegatos sobre el agotamiento de los recursos internos es la etapa de admisibilidad, tr</w:t>
      </w:r>
      <w:r w:rsidR="008D5D00" w:rsidRPr="00E57D5F">
        <w:rPr>
          <w:rFonts w:ascii="Cambria" w:hAnsi="Cambria"/>
          <w:sz w:val="20"/>
          <w:szCs w:val="20"/>
        </w:rPr>
        <w:t xml:space="preserve">as la cual </w:t>
      </w:r>
      <w:proofErr w:type="spellStart"/>
      <w:r w:rsidR="008D5D00" w:rsidRPr="00E57D5F">
        <w:rPr>
          <w:rFonts w:ascii="Cambria" w:hAnsi="Cambria"/>
          <w:sz w:val="20"/>
          <w:szCs w:val="20"/>
        </w:rPr>
        <w:t>precluye</w:t>
      </w:r>
      <w:proofErr w:type="spellEnd"/>
      <w:r w:rsidR="008D5D00" w:rsidRPr="00E57D5F">
        <w:rPr>
          <w:rFonts w:ascii="Cambria" w:hAnsi="Cambria"/>
          <w:sz w:val="20"/>
          <w:szCs w:val="20"/>
        </w:rPr>
        <w:t xml:space="preserve"> el debate</w:t>
      </w:r>
      <w:r w:rsidRPr="00E57D5F">
        <w:rPr>
          <w:rFonts w:ascii="Cambria" w:hAnsi="Cambria"/>
          <w:sz w:val="20"/>
          <w:szCs w:val="20"/>
        </w:rPr>
        <w:t xml:space="preserve"> respecto de dicho requisito</w:t>
      </w:r>
      <w:r w:rsidRPr="00E57D5F">
        <w:rPr>
          <w:rStyle w:val="FootnoteReference"/>
          <w:rFonts w:ascii="Cambria" w:hAnsi="Cambria"/>
          <w:sz w:val="20"/>
          <w:szCs w:val="20"/>
        </w:rPr>
        <w:footnoteReference w:id="104"/>
      </w:r>
      <w:r w:rsidRPr="00E57D5F">
        <w:rPr>
          <w:rFonts w:ascii="Cambria" w:hAnsi="Cambria"/>
          <w:sz w:val="20"/>
          <w:szCs w:val="20"/>
        </w:rPr>
        <w:t xml:space="preserve">. En ese sentido, la Comisión efectuará el análisis a continuación con base en los hechos probados y los alegatos de las partes que se relacionan con el fondo del asunto. </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5E2B4E" w:rsidRPr="00E57D5F" w:rsidRDefault="007A61F8" w:rsidP="007A61F8">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En segundo lugar, la Comisión reitera lo indicado en su informe de admisibilidad sobre el objeto del presente caso. Al respecto, la Comisión recuerda que el mismo se circunscribe al reclamo de las presuntas víctimas sobre el pago de los salarios y beneficios sociales dejados de percibir en la entidad estatal en la que laboraban, como consecuencia de su privación arbitraria de libertad y del exilio en el caso </w:t>
      </w:r>
      <w:r w:rsidR="008D5D00" w:rsidRPr="00E57D5F">
        <w:rPr>
          <w:rFonts w:ascii="Cambria" w:hAnsi="Cambria"/>
          <w:sz w:val="20"/>
          <w:szCs w:val="20"/>
        </w:rPr>
        <w:t xml:space="preserve">del señor </w:t>
      </w:r>
      <w:proofErr w:type="spellStart"/>
      <w:r w:rsidR="008D5D00" w:rsidRPr="00E57D5F">
        <w:rPr>
          <w:rFonts w:ascii="Cambria" w:hAnsi="Cambria"/>
          <w:sz w:val="20"/>
          <w:szCs w:val="20"/>
        </w:rPr>
        <w:t>Preckel</w:t>
      </w:r>
      <w:proofErr w:type="spellEnd"/>
      <w:r w:rsidRPr="00E57D5F">
        <w:rPr>
          <w:rFonts w:ascii="Cambria" w:hAnsi="Cambria"/>
          <w:sz w:val="20"/>
          <w:szCs w:val="20"/>
        </w:rPr>
        <w:t>. En ese sentido, y tal como han confirmado los peticionarios, la detención, tortura y exilio no se encuentran dentro del objeto del presente caso. Tampoco se encuentra dentro de dicho objeto la suficiencia o no de la indemnización recibida por las víctimas en virtud de la Ley No. 24.043.</w:t>
      </w:r>
    </w:p>
    <w:p w:rsidR="005E2B4E" w:rsidRPr="008550D2" w:rsidRDefault="005E2B4E" w:rsidP="005E2B4E">
      <w:pPr>
        <w:pStyle w:val="ListParagraph"/>
        <w:rPr>
          <w:rFonts w:ascii="Cambria" w:hAnsi="Cambria"/>
          <w:sz w:val="20"/>
          <w:szCs w:val="20"/>
          <w:lang w:val="es-CO"/>
        </w:rPr>
      </w:pPr>
    </w:p>
    <w:p w:rsidR="005E2B4E" w:rsidRPr="00E57D5F" w:rsidRDefault="005E2B4E" w:rsidP="005E2B4E">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rPr>
        <w:t xml:space="preserve">Sin perjuicio de lo anterior, la Comisión recuerda que ambos órganos del sistema se han pronunciado sobre la relación entre reparaciones administrativas y otros reclamos. </w:t>
      </w:r>
    </w:p>
    <w:p w:rsidR="005E2B4E" w:rsidRPr="00E57D5F" w:rsidRDefault="005E2B4E" w:rsidP="005E2B4E">
      <w:pPr>
        <w:pStyle w:val="ListParagraph"/>
        <w:rPr>
          <w:rFonts w:ascii="Cambria" w:hAnsi="Cambria"/>
          <w:sz w:val="20"/>
          <w:szCs w:val="20"/>
          <w:bdr w:val="none" w:sz="0" w:space="0" w:color="auto"/>
          <w:lang w:val="es-CO"/>
        </w:rPr>
      </w:pPr>
    </w:p>
    <w:p w:rsidR="005E2B4E" w:rsidRPr="00E57D5F" w:rsidRDefault="005E2B4E" w:rsidP="005E2B4E">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E57D5F">
        <w:rPr>
          <w:rFonts w:ascii="Cambria" w:hAnsi="Cambria"/>
          <w:sz w:val="20"/>
          <w:szCs w:val="20"/>
          <w:bdr w:val="none" w:sz="0" w:space="0" w:color="auto"/>
        </w:rPr>
        <w:lastRenderedPageBreak/>
        <w:t xml:space="preserve">En el </w:t>
      </w:r>
      <w:r w:rsidR="00863C3A" w:rsidRPr="00863C3A">
        <w:rPr>
          <w:rFonts w:ascii="Cambria" w:hAnsi="Cambria"/>
          <w:i/>
          <w:sz w:val="20"/>
          <w:szCs w:val="20"/>
          <w:bdr w:val="none" w:sz="0" w:space="0" w:color="auto"/>
        </w:rPr>
        <w:t>C</w:t>
      </w:r>
      <w:r w:rsidRPr="00863C3A">
        <w:rPr>
          <w:rFonts w:ascii="Cambria" w:hAnsi="Cambria"/>
          <w:i/>
          <w:sz w:val="20"/>
          <w:szCs w:val="20"/>
          <w:bdr w:val="none" w:sz="0" w:space="0" w:color="auto"/>
        </w:rPr>
        <w:t>aso García</w:t>
      </w:r>
      <w:r w:rsidRPr="00E57D5F">
        <w:rPr>
          <w:rFonts w:ascii="Cambria" w:hAnsi="Cambria"/>
          <w:i/>
          <w:sz w:val="20"/>
          <w:szCs w:val="20"/>
          <w:bdr w:val="none" w:sz="0" w:space="0" w:color="auto"/>
        </w:rPr>
        <w:t xml:space="preserve"> Lucero y otras vs. Chile</w:t>
      </w:r>
      <w:r w:rsidRPr="00E57D5F">
        <w:rPr>
          <w:rFonts w:ascii="Cambria" w:hAnsi="Cambria"/>
          <w:sz w:val="20"/>
          <w:szCs w:val="20"/>
          <w:bdr w:val="none" w:sz="0" w:space="0" w:color="auto"/>
        </w:rPr>
        <w:t xml:space="preserve">, la Corte Interamericana indicó que: </w:t>
      </w:r>
    </w:p>
    <w:p w:rsidR="005E2B4E" w:rsidRPr="00E57D5F" w:rsidRDefault="005E2B4E" w:rsidP="005E2B4E">
      <w:pPr>
        <w:pStyle w:val="ListParagraph"/>
        <w:rPr>
          <w:rFonts w:ascii="Cambria" w:eastAsia="Times New Roman" w:hAnsi="Cambria"/>
          <w:sz w:val="20"/>
          <w:szCs w:val="20"/>
          <w:bdr w:val="none" w:sz="0" w:space="0" w:color="auto"/>
          <w:lang w:val="es-ES_tradnl"/>
        </w:rPr>
      </w:pPr>
    </w:p>
    <w:p w:rsidR="005E2B4E" w:rsidRPr="00E57D5F" w:rsidRDefault="005E2B4E" w:rsidP="005E2B4E">
      <w:pPr>
        <w:pStyle w:val="ListParagraph"/>
        <w:ind w:right="720"/>
        <w:jc w:val="both"/>
        <w:rPr>
          <w:rFonts w:ascii="Cambria" w:eastAsia="Times New Roman" w:hAnsi="Cambria"/>
          <w:sz w:val="20"/>
          <w:szCs w:val="20"/>
          <w:bdr w:val="none" w:sz="0" w:space="0" w:color="auto"/>
          <w:lang w:val="es-CO"/>
        </w:rPr>
      </w:pPr>
      <w:r w:rsidRPr="00E57D5F">
        <w:rPr>
          <w:rFonts w:ascii="Cambria" w:hAnsi="Cambria"/>
          <w:sz w:val="20"/>
          <w:szCs w:val="20"/>
          <w:lang w:val="es-CO"/>
        </w:rPr>
        <w:t>(…) la existencia de programas administrativos de reparación debe ser compatible con las obligaciones estatales bajo la Convención Americana y otras normas internacionales y, por ello, no puede derivar en un menoscabo al deber estatal de garantizar el “libre y pleno ejercicio” de los derechos a las garantías y protección judiciales, en los términos de los artículos 1.1, 25.1 y 8.1 de la Convención, respectivamente. En otros términos, los programas administrativos de reparación u otras medidas o acciones normativas o de otro carácter que coexistan con los mismos, no pueden generar una obstrucción a la posibilidad de que las víctimas, de conformidad a los derechos a las garantías y protección judiciales, interpongan acciones en reclamo de reparaciones</w:t>
      </w:r>
      <w:r w:rsidRPr="00E57D5F">
        <w:rPr>
          <w:rStyle w:val="FootnoteReference"/>
          <w:rFonts w:ascii="Cambria" w:hAnsi="Cambria"/>
          <w:sz w:val="20"/>
          <w:szCs w:val="20"/>
        </w:rPr>
        <w:footnoteReference w:id="105"/>
      </w:r>
      <w:r w:rsidRPr="00E57D5F">
        <w:rPr>
          <w:rFonts w:ascii="Cambria" w:hAnsi="Cambria"/>
          <w:sz w:val="20"/>
          <w:szCs w:val="20"/>
          <w:lang w:val="es-CO"/>
        </w:rPr>
        <w:t>.</w:t>
      </w:r>
    </w:p>
    <w:p w:rsidR="005E2B4E" w:rsidRPr="00E57D5F" w:rsidRDefault="005E2B4E" w:rsidP="005E2B4E">
      <w:pPr>
        <w:pStyle w:val="ListParagraph"/>
        <w:rPr>
          <w:rFonts w:ascii="Cambria" w:eastAsia="Times New Roman" w:hAnsi="Cambria"/>
          <w:sz w:val="20"/>
          <w:szCs w:val="20"/>
          <w:bdr w:val="none" w:sz="0" w:space="0" w:color="auto"/>
          <w:lang w:val="es-ES_tradnl"/>
        </w:rPr>
      </w:pPr>
    </w:p>
    <w:p w:rsidR="005E2B4E" w:rsidRPr="00E57D5F" w:rsidRDefault="005E2B4E" w:rsidP="00EB5F77">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bdr w:val="none" w:sz="0" w:space="0" w:color="auto"/>
        </w:rPr>
      </w:pPr>
      <w:r w:rsidRPr="00E57D5F">
        <w:rPr>
          <w:rFonts w:ascii="Cambria" w:hAnsi="Cambria"/>
          <w:sz w:val="20"/>
          <w:szCs w:val="20"/>
          <w:bdr w:val="none" w:sz="0" w:space="0" w:color="auto"/>
        </w:rPr>
        <w:t>En el mismo caso la Corte señaló que “</w:t>
      </w:r>
      <w:r w:rsidRPr="00E57D5F">
        <w:rPr>
          <w:rFonts w:ascii="Cambria" w:hAnsi="Cambria"/>
          <w:sz w:val="20"/>
          <w:szCs w:val="20"/>
          <w:lang w:val="es-CO"/>
        </w:rPr>
        <w:t xml:space="preserve">resulta conforme a la observancia de derechos convencionales que el </w:t>
      </w:r>
      <w:r w:rsidRPr="00E57D5F">
        <w:rPr>
          <w:rFonts w:ascii="Cambria" w:hAnsi="Cambria"/>
          <w:sz w:val="20"/>
          <w:szCs w:val="20"/>
          <w:bdr w:val="none" w:sz="0" w:space="0" w:color="auto"/>
        </w:rPr>
        <w:t>establecimiento</w:t>
      </w:r>
      <w:r w:rsidRPr="00E57D5F">
        <w:rPr>
          <w:rFonts w:ascii="Cambria" w:hAnsi="Cambria"/>
          <w:sz w:val="20"/>
          <w:szCs w:val="20"/>
          <w:lang w:val="es-CO"/>
        </w:rPr>
        <w:t xml:space="preserve"> de sistemas internos administrativos o colectivos de reparación no impida a las víctimas el ejercicio de acciones jurisdiccionales en reclamo de medidas de reparación”</w:t>
      </w:r>
      <w:r w:rsidRPr="00E57D5F">
        <w:rPr>
          <w:rStyle w:val="FootnoteReference"/>
          <w:rFonts w:ascii="Cambria" w:hAnsi="Cambria"/>
          <w:sz w:val="20"/>
          <w:szCs w:val="20"/>
        </w:rPr>
        <w:footnoteReference w:id="106"/>
      </w:r>
      <w:r w:rsidRPr="00E57D5F">
        <w:rPr>
          <w:rFonts w:ascii="Cambria" w:hAnsi="Cambria"/>
          <w:sz w:val="20"/>
          <w:szCs w:val="20"/>
          <w:lang w:val="es-CO"/>
        </w:rPr>
        <w:t>.</w:t>
      </w:r>
    </w:p>
    <w:p w:rsidR="005E2B4E" w:rsidRPr="00E57D5F" w:rsidRDefault="005E2B4E" w:rsidP="00EB5F7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lang w:val="es-ES_tradnl"/>
        </w:rPr>
      </w:pPr>
    </w:p>
    <w:p w:rsidR="005E2B4E" w:rsidRPr="00E57D5F" w:rsidRDefault="005E2B4E" w:rsidP="00EB5F77">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bdr w:val="none" w:sz="0" w:space="0" w:color="auto"/>
        </w:rPr>
      </w:pPr>
      <w:r w:rsidRPr="00E57D5F">
        <w:rPr>
          <w:rFonts w:ascii="Cambria" w:hAnsi="Cambria"/>
          <w:sz w:val="20"/>
          <w:szCs w:val="20"/>
          <w:bdr w:val="none" w:sz="0" w:space="0" w:color="auto"/>
        </w:rPr>
        <w:t xml:space="preserve">Por su parte, la Comisión se ha pronunciado sobre la existencia de distintas vías para reparar a las víctimas en situaciones de graves violaciones de derechos humanos. Al respecto, la CIDH ha indicado que “entiende que la adopción de un programa de reparaciones administrativas, no debería excluir el acceso a vías judiciales para </w:t>
      </w:r>
      <w:r w:rsidR="006B70D0" w:rsidRPr="00E57D5F">
        <w:rPr>
          <w:rFonts w:ascii="Cambria" w:hAnsi="Cambria"/>
          <w:sz w:val="20"/>
          <w:szCs w:val="20"/>
          <w:bdr w:val="none" w:sz="0" w:space="0" w:color="auto"/>
        </w:rPr>
        <w:t>las víctimas</w:t>
      </w:r>
      <w:r w:rsidRPr="00E57D5F">
        <w:rPr>
          <w:rFonts w:ascii="Cambria" w:hAnsi="Cambria"/>
          <w:sz w:val="20"/>
          <w:szCs w:val="20"/>
          <w:bdr w:val="none" w:sz="0" w:space="0" w:color="auto"/>
        </w:rPr>
        <w:t>”</w:t>
      </w:r>
      <w:r w:rsidRPr="00E57D5F">
        <w:rPr>
          <w:rStyle w:val="FootnoteReference"/>
          <w:rFonts w:ascii="Cambria" w:hAnsi="Cambria"/>
          <w:sz w:val="20"/>
          <w:szCs w:val="20"/>
          <w:bdr w:val="none" w:sz="0" w:space="0" w:color="auto"/>
        </w:rPr>
        <w:footnoteReference w:id="107"/>
      </w:r>
      <w:r w:rsidRPr="00E57D5F">
        <w:rPr>
          <w:rFonts w:ascii="Cambria" w:hAnsi="Cambria"/>
          <w:sz w:val="20"/>
          <w:szCs w:val="20"/>
          <w:bdr w:val="none" w:sz="0" w:space="0" w:color="auto"/>
        </w:rPr>
        <w:t xml:space="preserve">. </w:t>
      </w:r>
    </w:p>
    <w:p w:rsidR="007A61F8" w:rsidRPr="00E57D5F" w:rsidRDefault="007A61F8" w:rsidP="005E2B4E">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D5F">
        <w:rPr>
          <w:rFonts w:ascii="Cambria" w:hAnsi="Cambria"/>
          <w:sz w:val="20"/>
          <w:szCs w:val="20"/>
        </w:rPr>
        <w:t xml:space="preserve"> </w:t>
      </w:r>
    </w:p>
    <w:p w:rsidR="007A61F8" w:rsidRPr="00E57D5F" w:rsidRDefault="007A61F8" w:rsidP="008D5D00">
      <w:pPr>
        <w:pStyle w:val="Heading2"/>
        <w:numPr>
          <w:ilvl w:val="0"/>
          <w:numId w:val="58"/>
        </w:numPr>
        <w:ind w:left="1440" w:hanging="720"/>
        <w:jc w:val="both"/>
        <w:rPr>
          <w:lang w:val="es-ES"/>
        </w:rPr>
      </w:pPr>
      <w:bookmarkStart w:id="43" w:name="_Toc476667884"/>
      <w:r w:rsidRPr="00E57D5F">
        <w:rPr>
          <w:lang w:val="es-ES"/>
        </w:rPr>
        <w:t>Derecho a las garantías judiciales y protección judicial (artículos 8.1</w:t>
      </w:r>
      <w:r w:rsidRPr="00E57D5F">
        <w:rPr>
          <w:rStyle w:val="FootnoteReference"/>
          <w:lang w:val="es-ES"/>
        </w:rPr>
        <w:footnoteReference w:id="108"/>
      </w:r>
      <w:r w:rsidRPr="00E57D5F">
        <w:rPr>
          <w:lang w:val="es-ES"/>
        </w:rPr>
        <w:t xml:space="preserve"> y 25.1</w:t>
      </w:r>
      <w:r w:rsidRPr="00E57D5F">
        <w:rPr>
          <w:rStyle w:val="FootnoteReference"/>
          <w:lang w:val="es-ES"/>
        </w:rPr>
        <w:footnoteReference w:id="109"/>
      </w:r>
      <w:r w:rsidRPr="00E57D5F">
        <w:rPr>
          <w:lang w:val="es-ES"/>
        </w:rPr>
        <w:t xml:space="preserve"> de la Convención Americana) en relación con el artículo 1.1</w:t>
      </w:r>
      <w:r w:rsidRPr="00E57D5F">
        <w:rPr>
          <w:rStyle w:val="FootnoteReference"/>
          <w:lang w:val="es-ES"/>
        </w:rPr>
        <w:footnoteReference w:id="110"/>
      </w:r>
      <w:r w:rsidRPr="00E57D5F">
        <w:rPr>
          <w:lang w:val="es-ES"/>
        </w:rPr>
        <w:t xml:space="preserve"> del mismo instrumento</w:t>
      </w:r>
      <w:bookmarkEnd w:id="41"/>
      <w:bookmarkEnd w:id="43"/>
    </w:p>
    <w:p w:rsidR="007A61F8" w:rsidRPr="00E57D5F" w:rsidRDefault="007A61F8" w:rsidP="007A61F8">
      <w:pPr>
        <w:tabs>
          <w:tab w:val="left" w:pos="90"/>
          <w:tab w:val="center" w:pos="4680"/>
          <w:tab w:val="left" w:pos="6511"/>
        </w:tabs>
        <w:jc w:val="both"/>
        <w:rPr>
          <w:rFonts w:ascii="Cambria" w:hAnsi="Cambria"/>
          <w:b/>
          <w:sz w:val="20"/>
          <w:szCs w:val="20"/>
          <w:lang w:val="es-ES"/>
        </w:rPr>
      </w:pPr>
    </w:p>
    <w:p w:rsidR="007A61F8" w:rsidRPr="00E57D5F" w:rsidRDefault="007A61F8" w:rsidP="00EB5F77">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La Comisión ha sostenido que los Estados partes de la Convención están obligados a suministrar recursos judiciales efectivos a las víctimas de violaciones de los derechos humanos, los cuales deben ser sustanciados de conformidad con las reglas del debido proceso</w:t>
      </w:r>
      <w:r w:rsidRPr="00E57D5F">
        <w:rPr>
          <w:rStyle w:val="FootnoteReference"/>
          <w:rFonts w:ascii="Cambria" w:eastAsia="Trebuchet MS" w:hAnsi="Cambria"/>
          <w:sz w:val="20"/>
          <w:szCs w:val="20"/>
        </w:rPr>
        <w:footnoteReference w:id="111"/>
      </w:r>
      <w:r w:rsidRPr="00E57D5F">
        <w:rPr>
          <w:rFonts w:ascii="Cambria" w:hAnsi="Cambria"/>
          <w:sz w:val="20"/>
          <w:szCs w:val="20"/>
          <w:lang w:val="es-ES"/>
        </w:rPr>
        <w:t xml:space="preserve">. </w:t>
      </w:r>
    </w:p>
    <w:p w:rsidR="007A61F8" w:rsidRPr="00E57D5F" w:rsidRDefault="005E2B4E" w:rsidP="005E2B4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6140"/>
        </w:tabs>
        <w:ind w:left="720"/>
        <w:jc w:val="both"/>
        <w:rPr>
          <w:rFonts w:ascii="Cambria" w:hAnsi="Cambria"/>
          <w:sz w:val="20"/>
          <w:szCs w:val="20"/>
          <w:lang w:val="es-ES"/>
        </w:rPr>
      </w:pPr>
      <w:r w:rsidRPr="00E57D5F">
        <w:rPr>
          <w:rFonts w:ascii="Cambria" w:hAnsi="Cambria"/>
          <w:sz w:val="20"/>
          <w:szCs w:val="20"/>
          <w:lang w:val="es-ES"/>
        </w:rPr>
        <w:tab/>
      </w:r>
      <w:r w:rsidRPr="00E57D5F">
        <w:rPr>
          <w:rFonts w:ascii="Cambria" w:hAnsi="Cambria"/>
          <w:sz w:val="20"/>
          <w:szCs w:val="20"/>
          <w:lang w:val="es-ES"/>
        </w:rPr>
        <w:tab/>
      </w:r>
    </w:p>
    <w:p w:rsidR="000F2E4F" w:rsidRPr="00E57D5F" w:rsidRDefault="000F2E4F"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rPr>
        <w:t>En ese sentido, la Comisión ha establecido que el artículo 25 de la Convención Americana guarda relación directa con su artículo 8.1, el cual consagra el derecho de toda persona a ser oída con las debidas garantías y dentro de un plazo razonable, por un juez o tribunal independiente e imparcial</w:t>
      </w:r>
      <w:r w:rsidRPr="00E57D5F">
        <w:rPr>
          <w:rFonts w:ascii="Cambria" w:hAnsi="Cambria"/>
          <w:sz w:val="20"/>
          <w:szCs w:val="20"/>
          <w:vertAlign w:val="superscript"/>
        </w:rPr>
        <w:footnoteReference w:id="112"/>
      </w:r>
      <w:r w:rsidRPr="00E57D5F">
        <w:rPr>
          <w:rFonts w:ascii="Cambria" w:hAnsi="Cambria"/>
          <w:sz w:val="20"/>
          <w:szCs w:val="20"/>
        </w:rPr>
        <w:t>.</w:t>
      </w:r>
    </w:p>
    <w:p w:rsidR="000F2E4F" w:rsidRPr="00E57D5F" w:rsidRDefault="000F2E4F" w:rsidP="008F1889">
      <w:pPr>
        <w:pStyle w:val="ListParagraph"/>
        <w:ind w:left="0" w:firstLine="720"/>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En cuanto al alcance de la protección otorgada por el artículo 25 de la Convención, la Corte ha indicado que dicho artículo “</w:t>
      </w:r>
      <w:r w:rsidRPr="00E57D5F">
        <w:rPr>
          <w:rFonts w:ascii="Cambria" w:hAnsi="Cambria"/>
          <w:sz w:val="20"/>
          <w:szCs w:val="20"/>
        </w:rPr>
        <w:t xml:space="preserve">establece, en términos amplios, la obligación a cargo de los Estados de ofrecer, </w:t>
      </w:r>
      <w:r w:rsidRPr="00E57D5F">
        <w:rPr>
          <w:rFonts w:ascii="Cambria" w:hAnsi="Cambria"/>
          <w:sz w:val="20"/>
          <w:szCs w:val="20"/>
        </w:rPr>
        <w:lastRenderedPageBreak/>
        <w:t>a todas las personas sometidas a su jurisdicción, un recurso judicial efectivo contra actos violatorios de sus derechos fundamentales. Dispone, además, que la garantía allí consagrada se aplica no sólo respecto de los derechos contenidos en la Convención, sino también de aquéllos que estén reconocidos por la Constitución o por la ley</w:t>
      </w:r>
      <w:r w:rsidRPr="00E57D5F">
        <w:rPr>
          <w:rStyle w:val="FootnoteReference"/>
          <w:rFonts w:ascii="Cambria" w:hAnsi="Cambria"/>
          <w:sz w:val="20"/>
          <w:szCs w:val="20"/>
        </w:rPr>
        <w:footnoteReference w:id="113"/>
      </w:r>
      <w:r w:rsidRPr="00E57D5F">
        <w:rPr>
          <w:rFonts w:ascii="Cambria" w:hAnsi="Cambria"/>
          <w:sz w:val="20"/>
          <w:szCs w:val="20"/>
        </w:rPr>
        <w:t>”.</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Asimismo y de especial relevancia para el presente caso, la Corte Interamericana ha señalado lo siguiente:</w:t>
      </w:r>
    </w:p>
    <w:p w:rsidR="007A61F8" w:rsidRPr="00E57D5F" w:rsidRDefault="007A61F8" w:rsidP="008F1889">
      <w:pPr>
        <w:ind w:left="720" w:right="720"/>
        <w:jc w:val="both"/>
        <w:rPr>
          <w:rFonts w:ascii="Cambria" w:hAnsi="Cambria"/>
          <w:sz w:val="20"/>
          <w:szCs w:val="20"/>
          <w:lang w:val="es-ES"/>
        </w:rPr>
      </w:pPr>
    </w:p>
    <w:p w:rsidR="007A61F8" w:rsidRPr="00E57D5F" w:rsidRDefault="007A61F8" w:rsidP="008F1889">
      <w:pPr>
        <w:ind w:left="720" w:right="720"/>
        <w:jc w:val="both"/>
        <w:rPr>
          <w:rFonts w:ascii="Cambria" w:hAnsi="Cambria"/>
          <w:sz w:val="20"/>
          <w:szCs w:val="20"/>
          <w:lang w:val="es-ES"/>
        </w:rPr>
      </w:pPr>
      <w:r w:rsidRPr="00E57D5F">
        <w:rPr>
          <w:rFonts w:ascii="Cambria" w:hAnsi="Cambria"/>
          <w:sz w:val="20"/>
          <w:szCs w:val="20"/>
          <w:lang w:val="es-ES"/>
        </w:rPr>
        <w:t>Al establecer si el Estado es responsable internacionalmente por la alegada violación a los derechos consagrados en los artículos 8.1 y 25 de la Convención Americana, el aspecto sustancial de la controversia ante la Corte no es si en el ámbito interno se emitieron sentencias o resoluciones administrativas, o si se aplicaron o no determinadas disposiciones de derecho interno, en relación con las violaciones que se alega fueron cometidas en perjuicio de las presuntas víctimas de los hechos, sino si los procesos internos permitieron que se les garantizara un verdadero acceso a la justicia, conforme a los estándares previstos en la Convención Americana, para determinar los derechos que estaban en controversia</w:t>
      </w:r>
      <w:r w:rsidRPr="00E57D5F">
        <w:rPr>
          <w:rStyle w:val="FootnoteReference"/>
          <w:rFonts w:ascii="Cambria" w:hAnsi="Cambria"/>
          <w:sz w:val="20"/>
          <w:szCs w:val="20"/>
        </w:rPr>
        <w:footnoteReference w:id="114"/>
      </w:r>
      <w:r w:rsidRPr="00E57D5F">
        <w:rPr>
          <w:rFonts w:ascii="Cambria" w:hAnsi="Cambria"/>
          <w:sz w:val="20"/>
          <w:szCs w:val="20"/>
          <w:lang w:val="es-ES"/>
        </w:rPr>
        <w:t xml:space="preserve">. </w:t>
      </w:r>
    </w:p>
    <w:p w:rsidR="007A61F8" w:rsidRPr="00E57D5F" w:rsidRDefault="007A61F8" w:rsidP="007D174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 xml:space="preserve">En virtud de lo anterior, la Comisión destaca que su análisis en este asunto se centrará en determinar si los procedimientos administrativos y judiciales interpuestos por las presuntas víctimas respetaron los derechos a las garantías judiciales y protección judicial, sin entrar a analizar si, conforme al derecho interno, les asistía razón en sus reclamaciones en cuanto a los salarios y beneficios sociales dejados de percibir durante la privación de libertad en el caso de la señora </w:t>
      </w:r>
      <w:proofErr w:type="spellStart"/>
      <w:r w:rsidRPr="00E57D5F">
        <w:rPr>
          <w:rFonts w:ascii="Cambria" w:hAnsi="Cambria"/>
          <w:sz w:val="20"/>
          <w:szCs w:val="20"/>
          <w:lang w:val="es-ES"/>
        </w:rPr>
        <w:t>Perrone</w:t>
      </w:r>
      <w:proofErr w:type="spellEnd"/>
      <w:r w:rsidRPr="00E57D5F">
        <w:rPr>
          <w:rFonts w:ascii="Cambria" w:hAnsi="Cambria"/>
          <w:sz w:val="20"/>
          <w:szCs w:val="20"/>
          <w:lang w:val="es-ES"/>
        </w:rPr>
        <w:t xml:space="preserve">, y durante la privación de libertad y exilio en el caso del señor </w:t>
      </w:r>
      <w:proofErr w:type="spellStart"/>
      <w:r w:rsidRPr="00E57D5F">
        <w:rPr>
          <w:rFonts w:ascii="Cambria" w:hAnsi="Cambria"/>
          <w:sz w:val="20"/>
          <w:szCs w:val="20"/>
          <w:lang w:val="es-ES"/>
        </w:rPr>
        <w:t>Preckel</w:t>
      </w:r>
      <w:proofErr w:type="spellEnd"/>
      <w:r w:rsidRPr="00E57D5F">
        <w:rPr>
          <w:rFonts w:ascii="Cambria" w:hAnsi="Cambria"/>
          <w:sz w:val="20"/>
          <w:szCs w:val="20"/>
          <w:lang w:val="es-ES"/>
        </w:rPr>
        <w:t xml:space="preserve">. </w:t>
      </w:r>
    </w:p>
    <w:p w:rsidR="007A61F8" w:rsidRPr="00E57D5F" w:rsidRDefault="007A61F8" w:rsidP="008F188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En particular, la Comisión se pronunciará sobre</w:t>
      </w:r>
      <w:r w:rsidR="001D11A4" w:rsidRPr="00E57D5F">
        <w:rPr>
          <w:rFonts w:ascii="Cambria" w:hAnsi="Cambria"/>
          <w:sz w:val="20"/>
          <w:szCs w:val="20"/>
          <w:lang w:val="es-ES"/>
        </w:rPr>
        <w:t xml:space="preserve"> la garantía de plazo razonable así como sobre el deber de motivación, ambas garantías previstas </w:t>
      </w:r>
      <w:r w:rsidRPr="00E57D5F">
        <w:rPr>
          <w:rFonts w:ascii="Cambria" w:hAnsi="Cambria"/>
          <w:sz w:val="20"/>
          <w:szCs w:val="20"/>
          <w:lang w:val="es-ES"/>
        </w:rPr>
        <w:t xml:space="preserve">en el artículo 8.1 de la Convención. Con base en las determinaciones la Comisión analizará si los recursos interpuestos a nivel interno fueron efectivos para resolver los reclamos de las presuntas víctimas, en los términos del artículo 25 de la Convención. </w:t>
      </w:r>
    </w:p>
    <w:p w:rsidR="007A61F8" w:rsidRPr="00E57D5F" w:rsidRDefault="007A61F8" w:rsidP="007A61F8">
      <w:pPr>
        <w:jc w:val="both"/>
        <w:rPr>
          <w:rFonts w:ascii="Cambria" w:hAnsi="Cambria"/>
          <w:sz w:val="20"/>
          <w:szCs w:val="20"/>
          <w:lang w:val="es-ES"/>
        </w:rPr>
      </w:pPr>
    </w:p>
    <w:p w:rsidR="008D5D00" w:rsidRPr="00E57D5F" w:rsidRDefault="008D5D00" w:rsidP="007A61F8">
      <w:pPr>
        <w:pStyle w:val="Heading3"/>
        <w:numPr>
          <w:ilvl w:val="3"/>
          <w:numId w:val="51"/>
        </w:numPr>
        <w:tabs>
          <w:tab w:val="clear" w:pos="2880"/>
          <w:tab w:val="num" w:pos="1440"/>
        </w:tabs>
        <w:ind w:hanging="2160"/>
      </w:pPr>
      <w:bookmarkStart w:id="44" w:name="_Toc476667885"/>
      <w:r w:rsidRPr="00E57D5F">
        <w:t>Sobre la garantía del plazo razonable</w:t>
      </w:r>
      <w:bookmarkEnd w:id="44"/>
    </w:p>
    <w:p w:rsidR="008D5D00" w:rsidRPr="00E57D5F" w:rsidRDefault="008D5D00" w:rsidP="008D5D00">
      <w:pPr>
        <w:pStyle w:val="Heading3"/>
        <w:ind w:left="2880" w:firstLine="0"/>
        <w:rPr>
          <w:b w:val="0"/>
        </w:rPr>
      </w:pPr>
    </w:p>
    <w:p w:rsidR="008D5D00" w:rsidRPr="00E57D5F" w:rsidRDefault="008D5D00" w:rsidP="008D5D0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E57D5F">
        <w:rPr>
          <w:rFonts w:ascii="Cambria" w:hAnsi="Cambria"/>
          <w:sz w:val="20"/>
          <w:szCs w:val="20"/>
          <w:lang w:val="es-ES"/>
        </w:rPr>
        <w:t>El artículo 8.1 de la Convención Americana establece como uno de los elementos del debido proceso que los tribunales decidan los casos sometidos a su conocimiento en un plazo razonable. En este sentido, una demora prolongada puede llegar a constituir, por sí misma, una violación de las garantías judiciales</w:t>
      </w:r>
      <w:r w:rsidRPr="00E57D5F">
        <w:rPr>
          <w:rStyle w:val="FootnoteReference"/>
          <w:rFonts w:ascii="Cambria" w:hAnsi="Cambria"/>
          <w:sz w:val="20"/>
          <w:szCs w:val="20"/>
          <w:lang w:val="es-ES_tradnl"/>
        </w:rPr>
        <w:footnoteReference w:id="115"/>
      </w:r>
      <w:r w:rsidRPr="00E57D5F">
        <w:rPr>
          <w:rFonts w:ascii="Cambria" w:hAnsi="Cambria"/>
          <w:sz w:val="20"/>
          <w:szCs w:val="20"/>
          <w:lang w:val="es-ES"/>
        </w:rPr>
        <w:t xml:space="preserve">. </w:t>
      </w:r>
    </w:p>
    <w:p w:rsidR="008D5D00" w:rsidRPr="00E57D5F" w:rsidRDefault="008D5D00" w:rsidP="008D5D0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8D5D00" w:rsidRPr="00E57D5F" w:rsidRDefault="008D5D00" w:rsidP="008D5D0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E57D5F">
        <w:rPr>
          <w:rFonts w:ascii="Cambria" w:hAnsi="Cambria"/>
          <w:sz w:val="20"/>
          <w:szCs w:val="20"/>
          <w:lang w:val="es-ES_tradnl"/>
        </w:rPr>
        <w:t xml:space="preserve">En el presente caso, </w:t>
      </w:r>
      <w:r w:rsidR="00180AF9" w:rsidRPr="00E57D5F">
        <w:rPr>
          <w:rFonts w:ascii="Cambria" w:hAnsi="Cambria"/>
          <w:sz w:val="20"/>
          <w:szCs w:val="20"/>
          <w:lang w:val="es-ES_tradnl"/>
        </w:rPr>
        <w:t>la Comisión considera que corresponde tomar en cuenta el tiempo transcurrido desde el inicio del reclamo administrativo hasta la determinación final en el ámbito judicial, tomando en cuenta que los reclamos admini</w:t>
      </w:r>
      <w:r w:rsidR="00902008" w:rsidRPr="00E57D5F">
        <w:rPr>
          <w:rFonts w:ascii="Cambria" w:hAnsi="Cambria"/>
          <w:sz w:val="20"/>
          <w:szCs w:val="20"/>
          <w:lang w:val="es-ES_tradnl"/>
        </w:rPr>
        <w:t xml:space="preserve">strativos son pasos previos para acudir a la vía judicial. En ese sentido, </w:t>
      </w:r>
      <w:r w:rsidR="001D11A4" w:rsidRPr="00E57D5F">
        <w:rPr>
          <w:rFonts w:ascii="Cambria" w:hAnsi="Cambria"/>
          <w:sz w:val="20"/>
          <w:szCs w:val="20"/>
          <w:lang w:val="es-ES_tradnl"/>
        </w:rPr>
        <w:t xml:space="preserve">los procesos administrativos y judiciales </w:t>
      </w:r>
      <w:r w:rsidR="009C6DBD" w:rsidRPr="00E57D5F">
        <w:rPr>
          <w:rFonts w:ascii="Cambria" w:hAnsi="Cambria"/>
          <w:sz w:val="20"/>
          <w:szCs w:val="20"/>
          <w:lang w:val="es-ES_tradnl"/>
        </w:rPr>
        <w:t>seguido</w:t>
      </w:r>
      <w:r w:rsidR="001D11A4" w:rsidRPr="00E57D5F">
        <w:rPr>
          <w:rFonts w:ascii="Cambria" w:hAnsi="Cambria"/>
          <w:sz w:val="20"/>
          <w:szCs w:val="20"/>
          <w:lang w:val="es-ES_tradnl"/>
        </w:rPr>
        <w:t>s</w:t>
      </w:r>
      <w:r w:rsidR="009C6DBD" w:rsidRPr="00E57D5F">
        <w:rPr>
          <w:rFonts w:ascii="Cambria" w:hAnsi="Cambria"/>
          <w:sz w:val="20"/>
          <w:szCs w:val="20"/>
          <w:lang w:val="es-ES_tradnl"/>
        </w:rPr>
        <w:t xml:space="preserve"> por la señora </w:t>
      </w:r>
      <w:proofErr w:type="spellStart"/>
      <w:r w:rsidR="009C6DBD" w:rsidRPr="00E57D5F">
        <w:rPr>
          <w:rFonts w:ascii="Cambria" w:hAnsi="Cambria"/>
          <w:sz w:val="20"/>
          <w:szCs w:val="20"/>
          <w:lang w:val="es-ES_tradnl"/>
        </w:rPr>
        <w:t>Perrone</w:t>
      </w:r>
      <w:proofErr w:type="spellEnd"/>
      <w:r w:rsidR="009C6DBD" w:rsidRPr="00E57D5F">
        <w:rPr>
          <w:rFonts w:ascii="Cambria" w:hAnsi="Cambria"/>
          <w:sz w:val="20"/>
          <w:szCs w:val="20"/>
          <w:lang w:val="es-ES_tradnl"/>
        </w:rPr>
        <w:t xml:space="preserve"> y el señor </w:t>
      </w:r>
      <w:proofErr w:type="spellStart"/>
      <w:r w:rsidR="009C6DBD" w:rsidRPr="00E57D5F">
        <w:rPr>
          <w:rFonts w:ascii="Cambria" w:hAnsi="Cambria"/>
          <w:sz w:val="20"/>
          <w:szCs w:val="20"/>
          <w:lang w:val="es-ES_tradnl"/>
        </w:rPr>
        <w:t>Preckel</w:t>
      </w:r>
      <w:proofErr w:type="spellEnd"/>
      <w:r w:rsidR="009C6DBD" w:rsidRPr="00E57D5F">
        <w:rPr>
          <w:rFonts w:ascii="Cambria" w:hAnsi="Cambria"/>
          <w:sz w:val="20"/>
          <w:szCs w:val="20"/>
          <w:lang w:val="es-ES_tradnl"/>
        </w:rPr>
        <w:t xml:space="preserve"> tuv</w:t>
      </w:r>
      <w:r w:rsidR="001D11A4" w:rsidRPr="00E57D5F">
        <w:rPr>
          <w:rFonts w:ascii="Cambria" w:hAnsi="Cambria"/>
          <w:sz w:val="20"/>
          <w:szCs w:val="20"/>
          <w:lang w:val="es-ES_tradnl"/>
        </w:rPr>
        <w:t>ieron</w:t>
      </w:r>
      <w:r w:rsidR="009C6DBD" w:rsidRPr="00E57D5F">
        <w:rPr>
          <w:rFonts w:ascii="Cambria" w:hAnsi="Cambria"/>
          <w:sz w:val="20"/>
          <w:szCs w:val="20"/>
          <w:lang w:val="es-ES_tradnl"/>
        </w:rPr>
        <w:t xml:space="preserve"> una duración de </w:t>
      </w:r>
      <w:r w:rsidR="00231CEA" w:rsidRPr="00E57D5F">
        <w:rPr>
          <w:rFonts w:ascii="Cambria" w:hAnsi="Cambria"/>
          <w:sz w:val="20"/>
          <w:szCs w:val="20"/>
          <w:lang w:val="es-ES_tradnl"/>
        </w:rPr>
        <w:t>doce</w:t>
      </w:r>
      <w:r w:rsidR="009C6DBD" w:rsidRPr="00E57D5F">
        <w:rPr>
          <w:rFonts w:ascii="Cambria" w:hAnsi="Cambria"/>
          <w:sz w:val="20"/>
          <w:szCs w:val="20"/>
          <w:lang w:val="es-ES_tradnl"/>
        </w:rPr>
        <w:t xml:space="preserve"> años y medio. La CIDH toma nota de que</w:t>
      </w:r>
      <w:r w:rsidRPr="00E57D5F">
        <w:rPr>
          <w:rFonts w:ascii="Cambria" w:hAnsi="Cambria"/>
          <w:sz w:val="20"/>
          <w:szCs w:val="20"/>
          <w:lang w:val="es-ES_tradnl"/>
        </w:rPr>
        <w:t xml:space="preserve"> el Estado no presentó justificación alguna sobre dicha demora. Según los términos del artículo 8.1 de la Convención Americana, la Comisión tomará en consideración, a la luz de las circunstancias concretas del caso y tomando en cuenta la falta de justificación referida, los siguientes cuatro elementos para analizar la razonabilidad del plazo, a saber</w:t>
      </w:r>
      <w:r w:rsidRPr="00E57D5F">
        <w:rPr>
          <w:rFonts w:ascii="Cambria" w:hAnsi="Cambria"/>
          <w:sz w:val="20"/>
          <w:szCs w:val="20"/>
          <w:lang w:val="es-ES"/>
        </w:rPr>
        <w:t xml:space="preserve">: i) la complejidad </w:t>
      </w:r>
      <w:r w:rsidRPr="00E57D5F">
        <w:rPr>
          <w:rFonts w:ascii="Cambria" w:hAnsi="Cambria"/>
          <w:sz w:val="20"/>
          <w:szCs w:val="20"/>
          <w:lang w:val="es-ES"/>
        </w:rPr>
        <w:lastRenderedPageBreak/>
        <w:t>del asunto; ii) la actividad procesal del interesado; iii) la conducta de las autoridades judiciales;</w:t>
      </w:r>
      <w:r w:rsidRPr="00E57D5F">
        <w:rPr>
          <w:rFonts w:ascii="Cambria" w:hAnsi="Cambria"/>
          <w:sz w:val="20"/>
          <w:szCs w:val="20"/>
          <w:lang w:val="es-ES_tradnl"/>
        </w:rPr>
        <w:t xml:space="preserve"> y iv) afectación generada en la situación jurídica de la persona involucrada en el proceso</w:t>
      </w:r>
      <w:r w:rsidRPr="00E57D5F">
        <w:rPr>
          <w:rStyle w:val="FootnoteReference"/>
          <w:rFonts w:ascii="Cambria" w:hAnsi="Cambria"/>
          <w:sz w:val="20"/>
          <w:szCs w:val="20"/>
          <w:lang w:val="es-ES_tradnl"/>
        </w:rPr>
        <w:footnoteReference w:id="116"/>
      </w:r>
      <w:r w:rsidRPr="00E57D5F">
        <w:rPr>
          <w:rFonts w:ascii="Cambria" w:hAnsi="Cambria"/>
          <w:sz w:val="20"/>
          <w:szCs w:val="20"/>
          <w:lang w:val="es-ES"/>
        </w:rPr>
        <w:t>.</w:t>
      </w:r>
    </w:p>
    <w:p w:rsidR="008D5D00" w:rsidRPr="00E57D5F" w:rsidRDefault="008D5D00" w:rsidP="008D5D00">
      <w:pPr>
        <w:pStyle w:val="ListParagraph"/>
        <w:rPr>
          <w:rFonts w:ascii="Cambria" w:hAnsi="Cambria"/>
          <w:sz w:val="20"/>
          <w:szCs w:val="20"/>
          <w:lang w:val="es-ES"/>
        </w:rPr>
      </w:pPr>
    </w:p>
    <w:p w:rsidR="00231CEA" w:rsidRPr="00E57D5F" w:rsidRDefault="008D5D00" w:rsidP="008D5D0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E57D5F">
        <w:rPr>
          <w:rFonts w:ascii="Cambria" w:hAnsi="Cambria" w:cs="Univers"/>
          <w:sz w:val="20"/>
          <w:szCs w:val="20"/>
          <w:lang w:val="es-ES" w:eastAsia="es-ES_tradnl"/>
        </w:rPr>
        <w:t xml:space="preserve">En relación a la complejidad, la CIDH toma nota de que el asunto no resultaba complejo. La Comisión resalta que tanto los peticionarios como el Estado reconocieron que en ambos procesos no se realizaron mayores diligencias en tanto la controversia era esencialmente de derecho y se basaba en si resultaba legal el pago de haberes no recibidos a </w:t>
      </w:r>
      <w:r w:rsidRPr="00E57D5F">
        <w:rPr>
          <w:rFonts w:ascii="Cambria" w:hAnsi="Cambria"/>
          <w:sz w:val="20"/>
          <w:szCs w:val="20"/>
          <w:lang w:val="es-ES_tradnl"/>
        </w:rPr>
        <w:t xml:space="preserve">la señora </w:t>
      </w:r>
      <w:proofErr w:type="spellStart"/>
      <w:r w:rsidRPr="00E57D5F">
        <w:rPr>
          <w:rFonts w:ascii="Cambria" w:hAnsi="Cambria"/>
          <w:sz w:val="20"/>
          <w:szCs w:val="20"/>
          <w:lang w:val="es-ES_tradnl"/>
        </w:rPr>
        <w:t>Perrone</w:t>
      </w:r>
      <w:proofErr w:type="spellEnd"/>
      <w:r w:rsidRPr="00E57D5F">
        <w:rPr>
          <w:rFonts w:ascii="Cambria" w:hAnsi="Cambria"/>
          <w:sz w:val="20"/>
          <w:szCs w:val="20"/>
          <w:lang w:val="es-ES_tradnl"/>
        </w:rPr>
        <w:t xml:space="preserve"> y al señor </w:t>
      </w:r>
      <w:proofErr w:type="spellStart"/>
      <w:r w:rsidRPr="00E57D5F">
        <w:rPr>
          <w:rFonts w:ascii="Cambria" w:hAnsi="Cambria"/>
          <w:sz w:val="20"/>
          <w:szCs w:val="20"/>
          <w:lang w:val="es-ES_tradnl"/>
        </w:rPr>
        <w:t>Preckel</w:t>
      </w:r>
      <w:proofErr w:type="spellEnd"/>
      <w:r w:rsidRPr="00E57D5F">
        <w:rPr>
          <w:rFonts w:ascii="Cambria" w:hAnsi="Cambria"/>
          <w:sz w:val="20"/>
          <w:szCs w:val="20"/>
          <w:lang w:val="es-ES_tradnl"/>
        </w:rPr>
        <w:t xml:space="preserve">. </w:t>
      </w:r>
    </w:p>
    <w:p w:rsidR="00231CEA" w:rsidRPr="00E57D5F" w:rsidRDefault="00231CEA" w:rsidP="00231CEA">
      <w:pPr>
        <w:pStyle w:val="ListParagraph"/>
        <w:rPr>
          <w:rFonts w:ascii="Cambria" w:hAnsi="Cambria"/>
          <w:sz w:val="20"/>
          <w:szCs w:val="20"/>
          <w:lang w:val="es-ES"/>
        </w:rPr>
      </w:pPr>
    </w:p>
    <w:p w:rsidR="00231CEA" w:rsidRPr="00E57D5F" w:rsidRDefault="008D5D00" w:rsidP="008D5D0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E57D5F">
        <w:rPr>
          <w:rFonts w:ascii="Cambria" w:hAnsi="Cambria"/>
          <w:sz w:val="20"/>
          <w:szCs w:val="20"/>
          <w:lang w:val="es-ES"/>
        </w:rPr>
        <w:t xml:space="preserve">En cuanto a la participación de las personas interesadas, la Comisión observa que </w:t>
      </w:r>
      <w:r w:rsidRPr="00E57D5F">
        <w:rPr>
          <w:rFonts w:ascii="Cambria" w:hAnsi="Cambria"/>
          <w:sz w:val="20"/>
          <w:szCs w:val="20"/>
          <w:lang w:val="es-ES_tradnl"/>
        </w:rPr>
        <w:t xml:space="preserve">tanto la señora </w:t>
      </w:r>
      <w:proofErr w:type="spellStart"/>
      <w:r w:rsidRPr="00E57D5F">
        <w:rPr>
          <w:rFonts w:ascii="Cambria" w:hAnsi="Cambria"/>
          <w:sz w:val="20"/>
          <w:szCs w:val="20"/>
          <w:lang w:val="es-ES_tradnl"/>
        </w:rPr>
        <w:t>Perrone</w:t>
      </w:r>
      <w:proofErr w:type="spellEnd"/>
      <w:r w:rsidRPr="00E57D5F">
        <w:rPr>
          <w:rFonts w:ascii="Cambria" w:hAnsi="Cambria"/>
          <w:sz w:val="20"/>
          <w:szCs w:val="20"/>
          <w:lang w:val="es-ES_tradnl"/>
        </w:rPr>
        <w:t xml:space="preserve"> y el señor </w:t>
      </w:r>
      <w:proofErr w:type="spellStart"/>
      <w:r w:rsidRPr="00E57D5F">
        <w:rPr>
          <w:rFonts w:ascii="Cambria" w:hAnsi="Cambria"/>
          <w:sz w:val="20"/>
          <w:szCs w:val="20"/>
          <w:lang w:val="es-ES_tradnl"/>
        </w:rPr>
        <w:t>Preckel</w:t>
      </w:r>
      <w:proofErr w:type="spellEnd"/>
      <w:r w:rsidRPr="00E57D5F">
        <w:rPr>
          <w:rFonts w:ascii="Cambria" w:hAnsi="Cambria"/>
          <w:sz w:val="20"/>
          <w:szCs w:val="20"/>
          <w:lang w:val="es-ES_tradnl"/>
        </w:rPr>
        <w:t xml:space="preserve"> dieron seguimiento e impulso a </w:t>
      </w:r>
      <w:r w:rsidR="00231CEA" w:rsidRPr="00E57D5F">
        <w:rPr>
          <w:rFonts w:ascii="Cambria" w:hAnsi="Cambria"/>
          <w:sz w:val="20"/>
          <w:szCs w:val="20"/>
          <w:lang w:val="es-ES_tradnl"/>
        </w:rPr>
        <w:t>sus procesos. En base a la documentación presentada por las partes no</w:t>
      </w:r>
      <w:r w:rsidRPr="00E57D5F">
        <w:rPr>
          <w:rFonts w:ascii="Cambria" w:hAnsi="Cambria"/>
          <w:sz w:val="20"/>
          <w:szCs w:val="20"/>
          <w:lang w:val="es-ES_tradnl"/>
        </w:rPr>
        <w:t xml:space="preserve"> </w:t>
      </w:r>
      <w:r w:rsidR="00231CEA" w:rsidRPr="00E57D5F">
        <w:rPr>
          <w:rFonts w:ascii="Cambria" w:hAnsi="Cambria"/>
          <w:sz w:val="20"/>
          <w:szCs w:val="20"/>
          <w:lang w:val="es-ES_tradnl"/>
        </w:rPr>
        <w:t>se desprende</w:t>
      </w:r>
      <w:r w:rsidRPr="00E57D5F">
        <w:rPr>
          <w:rFonts w:ascii="Cambria" w:hAnsi="Cambria"/>
          <w:sz w:val="20"/>
          <w:szCs w:val="20"/>
          <w:lang w:val="es-ES_tradnl"/>
        </w:rPr>
        <w:t xml:space="preserve"> que su actividad </w:t>
      </w:r>
      <w:r w:rsidR="00231CEA" w:rsidRPr="00E57D5F">
        <w:rPr>
          <w:rFonts w:ascii="Cambria" w:hAnsi="Cambria"/>
          <w:sz w:val="20"/>
          <w:szCs w:val="20"/>
          <w:lang w:val="es-ES_tradnl"/>
        </w:rPr>
        <w:t>haya constituido</w:t>
      </w:r>
      <w:r w:rsidRPr="00E57D5F">
        <w:rPr>
          <w:rFonts w:ascii="Cambria" w:hAnsi="Cambria"/>
          <w:sz w:val="20"/>
          <w:szCs w:val="20"/>
          <w:lang w:val="es-ES_tradnl"/>
        </w:rPr>
        <w:t xml:space="preserve"> alguna forma de obstrucción o dilación indebida.  </w:t>
      </w:r>
    </w:p>
    <w:p w:rsidR="00231CEA" w:rsidRPr="00E57D5F" w:rsidRDefault="00231CEA" w:rsidP="00231CEA">
      <w:pPr>
        <w:pStyle w:val="ListParagraph"/>
        <w:rPr>
          <w:rFonts w:ascii="Cambria" w:hAnsi="Cambria"/>
          <w:sz w:val="20"/>
          <w:szCs w:val="20"/>
          <w:lang w:val="es-ES_tradnl"/>
        </w:rPr>
      </w:pPr>
    </w:p>
    <w:p w:rsidR="00231CEA" w:rsidRPr="00E57D5F" w:rsidRDefault="008D5D00" w:rsidP="008D5D0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E57D5F">
        <w:rPr>
          <w:rFonts w:ascii="Cambria" w:hAnsi="Cambria"/>
          <w:sz w:val="20"/>
          <w:szCs w:val="20"/>
          <w:lang w:val="es-ES_tradnl"/>
        </w:rPr>
        <w:t xml:space="preserve">En relación con la </w:t>
      </w:r>
      <w:r w:rsidRPr="00E57D5F">
        <w:rPr>
          <w:rFonts w:ascii="Cambria" w:hAnsi="Cambria"/>
          <w:sz w:val="20"/>
          <w:szCs w:val="20"/>
          <w:lang w:val="es-ES"/>
        </w:rPr>
        <w:t xml:space="preserve">conducta de las autoridades judiciales, la CIDH toma nota del transcurso de tiempo prolongado entre las diversas instancias que conocieron las denuncias presentadas sin que del expediente surja información alguna para justificar dichos lapsos. </w:t>
      </w:r>
      <w:r w:rsidR="00231CEA" w:rsidRPr="00E57D5F">
        <w:rPr>
          <w:rFonts w:ascii="Cambria" w:hAnsi="Cambria"/>
          <w:sz w:val="20"/>
          <w:szCs w:val="20"/>
          <w:lang w:val="es-ES"/>
        </w:rPr>
        <w:t xml:space="preserve">En el ámbito administrativo, la Comisión observa los distintos niveles de consulta de diversas instancias respecto de la solicitud de Elba Clotilde </w:t>
      </w:r>
      <w:proofErr w:type="spellStart"/>
      <w:r w:rsidR="00231CEA" w:rsidRPr="00E57D5F">
        <w:rPr>
          <w:rFonts w:ascii="Cambria" w:hAnsi="Cambria"/>
          <w:sz w:val="20"/>
          <w:szCs w:val="20"/>
          <w:lang w:val="es-ES"/>
        </w:rPr>
        <w:t>Perrone</w:t>
      </w:r>
      <w:proofErr w:type="spellEnd"/>
      <w:r w:rsidR="00231CEA" w:rsidRPr="00E57D5F">
        <w:rPr>
          <w:rFonts w:ascii="Cambria" w:hAnsi="Cambria"/>
          <w:sz w:val="20"/>
          <w:szCs w:val="20"/>
          <w:lang w:val="es-ES"/>
        </w:rPr>
        <w:t xml:space="preserve"> y Juan José </w:t>
      </w:r>
      <w:proofErr w:type="spellStart"/>
      <w:r w:rsidR="00231CEA" w:rsidRPr="00E57D5F">
        <w:rPr>
          <w:rFonts w:ascii="Cambria" w:hAnsi="Cambria"/>
          <w:sz w:val="20"/>
          <w:szCs w:val="20"/>
          <w:lang w:val="es-ES"/>
        </w:rPr>
        <w:t>Preckel</w:t>
      </w:r>
      <w:proofErr w:type="spellEnd"/>
      <w:r w:rsidR="00231CEA" w:rsidRPr="00E57D5F">
        <w:rPr>
          <w:rFonts w:ascii="Cambria" w:hAnsi="Cambria"/>
          <w:sz w:val="20"/>
          <w:szCs w:val="20"/>
          <w:lang w:val="es-ES"/>
        </w:rPr>
        <w:t>. Al respecto, la CIDH nota que dichas instancias demoraron en algunos casos más de un año para emitir un dictamen sobre la controversia, sin que dicha</w:t>
      </w:r>
      <w:r w:rsidR="001D11A4" w:rsidRPr="00E57D5F">
        <w:rPr>
          <w:rFonts w:ascii="Cambria" w:hAnsi="Cambria"/>
          <w:sz w:val="20"/>
          <w:szCs w:val="20"/>
          <w:lang w:val="es-ES"/>
        </w:rPr>
        <w:t xml:space="preserve">s </w:t>
      </w:r>
      <w:r w:rsidR="00231CEA" w:rsidRPr="00E57D5F">
        <w:rPr>
          <w:rFonts w:ascii="Cambria" w:hAnsi="Cambria"/>
          <w:sz w:val="20"/>
          <w:szCs w:val="20"/>
          <w:lang w:val="es-ES"/>
        </w:rPr>
        <w:t>demora</w:t>
      </w:r>
      <w:r w:rsidR="001D11A4" w:rsidRPr="00E57D5F">
        <w:rPr>
          <w:rFonts w:ascii="Cambria" w:hAnsi="Cambria"/>
          <w:sz w:val="20"/>
          <w:szCs w:val="20"/>
          <w:lang w:val="es-ES"/>
        </w:rPr>
        <w:t>s hubieran sido justificadas</w:t>
      </w:r>
      <w:r w:rsidR="00231CEA" w:rsidRPr="00E57D5F">
        <w:rPr>
          <w:rFonts w:ascii="Cambria" w:hAnsi="Cambria"/>
          <w:sz w:val="20"/>
          <w:szCs w:val="20"/>
          <w:lang w:val="es-ES"/>
        </w:rPr>
        <w:t xml:space="preserve">. En el ámbito judicial, la Comisión también nota, </w:t>
      </w:r>
      <w:r w:rsidR="00180AF9" w:rsidRPr="00E57D5F">
        <w:rPr>
          <w:rFonts w:ascii="Cambria" w:hAnsi="Cambria"/>
          <w:sz w:val="20"/>
          <w:szCs w:val="20"/>
          <w:lang w:val="es-ES"/>
        </w:rPr>
        <w:t>con</w:t>
      </w:r>
      <w:r w:rsidR="00231CEA" w:rsidRPr="00E57D5F">
        <w:rPr>
          <w:rFonts w:ascii="Cambria" w:hAnsi="Cambria"/>
          <w:sz w:val="20"/>
          <w:szCs w:val="20"/>
          <w:lang w:val="es-ES"/>
        </w:rPr>
        <w:t xml:space="preserve"> base</w:t>
      </w:r>
      <w:r w:rsidR="00180AF9" w:rsidRPr="00E57D5F">
        <w:rPr>
          <w:rFonts w:ascii="Cambria" w:hAnsi="Cambria"/>
          <w:sz w:val="20"/>
          <w:szCs w:val="20"/>
          <w:lang w:val="es-ES"/>
        </w:rPr>
        <w:t xml:space="preserve"> en</w:t>
      </w:r>
      <w:r w:rsidR="00231CEA" w:rsidRPr="00E57D5F">
        <w:rPr>
          <w:rFonts w:ascii="Cambria" w:hAnsi="Cambria"/>
          <w:sz w:val="20"/>
          <w:szCs w:val="20"/>
          <w:lang w:val="es-ES"/>
        </w:rPr>
        <w:t xml:space="preserve"> la documentación aportada por las partes, que no se realizaron mayores diligencias</w:t>
      </w:r>
      <w:r w:rsidR="00BC3815" w:rsidRPr="00E57D5F">
        <w:rPr>
          <w:rFonts w:ascii="Cambria" w:hAnsi="Cambria"/>
          <w:sz w:val="20"/>
          <w:szCs w:val="20"/>
          <w:lang w:val="es-ES"/>
        </w:rPr>
        <w:t xml:space="preserve"> en las diversas instancias en que transcurrieron los procesos. La CIDH observa que el Estado </w:t>
      </w:r>
      <w:r w:rsidR="00180AF9" w:rsidRPr="00E57D5F">
        <w:rPr>
          <w:rFonts w:ascii="Cambria" w:hAnsi="Cambria"/>
          <w:sz w:val="20"/>
          <w:szCs w:val="20"/>
          <w:lang w:val="es-ES"/>
        </w:rPr>
        <w:t xml:space="preserve">tampoco </w:t>
      </w:r>
      <w:r w:rsidR="00BC3815" w:rsidRPr="00E57D5F">
        <w:rPr>
          <w:rFonts w:ascii="Cambria" w:hAnsi="Cambria"/>
          <w:sz w:val="20"/>
          <w:szCs w:val="20"/>
          <w:lang w:val="es-ES"/>
        </w:rPr>
        <w:t>justificó las demoras en el trámite y resolución de dichos procesos.</w:t>
      </w:r>
    </w:p>
    <w:p w:rsidR="00231CEA" w:rsidRPr="00E57D5F" w:rsidRDefault="00231CEA" w:rsidP="00231CEA">
      <w:pPr>
        <w:pStyle w:val="ListParagraph"/>
        <w:rPr>
          <w:rFonts w:ascii="Cambria" w:hAnsi="Cambria"/>
          <w:sz w:val="20"/>
          <w:szCs w:val="20"/>
          <w:lang w:val="es-ES"/>
        </w:rPr>
      </w:pPr>
    </w:p>
    <w:p w:rsidR="008D5D00" w:rsidRPr="00E57D5F" w:rsidRDefault="008D5D00" w:rsidP="008D5D0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E57D5F">
        <w:rPr>
          <w:rFonts w:ascii="Cambria" w:hAnsi="Cambria"/>
          <w:sz w:val="20"/>
          <w:szCs w:val="20"/>
          <w:lang w:val="es-ES"/>
        </w:rPr>
        <w:t>La Comisión considera que en el presente caso no es necesario pronunciarse sobre el cuarto elemento.</w:t>
      </w:r>
    </w:p>
    <w:p w:rsidR="008D5D00" w:rsidRPr="00E57D5F" w:rsidRDefault="008D5D00" w:rsidP="008D5D00">
      <w:pPr>
        <w:pStyle w:val="ListParagraph"/>
        <w:rPr>
          <w:rFonts w:ascii="Cambria" w:hAnsi="Cambria"/>
          <w:sz w:val="20"/>
          <w:szCs w:val="20"/>
          <w:lang w:val="es-ES"/>
        </w:rPr>
      </w:pPr>
    </w:p>
    <w:p w:rsidR="008D5D00" w:rsidRPr="00E57D5F" w:rsidRDefault="008D5D00"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rPr>
        <w:t>En</w:t>
      </w:r>
      <w:r w:rsidRPr="00E57D5F">
        <w:rPr>
          <w:rFonts w:ascii="Cambria" w:hAnsi="Cambria"/>
          <w:sz w:val="20"/>
          <w:szCs w:val="20"/>
          <w:lang w:val="es-ES"/>
        </w:rPr>
        <w:t xml:space="preserve"> suma, </w:t>
      </w:r>
      <w:r w:rsidRPr="00E57D5F">
        <w:rPr>
          <w:rFonts w:ascii="Cambria" w:hAnsi="Cambria"/>
          <w:sz w:val="20"/>
          <w:szCs w:val="20"/>
        </w:rPr>
        <w:t>la Comisión considera que tomando en cuenta las características del asunto y la ausencia de justificación por parte del Estado, el lapso de</w:t>
      </w:r>
      <w:r w:rsidR="009C6DBD" w:rsidRPr="00E57D5F">
        <w:rPr>
          <w:rFonts w:ascii="Cambria" w:hAnsi="Cambria"/>
          <w:sz w:val="20"/>
          <w:szCs w:val="20"/>
        </w:rPr>
        <w:t xml:space="preserve"> </w:t>
      </w:r>
      <w:r w:rsidR="00282FA6" w:rsidRPr="00E57D5F">
        <w:rPr>
          <w:rFonts w:ascii="Cambria" w:hAnsi="Cambria"/>
          <w:sz w:val="20"/>
          <w:szCs w:val="20"/>
        </w:rPr>
        <w:t>más de doce</w:t>
      </w:r>
      <w:r w:rsidRPr="00E57D5F">
        <w:rPr>
          <w:rFonts w:ascii="Cambria" w:hAnsi="Cambria"/>
          <w:sz w:val="20"/>
          <w:szCs w:val="20"/>
        </w:rPr>
        <w:t xml:space="preserve"> años de duración de los</w:t>
      </w:r>
      <w:r w:rsidR="00180AF9" w:rsidRPr="00E57D5F">
        <w:rPr>
          <w:rFonts w:ascii="Cambria" w:hAnsi="Cambria"/>
          <w:sz w:val="20"/>
          <w:szCs w:val="20"/>
        </w:rPr>
        <w:t xml:space="preserve"> procesos administrativos y judiciales </w:t>
      </w:r>
      <w:r w:rsidRPr="00E57D5F">
        <w:rPr>
          <w:rFonts w:ascii="Cambria" w:hAnsi="Cambria"/>
          <w:sz w:val="20"/>
          <w:szCs w:val="20"/>
        </w:rPr>
        <w:t xml:space="preserve">sobrepasó un plazo que pueda considerarse razonable. En consecuencia, la CIDH concluye que el Estado argentino es responsable por la violación de la garantía de plazo razonable establecido en el artículo 8.1 de la Convención Americana en relación con las obligaciones establecidas en el artículo 1.1 del mismo instrumento en perjuicio de Elba Clotilde </w:t>
      </w:r>
      <w:proofErr w:type="spellStart"/>
      <w:r w:rsidRPr="00E57D5F">
        <w:rPr>
          <w:rFonts w:ascii="Cambria" w:hAnsi="Cambria"/>
          <w:sz w:val="20"/>
          <w:szCs w:val="20"/>
        </w:rPr>
        <w:t>Perrone</w:t>
      </w:r>
      <w:proofErr w:type="spellEnd"/>
      <w:r w:rsidRPr="00E57D5F">
        <w:rPr>
          <w:rFonts w:ascii="Cambria" w:hAnsi="Cambria"/>
          <w:sz w:val="20"/>
          <w:szCs w:val="20"/>
        </w:rPr>
        <w:t xml:space="preserve"> y Juan José </w:t>
      </w:r>
      <w:proofErr w:type="spellStart"/>
      <w:r w:rsidRPr="00E57D5F">
        <w:rPr>
          <w:rFonts w:ascii="Cambria" w:hAnsi="Cambria"/>
          <w:sz w:val="20"/>
          <w:szCs w:val="20"/>
        </w:rPr>
        <w:t>Preckel</w:t>
      </w:r>
      <w:proofErr w:type="spellEnd"/>
      <w:r w:rsidR="00E57D5F">
        <w:rPr>
          <w:rFonts w:ascii="Cambria" w:hAnsi="Cambria"/>
          <w:sz w:val="20"/>
          <w:szCs w:val="20"/>
        </w:rPr>
        <w:t>. A</w:t>
      </w:r>
      <w:r w:rsidRPr="00E57D5F">
        <w:rPr>
          <w:rFonts w:ascii="Cambria" w:hAnsi="Cambria"/>
          <w:sz w:val="20"/>
          <w:szCs w:val="20"/>
          <w:lang w:val="es-ES"/>
        </w:rPr>
        <w:t xml:space="preserve">l haberse violado esta garantía del debido proceso en la decisión de los recursos internos, la Comisión concluye que los mismos también implicaron una violación del derecho a la protección judicial, establecido en el artículo 25.1 de la Convención, en relación con el artículo 1.1 del mismo instrumento. </w:t>
      </w:r>
    </w:p>
    <w:p w:rsidR="008D5D00" w:rsidRPr="00E57D5F" w:rsidRDefault="008D5D00" w:rsidP="008D5D00">
      <w:pPr>
        <w:rPr>
          <w:rFonts w:ascii="Cambria" w:hAnsi="Cambria"/>
          <w:sz w:val="20"/>
          <w:szCs w:val="20"/>
          <w:lang w:val="es-ES_tradnl"/>
        </w:rPr>
      </w:pPr>
    </w:p>
    <w:p w:rsidR="007A61F8" w:rsidRPr="00E57D5F" w:rsidRDefault="008D5D00" w:rsidP="008D5D00">
      <w:pPr>
        <w:pStyle w:val="Heading3"/>
        <w:ind w:left="1440" w:hanging="720"/>
      </w:pPr>
      <w:bookmarkStart w:id="45" w:name="_Toc476667886"/>
      <w:r w:rsidRPr="00E57D5F">
        <w:t xml:space="preserve">2. </w:t>
      </w:r>
      <w:r w:rsidRPr="00E57D5F">
        <w:tab/>
      </w:r>
      <w:r w:rsidR="007A61F8" w:rsidRPr="00E57D5F">
        <w:t>Sobre el deber de motivación como garantía del debido proceso</w:t>
      </w:r>
      <w:bookmarkEnd w:id="45"/>
    </w:p>
    <w:p w:rsidR="007A61F8" w:rsidRPr="00E57D5F" w:rsidRDefault="007A61F8" w:rsidP="007A61F8">
      <w:pPr>
        <w:jc w:val="both"/>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rPr>
        <w:t>Tanto la Comisión como la Corte Interamericana han señalado reiteradamente que, en general, las garantías establecidas en el artículo 8 de la Convención Americana, no se limitan a procesos penales, sino que aplican a procesos de otra naturaleza</w:t>
      </w:r>
      <w:r w:rsidRPr="00E57D5F">
        <w:rPr>
          <w:rStyle w:val="FootnoteReference"/>
          <w:rFonts w:ascii="Cambria" w:hAnsi="Cambria"/>
          <w:sz w:val="20"/>
          <w:szCs w:val="20"/>
          <w:lang w:val="es-ES"/>
        </w:rPr>
        <w:footnoteReference w:id="117"/>
      </w:r>
      <w:r w:rsidRPr="00E57D5F">
        <w:rPr>
          <w:rFonts w:ascii="Cambria" w:hAnsi="Cambria"/>
          <w:sz w:val="20"/>
          <w:szCs w:val="20"/>
        </w:rPr>
        <w:t>. Específicamente, en cuanto a procesos en los cuales se ventilen derechos o intereses, resultan aplicables las “debidas garantías” establecidas en el artículo 8.1 de la Convención Americana, incluyendo el derecho a una motivación suficiente</w:t>
      </w:r>
      <w:r w:rsidRPr="00E57D5F">
        <w:rPr>
          <w:rStyle w:val="FootnoteReference"/>
          <w:rFonts w:ascii="Cambria" w:hAnsi="Cambria"/>
          <w:sz w:val="20"/>
          <w:szCs w:val="20"/>
          <w:lang w:val="es-ES"/>
        </w:rPr>
        <w:footnoteReference w:id="118"/>
      </w:r>
      <w:r w:rsidRPr="00E57D5F">
        <w:rPr>
          <w:rFonts w:ascii="Cambria" w:hAnsi="Cambria"/>
          <w:sz w:val="20"/>
          <w:szCs w:val="20"/>
        </w:rPr>
        <w:t xml:space="preserve">. </w:t>
      </w:r>
    </w:p>
    <w:p w:rsidR="007A61F8" w:rsidRPr="00E57D5F" w:rsidRDefault="007A61F8" w:rsidP="008F1889">
      <w:pPr>
        <w:ind w:firstLine="720"/>
        <w:jc w:val="both"/>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AR"/>
        </w:rPr>
        <w:lastRenderedPageBreak/>
        <w:t>La Corte Interamericana ha establecido que el deber de motivación es una de las “debidas garantías” incluidas en el artículo 8.1 para salvaguardar el derecho a un debido proceso</w:t>
      </w:r>
      <w:r w:rsidRPr="00E57D5F">
        <w:rPr>
          <w:rStyle w:val="FootnoteReference"/>
          <w:rFonts w:ascii="Cambria" w:hAnsi="Cambria"/>
          <w:sz w:val="20"/>
          <w:szCs w:val="20"/>
          <w:lang w:val="es-AR"/>
        </w:rPr>
        <w:footnoteReference w:id="119"/>
      </w:r>
      <w:r w:rsidRPr="00E57D5F">
        <w:rPr>
          <w:rFonts w:ascii="Cambria" w:hAnsi="Cambria"/>
          <w:sz w:val="20"/>
          <w:szCs w:val="20"/>
          <w:lang w:val="es-AR"/>
        </w:rPr>
        <w:t xml:space="preserve">. Al respecto, dicho Tribunal ha precisado que la motivación “es la exteriorización de la justificación razonada que permite llegar a una </w:t>
      </w:r>
      <w:r w:rsidRPr="00E57D5F">
        <w:rPr>
          <w:rFonts w:ascii="Cambria" w:hAnsi="Cambria"/>
          <w:sz w:val="20"/>
          <w:szCs w:val="20"/>
          <w:lang w:val="es-ES"/>
        </w:rPr>
        <w:t>conclusión</w:t>
      </w:r>
      <w:r w:rsidRPr="00E57D5F">
        <w:rPr>
          <w:rFonts w:ascii="Cambria" w:hAnsi="Cambria"/>
          <w:sz w:val="20"/>
          <w:szCs w:val="20"/>
          <w:lang w:val="es-AR"/>
        </w:rPr>
        <w:t>”</w:t>
      </w:r>
      <w:r w:rsidRPr="00E57D5F">
        <w:rPr>
          <w:rStyle w:val="FootnoteReference"/>
          <w:rFonts w:ascii="Cambria" w:hAnsi="Cambria"/>
          <w:sz w:val="20"/>
          <w:szCs w:val="20"/>
        </w:rPr>
        <w:footnoteReference w:id="120"/>
      </w:r>
      <w:r w:rsidRPr="00E57D5F">
        <w:rPr>
          <w:rFonts w:ascii="Cambria" w:hAnsi="Cambria"/>
          <w:sz w:val="20"/>
          <w:szCs w:val="20"/>
          <w:lang w:val="es-AR"/>
        </w:rPr>
        <w:t>. El deber de motivar las resoluciones es una garantía vinculada con la correcta administración de justicia, que protege el derecho de los ciudadanos a ser juzgados por las razones que el Derecho suministra, y otorga credibilidad a las decisiones jurídicas en el marco de una sociedad democrática</w:t>
      </w:r>
      <w:r w:rsidRPr="00E57D5F">
        <w:rPr>
          <w:rStyle w:val="FootnoteReference"/>
          <w:rFonts w:ascii="Cambria" w:hAnsi="Cambria"/>
          <w:sz w:val="20"/>
          <w:szCs w:val="20"/>
          <w:lang w:val="es-AR"/>
        </w:rPr>
        <w:footnoteReference w:id="121"/>
      </w:r>
      <w:r w:rsidRPr="00E57D5F">
        <w:rPr>
          <w:rFonts w:ascii="Cambria" w:hAnsi="Cambria"/>
          <w:sz w:val="20"/>
          <w:szCs w:val="20"/>
          <w:lang w:val="es-AR"/>
        </w:rPr>
        <w:t>.</w:t>
      </w:r>
      <w:r w:rsidRPr="00E57D5F">
        <w:rPr>
          <w:rFonts w:ascii="Cambria" w:hAnsi="Cambria" w:cs="Arial"/>
          <w:sz w:val="20"/>
          <w:szCs w:val="20"/>
          <w:lang w:val="es-CO"/>
        </w:rPr>
        <w:t xml:space="preserve"> Por tanto, </w:t>
      </w:r>
      <w:r w:rsidRPr="00E57D5F">
        <w:rPr>
          <w:rFonts w:ascii="Cambria" w:hAnsi="Cambria"/>
          <w:sz w:val="20"/>
          <w:szCs w:val="20"/>
          <w:lang w:val="es-AR"/>
        </w:rPr>
        <w:t>las decisiones que adopten los órganos internos que puedan afectar derechos humanos deben estar debidamente fundamentadas, pues de lo contrario serían decisiones arbitrarias</w:t>
      </w:r>
      <w:r w:rsidRPr="00E57D5F">
        <w:rPr>
          <w:rStyle w:val="FootnoteReference"/>
          <w:rFonts w:ascii="Cambria" w:hAnsi="Cambria"/>
          <w:bCs/>
          <w:iCs/>
          <w:sz w:val="20"/>
          <w:szCs w:val="20"/>
        </w:rPr>
        <w:footnoteReference w:id="122"/>
      </w:r>
      <w:r w:rsidRPr="00E57D5F">
        <w:rPr>
          <w:rFonts w:ascii="Cambria" w:hAnsi="Cambria"/>
          <w:sz w:val="20"/>
          <w:szCs w:val="20"/>
          <w:lang w:val="es-AR"/>
        </w:rPr>
        <w:t>. En este sentido, la argumentación de un fallo y de ciertos actos administrativos deben permitir conocer cuáles fueron los hechos, motivos y normas en que se basó la autoridad para tomar su decisión, a fin de descartar cualquier indicio de arbitrariedad</w:t>
      </w:r>
      <w:r w:rsidRPr="00E57D5F">
        <w:rPr>
          <w:rStyle w:val="FootnoteReference"/>
          <w:rFonts w:ascii="Cambria" w:hAnsi="Cambria"/>
          <w:sz w:val="20"/>
          <w:szCs w:val="20"/>
          <w:lang w:val="es-AR"/>
        </w:rPr>
        <w:footnoteReference w:id="123"/>
      </w:r>
      <w:r w:rsidRPr="00E57D5F">
        <w:rPr>
          <w:rFonts w:ascii="Cambria" w:hAnsi="Cambria"/>
          <w:sz w:val="20"/>
          <w:szCs w:val="20"/>
          <w:lang w:val="es-AR"/>
        </w:rPr>
        <w:t>. Asimismo, la motivación demuestra a las partes que éstas han sido oídas y, en aquellos casos en que las decisiones son recurribles, les proporciona la posibilidad de criticar la resolución y lograr un nuevo examen de la cuestión ante las instancias superiores</w:t>
      </w:r>
      <w:r w:rsidRPr="00E57D5F">
        <w:rPr>
          <w:rStyle w:val="FootnoteReference"/>
          <w:rFonts w:ascii="Cambria" w:hAnsi="Cambria"/>
          <w:sz w:val="20"/>
          <w:szCs w:val="20"/>
        </w:rPr>
        <w:footnoteReference w:id="124"/>
      </w:r>
      <w:r w:rsidRPr="00E57D5F">
        <w:rPr>
          <w:rFonts w:ascii="Cambria" w:hAnsi="Cambria"/>
          <w:sz w:val="20"/>
          <w:szCs w:val="20"/>
          <w:lang w:val="es-AR"/>
        </w:rPr>
        <w:t xml:space="preserve">. </w:t>
      </w:r>
    </w:p>
    <w:p w:rsidR="007A61F8" w:rsidRPr="00E57D5F" w:rsidRDefault="007A61F8" w:rsidP="008F1889">
      <w:pPr>
        <w:ind w:firstLine="720"/>
        <w:jc w:val="both"/>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 xml:space="preserve">En similar sentido, la CIDH ha indicado que </w:t>
      </w:r>
      <w:r w:rsidRPr="00E57D5F" w:rsidDel="000A05C8">
        <w:rPr>
          <w:rFonts w:ascii="Cambria" w:hAnsi="Cambria"/>
          <w:sz w:val="20"/>
          <w:szCs w:val="20"/>
          <w:lang w:val="es-ES"/>
        </w:rPr>
        <w:t>existe una relación intrínseca entre la existencia de una motivación suficiente y la posibilidad de cuestionar las resoluciones y formular una defensa adecuada en el marco de los recursos subsiguientes</w:t>
      </w:r>
      <w:r w:rsidRPr="00E57D5F">
        <w:rPr>
          <w:rFonts w:ascii="Cambria" w:hAnsi="Cambria"/>
          <w:sz w:val="20"/>
          <w:szCs w:val="20"/>
          <w:vertAlign w:val="superscript"/>
        </w:rPr>
        <w:footnoteReference w:id="125"/>
      </w:r>
      <w:r w:rsidRPr="00E57D5F" w:rsidDel="000A05C8">
        <w:rPr>
          <w:rFonts w:ascii="Cambria" w:hAnsi="Cambria"/>
          <w:sz w:val="20"/>
          <w:szCs w:val="20"/>
          <w:lang w:val="es-ES"/>
        </w:rPr>
        <w:t>.</w:t>
      </w:r>
      <w:r w:rsidRPr="00E57D5F">
        <w:rPr>
          <w:rFonts w:ascii="Cambria" w:hAnsi="Cambria"/>
          <w:sz w:val="20"/>
          <w:szCs w:val="20"/>
          <w:lang w:val="es-ES"/>
        </w:rPr>
        <w:t xml:space="preserve"> </w:t>
      </w:r>
    </w:p>
    <w:p w:rsidR="007A61F8" w:rsidRPr="00E57D5F" w:rsidRDefault="007A61F8" w:rsidP="008F1889">
      <w:pPr>
        <w:pStyle w:val="ListParagraph"/>
        <w:ind w:left="0" w:firstLine="720"/>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 xml:space="preserve">Conforme a los hechos probados, la señora </w:t>
      </w:r>
      <w:proofErr w:type="spellStart"/>
      <w:r w:rsidRPr="00E57D5F">
        <w:rPr>
          <w:rFonts w:ascii="Cambria" w:hAnsi="Cambria"/>
          <w:sz w:val="20"/>
          <w:szCs w:val="20"/>
          <w:lang w:val="es-ES"/>
        </w:rPr>
        <w:t>Perrone</w:t>
      </w:r>
      <w:proofErr w:type="spellEnd"/>
      <w:r w:rsidRPr="00E57D5F">
        <w:rPr>
          <w:rFonts w:ascii="Cambria" w:hAnsi="Cambria"/>
          <w:sz w:val="20"/>
          <w:szCs w:val="20"/>
          <w:lang w:val="es-ES"/>
        </w:rPr>
        <w:t xml:space="preserve"> y el señor </w:t>
      </w:r>
      <w:proofErr w:type="spellStart"/>
      <w:r w:rsidRPr="00E57D5F">
        <w:rPr>
          <w:rFonts w:ascii="Cambria" w:hAnsi="Cambria"/>
          <w:sz w:val="20"/>
          <w:szCs w:val="20"/>
          <w:lang w:val="es-ES"/>
        </w:rPr>
        <w:t>Preckel</w:t>
      </w:r>
      <w:proofErr w:type="spellEnd"/>
      <w:r w:rsidRPr="00E57D5F">
        <w:rPr>
          <w:rFonts w:ascii="Cambria" w:hAnsi="Cambria"/>
          <w:sz w:val="20"/>
          <w:szCs w:val="20"/>
          <w:lang w:val="es-ES"/>
        </w:rPr>
        <w:t xml:space="preserve"> interpusieron recursos administrativos y judiciales para solicitar el pago de los salarios y beneficios sociales dejados de percibir durante el tiempo de su privación de libertad y de su privación de libertad y exilio, respectivamente. </w:t>
      </w:r>
      <w:r w:rsidR="00DF603A" w:rsidRPr="00E57D5F">
        <w:rPr>
          <w:rFonts w:ascii="Cambria" w:hAnsi="Cambria"/>
          <w:sz w:val="20"/>
          <w:szCs w:val="20"/>
          <w:lang w:val="es-ES"/>
        </w:rPr>
        <w:t>T</w:t>
      </w:r>
      <w:r w:rsidRPr="00E57D5F">
        <w:rPr>
          <w:rFonts w:ascii="Cambria" w:hAnsi="Cambria"/>
          <w:sz w:val="20"/>
          <w:szCs w:val="20"/>
          <w:lang w:val="es-ES"/>
        </w:rPr>
        <w:t>anto a nivel administrativo como judicial, las decisiones que quedaron en firme desestimaron la solicitud con base en la Circular No. 5/77 de la Secretaría General de la Presidencia de la Nación que establece que no corresponde reconocer el pago de haberes por períodos en que el agente público no ha prestado efectivamente sus servicios, salvo que una norma expresa lo autorice.</w:t>
      </w:r>
    </w:p>
    <w:p w:rsidR="007A61F8" w:rsidRPr="00E57D5F" w:rsidRDefault="007A61F8" w:rsidP="008F188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 xml:space="preserve">La Comisión nota que la defensa de la señora </w:t>
      </w:r>
      <w:proofErr w:type="spellStart"/>
      <w:r w:rsidRPr="00E57D5F">
        <w:rPr>
          <w:rFonts w:ascii="Cambria" w:hAnsi="Cambria"/>
          <w:sz w:val="20"/>
          <w:szCs w:val="20"/>
          <w:lang w:val="es-ES"/>
        </w:rPr>
        <w:t>Perrone</w:t>
      </w:r>
      <w:proofErr w:type="spellEnd"/>
      <w:r w:rsidRPr="00E57D5F">
        <w:rPr>
          <w:rFonts w:ascii="Cambria" w:hAnsi="Cambria"/>
          <w:sz w:val="20"/>
          <w:szCs w:val="20"/>
          <w:lang w:val="es-ES"/>
        </w:rPr>
        <w:t xml:space="preserve"> y el señor </w:t>
      </w:r>
      <w:proofErr w:type="spellStart"/>
      <w:r w:rsidRPr="00E57D5F">
        <w:rPr>
          <w:rFonts w:ascii="Cambria" w:hAnsi="Cambria"/>
          <w:sz w:val="20"/>
          <w:szCs w:val="20"/>
          <w:lang w:val="es-ES"/>
        </w:rPr>
        <w:t>Preckel</w:t>
      </w:r>
      <w:proofErr w:type="spellEnd"/>
      <w:r w:rsidRPr="00E57D5F">
        <w:rPr>
          <w:rFonts w:ascii="Cambria" w:hAnsi="Cambria"/>
          <w:sz w:val="20"/>
          <w:szCs w:val="20"/>
          <w:lang w:val="es-ES"/>
        </w:rPr>
        <w:t xml:space="preserve"> alegaron que conforme a la Circular No. 5/77 sí se permitiría el pago de haberes dejados de percibir cuando una norma lo autorice. Al respecto, indicaron que el artículo 14.c del Régimen de Licencias, Justificaciones y Franquicias de la Administración Pública sería la norma que autorizaría el pago de haberes no percibidos. Ello en tanto permite el pago en “casos de fuerza mayor, debidamente comprobados”. La CIDH observa que la defensa de ambas personas indicó que su detención arbitraria – reconocida por el Estado – sería una causal de fuerza mayor. </w:t>
      </w:r>
    </w:p>
    <w:p w:rsidR="007A61F8" w:rsidRPr="00E57D5F" w:rsidRDefault="007A61F8" w:rsidP="008F188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 xml:space="preserve">Sin entrar a determinar si esta argumentación es correcta, lo que excedería la competencia de la CIDH al tratarse de una cuestión de derecho interno, la Comisión nota que la misma no </w:t>
      </w:r>
      <w:r w:rsidR="0060785C" w:rsidRPr="00E57D5F">
        <w:rPr>
          <w:rFonts w:ascii="Cambria" w:hAnsi="Cambria"/>
          <w:sz w:val="20"/>
          <w:szCs w:val="20"/>
          <w:lang w:val="es-ES"/>
        </w:rPr>
        <w:t>era manifiestamente irrazonable. Ello</w:t>
      </w:r>
      <w:r w:rsidRPr="00E57D5F">
        <w:rPr>
          <w:rFonts w:ascii="Cambria" w:hAnsi="Cambria"/>
          <w:sz w:val="20"/>
          <w:szCs w:val="20"/>
          <w:lang w:val="es-ES"/>
        </w:rPr>
        <w:t xml:space="preserve"> se puede inferir del hecho de que el Departamento de Asesoría Legal de la DGI, la Dirección de Asuntos Técnicos y Jurídicos de la DGI y la Dirección General de Asuntos Jurídicos del Ministerio de Economía, emitieron sendos dictámenes en los cuales consideraron favorable el reintegro de los haberes dejados de percibir por la señora </w:t>
      </w:r>
      <w:proofErr w:type="spellStart"/>
      <w:r w:rsidRPr="00E57D5F">
        <w:rPr>
          <w:rFonts w:ascii="Cambria" w:hAnsi="Cambria"/>
          <w:sz w:val="20"/>
          <w:szCs w:val="20"/>
          <w:lang w:val="es-ES"/>
        </w:rPr>
        <w:t>Perrone</w:t>
      </w:r>
      <w:proofErr w:type="spellEnd"/>
      <w:r w:rsidRPr="00E57D5F">
        <w:rPr>
          <w:rFonts w:ascii="Cambria" w:hAnsi="Cambria"/>
          <w:sz w:val="20"/>
          <w:szCs w:val="20"/>
          <w:lang w:val="es-ES"/>
        </w:rPr>
        <w:t xml:space="preserve"> y el señor </w:t>
      </w:r>
      <w:proofErr w:type="spellStart"/>
      <w:r w:rsidRPr="00E57D5F">
        <w:rPr>
          <w:rFonts w:ascii="Cambria" w:hAnsi="Cambria"/>
          <w:sz w:val="20"/>
          <w:szCs w:val="20"/>
          <w:lang w:val="es-ES"/>
        </w:rPr>
        <w:t>Preckel</w:t>
      </w:r>
      <w:proofErr w:type="spellEnd"/>
      <w:r w:rsidRPr="00E57D5F">
        <w:rPr>
          <w:rFonts w:ascii="Cambria" w:hAnsi="Cambria"/>
          <w:sz w:val="20"/>
          <w:szCs w:val="20"/>
          <w:lang w:val="es-ES"/>
        </w:rPr>
        <w:t xml:space="preserve"> durante el tiempo que estuvieron </w:t>
      </w:r>
      <w:r w:rsidRPr="00E57D5F">
        <w:rPr>
          <w:rFonts w:ascii="Cambria" w:hAnsi="Cambria"/>
          <w:sz w:val="20"/>
          <w:szCs w:val="20"/>
          <w:lang w:val="es-ES"/>
        </w:rPr>
        <w:lastRenderedPageBreak/>
        <w:t xml:space="preserve">detenidos arbitrariamente. La Comisión considera que la razonabilidad de la argumentación – respaldada por las entidades referidas – hacía aún más relevante una motivación suficiente y adecuada sobre las razones por las cuales dicha argumentación no era procedente. </w:t>
      </w:r>
    </w:p>
    <w:p w:rsidR="007A61F8" w:rsidRPr="00E57D5F" w:rsidRDefault="007A61F8" w:rsidP="007A61F8">
      <w:pPr>
        <w:pStyle w:val="ListParagraph"/>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La Comisión observa que las decisiones administrativas de la DGI y del Ministerio de Economía, se limitaron a declarar improcedente el reclamo de la señ</w:t>
      </w:r>
      <w:r w:rsidR="009C6DBD" w:rsidRPr="00E57D5F">
        <w:rPr>
          <w:rFonts w:ascii="Cambria" w:hAnsi="Cambria"/>
          <w:sz w:val="20"/>
          <w:szCs w:val="20"/>
          <w:lang w:val="es-ES"/>
        </w:rPr>
        <w:t xml:space="preserve">ora </w:t>
      </w:r>
      <w:proofErr w:type="spellStart"/>
      <w:r w:rsidR="009C6DBD" w:rsidRPr="00E57D5F">
        <w:rPr>
          <w:rFonts w:ascii="Cambria" w:hAnsi="Cambria"/>
          <w:sz w:val="20"/>
          <w:szCs w:val="20"/>
          <w:lang w:val="es-ES"/>
        </w:rPr>
        <w:t>Perrone</w:t>
      </w:r>
      <w:proofErr w:type="spellEnd"/>
      <w:r w:rsidR="009C6DBD" w:rsidRPr="00E57D5F">
        <w:rPr>
          <w:rFonts w:ascii="Cambria" w:hAnsi="Cambria"/>
          <w:sz w:val="20"/>
          <w:szCs w:val="20"/>
          <w:lang w:val="es-ES"/>
        </w:rPr>
        <w:t xml:space="preserve"> y del señor </w:t>
      </w:r>
      <w:proofErr w:type="spellStart"/>
      <w:r w:rsidR="009C6DBD" w:rsidRPr="00E57D5F">
        <w:rPr>
          <w:rFonts w:ascii="Cambria" w:hAnsi="Cambria"/>
          <w:sz w:val="20"/>
          <w:szCs w:val="20"/>
          <w:lang w:val="es-ES"/>
        </w:rPr>
        <w:t>Preckel</w:t>
      </w:r>
      <w:proofErr w:type="spellEnd"/>
      <w:r w:rsidR="009C6DBD" w:rsidRPr="00E57D5F">
        <w:rPr>
          <w:rFonts w:ascii="Cambria" w:hAnsi="Cambria"/>
          <w:sz w:val="20"/>
          <w:szCs w:val="20"/>
          <w:lang w:val="es-ES"/>
        </w:rPr>
        <w:t xml:space="preserve">. La CIDH nota que en dichas decisiones no se </w:t>
      </w:r>
      <w:r w:rsidR="00CF23F7" w:rsidRPr="00E57D5F">
        <w:rPr>
          <w:rFonts w:ascii="Cambria" w:hAnsi="Cambria"/>
          <w:sz w:val="20"/>
          <w:szCs w:val="20"/>
          <w:lang w:val="es-ES"/>
        </w:rPr>
        <w:t>motivó</w:t>
      </w:r>
      <w:r w:rsidR="009C6DBD" w:rsidRPr="00E57D5F">
        <w:rPr>
          <w:rFonts w:ascii="Cambria" w:hAnsi="Cambria"/>
          <w:sz w:val="20"/>
          <w:szCs w:val="20"/>
          <w:lang w:val="es-ES"/>
        </w:rPr>
        <w:t xml:space="preserve"> de manera </w:t>
      </w:r>
      <w:r w:rsidR="00CF23F7" w:rsidRPr="00E57D5F">
        <w:rPr>
          <w:rFonts w:ascii="Cambria" w:hAnsi="Cambria"/>
          <w:sz w:val="20"/>
          <w:szCs w:val="20"/>
          <w:lang w:val="es-ES"/>
        </w:rPr>
        <w:t>suficiente</w:t>
      </w:r>
      <w:r w:rsidR="009C6DBD" w:rsidRPr="00E57D5F">
        <w:rPr>
          <w:rFonts w:ascii="Cambria" w:hAnsi="Cambria"/>
          <w:sz w:val="20"/>
          <w:szCs w:val="20"/>
          <w:lang w:val="es-ES"/>
        </w:rPr>
        <w:t xml:space="preserve"> </w:t>
      </w:r>
      <w:r w:rsidRPr="00E57D5F">
        <w:rPr>
          <w:rFonts w:ascii="Cambria" w:hAnsi="Cambria"/>
          <w:sz w:val="20"/>
          <w:szCs w:val="20"/>
          <w:lang w:val="es-ES"/>
        </w:rPr>
        <w:t xml:space="preserve">las razones por las cuales se desecharon los argumentos contenidos en los dictámenes favorables emitidos por las Direcciones ya mencionadas. </w:t>
      </w:r>
    </w:p>
    <w:p w:rsidR="007A61F8" w:rsidRPr="00E57D5F" w:rsidRDefault="007A61F8" w:rsidP="008F188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 xml:space="preserve">En el ámbito de los recursos judiciales, la Comisión observa que las decisiones emitidas por el Juez Federal en primera instancia en febrero de 1992 no incluyeron referencia a los argumentos esgrimidos en las demandas, particularmente el relativo a la aplicabilidad de la figura de “fuerza mayor” contenida en el artículo 14.c del Régimen de Licencias, Justificaciones y Franquicias de la Administración Pública Nacional.  </w:t>
      </w:r>
    </w:p>
    <w:p w:rsidR="007A61F8" w:rsidRPr="00E57D5F" w:rsidRDefault="007A61F8" w:rsidP="008F188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 xml:space="preserve">Esta ausencia de motivación, continuó tanto en la sentencia de la Cámara de Apelaciones de noviembre de 1992 –en el caso del señor </w:t>
      </w:r>
      <w:proofErr w:type="spellStart"/>
      <w:r w:rsidRPr="00E57D5F">
        <w:rPr>
          <w:rFonts w:ascii="Cambria" w:hAnsi="Cambria"/>
          <w:sz w:val="20"/>
          <w:szCs w:val="20"/>
          <w:lang w:val="es-ES"/>
        </w:rPr>
        <w:t>Preckel</w:t>
      </w:r>
      <w:proofErr w:type="spellEnd"/>
      <w:r w:rsidRPr="00E57D5F">
        <w:rPr>
          <w:rFonts w:ascii="Cambria" w:hAnsi="Cambria"/>
          <w:sz w:val="20"/>
          <w:szCs w:val="20"/>
          <w:lang w:val="es-ES"/>
        </w:rPr>
        <w:t>– como en la sentencia de la Corte Suprema de Justicia de mayo de 1996 –e</w:t>
      </w:r>
      <w:r w:rsidR="0060785C" w:rsidRPr="00E57D5F">
        <w:rPr>
          <w:rFonts w:ascii="Cambria" w:hAnsi="Cambria"/>
          <w:sz w:val="20"/>
          <w:szCs w:val="20"/>
          <w:lang w:val="es-ES"/>
        </w:rPr>
        <w:t xml:space="preserve">n el caso de la señora </w:t>
      </w:r>
      <w:proofErr w:type="spellStart"/>
      <w:r w:rsidR="0060785C" w:rsidRPr="00E57D5F">
        <w:rPr>
          <w:rFonts w:ascii="Cambria" w:hAnsi="Cambria"/>
          <w:sz w:val="20"/>
          <w:szCs w:val="20"/>
          <w:lang w:val="es-ES"/>
        </w:rPr>
        <w:t>Perrone</w:t>
      </w:r>
      <w:proofErr w:type="spellEnd"/>
      <w:r w:rsidR="0060785C" w:rsidRPr="00E57D5F">
        <w:rPr>
          <w:rFonts w:ascii="Cambria" w:hAnsi="Cambria"/>
          <w:sz w:val="20"/>
          <w:szCs w:val="20"/>
          <w:lang w:val="es-ES"/>
        </w:rPr>
        <w:t>.</w:t>
      </w:r>
      <w:r w:rsidRPr="00E57D5F">
        <w:rPr>
          <w:rFonts w:ascii="Cambria" w:hAnsi="Cambria"/>
          <w:sz w:val="20"/>
          <w:szCs w:val="20"/>
          <w:lang w:val="es-ES"/>
        </w:rPr>
        <w:t xml:space="preserve"> En dichas decisiones, si bien las autoridades judiciales sí mencionaron el Régimen de Licencias, Justificaciones y Franquicias de la Administración Pública Nacional, se limitaron a indicar que dicho cuerpo normativo no era aplicable como una de las excepciones contenidas en la Circular No. 5/77, sin explicar las razones de dicha conclusión. En particular, la CIDH nota que en dichas decisiones no se fundamentó el aspecto central del debate, esto es, de qué forma la situación de detención arbitraria de ambas personas no constituía un “caso de fuerza mayor”. La Comisión reitera que una de las garantías del debido proceso exige que las autoridades internas analicen “de forma completa y seria” las pretensiones y argumentos de la persona afectada</w:t>
      </w:r>
      <w:r w:rsidRPr="00E57D5F">
        <w:rPr>
          <w:rStyle w:val="FootnoteReference"/>
          <w:rFonts w:ascii="Cambria" w:hAnsi="Cambria"/>
          <w:sz w:val="20"/>
          <w:szCs w:val="20"/>
          <w:lang w:val="es-ES"/>
        </w:rPr>
        <w:footnoteReference w:id="126"/>
      </w:r>
      <w:r w:rsidRPr="00E57D5F">
        <w:rPr>
          <w:rFonts w:ascii="Cambria" w:hAnsi="Cambria"/>
          <w:sz w:val="20"/>
          <w:szCs w:val="20"/>
          <w:lang w:val="es-ES"/>
        </w:rPr>
        <w:t xml:space="preserve">, lo que guarda especial relación con el deber de motivación suficiente y adecuada, cuyo contenido ya fue descrito anteriormente. </w:t>
      </w:r>
    </w:p>
    <w:p w:rsidR="0060785C" w:rsidRPr="00E57D5F" w:rsidRDefault="0060785C" w:rsidP="008F188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p>
    <w:p w:rsidR="0060785C" w:rsidRPr="00E57D5F" w:rsidRDefault="0080672C"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 xml:space="preserve">Finalmente, </w:t>
      </w:r>
      <w:r w:rsidR="0060785C" w:rsidRPr="00E57D5F">
        <w:rPr>
          <w:rFonts w:ascii="Cambria" w:hAnsi="Cambria"/>
          <w:sz w:val="20"/>
          <w:szCs w:val="20"/>
          <w:lang w:val="es-ES"/>
        </w:rPr>
        <w:t xml:space="preserve">la Comisión observa que las decisiones tanto en el ámbito administrativo y judicial no entraron a analizar el contexto en que la solicitud de Elba Clotilde </w:t>
      </w:r>
      <w:proofErr w:type="spellStart"/>
      <w:r w:rsidR="0060785C" w:rsidRPr="00E57D5F">
        <w:rPr>
          <w:rFonts w:ascii="Cambria" w:hAnsi="Cambria"/>
          <w:sz w:val="20"/>
          <w:szCs w:val="20"/>
          <w:lang w:val="es-ES"/>
        </w:rPr>
        <w:t>Perrone</w:t>
      </w:r>
      <w:proofErr w:type="spellEnd"/>
      <w:r w:rsidR="0060785C" w:rsidRPr="00E57D5F">
        <w:rPr>
          <w:rFonts w:ascii="Cambria" w:hAnsi="Cambria"/>
          <w:sz w:val="20"/>
          <w:szCs w:val="20"/>
          <w:lang w:val="es-ES"/>
        </w:rPr>
        <w:t xml:space="preserve"> y Juan José </w:t>
      </w:r>
      <w:proofErr w:type="spellStart"/>
      <w:r w:rsidR="0060785C" w:rsidRPr="00E57D5F">
        <w:rPr>
          <w:rFonts w:ascii="Cambria" w:hAnsi="Cambria"/>
          <w:sz w:val="20"/>
          <w:szCs w:val="20"/>
          <w:lang w:val="es-ES"/>
        </w:rPr>
        <w:t>Preckel</w:t>
      </w:r>
      <w:proofErr w:type="spellEnd"/>
      <w:r w:rsidR="0060785C" w:rsidRPr="00E57D5F">
        <w:rPr>
          <w:rFonts w:ascii="Cambria" w:hAnsi="Cambria"/>
          <w:sz w:val="20"/>
          <w:szCs w:val="20"/>
          <w:lang w:val="es-ES"/>
        </w:rPr>
        <w:t xml:space="preserve"> se realizó. </w:t>
      </w:r>
      <w:r w:rsidR="00B4715A" w:rsidRPr="00E57D5F">
        <w:rPr>
          <w:rFonts w:ascii="Cambria" w:hAnsi="Cambria"/>
          <w:sz w:val="20"/>
          <w:szCs w:val="20"/>
          <w:lang w:val="es-ES"/>
        </w:rPr>
        <w:t xml:space="preserve">Tomando en cuenta que la ausencia en sus labores se debió a la detención arbitraria y tortura en el caso de ambas víctimas, y de exilio en el caso del señor </w:t>
      </w:r>
      <w:proofErr w:type="spellStart"/>
      <w:r w:rsidR="00B4715A" w:rsidRPr="00E57D5F">
        <w:rPr>
          <w:rFonts w:ascii="Cambria" w:hAnsi="Cambria"/>
          <w:sz w:val="20"/>
          <w:szCs w:val="20"/>
          <w:lang w:val="es-ES"/>
        </w:rPr>
        <w:t>Preckel</w:t>
      </w:r>
      <w:proofErr w:type="spellEnd"/>
      <w:r w:rsidR="00B4715A" w:rsidRPr="00E57D5F">
        <w:rPr>
          <w:rFonts w:ascii="Cambria" w:hAnsi="Cambria"/>
          <w:sz w:val="20"/>
          <w:szCs w:val="20"/>
          <w:lang w:val="es-ES"/>
        </w:rPr>
        <w:t xml:space="preserve">, la Comisión considera que las autoridades administrativas y judiciales tenían la obligación de considerar </w:t>
      </w:r>
      <w:r w:rsidR="00AB73B5" w:rsidRPr="00E57D5F">
        <w:rPr>
          <w:rFonts w:ascii="Cambria" w:hAnsi="Cambria"/>
          <w:sz w:val="20"/>
          <w:szCs w:val="20"/>
          <w:lang w:val="es-ES"/>
        </w:rPr>
        <w:t xml:space="preserve">en sus decisiones que el reclamo tenía su origen y se relacionaba con los efectos de graves violaciones de derechos humanos. </w:t>
      </w:r>
      <w:r w:rsidR="00B4715A" w:rsidRPr="00E57D5F">
        <w:rPr>
          <w:rFonts w:ascii="Cambria" w:hAnsi="Cambria"/>
          <w:sz w:val="20"/>
          <w:szCs w:val="20"/>
          <w:lang w:val="es-ES"/>
        </w:rPr>
        <w:t xml:space="preserve">Por el contrario, el abordaje en todas las instancias decisivas se basó en el entendimiento de que se trataba de un reclamo laboral ordinario. </w:t>
      </w:r>
      <w:r w:rsidRPr="00E57D5F">
        <w:rPr>
          <w:rFonts w:ascii="Cambria" w:hAnsi="Cambria"/>
          <w:sz w:val="20"/>
          <w:szCs w:val="20"/>
          <w:lang w:val="es-ES"/>
        </w:rPr>
        <w:t>L</w:t>
      </w:r>
      <w:r w:rsidR="0060785C" w:rsidRPr="00E57D5F">
        <w:rPr>
          <w:rFonts w:ascii="Cambria" w:hAnsi="Cambria"/>
          <w:sz w:val="20"/>
          <w:szCs w:val="20"/>
          <w:lang w:val="es-ES"/>
        </w:rPr>
        <w:t>a CIDH considera que resulta</w:t>
      </w:r>
      <w:r w:rsidR="00412CAC" w:rsidRPr="00E57D5F">
        <w:rPr>
          <w:rFonts w:ascii="Cambria" w:hAnsi="Cambria"/>
          <w:sz w:val="20"/>
          <w:szCs w:val="20"/>
          <w:lang w:val="es-ES"/>
        </w:rPr>
        <w:t>ba</w:t>
      </w:r>
      <w:r w:rsidR="0060785C" w:rsidRPr="00E57D5F">
        <w:rPr>
          <w:rFonts w:ascii="Cambria" w:hAnsi="Cambria"/>
          <w:sz w:val="20"/>
          <w:szCs w:val="20"/>
          <w:lang w:val="es-ES"/>
        </w:rPr>
        <w:t xml:space="preserve"> relevante que las au</w:t>
      </w:r>
      <w:r w:rsidRPr="00E57D5F">
        <w:rPr>
          <w:rFonts w:ascii="Cambria" w:hAnsi="Cambria"/>
          <w:sz w:val="20"/>
          <w:szCs w:val="20"/>
          <w:lang w:val="es-ES"/>
        </w:rPr>
        <w:t>toridades tomaran</w:t>
      </w:r>
      <w:r w:rsidR="00412CAC" w:rsidRPr="00E57D5F">
        <w:rPr>
          <w:rFonts w:ascii="Cambria" w:hAnsi="Cambria"/>
          <w:sz w:val="20"/>
          <w:szCs w:val="20"/>
          <w:lang w:val="es-ES"/>
        </w:rPr>
        <w:t xml:space="preserve"> en cuenta </w:t>
      </w:r>
      <w:r w:rsidRPr="00E57D5F">
        <w:rPr>
          <w:rFonts w:ascii="Cambria" w:hAnsi="Cambria"/>
          <w:sz w:val="20"/>
          <w:szCs w:val="20"/>
          <w:lang w:val="es-ES"/>
        </w:rPr>
        <w:t xml:space="preserve">estos elementos </w:t>
      </w:r>
      <w:r w:rsidR="00412CAC" w:rsidRPr="00E57D5F">
        <w:rPr>
          <w:rFonts w:ascii="Cambria" w:hAnsi="Cambria"/>
          <w:sz w:val="20"/>
          <w:szCs w:val="20"/>
          <w:lang w:val="es-ES"/>
        </w:rPr>
        <w:t xml:space="preserve">al momento de emitir sus decisiones. </w:t>
      </w:r>
    </w:p>
    <w:p w:rsidR="007A61F8" w:rsidRPr="00E57D5F" w:rsidRDefault="007A61F8" w:rsidP="008F1889">
      <w:pPr>
        <w:pStyle w:val="ListParagraph"/>
        <w:ind w:left="0" w:firstLine="720"/>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 xml:space="preserve">Con base en las consideraciones efectuadas anteriormente, la CIDH concluye que las autoridades judiciales y administrativas violaron el derecho a contar con una motivación suficiente y adecuada, establecido como una de las debidas garantías contempladas en el artículo 8.1 de la Convención Americana en relación con el artículo 1.1 del mismo instrumento en perjuicio de Elba Clotilde </w:t>
      </w:r>
      <w:proofErr w:type="spellStart"/>
      <w:r w:rsidRPr="00E57D5F">
        <w:rPr>
          <w:rFonts w:ascii="Cambria" w:hAnsi="Cambria"/>
          <w:sz w:val="20"/>
          <w:szCs w:val="20"/>
          <w:lang w:val="es-ES"/>
        </w:rPr>
        <w:t>Perrone</w:t>
      </w:r>
      <w:proofErr w:type="spellEnd"/>
      <w:r w:rsidRPr="00E57D5F">
        <w:rPr>
          <w:rFonts w:ascii="Cambria" w:hAnsi="Cambria"/>
          <w:sz w:val="20"/>
          <w:szCs w:val="20"/>
          <w:lang w:val="es-ES"/>
        </w:rPr>
        <w:t xml:space="preserve"> y Juan José </w:t>
      </w:r>
      <w:proofErr w:type="spellStart"/>
      <w:r w:rsidRPr="00E57D5F">
        <w:rPr>
          <w:rFonts w:ascii="Cambria" w:hAnsi="Cambria"/>
          <w:sz w:val="20"/>
          <w:szCs w:val="20"/>
          <w:lang w:val="es-ES"/>
        </w:rPr>
        <w:t>Preckel</w:t>
      </w:r>
      <w:proofErr w:type="spellEnd"/>
      <w:r w:rsidRPr="00E57D5F">
        <w:rPr>
          <w:rFonts w:ascii="Cambria" w:hAnsi="Cambria"/>
          <w:sz w:val="20"/>
          <w:szCs w:val="20"/>
          <w:lang w:val="es-ES"/>
        </w:rPr>
        <w:t xml:space="preserve">. En consecuencia, al haberse violado esta garantía del debido proceso en la decisión de los recursos internos, la Comisión concluye que los mismos también implicaron una violación del derecho a la protección judicial, establecido en el artículo 25.1 de la Convención, en relación con el artículo 1.1 del mismo instrumento. </w:t>
      </w:r>
    </w:p>
    <w:p w:rsidR="007A61F8" w:rsidRPr="00E57D5F"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7A61F8" w:rsidRPr="008F1889" w:rsidRDefault="007A61F8" w:rsidP="00ED46A1">
      <w:pPr>
        <w:pStyle w:val="Heading1"/>
      </w:pPr>
      <w:bookmarkStart w:id="46" w:name="_Toc476667887"/>
      <w:r w:rsidRPr="008F1889">
        <w:t>CONCLUSIONES</w:t>
      </w:r>
      <w:bookmarkEnd w:id="46"/>
    </w:p>
    <w:p w:rsidR="007A61F8" w:rsidRPr="00E57D5F" w:rsidRDefault="007A61F8" w:rsidP="007A61F8">
      <w:pPr>
        <w:rPr>
          <w:lang w:val="es-AR"/>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 xml:space="preserve">En vista de las consideraciones de hecho y de derecho precedentes, la Comisión concluye que el Estado de Argentina es </w:t>
      </w:r>
      <w:r w:rsidRPr="00E57D5F">
        <w:rPr>
          <w:rFonts w:ascii="Cambria" w:hAnsi="Cambria"/>
          <w:sz w:val="20"/>
          <w:szCs w:val="20"/>
        </w:rPr>
        <w:t xml:space="preserve">responsable por la violación de los derechos a las garantías judiciales y protección judicial, establecidos en los artículos 8.1 y 25.1 de la Convención Americana en relación con las obligaciones </w:t>
      </w:r>
      <w:r w:rsidRPr="00E57D5F">
        <w:rPr>
          <w:rFonts w:ascii="Cambria" w:hAnsi="Cambria"/>
          <w:sz w:val="20"/>
          <w:szCs w:val="20"/>
        </w:rPr>
        <w:lastRenderedPageBreak/>
        <w:t xml:space="preserve">establecidas en el artículo 1.1 del mismo instrumento en perjuicio de Elba Clotilde </w:t>
      </w:r>
      <w:proofErr w:type="spellStart"/>
      <w:r w:rsidRPr="00E57D5F">
        <w:rPr>
          <w:rFonts w:ascii="Cambria" w:hAnsi="Cambria"/>
          <w:sz w:val="20"/>
          <w:szCs w:val="20"/>
        </w:rPr>
        <w:t>Perrone</w:t>
      </w:r>
      <w:proofErr w:type="spellEnd"/>
      <w:r w:rsidRPr="00E57D5F">
        <w:rPr>
          <w:rFonts w:ascii="Cambria" w:hAnsi="Cambria"/>
          <w:sz w:val="20"/>
          <w:szCs w:val="20"/>
        </w:rPr>
        <w:t xml:space="preserve"> y Juan José </w:t>
      </w:r>
      <w:proofErr w:type="spellStart"/>
      <w:r w:rsidRPr="00E57D5F">
        <w:rPr>
          <w:rFonts w:ascii="Cambria" w:hAnsi="Cambria"/>
          <w:sz w:val="20"/>
          <w:szCs w:val="20"/>
        </w:rPr>
        <w:t>Preckel</w:t>
      </w:r>
      <w:proofErr w:type="spellEnd"/>
      <w:r w:rsidRPr="00E57D5F">
        <w:rPr>
          <w:rFonts w:ascii="Cambria" w:hAnsi="Cambria"/>
          <w:sz w:val="20"/>
          <w:szCs w:val="20"/>
        </w:rPr>
        <w:t xml:space="preserve">.  </w:t>
      </w:r>
    </w:p>
    <w:p w:rsidR="007A61F8" w:rsidRPr="00E57D5F" w:rsidRDefault="007A61F8" w:rsidP="008F188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 xml:space="preserve">En cuanto a los derechos establecidos en las demás disposiciones incluidas en el informe de admisibilidad, la Comisión considera que no existen elementos para establecer la responsabilidad internacional del Estado </w:t>
      </w:r>
      <w:r w:rsidR="0070018C" w:rsidRPr="00E57D5F">
        <w:rPr>
          <w:rFonts w:ascii="Cambria" w:hAnsi="Cambria"/>
          <w:sz w:val="20"/>
          <w:szCs w:val="20"/>
          <w:lang w:val="es-ES"/>
        </w:rPr>
        <w:t xml:space="preserve">de Argentina </w:t>
      </w:r>
      <w:r w:rsidRPr="00E57D5F">
        <w:rPr>
          <w:rFonts w:ascii="Cambria" w:hAnsi="Cambria"/>
          <w:sz w:val="20"/>
          <w:szCs w:val="20"/>
          <w:lang w:val="es-ES"/>
        </w:rPr>
        <w:t xml:space="preserve">respecto de las mismas. </w:t>
      </w:r>
    </w:p>
    <w:p w:rsidR="007A61F8" w:rsidRPr="00E57D5F" w:rsidRDefault="007A61F8" w:rsidP="008F1889">
      <w:pPr>
        <w:ind w:firstLine="720"/>
        <w:rPr>
          <w:lang w:val="es-AR"/>
        </w:rPr>
      </w:pPr>
    </w:p>
    <w:p w:rsidR="007A61F8" w:rsidRPr="008F1889" w:rsidRDefault="007A61F8" w:rsidP="00ED46A1">
      <w:pPr>
        <w:pStyle w:val="Heading1"/>
      </w:pPr>
      <w:bookmarkStart w:id="47" w:name="_Toc476667888"/>
      <w:r w:rsidRPr="008F1889">
        <w:t>RECOMENDACIONES</w:t>
      </w:r>
      <w:bookmarkEnd w:id="47"/>
    </w:p>
    <w:p w:rsidR="007A61F8" w:rsidRPr="00E57D5F" w:rsidRDefault="007A61F8" w:rsidP="007A61F8">
      <w:pPr>
        <w:rPr>
          <w:rFonts w:ascii="Cambria" w:hAnsi="Cambria"/>
          <w:sz w:val="20"/>
          <w:szCs w:val="20"/>
          <w:lang w:val="es-AR"/>
        </w:rPr>
      </w:pPr>
    </w:p>
    <w:p w:rsidR="007A61F8" w:rsidRPr="00E57D5F" w:rsidRDefault="007A61F8" w:rsidP="008F188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E57D5F">
        <w:rPr>
          <w:rFonts w:ascii="Cambria" w:hAnsi="Cambria"/>
          <w:sz w:val="20"/>
          <w:szCs w:val="20"/>
          <w:lang w:val="es-ES"/>
        </w:rPr>
        <w:t xml:space="preserve">Con fundamento en las anteriores conclusiones, </w:t>
      </w:r>
    </w:p>
    <w:p w:rsidR="007A61F8" w:rsidRPr="00E57D5F" w:rsidRDefault="007A61F8" w:rsidP="007A61F8">
      <w:pPr>
        <w:rPr>
          <w:rFonts w:ascii="Cambria" w:hAnsi="Cambria"/>
          <w:sz w:val="20"/>
          <w:szCs w:val="20"/>
          <w:lang w:val="es-ES"/>
        </w:rPr>
      </w:pPr>
    </w:p>
    <w:p w:rsidR="007A61F8" w:rsidRPr="00E57D5F" w:rsidRDefault="007A61F8" w:rsidP="007A61F8">
      <w:pPr>
        <w:pStyle w:val="BodyTextIndent"/>
        <w:ind w:left="0" w:firstLine="0"/>
        <w:jc w:val="center"/>
        <w:rPr>
          <w:rFonts w:ascii="Cambria" w:hAnsi="Cambria"/>
          <w:b/>
          <w:sz w:val="20"/>
          <w:szCs w:val="20"/>
          <w:lang w:val="es-ES"/>
        </w:rPr>
      </w:pPr>
      <w:r w:rsidRPr="00E57D5F">
        <w:rPr>
          <w:rFonts w:ascii="Cambria" w:hAnsi="Cambria"/>
          <w:b/>
          <w:sz w:val="20"/>
          <w:szCs w:val="20"/>
          <w:lang w:val="es-ES"/>
        </w:rPr>
        <w:t xml:space="preserve">LA COMISIÓN INTERAMERICANA DE DERECHOS HUMANOS </w:t>
      </w:r>
    </w:p>
    <w:p w:rsidR="007A61F8" w:rsidRPr="00E57D5F" w:rsidRDefault="007A61F8" w:rsidP="007A61F8">
      <w:pPr>
        <w:pStyle w:val="BodyTextIndent"/>
        <w:ind w:left="0" w:firstLine="0"/>
        <w:jc w:val="center"/>
        <w:rPr>
          <w:rFonts w:ascii="Cambria" w:hAnsi="Cambria"/>
          <w:b/>
          <w:sz w:val="20"/>
          <w:szCs w:val="20"/>
          <w:lang w:val="es-ES"/>
        </w:rPr>
      </w:pPr>
      <w:r w:rsidRPr="00E57D5F">
        <w:rPr>
          <w:rFonts w:ascii="Cambria" w:hAnsi="Cambria"/>
          <w:b/>
          <w:sz w:val="20"/>
          <w:szCs w:val="20"/>
          <w:lang w:val="es-ES"/>
        </w:rPr>
        <w:t>RECOMIENDA AL ESTADO DE ARGENTINA</w:t>
      </w:r>
    </w:p>
    <w:p w:rsidR="007A61F8" w:rsidRPr="00E57D5F" w:rsidRDefault="007A61F8" w:rsidP="007A61F8">
      <w:pPr>
        <w:pStyle w:val="BodyTextIndent"/>
        <w:ind w:left="0" w:firstLine="0"/>
        <w:jc w:val="center"/>
        <w:rPr>
          <w:rFonts w:ascii="Cambria" w:hAnsi="Cambria"/>
          <w:b/>
          <w:sz w:val="20"/>
          <w:szCs w:val="20"/>
          <w:lang w:val="es-ES"/>
        </w:rPr>
      </w:pPr>
    </w:p>
    <w:p w:rsidR="007A61F8" w:rsidRPr="00E57D5F" w:rsidRDefault="007A61F8" w:rsidP="008F188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hAnsi="Cambria" w:cs="Arial"/>
          <w:sz w:val="20"/>
          <w:szCs w:val="20"/>
          <w:lang w:val="es-ES"/>
        </w:rPr>
      </w:pPr>
      <w:r w:rsidRPr="00E57D5F">
        <w:rPr>
          <w:rFonts w:ascii="Cambria" w:hAnsi="Cambria" w:cs="Arial"/>
          <w:sz w:val="20"/>
          <w:szCs w:val="20"/>
          <w:lang w:val="es-ES"/>
        </w:rPr>
        <w:t xml:space="preserve">Disponer las medidas necesarias para que Elba Clotilde </w:t>
      </w:r>
      <w:proofErr w:type="spellStart"/>
      <w:r w:rsidRPr="00E57D5F">
        <w:rPr>
          <w:rFonts w:ascii="Cambria" w:hAnsi="Cambria" w:cs="Arial"/>
          <w:sz w:val="20"/>
          <w:szCs w:val="20"/>
          <w:lang w:val="es-ES"/>
        </w:rPr>
        <w:t>Perrone</w:t>
      </w:r>
      <w:proofErr w:type="spellEnd"/>
      <w:r w:rsidRPr="00E57D5F">
        <w:rPr>
          <w:rFonts w:ascii="Cambria" w:hAnsi="Cambria" w:cs="Arial"/>
          <w:sz w:val="20"/>
          <w:szCs w:val="20"/>
          <w:lang w:val="es-ES"/>
        </w:rPr>
        <w:t xml:space="preserve"> y Juan José </w:t>
      </w:r>
      <w:proofErr w:type="spellStart"/>
      <w:r w:rsidRPr="00E57D5F">
        <w:rPr>
          <w:rFonts w:ascii="Cambria" w:hAnsi="Cambria" w:cs="Arial"/>
          <w:sz w:val="20"/>
          <w:szCs w:val="20"/>
          <w:lang w:val="es-ES"/>
        </w:rPr>
        <w:t>Preckel</w:t>
      </w:r>
      <w:proofErr w:type="spellEnd"/>
      <w:r w:rsidRPr="00E57D5F">
        <w:rPr>
          <w:rFonts w:ascii="Cambria" w:hAnsi="Cambria" w:cs="Arial"/>
          <w:sz w:val="20"/>
          <w:szCs w:val="20"/>
          <w:lang w:val="es-ES"/>
        </w:rPr>
        <w:t xml:space="preserve"> cuenten con un recurso judicial efectivo mediante el cual se establezca, en cumplimiento de las garantías de motivación </w:t>
      </w:r>
      <w:r w:rsidR="00957126" w:rsidRPr="00E57D5F">
        <w:rPr>
          <w:rFonts w:ascii="Cambria" w:hAnsi="Cambria" w:cs="Arial"/>
          <w:sz w:val="20"/>
          <w:szCs w:val="20"/>
          <w:lang w:val="es-ES"/>
        </w:rPr>
        <w:t xml:space="preserve">y </w:t>
      </w:r>
      <w:r w:rsidRPr="00E57D5F">
        <w:rPr>
          <w:rFonts w:ascii="Cambria" w:hAnsi="Cambria" w:cs="Arial"/>
          <w:sz w:val="20"/>
          <w:szCs w:val="20"/>
          <w:lang w:val="es-ES"/>
        </w:rPr>
        <w:t xml:space="preserve">de plazo razonable, la procedencia o no de sus reclamos relativos al pago de los salarios y beneficios sociales dejados de percibir. </w:t>
      </w:r>
    </w:p>
    <w:p w:rsidR="007A61F8" w:rsidRPr="00E57D5F" w:rsidRDefault="007A61F8" w:rsidP="008F18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hAnsi="Cambria" w:cs="Arial"/>
          <w:sz w:val="20"/>
          <w:szCs w:val="20"/>
          <w:lang w:val="es-ES"/>
        </w:rPr>
      </w:pPr>
    </w:p>
    <w:p w:rsidR="007A61F8" w:rsidRPr="00E57D5F" w:rsidRDefault="007A61F8" w:rsidP="008F188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hAnsi="Cambria" w:cs="Arial"/>
          <w:sz w:val="20"/>
          <w:szCs w:val="20"/>
          <w:lang w:val="es-ES"/>
        </w:rPr>
      </w:pPr>
      <w:r w:rsidRPr="00E57D5F">
        <w:rPr>
          <w:rFonts w:ascii="Cambria" w:hAnsi="Cambria" w:cs="Arial"/>
          <w:sz w:val="20"/>
          <w:szCs w:val="20"/>
          <w:lang w:val="es-ES"/>
        </w:rPr>
        <w:t xml:space="preserve">En caso de que las víctimas no deseen acceder a dicho recurso judicial debido al paso del tiempo, disponer medidas para reparar integralmente la denegación de justicia en su perjuicio declarada en el presente informe. </w:t>
      </w:r>
    </w:p>
    <w:p w:rsidR="007A61F8" w:rsidRDefault="007A61F8" w:rsidP="008F18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hAnsi="Cambria" w:cs="Arial"/>
          <w:sz w:val="20"/>
          <w:szCs w:val="20"/>
          <w:lang w:val="es-ES"/>
        </w:rPr>
      </w:pPr>
    </w:p>
    <w:p w:rsidR="007A61F8" w:rsidRPr="008752B9" w:rsidRDefault="007A61F8" w:rsidP="007A61F8">
      <w:pPr>
        <w:pStyle w:val="BodyTextIndent"/>
        <w:ind w:left="0" w:firstLine="0"/>
        <w:jc w:val="center"/>
        <w:rPr>
          <w:rFonts w:ascii="Cambria" w:hAnsi="Cambria"/>
          <w:b/>
          <w:sz w:val="20"/>
          <w:szCs w:val="20"/>
          <w:lang w:val="es-ES"/>
        </w:rPr>
      </w:pPr>
    </w:p>
    <w:p w:rsidR="007A61F8" w:rsidRPr="00DA6860" w:rsidRDefault="007A61F8" w:rsidP="007A61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7A61F8" w:rsidRPr="00DA6860" w:rsidRDefault="007A61F8" w:rsidP="007A61F8">
      <w:pPr>
        <w:rPr>
          <w:rFonts w:ascii="Cambria" w:hAnsi="Cambria"/>
          <w:sz w:val="20"/>
          <w:szCs w:val="20"/>
          <w:lang w:val="es-ES"/>
        </w:rPr>
      </w:pPr>
    </w:p>
    <w:p w:rsidR="009C6DBD" w:rsidRPr="00D869B9" w:rsidRDefault="009C6DBD">
      <w:pPr>
        <w:rPr>
          <w:lang w:val="es-ES"/>
        </w:rPr>
      </w:pPr>
    </w:p>
    <w:sectPr w:rsidR="009C6DBD" w:rsidRPr="00D869B9" w:rsidSect="009C6DBD">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CE" w:rsidRDefault="005E3CCE" w:rsidP="007A61F8">
      <w:r>
        <w:separator/>
      </w:r>
    </w:p>
  </w:endnote>
  <w:endnote w:type="continuationSeparator" w:id="0">
    <w:p w:rsidR="005E3CCE" w:rsidRDefault="005E3CCE" w:rsidP="007A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Verdana-Bold">
    <w:altName w:val="Verdana"/>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CE" w:rsidRPr="00934A2C" w:rsidRDefault="005E3CC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F06DE">
      <w:rPr>
        <w:noProof/>
        <w:sz w:val="16"/>
        <w:szCs w:val="22"/>
      </w:rPr>
      <w:t>4</w:t>
    </w:r>
    <w:r w:rsidRPr="00934A2C">
      <w:rPr>
        <w:noProof/>
        <w:sz w:val="16"/>
        <w:szCs w:val="22"/>
      </w:rPr>
      <w:fldChar w:fldCharType="end"/>
    </w:r>
  </w:p>
  <w:p w:rsidR="005E3CCE" w:rsidRDefault="005E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CE" w:rsidRPr="00934A2C" w:rsidRDefault="005E3CCE">
    <w:pPr>
      <w:pStyle w:val="Footer"/>
      <w:jc w:val="center"/>
      <w:rPr>
        <w:sz w:val="16"/>
        <w:szCs w:val="22"/>
      </w:rPr>
    </w:pPr>
  </w:p>
  <w:p w:rsidR="005E3CCE" w:rsidRDefault="005E3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CE" w:rsidRDefault="005E3CCE" w:rsidP="007A61F8">
      <w:r>
        <w:separator/>
      </w:r>
    </w:p>
  </w:footnote>
  <w:footnote w:type="continuationSeparator" w:id="0">
    <w:p w:rsidR="005E3CCE" w:rsidRDefault="005E3CCE" w:rsidP="007A61F8">
      <w:r>
        <w:continuationSeparator/>
      </w:r>
    </w:p>
  </w:footnote>
  <w:footnote w:id="1">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Posteriormente se constituyeron como peticionarios la Fundación Angela María </w:t>
      </w:r>
      <w:proofErr w:type="spellStart"/>
      <w:r w:rsidRPr="005E3CCE">
        <w:rPr>
          <w:rFonts w:ascii="Cambria" w:hAnsi="Cambria"/>
          <w:sz w:val="16"/>
          <w:szCs w:val="16"/>
          <w:lang w:val="es-ES"/>
        </w:rPr>
        <w:t>Aieta</w:t>
      </w:r>
      <w:proofErr w:type="spellEnd"/>
      <w:r w:rsidRPr="005E3CCE">
        <w:rPr>
          <w:rFonts w:ascii="Cambria" w:hAnsi="Cambria"/>
          <w:sz w:val="16"/>
          <w:szCs w:val="16"/>
          <w:lang w:val="es-ES"/>
        </w:rPr>
        <w:t xml:space="preserve"> de </w:t>
      </w:r>
      <w:proofErr w:type="spellStart"/>
      <w:r w:rsidRPr="005E3CCE">
        <w:rPr>
          <w:rFonts w:ascii="Cambria" w:hAnsi="Cambria"/>
          <w:sz w:val="16"/>
          <w:szCs w:val="16"/>
          <w:lang w:val="es-ES"/>
        </w:rPr>
        <w:t>Gullo</w:t>
      </w:r>
      <w:proofErr w:type="spellEnd"/>
      <w:r w:rsidRPr="005E3CCE">
        <w:rPr>
          <w:rFonts w:ascii="Cambria" w:hAnsi="Cambria"/>
          <w:sz w:val="16"/>
          <w:szCs w:val="16"/>
          <w:lang w:val="es-ES"/>
        </w:rPr>
        <w:t xml:space="preserve"> para la Defensa y Promoción de los Derechos Económicos, Sociales y Culturales (FAMAG), así como Juan Méndez. </w:t>
      </w:r>
    </w:p>
  </w:footnote>
  <w:footnote w:id="2">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CIDH, </w:t>
      </w:r>
      <w:hyperlink r:id="rId1" w:history="1">
        <w:r w:rsidRPr="005E3CCE">
          <w:rPr>
            <w:rStyle w:val="Hyperlink"/>
            <w:rFonts w:ascii="Cambria" w:hAnsi="Cambria"/>
            <w:sz w:val="16"/>
            <w:szCs w:val="16"/>
            <w:u w:val="none"/>
            <w:lang w:val="es-ES"/>
          </w:rPr>
          <w:t>Informe No. 67/99</w:t>
        </w:r>
      </w:hyperlink>
      <w:r w:rsidRPr="005E3CCE">
        <w:rPr>
          <w:rFonts w:ascii="Cambria" w:hAnsi="Cambria"/>
          <w:sz w:val="16"/>
          <w:szCs w:val="16"/>
          <w:lang w:val="es-ES"/>
        </w:rPr>
        <w:t xml:space="preserve">, Caso 11.738, Admisibilidad,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y Juan José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 xml:space="preserve">, Argentina, 4 de mayo de 1999. </w:t>
      </w:r>
    </w:p>
  </w:footnote>
  <w:footnote w:id="3">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1. </w:t>
      </w:r>
      <w:r w:rsidRPr="005E3CCE">
        <w:rPr>
          <w:rFonts w:ascii="Cambria" w:hAnsi="Cambria"/>
          <w:sz w:val="16"/>
          <w:szCs w:val="16"/>
          <w:lang w:val="es-ES"/>
        </w:rPr>
        <w:t>Peticiones iniciales. Comunicación del Estado de 31 de octubre de 1997.</w:t>
      </w:r>
    </w:p>
  </w:footnote>
  <w:footnote w:id="4">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Administración Federal de Ingresos Públicos. Disponible en: https://www.afip.gob.ar/impositivaDefault.asp</w:t>
      </w:r>
    </w:p>
  </w:footnote>
  <w:footnote w:id="5">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1. </w:t>
      </w:r>
      <w:r w:rsidRPr="005E3CCE">
        <w:rPr>
          <w:rFonts w:ascii="Cambria" w:hAnsi="Cambria"/>
          <w:sz w:val="16"/>
          <w:szCs w:val="16"/>
          <w:lang w:val="es-ES"/>
        </w:rPr>
        <w:t>Peticiones iniciales. Comunicación del Estado de 31 de octubre de 1997.</w:t>
      </w:r>
    </w:p>
  </w:footnote>
  <w:footnote w:id="6">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2. </w:t>
      </w:r>
      <w:r w:rsidRPr="005E3CCE">
        <w:rPr>
          <w:rFonts w:ascii="Cambria" w:hAnsi="Cambria"/>
          <w:sz w:val="16"/>
          <w:szCs w:val="16"/>
          <w:lang w:val="es-ES"/>
        </w:rPr>
        <w:t xml:space="preserve">Declaración de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Anexo 1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7">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1. </w:t>
      </w:r>
      <w:r w:rsidRPr="005E3CCE">
        <w:rPr>
          <w:rFonts w:ascii="Cambria" w:hAnsi="Cambria"/>
          <w:sz w:val="16"/>
          <w:szCs w:val="16"/>
          <w:lang w:val="es-ES"/>
        </w:rPr>
        <w:t>Peticiones iniciales. Comunicación del Estado de 31 de octubre de 1997.</w:t>
      </w:r>
    </w:p>
  </w:footnote>
  <w:footnote w:id="8">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2. </w:t>
      </w:r>
      <w:r w:rsidRPr="005E3CCE">
        <w:rPr>
          <w:rFonts w:ascii="Cambria" w:hAnsi="Cambria"/>
          <w:sz w:val="16"/>
          <w:szCs w:val="16"/>
          <w:lang w:val="es-ES"/>
        </w:rPr>
        <w:t xml:space="preserve">Declaración de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9">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1. </w:t>
      </w:r>
      <w:r w:rsidRPr="005E3CCE">
        <w:rPr>
          <w:rFonts w:ascii="Cambria" w:hAnsi="Cambria"/>
          <w:sz w:val="16"/>
          <w:szCs w:val="16"/>
          <w:lang w:val="es-ES"/>
        </w:rPr>
        <w:t>Peticiones iniciales. Comunicación del Estado de 31 de octubre de 1997.</w:t>
      </w:r>
    </w:p>
  </w:footnote>
  <w:footnote w:id="10">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2. </w:t>
      </w:r>
      <w:r w:rsidRPr="005E3CCE">
        <w:rPr>
          <w:rFonts w:ascii="Cambria" w:hAnsi="Cambria"/>
          <w:sz w:val="16"/>
          <w:szCs w:val="16"/>
          <w:lang w:val="es-ES"/>
        </w:rPr>
        <w:t xml:space="preserve">Declaración de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Anexo 1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11">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2. </w:t>
      </w:r>
      <w:r w:rsidRPr="005E3CCE">
        <w:rPr>
          <w:rFonts w:ascii="Cambria" w:hAnsi="Cambria"/>
          <w:sz w:val="16"/>
          <w:szCs w:val="16"/>
          <w:lang w:val="es-ES"/>
        </w:rPr>
        <w:t xml:space="preserve">Declaración de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Anexo 1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12">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2. </w:t>
      </w:r>
      <w:r w:rsidRPr="005E3CCE">
        <w:rPr>
          <w:rFonts w:ascii="Cambria" w:hAnsi="Cambria"/>
          <w:sz w:val="16"/>
          <w:szCs w:val="16"/>
          <w:lang w:val="es-ES"/>
        </w:rPr>
        <w:t xml:space="preserve">Acta del Instituto de Detención de la Capital Federal, 15 de octubre de 1982. Anexo 1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13">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Pr>
          <w:rFonts w:ascii="Cambria" w:hAnsi="Cambria"/>
          <w:sz w:val="16"/>
          <w:szCs w:val="16"/>
          <w:lang w:val="es-ES"/>
        </w:rPr>
        <w:t xml:space="preserve">Anexo 2. </w:t>
      </w:r>
      <w:r w:rsidRPr="005E3CCE">
        <w:rPr>
          <w:rFonts w:ascii="Cambria" w:hAnsi="Cambria"/>
          <w:sz w:val="16"/>
          <w:szCs w:val="16"/>
          <w:lang w:val="es-ES"/>
        </w:rPr>
        <w:t xml:space="preserve"> Declaración de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Anexo 1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14">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2. </w:t>
      </w:r>
      <w:r w:rsidRPr="005E3CCE">
        <w:rPr>
          <w:rFonts w:ascii="Cambria" w:hAnsi="Cambria"/>
          <w:sz w:val="16"/>
          <w:szCs w:val="16"/>
          <w:lang w:val="es-ES"/>
        </w:rPr>
        <w:t xml:space="preserve">Oficio del Servicio Penitenciario de la Provincia de Buenos Aires.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15">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1. </w:t>
      </w:r>
      <w:r w:rsidRPr="005E3CCE">
        <w:rPr>
          <w:rFonts w:ascii="Cambria" w:hAnsi="Cambria"/>
          <w:sz w:val="16"/>
          <w:szCs w:val="16"/>
          <w:lang w:val="es-ES"/>
        </w:rPr>
        <w:t xml:space="preserve">Peticiones iniciales. </w:t>
      </w:r>
    </w:p>
  </w:footnote>
  <w:footnote w:id="16">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1. </w:t>
      </w:r>
      <w:r w:rsidRPr="005E3CCE">
        <w:rPr>
          <w:rFonts w:ascii="Cambria" w:hAnsi="Cambria"/>
          <w:sz w:val="16"/>
          <w:szCs w:val="16"/>
          <w:lang w:val="es-ES"/>
        </w:rPr>
        <w:t>Peticiones iniciales. Comunicación del Estado de 31 de octubre de 1997.</w:t>
      </w:r>
    </w:p>
  </w:footnote>
  <w:footnote w:id="17">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1. </w:t>
      </w:r>
      <w:r w:rsidRPr="005E3CCE">
        <w:rPr>
          <w:rFonts w:ascii="Cambria" w:hAnsi="Cambria"/>
          <w:sz w:val="16"/>
          <w:szCs w:val="16"/>
          <w:lang w:val="es-ES"/>
        </w:rPr>
        <w:t>Peticiones iniciales. Comunicación del Estado de 31 de octubre de 1997.</w:t>
      </w:r>
    </w:p>
  </w:footnote>
  <w:footnote w:id="18">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hyperlink r:id="rId2" w:history="1">
        <w:r w:rsidRPr="005E3CCE">
          <w:rPr>
            <w:rStyle w:val="Hyperlink"/>
            <w:rFonts w:ascii="Cambria" w:hAnsi="Cambria"/>
            <w:sz w:val="16"/>
            <w:szCs w:val="16"/>
            <w:u w:val="none"/>
            <w:lang w:val="es-ES"/>
          </w:rPr>
          <w:t>Ley No. 24.043</w:t>
        </w:r>
      </w:hyperlink>
      <w:r>
        <w:rPr>
          <w:rStyle w:val="Hyperlink"/>
          <w:rFonts w:ascii="Cambria" w:hAnsi="Cambria"/>
          <w:sz w:val="16"/>
          <w:szCs w:val="16"/>
          <w:u w:val="none"/>
          <w:lang w:val="es-ES"/>
        </w:rPr>
        <w:t xml:space="preserve"> – Indemnización para ex Detenidos</w:t>
      </w:r>
      <w:r w:rsidRPr="005E3CCE">
        <w:rPr>
          <w:rFonts w:ascii="Cambria" w:hAnsi="Cambria"/>
          <w:sz w:val="16"/>
          <w:szCs w:val="16"/>
          <w:lang w:val="es-ES"/>
        </w:rPr>
        <w:t xml:space="preserve">. </w:t>
      </w:r>
    </w:p>
  </w:footnote>
  <w:footnote w:id="19">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1. </w:t>
      </w:r>
      <w:r w:rsidRPr="005E3CCE">
        <w:rPr>
          <w:rFonts w:ascii="Cambria" w:hAnsi="Cambria"/>
          <w:sz w:val="16"/>
          <w:szCs w:val="16"/>
          <w:lang w:val="es-ES"/>
        </w:rPr>
        <w:t>Comunicación del Estado de 7 de febrero de 2001.</w:t>
      </w:r>
    </w:p>
  </w:footnote>
  <w:footnote w:id="20">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1. </w:t>
      </w:r>
      <w:r w:rsidRPr="005E3CCE">
        <w:rPr>
          <w:rFonts w:ascii="Cambria" w:hAnsi="Cambria"/>
          <w:sz w:val="16"/>
          <w:szCs w:val="16"/>
          <w:lang w:val="es-ES"/>
        </w:rPr>
        <w:t>Comunicación del Estado de 7 de febrero de 2001.</w:t>
      </w:r>
    </w:p>
  </w:footnote>
  <w:footnote w:id="21">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Pr>
          <w:rFonts w:ascii="Cambria" w:hAnsi="Cambria"/>
          <w:sz w:val="16"/>
          <w:szCs w:val="16"/>
        </w:rPr>
        <w:t xml:space="preserve"> </w:t>
      </w:r>
      <w:r>
        <w:rPr>
          <w:rFonts w:ascii="Cambria" w:hAnsi="Cambria"/>
          <w:sz w:val="16"/>
          <w:szCs w:val="16"/>
          <w:lang w:val="es-ES"/>
        </w:rPr>
        <w:t xml:space="preserve">Anexo 1. </w:t>
      </w:r>
      <w:r w:rsidRPr="005E3CCE">
        <w:rPr>
          <w:rFonts w:ascii="Cambria" w:hAnsi="Cambria"/>
          <w:sz w:val="16"/>
          <w:szCs w:val="16"/>
          <w:lang w:val="es-ES"/>
        </w:rPr>
        <w:t xml:space="preserve"> Comunicación del Estado de 7 de febrero de 2001.</w:t>
      </w:r>
    </w:p>
  </w:footnote>
  <w:footnote w:id="22">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1. </w:t>
      </w:r>
      <w:r w:rsidRPr="005E3CCE">
        <w:rPr>
          <w:rFonts w:ascii="Cambria" w:hAnsi="Cambria"/>
          <w:sz w:val="16"/>
          <w:szCs w:val="16"/>
          <w:lang w:val="es-ES"/>
        </w:rPr>
        <w:t>Comunicación del Estado de 7 de febrero de 2001.</w:t>
      </w:r>
    </w:p>
  </w:footnote>
  <w:footnote w:id="23">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1. </w:t>
      </w:r>
      <w:r w:rsidRPr="005E3CCE">
        <w:rPr>
          <w:rFonts w:ascii="Cambria" w:hAnsi="Cambria"/>
          <w:sz w:val="16"/>
          <w:szCs w:val="16"/>
          <w:lang w:val="es-ES"/>
        </w:rPr>
        <w:t>Peticiones iniciales. Comunicación del Estado de 31 de octubre de 1997.</w:t>
      </w:r>
    </w:p>
  </w:footnote>
  <w:footnote w:id="24">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Reglamento de Investigaciones. </w:t>
      </w:r>
      <w:hyperlink r:id="rId3" w:history="1">
        <w:r w:rsidRPr="005E3CCE">
          <w:rPr>
            <w:rStyle w:val="Hyperlink"/>
            <w:rFonts w:ascii="Cambria" w:hAnsi="Cambria"/>
            <w:sz w:val="16"/>
            <w:szCs w:val="16"/>
            <w:u w:val="none"/>
            <w:lang w:val="es-ES"/>
          </w:rPr>
          <w:t>Decreto No. 1798/80</w:t>
        </w:r>
      </w:hyperlink>
      <w:r w:rsidRPr="005E3CCE">
        <w:rPr>
          <w:rFonts w:ascii="Cambria" w:hAnsi="Cambria"/>
          <w:sz w:val="16"/>
          <w:szCs w:val="16"/>
          <w:lang w:val="es-ES"/>
        </w:rPr>
        <w:t xml:space="preserve">. Artículo 2. </w:t>
      </w:r>
    </w:p>
  </w:footnote>
  <w:footnote w:id="25">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Reglamento de Investigaciones. </w:t>
      </w:r>
      <w:hyperlink r:id="rId4" w:history="1">
        <w:r w:rsidRPr="005E3CCE">
          <w:rPr>
            <w:rStyle w:val="Hyperlink"/>
            <w:rFonts w:ascii="Cambria" w:hAnsi="Cambria"/>
            <w:sz w:val="16"/>
            <w:szCs w:val="16"/>
            <w:u w:val="none"/>
            <w:lang w:val="es-ES"/>
          </w:rPr>
          <w:t>Decreto No. 1798/80</w:t>
        </w:r>
      </w:hyperlink>
      <w:r w:rsidRPr="005E3CCE">
        <w:rPr>
          <w:rFonts w:ascii="Cambria" w:hAnsi="Cambria"/>
          <w:sz w:val="16"/>
          <w:szCs w:val="16"/>
          <w:lang w:val="es-ES"/>
        </w:rPr>
        <w:t xml:space="preserve">.  </w:t>
      </w:r>
    </w:p>
  </w:footnote>
  <w:footnote w:id="26">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Oficio de la DGI, 27 de julio de 1976.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27">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Oficio de la DGI, 27 de julio de 1976.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28">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Oficio del Coronel de la Agrupación de Artillería de Defensa Aérea, 27 de julio de 1976.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29">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Oficios de la DGI, 10 de agosto de 1976.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30">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Oficios de la DGI, 10 de agosto de 1976.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31">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Oficio de la DGI, 26 de agosto de 1976.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32">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Oficio del Coronel de la Agrupación de Artillería de Defensa Aérea, 21 de octubre de 1976.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33">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 la Junta de Disciplina de la DGI, 10 de abril de 1979.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34">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 la Junta de Disciplina de la DGI, 10 de abril de 1979.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35">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Demanda ante juez federal, 24 de junio de 1988.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36">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Demanda ante juez federal, 24 de junio de 1988.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37">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Oficio de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27 de abril de 1983.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38">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Declaración de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23 de agosto de 1983.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39">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Comunicación de Juan José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 xml:space="preserve">, 20 de febrero de 1984. Sumario administrativo. Anexo a la petición inicial sobre Juan José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40">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Oficio del Jefe de Departamento de Recursos Humanos de la DGI, 7 de septiembre de 1984. Sumario administrativo. Anexo a la petición inicial sobre Juan José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41">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Resolución del Director General de la DGI, 16 de octubre de 1984.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42">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Resolución del Director General de la DGI, 16 de octubre de 1984.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43">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1. </w:t>
      </w:r>
      <w:r w:rsidRPr="005E3CCE">
        <w:rPr>
          <w:rFonts w:ascii="Cambria" w:hAnsi="Cambria"/>
          <w:sz w:val="16"/>
          <w:szCs w:val="16"/>
          <w:lang w:val="es-ES"/>
        </w:rPr>
        <w:t>Peticiones iniciales.</w:t>
      </w:r>
    </w:p>
  </w:footnote>
  <w:footnote w:id="44">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Oficio de Elba Clotilde, 27 de abril de 1983.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45">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Oficio de Elba Clotilde, 27 de abril de 1983.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46">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del Departamento de Asesoría Legal de la DGI, mayo de 1984.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47">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del Departamento de Asesoría Legal de la DGI, mayo de 1984.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48">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del Departamento de Asesoría Legal de la DGI, mayo de 1984.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49">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del Departamento de Asesoría Legal de la DGI, mayo de 1984.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50">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 la Dirección de Asuntos Técnicos y Jurídicos de la DGI, 28 de mayo de 1985.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51">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 la Dirección de Asuntos Técnicos y Jurídicos de la DGI, 28 de mayo de 1985.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52">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 la Dirección de Asuntos Técnicos y Jurídicos de la DGI, 28 de mayo de 1985.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53">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 la Dirección General de Asuntos Jurídicos del Ministerio de Economía, 24 de julio de 1985.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54">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 la Dirección General de Asuntos Jurídicos del Ministerio de Economía, 24 de julio de 1985.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55">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Para mayor información, véase: </w:t>
      </w:r>
      <w:hyperlink r:id="rId5" w:history="1">
        <w:r w:rsidRPr="005E3CCE">
          <w:rPr>
            <w:rStyle w:val="Hyperlink"/>
            <w:rFonts w:ascii="Cambria" w:hAnsi="Cambria"/>
            <w:sz w:val="16"/>
            <w:szCs w:val="16"/>
            <w:u w:val="none"/>
            <w:lang w:val="es-ES"/>
          </w:rPr>
          <w:t>Sistema Argentino de Información Jurídica</w:t>
        </w:r>
      </w:hyperlink>
      <w:r w:rsidRPr="005E3CCE">
        <w:rPr>
          <w:rFonts w:ascii="Cambria" w:hAnsi="Cambria"/>
          <w:sz w:val="16"/>
          <w:szCs w:val="16"/>
          <w:lang w:val="es-ES"/>
        </w:rPr>
        <w:t>.</w:t>
      </w:r>
    </w:p>
  </w:footnote>
  <w:footnote w:id="56">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 la Dirección General de Asuntos Jurídicos del Ministerio de Economía, 24 de julio de 1985.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57">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Sentencia del Poder Judicial de la Nación, Noviembre de 1987. Sumario administrativo. Anexo a la petición inicial sobre Juan José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58">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 la Procuración del Tesoro de la Nación, 19 de septiembre de 1986.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59">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Dictamen de la Procuración del Tesoro de la Nación, 19 de septiembre de 1986.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w:t>
      </w:r>
    </w:p>
  </w:footnote>
  <w:footnote w:id="60">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Resolución No. 75/87 del Director General de la DGI, 19 de marzo de 1987.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61">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Resolución No. 75/87 del Director General de la DGI, 19 de marzo de 1987. Sumario administrativo.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62">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Resolución No. 1217 del Ministerio de Economía, 17 de diciembre de 1987. Sumario administrativo.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63">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Resolución No. 1217 del Ministerio de Economía, 17 de diciembre de 1987. Sumario administrativo.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64">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3. </w:t>
      </w:r>
      <w:r w:rsidRPr="005E3CCE">
        <w:rPr>
          <w:rFonts w:ascii="Cambria" w:hAnsi="Cambria"/>
          <w:sz w:val="16"/>
          <w:szCs w:val="16"/>
          <w:lang w:val="es-ES"/>
        </w:rPr>
        <w:t xml:space="preserve">Resolución No. 1217 del Ministerio de Economía, 17 de diciembre de 1987. Sumario administrativo.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65">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Demanda ante juez federal, 24 de junio de 1988.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Demanda ante juez federal, 24 de junio de 1988.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66">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Demanda ante juez federal, 24 de junio de 1988.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Demanda ante juez federal, 24 de junio de 1988.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67">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hyperlink r:id="rId6" w:history="1">
        <w:r w:rsidRPr="005E3CCE">
          <w:rPr>
            <w:rStyle w:val="Hyperlink"/>
            <w:rFonts w:ascii="Cambria" w:hAnsi="Cambria"/>
            <w:sz w:val="16"/>
            <w:szCs w:val="16"/>
            <w:u w:val="none"/>
            <w:lang w:val="es-ES"/>
          </w:rPr>
          <w:t>Decreto 3413 de 1979</w:t>
        </w:r>
      </w:hyperlink>
      <w:r w:rsidRPr="005E3CCE">
        <w:rPr>
          <w:rFonts w:ascii="Cambria" w:hAnsi="Cambria"/>
          <w:sz w:val="16"/>
          <w:szCs w:val="16"/>
          <w:lang w:val="es-ES"/>
        </w:rPr>
        <w:t xml:space="preserve">. </w:t>
      </w:r>
    </w:p>
  </w:footnote>
  <w:footnote w:id="68">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Demanda ante juez federal, 24 de junio de 1988.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Demanda ante juez federal, 24 de junio de 1988.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69">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Demanda ante juez federal, 24 de junio de 1988.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Demanda ante juez federal, 24 de junio de 1988.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70">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Demanda ante juez federal, 24 de junio de 1988.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Demanda ante juez federal, 24 de junio de 1988.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71">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Demanda ante juez federal, 24 de junio de 1988.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72">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Demanda ante juez federal, 24 de junio de 1988.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73">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Resolución del Juez Federal, 12 de febrero de 1992.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Resolución del Juez Federal, 6 de febrero de 1992.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74">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Resolución del Juez Federal, 12 de febrero de 1992.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 xml:space="preserve">. Resolución del Juez Federal, 6 de febrero de 1992.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75">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Recurso de apelación, sin fecha.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76">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Recurso de apelación, sin fecha.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77">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Recurso de apelación, sin fecha.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78">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Sentencia de la Cámara de Apelaciones, 24 de noviembre de 1992.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79">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Sentencia de la Cámara de Apelaciones, 24 de noviembre de 1992.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80">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Recurso extraordinario de apelación ante la Corte Suprema, 24 de diciembre de 1992.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 xml:space="preserve">. </w:t>
      </w:r>
    </w:p>
  </w:footnote>
  <w:footnote w:id="81">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Recurso extraordinario de apelación ante la Corte Suprema, 24 de diciembre de 1992.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 xml:space="preserve">. </w:t>
      </w:r>
    </w:p>
  </w:footnote>
  <w:footnote w:id="82">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Recurso extraordinario de apelación ante la Corte Suprema, 24 de diciembre de 1992.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 xml:space="preserve">. </w:t>
      </w:r>
    </w:p>
  </w:footnote>
  <w:footnote w:id="83">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Sentencia de la Sala Contencioso Administrativo, 4 de marzo de 1993.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84">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Sentencia de la Sala Contencioso Administrativo, 4 de marzo de 1993.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85">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Recurso de queja de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 xml:space="preserve">, sin fecha.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86">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Resolución de la Corte Suprema de Justicia de la Nación, 21 de mayo de 1996.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w:t>
      </w:r>
    </w:p>
  </w:footnote>
  <w:footnote w:id="87">
    <w:p w:rsidR="005E3CCE" w:rsidRPr="005E3CCE" w:rsidRDefault="005E3CCE" w:rsidP="00FA64F3">
      <w:pPr>
        <w:pStyle w:val="FootnoteText"/>
        <w:spacing w:after="120"/>
        <w:ind w:firstLine="720"/>
        <w:jc w:val="both"/>
        <w:rPr>
          <w:rStyle w:val="ColorfulList-Accent1Char"/>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Resolución de la Corte Suprema de Justicia de la Nación, 21 de mayo de 1996.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 xml:space="preserve">. Artículo 280 del Código Procesal Civil y Comercial de la Nación: (…) </w:t>
      </w:r>
      <w:r w:rsidRPr="005E3CCE">
        <w:rPr>
          <w:rStyle w:val="ColorfulList-Accent1Char"/>
          <w:sz w:val="16"/>
          <w:szCs w:val="16"/>
          <w:lang w:val="es-ES"/>
        </w:rPr>
        <w:t>Cuando la Corte Suprema conociere por recurso extraordinario, la recepción de la causa implicará el llamamiento de autos. La Corte, según su sana discreción, y con la sola invocación de esta norma, podrá rechazar el recurso extraordinario, por falta de agravio federal suficiente o cuando las cuestiones planteadas resultaren insustanciales o carentes de trascendencia.</w:t>
      </w:r>
      <w:r w:rsidRPr="005E3CCE">
        <w:rPr>
          <w:rStyle w:val="ColorfulList-Accent1Char"/>
          <w:sz w:val="16"/>
          <w:szCs w:val="16"/>
          <w:lang w:val="es-CO"/>
        </w:rPr>
        <w:t xml:space="preserve"> </w:t>
      </w:r>
      <w:r w:rsidRPr="005E3CCE">
        <w:rPr>
          <w:rStyle w:val="ColorfulList-Accent1Char"/>
          <w:sz w:val="16"/>
          <w:szCs w:val="16"/>
          <w:lang w:val="es-ES"/>
        </w:rPr>
        <w:t>(...).</w:t>
      </w:r>
    </w:p>
  </w:footnote>
  <w:footnote w:id="88">
    <w:p w:rsidR="005E3CCE" w:rsidRPr="005E3CCE" w:rsidRDefault="005E3CCE" w:rsidP="00FA64F3">
      <w:pPr>
        <w:pStyle w:val="FootnoteText"/>
        <w:spacing w:after="120"/>
        <w:ind w:firstLine="720"/>
        <w:jc w:val="both"/>
        <w:rPr>
          <w:rStyle w:val="ColorfulList-Accent1Char"/>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Resolución de la Corte Suprema de Justicia de la Nación, 21 de mayo de 1996. Antecedentes judiciales. Anexo a la petición inicial sobre Juan </w:t>
      </w:r>
      <w:proofErr w:type="spellStart"/>
      <w:r w:rsidRPr="005E3CCE">
        <w:rPr>
          <w:rFonts w:ascii="Cambria" w:hAnsi="Cambria"/>
          <w:sz w:val="16"/>
          <w:szCs w:val="16"/>
          <w:lang w:val="es-ES"/>
        </w:rPr>
        <w:t>Preckel</w:t>
      </w:r>
      <w:proofErr w:type="spellEnd"/>
      <w:r w:rsidRPr="005E3CCE">
        <w:rPr>
          <w:rFonts w:ascii="Cambria" w:hAnsi="Cambria"/>
          <w:sz w:val="16"/>
          <w:szCs w:val="16"/>
          <w:lang w:val="es-ES"/>
        </w:rPr>
        <w:t xml:space="preserve">. </w:t>
      </w:r>
    </w:p>
  </w:footnote>
  <w:footnote w:id="89">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Recurso de apelación, 6 de mayo de 1992.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90">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Recurso de apelación, 6 de mayo de 1992.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91">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Sentencia de la Cámara de Apelaciones, 21 de septiembre de 1983.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92">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Sentencia de la Cámara de Apelaciones, 21 de septiembre de 1983.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93">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Sentencia de la Cámara de Apelaciones, 21 de septiembre de 1983.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94">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Sentencia de la Cámara de Apelaciones, 21 de septiembre de 1983.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95">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 xml:space="preserve">Sentencia de la Cámara de Apelaciones, 21 de septiembre de 1983. Antecedentes judiciales. Anexo a la petición inicial sobre Elba Clotilde </w:t>
      </w:r>
      <w:proofErr w:type="spellStart"/>
      <w:r w:rsidRPr="005E3CCE">
        <w:rPr>
          <w:rFonts w:ascii="Cambria" w:hAnsi="Cambria"/>
          <w:sz w:val="16"/>
          <w:szCs w:val="16"/>
          <w:lang w:val="es-ES"/>
        </w:rPr>
        <w:t>Perrone</w:t>
      </w:r>
      <w:proofErr w:type="spellEnd"/>
      <w:r w:rsidRPr="005E3CCE">
        <w:rPr>
          <w:rFonts w:ascii="Cambria" w:hAnsi="Cambria"/>
          <w:sz w:val="16"/>
          <w:szCs w:val="16"/>
          <w:lang w:val="es-ES"/>
        </w:rPr>
        <w:t>.</w:t>
      </w:r>
    </w:p>
  </w:footnote>
  <w:footnote w:id="96">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Recurso extraordinario ante la Corte Suprema, 15 de octubre de 1993. Antecedentes judiciales. Anexo a la petición inicial sobre Elba Clotilde.</w:t>
      </w:r>
    </w:p>
  </w:footnote>
  <w:footnote w:id="97">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Recurso extraordinario ante la Corte Suprema, 15 de octubre de 1993. Antecedentes judiciales. Anexo a la petición inicial sobre Elba Clotilde.</w:t>
      </w:r>
    </w:p>
  </w:footnote>
  <w:footnote w:id="98">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Recurso extraordinario ante la Corte Suprema, 15 de octubre de 1993. Antecedentes judiciales. Anexo a la petición inicial sobre Elba Clotilde.</w:t>
      </w:r>
    </w:p>
  </w:footnote>
  <w:footnote w:id="99">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Pr>
          <w:rFonts w:ascii="Cambria" w:hAnsi="Cambria"/>
          <w:sz w:val="16"/>
          <w:szCs w:val="16"/>
          <w:lang w:val="es-ES"/>
        </w:rPr>
        <w:t xml:space="preserve">Anexo 4. </w:t>
      </w:r>
      <w:r w:rsidRPr="005E3CCE">
        <w:rPr>
          <w:rFonts w:ascii="Cambria" w:hAnsi="Cambria"/>
          <w:sz w:val="16"/>
          <w:szCs w:val="16"/>
          <w:lang w:val="es-ES"/>
        </w:rPr>
        <w:t>Sentencia de la Corte Suprema de Justicia de la Nación, 21 de mayo de 1996. Antecedentes judiciales. Anexo a la petición inicial sobre Elba Clotilde.</w:t>
      </w:r>
    </w:p>
  </w:footnote>
  <w:footnote w:id="100">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sidR="00863C3A">
        <w:rPr>
          <w:rFonts w:ascii="Cambria" w:hAnsi="Cambria"/>
          <w:sz w:val="16"/>
          <w:szCs w:val="16"/>
          <w:lang w:val="es-ES"/>
        </w:rPr>
        <w:t xml:space="preserve">Anexo 4. </w:t>
      </w:r>
      <w:r w:rsidRPr="005E3CCE">
        <w:rPr>
          <w:rFonts w:ascii="Cambria" w:hAnsi="Cambria"/>
          <w:sz w:val="16"/>
          <w:szCs w:val="16"/>
          <w:lang w:val="es-ES"/>
        </w:rPr>
        <w:t>Sentencia de la Corte Suprema de Justicia de la Nación, 21 de mayo de 1996. Antecedentes judiciales. Anexo a la petición inicial sobre Elba Clotilde.</w:t>
      </w:r>
    </w:p>
  </w:footnote>
  <w:footnote w:id="101">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sidR="00863C3A">
        <w:rPr>
          <w:rFonts w:ascii="Cambria" w:hAnsi="Cambria"/>
          <w:sz w:val="16"/>
          <w:szCs w:val="16"/>
          <w:lang w:val="es-ES"/>
        </w:rPr>
        <w:t xml:space="preserve">Anexo 1. </w:t>
      </w:r>
      <w:r w:rsidRPr="005E3CCE">
        <w:rPr>
          <w:rFonts w:ascii="Cambria" w:hAnsi="Cambria"/>
          <w:sz w:val="16"/>
          <w:szCs w:val="16"/>
          <w:lang w:val="es-ES"/>
        </w:rPr>
        <w:t>Comunicación de los peticionarios de 10 de octubre de 2006.</w:t>
      </w:r>
    </w:p>
  </w:footnote>
  <w:footnote w:id="102">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sidR="00863C3A">
        <w:rPr>
          <w:rFonts w:ascii="Cambria" w:hAnsi="Cambria"/>
          <w:sz w:val="16"/>
          <w:szCs w:val="16"/>
          <w:lang w:val="es-ES"/>
        </w:rPr>
        <w:t xml:space="preserve">Anexo 1. </w:t>
      </w:r>
      <w:r w:rsidRPr="005E3CCE">
        <w:rPr>
          <w:rFonts w:ascii="Cambria" w:hAnsi="Cambria"/>
          <w:sz w:val="16"/>
          <w:szCs w:val="16"/>
          <w:lang w:val="es-ES"/>
        </w:rPr>
        <w:t>Comunicación de los peticionarios de 10 de octubre de 2006.</w:t>
      </w:r>
    </w:p>
  </w:footnote>
  <w:footnote w:id="103">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sidR="00863C3A">
        <w:rPr>
          <w:rFonts w:ascii="Cambria" w:hAnsi="Cambria"/>
          <w:sz w:val="16"/>
          <w:szCs w:val="16"/>
          <w:lang w:val="es-ES"/>
        </w:rPr>
        <w:t xml:space="preserve">Anexo 1. </w:t>
      </w:r>
      <w:r w:rsidRPr="005E3CCE">
        <w:rPr>
          <w:rFonts w:ascii="Cambria" w:hAnsi="Cambria"/>
          <w:sz w:val="16"/>
          <w:szCs w:val="16"/>
          <w:lang w:val="es-ES"/>
        </w:rPr>
        <w:t>Comunicación de los peticionarios de 10 de octubre de 2006.</w:t>
      </w:r>
    </w:p>
  </w:footnote>
  <w:footnote w:id="104">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pt-BR"/>
        </w:rPr>
        <w:t xml:space="preserve"> </w:t>
      </w:r>
      <w:r w:rsidRPr="005E3CCE">
        <w:rPr>
          <w:rFonts w:ascii="Cambria" w:hAnsi="Cambria" w:cs="Verdana"/>
          <w:bCs/>
          <w:sz w:val="16"/>
          <w:szCs w:val="16"/>
          <w:bdr w:val="none" w:sz="0" w:space="0" w:color="auto"/>
          <w:lang w:val="pt-BR"/>
        </w:rPr>
        <w:t xml:space="preserve">Corte IDH. </w:t>
      </w:r>
      <w:r w:rsidRPr="005E3CCE">
        <w:rPr>
          <w:rFonts w:ascii="Cambria" w:hAnsi="Cambria" w:cs="Verdana"/>
          <w:bCs/>
          <w:i/>
          <w:sz w:val="16"/>
          <w:szCs w:val="16"/>
          <w:bdr w:val="none" w:sz="0" w:space="0" w:color="auto"/>
          <w:lang w:val="pt-BR"/>
        </w:rPr>
        <w:t xml:space="preserve">Caso Mémoli Vs. </w:t>
      </w:r>
      <w:r w:rsidRPr="005E3CCE">
        <w:rPr>
          <w:rFonts w:ascii="Cambria" w:hAnsi="Cambria" w:cs="Verdana"/>
          <w:bCs/>
          <w:i/>
          <w:sz w:val="16"/>
          <w:szCs w:val="16"/>
          <w:bdr w:val="none" w:sz="0" w:space="0" w:color="auto"/>
          <w:lang w:val="es-ES"/>
        </w:rPr>
        <w:t>Argentina</w:t>
      </w:r>
      <w:r w:rsidRPr="005E3CCE">
        <w:rPr>
          <w:rFonts w:ascii="Cambria" w:hAnsi="Cambria" w:cs="Verdana"/>
          <w:bCs/>
          <w:sz w:val="16"/>
          <w:szCs w:val="16"/>
          <w:bdr w:val="none" w:sz="0" w:space="0" w:color="auto"/>
          <w:lang w:val="es-ES"/>
        </w:rPr>
        <w:t>. Excepciones Preliminares, Fondo, Reparaciones y Costas. Sentencia de 22 de agosto de 2013. Serie C No. 265,</w:t>
      </w:r>
      <w:r w:rsidRPr="005E3CCE">
        <w:rPr>
          <w:rFonts w:ascii="Cambria" w:hAnsi="Cambria"/>
          <w:sz w:val="16"/>
          <w:szCs w:val="16"/>
          <w:lang w:val="es-ES"/>
        </w:rPr>
        <w:t xml:space="preserve"> párr. 47. </w:t>
      </w:r>
    </w:p>
  </w:footnote>
  <w:footnote w:id="105">
    <w:p w:rsidR="005E3CCE" w:rsidRPr="005E3CCE" w:rsidRDefault="005E3CCE" w:rsidP="00FA64F3">
      <w:pPr>
        <w:pStyle w:val="FootnoteText"/>
        <w:tabs>
          <w:tab w:val="left" w:pos="360"/>
        </w:tabs>
        <w:spacing w:after="120"/>
        <w:ind w:firstLine="720"/>
        <w:jc w:val="both"/>
        <w:rPr>
          <w:rFonts w:ascii="Cambria" w:hAnsi="Cambria"/>
          <w:sz w:val="16"/>
          <w:szCs w:val="16"/>
          <w:lang w:val="es-CR"/>
        </w:rPr>
      </w:pPr>
      <w:r w:rsidRPr="005E3CCE">
        <w:rPr>
          <w:rStyle w:val="FootnoteReference"/>
          <w:rFonts w:ascii="Cambria" w:hAnsi="Cambria"/>
          <w:sz w:val="16"/>
          <w:szCs w:val="16"/>
        </w:rPr>
        <w:footnoteRef/>
      </w:r>
      <w:r w:rsidRPr="005E3CCE">
        <w:rPr>
          <w:rFonts w:ascii="Cambria" w:hAnsi="Cambria"/>
          <w:sz w:val="16"/>
          <w:szCs w:val="16"/>
          <w:lang w:val="es-CO"/>
        </w:rPr>
        <w:t xml:space="preserve"> </w:t>
      </w:r>
      <w:r w:rsidRPr="005E3CCE">
        <w:rPr>
          <w:rStyle w:val="Strong"/>
          <w:rFonts w:ascii="Cambria" w:hAnsi="Cambria"/>
          <w:b w:val="0"/>
          <w:sz w:val="16"/>
          <w:szCs w:val="16"/>
          <w:lang w:val="es-CO"/>
        </w:rPr>
        <w:t xml:space="preserve">Corte IDH. </w:t>
      </w:r>
      <w:r w:rsidRPr="005E3CCE">
        <w:rPr>
          <w:rStyle w:val="Strong"/>
          <w:rFonts w:ascii="Cambria" w:hAnsi="Cambria"/>
          <w:b w:val="0"/>
          <w:i/>
          <w:sz w:val="16"/>
          <w:szCs w:val="16"/>
          <w:lang w:val="es-CO"/>
        </w:rPr>
        <w:t>Caso García Lucero y otras Vs. Chile</w:t>
      </w:r>
      <w:r w:rsidRPr="005E3CCE">
        <w:rPr>
          <w:rStyle w:val="Strong"/>
          <w:rFonts w:ascii="Cambria" w:hAnsi="Cambria"/>
          <w:b w:val="0"/>
          <w:sz w:val="16"/>
          <w:szCs w:val="16"/>
          <w:lang w:val="es-CO"/>
        </w:rPr>
        <w:t xml:space="preserve">. Excepción Preliminar, Fondo y Reparaciones. Sentencia de 28 de agosto de 2013. Serie C No. 267. Párr. 190. </w:t>
      </w:r>
    </w:p>
  </w:footnote>
  <w:footnote w:id="106">
    <w:p w:rsidR="005E3CCE" w:rsidRPr="005E3CCE" w:rsidRDefault="005E3CCE" w:rsidP="00FA64F3">
      <w:pPr>
        <w:pStyle w:val="FootnoteText"/>
        <w:tabs>
          <w:tab w:val="left" w:pos="360"/>
        </w:tabs>
        <w:spacing w:after="120"/>
        <w:ind w:firstLine="720"/>
        <w:jc w:val="both"/>
        <w:rPr>
          <w:rFonts w:ascii="Cambria" w:hAnsi="Cambria"/>
          <w:sz w:val="16"/>
          <w:szCs w:val="16"/>
          <w:lang w:val="es-CR"/>
        </w:rPr>
      </w:pPr>
      <w:r w:rsidRPr="005E3CCE">
        <w:rPr>
          <w:rStyle w:val="FootnoteReference"/>
          <w:rFonts w:ascii="Cambria" w:hAnsi="Cambria"/>
          <w:sz w:val="16"/>
          <w:szCs w:val="16"/>
        </w:rPr>
        <w:footnoteRef/>
      </w:r>
      <w:r w:rsidRPr="005E3CCE">
        <w:rPr>
          <w:rFonts w:ascii="Cambria" w:hAnsi="Cambria"/>
          <w:sz w:val="16"/>
          <w:szCs w:val="16"/>
          <w:lang w:val="es-CO"/>
        </w:rPr>
        <w:t xml:space="preserve"> </w:t>
      </w:r>
      <w:r w:rsidRPr="005E3CCE">
        <w:rPr>
          <w:rStyle w:val="Strong"/>
          <w:rFonts w:ascii="Cambria" w:hAnsi="Cambria"/>
          <w:b w:val="0"/>
          <w:sz w:val="16"/>
          <w:szCs w:val="16"/>
          <w:lang w:val="es-CO"/>
        </w:rPr>
        <w:t xml:space="preserve">Corte IDH. </w:t>
      </w:r>
      <w:r w:rsidRPr="005E3CCE">
        <w:rPr>
          <w:rStyle w:val="Strong"/>
          <w:rFonts w:ascii="Cambria" w:hAnsi="Cambria"/>
          <w:b w:val="0"/>
          <w:i/>
          <w:sz w:val="16"/>
          <w:szCs w:val="16"/>
          <w:lang w:val="es-CO"/>
        </w:rPr>
        <w:t>Caso García Lucero y otras Vs. Chile</w:t>
      </w:r>
      <w:r w:rsidRPr="005E3CCE">
        <w:rPr>
          <w:rStyle w:val="Strong"/>
          <w:rFonts w:ascii="Cambria" w:hAnsi="Cambria"/>
          <w:b w:val="0"/>
          <w:sz w:val="16"/>
          <w:szCs w:val="16"/>
          <w:lang w:val="es-CO"/>
        </w:rPr>
        <w:t xml:space="preserve">. Excepción Preliminar, Fondo y Reparaciones. Sentencia de 28 de agosto de 2013. Serie C No. 267. Párr. 192. </w:t>
      </w:r>
    </w:p>
  </w:footnote>
  <w:footnote w:id="107">
    <w:p w:rsidR="005E3CCE" w:rsidRPr="005E3CCE" w:rsidRDefault="005E3CCE" w:rsidP="00FA64F3">
      <w:pPr>
        <w:pStyle w:val="Default"/>
        <w:tabs>
          <w:tab w:val="left" w:pos="360"/>
        </w:tabs>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CIDH. </w:t>
      </w:r>
      <w:hyperlink r:id="rId7" w:history="1">
        <w:r w:rsidRPr="005E3CCE">
          <w:rPr>
            <w:rStyle w:val="Hyperlink"/>
            <w:rFonts w:ascii="Cambria" w:hAnsi="Cambria"/>
            <w:i/>
            <w:sz w:val="16"/>
            <w:szCs w:val="16"/>
            <w:u w:val="none"/>
            <w:lang w:val="es-ES"/>
          </w:rPr>
          <w:t>Lineamientos principales para una política integral de reparaciones</w:t>
        </w:r>
      </w:hyperlink>
      <w:r w:rsidRPr="005E3CCE">
        <w:rPr>
          <w:rFonts w:ascii="Cambria" w:hAnsi="Cambria"/>
          <w:sz w:val="16"/>
          <w:szCs w:val="16"/>
          <w:lang w:val="es-ES"/>
        </w:rPr>
        <w:t>,</w:t>
      </w:r>
      <w:r w:rsidRPr="005E3CCE">
        <w:rPr>
          <w:rFonts w:ascii="Cambria" w:hAnsi="Cambria"/>
          <w:sz w:val="16"/>
          <w:szCs w:val="16"/>
          <w:lang w:val="es-ES" w:eastAsia="es-ES"/>
        </w:rPr>
        <w:t xml:space="preserve"> </w:t>
      </w:r>
      <w:r w:rsidRPr="005E3CCE">
        <w:rPr>
          <w:rFonts w:ascii="Cambria" w:hAnsi="Cambria" w:cs="Univers"/>
          <w:sz w:val="16"/>
          <w:szCs w:val="16"/>
          <w:lang w:val="es-ES" w:eastAsia="es-ES"/>
        </w:rPr>
        <w:t xml:space="preserve">OEA/Ser/L/V/II.131, Doc. 1, </w:t>
      </w:r>
      <w:r w:rsidRPr="005E3CCE">
        <w:rPr>
          <w:rFonts w:ascii="Cambria" w:eastAsia="Arial Unicode MS" w:hAnsi="Cambria" w:cs="Univers"/>
          <w:sz w:val="16"/>
          <w:szCs w:val="16"/>
          <w:lang w:val="es-ES"/>
        </w:rPr>
        <w:t>19 de febrero de 2008, párr. 5.</w:t>
      </w:r>
    </w:p>
  </w:footnote>
  <w:footnote w:id="108">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09">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sidRPr="005E3CCE">
        <w:rPr>
          <w:rFonts w:ascii="Cambria" w:hAnsi="Cambria"/>
          <w:sz w:val="16"/>
          <w:szCs w:val="16"/>
          <w:lang w:val="es-CO"/>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10">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sidRPr="005E3CCE">
        <w:rPr>
          <w:rFonts w:ascii="Cambria" w:hAnsi="Cambria"/>
          <w:sz w:val="16"/>
          <w:szCs w:val="16"/>
          <w:lang w:val="es-CO"/>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11">
    <w:p w:rsidR="005E3CCE" w:rsidRPr="005E3CCE" w:rsidRDefault="005E3CCE" w:rsidP="00FA64F3">
      <w:pPr>
        <w:spacing w:after="120"/>
        <w:ind w:firstLine="720"/>
        <w:jc w:val="both"/>
        <w:rPr>
          <w:rFonts w:ascii="Cambria" w:eastAsia="Times New Roman" w:hAnsi="Cambria"/>
          <w:sz w:val="16"/>
          <w:szCs w:val="16"/>
          <w:lang w:val="es-ES_tradnl"/>
        </w:rPr>
      </w:pPr>
      <w:r w:rsidRPr="005E3CCE">
        <w:rPr>
          <w:rStyle w:val="FootnoteReference"/>
          <w:rFonts w:ascii="Cambria" w:hAnsi="Cambria"/>
          <w:sz w:val="16"/>
          <w:szCs w:val="16"/>
        </w:rPr>
        <w:footnoteRef/>
      </w:r>
      <w:r w:rsidRPr="005E3CCE">
        <w:rPr>
          <w:rFonts w:ascii="Cambria" w:hAnsi="Cambria"/>
          <w:sz w:val="16"/>
          <w:szCs w:val="16"/>
          <w:lang w:val="es-ES"/>
        </w:rPr>
        <w:t xml:space="preserve"> CIDH. </w:t>
      </w:r>
      <w:hyperlink r:id="rId8" w:history="1">
        <w:r w:rsidRPr="005E3CCE">
          <w:rPr>
            <w:rStyle w:val="Hyperlink"/>
            <w:rFonts w:ascii="Cambria" w:hAnsi="Cambria"/>
            <w:i/>
            <w:sz w:val="16"/>
            <w:szCs w:val="16"/>
            <w:u w:val="none"/>
            <w:lang w:val="es-ES"/>
          </w:rPr>
          <w:t>El acceso a la justicia como garantía de los derechos económicos, sociales y culturales</w:t>
        </w:r>
      </w:hyperlink>
      <w:r w:rsidRPr="005E3CCE">
        <w:rPr>
          <w:rFonts w:ascii="Cambria" w:hAnsi="Cambria"/>
          <w:sz w:val="16"/>
          <w:szCs w:val="16"/>
          <w:lang w:val="es-ES"/>
        </w:rPr>
        <w:t xml:space="preserve">. </w:t>
      </w:r>
      <w:r w:rsidRPr="005E3CCE">
        <w:rPr>
          <w:rFonts w:ascii="Cambria" w:eastAsia="Times New Roman" w:hAnsi="Cambria"/>
          <w:sz w:val="16"/>
          <w:szCs w:val="16"/>
          <w:lang w:val="es-ES_tradnl"/>
        </w:rPr>
        <w:t>OEA/</w:t>
      </w:r>
      <w:proofErr w:type="spellStart"/>
      <w:r w:rsidRPr="005E3CCE">
        <w:rPr>
          <w:rFonts w:ascii="Cambria" w:eastAsia="Times New Roman" w:hAnsi="Cambria"/>
          <w:sz w:val="16"/>
          <w:szCs w:val="16"/>
          <w:lang w:val="es-ES_tradnl"/>
        </w:rPr>
        <w:t>Ser.L</w:t>
      </w:r>
      <w:proofErr w:type="spellEnd"/>
      <w:r w:rsidRPr="005E3CCE">
        <w:rPr>
          <w:rFonts w:ascii="Cambria" w:eastAsia="Times New Roman" w:hAnsi="Cambria"/>
          <w:sz w:val="16"/>
          <w:szCs w:val="16"/>
          <w:lang w:val="es-ES_tradnl"/>
        </w:rPr>
        <w:t xml:space="preserve">/V/II.129 Doc. 4, 7 septiembre 2007, </w:t>
      </w:r>
      <w:r w:rsidRPr="005E3CCE">
        <w:rPr>
          <w:rFonts w:ascii="Cambria" w:hAnsi="Cambria"/>
          <w:sz w:val="16"/>
          <w:szCs w:val="16"/>
          <w:lang w:val="es-ES"/>
        </w:rPr>
        <w:t xml:space="preserve">párr. 177. </w:t>
      </w:r>
    </w:p>
  </w:footnote>
  <w:footnote w:id="112">
    <w:p w:rsidR="005E3CCE" w:rsidRPr="005E3CCE" w:rsidRDefault="005E3CCE" w:rsidP="00FA64F3">
      <w:pPr>
        <w:pStyle w:val="FootnoteText"/>
        <w:spacing w:after="120"/>
        <w:ind w:firstLine="720"/>
        <w:jc w:val="both"/>
        <w:rPr>
          <w:rFonts w:ascii="Cambria" w:hAnsi="Cambria"/>
          <w:sz w:val="16"/>
          <w:szCs w:val="16"/>
          <w:lang w:val="es-CO"/>
        </w:rPr>
      </w:pPr>
      <w:r w:rsidRPr="005E3CCE">
        <w:rPr>
          <w:rStyle w:val="FootnoteReference"/>
          <w:rFonts w:ascii="Cambria" w:hAnsi="Cambria"/>
          <w:sz w:val="16"/>
          <w:szCs w:val="16"/>
        </w:rPr>
        <w:footnoteRef/>
      </w:r>
      <w:r w:rsidRPr="005E3CCE">
        <w:rPr>
          <w:rFonts w:ascii="Cambria" w:hAnsi="Cambria"/>
          <w:sz w:val="16"/>
          <w:szCs w:val="16"/>
          <w:lang w:val="es-CO"/>
        </w:rPr>
        <w:t xml:space="preserve"> CIDH, Informe No. 26/09, Caso 12.440, Wallace de Almeida, Brasil, 20 de marzo de 2009, párr. 119.</w:t>
      </w:r>
    </w:p>
  </w:footnote>
  <w:footnote w:id="113">
    <w:p w:rsidR="005E3CCE" w:rsidRPr="005E3CCE" w:rsidRDefault="005E3CCE" w:rsidP="00FA64F3">
      <w:pPr>
        <w:tabs>
          <w:tab w:val="left" w:pos="720"/>
        </w:tabs>
        <w:spacing w:after="120"/>
        <w:ind w:right="11"/>
        <w:jc w:val="both"/>
        <w:rPr>
          <w:rFonts w:ascii="Cambria" w:hAnsi="Cambria" w:cs="Verdana-Bold"/>
          <w:b/>
          <w:bCs/>
          <w:color w:val="5BADD5"/>
          <w:sz w:val="16"/>
          <w:szCs w:val="16"/>
          <w:lang w:val="es-ES" w:bidi="en-US"/>
        </w:rPr>
      </w:pPr>
      <w:r w:rsidRPr="005E3CCE">
        <w:rPr>
          <w:rFonts w:ascii="Cambria" w:hAnsi="Cambria"/>
          <w:sz w:val="16"/>
          <w:szCs w:val="16"/>
          <w:lang w:val="es-ES_tradnl"/>
        </w:rPr>
        <w:tab/>
      </w:r>
      <w:r w:rsidRPr="005E3CCE">
        <w:rPr>
          <w:rStyle w:val="FootnoteReference"/>
          <w:rFonts w:ascii="Cambria" w:hAnsi="Cambria"/>
          <w:sz w:val="16"/>
          <w:szCs w:val="16"/>
        </w:rPr>
        <w:footnoteRef/>
      </w:r>
      <w:r w:rsidRPr="005E3CCE">
        <w:rPr>
          <w:rFonts w:ascii="Cambria" w:hAnsi="Cambria"/>
          <w:sz w:val="16"/>
          <w:szCs w:val="16"/>
          <w:lang w:val="es-ES_tradnl"/>
        </w:rPr>
        <w:t xml:space="preserve"> </w:t>
      </w:r>
      <w:r w:rsidRPr="005E3CCE">
        <w:rPr>
          <w:rFonts w:ascii="Cambria" w:hAnsi="Cambria" w:cs="Verdana"/>
          <w:bCs/>
          <w:sz w:val="16"/>
          <w:szCs w:val="16"/>
          <w:bdr w:val="none" w:sz="0" w:space="0" w:color="auto"/>
          <w:lang w:val="es-ES"/>
        </w:rPr>
        <w:t xml:space="preserve">Corte IDH. </w:t>
      </w:r>
      <w:r w:rsidRPr="005E3CCE">
        <w:rPr>
          <w:rFonts w:ascii="Cambria" w:hAnsi="Cambria" w:cs="Verdana"/>
          <w:bCs/>
          <w:i/>
          <w:sz w:val="16"/>
          <w:szCs w:val="16"/>
          <w:bdr w:val="none" w:sz="0" w:space="0" w:color="auto"/>
          <w:lang w:val="es-ES"/>
        </w:rPr>
        <w:t xml:space="preserve">Caso </w:t>
      </w:r>
      <w:proofErr w:type="spellStart"/>
      <w:r w:rsidRPr="005E3CCE">
        <w:rPr>
          <w:rFonts w:ascii="Cambria" w:hAnsi="Cambria" w:cs="Verdana"/>
          <w:bCs/>
          <w:i/>
          <w:sz w:val="16"/>
          <w:szCs w:val="16"/>
          <w:bdr w:val="none" w:sz="0" w:space="0" w:color="auto"/>
          <w:lang w:val="es-ES"/>
        </w:rPr>
        <w:t>Reverón</w:t>
      </w:r>
      <w:proofErr w:type="spellEnd"/>
      <w:r w:rsidRPr="005E3CCE">
        <w:rPr>
          <w:rFonts w:ascii="Cambria" w:hAnsi="Cambria" w:cs="Verdana"/>
          <w:bCs/>
          <w:i/>
          <w:sz w:val="16"/>
          <w:szCs w:val="16"/>
          <w:bdr w:val="none" w:sz="0" w:space="0" w:color="auto"/>
          <w:lang w:val="es-ES"/>
        </w:rPr>
        <w:t xml:space="preserve"> Trujillo Vs. Venezuela</w:t>
      </w:r>
      <w:r w:rsidRPr="005E3CCE">
        <w:rPr>
          <w:rFonts w:ascii="Cambria" w:hAnsi="Cambria" w:cs="Verdana"/>
          <w:bCs/>
          <w:sz w:val="16"/>
          <w:szCs w:val="16"/>
          <w:bdr w:val="none" w:sz="0" w:space="0" w:color="auto"/>
          <w:lang w:val="es-ES"/>
        </w:rPr>
        <w:t>. Excepción Preliminar, Fondo, Reparaciones y Costas. Sentencia de 30 de ju</w:t>
      </w:r>
      <w:r w:rsidR="00863C3A">
        <w:rPr>
          <w:rFonts w:ascii="Cambria" w:hAnsi="Cambria" w:cs="Verdana"/>
          <w:bCs/>
          <w:sz w:val="16"/>
          <w:szCs w:val="16"/>
          <w:bdr w:val="none" w:sz="0" w:space="0" w:color="auto"/>
          <w:lang w:val="es-ES"/>
        </w:rPr>
        <w:t>nio de 2009. Serie C No. 197, p</w:t>
      </w:r>
      <w:r w:rsidRPr="005E3CCE">
        <w:rPr>
          <w:rFonts w:ascii="Cambria" w:hAnsi="Cambria" w:cs="Verdana"/>
          <w:bCs/>
          <w:sz w:val="16"/>
          <w:szCs w:val="16"/>
          <w:bdr w:val="none" w:sz="0" w:space="0" w:color="auto"/>
          <w:lang w:val="es-ES"/>
        </w:rPr>
        <w:t xml:space="preserve">árr. 59. Citando. </w:t>
      </w:r>
      <w:r w:rsidRPr="005E3CCE">
        <w:rPr>
          <w:rFonts w:ascii="Cambria" w:hAnsi="Cambria"/>
          <w:i/>
          <w:iCs/>
          <w:sz w:val="16"/>
          <w:szCs w:val="16"/>
          <w:lang w:val="es-ES_tradnl"/>
        </w:rPr>
        <w:t xml:space="preserve">Cfr. </w:t>
      </w:r>
      <w:r w:rsidRPr="005E3CCE">
        <w:rPr>
          <w:rFonts w:ascii="Cambria" w:hAnsi="Cambria"/>
          <w:i/>
          <w:sz w:val="16"/>
          <w:szCs w:val="16"/>
          <w:lang w:val="es-ES"/>
        </w:rPr>
        <w:t>Garantías Judiciales en Estados de Emergencia</w:t>
      </w:r>
      <w:r w:rsidRPr="005E3CCE">
        <w:rPr>
          <w:rFonts w:ascii="Cambria" w:hAnsi="Cambria"/>
          <w:sz w:val="16"/>
          <w:szCs w:val="16"/>
          <w:lang w:val="es-ES"/>
        </w:rPr>
        <w:t xml:space="preserve"> </w:t>
      </w:r>
      <w:r w:rsidRPr="005E3CCE">
        <w:rPr>
          <w:rFonts w:ascii="Cambria" w:hAnsi="Cambria"/>
          <w:i/>
          <w:sz w:val="16"/>
          <w:szCs w:val="16"/>
          <w:lang w:val="es-ES"/>
        </w:rPr>
        <w:t>(arts. 27.2, 25 y 8 Convención Americana sobre Derechos Humanos)</w:t>
      </w:r>
      <w:r w:rsidRPr="005E3CCE">
        <w:rPr>
          <w:rFonts w:ascii="Cambria" w:hAnsi="Cambria"/>
          <w:sz w:val="16"/>
          <w:szCs w:val="16"/>
          <w:lang w:val="es-ES"/>
        </w:rPr>
        <w:t>. Opinión Consultiva OC-9/87 del 6 de octubre de 1987. Serie A No. 9, p</w:t>
      </w:r>
      <w:r w:rsidRPr="005E3CCE">
        <w:rPr>
          <w:rFonts w:ascii="Cambria" w:hAnsi="Cambria"/>
          <w:iCs/>
          <w:sz w:val="16"/>
          <w:szCs w:val="16"/>
          <w:lang w:val="es-ES"/>
        </w:rPr>
        <w:t>árr. 23</w:t>
      </w:r>
      <w:r w:rsidRPr="005E3CCE">
        <w:rPr>
          <w:rFonts w:ascii="Cambria" w:hAnsi="Cambria"/>
          <w:color w:val="000000"/>
          <w:sz w:val="16"/>
          <w:szCs w:val="16"/>
          <w:lang w:val="es-ES"/>
        </w:rPr>
        <w:t xml:space="preserve">; </w:t>
      </w:r>
      <w:r w:rsidRPr="005E3CCE">
        <w:rPr>
          <w:rFonts w:ascii="Cambria" w:hAnsi="Cambria"/>
          <w:bCs/>
          <w:i/>
          <w:color w:val="000000"/>
          <w:sz w:val="16"/>
          <w:szCs w:val="16"/>
          <w:lang w:val="es-ES"/>
        </w:rPr>
        <w:t xml:space="preserve">Caso Salvador Chiriboga Vs. Ecuador. </w:t>
      </w:r>
      <w:r w:rsidRPr="005E3CCE">
        <w:rPr>
          <w:rFonts w:ascii="Cambria" w:hAnsi="Cambria"/>
          <w:i/>
          <w:color w:val="000000"/>
          <w:sz w:val="16"/>
          <w:szCs w:val="16"/>
          <w:lang w:val="es-ES"/>
        </w:rPr>
        <w:t>Excepción Preliminar y Fondo</w:t>
      </w:r>
      <w:r w:rsidRPr="005E3CCE">
        <w:rPr>
          <w:rFonts w:ascii="Cambria" w:hAnsi="Cambria"/>
          <w:color w:val="000000"/>
          <w:sz w:val="16"/>
          <w:szCs w:val="16"/>
          <w:lang w:val="es-ES"/>
        </w:rPr>
        <w:t>. Sentencia de 6 de mayo de 2008. Serie C No. 179, párr. 57</w:t>
      </w:r>
      <w:r w:rsidRPr="005E3CCE">
        <w:rPr>
          <w:rFonts w:ascii="Cambria" w:hAnsi="Cambria"/>
          <w:iCs/>
          <w:sz w:val="16"/>
          <w:szCs w:val="16"/>
          <w:lang w:val="es-ES"/>
        </w:rPr>
        <w:t>.</w:t>
      </w:r>
      <w:r w:rsidRPr="005E3CCE">
        <w:rPr>
          <w:rFonts w:ascii="Cambria" w:hAnsi="Cambria" w:cs="Verdana"/>
          <w:sz w:val="16"/>
          <w:szCs w:val="16"/>
          <w:lang w:val="es-ES" w:bidi="en-US"/>
        </w:rPr>
        <w:t xml:space="preserve"> </w:t>
      </w:r>
    </w:p>
  </w:footnote>
  <w:footnote w:id="114">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Corte IDH. </w:t>
      </w:r>
      <w:r w:rsidRPr="005E3CCE">
        <w:rPr>
          <w:rFonts w:ascii="Cambria" w:hAnsi="Cambria"/>
          <w:bCs/>
          <w:i/>
          <w:sz w:val="16"/>
          <w:szCs w:val="16"/>
          <w:lang w:val="es-ES"/>
        </w:rPr>
        <w:t>Caso Trabajadores Cesados del Congreso (Aguado Alfaro y otros) Vs. Perú.</w:t>
      </w:r>
      <w:r w:rsidRPr="005E3CCE">
        <w:rPr>
          <w:rFonts w:ascii="Cambria" w:hAnsi="Cambria"/>
          <w:b/>
          <w:bCs/>
          <w:sz w:val="16"/>
          <w:szCs w:val="16"/>
          <w:lang w:val="es-ES"/>
        </w:rPr>
        <w:t xml:space="preserve"> </w:t>
      </w:r>
      <w:r w:rsidRPr="005E3CCE">
        <w:rPr>
          <w:rFonts w:ascii="Cambria" w:hAnsi="Cambria"/>
          <w:sz w:val="16"/>
          <w:szCs w:val="16"/>
          <w:lang w:val="es-ES"/>
        </w:rPr>
        <w:t>Sentencia de 24 de Noviembre de 2006. Serie C No. 158, párr. 106.</w:t>
      </w:r>
    </w:p>
  </w:footnote>
  <w:footnote w:id="115">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cs="Arial"/>
          <w:sz w:val="16"/>
          <w:szCs w:val="16"/>
          <w:lang w:val="es-ES"/>
        </w:rPr>
        <w:t xml:space="preserve"> </w:t>
      </w:r>
      <w:r w:rsidRPr="005E3CCE">
        <w:rPr>
          <w:rFonts w:ascii="Cambria" w:hAnsi="Cambria"/>
          <w:sz w:val="16"/>
          <w:szCs w:val="16"/>
          <w:lang w:val="es-ES_tradnl"/>
        </w:rPr>
        <w:t xml:space="preserve">Corte IDH. </w:t>
      </w:r>
      <w:r w:rsidRPr="005E3CCE">
        <w:rPr>
          <w:rFonts w:ascii="Cambria" w:hAnsi="Cambria"/>
          <w:i/>
          <w:sz w:val="16"/>
          <w:szCs w:val="16"/>
          <w:lang w:val="es-ES_tradnl"/>
        </w:rPr>
        <w:t xml:space="preserve">Caso García </w:t>
      </w:r>
      <w:proofErr w:type="spellStart"/>
      <w:r w:rsidRPr="005E3CCE">
        <w:rPr>
          <w:rFonts w:ascii="Cambria" w:hAnsi="Cambria"/>
          <w:i/>
          <w:sz w:val="16"/>
          <w:szCs w:val="16"/>
          <w:lang w:val="es-ES_tradnl"/>
        </w:rPr>
        <w:t>Asto</w:t>
      </w:r>
      <w:proofErr w:type="spellEnd"/>
      <w:r w:rsidRPr="005E3CCE">
        <w:rPr>
          <w:rFonts w:ascii="Cambria" w:hAnsi="Cambria"/>
          <w:i/>
          <w:sz w:val="16"/>
          <w:szCs w:val="16"/>
          <w:lang w:val="es-ES_tradnl"/>
        </w:rPr>
        <w:t xml:space="preserve"> y Ramírez Rojas Vs. Perú</w:t>
      </w:r>
      <w:r w:rsidRPr="005E3CCE">
        <w:rPr>
          <w:rFonts w:ascii="Cambria" w:hAnsi="Cambria"/>
          <w:sz w:val="16"/>
          <w:szCs w:val="16"/>
          <w:lang w:val="es-ES_tradnl"/>
        </w:rPr>
        <w:t>. Sentencia de 25 de noviembre de 2005. Serie C No. 137</w:t>
      </w:r>
      <w:r w:rsidRPr="005E3CCE">
        <w:rPr>
          <w:rFonts w:ascii="Cambria" w:hAnsi="Cambria" w:cs="Arial"/>
          <w:iCs/>
          <w:sz w:val="16"/>
          <w:szCs w:val="16"/>
          <w:lang w:val="es-ES"/>
        </w:rPr>
        <w:t xml:space="preserve">, párr. 166; </w:t>
      </w:r>
      <w:r w:rsidRPr="005E3CCE">
        <w:rPr>
          <w:rFonts w:ascii="Cambria" w:hAnsi="Cambria"/>
          <w:i/>
          <w:sz w:val="16"/>
          <w:szCs w:val="16"/>
          <w:lang w:val="es-ES_tradnl"/>
        </w:rPr>
        <w:t xml:space="preserve">Caso Gómez Palomino Vs. Perú. </w:t>
      </w:r>
      <w:hyperlink r:id="rId9" w:history="1">
        <w:r w:rsidRPr="005E3CCE">
          <w:rPr>
            <w:rStyle w:val="Hyperlink"/>
            <w:rFonts w:ascii="Cambria" w:hAnsi="Cambria" w:cs="Arial"/>
            <w:color w:val="auto"/>
            <w:sz w:val="16"/>
            <w:szCs w:val="16"/>
            <w:u w:val="none"/>
            <w:shd w:val="clear" w:color="auto" w:fill="FFFFFF"/>
            <w:lang w:val="es-ES"/>
          </w:rPr>
          <w:t>Fondo, Reparaciones y Costas. Sentencia de 22 de noviembre de 2005. Serie C No. 136</w:t>
        </w:r>
      </w:hyperlink>
      <w:r w:rsidRPr="005E3CCE">
        <w:rPr>
          <w:rFonts w:ascii="Cambria" w:hAnsi="Cambria"/>
          <w:sz w:val="16"/>
          <w:szCs w:val="16"/>
          <w:lang w:val="es-ES_tradnl"/>
        </w:rPr>
        <w:t>,</w:t>
      </w:r>
      <w:r w:rsidRPr="005E3CCE">
        <w:rPr>
          <w:rFonts w:ascii="Cambria" w:hAnsi="Cambria"/>
          <w:i/>
          <w:sz w:val="16"/>
          <w:szCs w:val="16"/>
          <w:lang w:val="es-ES_tradnl"/>
        </w:rPr>
        <w:t xml:space="preserve"> </w:t>
      </w:r>
      <w:r w:rsidRPr="005E3CCE">
        <w:rPr>
          <w:rFonts w:ascii="Cambria" w:hAnsi="Cambria"/>
          <w:sz w:val="16"/>
          <w:szCs w:val="16"/>
          <w:lang w:val="es-ES_tradnl"/>
        </w:rPr>
        <w:t xml:space="preserve">párr. </w:t>
      </w:r>
      <w:r w:rsidRPr="005E3CCE">
        <w:rPr>
          <w:rFonts w:ascii="Cambria" w:hAnsi="Cambria" w:cs="Arial"/>
          <w:sz w:val="16"/>
          <w:szCs w:val="16"/>
          <w:lang w:val="es-ES"/>
        </w:rPr>
        <w:t xml:space="preserve">85; y </w:t>
      </w:r>
      <w:r w:rsidRPr="005E3CCE">
        <w:rPr>
          <w:rFonts w:ascii="Cambria" w:hAnsi="Cambria"/>
          <w:i/>
          <w:sz w:val="16"/>
          <w:szCs w:val="16"/>
          <w:lang w:val="es-ES"/>
        </w:rPr>
        <w:t xml:space="preserve">Caso de la Comunidad </w:t>
      </w:r>
      <w:proofErr w:type="spellStart"/>
      <w:r w:rsidRPr="005E3CCE">
        <w:rPr>
          <w:rFonts w:ascii="Cambria" w:hAnsi="Cambria"/>
          <w:i/>
          <w:sz w:val="16"/>
          <w:szCs w:val="16"/>
          <w:lang w:val="es-ES"/>
        </w:rPr>
        <w:t>Moiwana</w:t>
      </w:r>
      <w:proofErr w:type="spellEnd"/>
      <w:r w:rsidRPr="005E3CCE">
        <w:rPr>
          <w:rFonts w:ascii="Cambria" w:hAnsi="Cambria"/>
          <w:i/>
          <w:sz w:val="16"/>
          <w:szCs w:val="16"/>
          <w:lang w:val="es-ES"/>
        </w:rPr>
        <w:t xml:space="preserve"> Vs. Surinam</w:t>
      </w:r>
      <w:r w:rsidRPr="005E3CCE">
        <w:rPr>
          <w:rFonts w:ascii="Cambria" w:hAnsi="Cambria"/>
          <w:sz w:val="16"/>
          <w:szCs w:val="16"/>
          <w:lang w:val="es-ES"/>
        </w:rPr>
        <w:t>. Sentencia de 15 de junio de 2005. Serie C No. 124</w:t>
      </w:r>
      <w:r w:rsidRPr="005E3CCE">
        <w:rPr>
          <w:rFonts w:ascii="Cambria" w:hAnsi="Cambria" w:cs="Arial"/>
          <w:sz w:val="16"/>
          <w:szCs w:val="16"/>
          <w:lang w:val="es-ES"/>
        </w:rPr>
        <w:t>, párr. 160.</w:t>
      </w:r>
    </w:p>
  </w:footnote>
  <w:footnote w:id="116">
    <w:p w:rsidR="005E3CCE" w:rsidRPr="005E3CCE" w:rsidRDefault="005E3CCE" w:rsidP="00FA64F3">
      <w:pPr>
        <w:pStyle w:val="FootnoteText"/>
        <w:spacing w:after="120"/>
        <w:ind w:firstLine="720"/>
        <w:jc w:val="both"/>
        <w:rPr>
          <w:rFonts w:ascii="Cambria" w:hAnsi="Cambria"/>
          <w:sz w:val="16"/>
          <w:szCs w:val="16"/>
          <w:lang w:val="es-ES_tradnl"/>
        </w:rPr>
      </w:pPr>
      <w:r w:rsidRPr="005E3CCE">
        <w:rPr>
          <w:rStyle w:val="FootnoteReference"/>
          <w:rFonts w:ascii="Cambria" w:hAnsi="Cambria"/>
          <w:sz w:val="16"/>
          <w:szCs w:val="16"/>
        </w:rPr>
        <w:footnoteRef/>
      </w:r>
      <w:r w:rsidRPr="005E3CCE">
        <w:rPr>
          <w:rFonts w:ascii="Cambria" w:hAnsi="Cambria" w:cs="Arial"/>
          <w:sz w:val="16"/>
          <w:szCs w:val="16"/>
          <w:lang w:val="es-ES"/>
        </w:rPr>
        <w:t xml:space="preserve"> Corte IDH. </w:t>
      </w:r>
      <w:r w:rsidRPr="005E3CCE">
        <w:rPr>
          <w:rFonts w:ascii="Cambria" w:hAnsi="Cambria" w:cs="Arial"/>
          <w:i/>
          <w:sz w:val="16"/>
          <w:szCs w:val="16"/>
          <w:shd w:val="clear" w:color="auto" w:fill="FFFFFF"/>
          <w:lang w:val="es-ES"/>
        </w:rPr>
        <w:t xml:space="preserve">Caso Masacre de Santo Domingo Vs. </w:t>
      </w:r>
      <w:r w:rsidRPr="005E3CCE">
        <w:rPr>
          <w:rFonts w:ascii="Cambria" w:hAnsi="Cambria" w:cs="Arial"/>
          <w:i/>
          <w:sz w:val="16"/>
          <w:szCs w:val="16"/>
          <w:shd w:val="clear" w:color="auto" w:fill="FFFFFF"/>
          <w:lang w:val="es-ES_tradnl"/>
        </w:rPr>
        <w:t>Colombia</w:t>
      </w:r>
      <w:r w:rsidRPr="005E3CCE">
        <w:rPr>
          <w:rFonts w:ascii="Cambria" w:hAnsi="Cambria" w:cs="Arial"/>
          <w:sz w:val="16"/>
          <w:szCs w:val="16"/>
          <w:shd w:val="clear" w:color="auto" w:fill="FFFFFF"/>
          <w:lang w:val="es-ES_tradnl"/>
        </w:rPr>
        <w:t>. Excepciones Preliminares, Fondo y Reparaciones. Sentencia de 30 de noviembre de 2012. Serie C No. 259,</w:t>
      </w:r>
      <w:r w:rsidRPr="005E3CCE">
        <w:rPr>
          <w:rFonts w:ascii="Cambria" w:hAnsi="Cambria" w:cs="Arial"/>
          <w:sz w:val="16"/>
          <w:szCs w:val="16"/>
          <w:lang w:val="es-ES_tradnl"/>
        </w:rPr>
        <w:t xml:space="preserve"> párr. </w:t>
      </w:r>
      <w:r w:rsidRPr="005E3CCE">
        <w:rPr>
          <w:rFonts w:ascii="Cambria" w:hAnsi="Cambria" w:cs="Arial"/>
          <w:sz w:val="16"/>
          <w:szCs w:val="16"/>
          <w:lang w:val="es-ES"/>
        </w:rPr>
        <w:t>164.</w:t>
      </w:r>
    </w:p>
  </w:footnote>
  <w:footnote w:id="117">
    <w:p w:rsidR="005E3CCE" w:rsidRPr="005E3CCE" w:rsidRDefault="005E3CCE" w:rsidP="00FA64F3">
      <w:pPr>
        <w:pStyle w:val="FootnoteText"/>
        <w:spacing w:after="120"/>
        <w:ind w:firstLine="706"/>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Corte IDH. </w:t>
      </w:r>
      <w:hyperlink r:id="rId10" w:history="1">
        <w:r w:rsidRPr="005E3CCE">
          <w:rPr>
            <w:rStyle w:val="Hyperlink"/>
            <w:rFonts w:ascii="Cambria" w:eastAsia="Trebuchet MS" w:hAnsi="Cambria" w:cs="Arial"/>
            <w:i/>
            <w:color w:val="auto"/>
            <w:sz w:val="16"/>
            <w:szCs w:val="16"/>
            <w:u w:val="none"/>
            <w:shd w:val="clear" w:color="auto" w:fill="FFFFFF"/>
            <w:lang w:val="es-ES"/>
          </w:rPr>
          <w:t>Caso Baena Ricardo y otros Vs. Panamá</w:t>
        </w:r>
        <w:r w:rsidRPr="005E3CCE">
          <w:rPr>
            <w:rStyle w:val="Hyperlink"/>
            <w:rFonts w:ascii="Cambria" w:eastAsia="Trebuchet MS" w:hAnsi="Cambria" w:cs="Arial"/>
            <w:color w:val="auto"/>
            <w:sz w:val="16"/>
            <w:szCs w:val="16"/>
            <w:u w:val="none"/>
            <w:shd w:val="clear" w:color="auto" w:fill="FFFFFF"/>
            <w:lang w:val="es-ES"/>
          </w:rPr>
          <w:t>. Fondo, Reparaciones y Costas. Sentencia de 2 de febrero de 2001. Serie C No. 72</w:t>
        </w:r>
      </w:hyperlink>
      <w:r w:rsidRPr="005E3CCE">
        <w:rPr>
          <w:rFonts w:ascii="Cambria" w:hAnsi="Cambria"/>
          <w:sz w:val="16"/>
          <w:szCs w:val="16"/>
          <w:lang w:val="es-ES"/>
        </w:rPr>
        <w:t xml:space="preserve">, </w:t>
      </w:r>
      <w:proofErr w:type="spellStart"/>
      <w:r w:rsidRPr="005E3CCE">
        <w:rPr>
          <w:rFonts w:ascii="Cambria" w:hAnsi="Cambria"/>
          <w:sz w:val="16"/>
          <w:szCs w:val="16"/>
          <w:lang w:val="es-ES"/>
        </w:rPr>
        <w:t>párrs</w:t>
      </w:r>
      <w:proofErr w:type="spellEnd"/>
      <w:r w:rsidRPr="005E3CCE">
        <w:rPr>
          <w:rFonts w:ascii="Cambria" w:hAnsi="Cambria"/>
          <w:sz w:val="16"/>
          <w:szCs w:val="16"/>
          <w:lang w:val="es-ES"/>
        </w:rPr>
        <w:t xml:space="preserve">. 126-127; </w:t>
      </w:r>
      <w:hyperlink r:id="rId11" w:history="1">
        <w:r w:rsidRPr="005E3CCE">
          <w:rPr>
            <w:rStyle w:val="Hyperlink"/>
            <w:rFonts w:ascii="Cambria" w:eastAsia="Trebuchet MS" w:hAnsi="Cambria" w:cs="Arial"/>
            <w:i/>
            <w:color w:val="auto"/>
            <w:sz w:val="16"/>
            <w:szCs w:val="16"/>
            <w:u w:val="none"/>
            <w:shd w:val="clear" w:color="auto" w:fill="FFFFFF"/>
            <w:lang w:val="es-ES"/>
          </w:rPr>
          <w:t>Caso del Tribunal Constitucional Vs. Perú</w:t>
        </w:r>
        <w:r w:rsidRPr="005E3CCE">
          <w:rPr>
            <w:rStyle w:val="Hyperlink"/>
            <w:rFonts w:ascii="Cambria" w:eastAsia="Trebuchet MS" w:hAnsi="Cambria" w:cs="Arial"/>
            <w:color w:val="auto"/>
            <w:sz w:val="16"/>
            <w:szCs w:val="16"/>
            <w:u w:val="none"/>
            <w:shd w:val="clear" w:color="auto" w:fill="FFFFFF"/>
            <w:lang w:val="es-ES"/>
          </w:rPr>
          <w:t>. Fondo, Reparaciones y Costas. Sentencia de 31 de enero de 2001. Serie C No. 71</w:t>
        </w:r>
      </w:hyperlink>
      <w:r w:rsidRPr="005E3CCE">
        <w:rPr>
          <w:rFonts w:ascii="Cambria" w:hAnsi="Cambria"/>
          <w:sz w:val="16"/>
          <w:szCs w:val="16"/>
          <w:lang w:val="es-ES"/>
        </w:rPr>
        <w:t xml:space="preserve">, </w:t>
      </w:r>
      <w:proofErr w:type="spellStart"/>
      <w:r w:rsidRPr="005E3CCE">
        <w:rPr>
          <w:rFonts w:ascii="Cambria" w:hAnsi="Cambria"/>
          <w:sz w:val="16"/>
          <w:szCs w:val="16"/>
          <w:lang w:val="es-ES"/>
        </w:rPr>
        <w:t>párrs</w:t>
      </w:r>
      <w:proofErr w:type="spellEnd"/>
      <w:r w:rsidRPr="005E3CCE">
        <w:rPr>
          <w:rFonts w:ascii="Cambria" w:hAnsi="Cambria"/>
          <w:sz w:val="16"/>
          <w:szCs w:val="16"/>
          <w:lang w:val="es-ES"/>
        </w:rPr>
        <w:t xml:space="preserve">. 69-70; y </w:t>
      </w:r>
      <w:hyperlink r:id="rId12" w:history="1">
        <w:r w:rsidRPr="005E3CCE">
          <w:rPr>
            <w:rStyle w:val="Hyperlink"/>
            <w:rFonts w:ascii="Cambria" w:eastAsia="Trebuchet MS" w:hAnsi="Cambria" w:cs="Arial"/>
            <w:color w:val="auto"/>
            <w:sz w:val="16"/>
            <w:szCs w:val="16"/>
            <w:u w:val="none"/>
            <w:shd w:val="clear" w:color="auto" w:fill="FFFFFF"/>
            <w:lang w:val="es-ES"/>
          </w:rPr>
          <w:t>Caso López Mendoza Vs. Venezuela. Fondo Reparaciones y Costas. Sentencia de 1 de septiembre de 2011 Serie C No. 233</w:t>
        </w:r>
      </w:hyperlink>
      <w:r w:rsidRPr="005E3CCE">
        <w:rPr>
          <w:rFonts w:ascii="Cambria" w:hAnsi="Cambria"/>
          <w:sz w:val="16"/>
          <w:szCs w:val="16"/>
          <w:lang w:val="es-ES"/>
        </w:rPr>
        <w:t xml:space="preserve">, párr. 111. Asimismo, véase: CIDH, Informe No. 65/11, Caso 12.600, Fondo, Hugo Quintana Coello y otros “Magistrados de la Corte Suprema de Justicia”, Ecuador, 31 de marzo de 2011, párr. 102.  </w:t>
      </w:r>
    </w:p>
  </w:footnote>
  <w:footnote w:id="118">
    <w:p w:rsidR="005E3CCE" w:rsidRPr="005E3CCE" w:rsidRDefault="005E3CCE" w:rsidP="00FA64F3">
      <w:pPr>
        <w:pStyle w:val="FootnoteText"/>
        <w:spacing w:after="120"/>
        <w:ind w:firstLine="706"/>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Corte IDH. </w:t>
      </w:r>
      <w:hyperlink r:id="rId13" w:history="1">
        <w:r w:rsidRPr="005E3CCE">
          <w:rPr>
            <w:rStyle w:val="Hyperlink"/>
            <w:rFonts w:ascii="Cambria" w:eastAsia="Trebuchet MS" w:hAnsi="Cambria" w:cs="Arial"/>
            <w:i/>
            <w:color w:val="auto"/>
            <w:sz w:val="16"/>
            <w:szCs w:val="16"/>
            <w:u w:val="none"/>
            <w:shd w:val="clear" w:color="auto" w:fill="FFFFFF"/>
            <w:lang w:val="es-ES"/>
          </w:rPr>
          <w:t xml:space="preserve">Caso </w:t>
        </w:r>
        <w:proofErr w:type="spellStart"/>
        <w:r w:rsidRPr="005E3CCE">
          <w:rPr>
            <w:rStyle w:val="Hyperlink"/>
            <w:rFonts w:ascii="Cambria" w:eastAsia="Trebuchet MS" w:hAnsi="Cambria" w:cs="Arial"/>
            <w:i/>
            <w:color w:val="auto"/>
            <w:sz w:val="16"/>
            <w:szCs w:val="16"/>
            <w:u w:val="none"/>
            <w:shd w:val="clear" w:color="auto" w:fill="FFFFFF"/>
            <w:lang w:val="es-ES"/>
          </w:rPr>
          <w:t>Barbani</w:t>
        </w:r>
        <w:proofErr w:type="spellEnd"/>
        <w:r w:rsidRPr="005E3CCE">
          <w:rPr>
            <w:rStyle w:val="Hyperlink"/>
            <w:rFonts w:ascii="Cambria" w:eastAsia="Trebuchet MS" w:hAnsi="Cambria" w:cs="Arial"/>
            <w:i/>
            <w:color w:val="auto"/>
            <w:sz w:val="16"/>
            <w:szCs w:val="16"/>
            <w:u w:val="none"/>
            <w:shd w:val="clear" w:color="auto" w:fill="FFFFFF"/>
            <w:lang w:val="es-ES"/>
          </w:rPr>
          <w:t xml:space="preserve"> Duarte y Otros Vs. Uruguay</w:t>
        </w:r>
        <w:r w:rsidRPr="005E3CCE">
          <w:rPr>
            <w:rStyle w:val="Hyperlink"/>
            <w:rFonts w:ascii="Cambria" w:eastAsia="Trebuchet MS" w:hAnsi="Cambria" w:cs="Arial"/>
            <w:color w:val="auto"/>
            <w:sz w:val="16"/>
            <w:szCs w:val="16"/>
            <w:u w:val="none"/>
            <w:shd w:val="clear" w:color="auto" w:fill="FFFFFF"/>
            <w:lang w:val="es-ES"/>
          </w:rPr>
          <w:t>. Fondo Reparaciones y costas. Sentencia de 13 de octubre de 2011. Serie C No. 234</w:t>
        </w:r>
      </w:hyperlink>
      <w:r w:rsidRPr="005E3CCE">
        <w:rPr>
          <w:rFonts w:ascii="Cambria" w:hAnsi="Cambria"/>
          <w:sz w:val="16"/>
          <w:szCs w:val="16"/>
          <w:lang w:val="es-ES"/>
        </w:rPr>
        <w:t xml:space="preserve">, párr. 118; y </w:t>
      </w:r>
      <w:hyperlink r:id="rId14" w:history="1">
        <w:r w:rsidRPr="005E3CCE">
          <w:rPr>
            <w:rStyle w:val="Hyperlink"/>
            <w:rFonts w:ascii="Cambria" w:eastAsia="Trebuchet MS" w:hAnsi="Cambria" w:cs="Arial"/>
            <w:i/>
            <w:color w:val="auto"/>
            <w:sz w:val="16"/>
            <w:szCs w:val="16"/>
            <w:u w:val="none"/>
            <w:shd w:val="clear" w:color="auto" w:fill="FFFFFF"/>
            <w:lang w:val="es-ES"/>
          </w:rPr>
          <w:t>Caso Claude Reyes y otros Vs. Chile</w:t>
        </w:r>
        <w:r w:rsidRPr="005E3CCE">
          <w:rPr>
            <w:rStyle w:val="Hyperlink"/>
            <w:rFonts w:ascii="Cambria" w:eastAsia="Trebuchet MS" w:hAnsi="Cambria" w:cs="Arial"/>
            <w:color w:val="auto"/>
            <w:sz w:val="16"/>
            <w:szCs w:val="16"/>
            <w:u w:val="none"/>
            <w:shd w:val="clear" w:color="auto" w:fill="FFFFFF"/>
            <w:lang w:val="es-ES"/>
          </w:rPr>
          <w:t>. Fondo, Reparaciones y Costas. Sentencia de 19 de septiembre de 2006. Serie C No. 151</w:t>
        </w:r>
      </w:hyperlink>
      <w:r w:rsidRPr="005E3CCE">
        <w:rPr>
          <w:rFonts w:ascii="Cambria" w:hAnsi="Cambria"/>
          <w:sz w:val="16"/>
          <w:szCs w:val="16"/>
          <w:lang w:val="es-ES"/>
        </w:rPr>
        <w:t>, párr. 118.</w:t>
      </w:r>
    </w:p>
  </w:footnote>
  <w:footnote w:id="119">
    <w:p w:rsidR="005E3CCE" w:rsidRPr="005E3CCE" w:rsidRDefault="005E3CCE" w:rsidP="00FA64F3">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rPr>
        <w:t xml:space="preserve"> </w:t>
      </w:r>
      <w:r w:rsidRPr="005E3CCE">
        <w:rPr>
          <w:rFonts w:ascii="Cambria" w:hAnsi="Cambria" w:cs="Verdana"/>
          <w:bCs/>
          <w:sz w:val="16"/>
          <w:szCs w:val="16"/>
          <w:bdr w:val="none" w:sz="0" w:space="0" w:color="auto"/>
        </w:rPr>
        <w:t xml:space="preserve">Corte IDH. </w:t>
      </w:r>
      <w:r w:rsidRPr="005E3CCE">
        <w:rPr>
          <w:rFonts w:ascii="Cambria" w:hAnsi="Cambria" w:cs="Verdana"/>
          <w:bCs/>
          <w:i/>
          <w:sz w:val="16"/>
          <w:szCs w:val="16"/>
          <w:bdr w:val="none" w:sz="0" w:space="0" w:color="auto"/>
        </w:rPr>
        <w:t xml:space="preserve">Caso </w:t>
      </w:r>
      <w:proofErr w:type="spellStart"/>
      <w:r w:rsidRPr="005E3CCE">
        <w:rPr>
          <w:rFonts w:ascii="Cambria" w:hAnsi="Cambria" w:cs="Verdana"/>
          <w:bCs/>
          <w:i/>
          <w:sz w:val="16"/>
          <w:szCs w:val="16"/>
          <w:bdr w:val="none" w:sz="0" w:space="0" w:color="auto"/>
        </w:rPr>
        <w:t>Chocrón</w:t>
      </w:r>
      <w:proofErr w:type="spellEnd"/>
      <w:r w:rsidRPr="005E3CCE">
        <w:rPr>
          <w:rFonts w:ascii="Cambria" w:hAnsi="Cambria" w:cs="Verdana"/>
          <w:bCs/>
          <w:i/>
          <w:sz w:val="16"/>
          <w:szCs w:val="16"/>
          <w:bdr w:val="none" w:sz="0" w:space="0" w:color="auto"/>
        </w:rPr>
        <w:t xml:space="preserve"> </w:t>
      </w:r>
      <w:proofErr w:type="spellStart"/>
      <w:r w:rsidRPr="005E3CCE">
        <w:rPr>
          <w:rFonts w:ascii="Cambria" w:hAnsi="Cambria" w:cs="Verdana"/>
          <w:bCs/>
          <w:i/>
          <w:sz w:val="16"/>
          <w:szCs w:val="16"/>
          <w:bdr w:val="none" w:sz="0" w:space="0" w:color="auto"/>
        </w:rPr>
        <w:t>Chocrón</w:t>
      </w:r>
      <w:proofErr w:type="spellEnd"/>
      <w:r w:rsidRPr="005E3CCE">
        <w:rPr>
          <w:rFonts w:ascii="Cambria" w:hAnsi="Cambria" w:cs="Verdana"/>
          <w:bCs/>
          <w:i/>
          <w:sz w:val="16"/>
          <w:szCs w:val="16"/>
          <w:bdr w:val="none" w:sz="0" w:space="0" w:color="auto"/>
        </w:rPr>
        <w:t xml:space="preserve"> Vs. Venezuela</w:t>
      </w:r>
      <w:r w:rsidRPr="005E3CCE">
        <w:rPr>
          <w:rFonts w:ascii="Cambria" w:hAnsi="Cambria" w:cs="Verdana"/>
          <w:bCs/>
          <w:sz w:val="16"/>
          <w:szCs w:val="16"/>
          <w:bdr w:val="none" w:sz="0" w:space="0" w:color="auto"/>
        </w:rPr>
        <w:t xml:space="preserve">. Excepción Preliminar, Fondo, Reparaciones y Costas. Sentencia de 1 de julio de 2011. Serie C No. 227, párr. 118. </w:t>
      </w:r>
    </w:p>
  </w:footnote>
  <w:footnote w:id="120">
    <w:p w:rsidR="005E3CCE" w:rsidRPr="005E3CCE" w:rsidRDefault="005E3CCE" w:rsidP="00FA64F3">
      <w:pPr>
        <w:pStyle w:val="FootnoteText"/>
        <w:spacing w:after="120"/>
        <w:ind w:firstLine="706"/>
        <w:jc w:val="both"/>
        <w:rPr>
          <w:rFonts w:ascii="Cambria" w:hAnsi="Cambria"/>
          <w:sz w:val="16"/>
          <w:szCs w:val="16"/>
          <w:lang w:val="es-CO"/>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sidRPr="005E3CCE">
        <w:rPr>
          <w:rFonts w:ascii="Cambria" w:hAnsi="Cambria" w:cs="Verdana"/>
          <w:bCs/>
          <w:sz w:val="16"/>
          <w:szCs w:val="16"/>
          <w:bdr w:val="none" w:sz="0" w:space="0" w:color="auto"/>
          <w:lang w:val="es-ES"/>
        </w:rPr>
        <w:t xml:space="preserve">Corte IDH. </w:t>
      </w:r>
      <w:r w:rsidRPr="005E3CCE">
        <w:rPr>
          <w:rFonts w:ascii="Cambria" w:hAnsi="Cambria"/>
          <w:i/>
          <w:sz w:val="16"/>
          <w:szCs w:val="16"/>
          <w:lang w:val="es-ES"/>
        </w:rPr>
        <w:t>Caso Chaparro Álvarez y Lapo Íñiguez. Vs. Ecuador. Excepción Preliminar, Fondo, Reparaciones y Costas</w:t>
      </w:r>
      <w:r w:rsidRPr="005E3CCE">
        <w:rPr>
          <w:rFonts w:ascii="Cambria" w:hAnsi="Cambria"/>
          <w:sz w:val="16"/>
          <w:szCs w:val="16"/>
          <w:lang w:val="es-ES"/>
        </w:rPr>
        <w:t xml:space="preserve">. </w:t>
      </w:r>
      <w:r w:rsidRPr="005E3CCE">
        <w:rPr>
          <w:rFonts w:ascii="Cambria" w:hAnsi="Cambria"/>
          <w:sz w:val="16"/>
          <w:szCs w:val="16"/>
          <w:lang w:val="es-CO"/>
        </w:rPr>
        <w:t>Sentencia de 21 de noviembre de 2007. Serie C No. 170, párr. 107</w:t>
      </w:r>
      <w:r w:rsidRPr="005E3CCE">
        <w:rPr>
          <w:rFonts w:ascii="Cambria" w:hAnsi="Cambria" w:cs="Arial"/>
          <w:i/>
          <w:sz w:val="16"/>
          <w:szCs w:val="16"/>
          <w:lang w:val="es-CO"/>
        </w:rPr>
        <w:t>.</w:t>
      </w:r>
    </w:p>
  </w:footnote>
  <w:footnote w:id="121">
    <w:p w:rsidR="005E3CCE" w:rsidRPr="005E3CCE" w:rsidRDefault="005E3CCE" w:rsidP="00FA64F3">
      <w:pPr>
        <w:pStyle w:val="FootnoteText"/>
        <w:spacing w:after="120"/>
        <w:ind w:firstLine="706"/>
        <w:jc w:val="both"/>
        <w:rPr>
          <w:rFonts w:ascii="Cambria" w:hAnsi="Cambria"/>
          <w:sz w:val="16"/>
          <w:szCs w:val="16"/>
          <w:lang w:val="es-CO"/>
        </w:rPr>
      </w:pPr>
      <w:r w:rsidRPr="005E3CCE">
        <w:rPr>
          <w:rStyle w:val="FootnoteReference"/>
          <w:rFonts w:ascii="Cambria" w:hAnsi="Cambria"/>
          <w:sz w:val="16"/>
          <w:szCs w:val="16"/>
        </w:rPr>
        <w:footnoteRef/>
      </w:r>
      <w:r w:rsidRPr="005E3CCE">
        <w:rPr>
          <w:rFonts w:ascii="Cambria" w:hAnsi="Cambria"/>
          <w:sz w:val="16"/>
          <w:szCs w:val="16"/>
          <w:lang w:val="es-CO"/>
        </w:rPr>
        <w:t xml:space="preserve"> </w:t>
      </w:r>
      <w:r w:rsidRPr="005E3CCE">
        <w:rPr>
          <w:rFonts w:ascii="Cambria" w:hAnsi="Cambria" w:cs="Verdana"/>
          <w:bCs/>
          <w:sz w:val="16"/>
          <w:szCs w:val="16"/>
          <w:bdr w:val="none" w:sz="0" w:space="0" w:color="auto"/>
          <w:lang w:val="es-ES"/>
        </w:rPr>
        <w:t xml:space="preserve">Corte IDH. </w:t>
      </w:r>
      <w:r w:rsidRPr="005E3CCE">
        <w:rPr>
          <w:rFonts w:ascii="Cambria" w:hAnsi="Cambria" w:cs="Verdana"/>
          <w:bCs/>
          <w:i/>
          <w:sz w:val="16"/>
          <w:szCs w:val="16"/>
          <w:bdr w:val="none" w:sz="0" w:space="0" w:color="auto"/>
          <w:lang w:val="es-ES"/>
        </w:rPr>
        <w:t xml:space="preserve">Caso </w:t>
      </w:r>
      <w:proofErr w:type="spellStart"/>
      <w:r w:rsidRPr="005E3CCE">
        <w:rPr>
          <w:rFonts w:ascii="Cambria" w:hAnsi="Cambria" w:cs="Verdana"/>
          <w:bCs/>
          <w:i/>
          <w:sz w:val="16"/>
          <w:szCs w:val="16"/>
          <w:bdr w:val="none" w:sz="0" w:space="0" w:color="auto"/>
          <w:lang w:val="es-ES"/>
        </w:rPr>
        <w:t>Chocrón</w:t>
      </w:r>
      <w:proofErr w:type="spellEnd"/>
      <w:r w:rsidRPr="005E3CCE">
        <w:rPr>
          <w:rFonts w:ascii="Cambria" w:hAnsi="Cambria" w:cs="Verdana"/>
          <w:bCs/>
          <w:i/>
          <w:sz w:val="16"/>
          <w:szCs w:val="16"/>
          <w:bdr w:val="none" w:sz="0" w:space="0" w:color="auto"/>
          <w:lang w:val="es-ES"/>
        </w:rPr>
        <w:t xml:space="preserve"> </w:t>
      </w:r>
      <w:proofErr w:type="spellStart"/>
      <w:r w:rsidRPr="005E3CCE">
        <w:rPr>
          <w:rFonts w:ascii="Cambria" w:hAnsi="Cambria" w:cs="Verdana"/>
          <w:bCs/>
          <w:i/>
          <w:sz w:val="16"/>
          <w:szCs w:val="16"/>
          <w:bdr w:val="none" w:sz="0" w:space="0" w:color="auto"/>
          <w:lang w:val="es-ES"/>
        </w:rPr>
        <w:t>Chocrón</w:t>
      </w:r>
      <w:proofErr w:type="spellEnd"/>
      <w:r w:rsidRPr="005E3CCE">
        <w:rPr>
          <w:rFonts w:ascii="Cambria" w:hAnsi="Cambria" w:cs="Verdana"/>
          <w:bCs/>
          <w:i/>
          <w:sz w:val="16"/>
          <w:szCs w:val="16"/>
          <w:bdr w:val="none" w:sz="0" w:space="0" w:color="auto"/>
          <w:lang w:val="es-ES"/>
        </w:rPr>
        <w:t xml:space="preserve"> Vs. Venezuela</w:t>
      </w:r>
      <w:r w:rsidRPr="005E3CCE">
        <w:rPr>
          <w:rFonts w:ascii="Cambria" w:hAnsi="Cambria" w:cs="Verdana"/>
          <w:bCs/>
          <w:sz w:val="16"/>
          <w:szCs w:val="16"/>
          <w:bdr w:val="none" w:sz="0" w:space="0" w:color="auto"/>
          <w:lang w:val="es-ES"/>
        </w:rPr>
        <w:t>. Excepción Preliminar, Fondo, Reparaciones y Costas. Sentencia de 1 de julio de 2011. Serie C No. 227. Párr. 118.</w:t>
      </w:r>
    </w:p>
  </w:footnote>
  <w:footnote w:id="122">
    <w:p w:rsidR="005E3CCE" w:rsidRPr="005E3CCE" w:rsidRDefault="005E3CCE" w:rsidP="00FA64F3">
      <w:pPr>
        <w:pStyle w:val="FootnoteText"/>
        <w:spacing w:after="120"/>
        <w:ind w:firstLine="706"/>
        <w:jc w:val="both"/>
        <w:rPr>
          <w:rFonts w:ascii="Cambria" w:hAnsi="Cambria"/>
          <w:i/>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sidRPr="005E3CCE">
        <w:rPr>
          <w:rFonts w:ascii="Cambria" w:hAnsi="Cambria" w:cs="Verdana"/>
          <w:bCs/>
          <w:sz w:val="16"/>
          <w:szCs w:val="16"/>
          <w:bdr w:val="none" w:sz="0" w:space="0" w:color="auto"/>
          <w:lang w:val="es-ES"/>
        </w:rPr>
        <w:t xml:space="preserve">Corte IDH. </w:t>
      </w:r>
      <w:r w:rsidRPr="005E3CCE">
        <w:rPr>
          <w:rFonts w:ascii="Cambria" w:hAnsi="Cambria"/>
          <w:i/>
          <w:sz w:val="16"/>
          <w:szCs w:val="16"/>
          <w:lang w:val="es-ES"/>
        </w:rPr>
        <w:t xml:space="preserve">Caso </w:t>
      </w:r>
      <w:proofErr w:type="spellStart"/>
      <w:r w:rsidRPr="005E3CCE">
        <w:rPr>
          <w:rFonts w:ascii="Cambria" w:hAnsi="Cambria"/>
          <w:i/>
          <w:sz w:val="16"/>
          <w:szCs w:val="16"/>
          <w:lang w:val="es-ES"/>
        </w:rPr>
        <w:t>Yatama</w:t>
      </w:r>
      <w:proofErr w:type="spellEnd"/>
      <w:r w:rsidRPr="005E3CCE">
        <w:rPr>
          <w:rFonts w:ascii="Cambria" w:hAnsi="Cambria"/>
          <w:i/>
          <w:sz w:val="16"/>
          <w:szCs w:val="16"/>
          <w:lang w:val="es-ES"/>
        </w:rPr>
        <w:t xml:space="preserve"> Vs. Nicaragua. </w:t>
      </w:r>
      <w:r w:rsidRPr="005E3CCE">
        <w:rPr>
          <w:rFonts w:ascii="Cambria" w:hAnsi="Cambria"/>
          <w:sz w:val="16"/>
          <w:szCs w:val="16"/>
          <w:lang w:val="es-ES"/>
        </w:rPr>
        <w:t>Excepciones Preliminares, Fondo, Reparaciones y Costas</w:t>
      </w:r>
      <w:r w:rsidRPr="005E3CCE">
        <w:rPr>
          <w:rFonts w:ascii="Cambria" w:hAnsi="Cambria"/>
          <w:i/>
          <w:sz w:val="16"/>
          <w:szCs w:val="16"/>
          <w:lang w:val="es-ES"/>
        </w:rPr>
        <w:t xml:space="preserve">. </w:t>
      </w:r>
      <w:r w:rsidRPr="005E3CCE">
        <w:rPr>
          <w:rFonts w:ascii="Cambria" w:hAnsi="Cambria"/>
          <w:sz w:val="16"/>
          <w:szCs w:val="16"/>
          <w:lang w:val="es-ES"/>
        </w:rPr>
        <w:t xml:space="preserve">Sentencia de 23 de junio de 2005. Serie C No. 127, </w:t>
      </w:r>
      <w:proofErr w:type="spellStart"/>
      <w:r w:rsidRPr="005E3CCE">
        <w:rPr>
          <w:rFonts w:ascii="Cambria" w:hAnsi="Cambria"/>
          <w:sz w:val="16"/>
          <w:szCs w:val="16"/>
          <w:lang w:val="es-ES"/>
        </w:rPr>
        <w:t>párrs</w:t>
      </w:r>
      <w:proofErr w:type="spellEnd"/>
      <w:r w:rsidRPr="005E3CCE">
        <w:rPr>
          <w:rFonts w:ascii="Cambria" w:hAnsi="Cambria"/>
          <w:sz w:val="16"/>
          <w:szCs w:val="16"/>
          <w:lang w:val="es-ES"/>
        </w:rPr>
        <w:t>. 152 y 153.</w:t>
      </w:r>
    </w:p>
  </w:footnote>
  <w:footnote w:id="123">
    <w:p w:rsidR="005E3CCE" w:rsidRPr="005E3CCE" w:rsidRDefault="005E3CCE" w:rsidP="00FA64F3">
      <w:pPr>
        <w:pStyle w:val="FootnoteText"/>
        <w:spacing w:after="120"/>
        <w:ind w:firstLine="706"/>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w:t>
      </w:r>
      <w:r w:rsidRPr="005E3CCE">
        <w:rPr>
          <w:rFonts w:ascii="Cambria" w:hAnsi="Cambria" w:cs="Verdana"/>
          <w:bCs/>
          <w:sz w:val="16"/>
          <w:szCs w:val="16"/>
          <w:bdr w:val="none" w:sz="0" w:space="0" w:color="auto"/>
          <w:lang w:val="es-ES"/>
        </w:rPr>
        <w:t xml:space="preserve">Corte IDH. </w:t>
      </w:r>
      <w:r w:rsidRPr="005E3CCE">
        <w:rPr>
          <w:rFonts w:ascii="Cambria" w:hAnsi="Cambria"/>
          <w:i/>
          <w:sz w:val="16"/>
          <w:szCs w:val="16"/>
          <w:lang w:val="es-ES"/>
        </w:rPr>
        <w:t xml:space="preserve">Caso Claude Reyes y otros Vs. Chile. </w:t>
      </w:r>
      <w:r w:rsidRPr="005E3CCE">
        <w:rPr>
          <w:rFonts w:ascii="Cambria" w:hAnsi="Cambria"/>
          <w:sz w:val="16"/>
          <w:szCs w:val="16"/>
          <w:lang w:val="es-ES"/>
        </w:rPr>
        <w:t>Fondo, Reparaciones y Costas</w:t>
      </w:r>
      <w:r w:rsidRPr="005E3CCE">
        <w:rPr>
          <w:rFonts w:ascii="Cambria" w:hAnsi="Cambria"/>
          <w:i/>
          <w:sz w:val="16"/>
          <w:szCs w:val="16"/>
          <w:lang w:val="es-ES"/>
        </w:rPr>
        <w:t xml:space="preserve">. </w:t>
      </w:r>
      <w:r w:rsidRPr="005E3CCE">
        <w:rPr>
          <w:rFonts w:ascii="Cambria" w:hAnsi="Cambria"/>
          <w:sz w:val="16"/>
          <w:szCs w:val="16"/>
          <w:lang w:val="es-ES"/>
        </w:rPr>
        <w:t>Sentencia de 19 de septiembre de 2006. Serie C No. 151, párr. 122</w:t>
      </w:r>
      <w:r w:rsidRPr="005E3CCE">
        <w:rPr>
          <w:rFonts w:ascii="Cambria" w:hAnsi="Cambria" w:cs="Arial"/>
          <w:sz w:val="16"/>
          <w:szCs w:val="16"/>
          <w:lang w:val="es-CO"/>
        </w:rPr>
        <w:t>.</w:t>
      </w:r>
    </w:p>
  </w:footnote>
  <w:footnote w:id="124">
    <w:p w:rsidR="005E3CCE" w:rsidRPr="005E3CCE" w:rsidRDefault="005E3CCE" w:rsidP="00FA64F3">
      <w:pPr>
        <w:pStyle w:val="FootnoteText"/>
        <w:spacing w:after="120"/>
        <w:ind w:firstLine="706"/>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CO"/>
        </w:rPr>
        <w:t xml:space="preserve"> </w:t>
      </w:r>
      <w:r w:rsidRPr="005E3CCE">
        <w:rPr>
          <w:rFonts w:ascii="Cambria" w:hAnsi="Cambria" w:cs="Verdana"/>
          <w:bCs/>
          <w:sz w:val="16"/>
          <w:szCs w:val="16"/>
          <w:bdr w:val="none" w:sz="0" w:space="0" w:color="auto"/>
          <w:lang w:val="es-ES"/>
        </w:rPr>
        <w:t xml:space="preserve">Corte IDH. </w:t>
      </w:r>
      <w:r w:rsidRPr="005E3CCE">
        <w:rPr>
          <w:rFonts w:ascii="Cambria" w:hAnsi="Cambria" w:cs="Verdana"/>
          <w:bCs/>
          <w:i/>
          <w:sz w:val="16"/>
          <w:szCs w:val="16"/>
          <w:bdr w:val="none" w:sz="0" w:space="0" w:color="auto"/>
          <w:lang w:val="es-ES"/>
        </w:rPr>
        <w:t xml:space="preserve">Caso </w:t>
      </w:r>
      <w:proofErr w:type="spellStart"/>
      <w:r w:rsidRPr="005E3CCE">
        <w:rPr>
          <w:rFonts w:ascii="Cambria" w:hAnsi="Cambria" w:cs="Verdana"/>
          <w:bCs/>
          <w:i/>
          <w:sz w:val="16"/>
          <w:szCs w:val="16"/>
          <w:bdr w:val="none" w:sz="0" w:space="0" w:color="auto"/>
          <w:lang w:val="es-ES"/>
        </w:rPr>
        <w:t>Chocrón</w:t>
      </w:r>
      <w:proofErr w:type="spellEnd"/>
      <w:r w:rsidRPr="005E3CCE">
        <w:rPr>
          <w:rFonts w:ascii="Cambria" w:hAnsi="Cambria" w:cs="Verdana"/>
          <w:bCs/>
          <w:i/>
          <w:sz w:val="16"/>
          <w:szCs w:val="16"/>
          <w:bdr w:val="none" w:sz="0" w:space="0" w:color="auto"/>
          <w:lang w:val="es-ES"/>
        </w:rPr>
        <w:t xml:space="preserve"> </w:t>
      </w:r>
      <w:proofErr w:type="spellStart"/>
      <w:r w:rsidRPr="005E3CCE">
        <w:rPr>
          <w:rFonts w:ascii="Cambria" w:hAnsi="Cambria" w:cs="Verdana"/>
          <w:bCs/>
          <w:i/>
          <w:sz w:val="16"/>
          <w:szCs w:val="16"/>
          <w:bdr w:val="none" w:sz="0" w:space="0" w:color="auto"/>
          <w:lang w:val="es-ES"/>
        </w:rPr>
        <w:t>Chocrón</w:t>
      </w:r>
      <w:proofErr w:type="spellEnd"/>
      <w:r w:rsidRPr="005E3CCE">
        <w:rPr>
          <w:rFonts w:ascii="Cambria" w:hAnsi="Cambria" w:cs="Verdana"/>
          <w:bCs/>
          <w:i/>
          <w:sz w:val="16"/>
          <w:szCs w:val="16"/>
          <w:bdr w:val="none" w:sz="0" w:space="0" w:color="auto"/>
          <w:lang w:val="es-ES"/>
        </w:rPr>
        <w:t xml:space="preserve"> Vs. Venezuela</w:t>
      </w:r>
      <w:r w:rsidRPr="005E3CCE">
        <w:rPr>
          <w:rFonts w:ascii="Cambria" w:hAnsi="Cambria" w:cs="Verdana"/>
          <w:bCs/>
          <w:sz w:val="16"/>
          <w:szCs w:val="16"/>
          <w:bdr w:val="none" w:sz="0" w:space="0" w:color="auto"/>
          <w:lang w:val="es-ES"/>
        </w:rPr>
        <w:t xml:space="preserve">. Excepción Preliminar, Fondo, Reparaciones y Costas. Sentencia de 1 de julio de 2011. Serie C No. 227. Párr. 118. </w:t>
      </w:r>
    </w:p>
  </w:footnote>
  <w:footnote w:id="125">
    <w:p w:rsidR="005E3CCE" w:rsidRPr="005E3CCE" w:rsidRDefault="005E3CCE" w:rsidP="00FA64F3">
      <w:pPr>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CIDH, Informe No. 42/14, Caso 12.453, Fondo, Olga Yolanda Maldonado Ordóñez, Guatemala, 17 de julio de 2014,  párr. 98.</w:t>
      </w:r>
    </w:p>
  </w:footnote>
  <w:footnote w:id="126">
    <w:p w:rsidR="005E3CCE" w:rsidRPr="005E3CCE" w:rsidRDefault="005E3CCE" w:rsidP="00FA64F3">
      <w:pPr>
        <w:pStyle w:val="FootnoteText"/>
        <w:spacing w:after="120"/>
        <w:ind w:firstLine="720"/>
        <w:jc w:val="both"/>
        <w:rPr>
          <w:rFonts w:ascii="Cambria" w:hAnsi="Cambria"/>
          <w:sz w:val="16"/>
          <w:szCs w:val="16"/>
          <w:lang w:val="es-ES"/>
        </w:rPr>
      </w:pPr>
      <w:r w:rsidRPr="005E3CCE">
        <w:rPr>
          <w:rStyle w:val="FootnoteReference"/>
          <w:rFonts w:ascii="Cambria" w:hAnsi="Cambria"/>
          <w:sz w:val="16"/>
          <w:szCs w:val="16"/>
        </w:rPr>
        <w:footnoteRef/>
      </w:r>
      <w:r w:rsidRPr="005E3CCE">
        <w:rPr>
          <w:rFonts w:ascii="Cambria" w:hAnsi="Cambria"/>
          <w:sz w:val="16"/>
          <w:szCs w:val="16"/>
          <w:lang w:val="es-ES"/>
        </w:rPr>
        <w:t xml:space="preserve"> CIDH, Informe No. 42/14, Caso 12.453, Fondo, Olga Yolanda Maldonado Ordóñez, Guatemala, 17 de julio de 2014,  párr. 89. Asimismo, véase: Corte IDH. </w:t>
      </w:r>
      <w:hyperlink r:id="rId15" w:history="1">
        <w:r w:rsidRPr="005E3CCE">
          <w:rPr>
            <w:rStyle w:val="Hyperlink"/>
            <w:rFonts w:ascii="Cambria" w:hAnsi="Cambria" w:cs="Arial"/>
            <w:i/>
            <w:color w:val="auto"/>
            <w:sz w:val="16"/>
            <w:szCs w:val="16"/>
            <w:u w:val="none"/>
            <w:shd w:val="clear" w:color="auto" w:fill="FFFFFF"/>
            <w:lang w:val="es-ES"/>
          </w:rPr>
          <w:t>Caso del Tribunal Constitucional (Camba Campos y otros) Vs. Ecuador</w:t>
        </w:r>
        <w:r w:rsidRPr="005E3CCE">
          <w:rPr>
            <w:rStyle w:val="Hyperlink"/>
            <w:rFonts w:ascii="Cambria" w:hAnsi="Cambria" w:cs="Arial"/>
            <w:color w:val="auto"/>
            <w:sz w:val="16"/>
            <w:szCs w:val="16"/>
            <w:u w:val="none"/>
            <w:shd w:val="clear" w:color="auto" w:fill="FFFFFF"/>
            <w:lang w:val="es-ES"/>
          </w:rPr>
          <w:t>. Excepciones Preliminares, Fondo, Reparaciones y Costas. Sentencia de 28 de agosto de 2013. Serie C No. 268</w:t>
        </w:r>
      </w:hyperlink>
      <w:r w:rsidRPr="005E3CCE">
        <w:rPr>
          <w:rFonts w:ascii="Cambria" w:hAnsi="Cambria"/>
          <w:sz w:val="16"/>
          <w:szCs w:val="16"/>
          <w:lang w:val="es-ES"/>
        </w:rPr>
        <w:t xml:space="preserve">, párr. 181; y </w:t>
      </w:r>
      <w:hyperlink r:id="rId16" w:history="1">
        <w:r w:rsidRPr="005E3CCE">
          <w:rPr>
            <w:rStyle w:val="Hyperlink"/>
            <w:rFonts w:ascii="Cambria" w:hAnsi="Cambria" w:cs="Arial"/>
            <w:color w:val="auto"/>
            <w:sz w:val="16"/>
            <w:szCs w:val="16"/>
            <w:u w:val="none"/>
            <w:shd w:val="clear" w:color="auto" w:fill="FFFFFF"/>
            <w:lang w:val="es-ES"/>
          </w:rPr>
          <w:t>C</w:t>
        </w:r>
        <w:r w:rsidRPr="005E3CCE">
          <w:rPr>
            <w:rStyle w:val="Hyperlink"/>
            <w:rFonts w:ascii="Cambria" w:hAnsi="Cambria" w:cs="Arial"/>
            <w:i/>
            <w:color w:val="auto"/>
            <w:sz w:val="16"/>
            <w:szCs w:val="16"/>
            <w:u w:val="none"/>
            <w:shd w:val="clear" w:color="auto" w:fill="FFFFFF"/>
            <w:lang w:val="es-ES"/>
          </w:rPr>
          <w:t xml:space="preserve">aso </w:t>
        </w:r>
        <w:proofErr w:type="spellStart"/>
        <w:r w:rsidRPr="005E3CCE">
          <w:rPr>
            <w:rStyle w:val="Hyperlink"/>
            <w:rFonts w:ascii="Cambria" w:hAnsi="Cambria" w:cs="Arial"/>
            <w:i/>
            <w:color w:val="auto"/>
            <w:sz w:val="16"/>
            <w:szCs w:val="16"/>
            <w:u w:val="none"/>
            <w:shd w:val="clear" w:color="auto" w:fill="FFFFFF"/>
            <w:lang w:val="es-ES"/>
          </w:rPr>
          <w:t>Barbani</w:t>
        </w:r>
        <w:proofErr w:type="spellEnd"/>
        <w:r w:rsidRPr="005E3CCE">
          <w:rPr>
            <w:rStyle w:val="Hyperlink"/>
            <w:rFonts w:ascii="Cambria" w:hAnsi="Cambria" w:cs="Arial"/>
            <w:i/>
            <w:color w:val="auto"/>
            <w:sz w:val="16"/>
            <w:szCs w:val="16"/>
            <w:u w:val="none"/>
            <w:shd w:val="clear" w:color="auto" w:fill="FFFFFF"/>
            <w:lang w:val="es-ES"/>
          </w:rPr>
          <w:t xml:space="preserve"> Duarte y Otros Vs. Uruguay</w:t>
        </w:r>
        <w:r w:rsidRPr="005E3CCE">
          <w:rPr>
            <w:rStyle w:val="Hyperlink"/>
            <w:rFonts w:ascii="Cambria" w:hAnsi="Cambria" w:cs="Arial"/>
            <w:color w:val="auto"/>
            <w:sz w:val="16"/>
            <w:szCs w:val="16"/>
            <w:u w:val="none"/>
            <w:shd w:val="clear" w:color="auto" w:fill="FFFFFF"/>
            <w:lang w:val="es-ES"/>
          </w:rPr>
          <w:t>. Fondo Reparaciones y costas. Sentencia de 13 de octubre de 2011. Serie C No. 234</w:t>
        </w:r>
      </w:hyperlink>
      <w:r w:rsidRPr="005E3CCE">
        <w:rPr>
          <w:rFonts w:ascii="Cambria" w:hAnsi="Cambria"/>
          <w:sz w:val="16"/>
          <w:szCs w:val="16"/>
          <w:lang w:val="es-ES"/>
        </w:rPr>
        <w:t>, párr. 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CE" w:rsidRDefault="005E3CCE" w:rsidP="009C6DB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E3CCE" w:rsidRDefault="005E3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CE" w:rsidRDefault="005E3CCE" w:rsidP="009C6DBD">
    <w:pPr>
      <w:pStyle w:val="Header"/>
      <w:tabs>
        <w:tab w:val="clear" w:pos="4320"/>
        <w:tab w:val="clear" w:pos="8640"/>
      </w:tabs>
      <w:jc w:val="center"/>
      <w:rPr>
        <w:sz w:val="22"/>
        <w:szCs w:val="22"/>
      </w:rPr>
    </w:pPr>
    <w:r w:rsidRPr="00DB43BD">
      <w:rPr>
        <w:noProof/>
        <w:sz w:val="22"/>
        <w:szCs w:val="22"/>
        <w:lang w:val="es-ES" w:eastAsia="es-ES"/>
      </w:rPr>
      <w:drawing>
        <wp:inline distT="0" distB="0" distL="0" distR="0" wp14:anchorId="36A41EC9" wp14:editId="513DDC76">
          <wp:extent cx="1973580" cy="104140"/>
          <wp:effectExtent l="0" t="0" r="7620"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104140"/>
                  </a:xfrm>
                  <a:prstGeom prst="rect">
                    <a:avLst/>
                  </a:prstGeom>
                  <a:noFill/>
                  <a:ln>
                    <a:noFill/>
                  </a:ln>
                </pic:spPr>
              </pic:pic>
            </a:graphicData>
          </a:graphic>
        </wp:inline>
      </w:drawing>
    </w:r>
  </w:p>
  <w:p w:rsidR="005E3CCE" w:rsidRPr="00EC7D62" w:rsidRDefault="005E3CCE" w:rsidP="009C6DBD">
    <w:pPr>
      <w:pStyle w:val="Header"/>
      <w:tabs>
        <w:tab w:val="clear" w:pos="4320"/>
        <w:tab w:val="clear" w:pos="8640"/>
      </w:tabs>
      <w:jc w:val="center"/>
      <w:rPr>
        <w:sz w:val="22"/>
        <w:szCs w:val="22"/>
      </w:rPr>
    </w:pPr>
    <w:r>
      <w:rPr>
        <w:sz w:val="22"/>
        <w:szCs w:val="22"/>
      </w:rPr>
      <w:pict w14:anchorId="4D3F73BB">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C7D57E6"/>
    <w:multiLevelType w:val="multilevel"/>
    <w:tmpl w:val="D220C378"/>
    <w:lvl w:ilvl="0">
      <w:start w:val="2"/>
      <w:numFmt w:val="decimal"/>
      <w:lvlText w:val="%1."/>
      <w:lvlJc w:val="left"/>
      <w:pPr>
        <w:tabs>
          <w:tab w:val="num" w:pos="2880"/>
        </w:tabs>
        <w:ind w:left="2880" w:hanging="360"/>
      </w:pPr>
      <w:rPr>
        <w:rFonts w:hint="default"/>
        <w:b/>
        <w:i w:val="0"/>
        <w:sz w:val="20"/>
        <w:szCs w:val="20"/>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9050020"/>
    <w:multiLevelType w:val="hybridMultilevel"/>
    <w:tmpl w:val="78664326"/>
    <w:lvl w:ilvl="0" w:tplc="1070076C">
      <w:start w:val="1"/>
      <w:numFmt w:val="decimal"/>
      <w:lvlText w:val="%1."/>
      <w:lvlJc w:val="left"/>
      <w:pPr>
        <w:tabs>
          <w:tab w:val="num" w:pos="1429"/>
        </w:tabs>
        <w:ind w:firstLine="720"/>
      </w:pPr>
      <w:rPr>
        <w:rFonts w:ascii="Cambria" w:hAnsi="Cambria" w:cs="Times New Roman" w:hint="default"/>
        <w:b w:val="0"/>
        <w:i w:val="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424AAD"/>
    <w:multiLevelType w:val="hybridMultilevel"/>
    <w:tmpl w:val="365CF948"/>
    <w:lvl w:ilvl="0" w:tplc="C232A3CC">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2145B"/>
    <w:multiLevelType w:val="hybridMultilevel"/>
    <w:tmpl w:val="2CE6D96E"/>
    <w:lvl w:ilvl="0" w:tplc="1368C5A0">
      <w:start w:val="1"/>
      <w:numFmt w:val="upperLetter"/>
      <w:pStyle w:val="Heading2"/>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784149"/>
    <w:multiLevelType w:val="hybridMultilevel"/>
    <w:tmpl w:val="B052D32A"/>
    <w:lvl w:ilvl="0" w:tplc="E522DE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7795779"/>
    <w:multiLevelType w:val="singleLevel"/>
    <w:tmpl w:val="46A0F79C"/>
    <w:lvl w:ilvl="0">
      <w:start w:val="1"/>
      <w:numFmt w:val="decimal"/>
      <w:lvlText w:val="%1."/>
      <w:lvlJc w:val="left"/>
      <w:pPr>
        <w:tabs>
          <w:tab w:val="num" w:pos="720"/>
        </w:tabs>
        <w:ind w:left="0" w:firstLine="720"/>
      </w:pPr>
      <w:rPr>
        <w:rFonts w:hint="default"/>
        <w:color w:val="auto"/>
        <w:sz w:val="20"/>
        <w:szCs w:val="20"/>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570ECC"/>
    <w:multiLevelType w:val="hybridMultilevel"/>
    <w:tmpl w:val="EEC6EB42"/>
    <w:lvl w:ilvl="0" w:tplc="4C023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AFC1A77"/>
    <w:multiLevelType w:val="hybridMultilevel"/>
    <w:tmpl w:val="E3AE2B30"/>
    <w:lvl w:ilvl="0" w:tplc="F1364F34">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77A682A6"/>
    <w:lvl w:ilvl="0" w:tplc="7ED433CE">
      <w:start w:val="1"/>
      <w:numFmt w:val="upperRoman"/>
      <w:pStyle w:val="Heading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2"/>
  </w:num>
  <w:num w:numId="4">
    <w:abstractNumId w:val="22"/>
  </w:num>
  <w:num w:numId="5">
    <w:abstractNumId w:val="46"/>
  </w:num>
  <w:num w:numId="6">
    <w:abstractNumId w:val="29"/>
  </w:num>
  <w:num w:numId="7">
    <w:abstractNumId w:val="9"/>
  </w:num>
  <w:num w:numId="8">
    <w:abstractNumId w:val="19"/>
  </w:num>
  <w:num w:numId="9">
    <w:abstractNumId w:val="43"/>
  </w:num>
  <w:num w:numId="10">
    <w:abstractNumId w:val="0"/>
  </w:num>
  <w:num w:numId="11">
    <w:abstractNumId w:val="39"/>
  </w:num>
  <w:num w:numId="12">
    <w:abstractNumId w:val="40"/>
  </w:num>
  <w:num w:numId="13">
    <w:abstractNumId w:val="44"/>
  </w:num>
  <w:num w:numId="14">
    <w:abstractNumId w:val="1"/>
  </w:num>
  <w:num w:numId="15">
    <w:abstractNumId w:val="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7"/>
  </w:num>
  <w:num w:numId="38">
    <w:abstractNumId w:val="38"/>
  </w:num>
  <w:num w:numId="39">
    <w:abstractNumId w:val="41"/>
  </w:num>
  <w:num w:numId="40">
    <w:abstractNumId w:val="42"/>
  </w:num>
  <w:num w:numId="41">
    <w:abstractNumId w:val="45"/>
  </w:num>
  <w:num w:numId="42">
    <w:abstractNumId w:val="47"/>
  </w:num>
  <w:num w:numId="43">
    <w:abstractNumId w:val="49"/>
  </w:num>
  <w:num w:numId="44">
    <w:abstractNumId w:val="51"/>
  </w:num>
  <w:num w:numId="45">
    <w:abstractNumId w:val="53"/>
  </w:num>
  <w:num w:numId="46">
    <w:abstractNumId w:val="54"/>
  </w:num>
  <w:num w:numId="47">
    <w:abstractNumId w:val="55"/>
  </w:num>
  <w:num w:numId="48">
    <w:abstractNumId w:val="57"/>
  </w:num>
  <w:num w:numId="49">
    <w:abstractNumId w:val="58"/>
  </w:num>
  <w:num w:numId="50">
    <w:abstractNumId w:val="50"/>
  </w:num>
  <w:num w:numId="51">
    <w:abstractNumId w:val="6"/>
  </w:num>
  <w:num w:numId="52">
    <w:abstractNumId w:val="56"/>
  </w:num>
  <w:num w:numId="53">
    <w:abstractNumId w:val="3"/>
  </w:num>
  <w:num w:numId="54">
    <w:abstractNumId w:val="8"/>
    <w:lvlOverride w:ilvl="0">
      <w:startOverride w:val="1"/>
    </w:lvlOverride>
  </w:num>
  <w:num w:numId="55">
    <w:abstractNumId w:val="7"/>
  </w:num>
  <w:num w:numId="56">
    <w:abstractNumId w:val="48"/>
  </w:num>
  <w:num w:numId="57">
    <w:abstractNumId w:val="35"/>
  </w:num>
  <w:num w:numId="58">
    <w:abstractNumId w:val="23"/>
  </w:num>
  <w:num w:numId="59">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F8"/>
    <w:rsid w:val="000831EF"/>
    <w:rsid w:val="000B0396"/>
    <w:rsid w:val="000F2E4F"/>
    <w:rsid w:val="0017042C"/>
    <w:rsid w:val="00180AF9"/>
    <w:rsid w:val="00186FB0"/>
    <w:rsid w:val="001D11A4"/>
    <w:rsid w:val="001D2539"/>
    <w:rsid w:val="002051A2"/>
    <w:rsid w:val="00231CEA"/>
    <w:rsid w:val="002477FD"/>
    <w:rsid w:val="00265ECB"/>
    <w:rsid w:val="00282FA6"/>
    <w:rsid w:val="003258BD"/>
    <w:rsid w:val="00372567"/>
    <w:rsid w:val="00412CAC"/>
    <w:rsid w:val="004D1EED"/>
    <w:rsid w:val="004D5AB4"/>
    <w:rsid w:val="00507D1B"/>
    <w:rsid w:val="00514823"/>
    <w:rsid w:val="00572931"/>
    <w:rsid w:val="005E2B4E"/>
    <w:rsid w:val="005E3CCE"/>
    <w:rsid w:val="0060785C"/>
    <w:rsid w:val="00655BA8"/>
    <w:rsid w:val="00680A87"/>
    <w:rsid w:val="006926E7"/>
    <w:rsid w:val="006B70D0"/>
    <w:rsid w:val="0070018C"/>
    <w:rsid w:val="00773021"/>
    <w:rsid w:val="007A61F8"/>
    <w:rsid w:val="007D1749"/>
    <w:rsid w:val="0080672C"/>
    <w:rsid w:val="0081795F"/>
    <w:rsid w:val="008550D2"/>
    <w:rsid w:val="00863C3A"/>
    <w:rsid w:val="008B6808"/>
    <w:rsid w:val="008C7FA2"/>
    <w:rsid w:val="008D5D00"/>
    <w:rsid w:val="008F1889"/>
    <w:rsid w:val="008F7097"/>
    <w:rsid w:val="00902008"/>
    <w:rsid w:val="0091158C"/>
    <w:rsid w:val="00957126"/>
    <w:rsid w:val="00974718"/>
    <w:rsid w:val="00991A78"/>
    <w:rsid w:val="009C6DBD"/>
    <w:rsid w:val="00A27C5C"/>
    <w:rsid w:val="00AB73B5"/>
    <w:rsid w:val="00AD30A9"/>
    <w:rsid w:val="00AD5FA0"/>
    <w:rsid w:val="00AE206F"/>
    <w:rsid w:val="00B467A0"/>
    <w:rsid w:val="00B4715A"/>
    <w:rsid w:val="00BB5F8D"/>
    <w:rsid w:val="00BC3815"/>
    <w:rsid w:val="00C13E9E"/>
    <w:rsid w:val="00CC7752"/>
    <w:rsid w:val="00CF23F7"/>
    <w:rsid w:val="00D869B9"/>
    <w:rsid w:val="00DA411C"/>
    <w:rsid w:val="00DC032C"/>
    <w:rsid w:val="00DF06DE"/>
    <w:rsid w:val="00DF603A"/>
    <w:rsid w:val="00E164A3"/>
    <w:rsid w:val="00E55F67"/>
    <w:rsid w:val="00E57D5F"/>
    <w:rsid w:val="00EB5F77"/>
    <w:rsid w:val="00ED46A1"/>
    <w:rsid w:val="00F71AD3"/>
    <w:rsid w:val="00F83478"/>
    <w:rsid w:val="00FA10C1"/>
    <w:rsid w:val="00FA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F8"/>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qFormat/>
    <w:rsid w:val="00ED46A1"/>
    <w:pPr>
      <w:keepNext/>
      <w:keepLines/>
      <w:numPr>
        <w:numId w:val="50"/>
      </w:numPr>
      <w:tabs>
        <w:tab w:val="left" w:pos="1440"/>
      </w:tabs>
      <w:ind w:firstLine="0"/>
      <w:jc w:val="both"/>
      <w:outlineLvl w:val="0"/>
    </w:pPr>
    <w:rPr>
      <w:rFonts w:ascii="Cambria" w:eastAsia="Times New Roman" w:hAnsi="Cambria"/>
      <w:b/>
      <w:bCs/>
      <w:sz w:val="20"/>
      <w:szCs w:val="20"/>
      <w:lang w:val="es-AR"/>
    </w:rPr>
  </w:style>
  <w:style w:type="paragraph" w:styleId="Heading2">
    <w:name w:val="heading 2"/>
    <w:basedOn w:val="Normal"/>
    <w:next w:val="Normal"/>
    <w:link w:val="Heading2Char"/>
    <w:uiPriority w:val="9"/>
    <w:qFormat/>
    <w:rsid w:val="007A61F8"/>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ind w:hanging="720"/>
      <w:outlineLvl w:val="1"/>
    </w:pPr>
    <w:rPr>
      <w:rFonts w:ascii="Cambria" w:eastAsia="Times New Roman" w:hAnsi="Cambria" w:cs="Arial"/>
      <w:b/>
      <w:bCs/>
      <w:iCs/>
      <w:sz w:val="20"/>
      <w:szCs w:val="28"/>
      <w:bdr w:val="none" w:sz="0" w:space="0" w:color="auto"/>
      <w:lang w:val="es-AR"/>
    </w:rPr>
  </w:style>
  <w:style w:type="paragraph" w:styleId="Heading3">
    <w:name w:val="heading 3"/>
    <w:basedOn w:val="Normal"/>
    <w:next w:val="Normal"/>
    <w:link w:val="Heading3Char"/>
    <w:qFormat/>
    <w:rsid w:val="007A61F8"/>
    <w:pPr>
      <w:keepNext/>
      <w:pBdr>
        <w:top w:val="none" w:sz="0" w:space="0" w:color="auto"/>
        <w:left w:val="none" w:sz="0" w:space="0" w:color="auto"/>
        <w:bottom w:val="none" w:sz="0" w:space="0" w:color="auto"/>
        <w:right w:val="none" w:sz="0" w:space="0" w:color="auto"/>
        <w:between w:val="none" w:sz="0" w:space="0" w:color="auto"/>
        <w:bar w:val="none" w:sz="0" w:color="auto"/>
      </w:pBdr>
      <w:ind w:firstLine="720"/>
      <w:outlineLvl w:val="2"/>
    </w:pPr>
    <w:rPr>
      <w:rFonts w:ascii="Cambria" w:eastAsia="Times New Roman" w:hAnsi="Cambria" w:cs="Arial"/>
      <w:b/>
      <w:bCs/>
      <w:sz w:val="20"/>
      <w:szCs w:val="20"/>
      <w:bdr w:val="none" w:sz="0" w:space="0" w:color="auto"/>
      <w:lang w:val="es-ES_tradnl"/>
    </w:rPr>
  </w:style>
  <w:style w:type="paragraph" w:styleId="Heading4">
    <w:name w:val="heading 4"/>
    <w:basedOn w:val="Normal"/>
    <w:next w:val="Normal"/>
    <w:link w:val="Heading4Char"/>
    <w:qFormat/>
    <w:rsid w:val="007A61F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3"/>
    </w:pPr>
    <w:rPr>
      <w:rFonts w:ascii="Arial" w:eastAsia="Batang" w:hAnsi="Arial" w:cs="Arial"/>
      <w:b/>
      <w:bCs/>
      <w:sz w:val="22"/>
      <w:bdr w:val="none" w:sz="0" w:space="0" w:color="auto"/>
    </w:rPr>
  </w:style>
  <w:style w:type="paragraph" w:styleId="Heading5">
    <w:name w:val="heading 5"/>
    <w:basedOn w:val="Normal"/>
    <w:next w:val="Normal"/>
    <w:link w:val="Heading5Char"/>
    <w:qFormat/>
    <w:rsid w:val="007A61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Batang"/>
      <w:sz w:val="22"/>
      <w:szCs w:val="20"/>
      <w:bdr w:val="none" w:sz="0" w:space="0" w:color="auto"/>
      <w:lang w:val="es-SV"/>
    </w:rPr>
  </w:style>
  <w:style w:type="paragraph" w:styleId="Heading6">
    <w:name w:val="heading 6"/>
    <w:basedOn w:val="Normal"/>
    <w:next w:val="Normal"/>
    <w:link w:val="Heading6Char"/>
    <w:uiPriority w:val="9"/>
    <w:qFormat/>
    <w:rsid w:val="007A61F8"/>
    <w:pPr>
      <w:numPr>
        <w:ilvl w:val="4"/>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s>
      <w:spacing w:before="240" w:after="60"/>
      <w:ind w:left="0" w:firstLine="0"/>
      <w:outlineLvl w:val="5"/>
    </w:pPr>
    <w:rPr>
      <w:rFonts w:eastAsia="Batang"/>
      <w:i/>
      <w:sz w:val="22"/>
      <w:szCs w:val="20"/>
      <w:bdr w:val="none" w:sz="0" w:space="0" w:color="auto"/>
      <w:lang w:val="es-SV"/>
    </w:rPr>
  </w:style>
  <w:style w:type="paragraph" w:styleId="Heading7">
    <w:name w:val="heading 7"/>
    <w:basedOn w:val="Normal"/>
    <w:next w:val="Normal"/>
    <w:link w:val="Heading7Char"/>
    <w:qFormat/>
    <w:rsid w:val="007A61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Batang" w:hAnsi="Arial"/>
      <w:sz w:val="20"/>
      <w:szCs w:val="20"/>
      <w:bdr w:val="none" w:sz="0" w:space="0" w:color="auto"/>
      <w:lang w:val="es-SV"/>
    </w:rPr>
  </w:style>
  <w:style w:type="paragraph" w:styleId="Heading8">
    <w:name w:val="heading 8"/>
    <w:basedOn w:val="Normal"/>
    <w:next w:val="Normal"/>
    <w:link w:val="Heading8Char"/>
    <w:qFormat/>
    <w:rsid w:val="007A61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Batang" w:hAnsi="Arial"/>
      <w:i/>
      <w:sz w:val="20"/>
      <w:szCs w:val="20"/>
      <w:bdr w:val="none" w:sz="0" w:space="0" w:color="auto"/>
      <w:lang w:val="es-SV"/>
    </w:rPr>
  </w:style>
  <w:style w:type="paragraph" w:styleId="Heading9">
    <w:name w:val="heading 9"/>
    <w:basedOn w:val="Normal"/>
    <w:next w:val="Normal"/>
    <w:link w:val="Heading9Char"/>
    <w:qFormat/>
    <w:rsid w:val="007A61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Batang" w:hAnsi="Arial" w:cs="Arial"/>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6A1"/>
    <w:rPr>
      <w:rFonts w:ascii="Cambria" w:eastAsia="Times New Roman" w:hAnsi="Cambria" w:cs="Times New Roman"/>
      <w:b/>
      <w:bCs/>
      <w:sz w:val="20"/>
      <w:szCs w:val="20"/>
      <w:bdr w:val="nil"/>
      <w:lang w:val="es-AR"/>
    </w:rPr>
  </w:style>
  <w:style w:type="character" w:customStyle="1" w:styleId="Heading2Char">
    <w:name w:val="Heading 2 Char"/>
    <w:basedOn w:val="DefaultParagraphFont"/>
    <w:link w:val="Heading2"/>
    <w:uiPriority w:val="9"/>
    <w:rsid w:val="007A61F8"/>
    <w:rPr>
      <w:rFonts w:ascii="Cambria" w:eastAsia="Times New Roman" w:hAnsi="Cambria" w:cs="Arial"/>
      <w:b/>
      <w:bCs/>
      <w:iCs/>
      <w:sz w:val="20"/>
      <w:szCs w:val="28"/>
      <w:lang w:val="es-AR"/>
    </w:rPr>
  </w:style>
  <w:style w:type="character" w:customStyle="1" w:styleId="Heading3Char">
    <w:name w:val="Heading 3 Char"/>
    <w:basedOn w:val="DefaultParagraphFont"/>
    <w:link w:val="Heading3"/>
    <w:rsid w:val="007A61F8"/>
    <w:rPr>
      <w:rFonts w:ascii="Cambria" w:eastAsia="Times New Roman" w:hAnsi="Cambria" w:cs="Arial"/>
      <w:b/>
      <w:bCs/>
      <w:sz w:val="20"/>
      <w:szCs w:val="20"/>
      <w:lang w:val="es-ES_tradnl"/>
    </w:rPr>
  </w:style>
  <w:style w:type="character" w:customStyle="1" w:styleId="Heading4Char">
    <w:name w:val="Heading 4 Char"/>
    <w:basedOn w:val="DefaultParagraphFont"/>
    <w:link w:val="Heading4"/>
    <w:rsid w:val="007A61F8"/>
    <w:rPr>
      <w:rFonts w:ascii="Arial" w:eastAsia="Batang" w:hAnsi="Arial" w:cs="Arial"/>
      <w:b/>
      <w:bCs/>
      <w:sz w:val="22"/>
    </w:rPr>
  </w:style>
  <w:style w:type="character" w:customStyle="1" w:styleId="Heading5Char">
    <w:name w:val="Heading 5 Char"/>
    <w:basedOn w:val="DefaultParagraphFont"/>
    <w:link w:val="Heading5"/>
    <w:rsid w:val="007A61F8"/>
    <w:rPr>
      <w:rFonts w:ascii="Times New Roman" w:eastAsia="Batang" w:hAnsi="Times New Roman" w:cs="Times New Roman"/>
      <w:sz w:val="22"/>
      <w:szCs w:val="20"/>
      <w:lang w:val="es-SV"/>
    </w:rPr>
  </w:style>
  <w:style w:type="character" w:customStyle="1" w:styleId="Heading6Char">
    <w:name w:val="Heading 6 Char"/>
    <w:basedOn w:val="DefaultParagraphFont"/>
    <w:link w:val="Heading6"/>
    <w:uiPriority w:val="9"/>
    <w:rsid w:val="007A61F8"/>
    <w:rPr>
      <w:rFonts w:ascii="Times New Roman" w:eastAsia="Batang" w:hAnsi="Times New Roman" w:cs="Times New Roman"/>
      <w:i/>
      <w:sz w:val="22"/>
      <w:szCs w:val="20"/>
      <w:lang w:val="es-SV"/>
    </w:rPr>
  </w:style>
  <w:style w:type="character" w:customStyle="1" w:styleId="Heading7Char">
    <w:name w:val="Heading 7 Char"/>
    <w:basedOn w:val="DefaultParagraphFont"/>
    <w:link w:val="Heading7"/>
    <w:rsid w:val="007A61F8"/>
    <w:rPr>
      <w:rFonts w:ascii="Arial" w:eastAsia="Batang" w:hAnsi="Arial" w:cs="Times New Roman"/>
      <w:sz w:val="20"/>
      <w:szCs w:val="20"/>
      <w:lang w:val="es-SV"/>
    </w:rPr>
  </w:style>
  <w:style w:type="character" w:customStyle="1" w:styleId="Heading8Char">
    <w:name w:val="Heading 8 Char"/>
    <w:basedOn w:val="DefaultParagraphFont"/>
    <w:link w:val="Heading8"/>
    <w:rsid w:val="007A61F8"/>
    <w:rPr>
      <w:rFonts w:ascii="Arial" w:eastAsia="Batang" w:hAnsi="Arial" w:cs="Times New Roman"/>
      <w:i/>
      <w:sz w:val="20"/>
      <w:szCs w:val="20"/>
      <w:lang w:val="es-SV"/>
    </w:rPr>
  </w:style>
  <w:style w:type="character" w:customStyle="1" w:styleId="Heading9Char">
    <w:name w:val="Heading 9 Char"/>
    <w:basedOn w:val="DefaultParagraphFont"/>
    <w:link w:val="Heading9"/>
    <w:rsid w:val="007A61F8"/>
    <w:rPr>
      <w:rFonts w:ascii="Arial" w:eastAsia="Batang" w:hAnsi="Arial" w:cs="Arial"/>
      <w:sz w:val="22"/>
      <w:szCs w:val="22"/>
    </w:rPr>
  </w:style>
  <w:style w:type="character" w:styleId="Hyperlink">
    <w:name w:val="Hyperlink"/>
    <w:uiPriority w:val="99"/>
    <w:rsid w:val="007A61F8"/>
    <w:rPr>
      <w:u w:val="single"/>
    </w:rPr>
  </w:style>
  <w:style w:type="paragraph" w:customStyle="1" w:styleId="Cabeceraypie">
    <w:name w:val="Cabecera y pie"/>
    <w:rsid w:val="007A61F8"/>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rsid w:val="007A61F8"/>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rsid w:val="007A61F8"/>
    <w:rPr>
      <w:rFonts w:ascii="Cambria" w:eastAsia="Cambria" w:hAnsi="Cambria" w:cs="Cambria"/>
      <w:color w:val="000000"/>
      <w:u w:color="000000"/>
      <w:bdr w:val="nil"/>
      <w:lang w:eastAsia="es-ES"/>
    </w:rPr>
  </w:style>
  <w:style w:type="paragraph" w:customStyle="1" w:styleId="Cuerpo">
    <w:name w:val="Cuerpo"/>
    <w:rsid w:val="007A61F8"/>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1"/>
    <w:rsid w:val="007A61F8"/>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rsid w:val="007A61F8"/>
    <w:rPr>
      <w:rFonts w:ascii="Times New Roman" w:eastAsia="Arial Unicode MS" w:hAnsi="Times New Roman" w:cs="Times New Roman"/>
      <w:bdr w:val="nil"/>
    </w:rPr>
  </w:style>
  <w:style w:type="numbering" w:customStyle="1" w:styleId="List0">
    <w:name w:val="List 0"/>
    <w:basedOn w:val="Estiloimportado1"/>
    <w:rsid w:val="007A61F8"/>
    <w:pPr>
      <w:numPr>
        <w:numId w:val="31"/>
      </w:numPr>
    </w:pPr>
  </w:style>
  <w:style w:type="numbering" w:customStyle="1" w:styleId="Estiloimportado1">
    <w:name w:val="Estilo importado 1"/>
    <w:rsid w:val="007A61F8"/>
  </w:style>
  <w:style w:type="numbering" w:customStyle="1" w:styleId="List1">
    <w:name w:val="List 1"/>
    <w:basedOn w:val="Estiloimportado2"/>
    <w:rsid w:val="007A61F8"/>
    <w:pPr>
      <w:numPr>
        <w:numId w:val="1"/>
      </w:numPr>
    </w:pPr>
  </w:style>
  <w:style w:type="numbering" w:customStyle="1" w:styleId="Estiloimportado2">
    <w:name w:val="Estilo importado 2"/>
    <w:rsid w:val="007A61F8"/>
  </w:style>
  <w:style w:type="numbering" w:customStyle="1" w:styleId="List21">
    <w:name w:val="List 21"/>
    <w:basedOn w:val="Estiloimportado3"/>
    <w:rsid w:val="007A61F8"/>
    <w:pPr>
      <w:numPr>
        <w:numId w:val="38"/>
      </w:numPr>
    </w:pPr>
  </w:style>
  <w:style w:type="numbering" w:customStyle="1" w:styleId="Estiloimportado3">
    <w:name w:val="Estilo importado 3"/>
    <w:rsid w:val="007A61F8"/>
  </w:style>
  <w:style w:type="numbering" w:customStyle="1" w:styleId="List31">
    <w:name w:val="List 31"/>
    <w:basedOn w:val="Estiloimportado4"/>
    <w:rsid w:val="007A61F8"/>
    <w:pPr>
      <w:numPr>
        <w:numId w:val="44"/>
      </w:numPr>
    </w:pPr>
  </w:style>
  <w:style w:type="numbering" w:customStyle="1" w:styleId="Estiloimportado4">
    <w:name w:val="Estilo importado 4"/>
    <w:rsid w:val="007A61F8"/>
  </w:style>
  <w:style w:type="numbering" w:customStyle="1" w:styleId="List41">
    <w:name w:val="List 41"/>
    <w:basedOn w:val="Estiloimportado5"/>
    <w:rsid w:val="007A61F8"/>
    <w:pPr>
      <w:numPr>
        <w:numId w:val="2"/>
      </w:numPr>
    </w:pPr>
  </w:style>
  <w:style w:type="numbering" w:customStyle="1" w:styleId="Estiloimportado5">
    <w:name w:val="Estilo importado 5"/>
    <w:rsid w:val="007A61F8"/>
  </w:style>
  <w:style w:type="numbering" w:customStyle="1" w:styleId="List51">
    <w:name w:val="List 51"/>
    <w:basedOn w:val="Estiloimportado6"/>
    <w:rsid w:val="007A61F8"/>
    <w:pPr>
      <w:numPr>
        <w:numId w:val="33"/>
      </w:numPr>
    </w:pPr>
  </w:style>
  <w:style w:type="numbering" w:customStyle="1" w:styleId="Estiloimportado6">
    <w:name w:val="Estilo importado 6"/>
    <w:rsid w:val="007A61F8"/>
  </w:style>
  <w:style w:type="numbering" w:customStyle="1" w:styleId="List6">
    <w:name w:val="List 6"/>
    <w:basedOn w:val="Estiloimportado7"/>
    <w:rsid w:val="007A61F8"/>
    <w:pPr>
      <w:numPr>
        <w:numId w:val="3"/>
      </w:numPr>
    </w:pPr>
  </w:style>
  <w:style w:type="numbering" w:customStyle="1" w:styleId="Estiloimportado7">
    <w:name w:val="Estilo importado 7"/>
    <w:rsid w:val="007A61F8"/>
  </w:style>
  <w:style w:type="numbering" w:customStyle="1" w:styleId="List7">
    <w:name w:val="List 7"/>
    <w:basedOn w:val="Estiloimportado8"/>
    <w:rsid w:val="007A61F8"/>
    <w:pPr>
      <w:numPr>
        <w:numId w:val="4"/>
      </w:numPr>
    </w:pPr>
  </w:style>
  <w:style w:type="numbering" w:customStyle="1" w:styleId="Estiloimportado8">
    <w:name w:val="Estilo importado 8"/>
    <w:rsid w:val="007A61F8"/>
  </w:style>
  <w:style w:type="numbering" w:customStyle="1" w:styleId="List8">
    <w:name w:val="List 8"/>
    <w:basedOn w:val="Estiloimportado9"/>
    <w:rsid w:val="007A61F8"/>
    <w:pPr>
      <w:numPr>
        <w:numId w:val="5"/>
      </w:numPr>
    </w:pPr>
  </w:style>
  <w:style w:type="numbering" w:customStyle="1" w:styleId="Estiloimportado9">
    <w:name w:val="Estilo importado 9"/>
    <w:rsid w:val="007A61F8"/>
  </w:style>
  <w:style w:type="numbering" w:customStyle="1" w:styleId="List9">
    <w:name w:val="List 9"/>
    <w:basedOn w:val="Estiloimportado10"/>
    <w:rsid w:val="007A61F8"/>
    <w:pPr>
      <w:numPr>
        <w:numId w:val="22"/>
      </w:numPr>
    </w:pPr>
  </w:style>
  <w:style w:type="numbering" w:customStyle="1" w:styleId="Estiloimportado10">
    <w:name w:val="Estilo importado 10"/>
    <w:rsid w:val="007A61F8"/>
  </w:style>
  <w:style w:type="numbering" w:customStyle="1" w:styleId="List10">
    <w:name w:val="List 10"/>
    <w:basedOn w:val="Estiloimportado11"/>
    <w:rsid w:val="007A61F8"/>
    <w:pPr>
      <w:numPr>
        <w:numId w:val="6"/>
      </w:numPr>
    </w:pPr>
  </w:style>
  <w:style w:type="numbering" w:customStyle="1" w:styleId="Estiloimportado11">
    <w:name w:val="Estilo importado 11"/>
    <w:rsid w:val="007A61F8"/>
  </w:style>
  <w:style w:type="numbering" w:customStyle="1" w:styleId="List11">
    <w:name w:val="List 11"/>
    <w:basedOn w:val="Estiloimportado12"/>
    <w:rsid w:val="007A61F8"/>
    <w:pPr>
      <w:numPr>
        <w:numId w:val="7"/>
      </w:numPr>
    </w:pPr>
  </w:style>
  <w:style w:type="numbering" w:customStyle="1" w:styleId="Estiloimportado12">
    <w:name w:val="Estilo importado 12"/>
    <w:rsid w:val="007A61F8"/>
  </w:style>
  <w:style w:type="numbering" w:customStyle="1" w:styleId="List12">
    <w:name w:val="List 12"/>
    <w:basedOn w:val="Estiloimportado13"/>
    <w:rsid w:val="007A61F8"/>
    <w:pPr>
      <w:numPr>
        <w:numId w:val="36"/>
      </w:numPr>
    </w:pPr>
  </w:style>
  <w:style w:type="numbering" w:customStyle="1" w:styleId="Estiloimportado13">
    <w:name w:val="Estilo importado 13"/>
    <w:rsid w:val="007A61F8"/>
  </w:style>
  <w:style w:type="numbering" w:customStyle="1" w:styleId="List13">
    <w:name w:val="List 13"/>
    <w:basedOn w:val="Estiloimportado14"/>
    <w:rsid w:val="007A61F8"/>
    <w:pPr>
      <w:numPr>
        <w:numId w:val="42"/>
      </w:numPr>
    </w:pPr>
  </w:style>
  <w:style w:type="numbering" w:customStyle="1" w:styleId="Estiloimportado14">
    <w:name w:val="Estilo importado 14"/>
    <w:rsid w:val="007A61F8"/>
  </w:style>
  <w:style w:type="numbering" w:customStyle="1" w:styleId="List14">
    <w:name w:val="List 14"/>
    <w:basedOn w:val="Estiloimportado15"/>
    <w:rsid w:val="007A61F8"/>
    <w:pPr>
      <w:numPr>
        <w:numId w:val="17"/>
      </w:numPr>
    </w:pPr>
  </w:style>
  <w:style w:type="numbering" w:customStyle="1" w:styleId="Estiloimportado15">
    <w:name w:val="Estilo importado 15"/>
    <w:rsid w:val="007A61F8"/>
  </w:style>
  <w:style w:type="numbering" w:customStyle="1" w:styleId="List15">
    <w:name w:val="List 15"/>
    <w:basedOn w:val="Estiloimportado16"/>
    <w:rsid w:val="007A61F8"/>
    <w:pPr>
      <w:numPr>
        <w:numId w:val="16"/>
      </w:numPr>
    </w:pPr>
  </w:style>
  <w:style w:type="numbering" w:customStyle="1" w:styleId="Estiloimportado16">
    <w:name w:val="Estilo importado 16"/>
    <w:rsid w:val="007A61F8"/>
  </w:style>
  <w:style w:type="numbering" w:customStyle="1" w:styleId="List16">
    <w:name w:val="List 16"/>
    <w:basedOn w:val="Estiloimportado16"/>
    <w:rsid w:val="007A61F8"/>
    <w:pPr>
      <w:numPr>
        <w:numId w:val="10"/>
      </w:numPr>
    </w:pPr>
  </w:style>
  <w:style w:type="numbering" w:customStyle="1" w:styleId="List17">
    <w:name w:val="List 17"/>
    <w:basedOn w:val="Estiloimportado17"/>
    <w:rsid w:val="007A61F8"/>
    <w:pPr>
      <w:numPr>
        <w:numId w:val="25"/>
      </w:numPr>
    </w:pPr>
  </w:style>
  <w:style w:type="numbering" w:customStyle="1" w:styleId="Estiloimportado17">
    <w:name w:val="Estilo importado 17"/>
    <w:rsid w:val="007A61F8"/>
  </w:style>
  <w:style w:type="numbering" w:customStyle="1" w:styleId="List18">
    <w:name w:val="List 18"/>
    <w:basedOn w:val="Estiloimportado18"/>
    <w:rsid w:val="007A61F8"/>
    <w:pPr>
      <w:numPr>
        <w:numId w:val="27"/>
      </w:numPr>
    </w:pPr>
  </w:style>
  <w:style w:type="numbering" w:customStyle="1" w:styleId="Estiloimportado18">
    <w:name w:val="Estilo importado 18"/>
    <w:rsid w:val="007A61F8"/>
  </w:style>
  <w:style w:type="numbering" w:customStyle="1" w:styleId="List19">
    <w:name w:val="List 19"/>
    <w:basedOn w:val="Estiloimportado10"/>
    <w:rsid w:val="007A61F8"/>
    <w:pPr>
      <w:numPr>
        <w:numId w:val="19"/>
      </w:numPr>
    </w:pPr>
  </w:style>
  <w:style w:type="numbering" w:customStyle="1" w:styleId="List20">
    <w:name w:val="List 20"/>
    <w:basedOn w:val="Estiloimportado12"/>
    <w:rsid w:val="007A61F8"/>
    <w:pPr>
      <w:numPr>
        <w:numId w:val="43"/>
      </w:numPr>
    </w:pPr>
  </w:style>
  <w:style w:type="numbering" w:customStyle="1" w:styleId="Estiloimportado19">
    <w:name w:val="Estilo importado 19"/>
    <w:rsid w:val="007A61F8"/>
  </w:style>
  <w:style w:type="numbering" w:customStyle="1" w:styleId="List22">
    <w:name w:val="List 22"/>
    <w:basedOn w:val="Estiloimportado19"/>
    <w:rsid w:val="007A61F8"/>
    <w:pPr>
      <w:numPr>
        <w:numId w:val="28"/>
      </w:numPr>
    </w:pPr>
  </w:style>
  <w:style w:type="numbering" w:customStyle="1" w:styleId="List23">
    <w:name w:val="List 23"/>
    <w:basedOn w:val="Estiloimportado19"/>
    <w:rsid w:val="007A61F8"/>
    <w:pPr>
      <w:numPr>
        <w:numId w:val="18"/>
      </w:numPr>
    </w:pPr>
  </w:style>
  <w:style w:type="numbering" w:customStyle="1" w:styleId="List24">
    <w:name w:val="List 24"/>
    <w:basedOn w:val="Estiloimportado20"/>
    <w:rsid w:val="007A61F8"/>
    <w:pPr>
      <w:numPr>
        <w:numId w:val="13"/>
      </w:numPr>
    </w:pPr>
  </w:style>
  <w:style w:type="numbering" w:customStyle="1" w:styleId="Estiloimportado20">
    <w:name w:val="Estilo importado 20"/>
    <w:rsid w:val="007A61F8"/>
  </w:style>
  <w:style w:type="numbering" w:customStyle="1" w:styleId="List25">
    <w:name w:val="List 25"/>
    <w:basedOn w:val="Estiloimportado21"/>
    <w:rsid w:val="007A61F8"/>
    <w:pPr>
      <w:numPr>
        <w:numId w:val="15"/>
      </w:numPr>
    </w:pPr>
  </w:style>
  <w:style w:type="numbering" w:customStyle="1" w:styleId="Estiloimportado21">
    <w:name w:val="Estilo importado 21"/>
    <w:rsid w:val="007A61F8"/>
  </w:style>
  <w:style w:type="numbering" w:customStyle="1" w:styleId="List26">
    <w:name w:val="List 26"/>
    <w:basedOn w:val="Estiloimportado22"/>
    <w:rsid w:val="007A61F8"/>
    <w:pPr>
      <w:numPr>
        <w:numId w:val="48"/>
      </w:numPr>
    </w:pPr>
  </w:style>
  <w:style w:type="numbering" w:customStyle="1" w:styleId="Estiloimportado22">
    <w:name w:val="Estilo importado 22"/>
    <w:rsid w:val="007A61F8"/>
  </w:style>
  <w:style w:type="numbering" w:customStyle="1" w:styleId="List27">
    <w:name w:val="List 27"/>
    <w:basedOn w:val="Estiloimportado23"/>
    <w:rsid w:val="007A61F8"/>
    <w:pPr>
      <w:numPr>
        <w:numId w:val="41"/>
      </w:numPr>
    </w:pPr>
  </w:style>
  <w:style w:type="numbering" w:customStyle="1" w:styleId="Estiloimportado23">
    <w:name w:val="Estilo importado 23"/>
    <w:rsid w:val="007A61F8"/>
  </w:style>
  <w:style w:type="numbering" w:customStyle="1" w:styleId="List28">
    <w:name w:val="List 28"/>
    <w:basedOn w:val="Estiloimportado24"/>
    <w:rsid w:val="007A61F8"/>
    <w:pPr>
      <w:numPr>
        <w:numId w:val="30"/>
      </w:numPr>
    </w:pPr>
  </w:style>
  <w:style w:type="numbering" w:customStyle="1" w:styleId="Estiloimportado24">
    <w:name w:val="Estilo importado 24"/>
    <w:rsid w:val="007A61F8"/>
  </w:style>
  <w:style w:type="numbering" w:customStyle="1" w:styleId="List29">
    <w:name w:val="List 29"/>
    <w:basedOn w:val="Estiloimportado25"/>
    <w:rsid w:val="007A61F8"/>
    <w:pPr>
      <w:numPr>
        <w:numId w:val="34"/>
      </w:numPr>
    </w:pPr>
  </w:style>
  <w:style w:type="numbering" w:customStyle="1" w:styleId="Estiloimportado25">
    <w:name w:val="Estilo importado 25"/>
    <w:rsid w:val="007A61F8"/>
  </w:style>
  <w:style w:type="numbering" w:customStyle="1" w:styleId="List30">
    <w:name w:val="List 30"/>
    <w:basedOn w:val="Estiloimportado26"/>
    <w:rsid w:val="007A61F8"/>
    <w:pPr>
      <w:numPr>
        <w:numId w:val="32"/>
      </w:numPr>
    </w:pPr>
  </w:style>
  <w:style w:type="numbering" w:customStyle="1" w:styleId="Estiloimportado26">
    <w:name w:val="Estilo importado 26"/>
    <w:rsid w:val="007A61F8"/>
  </w:style>
  <w:style w:type="numbering" w:customStyle="1" w:styleId="Estiloimportado27">
    <w:name w:val="Estilo importado 27"/>
    <w:rsid w:val="007A61F8"/>
  </w:style>
  <w:style w:type="numbering" w:customStyle="1" w:styleId="List32">
    <w:name w:val="List 32"/>
    <w:basedOn w:val="Estiloimportado28"/>
    <w:rsid w:val="007A61F8"/>
    <w:pPr>
      <w:numPr>
        <w:numId w:val="47"/>
      </w:numPr>
    </w:pPr>
  </w:style>
  <w:style w:type="numbering" w:customStyle="1" w:styleId="Estiloimportado28">
    <w:name w:val="Estilo importado 28"/>
    <w:rsid w:val="007A61F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7A61F8"/>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qFormat/>
    <w:rsid w:val="007A61F8"/>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7A61F8"/>
    <w:pPr>
      <w:numPr>
        <w:numId w:val="26"/>
      </w:numPr>
    </w:pPr>
  </w:style>
  <w:style w:type="numbering" w:customStyle="1" w:styleId="Estiloimportado29">
    <w:name w:val="Estilo importado 29"/>
    <w:rsid w:val="007A61F8"/>
  </w:style>
  <w:style w:type="numbering" w:customStyle="1" w:styleId="List34">
    <w:name w:val="List 34"/>
    <w:basedOn w:val="Estiloimportado30"/>
    <w:rsid w:val="007A61F8"/>
    <w:pPr>
      <w:numPr>
        <w:numId w:val="11"/>
      </w:numPr>
    </w:pPr>
  </w:style>
  <w:style w:type="numbering" w:customStyle="1" w:styleId="Estiloimportado30">
    <w:name w:val="Estilo importado 30"/>
    <w:rsid w:val="007A61F8"/>
  </w:style>
  <w:style w:type="numbering" w:customStyle="1" w:styleId="List35">
    <w:name w:val="List 35"/>
    <w:basedOn w:val="Estiloimportado31"/>
    <w:rsid w:val="007A61F8"/>
    <w:pPr>
      <w:numPr>
        <w:numId w:val="8"/>
      </w:numPr>
    </w:pPr>
  </w:style>
  <w:style w:type="numbering" w:customStyle="1" w:styleId="Estiloimportado31">
    <w:name w:val="Estilo importado 31"/>
    <w:rsid w:val="007A61F8"/>
  </w:style>
  <w:style w:type="numbering" w:customStyle="1" w:styleId="List36">
    <w:name w:val="List 36"/>
    <w:basedOn w:val="Estiloimportado32"/>
    <w:rsid w:val="007A61F8"/>
    <w:pPr>
      <w:numPr>
        <w:numId w:val="14"/>
      </w:numPr>
    </w:pPr>
  </w:style>
  <w:style w:type="numbering" w:customStyle="1" w:styleId="Estiloimportado32">
    <w:name w:val="Estilo importado 32"/>
    <w:rsid w:val="007A61F8"/>
  </w:style>
  <w:style w:type="numbering" w:customStyle="1" w:styleId="List37">
    <w:name w:val="List 37"/>
    <w:basedOn w:val="Estiloimportado33"/>
    <w:rsid w:val="007A61F8"/>
    <w:pPr>
      <w:numPr>
        <w:numId w:val="46"/>
      </w:numPr>
    </w:pPr>
  </w:style>
  <w:style w:type="numbering" w:customStyle="1" w:styleId="Estiloimportado33">
    <w:name w:val="Estilo importado 33"/>
    <w:rsid w:val="007A61F8"/>
  </w:style>
  <w:style w:type="numbering" w:customStyle="1" w:styleId="List38">
    <w:name w:val="List 38"/>
    <w:basedOn w:val="Estiloimportado34"/>
    <w:rsid w:val="007A61F8"/>
    <w:pPr>
      <w:numPr>
        <w:numId w:val="35"/>
      </w:numPr>
    </w:pPr>
  </w:style>
  <w:style w:type="numbering" w:customStyle="1" w:styleId="Estiloimportado34">
    <w:name w:val="Estilo importado 34"/>
    <w:rsid w:val="007A61F8"/>
  </w:style>
  <w:style w:type="numbering" w:customStyle="1" w:styleId="List39">
    <w:name w:val="List 39"/>
    <w:basedOn w:val="Estiloimportado35"/>
    <w:rsid w:val="007A61F8"/>
    <w:pPr>
      <w:numPr>
        <w:numId w:val="45"/>
      </w:numPr>
    </w:pPr>
  </w:style>
  <w:style w:type="numbering" w:customStyle="1" w:styleId="Estiloimportado35">
    <w:name w:val="Estilo importado 35"/>
    <w:rsid w:val="007A61F8"/>
  </w:style>
  <w:style w:type="numbering" w:customStyle="1" w:styleId="List40">
    <w:name w:val="List 40"/>
    <w:basedOn w:val="Estiloimportado36"/>
    <w:rsid w:val="007A61F8"/>
    <w:pPr>
      <w:numPr>
        <w:numId w:val="21"/>
      </w:numPr>
    </w:pPr>
  </w:style>
  <w:style w:type="numbering" w:customStyle="1" w:styleId="Estiloimportado36">
    <w:name w:val="Estilo importado 36"/>
    <w:rsid w:val="007A61F8"/>
  </w:style>
  <w:style w:type="numbering" w:customStyle="1" w:styleId="Estiloimportado37">
    <w:name w:val="Estilo importado 37"/>
    <w:rsid w:val="007A61F8"/>
  </w:style>
  <w:style w:type="numbering" w:customStyle="1" w:styleId="List42">
    <w:name w:val="List 42"/>
    <w:basedOn w:val="Estiloimportado12"/>
    <w:rsid w:val="007A61F8"/>
    <w:pPr>
      <w:numPr>
        <w:numId w:val="12"/>
      </w:numPr>
    </w:pPr>
  </w:style>
  <w:style w:type="numbering" w:customStyle="1" w:styleId="List43">
    <w:name w:val="List 43"/>
    <w:basedOn w:val="Estiloimportado38"/>
    <w:rsid w:val="007A61F8"/>
    <w:pPr>
      <w:numPr>
        <w:numId w:val="23"/>
      </w:numPr>
    </w:pPr>
  </w:style>
  <w:style w:type="numbering" w:customStyle="1" w:styleId="Estiloimportado38">
    <w:name w:val="Estilo importado 38"/>
    <w:rsid w:val="007A61F8"/>
  </w:style>
  <w:style w:type="numbering" w:customStyle="1" w:styleId="List44">
    <w:name w:val="List 44"/>
    <w:basedOn w:val="Estiloimportado39"/>
    <w:rsid w:val="007A61F8"/>
    <w:pPr>
      <w:numPr>
        <w:numId w:val="40"/>
      </w:numPr>
    </w:pPr>
  </w:style>
  <w:style w:type="numbering" w:customStyle="1" w:styleId="Estiloimportado39">
    <w:name w:val="Estilo importado 39"/>
    <w:rsid w:val="007A61F8"/>
  </w:style>
  <w:style w:type="numbering" w:customStyle="1" w:styleId="List45">
    <w:name w:val="List 45"/>
    <w:basedOn w:val="Estiloimportado40"/>
    <w:rsid w:val="007A61F8"/>
    <w:pPr>
      <w:numPr>
        <w:numId w:val="20"/>
      </w:numPr>
    </w:pPr>
  </w:style>
  <w:style w:type="numbering" w:customStyle="1" w:styleId="Estiloimportado40">
    <w:name w:val="Estilo importado 40"/>
    <w:rsid w:val="007A61F8"/>
  </w:style>
  <w:style w:type="numbering" w:customStyle="1" w:styleId="List46">
    <w:name w:val="List 46"/>
    <w:basedOn w:val="Estiloimportado41"/>
    <w:rsid w:val="007A61F8"/>
    <w:pPr>
      <w:numPr>
        <w:numId w:val="24"/>
      </w:numPr>
    </w:pPr>
  </w:style>
  <w:style w:type="numbering" w:customStyle="1" w:styleId="Estiloimportado41">
    <w:name w:val="Estilo importado 41"/>
    <w:rsid w:val="007A61F8"/>
  </w:style>
  <w:style w:type="numbering" w:customStyle="1" w:styleId="List47">
    <w:name w:val="List 47"/>
    <w:basedOn w:val="Estiloimportado42"/>
    <w:rsid w:val="007A61F8"/>
    <w:pPr>
      <w:numPr>
        <w:numId w:val="29"/>
      </w:numPr>
    </w:pPr>
  </w:style>
  <w:style w:type="numbering" w:customStyle="1" w:styleId="Estiloimportado42">
    <w:name w:val="Estilo importado 42"/>
    <w:rsid w:val="007A61F8"/>
  </w:style>
  <w:style w:type="numbering" w:customStyle="1" w:styleId="List48">
    <w:name w:val="List 48"/>
    <w:basedOn w:val="Estiloimportado43"/>
    <w:rsid w:val="007A61F8"/>
    <w:pPr>
      <w:numPr>
        <w:numId w:val="49"/>
      </w:numPr>
    </w:pPr>
  </w:style>
  <w:style w:type="numbering" w:customStyle="1" w:styleId="Estiloimportado43">
    <w:name w:val="Estilo importado 43"/>
    <w:rsid w:val="007A61F8"/>
  </w:style>
  <w:style w:type="numbering" w:customStyle="1" w:styleId="List49">
    <w:name w:val="List 49"/>
    <w:basedOn w:val="Estiloimportado44"/>
    <w:rsid w:val="007A61F8"/>
    <w:pPr>
      <w:numPr>
        <w:numId w:val="39"/>
      </w:numPr>
    </w:pPr>
  </w:style>
  <w:style w:type="numbering" w:customStyle="1" w:styleId="Estiloimportado44">
    <w:name w:val="Estilo importado 44"/>
    <w:rsid w:val="007A61F8"/>
  </w:style>
  <w:style w:type="numbering" w:customStyle="1" w:styleId="List50">
    <w:name w:val="List 50"/>
    <w:basedOn w:val="Estiloimportado45"/>
    <w:rsid w:val="007A61F8"/>
    <w:pPr>
      <w:numPr>
        <w:numId w:val="37"/>
      </w:numPr>
    </w:pPr>
  </w:style>
  <w:style w:type="numbering" w:customStyle="1" w:styleId="Estiloimportado45">
    <w:name w:val="Estilo importado 45"/>
    <w:rsid w:val="007A61F8"/>
  </w:style>
  <w:style w:type="numbering" w:customStyle="1" w:styleId="Estiloimportado46">
    <w:name w:val="Estilo importado 46"/>
    <w:rsid w:val="007A61F8"/>
  </w:style>
  <w:style w:type="numbering" w:customStyle="1" w:styleId="List52">
    <w:name w:val="List 52"/>
    <w:basedOn w:val="Estiloimportado1"/>
    <w:rsid w:val="007A61F8"/>
    <w:pPr>
      <w:numPr>
        <w:numId w:val="9"/>
      </w:numPr>
    </w:pPr>
  </w:style>
  <w:style w:type="paragraph" w:styleId="BalloonText">
    <w:name w:val="Balloon Text"/>
    <w:basedOn w:val="Normal"/>
    <w:link w:val="BalloonTextChar"/>
    <w:semiHidden/>
    <w:unhideWhenUsed/>
    <w:rsid w:val="007A61F8"/>
    <w:rPr>
      <w:rFonts w:ascii="Tahoma" w:hAnsi="Tahoma" w:cs="Tahoma"/>
      <w:sz w:val="16"/>
      <w:szCs w:val="16"/>
    </w:rPr>
  </w:style>
  <w:style w:type="character" w:customStyle="1" w:styleId="BalloonTextChar">
    <w:name w:val="Balloon Text Char"/>
    <w:basedOn w:val="DefaultParagraphFont"/>
    <w:link w:val="BalloonText"/>
    <w:semiHidden/>
    <w:rsid w:val="007A61F8"/>
    <w:rPr>
      <w:rFonts w:ascii="Tahoma" w:eastAsia="Arial Unicode MS" w:hAnsi="Tahoma" w:cs="Tahoma"/>
      <w:sz w:val="16"/>
      <w:szCs w:val="16"/>
      <w:bdr w:val="nil"/>
    </w:rPr>
  </w:style>
  <w:style w:type="paragraph" w:styleId="Header">
    <w:name w:val="header"/>
    <w:aliases w:val="encabezado"/>
    <w:basedOn w:val="Normal"/>
    <w:link w:val="HeaderChar"/>
    <w:rsid w:val="007A61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7A61F8"/>
    <w:rPr>
      <w:rFonts w:ascii="Univers" w:eastAsia="Times New Roman" w:hAnsi="Univers" w:cs="Univers"/>
    </w:rPr>
  </w:style>
  <w:style w:type="table" w:styleId="MediumGrid2-Accent1">
    <w:name w:val="Medium Grid 2 Accent 1"/>
    <w:basedOn w:val="TableNormal"/>
    <w:uiPriority w:val="63"/>
    <w:rsid w:val="007A61F8"/>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7A61F8"/>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7A61F8"/>
    <w:pPr>
      <w:tabs>
        <w:tab w:val="left" w:pos="72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7A61F8"/>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7A61F8"/>
    <w:pPr>
      <w:spacing w:after="100"/>
      <w:ind w:left="720"/>
    </w:pPr>
  </w:style>
  <w:style w:type="character" w:styleId="PageNumber">
    <w:name w:val="page number"/>
    <w:basedOn w:val="DefaultParagraphFont"/>
    <w:rsid w:val="007A61F8"/>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nhideWhenUsed/>
    <w:qFormat/>
    <w:rsid w:val="007A61F8"/>
    <w:rPr>
      <w:vertAlign w:val="superscript"/>
    </w:rPr>
  </w:style>
  <w:style w:type="paragraph" w:styleId="BodyTextIndent2">
    <w:name w:val="Body Text Indent 2"/>
    <w:basedOn w:val="Normal"/>
    <w:link w:val="BodyTextIndent2Char"/>
    <w:unhideWhenUsed/>
    <w:rsid w:val="007A61F8"/>
    <w:pPr>
      <w:spacing w:after="120" w:line="480" w:lineRule="auto"/>
      <w:ind w:left="360"/>
    </w:pPr>
  </w:style>
  <w:style w:type="character" w:customStyle="1" w:styleId="BodyTextIndent2Char">
    <w:name w:val="Body Text Indent 2 Char"/>
    <w:basedOn w:val="DefaultParagraphFont"/>
    <w:link w:val="BodyTextIndent2"/>
    <w:rsid w:val="007A61F8"/>
    <w:rPr>
      <w:rFonts w:ascii="Times New Roman" w:eastAsia="Arial Unicode MS" w:hAnsi="Times New Roman" w:cs="Times New Roman"/>
      <w:bdr w:val="nil"/>
    </w:rPr>
  </w:style>
  <w:style w:type="paragraph" w:styleId="BodyText">
    <w:name w:val="Body Text"/>
    <w:basedOn w:val="Normal"/>
    <w:link w:val="BodyTextChar"/>
    <w:unhideWhenUsed/>
    <w:rsid w:val="007A61F8"/>
    <w:pPr>
      <w:spacing w:after="120"/>
    </w:pPr>
  </w:style>
  <w:style w:type="character" w:customStyle="1" w:styleId="BodyTextChar">
    <w:name w:val="Body Text Char"/>
    <w:basedOn w:val="DefaultParagraphFont"/>
    <w:link w:val="BodyText"/>
    <w:rsid w:val="007A61F8"/>
    <w:rPr>
      <w:rFonts w:ascii="Times New Roman" w:eastAsia="Arial Unicode MS" w:hAnsi="Times New Roman" w:cs="Times New Roman"/>
      <w:bdr w:val="nil"/>
    </w:rPr>
  </w:style>
  <w:style w:type="paragraph" w:customStyle="1" w:styleId="Default">
    <w:name w:val="Default"/>
    <w:link w:val="DefaultChar"/>
    <w:rsid w:val="007A61F8"/>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7A61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7A61F8"/>
    <w:rPr>
      <w:rFonts w:ascii="Times New Roman" w:eastAsia="Times New Roman" w:hAnsi="Times New Roman" w:cs="Times New Roman"/>
    </w:rPr>
  </w:style>
  <w:style w:type="character" w:customStyle="1" w:styleId="DefaultChar">
    <w:name w:val="Default Char"/>
    <w:link w:val="Default"/>
    <w:rsid w:val="007A61F8"/>
    <w:rPr>
      <w:rFonts w:ascii="Times New Roman" w:eastAsia="Times New Roman" w:hAnsi="Times New Roman" w:cs="Times New Roman"/>
      <w:color w:val="000000"/>
    </w:rPr>
  </w:style>
  <w:style w:type="paragraph" w:styleId="NormalWeb">
    <w:name w:val="Normal (Web)"/>
    <w:basedOn w:val="Normal"/>
    <w:uiPriority w:val="99"/>
    <w:rsid w:val="007A61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styleId="Strong">
    <w:name w:val="Strong"/>
    <w:uiPriority w:val="22"/>
    <w:qFormat/>
    <w:rsid w:val="007A61F8"/>
    <w:rPr>
      <w:rFonts w:cs="Times New Roman"/>
      <w:b/>
      <w:bCs/>
    </w:rPr>
  </w:style>
  <w:style w:type="character" w:customStyle="1" w:styleId="BodyTextIndentChar1">
    <w:name w:val="Body Text Indent Char1"/>
    <w:link w:val="BodyTextIndent"/>
    <w:locked/>
    <w:rsid w:val="007A61F8"/>
    <w:rPr>
      <w:rFonts w:ascii="Times New Roman" w:eastAsia="Times New Roman" w:hAnsi="Times New Roman" w:cs="Times New Roman"/>
      <w:color w:val="000000"/>
      <w:u w:color="000000"/>
      <w:bdr w:val="nil"/>
      <w:lang w:val="es-ES_tradnl" w:eastAsia="es-ES"/>
    </w:rPr>
  </w:style>
  <w:style w:type="paragraph" w:styleId="BlockText">
    <w:name w:val="Block Text"/>
    <w:basedOn w:val="Normal"/>
    <w:rsid w:val="007A61F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Arial" w:eastAsia="Batang" w:hAnsi="Arial" w:cs="Arial"/>
      <w:sz w:val="22"/>
      <w:bdr w:val="none" w:sz="0" w:space="0" w:color="auto"/>
      <w:lang w:val="es-AR"/>
    </w:rPr>
  </w:style>
  <w:style w:type="paragraph" w:styleId="Title">
    <w:name w:val="Title"/>
    <w:basedOn w:val="Normal"/>
    <w:link w:val="TitleChar"/>
    <w:qFormat/>
    <w:rsid w:val="007A61F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basedOn w:val="DefaultParagraphFont"/>
    <w:link w:val="Title"/>
    <w:rsid w:val="007A61F8"/>
    <w:rPr>
      <w:rFonts w:ascii="Univers" w:eastAsia="Batang" w:hAnsi="Univers" w:cs="Arial"/>
      <w:b/>
      <w:sz w:val="22"/>
      <w:lang w:val="es-AR"/>
    </w:rPr>
  </w:style>
  <w:style w:type="paragraph" w:styleId="BodyTextIndent3">
    <w:name w:val="Body Text Indent 3"/>
    <w:basedOn w:val="Normal"/>
    <w:link w:val="BodyTextIndent3Char"/>
    <w:rsid w:val="007A61F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Batang" w:hAnsi="Univers"/>
      <w:sz w:val="22"/>
      <w:szCs w:val="20"/>
      <w:bdr w:val="none" w:sz="0" w:space="0" w:color="auto"/>
      <w:lang w:val="es-ES"/>
    </w:rPr>
  </w:style>
  <w:style w:type="character" w:customStyle="1" w:styleId="BodyTextIndent3Char">
    <w:name w:val="Body Text Indent 3 Char"/>
    <w:basedOn w:val="DefaultParagraphFont"/>
    <w:link w:val="BodyTextIndent3"/>
    <w:rsid w:val="007A61F8"/>
    <w:rPr>
      <w:rFonts w:ascii="Univers" w:eastAsia="Batang" w:hAnsi="Univers" w:cs="Times New Roman"/>
      <w:sz w:val="22"/>
      <w:szCs w:val="20"/>
      <w:lang w:val="es-ES"/>
    </w:rPr>
  </w:style>
  <w:style w:type="paragraph" w:styleId="BodyText3">
    <w:name w:val="Body Text 3"/>
    <w:basedOn w:val="Normal"/>
    <w:link w:val="BodyText3Char"/>
    <w:rsid w:val="007A61F8"/>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Batang"/>
      <w:sz w:val="16"/>
      <w:szCs w:val="16"/>
      <w:bdr w:val="none" w:sz="0" w:space="0" w:color="auto"/>
    </w:rPr>
  </w:style>
  <w:style w:type="character" w:customStyle="1" w:styleId="BodyText3Char">
    <w:name w:val="Body Text 3 Char"/>
    <w:basedOn w:val="DefaultParagraphFont"/>
    <w:link w:val="BodyText3"/>
    <w:rsid w:val="007A61F8"/>
    <w:rPr>
      <w:rFonts w:ascii="Times New Roman" w:eastAsia="Batang" w:hAnsi="Times New Roman" w:cs="Times New Roman"/>
      <w:sz w:val="16"/>
      <w:szCs w:val="16"/>
    </w:rPr>
  </w:style>
  <w:style w:type="character" w:customStyle="1" w:styleId="texto1">
    <w:name w:val="texto1"/>
    <w:rsid w:val="007A61F8"/>
    <w:rPr>
      <w:rFonts w:ascii="Tahoma" w:hAnsi="Tahoma" w:cs="Tahoma"/>
      <w:color w:val="000000"/>
      <w:sz w:val="20"/>
      <w:szCs w:val="20"/>
      <w:u w:val="none"/>
      <w:effect w:val="none"/>
    </w:rPr>
  </w:style>
  <w:style w:type="paragraph" w:customStyle="1" w:styleId="CaptulosSt">
    <w:name w:val="Capítulos St."/>
    <w:basedOn w:val="Heading1"/>
    <w:next w:val="Normal"/>
    <w:rsid w:val="007A61F8"/>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Verdana" w:eastAsia="Batang" w:hAnsi="Verdana"/>
      <w:bCs w:val="0"/>
      <w:smallCaps/>
      <w:kern w:val="32"/>
      <w:szCs w:val="32"/>
      <w:bdr w:val="none" w:sz="0" w:space="0" w:color="auto"/>
      <w:lang w:val="es-ES_tradnl"/>
    </w:rPr>
  </w:style>
  <w:style w:type="paragraph" w:styleId="DocumentMap">
    <w:name w:val="Document Map"/>
    <w:basedOn w:val="Normal"/>
    <w:link w:val="DocumentMapChar"/>
    <w:semiHidden/>
    <w:rsid w:val="007A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Batang" w:hAnsi="Tahoma" w:cs="Tahoma"/>
      <w:sz w:val="20"/>
      <w:szCs w:val="20"/>
      <w:bdr w:val="none" w:sz="0" w:space="0" w:color="auto"/>
    </w:rPr>
  </w:style>
  <w:style w:type="character" w:customStyle="1" w:styleId="DocumentMapChar">
    <w:name w:val="Document Map Char"/>
    <w:basedOn w:val="DefaultParagraphFont"/>
    <w:link w:val="DocumentMap"/>
    <w:semiHidden/>
    <w:rsid w:val="007A61F8"/>
    <w:rPr>
      <w:rFonts w:ascii="Tahoma" w:eastAsia="Batang" w:hAnsi="Tahoma" w:cs="Tahoma"/>
      <w:sz w:val="20"/>
      <w:szCs w:val="20"/>
      <w:shd w:val="clear" w:color="auto" w:fill="000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7A61F8"/>
    <w:rPr>
      <w:rFonts w:ascii="Univers" w:hAnsi="Univers" w:cs="Times New Roman"/>
      <w:lang w:val="en-US" w:eastAsia="en-US" w:bidi="ar-SA"/>
    </w:rPr>
  </w:style>
  <w:style w:type="character" w:customStyle="1" w:styleId="CharChar">
    <w:name w:val="Char Char"/>
    <w:semiHidden/>
    <w:rsid w:val="007A61F8"/>
    <w:rPr>
      <w:rFonts w:ascii="Times New Roman" w:hAnsi="Times New Roman"/>
      <w:sz w:val="20"/>
    </w:rPr>
  </w:style>
  <w:style w:type="character" w:customStyle="1" w:styleId="FootnoteTextChar1">
    <w:name w:val="Footnote Text Char1"/>
    <w:semiHidden/>
    <w:locked/>
    <w:rsid w:val="007A61F8"/>
    <w:rPr>
      <w:rFonts w:ascii="Times New Roman" w:hAnsi="Times New Roman"/>
      <w:sz w:val="20"/>
    </w:rPr>
  </w:style>
  <w:style w:type="character" w:customStyle="1" w:styleId="FootnoteTextChar2">
    <w:name w:val="Footnote Text Char2"/>
    <w:aliases w:val="Footnote Text Char Char Char Char Char Char2,Footnote Text Char Char Char Char Char3,FA Fu Char2,Footnote reference Char2,Footnote Text Char Char Char Char3,Footnote Text Cha Char2,FA Fußnotentext Char2,FA Fuﬂnotentext Char2,Ca Char1"/>
    <w:locked/>
    <w:rsid w:val="007A61F8"/>
    <w:rPr>
      <w:rFonts w:ascii="Times New Roman" w:hAnsi="Times New Roman"/>
      <w:sz w:val="20"/>
    </w:rPr>
  </w:style>
  <w:style w:type="character" w:customStyle="1" w:styleId="apple-converted-space">
    <w:name w:val="apple-converted-space"/>
    <w:rsid w:val="007A61F8"/>
    <w:rPr>
      <w:rFonts w:cs="Times New Roman"/>
    </w:rPr>
  </w:style>
  <w:style w:type="character" w:customStyle="1" w:styleId="CharChar1">
    <w:name w:val="Char Char1"/>
    <w:rsid w:val="007A61F8"/>
    <w:rPr>
      <w:lang w:val="en-US" w:eastAsia="en-US"/>
    </w:rPr>
  </w:style>
  <w:style w:type="character" w:styleId="CommentReference">
    <w:name w:val="annotation reference"/>
    <w:semiHidden/>
    <w:rsid w:val="007A61F8"/>
    <w:rPr>
      <w:sz w:val="16"/>
      <w:szCs w:val="16"/>
    </w:rPr>
  </w:style>
  <w:style w:type="paragraph" w:styleId="CommentText">
    <w:name w:val="annotation text"/>
    <w:basedOn w:val="Normal"/>
    <w:link w:val="CommentTextChar"/>
    <w:semiHidden/>
    <w:rsid w:val="007A61F8"/>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CommentTextChar">
    <w:name w:val="Comment Text Char"/>
    <w:basedOn w:val="DefaultParagraphFont"/>
    <w:link w:val="CommentText"/>
    <w:semiHidden/>
    <w:rsid w:val="007A61F8"/>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semiHidden/>
    <w:rsid w:val="007A61F8"/>
    <w:rPr>
      <w:b/>
      <w:bCs/>
    </w:rPr>
  </w:style>
  <w:style w:type="character" w:customStyle="1" w:styleId="CommentSubjectChar">
    <w:name w:val="Comment Subject Char"/>
    <w:basedOn w:val="CommentTextChar"/>
    <w:link w:val="CommentSubject"/>
    <w:semiHidden/>
    <w:rsid w:val="007A61F8"/>
    <w:rPr>
      <w:rFonts w:ascii="Times New Roman" w:eastAsia="Batang" w:hAnsi="Times New Roman" w:cs="Times New Roman"/>
      <w:b/>
      <w:bCs/>
      <w:sz w:val="20"/>
      <w:szCs w:val="20"/>
    </w:rPr>
  </w:style>
  <w:style w:type="character" w:customStyle="1" w:styleId="apple-style-span">
    <w:name w:val="apple-style-span"/>
    <w:rsid w:val="007A61F8"/>
  </w:style>
  <w:style w:type="character" w:styleId="Emphasis">
    <w:name w:val="Emphasis"/>
    <w:qFormat/>
    <w:rsid w:val="007A61F8"/>
    <w:rPr>
      <w:i/>
      <w:iCs/>
    </w:rPr>
  </w:style>
  <w:style w:type="character" w:customStyle="1" w:styleId="ColorfulList-Accent1Char">
    <w:name w:val="Colorful List - Accent 1 Char"/>
    <w:aliases w:val="Colorful List - Accent 11 Char"/>
    <w:link w:val="ColorfulList-Accent1"/>
    <w:uiPriority w:val="34"/>
    <w:locked/>
    <w:rsid w:val="007A61F8"/>
    <w:rPr>
      <w:rFonts w:ascii="Cambria" w:eastAsia="Cambria" w:hAnsi="Cambria" w:cs="Cambria"/>
      <w:color w:val="000000"/>
      <w:sz w:val="24"/>
      <w:szCs w:val="24"/>
      <w:u w:color="000000"/>
      <w:lang w:val="en-US"/>
    </w:rPr>
  </w:style>
  <w:style w:type="paragraph" w:styleId="ListParagraph">
    <w:name w:val="List Paragraph"/>
    <w:basedOn w:val="Normal"/>
    <w:qFormat/>
    <w:rsid w:val="007A61F8"/>
    <w:pPr>
      <w:ind w:left="720"/>
    </w:pPr>
  </w:style>
  <w:style w:type="character" w:customStyle="1" w:styleId="normal--char">
    <w:name w:val="normal--char"/>
    <w:basedOn w:val="DefaultParagraphFont"/>
    <w:rsid w:val="007A61F8"/>
  </w:style>
  <w:style w:type="character" w:styleId="FollowedHyperlink">
    <w:name w:val="FollowedHyperlink"/>
    <w:basedOn w:val="DefaultParagraphFont"/>
    <w:uiPriority w:val="99"/>
    <w:semiHidden/>
    <w:unhideWhenUsed/>
    <w:rsid w:val="007A61F8"/>
    <w:rPr>
      <w:color w:val="954F72" w:themeColor="followedHyperlink"/>
      <w:u w:val="single"/>
    </w:rPr>
  </w:style>
  <w:style w:type="table" w:styleId="ColorfulList-Accent1">
    <w:name w:val="Colorful List Accent 1"/>
    <w:basedOn w:val="TableNormal"/>
    <w:link w:val="ColorfulList-Accent1Char"/>
    <w:uiPriority w:val="34"/>
    <w:semiHidden/>
    <w:unhideWhenUsed/>
    <w:rsid w:val="007A61F8"/>
    <w:rPr>
      <w:rFonts w:ascii="Cambria" w:eastAsia="Cambria" w:hAnsi="Cambria" w:cs="Cambria"/>
      <w:color w:val="000000"/>
      <w:u w:color="000000"/>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F8"/>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qFormat/>
    <w:rsid w:val="00ED46A1"/>
    <w:pPr>
      <w:keepNext/>
      <w:keepLines/>
      <w:numPr>
        <w:numId w:val="50"/>
      </w:numPr>
      <w:tabs>
        <w:tab w:val="left" w:pos="1440"/>
      </w:tabs>
      <w:ind w:firstLine="0"/>
      <w:jc w:val="both"/>
      <w:outlineLvl w:val="0"/>
    </w:pPr>
    <w:rPr>
      <w:rFonts w:ascii="Cambria" w:eastAsia="Times New Roman" w:hAnsi="Cambria"/>
      <w:b/>
      <w:bCs/>
      <w:sz w:val="20"/>
      <w:szCs w:val="20"/>
      <w:lang w:val="es-AR"/>
    </w:rPr>
  </w:style>
  <w:style w:type="paragraph" w:styleId="Heading2">
    <w:name w:val="heading 2"/>
    <w:basedOn w:val="Normal"/>
    <w:next w:val="Normal"/>
    <w:link w:val="Heading2Char"/>
    <w:uiPriority w:val="9"/>
    <w:qFormat/>
    <w:rsid w:val="007A61F8"/>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ind w:hanging="720"/>
      <w:outlineLvl w:val="1"/>
    </w:pPr>
    <w:rPr>
      <w:rFonts w:ascii="Cambria" w:eastAsia="Times New Roman" w:hAnsi="Cambria" w:cs="Arial"/>
      <w:b/>
      <w:bCs/>
      <w:iCs/>
      <w:sz w:val="20"/>
      <w:szCs w:val="28"/>
      <w:bdr w:val="none" w:sz="0" w:space="0" w:color="auto"/>
      <w:lang w:val="es-AR"/>
    </w:rPr>
  </w:style>
  <w:style w:type="paragraph" w:styleId="Heading3">
    <w:name w:val="heading 3"/>
    <w:basedOn w:val="Normal"/>
    <w:next w:val="Normal"/>
    <w:link w:val="Heading3Char"/>
    <w:qFormat/>
    <w:rsid w:val="007A61F8"/>
    <w:pPr>
      <w:keepNext/>
      <w:pBdr>
        <w:top w:val="none" w:sz="0" w:space="0" w:color="auto"/>
        <w:left w:val="none" w:sz="0" w:space="0" w:color="auto"/>
        <w:bottom w:val="none" w:sz="0" w:space="0" w:color="auto"/>
        <w:right w:val="none" w:sz="0" w:space="0" w:color="auto"/>
        <w:between w:val="none" w:sz="0" w:space="0" w:color="auto"/>
        <w:bar w:val="none" w:sz="0" w:color="auto"/>
      </w:pBdr>
      <w:ind w:firstLine="720"/>
      <w:outlineLvl w:val="2"/>
    </w:pPr>
    <w:rPr>
      <w:rFonts w:ascii="Cambria" w:eastAsia="Times New Roman" w:hAnsi="Cambria" w:cs="Arial"/>
      <w:b/>
      <w:bCs/>
      <w:sz w:val="20"/>
      <w:szCs w:val="20"/>
      <w:bdr w:val="none" w:sz="0" w:space="0" w:color="auto"/>
      <w:lang w:val="es-ES_tradnl"/>
    </w:rPr>
  </w:style>
  <w:style w:type="paragraph" w:styleId="Heading4">
    <w:name w:val="heading 4"/>
    <w:basedOn w:val="Normal"/>
    <w:next w:val="Normal"/>
    <w:link w:val="Heading4Char"/>
    <w:qFormat/>
    <w:rsid w:val="007A61F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3"/>
    </w:pPr>
    <w:rPr>
      <w:rFonts w:ascii="Arial" w:eastAsia="Batang" w:hAnsi="Arial" w:cs="Arial"/>
      <w:b/>
      <w:bCs/>
      <w:sz w:val="22"/>
      <w:bdr w:val="none" w:sz="0" w:space="0" w:color="auto"/>
    </w:rPr>
  </w:style>
  <w:style w:type="paragraph" w:styleId="Heading5">
    <w:name w:val="heading 5"/>
    <w:basedOn w:val="Normal"/>
    <w:next w:val="Normal"/>
    <w:link w:val="Heading5Char"/>
    <w:qFormat/>
    <w:rsid w:val="007A61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Batang"/>
      <w:sz w:val="22"/>
      <w:szCs w:val="20"/>
      <w:bdr w:val="none" w:sz="0" w:space="0" w:color="auto"/>
      <w:lang w:val="es-SV"/>
    </w:rPr>
  </w:style>
  <w:style w:type="paragraph" w:styleId="Heading6">
    <w:name w:val="heading 6"/>
    <w:basedOn w:val="Normal"/>
    <w:next w:val="Normal"/>
    <w:link w:val="Heading6Char"/>
    <w:uiPriority w:val="9"/>
    <w:qFormat/>
    <w:rsid w:val="007A61F8"/>
    <w:pPr>
      <w:numPr>
        <w:ilvl w:val="4"/>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s>
      <w:spacing w:before="240" w:after="60"/>
      <w:ind w:left="0" w:firstLine="0"/>
      <w:outlineLvl w:val="5"/>
    </w:pPr>
    <w:rPr>
      <w:rFonts w:eastAsia="Batang"/>
      <w:i/>
      <w:sz w:val="22"/>
      <w:szCs w:val="20"/>
      <w:bdr w:val="none" w:sz="0" w:space="0" w:color="auto"/>
      <w:lang w:val="es-SV"/>
    </w:rPr>
  </w:style>
  <w:style w:type="paragraph" w:styleId="Heading7">
    <w:name w:val="heading 7"/>
    <w:basedOn w:val="Normal"/>
    <w:next w:val="Normal"/>
    <w:link w:val="Heading7Char"/>
    <w:qFormat/>
    <w:rsid w:val="007A61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Batang" w:hAnsi="Arial"/>
      <w:sz w:val="20"/>
      <w:szCs w:val="20"/>
      <w:bdr w:val="none" w:sz="0" w:space="0" w:color="auto"/>
      <w:lang w:val="es-SV"/>
    </w:rPr>
  </w:style>
  <w:style w:type="paragraph" w:styleId="Heading8">
    <w:name w:val="heading 8"/>
    <w:basedOn w:val="Normal"/>
    <w:next w:val="Normal"/>
    <w:link w:val="Heading8Char"/>
    <w:qFormat/>
    <w:rsid w:val="007A61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Batang" w:hAnsi="Arial"/>
      <w:i/>
      <w:sz w:val="20"/>
      <w:szCs w:val="20"/>
      <w:bdr w:val="none" w:sz="0" w:space="0" w:color="auto"/>
      <w:lang w:val="es-SV"/>
    </w:rPr>
  </w:style>
  <w:style w:type="paragraph" w:styleId="Heading9">
    <w:name w:val="heading 9"/>
    <w:basedOn w:val="Normal"/>
    <w:next w:val="Normal"/>
    <w:link w:val="Heading9Char"/>
    <w:qFormat/>
    <w:rsid w:val="007A61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Batang" w:hAnsi="Arial" w:cs="Arial"/>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6A1"/>
    <w:rPr>
      <w:rFonts w:ascii="Cambria" w:eastAsia="Times New Roman" w:hAnsi="Cambria" w:cs="Times New Roman"/>
      <w:b/>
      <w:bCs/>
      <w:sz w:val="20"/>
      <w:szCs w:val="20"/>
      <w:bdr w:val="nil"/>
      <w:lang w:val="es-AR"/>
    </w:rPr>
  </w:style>
  <w:style w:type="character" w:customStyle="1" w:styleId="Heading2Char">
    <w:name w:val="Heading 2 Char"/>
    <w:basedOn w:val="DefaultParagraphFont"/>
    <w:link w:val="Heading2"/>
    <w:uiPriority w:val="9"/>
    <w:rsid w:val="007A61F8"/>
    <w:rPr>
      <w:rFonts w:ascii="Cambria" w:eastAsia="Times New Roman" w:hAnsi="Cambria" w:cs="Arial"/>
      <w:b/>
      <w:bCs/>
      <w:iCs/>
      <w:sz w:val="20"/>
      <w:szCs w:val="28"/>
      <w:lang w:val="es-AR"/>
    </w:rPr>
  </w:style>
  <w:style w:type="character" w:customStyle="1" w:styleId="Heading3Char">
    <w:name w:val="Heading 3 Char"/>
    <w:basedOn w:val="DefaultParagraphFont"/>
    <w:link w:val="Heading3"/>
    <w:rsid w:val="007A61F8"/>
    <w:rPr>
      <w:rFonts w:ascii="Cambria" w:eastAsia="Times New Roman" w:hAnsi="Cambria" w:cs="Arial"/>
      <w:b/>
      <w:bCs/>
      <w:sz w:val="20"/>
      <w:szCs w:val="20"/>
      <w:lang w:val="es-ES_tradnl"/>
    </w:rPr>
  </w:style>
  <w:style w:type="character" w:customStyle="1" w:styleId="Heading4Char">
    <w:name w:val="Heading 4 Char"/>
    <w:basedOn w:val="DefaultParagraphFont"/>
    <w:link w:val="Heading4"/>
    <w:rsid w:val="007A61F8"/>
    <w:rPr>
      <w:rFonts w:ascii="Arial" w:eastAsia="Batang" w:hAnsi="Arial" w:cs="Arial"/>
      <w:b/>
      <w:bCs/>
      <w:sz w:val="22"/>
    </w:rPr>
  </w:style>
  <w:style w:type="character" w:customStyle="1" w:styleId="Heading5Char">
    <w:name w:val="Heading 5 Char"/>
    <w:basedOn w:val="DefaultParagraphFont"/>
    <w:link w:val="Heading5"/>
    <w:rsid w:val="007A61F8"/>
    <w:rPr>
      <w:rFonts w:ascii="Times New Roman" w:eastAsia="Batang" w:hAnsi="Times New Roman" w:cs="Times New Roman"/>
      <w:sz w:val="22"/>
      <w:szCs w:val="20"/>
      <w:lang w:val="es-SV"/>
    </w:rPr>
  </w:style>
  <w:style w:type="character" w:customStyle="1" w:styleId="Heading6Char">
    <w:name w:val="Heading 6 Char"/>
    <w:basedOn w:val="DefaultParagraphFont"/>
    <w:link w:val="Heading6"/>
    <w:uiPriority w:val="9"/>
    <w:rsid w:val="007A61F8"/>
    <w:rPr>
      <w:rFonts w:ascii="Times New Roman" w:eastAsia="Batang" w:hAnsi="Times New Roman" w:cs="Times New Roman"/>
      <w:i/>
      <w:sz w:val="22"/>
      <w:szCs w:val="20"/>
      <w:lang w:val="es-SV"/>
    </w:rPr>
  </w:style>
  <w:style w:type="character" w:customStyle="1" w:styleId="Heading7Char">
    <w:name w:val="Heading 7 Char"/>
    <w:basedOn w:val="DefaultParagraphFont"/>
    <w:link w:val="Heading7"/>
    <w:rsid w:val="007A61F8"/>
    <w:rPr>
      <w:rFonts w:ascii="Arial" w:eastAsia="Batang" w:hAnsi="Arial" w:cs="Times New Roman"/>
      <w:sz w:val="20"/>
      <w:szCs w:val="20"/>
      <w:lang w:val="es-SV"/>
    </w:rPr>
  </w:style>
  <w:style w:type="character" w:customStyle="1" w:styleId="Heading8Char">
    <w:name w:val="Heading 8 Char"/>
    <w:basedOn w:val="DefaultParagraphFont"/>
    <w:link w:val="Heading8"/>
    <w:rsid w:val="007A61F8"/>
    <w:rPr>
      <w:rFonts w:ascii="Arial" w:eastAsia="Batang" w:hAnsi="Arial" w:cs="Times New Roman"/>
      <w:i/>
      <w:sz w:val="20"/>
      <w:szCs w:val="20"/>
      <w:lang w:val="es-SV"/>
    </w:rPr>
  </w:style>
  <w:style w:type="character" w:customStyle="1" w:styleId="Heading9Char">
    <w:name w:val="Heading 9 Char"/>
    <w:basedOn w:val="DefaultParagraphFont"/>
    <w:link w:val="Heading9"/>
    <w:rsid w:val="007A61F8"/>
    <w:rPr>
      <w:rFonts w:ascii="Arial" w:eastAsia="Batang" w:hAnsi="Arial" w:cs="Arial"/>
      <w:sz w:val="22"/>
      <w:szCs w:val="22"/>
    </w:rPr>
  </w:style>
  <w:style w:type="character" w:styleId="Hyperlink">
    <w:name w:val="Hyperlink"/>
    <w:uiPriority w:val="99"/>
    <w:rsid w:val="007A61F8"/>
    <w:rPr>
      <w:u w:val="single"/>
    </w:rPr>
  </w:style>
  <w:style w:type="paragraph" w:customStyle="1" w:styleId="Cabeceraypie">
    <w:name w:val="Cabecera y pie"/>
    <w:rsid w:val="007A61F8"/>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rsid w:val="007A61F8"/>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rsid w:val="007A61F8"/>
    <w:rPr>
      <w:rFonts w:ascii="Cambria" w:eastAsia="Cambria" w:hAnsi="Cambria" w:cs="Cambria"/>
      <w:color w:val="000000"/>
      <w:u w:color="000000"/>
      <w:bdr w:val="nil"/>
      <w:lang w:eastAsia="es-ES"/>
    </w:rPr>
  </w:style>
  <w:style w:type="paragraph" w:customStyle="1" w:styleId="Cuerpo">
    <w:name w:val="Cuerpo"/>
    <w:rsid w:val="007A61F8"/>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1"/>
    <w:rsid w:val="007A61F8"/>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rsid w:val="007A61F8"/>
    <w:rPr>
      <w:rFonts w:ascii="Times New Roman" w:eastAsia="Arial Unicode MS" w:hAnsi="Times New Roman" w:cs="Times New Roman"/>
      <w:bdr w:val="nil"/>
    </w:rPr>
  </w:style>
  <w:style w:type="numbering" w:customStyle="1" w:styleId="List0">
    <w:name w:val="List 0"/>
    <w:basedOn w:val="Estiloimportado1"/>
    <w:rsid w:val="007A61F8"/>
    <w:pPr>
      <w:numPr>
        <w:numId w:val="31"/>
      </w:numPr>
    </w:pPr>
  </w:style>
  <w:style w:type="numbering" w:customStyle="1" w:styleId="Estiloimportado1">
    <w:name w:val="Estilo importado 1"/>
    <w:rsid w:val="007A61F8"/>
  </w:style>
  <w:style w:type="numbering" w:customStyle="1" w:styleId="List1">
    <w:name w:val="List 1"/>
    <w:basedOn w:val="Estiloimportado2"/>
    <w:rsid w:val="007A61F8"/>
    <w:pPr>
      <w:numPr>
        <w:numId w:val="1"/>
      </w:numPr>
    </w:pPr>
  </w:style>
  <w:style w:type="numbering" w:customStyle="1" w:styleId="Estiloimportado2">
    <w:name w:val="Estilo importado 2"/>
    <w:rsid w:val="007A61F8"/>
  </w:style>
  <w:style w:type="numbering" w:customStyle="1" w:styleId="List21">
    <w:name w:val="List 21"/>
    <w:basedOn w:val="Estiloimportado3"/>
    <w:rsid w:val="007A61F8"/>
    <w:pPr>
      <w:numPr>
        <w:numId w:val="38"/>
      </w:numPr>
    </w:pPr>
  </w:style>
  <w:style w:type="numbering" w:customStyle="1" w:styleId="Estiloimportado3">
    <w:name w:val="Estilo importado 3"/>
    <w:rsid w:val="007A61F8"/>
  </w:style>
  <w:style w:type="numbering" w:customStyle="1" w:styleId="List31">
    <w:name w:val="List 31"/>
    <w:basedOn w:val="Estiloimportado4"/>
    <w:rsid w:val="007A61F8"/>
    <w:pPr>
      <w:numPr>
        <w:numId w:val="44"/>
      </w:numPr>
    </w:pPr>
  </w:style>
  <w:style w:type="numbering" w:customStyle="1" w:styleId="Estiloimportado4">
    <w:name w:val="Estilo importado 4"/>
    <w:rsid w:val="007A61F8"/>
  </w:style>
  <w:style w:type="numbering" w:customStyle="1" w:styleId="List41">
    <w:name w:val="List 41"/>
    <w:basedOn w:val="Estiloimportado5"/>
    <w:rsid w:val="007A61F8"/>
    <w:pPr>
      <w:numPr>
        <w:numId w:val="2"/>
      </w:numPr>
    </w:pPr>
  </w:style>
  <w:style w:type="numbering" w:customStyle="1" w:styleId="Estiloimportado5">
    <w:name w:val="Estilo importado 5"/>
    <w:rsid w:val="007A61F8"/>
  </w:style>
  <w:style w:type="numbering" w:customStyle="1" w:styleId="List51">
    <w:name w:val="List 51"/>
    <w:basedOn w:val="Estiloimportado6"/>
    <w:rsid w:val="007A61F8"/>
    <w:pPr>
      <w:numPr>
        <w:numId w:val="33"/>
      </w:numPr>
    </w:pPr>
  </w:style>
  <w:style w:type="numbering" w:customStyle="1" w:styleId="Estiloimportado6">
    <w:name w:val="Estilo importado 6"/>
    <w:rsid w:val="007A61F8"/>
  </w:style>
  <w:style w:type="numbering" w:customStyle="1" w:styleId="List6">
    <w:name w:val="List 6"/>
    <w:basedOn w:val="Estiloimportado7"/>
    <w:rsid w:val="007A61F8"/>
    <w:pPr>
      <w:numPr>
        <w:numId w:val="3"/>
      </w:numPr>
    </w:pPr>
  </w:style>
  <w:style w:type="numbering" w:customStyle="1" w:styleId="Estiloimportado7">
    <w:name w:val="Estilo importado 7"/>
    <w:rsid w:val="007A61F8"/>
  </w:style>
  <w:style w:type="numbering" w:customStyle="1" w:styleId="List7">
    <w:name w:val="List 7"/>
    <w:basedOn w:val="Estiloimportado8"/>
    <w:rsid w:val="007A61F8"/>
    <w:pPr>
      <w:numPr>
        <w:numId w:val="4"/>
      </w:numPr>
    </w:pPr>
  </w:style>
  <w:style w:type="numbering" w:customStyle="1" w:styleId="Estiloimportado8">
    <w:name w:val="Estilo importado 8"/>
    <w:rsid w:val="007A61F8"/>
  </w:style>
  <w:style w:type="numbering" w:customStyle="1" w:styleId="List8">
    <w:name w:val="List 8"/>
    <w:basedOn w:val="Estiloimportado9"/>
    <w:rsid w:val="007A61F8"/>
    <w:pPr>
      <w:numPr>
        <w:numId w:val="5"/>
      </w:numPr>
    </w:pPr>
  </w:style>
  <w:style w:type="numbering" w:customStyle="1" w:styleId="Estiloimportado9">
    <w:name w:val="Estilo importado 9"/>
    <w:rsid w:val="007A61F8"/>
  </w:style>
  <w:style w:type="numbering" w:customStyle="1" w:styleId="List9">
    <w:name w:val="List 9"/>
    <w:basedOn w:val="Estiloimportado10"/>
    <w:rsid w:val="007A61F8"/>
    <w:pPr>
      <w:numPr>
        <w:numId w:val="22"/>
      </w:numPr>
    </w:pPr>
  </w:style>
  <w:style w:type="numbering" w:customStyle="1" w:styleId="Estiloimportado10">
    <w:name w:val="Estilo importado 10"/>
    <w:rsid w:val="007A61F8"/>
  </w:style>
  <w:style w:type="numbering" w:customStyle="1" w:styleId="List10">
    <w:name w:val="List 10"/>
    <w:basedOn w:val="Estiloimportado11"/>
    <w:rsid w:val="007A61F8"/>
    <w:pPr>
      <w:numPr>
        <w:numId w:val="6"/>
      </w:numPr>
    </w:pPr>
  </w:style>
  <w:style w:type="numbering" w:customStyle="1" w:styleId="Estiloimportado11">
    <w:name w:val="Estilo importado 11"/>
    <w:rsid w:val="007A61F8"/>
  </w:style>
  <w:style w:type="numbering" w:customStyle="1" w:styleId="List11">
    <w:name w:val="List 11"/>
    <w:basedOn w:val="Estiloimportado12"/>
    <w:rsid w:val="007A61F8"/>
    <w:pPr>
      <w:numPr>
        <w:numId w:val="7"/>
      </w:numPr>
    </w:pPr>
  </w:style>
  <w:style w:type="numbering" w:customStyle="1" w:styleId="Estiloimportado12">
    <w:name w:val="Estilo importado 12"/>
    <w:rsid w:val="007A61F8"/>
  </w:style>
  <w:style w:type="numbering" w:customStyle="1" w:styleId="List12">
    <w:name w:val="List 12"/>
    <w:basedOn w:val="Estiloimportado13"/>
    <w:rsid w:val="007A61F8"/>
    <w:pPr>
      <w:numPr>
        <w:numId w:val="36"/>
      </w:numPr>
    </w:pPr>
  </w:style>
  <w:style w:type="numbering" w:customStyle="1" w:styleId="Estiloimportado13">
    <w:name w:val="Estilo importado 13"/>
    <w:rsid w:val="007A61F8"/>
  </w:style>
  <w:style w:type="numbering" w:customStyle="1" w:styleId="List13">
    <w:name w:val="List 13"/>
    <w:basedOn w:val="Estiloimportado14"/>
    <w:rsid w:val="007A61F8"/>
    <w:pPr>
      <w:numPr>
        <w:numId w:val="42"/>
      </w:numPr>
    </w:pPr>
  </w:style>
  <w:style w:type="numbering" w:customStyle="1" w:styleId="Estiloimportado14">
    <w:name w:val="Estilo importado 14"/>
    <w:rsid w:val="007A61F8"/>
  </w:style>
  <w:style w:type="numbering" w:customStyle="1" w:styleId="List14">
    <w:name w:val="List 14"/>
    <w:basedOn w:val="Estiloimportado15"/>
    <w:rsid w:val="007A61F8"/>
    <w:pPr>
      <w:numPr>
        <w:numId w:val="17"/>
      </w:numPr>
    </w:pPr>
  </w:style>
  <w:style w:type="numbering" w:customStyle="1" w:styleId="Estiloimportado15">
    <w:name w:val="Estilo importado 15"/>
    <w:rsid w:val="007A61F8"/>
  </w:style>
  <w:style w:type="numbering" w:customStyle="1" w:styleId="List15">
    <w:name w:val="List 15"/>
    <w:basedOn w:val="Estiloimportado16"/>
    <w:rsid w:val="007A61F8"/>
    <w:pPr>
      <w:numPr>
        <w:numId w:val="16"/>
      </w:numPr>
    </w:pPr>
  </w:style>
  <w:style w:type="numbering" w:customStyle="1" w:styleId="Estiloimportado16">
    <w:name w:val="Estilo importado 16"/>
    <w:rsid w:val="007A61F8"/>
  </w:style>
  <w:style w:type="numbering" w:customStyle="1" w:styleId="List16">
    <w:name w:val="List 16"/>
    <w:basedOn w:val="Estiloimportado16"/>
    <w:rsid w:val="007A61F8"/>
    <w:pPr>
      <w:numPr>
        <w:numId w:val="10"/>
      </w:numPr>
    </w:pPr>
  </w:style>
  <w:style w:type="numbering" w:customStyle="1" w:styleId="List17">
    <w:name w:val="List 17"/>
    <w:basedOn w:val="Estiloimportado17"/>
    <w:rsid w:val="007A61F8"/>
    <w:pPr>
      <w:numPr>
        <w:numId w:val="25"/>
      </w:numPr>
    </w:pPr>
  </w:style>
  <w:style w:type="numbering" w:customStyle="1" w:styleId="Estiloimportado17">
    <w:name w:val="Estilo importado 17"/>
    <w:rsid w:val="007A61F8"/>
  </w:style>
  <w:style w:type="numbering" w:customStyle="1" w:styleId="List18">
    <w:name w:val="List 18"/>
    <w:basedOn w:val="Estiloimportado18"/>
    <w:rsid w:val="007A61F8"/>
    <w:pPr>
      <w:numPr>
        <w:numId w:val="27"/>
      </w:numPr>
    </w:pPr>
  </w:style>
  <w:style w:type="numbering" w:customStyle="1" w:styleId="Estiloimportado18">
    <w:name w:val="Estilo importado 18"/>
    <w:rsid w:val="007A61F8"/>
  </w:style>
  <w:style w:type="numbering" w:customStyle="1" w:styleId="List19">
    <w:name w:val="List 19"/>
    <w:basedOn w:val="Estiloimportado10"/>
    <w:rsid w:val="007A61F8"/>
    <w:pPr>
      <w:numPr>
        <w:numId w:val="19"/>
      </w:numPr>
    </w:pPr>
  </w:style>
  <w:style w:type="numbering" w:customStyle="1" w:styleId="List20">
    <w:name w:val="List 20"/>
    <w:basedOn w:val="Estiloimportado12"/>
    <w:rsid w:val="007A61F8"/>
    <w:pPr>
      <w:numPr>
        <w:numId w:val="43"/>
      </w:numPr>
    </w:pPr>
  </w:style>
  <w:style w:type="numbering" w:customStyle="1" w:styleId="Estiloimportado19">
    <w:name w:val="Estilo importado 19"/>
    <w:rsid w:val="007A61F8"/>
  </w:style>
  <w:style w:type="numbering" w:customStyle="1" w:styleId="List22">
    <w:name w:val="List 22"/>
    <w:basedOn w:val="Estiloimportado19"/>
    <w:rsid w:val="007A61F8"/>
    <w:pPr>
      <w:numPr>
        <w:numId w:val="28"/>
      </w:numPr>
    </w:pPr>
  </w:style>
  <w:style w:type="numbering" w:customStyle="1" w:styleId="List23">
    <w:name w:val="List 23"/>
    <w:basedOn w:val="Estiloimportado19"/>
    <w:rsid w:val="007A61F8"/>
    <w:pPr>
      <w:numPr>
        <w:numId w:val="18"/>
      </w:numPr>
    </w:pPr>
  </w:style>
  <w:style w:type="numbering" w:customStyle="1" w:styleId="List24">
    <w:name w:val="List 24"/>
    <w:basedOn w:val="Estiloimportado20"/>
    <w:rsid w:val="007A61F8"/>
    <w:pPr>
      <w:numPr>
        <w:numId w:val="13"/>
      </w:numPr>
    </w:pPr>
  </w:style>
  <w:style w:type="numbering" w:customStyle="1" w:styleId="Estiloimportado20">
    <w:name w:val="Estilo importado 20"/>
    <w:rsid w:val="007A61F8"/>
  </w:style>
  <w:style w:type="numbering" w:customStyle="1" w:styleId="List25">
    <w:name w:val="List 25"/>
    <w:basedOn w:val="Estiloimportado21"/>
    <w:rsid w:val="007A61F8"/>
    <w:pPr>
      <w:numPr>
        <w:numId w:val="15"/>
      </w:numPr>
    </w:pPr>
  </w:style>
  <w:style w:type="numbering" w:customStyle="1" w:styleId="Estiloimportado21">
    <w:name w:val="Estilo importado 21"/>
    <w:rsid w:val="007A61F8"/>
  </w:style>
  <w:style w:type="numbering" w:customStyle="1" w:styleId="List26">
    <w:name w:val="List 26"/>
    <w:basedOn w:val="Estiloimportado22"/>
    <w:rsid w:val="007A61F8"/>
    <w:pPr>
      <w:numPr>
        <w:numId w:val="48"/>
      </w:numPr>
    </w:pPr>
  </w:style>
  <w:style w:type="numbering" w:customStyle="1" w:styleId="Estiloimportado22">
    <w:name w:val="Estilo importado 22"/>
    <w:rsid w:val="007A61F8"/>
  </w:style>
  <w:style w:type="numbering" w:customStyle="1" w:styleId="List27">
    <w:name w:val="List 27"/>
    <w:basedOn w:val="Estiloimportado23"/>
    <w:rsid w:val="007A61F8"/>
    <w:pPr>
      <w:numPr>
        <w:numId w:val="41"/>
      </w:numPr>
    </w:pPr>
  </w:style>
  <w:style w:type="numbering" w:customStyle="1" w:styleId="Estiloimportado23">
    <w:name w:val="Estilo importado 23"/>
    <w:rsid w:val="007A61F8"/>
  </w:style>
  <w:style w:type="numbering" w:customStyle="1" w:styleId="List28">
    <w:name w:val="List 28"/>
    <w:basedOn w:val="Estiloimportado24"/>
    <w:rsid w:val="007A61F8"/>
    <w:pPr>
      <w:numPr>
        <w:numId w:val="30"/>
      </w:numPr>
    </w:pPr>
  </w:style>
  <w:style w:type="numbering" w:customStyle="1" w:styleId="Estiloimportado24">
    <w:name w:val="Estilo importado 24"/>
    <w:rsid w:val="007A61F8"/>
  </w:style>
  <w:style w:type="numbering" w:customStyle="1" w:styleId="List29">
    <w:name w:val="List 29"/>
    <w:basedOn w:val="Estiloimportado25"/>
    <w:rsid w:val="007A61F8"/>
    <w:pPr>
      <w:numPr>
        <w:numId w:val="34"/>
      </w:numPr>
    </w:pPr>
  </w:style>
  <w:style w:type="numbering" w:customStyle="1" w:styleId="Estiloimportado25">
    <w:name w:val="Estilo importado 25"/>
    <w:rsid w:val="007A61F8"/>
  </w:style>
  <w:style w:type="numbering" w:customStyle="1" w:styleId="List30">
    <w:name w:val="List 30"/>
    <w:basedOn w:val="Estiloimportado26"/>
    <w:rsid w:val="007A61F8"/>
    <w:pPr>
      <w:numPr>
        <w:numId w:val="32"/>
      </w:numPr>
    </w:pPr>
  </w:style>
  <w:style w:type="numbering" w:customStyle="1" w:styleId="Estiloimportado26">
    <w:name w:val="Estilo importado 26"/>
    <w:rsid w:val="007A61F8"/>
  </w:style>
  <w:style w:type="numbering" w:customStyle="1" w:styleId="Estiloimportado27">
    <w:name w:val="Estilo importado 27"/>
    <w:rsid w:val="007A61F8"/>
  </w:style>
  <w:style w:type="numbering" w:customStyle="1" w:styleId="List32">
    <w:name w:val="List 32"/>
    <w:basedOn w:val="Estiloimportado28"/>
    <w:rsid w:val="007A61F8"/>
    <w:pPr>
      <w:numPr>
        <w:numId w:val="47"/>
      </w:numPr>
    </w:pPr>
  </w:style>
  <w:style w:type="numbering" w:customStyle="1" w:styleId="Estiloimportado28">
    <w:name w:val="Estilo importado 28"/>
    <w:rsid w:val="007A61F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7A61F8"/>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qFormat/>
    <w:rsid w:val="007A61F8"/>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7A61F8"/>
    <w:pPr>
      <w:numPr>
        <w:numId w:val="26"/>
      </w:numPr>
    </w:pPr>
  </w:style>
  <w:style w:type="numbering" w:customStyle="1" w:styleId="Estiloimportado29">
    <w:name w:val="Estilo importado 29"/>
    <w:rsid w:val="007A61F8"/>
  </w:style>
  <w:style w:type="numbering" w:customStyle="1" w:styleId="List34">
    <w:name w:val="List 34"/>
    <w:basedOn w:val="Estiloimportado30"/>
    <w:rsid w:val="007A61F8"/>
    <w:pPr>
      <w:numPr>
        <w:numId w:val="11"/>
      </w:numPr>
    </w:pPr>
  </w:style>
  <w:style w:type="numbering" w:customStyle="1" w:styleId="Estiloimportado30">
    <w:name w:val="Estilo importado 30"/>
    <w:rsid w:val="007A61F8"/>
  </w:style>
  <w:style w:type="numbering" w:customStyle="1" w:styleId="List35">
    <w:name w:val="List 35"/>
    <w:basedOn w:val="Estiloimportado31"/>
    <w:rsid w:val="007A61F8"/>
    <w:pPr>
      <w:numPr>
        <w:numId w:val="8"/>
      </w:numPr>
    </w:pPr>
  </w:style>
  <w:style w:type="numbering" w:customStyle="1" w:styleId="Estiloimportado31">
    <w:name w:val="Estilo importado 31"/>
    <w:rsid w:val="007A61F8"/>
  </w:style>
  <w:style w:type="numbering" w:customStyle="1" w:styleId="List36">
    <w:name w:val="List 36"/>
    <w:basedOn w:val="Estiloimportado32"/>
    <w:rsid w:val="007A61F8"/>
    <w:pPr>
      <w:numPr>
        <w:numId w:val="14"/>
      </w:numPr>
    </w:pPr>
  </w:style>
  <w:style w:type="numbering" w:customStyle="1" w:styleId="Estiloimportado32">
    <w:name w:val="Estilo importado 32"/>
    <w:rsid w:val="007A61F8"/>
  </w:style>
  <w:style w:type="numbering" w:customStyle="1" w:styleId="List37">
    <w:name w:val="List 37"/>
    <w:basedOn w:val="Estiloimportado33"/>
    <w:rsid w:val="007A61F8"/>
    <w:pPr>
      <w:numPr>
        <w:numId w:val="46"/>
      </w:numPr>
    </w:pPr>
  </w:style>
  <w:style w:type="numbering" w:customStyle="1" w:styleId="Estiloimportado33">
    <w:name w:val="Estilo importado 33"/>
    <w:rsid w:val="007A61F8"/>
  </w:style>
  <w:style w:type="numbering" w:customStyle="1" w:styleId="List38">
    <w:name w:val="List 38"/>
    <w:basedOn w:val="Estiloimportado34"/>
    <w:rsid w:val="007A61F8"/>
    <w:pPr>
      <w:numPr>
        <w:numId w:val="35"/>
      </w:numPr>
    </w:pPr>
  </w:style>
  <w:style w:type="numbering" w:customStyle="1" w:styleId="Estiloimportado34">
    <w:name w:val="Estilo importado 34"/>
    <w:rsid w:val="007A61F8"/>
  </w:style>
  <w:style w:type="numbering" w:customStyle="1" w:styleId="List39">
    <w:name w:val="List 39"/>
    <w:basedOn w:val="Estiloimportado35"/>
    <w:rsid w:val="007A61F8"/>
    <w:pPr>
      <w:numPr>
        <w:numId w:val="45"/>
      </w:numPr>
    </w:pPr>
  </w:style>
  <w:style w:type="numbering" w:customStyle="1" w:styleId="Estiloimportado35">
    <w:name w:val="Estilo importado 35"/>
    <w:rsid w:val="007A61F8"/>
  </w:style>
  <w:style w:type="numbering" w:customStyle="1" w:styleId="List40">
    <w:name w:val="List 40"/>
    <w:basedOn w:val="Estiloimportado36"/>
    <w:rsid w:val="007A61F8"/>
    <w:pPr>
      <w:numPr>
        <w:numId w:val="21"/>
      </w:numPr>
    </w:pPr>
  </w:style>
  <w:style w:type="numbering" w:customStyle="1" w:styleId="Estiloimportado36">
    <w:name w:val="Estilo importado 36"/>
    <w:rsid w:val="007A61F8"/>
  </w:style>
  <w:style w:type="numbering" w:customStyle="1" w:styleId="Estiloimportado37">
    <w:name w:val="Estilo importado 37"/>
    <w:rsid w:val="007A61F8"/>
  </w:style>
  <w:style w:type="numbering" w:customStyle="1" w:styleId="List42">
    <w:name w:val="List 42"/>
    <w:basedOn w:val="Estiloimportado12"/>
    <w:rsid w:val="007A61F8"/>
    <w:pPr>
      <w:numPr>
        <w:numId w:val="12"/>
      </w:numPr>
    </w:pPr>
  </w:style>
  <w:style w:type="numbering" w:customStyle="1" w:styleId="List43">
    <w:name w:val="List 43"/>
    <w:basedOn w:val="Estiloimportado38"/>
    <w:rsid w:val="007A61F8"/>
    <w:pPr>
      <w:numPr>
        <w:numId w:val="23"/>
      </w:numPr>
    </w:pPr>
  </w:style>
  <w:style w:type="numbering" w:customStyle="1" w:styleId="Estiloimportado38">
    <w:name w:val="Estilo importado 38"/>
    <w:rsid w:val="007A61F8"/>
  </w:style>
  <w:style w:type="numbering" w:customStyle="1" w:styleId="List44">
    <w:name w:val="List 44"/>
    <w:basedOn w:val="Estiloimportado39"/>
    <w:rsid w:val="007A61F8"/>
    <w:pPr>
      <w:numPr>
        <w:numId w:val="40"/>
      </w:numPr>
    </w:pPr>
  </w:style>
  <w:style w:type="numbering" w:customStyle="1" w:styleId="Estiloimportado39">
    <w:name w:val="Estilo importado 39"/>
    <w:rsid w:val="007A61F8"/>
  </w:style>
  <w:style w:type="numbering" w:customStyle="1" w:styleId="List45">
    <w:name w:val="List 45"/>
    <w:basedOn w:val="Estiloimportado40"/>
    <w:rsid w:val="007A61F8"/>
    <w:pPr>
      <w:numPr>
        <w:numId w:val="20"/>
      </w:numPr>
    </w:pPr>
  </w:style>
  <w:style w:type="numbering" w:customStyle="1" w:styleId="Estiloimportado40">
    <w:name w:val="Estilo importado 40"/>
    <w:rsid w:val="007A61F8"/>
  </w:style>
  <w:style w:type="numbering" w:customStyle="1" w:styleId="List46">
    <w:name w:val="List 46"/>
    <w:basedOn w:val="Estiloimportado41"/>
    <w:rsid w:val="007A61F8"/>
    <w:pPr>
      <w:numPr>
        <w:numId w:val="24"/>
      </w:numPr>
    </w:pPr>
  </w:style>
  <w:style w:type="numbering" w:customStyle="1" w:styleId="Estiloimportado41">
    <w:name w:val="Estilo importado 41"/>
    <w:rsid w:val="007A61F8"/>
  </w:style>
  <w:style w:type="numbering" w:customStyle="1" w:styleId="List47">
    <w:name w:val="List 47"/>
    <w:basedOn w:val="Estiloimportado42"/>
    <w:rsid w:val="007A61F8"/>
    <w:pPr>
      <w:numPr>
        <w:numId w:val="29"/>
      </w:numPr>
    </w:pPr>
  </w:style>
  <w:style w:type="numbering" w:customStyle="1" w:styleId="Estiloimportado42">
    <w:name w:val="Estilo importado 42"/>
    <w:rsid w:val="007A61F8"/>
  </w:style>
  <w:style w:type="numbering" w:customStyle="1" w:styleId="List48">
    <w:name w:val="List 48"/>
    <w:basedOn w:val="Estiloimportado43"/>
    <w:rsid w:val="007A61F8"/>
    <w:pPr>
      <w:numPr>
        <w:numId w:val="49"/>
      </w:numPr>
    </w:pPr>
  </w:style>
  <w:style w:type="numbering" w:customStyle="1" w:styleId="Estiloimportado43">
    <w:name w:val="Estilo importado 43"/>
    <w:rsid w:val="007A61F8"/>
  </w:style>
  <w:style w:type="numbering" w:customStyle="1" w:styleId="List49">
    <w:name w:val="List 49"/>
    <w:basedOn w:val="Estiloimportado44"/>
    <w:rsid w:val="007A61F8"/>
    <w:pPr>
      <w:numPr>
        <w:numId w:val="39"/>
      </w:numPr>
    </w:pPr>
  </w:style>
  <w:style w:type="numbering" w:customStyle="1" w:styleId="Estiloimportado44">
    <w:name w:val="Estilo importado 44"/>
    <w:rsid w:val="007A61F8"/>
  </w:style>
  <w:style w:type="numbering" w:customStyle="1" w:styleId="List50">
    <w:name w:val="List 50"/>
    <w:basedOn w:val="Estiloimportado45"/>
    <w:rsid w:val="007A61F8"/>
    <w:pPr>
      <w:numPr>
        <w:numId w:val="37"/>
      </w:numPr>
    </w:pPr>
  </w:style>
  <w:style w:type="numbering" w:customStyle="1" w:styleId="Estiloimportado45">
    <w:name w:val="Estilo importado 45"/>
    <w:rsid w:val="007A61F8"/>
  </w:style>
  <w:style w:type="numbering" w:customStyle="1" w:styleId="Estiloimportado46">
    <w:name w:val="Estilo importado 46"/>
    <w:rsid w:val="007A61F8"/>
  </w:style>
  <w:style w:type="numbering" w:customStyle="1" w:styleId="List52">
    <w:name w:val="List 52"/>
    <w:basedOn w:val="Estiloimportado1"/>
    <w:rsid w:val="007A61F8"/>
    <w:pPr>
      <w:numPr>
        <w:numId w:val="9"/>
      </w:numPr>
    </w:pPr>
  </w:style>
  <w:style w:type="paragraph" w:styleId="BalloonText">
    <w:name w:val="Balloon Text"/>
    <w:basedOn w:val="Normal"/>
    <w:link w:val="BalloonTextChar"/>
    <w:semiHidden/>
    <w:unhideWhenUsed/>
    <w:rsid w:val="007A61F8"/>
    <w:rPr>
      <w:rFonts w:ascii="Tahoma" w:hAnsi="Tahoma" w:cs="Tahoma"/>
      <w:sz w:val="16"/>
      <w:szCs w:val="16"/>
    </w:rPr>
  </w:style>
  <w:style w:type="character" w:customStyle="1" w:styleId="BalloonTextChar">
    <w:name w:val="Balloon Text Char"/>
    <w:basedOn w:val="DefaultParagraphFont"/>
    <w:link w:val="BalloonText"/>
    <w:semiHidden/>
    <w:rsid w:val="007A61F8"/>
    <w:rPr>
      <w:rFonts w:ascii="Tahoma" w:eastAsia="Arial Unicode MS" w:hAnsi="Tahoma" w:cs="Tahoma"/>
      <w:sz w:val="16"/>
      <w:szCs w:val="16"/>
      <w:bdr w:val="nil"/>
    </w:rPr>
  </w:style>
  <w:style w:type="paragraph" w:styleId="Header">
    <w:name w:val="header"/>
    <w:aliases w:val="encabezado"/>
    <w:basedOn w:val="Normal"/>
    <w:link w:val="HeaderChar"/>
    <w:rsid w:val="007A61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7A61F8"/>
    <w:rPr>
      <w:rFonts w:ascii="Univers" w:eastAsia="Times New Roman" w:hAnsi="Univers" w:cs="Univers"/>
    </w:rPr>
  </w:style>
  <w:style w:type="table" w:styleId="MediumGrid2-Accent1">
    <w:name w:val="Medium Grid 2 Accent 1"/>
    <w:basedOn w:val="TableNormal"/>
    <w:uiPriority w:val="63"/>
    <w:rsid w:val="007A61F8"/>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7A61F8"/>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7A61F8"/>
    <w:pPr>
      <w:tabs>
        <w:tab w:val="left" w:pos="72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7A61F8"/>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7A61F8"/>
    <w:pPr>
      <w:spacing w:after="100"/>
      <w:ind w:left="720"/>
    </w:pPr>
  </w:style>
  <w:style w:type="character" w:styleId="PageNumber">
    <w:name w:val="page number"/>
    <w:basedOn w:val="DefaultParagraphFont"/>
    <w:rsid w:val="007A61F8"/>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nhideWhenUsed/>
    <w:qFormat/>
    <w:rsid w:val="007A61F8"/>
    <w:rPr>
      <w:vertAlign w:val="superscript"/>
    </w:rPr>
  </w:style>
  <w:style w:type="paragraph" w:styleId="BodyTextIndent2">
    <w:name w:val="Body Text Indent 2"/>
    <w:basedOn w:val="Normal"/>
    <w:link w:val="BodyTextIndent2Char"/>
    <w:unhideWhenUsed/>
    <w:rsid w:val="007A61F8"/>
    <w:pPr>
      <w:spacing w:after="120" w:line="480" w:lineRule="auto"/>
      <w:ind w:left="360"/>
    </w:pPr>
  </w:style>
  <w:style w:type="character" w:customStyle="1" w:styleId="BodyTextIndent2Char">
    <w:name w:val="Body Text Indent 2 Char"/>
    <w:basedOn w:val="DefaultParagraphFont"/>
    <w:link w:val="BodyTextIndent2"/>
    <w:rsid w:val="007A61F8"/>
    <w:rPr>
      <w:rFonts w:ascii="Times New Roman" w:eastAsia="Arial Unicode MS" w:hAnsi="Times New Roman" w:cs="Times New Roman"/>
      <w:bdr w:val="nil"/>
    </w:rPr>
  </w:style>
  <w:style w:type="paragraph" w:styleId="BodyText">
    <w:name w:val="Body Text"/>
    <w:basedOn w:val="Normal"/>
    <w:link w:val="BodyTextChar"/>
    <w:unhideWhenUsed/>
    <w:rsid w:val="007A61F8"/>
    <w:pPr>
      <w:spacing w:after="120"/>
    </w:pPr>
  </w:style>
  <w:style w:type="character" w:customStyle="1" w:styleId="BodyTextChar">
    <w:name w:val="Body Text Char"/>
    <w:basedOn w:val="DefaultParagraphFont"/>
    <w:link w:val="BodyText"/>
    <w:rsid w:val="007A61F8"/>
    <w:rPr>
      <w:rFonts w:ascii="Times New Roman" w:eastAsia="Arial Unicode MS" w:hAnsi="Times New Roman" w:cs="Times New Roman"/>
      <w:bdr w:val="nil"/>
    </w:rPr>
  </w:style>
  <w:style w:type="paragraph" w:customStyle="1" w:styleId="Default">
    <w:name w:val="Default"/>
    <w:link w:val="DefaultChar"/>
    <w:rsid w:val="007A61F8"/>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7A61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7A61F8"/>
    <w:rPr>
      <w:rFonts w:ascii="Times New Roman" w:eastAsia="Times New Roman" w:hAnsi="Times New Roman" w:cs="Times New Roman"/>
    </w:rPr>
  </w:style>
  <w:style w:type="character" w:customStyle="1" w:styleId="DefaultChar">
    <w:name w:val="Default Char"/>
    <w:link w:val="Default"/>
    <w:rsid w:val="007A61F8"/>
    <w:rPr>
      <w:rFonts w:ascii="Times New Roman" w:eastAsia="Times New Roman" w:hAnsi="Times New Roman" w:cs="Times New Roman"/>
      <w:color w:val="000000"/>
    </w:rPr>
  </w:style>
  <w:style w:type="paragraph" w:styleId="NormalWeb">
    <w:name w:val="Normal (Web)"/>
    <w:basedOn w:val="Normal"/>
    <w:uiPriority w:val="99"/>
    <w:rsid w:val="007A61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styleId="Strong">
    <w:name w:val="Strong"/>
    <w:uiPriority w:val="22"/>
    <w:qFormat/>
    <w:rsid w:val="007A61F8"/>
    <w:rPr>
      <w:rFonts w:cs="Times New Roman"/>
      <w:b/>
      <w:bCs/>
    </w:rPr>
  </w:style>
  <w:style w:type="character" w:customStyle="1" w:styleId="BodyTextIndentChar1">
    <w:name w:val="Body Text Indent Char1"/>
    <w:link w:val="BodyTextIndent"/>
    <w:locked/>
    <w:rsid w:val="007A61F8"/>
    <w:rPr>
      <w:rFonts w:ascii="Times New Roman" w:eastAsia="Times New Roman" w:hAnsi="Times New Roman" w:cs="Times New Roman"/>
      <w:color w:val="000000"/>
      <w:u w:color="000000"/>
      <w:bdr w:val="nil"/>
      <w:lang w:val="es-ES_tradnl" w:eastAsia="es-ES"/>
    </w:rPr>
  </w:style>
  <w:style w:type="paragraph" w:styleId="BlockText">
    <w:name w:val="Block Text"/>
    <w:basedOn w:val="Normal"/>
    <w:rsid w:val="007A61F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Arial" w:eastAsia="Batang" w:hAnsi="Arial" w:cs="Arial"/>
      <w:sz w:val="22"/>
      <w:bdr w:val="none" w:sz="0" w:space="0" w:color="auto"/>
      <w:lang w:val="es-AR"/>
    </w:rPr>
  </w:style>
  <w:style w:type="paragraph" w:styleId="Title">
    <w:name w:val="Title"/>
    <w:basedOn w:val="Normal"/>
    <w:link w:val="TitleChar"/>
    <w:qFormat/>
    <w:rsid w:val="007A61F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basedOn w:val="DefaultParagraphFont"/>
    <w:link w:val="Title"/>
    <w:rsid w:val="007A61F8"/>
    <w:rPr>
      <w:rFonts w:ascii="Univers" w:eastAsia="Batang" w:hAnsi="Univers" w:cs="Arial"/>
      <w:b/>
      <w:sz w:val="22"/>
      <w:lang w:val="es-AR"/>
    </w:rPr>
  </w:style>
  <w:style w:type="paragraph" w:styleId="BodyTextIndent3">
    <w:name w:val="Body Text Indent 3"/>
    <w:basedOn w:val="Normal"/>
    <w:link w:val="BodyTextIndent3Char"/>
    <w:rsid w:val="007A61F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Batang" w:hAnsi="Univers"/>
      <w:sz w:val="22"/>
      <w:szCs w:val="20"/>
      <w:bdr w:val="none" w:sz="0" w:space="0" w:color="auto"/>
      <w:lang w:val="es-ES"/>
    </w:rPr>
  </w:style>
  <w:style w:type="character" w:customStyle="1" w:styleId="BodyTextIndent3Char">
    <w:name w:val="Body Text Indent 3 Char"/>
    <w:basedOn w:val="DefaultParagraphFont"/>
    <w:link w:val="BodyTextIndent3"/>
    <w:rsid w:val="007A61F8"/>
    <w:rPr>
      <w:rFonts w:ascii="Univers" w:eastAsia="Batang" w:hAnsi="Univers" w:cs="Times New Roman"/>
      <w:sz w:val="22"/>
      <w:szCs w:val="20"/>
      <w:lang w:val="es-ES"/>
    </w:rPr>
  </w:style>
  <w:style w:type="paragraph" w:styleId="BodyText3">
    <w:name w:val="Body Text 3"/>
    <w:basedOn w:val="Normal"/>
    <w:link w:val="BodyText3Char"/>
    <w:rsid w:val="007A61F8"/>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Batang"/>
      <w:sz w:val="16"/>
      <w:szCs w:val="16"/>
      <w:bdr w:val="none" w:sz="0" w:space="0" w:color="auto"/>
    </w:rPr>
  </w:style>
  <w:style w:type="character" w:customStyle="1" w:styleId="BodyText3Char">
    <w:name w:val="Body Text 3 Char"/>
    <w:basedOn w:val="DefaultParagraphFont"/>
    <w:link w:val="BodyText3"/>
    <w:rsid w:val="007A61F8"/>
    <w:rPr>
      <w:rFonts w:ascii="Times New Roman" w:eastAsia="Batang" w:hAnsi="Times New Roman" w:cs="Times New Roman"/>
      <w:sz w:val="16"/>
      <w:szCs w:val="16"/>
    </w:rPr>
  </w:style>
  <w:style w:type="character" w:customStyle="1" w:styleId="texto1">
    <w:name w:val="texto1"/>
    <w:rsid w:val="007A61F8"/>
    <w:rPr>
      <w:rFonts w:ascii="Tahoma" w:hAnsi="Tahoma" w:cs="Tahoma"/>
      <w:color w:val="000000"/>
      <w:sz w:val="20"/>
      <w:szCs w:val="20"/>
      <w:u w:val="none"/>
      <w:effect w:val="none"/>
    </w:rPr>
  </w:style>
  <w:style w:type="paragraph" w:customStyle="1" w:styleId="CaptulosSt">
    <w:name w:val="Capítulos St."/>
    <w:basedOn w:val="Heading1"/>
    <w:next w:val="Normal"/>
    <w:rsid w:val="007A61F8"/>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Verdana" w:eastAsia="Batang" w:hAnsi="Verdana"/>
      <w:bCs w:val="0"/>
      <w:smallCaps/>
      <w:kern w:val="32"/>
      <w:szCs w:val="32"/>
      <w:bdr w:val="none" w:sz="0" w:space="0" w:color="auto"/>
      <w:lang w:val="es-ES_tradnl"/>
    </w:rPr>
  </w:style>
  <w:style w:type="paragraph" w:styleId="DocumentMap">
    <w:name w:val="Document Map"/>
    <w:basedOn w:val="Normal"/>
    <w:link w:val="DocumentMapChar"/>
    <w:semiHidden/>
    <w:rsid w:val="007A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Batang" w:hAnsi="Tahoma" w:cs="Tahoma"/>
      <w:sz w:val="20"/>
      <w:szCs w:val="20"/>
      <w:bdr w:val="none" w:sz="0" w:space="0" w:color="auto"/>
    </w:rPr>
  </w:style>
  <w:style w:type="character" w:customStyle="1" w:styleId="DocumentMapChar">
    <w:name w:val="Document Map Char"/>
    <w:basedOn w:val="DefaultParagraphFont"/>
    <w:link w:val="DocumentMap"/>
    <w:semiHidden/>
    <w:rsid w:val="007A61F8"/>
    <w:rPr>
      <w:rFonts w:ascii="Tahoma" w:eastAsia="Batang" w:hAnsi="Tahoma" w:cs="Tahoma"/>
      <w:sz w:val="20"/>
      <w:szCs w:val="20"/>
      <w:shd w:val="clear" w:color="auto" w:fill="000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7A61F8"/>
    <w:rPr>
      <w:rFonts w:ascii="Univers" w:hAnsi="Univers" w:cs="Times New Roman"/>
      <w:lang w:val="en-US" w:eastAsia="en-US" w:bidi="ar-SA"/>
    </w:rPr>
  </w:style>
  <w:style w:type="character" w:customStyle="1" w:styleId="CharChar">
    <w:name w:val="Char Char"/>
    <w:semiHidden/>
    <w:rsid w:val="007A61F8"/>
    <w:rPr>
      <w:rFonts w:ascii="Times New Roman" w:hAnsi="Times New Roman"/>
      <w:sz w:val="20"/>
    </w:rPr>
  </w:style>
  <w:style w:type="character" w:customStyle="1" w:styleId="FootnoteTextChar1">
    <w:name w:val="Footnote Text Char1"/>
    <w:semiHidden/>
    <w:locked/>
    <w:rsid w:val="007A61F8"/>
    <w:rPr>
      <w:rFonts w:ascii="Times New Roman" w:hAnsi="Times New Roman"/>
      <w:sz w:val="20"/>
    </w:rPr>
  </w:style>
  <w:style w:type="character" w:customStyle="1" w:styleId="FootnoteTextChar2">
    <w:name w:val="Footnote Text Char2"/>
    <w:aliases w:val="Footnote Text Char Char Char Char Char Char2,Footnote Text Char Char Char Char Char3,FA Fu Char2,Footnote reference Char2,Footnote Text Char Char Char Char3,Footnote Text Cha Char2,FA Fußnotentext Char2,FA Fuﬂnotentext Char2,Ca Char1"/>
    <w:locked/>
    <w:rsid w:val="007A61F8"/>
    <w:rPr>
      <w:rFonts w:ascii="Times New Roman" w:hAnsi="Times New Roman"/>
      <w:sz w:val="20"/>
    </w:rPr>
  </w:style>
  <w:style w:type="character" w:customStyle="1" w:styleId="apple-converted-space">
    <w:name w:val="apple-converted-space"/>
    <w:rsid w:val="007A61F8"/>
    <w:rPr>
      <w:rFonts w:cs="Times New Roman"/>
    </w:rPr>
  </w:style>
  <w:style w:type="character" w:customStyle="1" w:styleId="CharChar1">
    <w:name w:val="Char Char1"/>
    <w:rsid w:val="007A61F8"/>
    <w:rPr>
      <w:lang w:val="en-US" w:eastAsia="en-US"/>
    </w:rPr>
  </w:style>
  <w:style w:type="character" w:styleId="CommentReference">
    <w:name w:val="annotation reference"/>
    <w:semiHidden/>
    <w:rsid w:val="007A61F8"/>
    <w:rPr>
      <w:sz w:val="16"/>
      <w:szCs w:val="16"/>
    </w:rPr>
  </w:style>
  <w:style w:type="paragraph" w:styleId="CommentText">
    <w:name w:val="annotation text"/>
    <w:basedOn w:val="Normal"/>
    <w:link w:val="CommentTextChar"/>
    <w:semiHidden/>
    <w:rsid w:val="007A61F8"/>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CommentTextChar">
    <w:name w:val="Comment Text Char"/>
    <w:basedOn w:val="DefaultParagraphFont"/>
    <w:link w:val="CommentText"/>
    <w:semiHidden/>
    <w:rsid w:val="007A61F8"/>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semiHidden/>
    <w:rsid w:val="007A61F8"/>
    <w:rPr>
      <w:b/>
      <w:bCs/>
    </w:rPr>
  </w:style>
  <w:style w:type="character" w:customStyle="1" w:styleId="CommentSubjectChar">
    <w:name w:val="Comment Subject Char"/>
    <w:basedOn w:val="CommentTextChar"/>
    <w:link w:val="CommentSubject"/>
    <w:semiHidden/>
    <w:rsid w:val="007A61F8"/>
    <w:rPr>
      <w:rFonts w:ascii="Times New Roman" w:eastAsia="Batang" w:hAnsi="Times New Roman" w:cs="Times New Roman"/>
      <w:b/>
      <w:bCs/>
      <w:sz w:val="20"/>
      <w:szCs w:val="20"/>
    </w:rPr>
  </w:style>
  <w:style w:type="character" w:customStyle="1" w:styleId="apple-style-span">
    <w:name w:val="apple-style-span"/>
    <w:rsid w:val="007A61F8"/>
  </w:style>
  <w:style w:type="character" w:styleId="Emphasis">
    <w:name w:val="Emphasis"/>
    <w:qFormat/>
    <w:rsid w:val="007A61F8"/>
    <w:rPr>
      <w:i/>
      <w:iCs/>
    </w:rPr>
  </w:style>
  <w:style w:type="character" w:customStyle="1" w:styleId="ColorfulList-Accent1Char">
    <w:name w:val="Colorful List - Accent 1 Char"/>
    <w:aliases w:val="Colorful List - Accent 11 Char"/>
    <w:link w:val="ColorfulList-Accent1"/>
    <w:uiPriority w:val="34"/>
    <w:locked/>
    <w:rsid w:val="007A61F8"/>
    <w:rPr>
      <w:rFonts w:ascii="Cambria" w:eastAsia="Cambria" w:hAnsi="Cambria" w:cs="Cambria"/>
      <w:color w:val="000000"/>
      <w:sz w:val="24"/>
      <w:szCs w:val="24"/>
      <w:u w:color="000000"/>
      <w:lang w:val="en-US"/>
    </w:rPr>
  </w:style>
  <w:style w:type="paragraph" w:styleId="ListParagraph">
    <w:name w:val="List Paragraph"/>
    <w:basedOn w:val="Normal"/>
    <w:qFormat/>
    <w:rsid w:val="007A61F8"/>
    <w:pPr>
      <w:ind w:left="720"/>
    </w:pPr>
  </w:style>
  <w:style w:type="character" w:customStyle="1" w:styleId="normal--char">
    <w:name w:val="normal--char"/>
    <w:basedOn w:val="DefaultParagraphFont"/>
    <w:rsid w:val="007A61F8"/>
  </w:style>
  <w:style w:type="character" w:styleId="FollowedHyperlink">
    <w:name w:val="FollowedHyperlink"/>
    <w:basedOn w:val="DefaultParagraphFont"/>
    <w:uiPriority w:val="99"/>
    <w:semiHidden/>
    <w:unhideWhenUsed/>
    <w:rsid w:val="007A61F8"/>
    <w:rPr>
      <w:color w:val="954F72" w:themeColor="followedHyperlink"/>
      <w:u w:val="single"/>
    </w:rPr>
  </w:style>
  <w:style w:type="table" w:styleId="ColorfulList-Accent1">
    <w:name w:val="Colorful List Accent 1"/>
    <w:basedOn w:val="TableNormal"/>
    <w:link w:val="ColorfulList-Accent1Char"/>
    <w:uiPriority w:val="34"/>
    <w:semiHidden/>
    <w:unhideWhenUsed/>
    <w:rsid w:val="007A61F8"/>
    <w:rPr>
      <w:rFonts w:ascii="Cambria" w:eastAsia="Cambria" w:hAnsi="Cambria" w:cs="Cambria"/>
      <w:color w:val="000000"/>
      <w:u w:color="000000"/>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rg/countryrep/AccesoDESC07sp/Accesodescindice.sp.htm" TargetMode="External"/><Relationship Id="rId13"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3" Type="http://schemas.openxmlformats.org/officeDocument/2006/relationships/hyperlink" Target="http://servicios.infoleg.gob.ar/infolegInternet/anexos/30000-34999/32614/norma.htm" TargetMode="External"/><Relationship Id="rId7" Type="http://schemas.openxmlformats.org/officeDocument/2006/relationships/hyperlink" Target="http://www.cidh.org/pdf%20files/Lineamientos%20principales%20para%20una%20pol&#237;tica%20integral%20de%20reparaciones.pdf" TargetMode="External"/><Relationship Id="rId12"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www.infojus.gob.ar/legislacion/ley-nacional-24043-beneficios_otorgados_personas_puestas.htm?8" TargetMode="External"/><Relationship Id="rId16"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1" Type="http://schemas.openxmlformats.org/officeDocument/2006/relationships/hyperlink" Target="https://www.cidh.oas.org/annualrep/99span/Admisible/Argentina11.738.htm" TargetMode="External"/><Relationship Id="rId6" Type="http://schemas.openxmlformats.org/officeDocument/2006/relationships/hyperlink" Target="http://servicios.infoleg.gob.ar/infolegInternet/anexos/15000-19999/19213/texact.htm" TargetMode="External"/><Relationship Id="rId11"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5" Type="http://schemas.openxmlformats.org/officeDocument/2006/relationships/hyperlink" Target="http://www.saij.gob.ar/legislacion/decreto-nacional-26-2006-rechazo_recurso_jerarquico_en.htm%3Bjsessionid=2yic2xhn0yeimp702xyax8rd?0&amp;bsrc=ci" TargetMode="External"/><Relationship Id="rId15" Type="http://schemas.openxmlformats.org/officeDocument/2006/relationships/hyperlink" Target="http://joomla.corteidh.or.cr:8080/joomla/es/casos-contenciosos/38-jurisprudencia/2105-corte-idh-caso-del-tribunal-constitucional-camba-campos-y-otros-vs-ecuador-excepciones-preliminares-fondo-reparaciones-y-costas-sentencia-de-28-de-agosto-de-2013-serie-c-no-268" TargetMode="External"/><Relationship Id="rId10"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4" Type="http://schemas.openxmlformats.org/officeDocument/2006/relationships/hyperlink" Target="http://servicios.infoleg.gob.ar/infolegInternet/anexos/30000-34999/32614/norma.htm" TargetMode="External"/><Relationship Id="rId9"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14"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F6A8-79B3-452F-85EB-1298B64C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8801</Words>
  <Characters>48406</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Serrano</dc:creator>
  <cp:lastModifiedBy>%username%</cp:lastModifiedBy>
  <cp:revision>2</cp:revision>
  <cp:lastPrinted>2017-03-03T00:30:00Z</cp:lastPrinted>
  <dcterms:created xsi:type="dcterms:W3CDTF">2017-03-22T18:54:00Z</dcterms:created>
  <dcterms:modified xsi:type="dcterms:W3CDTF">2017-03-22T18:54:00Z</dcterms:modified>
</cp:coreProperties>
</file>